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firstLineChars="0"/>
        <w:rPr>
          <w:rStyle w:val="44"/>
          <w:rFonts w:cs="宋体"/>
          <w:sz w:val="36"/>
          <w:szCs w:val="21"/>
        </w:rPr>
      </w:pPr>
    </w:p>
    <w:p>
      <w:pPr>
        <w:rPr>
          <w:rStyle w:val="44"/>
          <w:rFonts w:ascii="宋体" w:hAnsi="宋体" w:cs="宋体"/>
          <w:sz w:val="36"/>
        </w:rPr>
      </w:pPr>
    </w:p>
    <w:p>
      <w:pPr>
        <w:jc w:val="center"/>
        <w:rPr>
          <w:rStyle w:val="44"/>
          <w:rFonts w:ascii="宋体" w:hAnsi="宋体" w:cs="宋体"/>
          <w:b/>
          <w:sz w:val="84"/>
        </w:rPr>
      </w:pPr>
      <w:r>
        <w:rPr>
          <w:rStyle w:val="44"/>
          <w:rFonts w:hint="eastAsia" w:ascii="宋体" w:hAnsi="宋体" w:cs="宋体"/>
          <w:b/>
          <w:sz w:val="84"/>
        </w:rPr>
        <w:t>招 标 文 件</w:t>
      </w:r>
    </w:p>
    <w:p>
      <w:pPr>
        <w:rPr>
          <w:rStyle w:val="44"/>
          <w:rFonts w:ascii="宋体" w:hAnsi="宋体" w:cs="宋体"/>
          <w:b/>
          <w:sz w:val="32"/>
        </w:rPr>
      </w:pPr>
    </w:p>
    <w:p>
      <w:pPr>
        <w:jc w:val="center"/>
        <w:rPr>
          <w:rStyle w:val="44"/>
          <w:rFonts w:ascii="宋体" w:hAnsi="宋体" w:cs="宋体"/>
          <w:b/>
          <w:sz w:val="32"/>
        </w:rPr>
      </w:pPr>
    </w:p>
    <w:p>
      <w:pPr>
        <w:pStyle w:val="24"/>
        <w:rPr>
          <w:rFonts w:cs="宋体"/>
        </w:rPr>
      </w:pPr>
    </w:p>
    <w:p>
      <w:pPr>
        <w:jc w:val="center"/>
        <w:rPr>
          <w:rStyle w:val="44"/>
          <w:rFonts w:ascii="宋体" w:hAnsi="宋体" w:cs="宋体"/>
          <w:b/>
          <w:sz w:val="32"/>
        </w:rPr>
      </w:pPr>
    </w:p>
    <w:p>
      <w:pPr>
        <w:jc w:val="center"/>
        <w:rPr>
          <w:rStyle w:val="44"/>
          <w:rFonts w:ascii="宋体" w:hAnsi="宋体" w:cs="宋体"/>
          <w:b/>
          <w:sz w:val="32"/>
        </w:rPr>
      </w:pPr>
    </w:p>
    <w:p>
      <w:pPr>
        <w:ind w:firstLine="723" w:firstLineChars="200"/>
        <w:rPr>
          <w:rStyle w:val="44"/>
          <w:rFonts w:hint="default" w:ascii="宋体" w:hAnsi="宋体" w:eastAsia="宋体" w:cs="宋体"/>
          <w:b/>
          <w:sz w:val="36"/>
          <w:lang w:val="en-US" w:eastAsia="zh-CN"/>
        </w:rPr>
      </w:pPr>
      <w:r>
        <w:rPr>
          <w:rStyle w:val="44"/>
          <w:rFonts w:hint="eastAsia" w:ascii="宋体" w:hAnsi="宋体" w:cs="宋体"/>
          <w:b/>
          <w:sz w:val="36"/>
        </w:rPr>
        <w:t>项目编号：2021-</w:t>
      </w:r>
      <w:r>
        <w:rPr>
          <w:rStyle w:val="44"/>
          <w:rFonts w:hint="eastAsia" w:ascii="宋体" w:hAnsi="宋体" w:cs="宋体"/>
          <w:b/>
          <w:sz w:val="36"/>
          <w:lang w:val="en-US" w:eastAsia="zh-CN"/>
        </w:rPr>
        <w:t>041Q</w:t>
      </w:r>
    </w:p>
    <w:p>
      <w:pPr>
        <w:jc w:val="center"/>
        <w:rPr>
          <w:rStyle w:val="44"/>
          <w:rFonts w:ascii="宋体" w:hAnsi="宋体" w:cs="宋体"/>
          <w:b/>
          <w:sz w:val="32"/>
        </w:rPr>
      </w:pPr>
    </w:p>
    <w:p>
      <w:pPr>
        <w:ind w:firstLine="723" w:firstLineChars="200"/>
        <w:rPr>
          <w:rStyle w:val="44"/>
          <w:rFonts w:ascii="宋体" w:hAnsi="宋体" w:cs="宋体"/>
          <w:b/>
          <w:sz w:val="36"/>
          <w:szCs w:val="36"/>
        </w:rPr>
      </w:pPr>
    </w:p>
    <w:p>
      <w:pPr>
        <w:ind w:firstLine="723" w:firstLineChars="200"/>
        <w:rPr>
          <w:rStyle w:val="44"/>
          <w:rFonts w:ascii="宋体" w:hAnsi="宋体" w:cs="宋体"/>
          <w:b/>
          <w:sz w:val="36"/>
          <w:szCs w:val="36"/>
        </w:rPr>
      </w:pPr>
      <w:r>
        <w:rPr>
          <w:rStyle w:val="44"/>
          <w:rFonts w:hint="eastAsia" w:ascii="宋体" w:hAnsi="宋体" w:cs="宋体"/>
          <w:b/>
          <w:sz w:val="36"/>
          <w:szCs w:val="36"/>
        </w:rPr>
        <w:t>项目名称：盐城工业职业技术学院健身区健身器材采购项目</w:t>
      </w:r>
    </w:p>
    <w:p>
      <w:pPr>
        <w:pStyle w:val="24"/>
        <w:ind w:firstLine="0" w:firstLineChars="0"/>
        <w:rPr>
          <w:rStyle w:val="44"/>
          <w:rFonts w:cs="宋体"/>
          <w:b/>
          <w:sz w:val="32"/>
          <w:szCs w:val="21"/>
        </w:rPr>
      </w:pPr>
    </w:p>
    <w:p>
      <w:pPr>
        <w:pStyle w:val="24"/>
        <w:ind w:firstLine="643"/>
        <w:rPr>
          <w:rStyle w:val="44"/>
          <w:rFonts w:cs="宋体"/>
          <w:b/>
          <w:sz w:val="32"/>
          <w:szCs w:val="21"/>
        </w:rPr>
      </w:pPr>
    </w:p>
    <w:p>
      <w:pPr>
        <w:pStyle w:val="104"/>
        <w:rPr>
          <w:rStyle w:val="44"/>
          <w:rFonts w:ascii="宋体" w:hAnsi="宋体" w:eastAsia="宋体" w:cs="宋体"/>
          <w:b/>
          <w:sz w:val="32"/>
        </w:rPr>
      </w:pPr>
    </w:p>
    <w:p>
      <w:pPr>
        <w:pStyle w:val="104"/>
        <w:jc w:val="center"/>
        <w:rPr>
          <w:rStyle w:val="44"/>
          <w:rFonts w:ascii="宋体" w:hAnsi="宋体" w:eastAsia="宋体" w:cs="宋体"/>
          <w:b/>
          <w:sz w:val="32"/>
        </w:rPr>
      </w:pPr>
    </w:p>
    <w:p>
      <w:pPr>
        <w:spacing w:line="360" w:lineRule="auto"/>
        <w:jc w:val="center"/>
        <w:rPr>
          <w:rStyle w:val="44"/>
          <w:rFonts w:ascii="宋体" w:hAnsi="宋体" w:cs="宋体"/>
          <w:bCs/>
          <w:sz w:val="36"/>
          <w:szCs w:val="36"/>
        </w:rPr>
      </w:pPr>
      <w:r>
        <w:rPr>
          <w:rStyle w:val="44"/>
          <w:rFonts w:hint="eastAsia" w:ascii="宋体" w:hAnsi="宋体" w:cs="宋体"/>
          <w:bCs/>
          <w:sz w:val="36"/>
          <w:szCs w:val="36"/>
        </w:rPr>
        <w:t>采购人：盐城工业职业技术学院</w:t>
      </w:r>
    </w:p>
    <w:p>
      <w:pPr>
        <w:spacing w:line="360" w:lineRule="auto"/>
        <w:jc w:val="center"/>
        <w:rPr>
          <w:rStyle w:val="44"/>
          <w:rFonts w:ascii="宋体" w:hAnsi="宋体" w:cs="宋体"/>
          <w:bCs/>
          <w:sz w:val="36"/>
          <w:szCs w:val="36"/>
        </w:rPr>
      </w:pPr>
      <w:r>
        <w:rPr>
          <w:rStyle w:val="44"/>
          <w:rFonts w:hint="eastAsia" w:ascii="宋体" w:hAnsi="宋体" w:cs="宋体"/>
          <w:bCs/>
          <w:sz w:val="36"/>
          <w:szCs w:val="36"/>
        </w:rPr>
        <w:t>代理人：江苏全盛工程造价事务所有限公司</w:t>
      </w:r>
    </w:p>
    <w:p>
      <w:pPr>
        <w:jc w:val="center"/>
        <w:rPr>
          <w:rStyle w:val="44"/>
          <w:rFonts w:ascii="宋体" w:hAnsi="宋体" w:cs="宋体"/>
          <w:sz w:val="36"/>
          <w:szCs w:val="36"/>
        </w:rPr>
      </w:pPr>
    </w:p>
    <w:p>
      <w:pPr>
        <w:jc w:val="center"/>
        <w:rPr>
          <w:rStyle w:val="44"/>
          <w:rFonts w:ascii="宋体" w:hAnsi="宋体" w:cs="宋体"/>
          <w:sz w:val="36"/>
          <w:szCs w:val="36"/>
        </w:rPr>
      </w:pPr>
      <w:r>
        <w:rPr>
          <w:rStyle w:val="44"/>
          <w:rFonts w:hint="eastAsia" w:ascii="宋体" w:hAnsi="宋体" w:cs="宋体"/>
          <w:sz w:val="36"/>
          <w:szCs w:val="36"/>
        </w:rPr>
        <w:t>2021</w:t>
      </w:r>
      <w:r>
        <w:rPr>
          <w:rStyle w:val="44"/>
          <w:rFonts w:hint="eastAsia" w:ascii="宋体" w:hAnsi="宋体" w:cs="宋体"/>
          <w:sz w:val="36"/>
          <w:szCs w:val="36"/>
          <w:lang w:val="en-US" w:eastAsia="zh-CN"/>
        </w:rPr>
        <w:t>年12</w:t>
      </w:r>
      <w:r>
        <w:rPr>
          <w:rStyle w:val="44"/>
          <w:rFonts w:hint="eastAsia" w:ascii="宋体" w:hAnsi="宋体" w:cs="宋体"/>
          <w:sz w:val="36"/>
          <w:szCs w:val="36"/>
        </w:rPr>
        <w:t>月</w:t>
      </w:r>
      <w:r>
        <w:rPr>
          <w:rStyle w:val="44"/>
          <w:rFonts w:hint="eastAsia" w:ascii="宋体" w:hAnsi="宋体" w:cs="宋体"/>
          <w:sz w:val="36"/>
          <w:szCs w:val="36"/>
          <w:lang w:val="en-US" w:eastAsia="zh-CN"/>
        </w:rPr>
        <w:t>03</w:t>
      </w:r>
      <w:r>
        <w:rPr>
          <w:rStyle w:val="44"/>
          <w:rFonts w:hint="eastAsia" w:ascii="宋体" w:hAnsi="宋体" w:cs="宋体"/>
          <w:sz w:val="36"/>
          <w:szCs w:val="36"/>
        </w:rPr>
        <w:t>日</w:t>
      </w:r>
    </w:p>
    <w:p>
      <w:pPr>
        <w:spacing w:line="480" w:lineRule="auto"/>
        <w:rPr>
          <w:rStyle w:val="44"/>
          <w:rFonts w:ascii="宋体" w:hAnsi="宋体" w:cs="宋体"/>
        </w:rPr>
      </w:pPr>
    </w:p>
    <w:p>
      <w:pPr>
        <w:spacing w:line="480" w:lineRule="auto"/>
        <w:jc w:val="center"/>
        <w:rPr>
          <w:rStyle w:val="44"/>
          <w:rFonts w:ascii="宋体" w:hAnsi="宋体" w:cs="宋体"/>
        </w:rPr>
      </w:pPr>
    </w:p>
    <w:p>
      <w:pPr>
        <w:pStyle w:val="24"/>
        <w:rPr>
          <w:rFonts w:cs="宋体"/>
        </w:rPr>
      </w:pPr>
    </w:p>
    <w:p>
      <w:pPr>
        <w:spacing w:line="480" w:lineRule="auto"/>
        <w:jc w:val="center"/>
        <w:rPr>
          <w:rStyle w:val="44"/>
          <w:rFonts w:ascii="宋体" w:hAnsi="宋体" w:cs="宋体"/>
          <w:b/>
          <w:sz w:val="44"/>
        </w:rPr>
      </w:pPr>
      <w:r>
        <w:rPr>
          <w:rStyle w:val="44"/>
          <w:rFonts w:hint="eastAsia" w:ascii="宋体" w:hAnsi="宋体" w:cs="宋体"/>
          <w:b/>
          <w:sz w:val="44"/>
        </w:rPr>
        <w:t>总  目  录</w:t>
      </w:r>
    </w:p>
    <w:sdt>
      <w:sdtPr>
        <w:rPr>
          <w:rFonts w:ascii="宋体" w:hAnsi="宋体" w:eastAsia="宋体" w:cstheme="minorBidi"/>
          <w:kern w:val="2"/>
          <w:sz w:val="21"/>
          <w:szCs w:val="21"/>
          <w:lang w:val="en-US" w:eastAsia="zh-CN" w:bidi="ar-SA"/>
        </w:rPr>
        <w:id w:val="147481716"/>
        <w15:color w:val="DBDBDB"/>
        <w:docPartObj>
          <w:docPartGallery w:val="Table of Contents"/>
          <w:docPartUnique/>
        </w:docPartObj>
      </w:sdtPr>
      <w:sdtEndPr>
        <w:rPr>
          <w:rFonts w:ascii="宋体" w:hAnsi="宋体" w:eastAsia="宋体" w:cs="宋体"/>
          <w:bCs/>
          <w:kern w:val="2"/>
          <w:sz w:val="28"/>
          <w:szCs w:val="28"/>
          <w:lang w:val="en-US" w:eastAsia="zh-CN" w:bidi="ar-SA"/>
        </w:rPr>
      </w:sdtEndPr>
      <w:sdtContent>
        <w:p>
          <w:pPr>
            <w:pStyle w:val="152"/>
            <w:tabs>
              <w:tab w:val="right" w:leader="dot" w:pos="8953"/>
            </w:tabs>
            <w:rPr>
              <w:rFonts w:ascii="宋体" w:hAnsi="宋体" w:eastAsia="宋体" w:cstheme="minorBidi"/>
              <w:kern w:val="2"/>
              <w:sz w:val="21"/>
              <w:szCs w:val="21"/>
              <w:lang w:val="en-US" w:eastAsia="zh-CN" w:bidi="ar-SA"/>
            </w:rPr>
          </w:pPr>
        </w:p>
        <w:p>
          <w:pPr>
            <w:pStyle w:val="152"/>
            <w:tabs>
              <w:tab w:val="right" w:leader="dot" w:pos="8953"/>
            </w:tabs>
            <w:rPr>
              <w:rFonts w:hint="eastAsia" w:ascii="宋体" w:hAnsi="宋体" w:eastAsia="宋体" w:cs="宋体"/>
              <w:sz w:val="30"/>
              <w:szCs w:val="30"/>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_Toc28560 </w:instrText>
          </w:r>
          <w:r>
            <w:rPr>
              <w:rFonts w:hint="eastAsia" w:ascii="宋体" w:hAnsi="宋体" w:eastAsia="宋体" w:cs="宋体"/>
              <w:bCs/>
              <w:sz w:val="30"/>
              <w:szCs w:val="30"/>
            </w:rPr>
            <w:fldChar w:fldCharType="separate"/>
          </w:r>
          <w:r>
            <w:rPr>
              <w:rFonts w:hint="eastAsia" w:ascii="宋体" w:hAnsi="宋体" w:eastAsia="宋体" w:cs="宋体"/>
              <w:b/>
              <w:bCs w:val="0"/>
              <w:sz w:val="30"/>
              <w:szCs w:val="30"/>
            </w:rPr>
            <w:t>第</w:t>
          </w:r>
          <w:r>
            <w:rPr>
              <w:rFonts w:hint="eastAsia" w:ascii="宋体" w:hAnsi="宋体" w:eastAsia="宋体" w:cs="宋体"/>
              <w:b/>
              <w:bCs w:val="0"/>
              <w:color w:val="000000" w:themeColor="text1"/>
              <w:sz w:val="30"/>
              <w:szCs w:val="30"/>
              <w14:textFill>
                <w14:solidFill>
                  <w14:schemeClr w14:val="tx1"/>
                </w14:solidFill>
              </w14:textFill>
            </w:rPr>
            <w:t>一章</w:t>
          </w:r>
          <w:r>
            <w:rPr>
              <w:rFonts w:hint="eastAsia" w:ascii="宋体" w:hAnsi="宋体" w:eastAsia="宋体" w:cs="宋体"/>
              <w:bCs/>
              <w:sz w:val="30"/>
              <w:szCs w:val="30"/>
            </w:rPr>
            <w:t xml:space="preserve">  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_Toc28560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bCs/>
              <w:sz w:val="30"/>
              <w:szCs w:val="30"/>
            </w:rPr>
            <w:fldChar w:fldCharType="end"/>
          </w:r>
          <w:r>
            <w:rPr>
              <w:rStyle w:val="44"/>
              <w:rFonts w:ascii="宋体" w:hAnsi="宋体" w:eastAsia="宋体" w:cs="宋体"/>
              <w:bCs/>
              <w:sz w:val="44"/>
            </w:rPr>
            <w:fldChar w:fldCharType="begin"/>
          </w:r>
          <w:r>
            <w:rPr>
              <w:rStyle w:val="44"/>
              <w:rFonts w:ascii="宋体" w:hAnsi="宋体" w:eastAsia="宋体" w:cs="宋体"/>
              <w:bCs/>
              <w:sz w:val="44"/>
            </w:rPr>
            <w:instrText xml:space="preserve">TOC \o "1-1" \h \u </w:instrText>
          </w:r>
          <w:r>
            <w:rPr>
              <w:rStyle w:val="44"/>
              <w:rFonts w:ascii="宋体" w:hAnsi="宋体" w:eastAsia="宋体" w:cs="宋体"/>
              <w:bCs/>
              <w:sz w:val="44"/>
            </w:rPr>
            <w:fldChar w:fldCharType="separate"/>
          </w:r>
        </w:p>
        <w:p>
          <w:pPr>
            <w:pStyle w:val="152"/>
            <w:tabs>
              <w:tab w:val="right" w:leader="dot" w:pos="8953"/>
            </w:tabs>
            <w:rPr>
              <w:rFonts w:hint="eastAsia" w:ascii="宋体" w:hAnsi="宋体" w:eastAsia="宋体" w:cs="宋体"/>
              <w:sz w:val="30"/>
              <w:szCs w:val="30"/>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_Toc13342 </w:instrText>
          </w:r>
          <w:r>
            <w:rPr>
              <w:rFonts w:hint="eastAsia" w:ascii="宋体" w:hAnsi="宋体" w:eastAsia="宋体" w:cs="宋体"/>
              <w:bCs/>
              <w:sz w:val="30"/>
              <w:szCs w:val="30"/>
            </w:rPr>
            <w:fldChar w:fldCharType="separate"/>
          </w:r>
          <w:r>
            <w:rPr>
              <w:rFonts w:hint="eastAsia" w:ascii="宋体" w:hAnsi="宋体" w:eastAsia="宋体" w:cs="宋体"/>
              <w:b/>
              <w:bCs/>
              <w:sz w:val="30"/>
              <w:szCs w:val="30"/>
            </w:rPr>
            <w:t>第二章</w:t>
          </w:r>
          <w:r>
            <w:rPr>
              <w:rFonts w:hint="eastAsia" w:ascii="宋体" w:hAnsi="宋体" w:eastAsia="宋体" w:cs="宋体"/>
              <w:sz w:val="30"/>
              <w:szCs w:val="30"/>
            </w:rPr>
            <w:t xml:space="preserve">  投标人须知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_Toc13342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bCs/>
              <w:sz w:val="30"/>
              <w:szCs w:val="30"/>
            </w:rPr>
            <w:fldChar w:fldCharType="end"/>
          </w:r>
        </w:p>
        <w:p>
          <w:pPr>
            <w:pStyle w:val="152"/>
            <w:tabs>
              <w:tab w:val="right" w:leader="dot" w:pos="8953"/>
            </w:tabs>
            <w:rPr>
              <w:rFonts w:hint="eastAsia" w:ascii="宋体" w:hAnsi="宋体" w:eastAsia="宋体" w:cs="宋体"/>
              <w:sz w:val="30"/>
              <w:szCs w:val="30"/>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_Toc29478 </w:instrText>
          </w:r>
          <w:r>
            <w:rPr>
              <w:rFonts w:hint="eastAsia" w:ascii="宋体" w:hAnsi="宋体" w:eastAsia="宋体" w:cs="宋体"/>
              <w:bCs/>
              <w:sz w:val="30"/>
              <w:szCs w:val="30"/>
            </w:rPr>
            <w:fldChar w:fldCharType="separate"/>
          </w:r>
          <w:r>
            <w:rPr>
              <w:rFonts w:hint="eastAsia" w:ascii="宋体" w:hAnsi="宋体" w:eastAsia="宋体" w:cs="宋体"/>
              <w:b/>
              <w:bCs/>
              <w:sz w:val="30"/>
              <w:szCs w:val="30"/>
            </w:rPr>
            <w:t>第三章</w:t>
          </w:r>
          <w:r>
            <w:rPr>
              <w:rFonts w:hint="eastAsia" w:ascii="宋体" w:hAnsi="宋体" w:eastAsia="宋体" w:cs="宋体"/>
              <w:sz w:val="30"/>
              <w:szCs w:val="30"/>
            </w:rPr>
            <w:t xml:space="preserve">  合同条款及格式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_Toc29478 \h </w:instrText>
          </w:r>
          <w:r>
            <w:rPr>
              <w:rFonts w:hint="eastAsia" w:ascii="宋体" w:hAnsi="宋体" w:eastAsia="宋体" w:cs="宋体"/>
              <w:sz w:val="30"/>
              <w:szCs w:val="30"/>
            </w:rPr>
            <w:fldChar w:fldCharType="separate"/>
          </w:r>
          <w:r>
            <w:rPr>
              <w:rFonts w:hint="eastAsia" w:ascii="宋体" w:hAnsi="宋体" w:eastAsia="宋体" w:cs="宋体"/>
              <w:sz w:val="30"/>
              <w:szCs w:val="30"/>
            </w:rPr>
            <w:t>20</w:t>
          </w:r>
          <w:r>
            <w:rPr>
              <w:rFonts w:hint="eastAsia" w:ascii="宋体" w:hAnsi="宋体" w:eastAsia="宋体" w:cs="宋体"/>
              <w:sz w:val="30"/>
              <w:szCs w:val="30"/>
            </w:rPr>
            <w:fldChar w:fldCharType="end"/>
          </w:r>
          <w:r>
            <w:rPr>
              <w:rFonts w:hint="eastAsia" w:ascii="宋体" w:hAnsi="宋体" w:eastAsia="宋体" w:cs="宋体"/>
              <w:bCs/>
              <w:sz w:val="30"/>
              <w:szCs w:val="30"/>
            </w:rPr>
            <w:fldChar w:fldCharType="end"/>
          </w:r>
        </w:p>
        <w:p>
          <w:pPr>
            <w:pStyle w:val="152"/>
            <w:tabs>
              <w:tab w:val="right" w:leader="dot" w:pos="8953"/>
            </w:tabs>
            <w:rPr>
              <w:rFonts w:hint="eastAsia" w:ascii="宋体" w:hAnsi="宋体" w:eastAsia="宋体" w:cs="宋体"/>
              <w:sz w:val="30"/>
              <w:szCs w:val="30"/>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_Toc5799 </w:instrText>
          </w:r>
          <w:r>
            <w:rPr>
              <w:rFonts w:hint="eastAsia" w:ascii="宋体" w:hAnsi="宋体" w:eastAsia="宋体" w:cs="宋体"/>
              <w:bCs/>
              <w:sz w:val="30"/>
              <w:szCs w:val="30"/>
            </w:rPr>
            <w:fldChar w:fldCharType="separate"/>
          </w:r>
          <w:r>
            <w:rPr>
              <w:rFonts w:hint="eastAsia" w:ascii="宋体" w:hAnsi="宋体" w:eastAsia="宋体" w:cs="宋体"/>
              <w:b/>
              <w:bCs/>
              <w:sz w:val="30"/>
              <w:szCs w:val="30"/>
            </w:rPr>
            <w:t>第四章</w:t>
          </w:r>
          <w:r>
            <w:rPr>
              <w:rFonts w:hint="eastAsia" w:ascii="宋体" w:hAnsi="宋体" w:eastAsia="宋体" w:cs="宋体"/>
              <w:sz w:val="30"/>
              <w:szCs w:val="30"/>
            </w:rPr>
            <w:t xml:space="preserve"> 项目需求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_Toc5799 \h </w:instrText>
          </w:r>
          <w:r>
            <w:rPr>
              <w:rFonts w:hint="eastAsia" w:ascii="宋体" w:hAnsi="宋体" w:eastAsia="宋体" w:cs="宋体"/>
              <w:sz w:val="30"/>
              <w:szCs w:val="30"/>
            </w:rPr>
            <w:fldChar w:fldCharType="separate"/>
          </w:r>
          <w:r>
            <w:rPr>
              <w:rFonts w:hint="eastAsia" w:ascii="宋体" w:hAnsi="宋体" w:eastAsia="宋体" w:cs="宋体"/>
              <w:sz w:val="30"/>
              <w:szCs w:val="30"/>
            </w:rPr>
            <w:t>26</w:t>
          </w:r>
          <w:r>
            <w:rPr>
              <w:rFonts w:hint="eastAsia" w:ascii="宋体" w:hAnsi="宋体" w:eastAsia="宋体" w:cs="宋体"/>
              <w:sz w:val="30"/>
              <w:szCs w:val="30"/>
            </w:rPr>
            <w:fldChar w:fldCharType="end"/>
          </w:r>
          <w:r>
            <w:rPr>
              <w:rFonts w:hint="eastAsia" w:ascii="宋体" w:hAnsi="宋体" w:eastAsia="宋体" w:cs="宋体"/>
              <w:bCs/>
              <w:sz w:val="30"/>
              <w:szCs w:val="30"/>
            </w:rPr>
            <w:fldChar w:fldCharType="end"/>
          </w:r>
        </w:p>
        <w:p>
          <w:pPr>
            <w:pStyle w:val="152"/>
            <w:tabs>
              <w:tab w:val="right" w:leader="dot" w:pos="8953"/>
            </w:tabs>
            <w:rPr>
              <w:rFonts w:hint="eastAsia" w:ascii="宋体" w:hAnsi="宋体" w:eastAsia="宋体" w:cs="宋体"/>
              <w:sz w:val="30"/>
              <w:szCs w:val="30"/>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_Toc13894 </w:instrText>
          </w:r>
          <w:r>
            <w:rPr>
              <w:rFonts w:hint="eastAsia" w:ascii="宋体" w:hAnsi="宋体" w:eastAsia="宋体" w:cs="宋体"/>
              <w:bCs/>
              <w:sz w:val="30"/>
              <w:szCs w:val="30"/>
            </w:rPr>
            <w:fldChar w:fldCharType="separate"/>
          </w:r>
          <w:r>
            <w:rPr>
              <w:rFonts w:hint="eastAsia" w:ascii="宋体" w:hAnsi="宋体" w:eastAsia="宋体" w:cs="宋体"/>
              <w:b/>
              <w:bCs/>
              <w:sz w:val="30"/>
              <w:szCs w:val="30"/>
            </w:rPr>
            <w:t>第五章</w:t>
          </w:r>
          <w:r>
            <w:rPr>
              <w:rFonts w:hint="eastAsia" w:ascii="宋体" w:hAnsi="宋体" w:eastAsia="宋体" w:cs="宋体"/>
              <w:sz w:val="30"/>
              <w:szCs w:val="30"/>
            </w:rPr>
            <w:t xml:space="preserve">  评标方法与评标标准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_Toc13894 \h </w:instrText>
          </w:r>
          <w:r>
            <w:rPr>
              <w:rFonts w:hint="eastAsia" w:ascii="宋体" w:hAnsi="宋体" w:eastAsia="宋体" w:cs="宋体"/>
              <w:sz w:val="30"/>
              <w:szCs w:val="30"/>
            </w:rPr>
            <w:fldChar w:fldCharType="separate"/>
          </w:r>
          <w:r>
            <w:rPr>
              <w:rFonts w:hint="eastAsia" w:ascii="宋体" w:hAnsi="宋体" w:eastAsia="宋体" w:cs="宋体"/>
              <w:sz w:val="30"/>
              <w:szCs w:val="30"/>
            </w:rPr>
            <w:t>37</w:t>
          </w:r>
          <w:r>
            <w:rPr>
              <w:rFonts w:hint="eastAsia" w:ascii="宋体" w:hAnsi="宋体" w:eastAsia="宋体" w:cs="宋体"/>
              <w:sz w:val="30"/>
              <w:szCs w:val="30"/>
            </w:rPr>
            <w:fldChar w:fldCharType="end"/>
          </w:r>
          <w:r>
            <w:rPr>
              <w:rFonts w:hint="eastAsia" w:ascii="宋体" w:hAnsi="宋体" w:eastAsia="宋体" w:cs="宋体"/>
              <w:bCs/>
              <w:sz w:val="30"/>
              <w:szCs w:val="30"/>
            </w:rPr>
            <w:fldChar w:fldCharType="end"/>
          </w:r>
        </w:p>
        <w:p>
          <w:pPr>
            <w:pStyle w:val="152"/>
            <w:tabs>
              <w:tab w:val="right" w:leader="dot" w:pos="8953"/>
            </w:tabs>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_Toc30004 </w:instrText>
          </w:r>
          <w:r>
            <w:rPr>
              <w:rFonts w:hint="eastAsia" w:ascii="宋体" w:hAnsi="宋体" w:eastAsia="宋体" w:cs="宋体"/>
              <w:bCs/>
              <w:sz w:val="30"/>
              <w:szCs w:val="30"/>
            </w:rPr>
            <w:fldChar w:fldCharType="separate"/>
          </w:r>
          <w:r>
            <w:rPr>
              <w:rFonts w:hint="eastAsia" w:ascii="宋体" w:hAnsi="宋体" w:eastAsia="宋体" w:cs="宋体"/>
              <w:b/>
              <w:bCs/>
              <w:sz w:val="30"/>
              <w:szCs w:val="30"/>
            </w:rPr>
            <w:t>第六章</w:t>
          </w:r>
          <w:r>
            <w:rPr>
              <w:rFonts w:hint="eastAsia" w:ascii="宋体" w:hAnsi="宋体" w:eastAsia="宋体" w:cs="宋体"/>
              <w:sz w:val="30"/>
              <w:szCs w:val="30"/>
            </w:rPr>
            <w:t xml:space="preserve">  投标文件格式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_Toc30004 \h </w:instrText>
          </w:r>
          <w:r>
            <w:rPr>
              <w:rFonts w:hint="eastAsia" w:ascii="宋体" w:hAnsi="宋体" w:eastAsia="宋体" w:cs="宋体"/>
              <w:sz w:val="30"/>
              <w:szCs w:val="30"/>
            </w:rPr>
            <w:fldChar w:fldCharType="separate"/>
          </w:r>
          <w:r>
            <w:rPr>
              <w:rFonts w:hint="eastAsia" w:ascii="宋体" w:hAnsi="宋体" w:eastAsia="宋体" w:cs="宋体"/>
              <w:sz w:val="30"/>
              <w:szCs w:val="30"/>
            </w:rPr>
            <w:t>41</w:t>
          </w:r>
          <w:r>
            <w:rPr>
              <w:rFonts w:hint="eastAsia" w:ascii="宋体" w:hAnsi="宋体" w:eastAsia="宋体" w:cs="宋体"/>
              <w:sz w:val="30"/>
              <w:szCs w:val="30"/>
            </w:rPr>
            <w:fldChar w:fldCharType="end"/>
          </w:r>
          <w:r>
            <w:rPr>
              <w:rFonts w:hint="eastAsia" w:ascii="宋体" w:hAnsi="宋体" w:eastAsia="宋体" w:cs="宋体"/>
              <w:bCs/>
              <w:sz w:val="30"/>
              <w:szCs w:val="30"/>
            </w:rPr>
            <w:fldChar w:fldCharType="end"/>
          </w:r>
        </w:p>
        <w:p>
          <w:pPr>
            <w:pStyle w:val="152"/>
            <w:tabs>
              <w:tab w:val="right" w:leader="dot" w:pos="8953"/>
            </w:tabs>
          </w:pPr>
        </w:p>
        <w:p>
          <w:pPr>
            <w:pStyle w:val="34"/>
            <w:jc w:val="both"/>
            <w:rPr>
              <w:rFonts w:ascii="宋体" w:hAnsi="宋体" w:eastAsia="宋体" w:cs="宋体"/>
              <w:bCs/>
              <w:kern w:val="2"/>
              <w:sz w:val="28"/>
              <w:szCs w:val="28"/>
              <w:lang w:val="en-US" w:eastAsia="zh-CN" w:bidi="ar-SA"/>
            </w:rPr>
            <w:sectPr>
              <w:headerReference r:id="rId3" w:type="default"/>
              <w:footerReference r:id="rId4" w:type="default"/>
              <w:pgSz w:w="11906" w:h="16838"/>
              <w:pgMar w:top="1417" w:right="1588" w:bottom="1417" w:left="1365" w:header="851" w:footer="907" w:gutter="0"/>
              <w:cols w:space="425" w:num="1"/>
              <w:docGrid w:type="lines" w:linePitch="290" w:charSpace="0"/>
            </w:sectPr>
          </w:pPr>
          <w:r>
            <w:rPr>
              <w:rFonts w:ascii="宋体" w:hAnsi="宋体" w:eastAsia="宋体" w:cs="宋体"/>
              <w:bCs/>
            </w:rPr>
            <w:fldChar w:fldCharType="end"/>
          </w:r>
        </w:p>
      </w:sdtContent>
    </w:sdt>
    <w:p>
      <w:pPr>
        <w:pStyle w:val="34"/>
        <w:jc w:val="center"/>
        <w:outlineLvl w:val="0"/>
        <w:rPr>
          <w:rStyle w:val="44"/>
          <w:rFonts w:ascii="宋体" w:hAnsi="宋体" w:eastAsia="宋体" w:cs="宋体"/>
          <w:b/>
          <w:bCs/>
          <w:sz w:val="44"/>
          <w:szCs w:val="44"/>
        </w:rPr>
      </w:pPr>
      <w:bookmarkStart w:id="0" w:name="_Toc28560"/>
      <w:r>
        <w:rPr>
          <w:rStyle w:val="44"/>
          <w:rFonts w:hint="eastAsia" w:ascii="宋体" w:hAnsi="宋体" w:eastAsia="宋体" w:cs="宋体"/>
          <w:b/>
          <w:bCs/>
          <w:sz w:val="44"/>
          <w:szCs w:val="44"/>
        </w:rPr>
        <w:t>第一章  招标公告</w:t>
      </w:r>
      <w:bookmarkEnd w:id="0"/>
    </w:p>
    <w:p>
      <w:pPr>
        <w:pStyle w:val="34"/>
        <w:tabs>
          <w:tab w:val="left" w:pos="0"/>
          <w:tab w:val="left" w:pos="3165"/>
          <w:tab w:val="center" w:pos="4153"/>
        </w:tabs>
        <w:spacing w:line="360" w:lineRule="auto"/>
        <w:rPr>
          <w:rStyle w:val="44"/>
          <w:rFonts w:ascii="宋体" w:hAnsi="宋体" w:eastAsia="宋体" w:cs="宋体"/>
          <w:b/>
          <w:bCs/>
        </w:rPr>
      </w:pPr>
      <w:r>
        <w:rPr>
          <w:rStyle w:val="44"/>
          <w:rFonts w:hint="eastAsia" w:ascii="宋体" w:hAnsi="宋体" w:eastAsia="宋体" w:cs="宋体"/>
          <w:b/>
          <w:bCs/>
          <w:sz w:val="32"/>
          <w:szCs w:val="32"/>
        </w:rPr>
        <w:t>盐城工业职业技术学院健身区健身器材采购项目招标公告</w:t>
      </w:r>
    </w:p>
    <w:p>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s="宋体"/>
          <w:sz w:val="24"/>
          <w:szCs w:val="24"/>
        </w:rPr>
      </w:pPr>
      <w:r>
        <w:rPr>
          <w:rStyle w:val="44"/>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s="宋体"/>
          <w:sz w:val="24"/>
          <w:szCs w:val="24"/>
        </w:rPr>
      </w:pPr>
      <w:r>
        <w:rPr>
          <w:rStyle w:val="44"/>
          <w:rFonts w:hint="eastAsia" w:ascii="宋体" w:hAnsi="宋体" w:cs="宋体"/>
          <w:bCs/>
          <w:sz w:val="24"/>
          <w:szCs w:val="24"/>
          <w:u w:val="single" w:color="000000"/>
        </w:rPr>
        <w:t>盐城工业职业技术学院健身区健身器材采购项目</w:t>
      </w:r>
      <w:r>
        <w:rPr>
          <w:rStyle w:val="44"/>
          <w:rFonts w:hint="eastAsia" w:ascii="宋体" w:hAnsi="宋体" w:cs="宋体"/>
          <w:bCs/>
          <w:sz w:val="24"/>
          <w:szCs w:val="24"/>
        </w:rPr>
        <w:t>的潜在投标人应在</w:t>
      </w:r>
      <w:r>
        <w:rPr>
          <w:rStyle w:val="44"/>
          <w:rFonts w:hint="eastAsia" w:ascii="宋体" w:hAnsi="宋体" w:cs="宋体"/>
          <w:bCs/>
          <w:sz w:val="24"/>
          <w:szCs w:val="24"/>
          <w:u w:val="single" w:color="000000"/>
        </w:rPr>
        <w:t>盐城工业职业技术学院招标采购网</w:t>
      </w:r>
      <w:r>
        <w:rPr>
          <w:rStyle w:val="44"/>
          <w:rFonts w:hint="eastAsia" w:ascii="宋体" w:hAnsi="宋体" w:cs="宋体"/>
          <w:bCs/>
          <w:sz w:val="24"/>
          <w:szCs w:val="24"/>
        </w:rPr>
        <w:t>获</w:t>
      </w:r>
      <w:r>
        <w:rPr>
          <w:rStyle w:val="44"/>
          <w:rFonts w:hint="eastAsia" w:ascii="宋体" w:hAnsi="宋体" w:cs="宋体"/>
          <w:sz w:val="24"/>
          <w:szCs w:val="24"/>
        </w:rPr>
        <w:t>取招标文件，并于</w:t>
      </w:r>
      <w:r>
        <w:rPr>
          <w:rStyle w:val="44"/>
          <w:rFonts w:hint="eastAsia" w:ascii="宋体" w:hAnsi="宋体" w:cs="宋体"/>
          <w:sz w:val="24"/>
          <w:szCs w:val="24"/>
          <w:u w:val="single" w:color="000000"/>
        </w:rPr>
        <w:t>2021年</w:t>
      </w:r>
      <w:r>
        <w:rPr>
          <w:rStyle w:val="44"/>
          <w:rFonts w:hint="eastAsia" w:ascii="宋体" w:hAnsi="宋体" w:cs="宋体"/>
          <w:sz w:val="24"/>
          <w:szCs w:val="24"/>
          <w:u w:val="single" w:color="000000"/>
          <w:lang w:val="en-US" w:eastAsia="zh-CN"/>
        </w:rPr>
        <w:t>12</w:t>
      </w:r>
      <w:r>
        <w:rPr>
          <w:rStyle w:val="44"/>
          <w:rFonts w:hint="eastAsia" w:ascii="宋体" w:hAnsi="宋体" w:cs="宋体"/>
          <w:bCs/>
          <w:sz w:val="24"/>
          <w:szCs w:val="24"/>
          <w:u w:val="single" w:color="000000"/>
        </w:rPr>
        <w:t>月</w:t>
      </w:r>
      <w:r>
        <w:rPr>
          <w:rStyle w:val="44"/>
          <w:rFonts w:hint="eastAsia" w:ascii="宋体" w:hAnsi="宋体" w:cs="宋体"/>
          <w:bCs/>
          <w:sz w:val="24"/>
          <w:szCs w:val="24"/>
          <w:u w:val="single" w:color="000000"/>
          <w:lang w:val="en-US" w:eastAsia="zh-CN"/>
        </w:rPr>
        <w:t>23</w:t>
      </w:r>
      <w:r>
        <w:rPr>
          <w:rStyle w:val="44"/>
          <w:rFonts w:hint="eastAsia" w:ascii="宋体" w:hAnsi="宋体" w:cs="宋体"/>
          <w:bCs/>
          <w:sz w:val="24"/>
          <w:szCs w:val="24"/>
          <w:u w:val="single" w:color="000000"/>
        </w:rPr>
        <w:t>日</w:t>
      </w:r>
      <w:r>
        <w:rPr>
          <w:rStyle w:val="44"/>
          <w:rFonts w:hint="eastAsia" w:ascii="宋体" w:hAnsi="宋体" w:cs="宋体"/>
          <w:bCs/>
          <w:sz w:val="24"/>
          <w:szCs w:val="24"/>
          <w:u w:val="single" w:color="000000"/>
          <w:lang w:val="en-US" w:eastAsia="zh-CN"/>
        </w:rPr>
        <w:t>9</w:t>
      </w:r>
      <w:r>
        <w:rPr>
          <w:rStyle w:val="44"/>
          <w:rFonts w:hint="eastAsia" w:ascii="宋体" w:hAnsi="宋体" w:cs="宋体"/>
          <w:bCs/>
          <w:sz w:val="24"/>
          <w:szCs w:val="24"/>
          <w:u w:val="single" w:color="000000"/>
        </w:rPr>
        <w:t>点00分（</w:t>
      </w:r>
      <w:r>
        <w:rPr>
          <w:rStyle w:val="44"/>
          <w:rFonts w:hint="eastAsia" w:ascii="宋体" w:hAnsi="宋体" w:cs="宋体"/>
          <w:bCs/>
          <w:sz w:val="24"/>
          <w:szCs w:val="24"/>
        </w:rPr>
        <w:t>北京时间）前递交投标文件</w:t>
      </w:r>
      <w:r>
        <w:rPr>
          <w:rStyle w:val="44"/>
          <w:rFonts w:hint="eastAsia" w:ascii="宋体" w:hAnsi="宋体" w:cs="宋体"/>
          <w:sz w:val="24"/>
          <w:szCs w:val="24"/>
        </w:rPr>
        <w:t>。</w:t>
      </w:r>
    </w:p>
    <w:p>
      <w:pPr>
        <w:spacing w:line="460" w:lineRule="exact"/>
        <w:rPr>
          <w:rStyle w:val="44"/>
          <w:rFonts w:ascii="宋体" w:hAnsi="宋体" w:cs="宋体"/>
          <w:sz w:val="24"/>
          <w:szCs w:val="24"/>
        </w:rPr>
      </w:pP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一、项目基本情况</w:t>
      </w:r>
    </w:p>
    <w:p>
      <w:pPr>
        <w:snapToGrid w:val="0"/>
        <w:spacing w:line="360" w:lineRule="auto"/>
        <w:ind w:firstLine="480" w:firstLineChars="200"/>
        <w:rPr>
          <w:rStyle w:val="44"/>
          <w:rFonts w:hint="default" w:ascii="宋体" w:hAnsi="宋体" w:eastAsia="宋体" w:cs="宋体"/>
          <w:sz w:val="24"/>
          <w:szCs w:val="24"/>
          <w:u w:val="single"/>
          <w:lang w:val="en-US" w:eastAsia="zh-CN"/>
        </w:rPr>
      </w:pPr>
      <w:r>
        <w:rPr>
          <w:rStyle w:val="44"/>
          <w:rFonts w:hint="eastAsia" w:ascii="宋体" w:hAnsi="宋体" w:cs="宋体"/>
          <w:sz w:val="24"/>
          <w:szCs w:val="24"/>
        </w:rPr>
        <w:t>项目编号：</w:t>
      </w:r>
      <w:r>
        <w:rPr>
          <w:rStyle w:val="44"/>
          <w:rFonts w:hint="eastAsia" w:ascii="宋体" w:hAnsi="宋体" w:cs="宋体"/>
          <w:sz w:val="24"/>
          <w:szCs w:val="24"/>
          <w:u w:val="single"/>
        </w:rPr>
        <w:t>2021-</w:t>
      </w:r>
      <w:r>
        <w:rPr>
          <w:rStyle w:val="44"/>
          <w:rFonts w:hint="eastAsia" w:ascii="宋体" w:hAnsi="宋体" w:cs="宋体"/>
          <w:sz w:val="24"/>
          <w:szCs w:val="24"/>
          <w:u w:val="single"/>
          <w:lang w:val="en-US" w:eastAsia="zh-CN"/>
        </w:rPr>
        <w:t>Q41Q</w:t>
      </w:r>
    </w:p>
    <w:p>
      <w:pPr>
        <w:snapToGrid w:val="0"/>
        <w:spacing w:line="360" w:lineRule="auto"/>
        <w:ind w:firstLine="480" w:firstLineChars="200"/>
        <w:rPr>
          <w:rStyle w:val="44"/>
          <w:rFonts w:hint="eastAsia" w:ascii="宋体" w:hAnsi="宋体" w:cs="宋体"/>
          <w:sz w:val="24"/>
          <w:szCs w:val="24"/>
          <w:u w:val="single"/>
        </w:rPr>
      </w:pPr>
      <w:r>
        <w:rPr>
          <w:rStyle w:val="44"/>
          <w:rFonts w:hint="eastAsia" w:ascii="宋体" w:hAnsi="宋体" w:cs="宋体"/>
          <w:sz w:val="24"/>
          <w:szCs w:val="24"/>
        </w:rPr>
        <w:t>项目名称：</w:t>
      </w:r>
      <w:r>
        <w:rPr>
          <w:rStyle w:val="44"/>
          <w:rFonts w:hint="eastAsia" w:ascii="宋体" w:hAnsi="宋体" w:cs="宋体"/>
          <w:sz w:val="24"/>
          <w:szCs w:val="24"/>
          <w:u w:val="single"/>
        </w:rPr>
        <w:t>盐城工业职业技术学院健身区健身器材采购项目</w:t>
      </w:r>
    </w:p>
    <w:p>
      <w:pPr>
        <w:snapToGrid w:val="0"/>
        <w:spacing w:line="360" w:lineRule="auto"/>
        <w:ind w:firstLine="480" w:firstLineChars="200"/>
        <w:rPr>
          <w:rStyle w:val="44"/>
          <w:rFonts w:hint="eastAsia" w:ascii="宋体" w:hAnsi="宋体" w:cs="宋体"/>
          <w:sz w:val="24"/>
          <w:szCs w:val="24"/>
        </w:rPr>
      </w:pPr>
      <w:r>
        <w:rPr>
          <w:rStyle w:val="44"/>
          <w:rFonts w:hint="eastAsia" w:ascii="宋体" w:hAnsi="宋体" w:cs="宋体"/>
          <w:sz w:val="24"/>
          <w:szCs w:val="24"/>
        </w:rPr>
        <w:t>最高限价：</w:t>
      </w:r>
      <w:bookmarkStart w:id="25" w:name="_GoBack"/>
      <w:r>
        <w:rPr>
          <w:rStyle w:val="44"/>
          <w:rFonts w:hint="eastAsia" w:ascii="宋体" w:hAnsi="宋体" w:cs="宋体"/>
          <w:sz w:val="24"/>
          <w:szCs w:val="24"/>
          <w:u w:val="single"/>
          <w:lang w:val="en-US" w:eastAsia="zh-CN"/>
        </w:rPr>
        <w:t>25</w:t>
      </w:r>
      <w:r>
        <w:rPr>
          <w:rStyle w:val="44"/>
          <w:rFonts w:hint="eastAsia" w:ascii="宋体" w:hAnsi="宋体" w:cs="宋体"/>
          <w:sz w:val="24"/>
          <w:szCs w:val="24"/>
          <w:u w:val="single"/>
        </w:rPr>
        <w:t>万元</w:t>
      </w:r>
      <w:bookmarkEnd w:id="25"/>
    </w:p>
    <w:p>
      <w:pPr>
        <w:snapToGrid w:val="0"/>
        <w:spacing w:line="360" w:lineRule="auto"/>
        <w:ind w:firstLine="480" w:firstLineChars="200"/>
        <w:rPr>
          <w:rStyle w:val="44"/>
          <w:rFonts w:ascii="宋体" w:hAnsi="宋体" w:cs="宋体"/>
          <w:sz w:val="24"/>
          <w:szCs w:val="24"/>
          <w:u w:val="single"/>
        </w:rPr>
      </w:pPr>
      <w:r>
        <w:rPr>
          <w:rStyle w:val="44"/>
          <w:rFonts w:hint="eastAsia" w:ascii="宋体" w:hAnsi="宋体" w:cs="宋体"/>
          <w:sz w:val="24"/>
          <w:szCs w:val="24"/>
        </w:rPr>
        <w:t>采购需求：</w:t>
      </w:r>
      <w:r>
        <w:rPr>
          <w:rFonts w:hint="eastAsia" w:ascii="宋体" w:hAnsi="宋体" w:cs="宋体"/>
          <w:sz w:val="24"/>
          <w:szCs w:val="24"/>
          <w:u w:val="single"/>
          <w:shd w:val="clear" w:color="auto" w:fill="FFFFFF"/>
        </w:rPr>
        <w:t>包括健身区建设器材设备的采购、安装、调试、运输保险、试运行直至竣工验收合格、还包括提供技术资料、技术服务、售前售后服务、维修保养、业务培训等伴随服务。</w:t>
      </w:r>
      <w:r>
        <w:rPr>
          <w:rStyle w:val="44"/>
          <w:rFonts w:hint="eastAsia" w:ascii="宋体" w:hAnsi="宋体" w:cs="宋体"/>
          <w:sz w:val="24"/>
          <w:szCs w:val="24"/>
          <w:u w:val="single"/>
        </w:rPr>
        <w:t>具体详见项目需求，招标人保留对上述招标范围进行适当调整的权利。</w:t>
      </w:r>
    </w:p>
    <w:p>
      <w:pPr>
        <w:snapToGrid w:val="0"/>
        <w:spacing w:line="360" w:lineRule="auto"/>
        <w:ind w:firstLine="480" w:firstLineChars="200"/>
        <w:rPr>
          <w:rStyle w:val="44"/>
          <w:rFonts w:ascii="宋体" w:hAnsi="宋体" w:cs="宋体"/>
          <w:sz w:val="24"/>
          <w:szCs w:val="24"/>
          <w:u w:val="single"/>
        </w:rPr>
      </w:pPr>
      <w:r>
        <w:rPr>
          <w:rStyle w:val="44"/>
          <w:rFonts w:hint="eastAsia" w:ascii="宋体" w:hAnsi="宋体" w:cs="宋体"/>
          <w:sz w:val="24"/>
          <w:szCs w:val="24"/>
        </w:rPr>
        <w:t>交货地点：</w:t>
      </w:r>
      <w:r>
        <w:rPr>
          <w:rStyle w:val="44"/>
          <w:rFonts w:hint="eastAsia" w:ascii="宋体" w:hAnsi="宋体" w:cs="宋体"/>
          <w:sz w:val="24"/>
          <w:szCs w:val="24"/>
          <w:u w:val="single"/>
        </w:rPr>
        <w:t>盐城工业职业技术学院内（盐城市解放南路285号）招标人指定位置。</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lang w:val="en-US" w:eastAsia="zh-CN"/>
        </w:rPr>
        <w:t>合同履行期限</w:t>
      </w:r>
      <w:r>
        <w:rPr>
          <w:rStyle w:val="44"/>
          <w:rFonts w:hint="eastAsia" w:ascii="宋体" w:hAnsi="宋体" w:cs="宋体"/>
          <w:sz w:val="24"/>
          <w:szCs w:val="24"/>
        </w:rPr>
        <w:t>：</w:t>
      </w:r>
      <w:r>
        <w:rPr>
          <w:rFonts w:hint="eastAsia" w:ascii="宋体" w:hAnsi="宋体" w:cs="宋体"/>
          <w:sz w:val="24"/>
          <w:szCs w:val="24"/>
          <w:u w:val="single"/>
          <w:shd w:val="clear" w:color="auto" w:fill="FFFFFF"/>
          <w:lang w:val="en-US" w:eastAsia="zh-CN"/>
        </w:rPr>
        <w:t>合同签订后</w:t>
      </w:r>
      <w:r>
        <w:rPr>
          <w:rFonts w:hint="eastAsia" w:ascii="宋体" w:hAnsi="宋体" w:cs="宋体"/>
          <w:sz w:val="24"/>
          <w:szCs w:val="24"/>
          <w:u w:val="single"/>
          <w:shd w:val="clear" w:color="auto" w:fill="FFFFFF"/>
        </w:rPr>
        <w:t>30日历天内完成供货、安</w:t>
      </w:r>
      <w:r>
        <w:rPr>
          <w:rFonts w:hint="eastAsia" w:ascii="宋体" w:hAnsi="宋体" w:cs="宋体"/>
          <w:color w:val="000000"/>
          <w:sz w:val="24"/>
          <w:szCs w:val="24"/>
          <w:u w:val="single"/>
          <w:shd w:val="clear" w:color="auto" w:fill="FFFFFF"/>
        </w:rPr>
        <w:t>装、调试并经验收合格。</w:t>
      </w:r>
      <w:r>
        <w:rPr>
          <w:rFonts w:hint="eastAsia" w:ascii="宋体" w:hAnsi="宋体" w:cs="宋体"/>
          <w:color w:val="000000"/>
          <w:sz w:val="24"/>
          <w:szCs w:val="24"/>
          <w:u w:val="single"/>
          <w:shd w:val="clear" w:color="auto" w:fill="FFFFFF"/>
          <w:lang w:eastAsia="zh-CN"/>
        </w:rPr>
        <w:t>（如甲方需要延时交付，可另行约定时间）。</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本项目不接受联合体投标。</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二、投标人的资格要求：</w:t>
      </w:r>
    </w:p>
    <w:p>
      <w:pPr>
        <w:adjustRightInd w:val="0"/>
        <w:snapToGrid w:val="0"/>
        <w:spacing w:line="336"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snapToGrid w:val="0"/>
        <w:spacing w:line="360" w:lineRule="auto"/>
        <w:ind w:firstLine="480" w:firstLineChars="200"/>
        <w:rPr>
          <w:rStyle w:val="44"/>
          <w:rFonts w:hint="eastAsia" w:asciiTheme="minorEastAsia" w:hAnsiTheme="minorEastAsia" w:eastAsiaTheme="minorEastAsia" w:cstheme="minorEastAsia"/>
          <w:sz w:val="24"/>
          <w:szCs w:val="24"/>
          <w:lang w:eastAsia="zh-CN"/>
        </w:rPr>
      </w:pPr>
      <w:r>
        <w:rPr>
          <w:rStyle w:val="44"/>
          <w:rFonts w:hint="eastAsia" w:asciiTheme="minorEastAsia" w:hAnsiTheme="minorEastAsia" w:eastAsiaTheme="minorEastAsia" w:cstheme="minorEastAsia"/>
          <w:sz w:val="24"/>
          <w:szCs w:val="24"/>
        </w:rPr>
        <w:t>（1）法人或者其他组织的营业执照等证明文件，自然人的身份证明；</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（2）上一年度（2020年）的财务报表（成立不满一年不需提供）；</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（3）依法缴纳税收和社会保障资金的相关材料；</w:t>
      </w:r>
    </w:p>
    <w:p>
      <w:pPr>
        <w:snapToGrid w:val="0"/>
        <w:spacing w:line="360" w:lineRule="auto"/>
        <w:ind w:firstLine="480" w:firstLineChars="200"/>
        <w:rPr>
          <w:rStyle w:val="44"/>
          <w:rFonts w:hint="eastAsia" w:asciiTheme="minorEastAsia" w:hAnsiTheme="minorEastAsia" w:eastAsiaTheme="minorEastAsia" w:cstheme="minorEastAsia"/>
          <w:sz w:val="24"/>
          <w:szCs w:val="24"/>
          <w:lang w:eastAsia="zh-CN"/>
        </w:rPr>
      </w:pPr>
      <w:r>
        <w:rPr>
          <w:rStyle w:val="44"/>
          <w:rFonts w:hint="eastAsia" w:asciiTheme="minorEastAsia" w:hAnsiTheme="minorEastAsia" w:eastAsiaTheme="minorEastAsia" w:cstheme="minorEastAsia"/>
          <w:sz w:val="24"/>
          <w:szCs w:val="24"/>
        </w:rPr>
        <w:t>（4）具备履行合同所必需的设备和专业技术能力的书面声明；</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（5）参加政府采购活动前3年内在经营活动中没有重大违法记录的书面声明；</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2.落实政府采购政策需满足的资格要求：</w:t>
      </w:r>
      <w:r>
        <w:rPr>
          <w:rStyle w:val="44"/>
          <w:rFonts w:hint="eastAsia" w:asciiTheme="minorEastAsia" w:hAnsiTheme="minorEastAsia" w:eastAsiaTheme="minorEastAsia" w:cstheme="minorEastAsia"/>
          <w:sz w:val="24"/>
          <w:szCs w:val="24"/>
          <w:u w:val="single" w:color="000000"/>
        </w:rPr>
        <w:t>/</w:t>
      </w:r>
      <w:r>
        <w:rPr>
          <w:rStyle w:val="44"/>
          <w:rFonts w:hint="eastAsia" w:asciiTheme="minorEastAsia" w:hAnsiTheme="minorEastAsia" w:eastAsiaTheme="minorEastAsia" w:cstheme="minorEastAsia"/>
          <w:sz w:val="24"/>
          <w:szCs w:val="24"/>
        </w:rPr>
        <w:t>。</w:t>
      </w:r>
    </w:p>
    <w:p>
      <w:pPr>
        <w:snapToGrid w:val="0"/>
        <w:spacing w:line="360" w:lineRule="auto"/>
        <w:ind w:firstLine="480" w:firstLineChars="200"/>
      </w:pPr>
      <w:r>
        <w:rPr>
          <w:rStyle w:val="44"/>
          <w:rFonts w:hint="eastAsia" w:asciiTheme="minorEastAsia" w:hAnsiTheme="minorEastAsia" w:eastAsiaTheme="minorEastAsia" w:cstheme="minorEastAsia"/>
          <w:sz w:val="24"/>
          <w:szCs w:val="24"/>
        </w:rPr>
        <w:t>3.本项目的特定资格要求：</w:t>
      </w:r>
    </w:p>
    <w:p>
      <w:pPr>
        <w:adjustRightInd w:val="0"/>
        <w:snapToGrid w:val="0"/>
        <w:spacing w:line="336"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w:t>
      </w:r>
      <w:r>
        <w:rPr>
          <w:rStyle w:val="44"/>
          <w:rFonts w:hint="eastAsia" w:ascii="宋体" w:hAnsi="宋体" w:cs="宋体"/>
          <w:color w:val="000000" w:themeColor="text1"/>
          <w:sz w:val="24"/>
          <w:szCs w:val="24"/>
          <w:lang w:val="en-US" w:eastAsia="zh-CN"/>
          <w14:textFill>
            <w14:solidFill>
              <w14:schemeClr w14:val="tx1"/>
            </w14:solidFill>
          </w14:textFill>
        </w:rPr>
        <w:t>2</w:t>
      </w:r>
      <w:r>
        <w:rPr>
          <w:rStyle w:val="44"/>
          <w:rFonts w:hint="eastAsia" w:ascii="宋体" w:hAnsi="宋体" w:cs="宋体"/>
          <w:color w:val="000000" w:themeColor="text1"/>
          <w:sz w:val="24"/>
          <w:szCs w:val="24"/>
          <w14:textFill>
            <w14:solidFill>
              <w14:schemeClr w14:val="tx1"/>
            </w14:solidFill>
          </w14:textFill>
        </w:rPr>
        <w:t>)投标人单位负责人为同一人或者存在直接控股、管理关系的不同投标人，不得参加同一标段投标活动。</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三、获取招标文件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时间：自公告之日起至投标截止时间前1日</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地点：盐城工业职业技术学院招标采购网</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方式：符合资格要求的投标人可自行下载采购文件，采购文件见盐城工业职业技术学院招标采购网本公告附件。</w:t>
      </w:r>
    </w:p>
    <w:p>
      <w:pPr>
        <w:keepLines w:val="0"/>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eastAsia="宋体" w:cs="宋体"/>
          <w:bCs/>
          <w:color w:val="000000" w:themeColor="text1"/>
          <w:sz w:val="24"/>
          <w:szCs w:val="24"/>
          <w:highlight w:val="none"/>
          <w14:textFill>
            <w14:solidFill>
              <w14:schemeClr w14:val="tx1"/>
            </w14:solidFill>
          </w14:textFill>
        </w:rPr>
        <w:t>2021年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日至2021年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eastAsia="宋体" w:cs="宋体"/>
          <w:bCs/>
          <w:color w:val="000000" w:themeColor="text1"/>
          <w:sz w:val="24"/>
          <w:szCs w:val="24"/>
          <w14:textFill>
            <w14:solidFill>
              <w14:schemeClr w14:val="tx1"/>
            </w14:solidFill>
          </w14:textFill>
        </w:rPr>
        <w:t>（早上8:30-下午18：00）委派本单位正式人员携带单位介绍信或授权委托书到江苏全盛工程造价事务所有限公司报名且购买招标文件，逾期报名的不予接收。招标文件售价</w:t>
      </w:r>
      <w:r>
        <w:rPr>
          <w:rFonts w:hint="eastAsia" w:ascii="宋体" w:hAnsi="宋体" w:cs="宋体"/>
          <w:bCs/>
          <w:color w:val="000000" w:themeColor="text1"/>
          <w:sz w:val="24"/>
          <w:szCs w:val="24"/>
          <w:lang w:val="en-US" w:eastAsia="zh-CN"/>
          <w14:textFill>
            <w14:solidFill>
              <w14:schemeClr w14:val="tx1"/>
            </w14:solidFill>
          </w14:textFill>
        </w:rPr>
        <w:t>500</w:t>
      </w:r>
      <w:r>
        <w:rPr>
          <w:rFonts w:hint="eastAsia" w:ascii="宋体" w:hAnsi="宋体" w:eastAsia="宋体" w:cs="宋体"/>
          <w:bCs/>
          <w:color w:val="000000" w:themeColor="text1"/>
          <w:sz w:val="24"/>
          <w:szCs w:val="24"/>
          <w14:textFill>
            <w14:solidFill>
              <w14:schemeClr w14:val="tx1"/>
            </w14:solidFill>
          </w14:textFill>
        </w:rPr>
        <w:t>元/份，售后不退。</w:t>
      </w:r>
    </w:p>
    <w:p>
      <w:pPr>
        <w:keepLines w:val="0"/>
        <w:pageBreakBefore w:val="0"/>
        <w:kinsoku/>
        <w:wordWrap/>
        <w:overflowPunct/>
        <w:topLinePunct w:val="0"/>
        <w:bidi w:val="0"/>
        <w:snapToGrid w:val="0"/>
        <w:spacing w:line="360" w:lineRule="auto"/>
        <w:ind w:firstLine="480" w:firstLineChars="200"/>
        <w:textAlignment w:val="auto"/>
        <w:rPr>
          <w:rStyle w:val="44"/>
          <w:rFonts w:hint="eastAsia" w:ascii="宋体" w:hAnsi="宋体" w:eastAsia="宋体" w:cs="宋体"/>
          <w:color w:val="000000" w:themeColor="text1"/>
          <w:sz w:val="24"/>
          <w:szCs w:val="24"/>
          <w14:textFill>
            <w14:solidFill>
              <w14:schemeClr w14:val="tx1"/>
            </w14:solidFill>
          </w14:textFill>
        </w:rPr>
      </w:pPr>
      <w:r>
        <w:rPr>
          <w:rStyle w:val="44"/>
          <w:rFonts w:hint="eastAsia" w:ascii="宋体" w:hAnsi="宋体" w:eastAsia="宋体" w:cs="宋体"/>
          <w:color w:val="000000" w:themeColor="text1"/>
          <w:sz w:val="24"/>
          <w:szCs w:val="24"/>
          <w14:textFill>
            <w14:solidFill>
              <w14:schemeClr w14:val="tx1"/>
            </w14:solidFill>
          </w14:textFill>
        </w:rPr>
        <w:t>有关本次招标的事项若存在变动或修改，敬请及时关注“盐城工业职业技术学院招标采购网”发布的信息更正公告。</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时间：</w:t>
      </w:r>
      <w:r>
        <w:rPr>
          <w:rStyle w:val="44"/>
          <w:rFonts w:hint="eastAsia" w:ascii="宋体" w:hAnsi="宋体" w:cs="宋体"/>
          <w:sz w:val="24"/>
          <w:szCs w:val="24"/>
          <w:u w:val="single" w:color="000000"/>
        </w:rPr>
        <w:t>2021</w:t>
      </w:r>
      <w:r>
        <w:rPr>
          <w:rStyle w:val="44"/>
          <w:rFonts w:hint="eastAsia" w:ascii="宋体" w:hAnsi="宋体" w:cs="宋体"/>
          <w:bCs/>
          <w:sz w:val="24"/>
          <w:szCs w:val="24"/>
          <w:u w:val="single" w:color="000000"/>
        </w:rPr>
        <w:t>年</w:t>
      </w:r>
      <w:r>
        <w:rPr>
          <w:rStyle w:val="44"/>
          <w:rFonts w:hint="eastAsia" w:ascii="宋体" w:hAnsi="宋体" w:cs="宋体"/>
          <w:bCs/>
          <w:sz w:val="24"/>
          <w:szCs w:val="24"/>
          <w:u w:val="single" w:color="000000"/>
          <w:lang w:val="en-US" w:eastAsia="zh-CN"/>
        </w:rPr>
        <w:t>12</w:t>
      </w:r>
      <w:r>
        <w:rPr>
          <w:rStyle w:val="44"/>
          <w:rFonts w:hint="eastAsia" w:ascii="宋体" w:hAnsi="宋体" w:cs="宋体"/>
          <w:bCs/>
          <w:sz w:val="24"/>
          <w:szCs w:val="24"/>
          <w:u w:val="single" w:color="000000"/>
        </w:rPr>
        <w:t>月</w:t>
      </w:r>
      <w:r>
        <w:rPr>
          <w:rStyle w:val="44"/>
          <w:rFonts w:hint="eastAsia" w:ascii="宋体" w:hAnsi="宋体" w:cs="宋体"/>
          <w:bCs/>
          <w:sz w:val="24"/>
          <w:szCs w:val="24"/>
          <w:u w:val="single" w:color="000000"/>
          <w:lang w:val="en-US" w:eastAsia="zh-CN"/>
        </w:rPr>
        <w:t>23</w:t>
      </w:r>
      <w:r>
        <w:rPr>
          <w:rStyle w:val="44"/>
          <w:rFonts w:hint="eastAsia" w:ascii="宋体" w:hAnsi="宋体" w:cs="宋体"/>
          <w:bCs/>
          <w:sz w:val="24"/>
          <w:szCs w:val="24"/>
          <w:u w:val="single" w:color="000000"/>
        </w:rPr>
        <w:t>日</w:t>
      </w:r>
      <w:r>
        <w:rPr>
          <w:rStyle w:val="44"/>
          <w:rFonts w:hint="eastAsia" w:ascii="宋体" w:hAnsi="宋体" w:cs="宋体"/>
          <w:bCs/>
          <w:sz w:val="24"/>
          <w:szCs w:val="24"/>
          <w:u w:val="single" w:color="000000"/>
          <w:lang w:val="en-US" w:eastAsia="zh-CN"/>
        </w:rPr>
        <w:t>9</w:t>
      </w:r>
      <w:r>
        <w:rPr>
          <w:rStyle w:val="44"/>
          <w:rFonts w:hint="eastAsia" w:ascii="宋体" w:hAnsi="宋体" w:cs="宋体"/>
          <w:bCs/>
          <w:sz w:val="24"/>
          <w:szCs w:val="24"/>
          <w:u w:val="single" w:color="000000"/>
        </w:rPr>
        <w:t>点00分</w:t>
      </w:r>
      <w:r>
        <w:rPr>
          <w:rStyle w:val="44"/>
          <w:rFonts w:hint="eastAsia" w:ascii="宋体" w:hAnsi="宋体" w:cs="宋体"/>
          <w:sz w:val="24"/>
          <w:szCs w:val="24"/>
        </w:rPr>
        <w:t>（北京时间）</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地点：盐城工业职业技术学院（盐城市解放南路285号）后勤服务中心四楼402开标室。</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五、公告期限</w:t>
      </w:r>
    </w:p>
    <w:p>
      <w:pPr>
        <w:snapToGrid w:val="0"/>
        <w:spacing w:line="360" w:lineRule="auto"/>
        <w:ind w:firstLine="480" w:firstLineChars="200"/>
      </w:pPr>
      <w:r>
        <w:rPr>
          <w:rStyle w:val="44"/>
          <w:rFonts w:hint="eastAsia" w:ascii="宋体" w:hAnsi="宋体" w:cs="宋体"/>
          <w:kern w:val="0"/>
          <w:sz w:val="24"/>
          <w:szCs w:val="24"/>
        </w:rPr>
        <w:t>自本公告发布之日起5个工作日。</w:t>
      </w:r>
      <w:r>
        <w:rPr>
          <w:rFonts w:hint="eastAsia"/>
        </w:rPr>
        <w:tab/>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六、其他补充事宜</w:t>
      </w:r>
    </w:p>
    <w:p>
      <w:pPr>
        <w:snapToGrid w:val="0"/>
        <w:spacing w:line="360" w:lineRule="auto"/>
        <w:ind w:firstLine="480" w:firstLineChars="200"/>
        <w:rPr>
          <w:rStyle w:val="44"/>
          <w:rFonts w:ascii="宋体" w:hAnsi="宋体" w:cs="宋体"/>
          <w:b/>
          <w:bCs/>
          <w:sz w:val="24"/>
          <w:szCs w:val="24"/>
        </w:rPr>
      </w:pPr>
      <w:r>
        <w:rPr>
          <w:rStyle w:val="44"/>
          <w:rFonts w:hint="eastAsia" w:ascii="宋体" w:hAnsi="宋体" w:cs="宋体"/>
          <w:sz w:val="24"/>
          <w:szCs w:val="24"/>
        </w:rPr>
        <w:t>(一)</w:t>
      </w:r>
      <w:r>
        <w:rPr>
          <w:rStyle w:val="44"/>
          <w:rFonts w:hint="eastAsia" w:ascii="宋体" w:hAnsi="宋体" w:cs="宋体"/>
          <w:b/>
          <w:bCs/>
          <w:sz w:val="24"/>
          <w:szCs w:val="24"/>
        </w:rPr>
        <w:t>因疫情防控需要，为确保校园安全，投标人进入盐城工业职业技术学院校区时应服从下列疫情防控措施：</w:t>
      </w:r>
    </w:p>
    <w:p>
      <w:pPr>
        <w:spacing w:line="440" w:lineRule="exact"/>
        <w:ind w:firstLine="480" w:firstLineChars="200"/>
        <w:jc w:val="left"/>
        <w:rPr>
          <w:rFonts w:ascii="宋体" w:hAnsi="宋体" w:cs="宋体"/>
          <w:sz w:val="24"/>
        </w:rPr>
      </w:pPr>
      <w:r>
        <w:rPr>
          <w:rFonts w:hint="eastAsia" w:ascii="宋体" w:hAnsi="宋体" w:cs="Arial"/>
          <w:kern w:val="0"/>
          <w:sz w:val="24"/>
        </w:rPr>
        <w:t>（1）投标前14天内与确诊/疑似病例或无症状感染者有密切接触的人员，以及与密切接触者接触的次密切接触者，一律不得进校。</w:t>
      </w:r>
    </w:p>
    <w:p>
      <w:pPr>
        <w:spacing w:line="440" w:lineRule="exact"/>
        <w:ind w:firstLine="480" w:firstLineChars="200"/>
        <w:jc w:val="left"/>
        <w:rPr>
          <w:rFonts w:ascii="宋体" w:hAnsi="宋体" w:cs="宋体"/>
          <w:sz w:val="24"/>
        </w:rPr>
      </w:pPr>
      <w:r>
        <w:rPr>
          <w:rFonts w:hint="eastAsia" w:ascii="宋体" w:hAnsi="宋体" w:cs="Arial"/>
          <w:kern w:val="0"/>
          <w:sz w:val="24"/>
        </w:rPr>
        <w:t>（2）投标前14天内接触过境外归国人员（未解除隔离的），按次密切接触者处置，一律不得进校。</w:t>
      </w:r>
    </w:p>
    <w:p>
      <w:pPr>
        <w:spacing w:line="440" w:lineRule="exact"/>
        <w:jc w:val="left"/>
        <w:rPr>
          <w:rFonts w:ascii="宋体" w:hAnsi="宋体" w:cs="宋体"/>
          <w:sz w:val="24"/>
        </w:rPr>
      </w:pPr>
      <w:r>
        <w:rPr>
          <w:rFonts w:hint="eastAsia" w:ascii="宋体" w:hAnsi="宋体" w:cs="Arial"/>
          <w:kern w:val="0"/>
          <w:sz w:val="24"/>
        </w:rPr>
        <w:t xml:space="preserve">    （3）投标前14天内有疫情中高风险地区（以开标前一日权威发布的疫情风险等级区域划分为依据）旅居史的人员，一律不得进校。</w:t>
      </w:r>
    </w:p>
    <w:p>
      <w:pPr>
        <w:spacing w:line="440" w:lineRule="exact"/>
        <w:jc w:val="left"/>
        <w:rPr>
          <w:rFonts w:ascii="宋体" w:hAnsi="宋体" w:cs="宋体"/>
          <w:sz w:val="24"/>
        </w:rPr>
      </w:pPr>
      <w:r>
        <w:rPr>
          <w:rFonts w:hint="eastAsia" w:ascii="宋体" w:hAnsi="宋体" w:cs="宋体"/>
          <w:sz w:val="24"/>
        </w:rPr>
        <w:t>（4）投标前14天内有中高风险地区所在设区市的低风险地区旅居史的人员，暂不得进校。待所在设区市全域降为低风险地区满21天后，且返盐前14天每日健康状况和活动轨迹监测无风险的人员，可持48小时内核酸检测阴性证明登机登车、苏康码绿码和行程码绿码返盐，返盐后再次进行核酸检测，持在盐检测的48小时内核酸阴性证明、苏康码绿码、行程码无中高风险地区、体温正常，方可进校门投标。</w:t>
      </w:r>
    </w:p>
    <w:p>
      <w:pPr>
        <w:numPr>
          <w:ilvl w:val="0"/>
          <w:numId w:val="4"/>
        </w:numPr>
        <w:spacing w:line="440" w:lineRule="exact"/>
        <w:ind w:firstLine="480" w:firstLineChars="200"/>
        <w:jc w:val="left"/>
        <w:rPr>
          <w:rFonts w:ascii="宋体" w:hAnsi="宋体" w:cs="Arial"/>
          <w:kern w:val="0"/>
          <w:sz w:val="24"/>
        </w:rPr>
      </w:pPr>
      <w:r>
        <w:rPr>
          <w:rFonts w:hint="eastAsia" w:ascii="宋体" w:hAnsi="宋体" w:cs="Arial"/>
          <w:kern w:val="0"/>
          <w:sz w:val="24"/>
        </w:rPr>
        <w:t>投标前14天内出现发热或呼吸道症状的人员，经当地医院就诊治疗，排除新冠病毒感染并在身体康复后，须持有48小时内核酸检测阴性证明、苏康码绿码、行程码上无中高风险地区、体温正常，方可进校门。</w:t>
      </w:r>
    </w:p>
    <w:p>
      <w:pPr>
        <w:spacing w:line="440" w:lineRule="exact"/>
        <w:ind w:firstLine="480" w:firstLineChars="200"/>
        <w:jc w:val="left"/>
        <w:rPr>
          <w:rFonts w:ascii="宋体" w:hAnsi="宋体" w:cs="Arial"/>
          <w:kern w:val="0"/>
          <w:sz w:val="24"/>
        </w:rPr>
      </w:pPr>
      <w:r>
        <w:rPr>
          <w:rFonts w:hint="eastAsia" w:ascii="宋体" w:hAnsi="宋体" w:cs="Arial"/>
          <w:kern w:val="0"/>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440" w:lineRule="exact"/>
        <w:ind w:firstLine="480" w:firstLineChars="200"/>
        <w:jc w:val="left"/>
        <w:rPr>
          <w:rFonts w:ascii="宋体" w:hAnsi="宋体" w:cs="Arial"/>
          <w:kern w:val="0"/>
          <w:sz w:val="24"/>
        </w:rPr>
      </w:pPr>
      <w:r>
        <w:rPr>
          <w:rFonts w:hint="eastAsia" w:ascii="宋体" w:hAnsi="宋体" w:cs="Arial"/>
          <w:kern w:val="0"/>
          <w:sz w:val="24"/>
        </w:rPr>
        <w:t>（7）投标人从东门进出，车辆一律不得进入校园（如确因提供样品需要，经同意后可进校园，服从管理，在指定位置停放）。</w:t>
      </w:r>
    </w:p>
    <w:p>
      <w:pPr>
        <w:spacing w:line="440" w:lineRule="exact"/>
        <w:ind w:firstLine="480" w:firstLineChars="200"/>
        <w:jc w:val="left"/>
        <w:rPr>
          <w:rFonts w:ascii="宋体" w:hAnsi="宋体" w:cs="Arial"/>
          <w:kern w:val="0"/>
          <w:sz w:val="24"/>
        </w:rPr>
      </w:pPr>
      <w:r>
        <w:rPr>
          <w:rFonts w:hint="eastAsia" w:ascii="宋体" w:hAnsi="宋体" w:cs="Arial"/>
          <w:kern w:val="0"/>
          <w:sz w:val="24"/>
        </w:rPr>
        <w:t>（8）各投标项目授权代表限1人进入校园，项目授权代表进入校园时须全程配戴口罩，做好手部消毒及投标文件等消毒防护工作。</w:t>
      </w:r>
    </w:p>
    <w:p>
      <w:pPr>
        <w:spacing w:line="440" w:lineRule="exact"/>
        <w:ind w:firstLine="480" w:firstLineChars="200"/>
        <w:jc w:val="left"/>
        <w:rPr>
          <w:rFonts w:ascii="宋体" w:hAnsi="宋体" w:cs="Arial"/>
          <w:kern w:val="0"/>
          <w:sz w:val="24"/>
        </w:rPr>
      </w:pPr>
      <w:r>
        <w:rPr>
          <w:rFonts w:hint="eastAsia" w:ascii="宋体" w:hAnsi="宋体" w:cs="Arial"/>
          <w:kern w:val="0"/>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440" w:lineRule="exact"/>
        <w:ind w:firstLine="480" w:firstLineChars="200"/>
        <w:jc w:val="left"/>
        <w:rPr>
          <w:rFonts w:ascii="宋体" w:hAnsi="宋体" w:cs="Arial"/>
          <w:kern w:val="0"/>
          <w:sz w:val="24"/>
        </w:rPr>
      </w:pPr>
      <w:r>
        <w:rPr>
          <w:rFonts w:hint="eastAsia" w:ascii="宋体" w:hAnsi="宋体" w:cs="Arial"/>
          <w:kern w:val="0"/>
          <w:sz w:val="24"/>
        </w:rPr>
        <w:t>（10）投标人未如实报告个人信息，承担相应责任和法律后果，引发问题学校可取消其中标资格。</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请各投标人预留好相应时间，配合做好上述管控措施。</w:t>
      </w:r>
    </w:p>
    <w:p>
      <w:pPr>
        <w:snapToGrid w:val="0"/>
        <w:spacing w:line="360" w:lineRule="auto"/>
        <w:ind w:firstLine="482" w:firstLineChars="200"/>
        <w:rPr>
          <w:rFonts w:ascii="宋体" w:hAnsi="宋体" w:cs="宋体"/>
          <w:b/>
          <w:bCs/>
          <w:sz w:val="24"/>
        </w:rPr>
      </w:pPr>
      <w:r>
        <w:rPr>
          <w:rStyle w:val="44"/>
          <w:rFonts w:hint="eastAsia" w:ascii="宋体" w:hAnsi="宋体" w:cs="宋体"/>
          <w:b/>
          <w:bCs/>
          <w:sz w:val="24"/>
          <w:szCs w:val="24"/>
        </w:rPr>
        <w:t>(二）投标文件制作份数要求</w:t>
      </w:r>
      <w:r>
        <w:rPr>
          <w:rStyle w:val="44"/>
          <w:rFonts w:hint="eastAsia" w:ascii="宋体" w:hAnsi="宋体" w:cs="宋体"/>
          <w:sz w:val="24"/>
          <w:szCs w:val="24"/>
        </w:rPr>
        <w:t>：正本份数：1份，副本份数：4份。投标文件应装订成册，5本投标文件必须全部封装在一个大袋之中。投标文件不得采用活页方式装订或左上角一根钉子草草简订；正确的方法是每册均采用软面胶装或者订书机装订，装订牢固、不易拆散和换页，参照标准就是像一本书。不符合上述要求、七零八落的投标文件直接作无效投标处理，不予评审，责任自负，且不接受质疑。如果投标人没有按照招标文件要求和规定编制投标文件及提交应交资料，或者投标文件没有对招标文件各方面都作出实质性响应，有可能被视为废标，由此产生的不利于投标人的风险由投标人承担。</w:t>
      </w:r>
    </w:p>
    <w:p>
      <w:pPr>
        <w:snapToGrid w:val="0"/>
        <w:spacing w:line="360" w:lineRule="auto"/>
        <w:ind w:firstLine="482" w:firstLineChars="200"/>
        <w:rPr>
          <w:rStyle w:val="44"/>
          <w:rFonts w:ascii="宋体" w:hAnsi="宋体" w:cs="宋体"/>
          <w:b/>
          <w:bCs/>
          <w:sz w:val="24"/>
          <w:szCs w:val="24"/>
        </w:rPr>
      </w:pPr>
      <w:r>
        <w:rPr>
          <w:rFonts w:hint="eastAsia" w:ascii="宋体" w:hAnsi="宋体" w:cs="宋体"/>
          <w:b/>
          <w:bCs/>
          <w:sz w:val="24"/>
        </w:rPr>
        <w:t>（三）本项目投标保证金</w:t>
      </w:r>
      <w:r>
        <w:rPr>
          <w:rFonts w:hint="eastAsia" w:ascii="宋体" w:hAnsi="宋体" w:cs="宋体"/>
          <w:sz w:val="24"/>
        </w:rPr>
        <w:t>：</w:t>
      </w:r>
      <w:r>
        <w:rPr>
          <w:rStyle w:val="44"/>
          <w:rFonts w:hint="eastAsia" w:ascii="宋体" w:hAnsi="宋体" w:cs="宋体"/>
          <w:sz w:val="24"/>
          <w:szCs w:val="24"/>
        </w:rPr>
        <w:t>根据江苏省财政厅及盐财购〔2020〕11号文件关于取消政府采购投标保证金的规定，本采购项目投标人无需在投标截止时间之前交纳（提交）投标保证金。</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七、对本次招标提出询问，请按以下方式联系。</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1.采购人信息</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名称：盐城工业职业技术学院</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地址：盐城工业职业技术学院后勤服务中心四楼405室招标办公室</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 xml:space="preserve">联系人：赵老师             </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联系电话：0515-88588707</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2.采购代理机构信息</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名称：</w:t>
      </w:r>
      <w:r>
        <w:rPr>
          <w:rFonts w:hint="eastAsia" w:ascii="宋体" w:hAnsi="宋体" w:cs="宋体"/>
          <w:color w:val="000000"/>
          <w:sz w:val="24"/>
        </w:rPr>
        <w:t>江苏全盛工程造价事务所有限公司</w:t>
      </w:r>
    </w:p>
    <w:p>
      <w:pPr>
        <w:snapToGrid w:val="0"/>
        <w:spacing w:line="360" w:lineRule="auto"/>
        <w:ind w:firstLine="480" w:firstLineChars="200"/>
        <w:rPr>
          <w:rFonts w:ascii="宋体" w:hAnsi="宋体" w:cs="宋体"/>
          <w:color w:val="000000"/>
          <w:sz w:val="24"/>
        </w:rPr>
      </w:pPr>
      <w:r>
        <w:rPr>
          <w:rStyle w:val="44"/>
          <w:rFonts w:hint="eastAsia" w:ascii="宋体" w:hAnsi="宋体" w:cs="宋体"/>
          <w:sz w:val="24"/>
          <w:szCs w:val="24"/>
        </w:rPr>
        <w:t>地址：</w:t>
      </w:r>
      <w:r>
        <w:rPr>
          <w:rFonts w:hint="eastAsia" w:ascii="宋体" w:hAnsi="宋体" w:cs="宋体"/>
          <w:color w:val="000000"/>
          <w:sz w:val="24"/>
        </w:rPr>
        <w:t>盐城市华邦国际东厦A区2203。</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联系人：朱玲娜</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联系电话：18751450656</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3.项目联系方式</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项目联系人：陈洋</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电话：13809072237</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对项目需求部分的询问、质疑请向项目联系人提出，询问、质疑由项目联系人负责答复。</w:t>
      </w:r>
    </w:p>
    <w:p>
      <w:pPr>
        <w:snapToGrid w:val="0"/>
        <w:spacing w:line="360" w:lineRule="auto"/>
        <w:ind w:firstLine="480" w:firstLineChars="200"/>
        <w:rPr>
          <w:rStyle w:val="44"/>
          <w:rFonts w:ascii="宋体" w:hAnsi="宋体" w:cs="宋体"/>
          <w:sz w:val="24"/>
          <w:szCs w:val="24"/>
        </w:rPr>
      </w:pPr>
    </w:p>
    <w:p>
      <w:pPr>
        <w:pStyle w:val="15"/>
        <w:ind w:left="1470" w:right="1470"/>
        <w:rPr>
          <w:rStyle w:val="44"/>
          <w:rFonts w:ascii="宋体" w:hAnsi="宋体" w:cs="宋体"/>
          <w:sz w:val="24"/>
          <w:szCs w:val="24"/>
        </w:rPr>
      </w:pPr>
    </w:p>
    <w:p>
      <w:pPr>
        <w:pStyle w:val="35"/>
        <w:spacing w:before="0" w:after="0" w:line="240" w:lineRule="auto"/>
        <w:jc w:val="both"/>
        <w:rPr>
          <w:rStyle w:val="44"/>
          <w:rFonts w:ascii="宋体" w:hAnsi="宋体" w:eastAsia="宋体" w:cs="宋体"/>
        </w:rPr>
      </w:pPr>
    </w:p>
    <w:p>
      <w:pPr>
        <w:pStyle w:val="36"/>
        <w:rPr>
          <w:rStyle w:val="44"/>
          <w:rFonts w:ascii="宋体" w:hAnsi="宋体" w:cs="宋体"/>
        </w:rPr>
      </w:pPr>
    </w:p>
    <w:p>
      <w:pPr>
        <w:pStyle w:val="36"/>
        <w:rPr>
          <w:rStyle w:val="44"/>
          <w:rFonts w:ascii="宋体" w:hAnsi="宋体" w:cs="宋体"/>
        </w:rPr>
      </w:pPr>
    </w:p>
    <w:p>
      <w:pPr>
        <w:pStyle w:val="35"/>
        <w:spacing w:before="0" w:after="0" w:line="240" w:lineRule="auto"/>
        <w:jc w:val="both"/>
        <w:rPr>
          <w:rStyle w:val="44"/>
          <w:rFonts w:ascii="宋体" w:hAnsi="宋体" w:eastAsia="宋体" w:cs="宋体"/>
        </w:rPr>
      </w:pPr>
    </w:p>
    <w:p>
      <w:pPr>
        <w:pStyle w:val="36"/>
      </w:pPr>
    </w:p>
    <w:p>
      <w:pPr>
        <w:pStyle w:val="35"/>
        <w:spacing w:before="0" w:after="0" w:line="240" w:lineRule="auto"/>
        <w:outlineLvl w:val="0"/>
        <w:rPr>
          <w:rStyle w:val="44"/>
          <w:rFonts w:ascii="宋体" w:hAnsi="宋体" w:eastAsia="宋体" w:cs="宋体"/>
          <w:b w:val="0"/>
          <w:bCs w:val="0"/>
        </w:rPr>
      </w:pPr>
      <w:bookmarkStart w:id="1" w:name="_Toc13342"/>
      <w:r>
        <w:rPr>
          <w:rStyle w:val="44"/>
          <w:rFonts w:hint="eastAsia" w:ascii="宋体" w:hAnsi="宋体" w:eastAsia="宋体" w:cs="宋体"/>
        </w:rPr>
        <w:t>第二章  投标人须知</w:t>
      </w:r>
      <w:bookmarkEnd w:id="1"/>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一、总则</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1、招标方式</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1.1 本次招标采取公开招标方式，本招标文件仅适用于招标公告中所述项目。</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2、合格的投标人</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2.1满足招标公告中供应商的资格要求的规定。</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2.2 满足本文件实质性条款的规定。</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3、适用法律</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 本次招标及由此产生的合同受中华人民共和国有关的法律法规制约和保护。</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4、投标费用</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4.1</w:t>
      </w:r>
      <w:r>
        <w:rPr>
          <w:rStyle w:val="44"/>
          <w:rFonts w:hint="eastAsia" w:ascii="宋体" w:hAnsi="宋体" w:cs="宋体"/>
          <w:sz w:val="24"/>
          <w:szCs w:val="24"/>
        </w:rPr>
        <w:t xml:space="preserve"> 投标人应自行承担所有与参加投标有关的费用，无论投标过程中的做法和结果如何，采购人及采购代理机构在任何情况下均无义务和责任承担这些费用。</w:t>
      </w:r>
    </w:p>
    <w:p>
      <w:pPr>
        <w:spacing w:line="500" w:lineRule="exact"/>
        <w:ind w:firstLine="480" w:firstLineChars="200"/>
        <w:rPr>
          <w:rStyle w:val="44"/>
          <w:rFonts w:asciiTheme="minorEastAsia" w:hAnsiTheme="minorEastAsia" w:eastAsiaTheme="minorEastAsia" w:cstheme="minorEastAsia"/>
          <w:sz w:val="24"/>
          <w:szCs w:val="24"/>
        </w:rPr>
      </w:pPr>
      <w:r>
        <w:rPr>
          <w:rStyle w:val="44"/>
          <w:rFonts w:hint="eastAsia" w:ascii="宋体" w:hAnsi="宋体" w:cs="宋体"/>
          <w:sz w:val="24"/>
          <w:szCs w:val="24"/>
        </w:rPr>
        <w:t>4.2</w:t>
      </w:r>
      <w:r>
        <w:rPr>
          <w:rStyle w:val="44"/>
          <w:rFonts w:hint="eastAsia" w:asciiTheme="minorEastAsia" w:hAnsiTheme="minorEastAsia" w:eastAsiaTheme="minorEastAsia" w:cstheme="minorEastAsia"/>
          <w:sz w:val="24"/>
          <w:szCs w:val="24"/>
        </w:rPr>
        <w:t>本项目中标人与采购人签订合同前领取中标通知书时须向采购代理机构支付招标代理服务费，收费标准按中标价的1.5%×40%计取（如低于3000元的直接按3000元计取）</w:t>
      </w:r>
      <w:r>
        <w:rPr>
          <w:rFonts w:hint="eastAsia" w:ascii="宋体" w:hAnsi="宋体" w:cs="宋体"/>
          <w:color w:val="000000" w:themeColor="text1"/>
          <w:sz w:val="24"/>
          <w:highlight w:val="none"/>
          <w:lang w:val="en-US" w:eastAsia="zh-CN"/>
          <w14:textFill>
            <w14:solidFill>
              <w14:schemeClr w14:val="tx1"/>
            </w14:solidFill>
          </w14:textFill>
        </w:rPr>
        <w:t>和设计费（6000元）两项费用均由中标人承担，各投标人在投标报价时须将上述两项费用自行综合考虑分摊含进投标报价中，且不</w:t>
      </w:r>
      <w:r>
        <w:rPr>
          <w:rFonts w:hint="eastAsia" w:ascii="宋体" w:hAnsi="宋体" w:eastAsia="宋体" w:cs="宋体"/>
          <w:color w:val="000000" w:themeColor="text1"/>
          <w:sz w:val="24"/>
          <w:highlight w:val="none"/>
          <w14:textFill>
            <w14:solidFill>
              <w14:schemeClr w14:val="tx1"/>
            </w14:solidFill>
          </w14:textFill>
        </w:rPr>
        <w:t>得单列，在开具中标通知书前一次性交纳。招标人不再承担上述费用。</w:t>
      </w:r>
    </w:p>
    <w:p>
      <w:pPr>
        <w:pStyle w:val="38"/>
        <w:snapToGrid w:val="0"/>
        <w:spacing w:before="0" w:after="0" w:line="360" w:lineRule="auto"/>
        <w:ind w:firstLine="480" w:firstLineChars="200"/>
        <w:rPr>
          <w:rFonts w:hint="eastAsia" w:ascii="宋体" w:hAnsi="宋体" w:eastAsia="宋体" w:cs="宋体"/>
          <w:b w:val="0"/>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1"/>
          <w:highlight w:val="none"/>
          <w:lang w:val="en-US" w:eastAsia="zh-CN" w:bidi="ar-SA"/>
          <w14:textFill>
            <w14:solidFill>
              <w14:schemeClr w14:val="tx1"/>
            </w14:solidFill>
          </w14:textFill>
        </w:rPr>
        <w:t>5、招标文件的约束力</w:t>
      </w:r>
    </w:p>
    <w:p>
      <w:pPr>
        <w:snapToGrid w:val="0"/>
        <w:spacing w:line="360" w:lineRule="auto"/>
        <w:ind w:firstLine="480" w:firstLineChars="200"/>
        <w:rPr>
          <w:rFonts w:hint="eastAsia" w:ascii="宋体" w:hAnsi="宋体" w:eastAsia="宋体" w:cs="宋体"/>
          <w:b w:val="0"/>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1"/>
          <w:highlight w:val="none"/>
          <w:lang w:val="en-US" w:eastAsia="zh-CN" w:bidi="ar-SA"/>
          <w14:textFill>
            <w14:solidFill>
              <w14:schemeClr w14:val="tx1"/>
            </w14:solidFill>
          </w14:textFill>
        </w:rPr>
        <w:t>5.1 投标人一旦参加本项目采购活动，即被认为接受了本招标文件的规定和约束，并且视为自招标公告期限届满之日起知道或应当知道自身权益是否受到了损害。</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6、招标文件的解释</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6.1 本招标文件由采购人或采购代理机构负责解释。</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二、招标文件</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7、招标文件构成</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7.1</w:t>
      </w:r>
      <w:r>
        <w:rPr>
          <w:rStyle w:val="44"/>
          <w:rFonts w:hint="eastAsia" w:ascii="宋体" w:hAnsi="宋体" w:cs="宋体"/>
          <w:sz w:val="24"/>
          <w:szCs w:val="24"/>
        </w:rPr>
        <w:t xml:space="preserve"> 招标文件有以下部分组成：</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（1）招标公告</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（2）投标人须知</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（3）合同条款及格式</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（4）项目需求</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（5）评标方法与评标标准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（6）投标文件格式</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7.2</w:t>
      </w:r>
      <w:r>
        <w:rPr>
          <w:rStyle w:val="44"/>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8、招标文件的询问</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8.1</w:t>
      </w:r>
      <w:r>
        <w:rPr>
          <w:rStyle w:val="44"/>
          <w:rFonts w:hint="eastAsia" w:ascii="宋体" w:hAnsi="宋体" w:cs="宋体"/>
          <w:sz w:val="24"/>
          <w:szCs w:val="24"/>
        </w:rPr>
        <w:t xml:space="preserve"> 任何要求对招标文件进行询问的投标人，应在投标截止日期</w:t>
      </w:r>
      <w:r>
        <w:rPr>
          <w:rStyle w:val="44"/>
          <w:rFonts w:hint="eastAsia" w:ascii="宋体" w:hAnsi="宋体" w:cs="宋体"/>
          <w:b/>
          <w:sz w:val="24"/>
          <w:szCs w:val="24"/>
        </w:rPr>
        <w:t>十日</w:t>
      </w:r>
      <w:r>
        <w:rPr>
          <w:rStyle w:val="44"/>
          <w:rFonts w:hint="eastAsia" w:ascii="宋体" w:hAnsi="宋体" w:cs="宋体"/>
          <w:sz w:val="24"/>
          <w:szCs w:val="24"/>
        </w:rPr>
        <w:t>前按招标公告中的通讯地址，向采购人或采购代理机构提出。</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9、招标文件的修改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9.1</w:t>
      </w:r>
      <w:r>
        <w:rPr>
          <w:rStyle w:val="44"/>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9.2</w:t>
      </w:r>
      <w:r>
        <w:rPr>
          <w:rStyle w:val="44"/>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9.3</w:t>
      </w:r>
      <w:r>
        <w:rPr>
          <w:rStyle w:val="44"/>
          <w:rFonts w:hint="eastAsia" w:ascii="宋体" w:hAnsi="宋体" w:cs="宋体"/>
          <w:sz w:val="24"/>
          <w:szCs w:val="24"/>
        </w:rPr>
        <w:t>招标文件的修改将在</w:t>
      </w:r>
      <w:r>
        <w:rPr>
          <w:rStyle w:val="44"/>
          <w:rFonts w:hint="eastAsia" w:ascii="宋体" w:hAnsi="宋体" w:cs="宋体"/>
          <w:bCs/>
          <w:sz w:val="24"/>
          <w:szCs w:val="24"/>
        </w:rPr>
        <w:t>盐城工业职业技术学院招标采购网</w:t>
      </w:r>
      <w:r>
        <w:rPr>
          <w:rStyle w:val="44"/>
          <w:rFonts w:hint="eastAsia" w:ascii="宋体" w:hAnsi="宋体" w:cs="宋体"/>
          <w:sz w:val="24"/>
          <w:szCs w:val="24"/>
        </w:rPr>
        <w:t>公布，补充文件将作为招标文件的组成部分，并对投标人具有约束力。</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三、投标文件的编制</w:t>
      </w:r>
    </w:p>
    <w:p>
      <w:pPr>
        <w:pStyle w:val="38"/>
        <w:snapToGrid w:val="0"/>
        <w:spacing w:before="0" w:after="0" w:line="360" w:lineRule="auto"/>
        <w:ind w:firstLine="480" w:firstLineChars="200"/>
        <w:rPr>
          <w:rStyle w:val="44"/>
          <w:rFonts w:ascii="宋体" w:hAnsi="宋体" w:cs="宋体"/>
          <w:bCs/>
          <w:sz w:val="24"/>
          <w:szCs w:val="24"/>
        </w:rPr>
      </w:pPr>
      <w:r>
        <w:rPr>
          <w:rStyle w:val="44"/>
          <w:rFonts w:hint="eastAsia" w:ascii="宋体" w:hAnsi="宋体" w:cs="宋体"/>
          <w:b w:val="0"/>
          <w:bCs/>
          <w:sz w:val="24"/>
          <w:szCs w:val="24"/>
        </w:rPr>
        <w:t>10、投标文件的语言及度量衡单位</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10.1</w:t>
      </w:r>
      <w:r>
        <w:rPr>
          <w:rStyle w:val="44"/>
          <w:rFonts w:hint="eastAsia" w:ascii="宋体" w:hAnsi="宋体" w:cs="宋体"/>
          <w:sz w:val="24"/>
          <w:szCs w:val="24"/>
        </w:rPr>
        <w:t xml:space="preserve"> 投标人提交的投标文件以及投标人与采购人或采购代理机构就有关投标的所有来往通知、函件和文件均应使用</w:t>
      </w:r>
      <w:r>
        <w:rPr>
          <w:rStyle w:val="44"/>
          <w:rFonts w:hint="eastAsia" w:ascii="宋体" w:hAnsi="宋体" w:cs="宋体"/>
          <w:b/>
          <w:bCs/>
          <w:sz w:val="24"/>
          <w:szCs w:val="24"/>
        </w:rPr>
        <w:t>简体中文</w:t>
      </w:r>
      <w:r>
        <w:rPr>
          <w:rStyle w:val="44"/>
          <w:rFonts w:hint="eastAsia" w:ascii="宋体" w:hAnsi="宋体" w:cs="宋体"/>
          <w:sz w:val="24"/>
          <w:szCs w:val="24"/>
        </w:rPr>
        <w:t>。</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10.2</w:t>
      </w:r>
      <w:r>
        <w:rPr>
          <w:rStyle w:val="44"/>
          <w:rFonts w:hint="eastAsia" w:ascii="宋体" w:hAnsi="宋体" w:cs="宋体"/>
          <w:sz w:val="24"/>
          <w:szCs w:val="24"/>
        </w:rPr>
        <w:t xml:space="preserve"> 除技术性能另有规定外，投标文件所使用的度量衡单位，均须采用国家法定计量单位。</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11、投标文件构成</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11.1</w:t>
      </w:r>
      <w:r>
        <w:rPr>
          <w:rStyle w:val="44"/>
          <w:rFonts w:hint="eastAsia" w:ascii="宋体" w:hAnsi="宋体" w:cs="宋体"/>
          <w:sz w:val="24"/>
          <w:szCs w:val="24"/>
        </w:rPr>
        <w:t xml:space="preserve"> 投标人编写的投标文件应包括资信证明文件、投标函、开标一览表等部分；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11.2投标人应将投标文件按顺序装订成册，并编制投标文件资料目录。</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12.5证明投标人所提供货物及服务与招标文件的要求相一致的文件可以是手册、图纸、文字资料和数据</w:t>
      </w:r>
      <w:r>
        <w:rPr>
          <w:rStyle w:val="44"/>
          <w:rFonts w:hint="eastAsia" w:ascii="宋体" w:hAnsi="宋体" w:cs="宋体"/>
          <w:bCs/>
          <w:sz w:val="24"/>
          <w:szCs w:val="24"/>
        </w:rPr>
        <w:t>。</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13、供货一览表和投标配置与分项报价表</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13.1</w:t>
      </w:r>
      <w:r>
        <w:rPr>
          <w:rStyle w:val="44"/>
          <w:rFonts w:hint="eastAsia" w:ascii="宋体" w:hAnsi="宋体" w:cs="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13.2</w:t>
      </w:r>
      <w:r>
        <w:rPr>
          <w:rStyle w:val="44"/>
          <w:rFonts w:hint="eastAsia" w:ascii="宋体" w:hAnsi="宋体" w:cs="宋体"/>
          <w:sz w:val="24"/>
          <w:szCs w:val="24"/>
        </w:rPr>
        <w:t xml:space="preserve"> 标的物</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采购人需求的货物供应、安装，调试及有关技术服务等</w:t>
      </w:r>
      <w:r>
        <w:rPr>
          <w:rStyle w:val="44"/>
          <w:rFonts w:hint="eastAsia" w:ascii="宋体" w:hAnsi="宋体" w:cs="宋体"/>
          <w:sz w:val="24"/>
          <w:szCs w:val="24"/>
        </w:rPr>
        <w:t>。</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13.3有关费用处理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13.4</w:t>
      </w:r>
      <w:r>
        <w:rPr>
          <w:rStyle w:val="44"/>
          <w:rFonts w:hint="eastAsia" w:ascii="宋体" w:hAnsi="宋体" w:cs="宋体"/>
          <w:bCs/>
          <w:sz w:val="24"/>
          <w:szCs w:val="24"/>
        </w:rPr>
        <w:t>其它费用处理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13.5</w:t>
      </w:r>
      <w:r>
        <w:rPr>
          <w:rStyle w:val="44"/>
          <w:rFonts w:hint="eastAsia" w:ascii="宋体" w:hAnsi="宋体" w:cs="宋体"/>
          <w:bCs/>
          <w:sz w:val="24"/>
          <w:szCs w:val="24"/>
        </w:rPr>
        <w:t>投标货币</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投标文件中的货物</w:t>
      </w:r>
      <w:r>
        <w:rPr>
          <w:rStyle w:val="44"/>
          <w:rFonts w:hint="eastAsia" w:ascii="宋体" w:hAnsi="宋体" w:cs="宋体"/>
          <w:sz w:val="24"/>
          <w:szCs w:val="24"/>
        </w:rPr>
        <w:t>及服务</w:t>
      </w:r>
      <w:r>
        <w:rPr>
          <w:rStyle w:val="44"/>
          <w:rFonts w:hint="eastAsia" w:ascii="宋体" w:hAnsi="宋体" w:cs="宋体"/>
          <w:bCs/>
          <w:sz w:val="24"/>
          <w:szCs w:val="24"/>
        </w:rPr>
        <w:t>单价和总价无特殊规定的采用人民币报价，以元为单位标注。</w:t>
      </w:r>
      <w:r>
        <w:rPr>
          <w:rStyle w:val="44"/>
          <w:rFonts w:hint="eastAsia" w:ascii="宋体" w:hAnsi="宋体" w:cs="宋体"/>
          <w:sz w:val="24"/>
          <w:szCs w:val="24"/>
        </w:rPr>
        <w:t>招标文件中另有规定的按规定执行。</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13.6</w:t>
      </w:r>
      <w:r>
        <w:rPr>
          <w:rStyle w:val="44"/>
          <w:rFonts w:hint="eastAsia" w:ascii="宋体" w:hAnsi="宋体" w:cs="宋体"/>
          <w:bCs/>
          <w:sz w:val="24"/>
          <w:szCs w:val="24"/>
        </w:rPr>
        <w:t xml:space="preserve"> 投标配置与分项报价表上的价格应按下列方式分开填写</w:t>
      </w:r>
      <w:r>
        <w:rPr>
          <w:rStyle w:val="44"/>
          <w:rFonts w:hint="eastAsia" w:ascii="宋体" w:hAnsi="宋体" w:cs="宋体"/>
          <w:sz w:val="24"/>
          <w:szCs w:val="24"/>
        </w:rPr>
        <w:t>：</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 xml:space="preserve">13.6.1 </w:t>
      </w:r>
      <w:r>
        <w:rPr>
          <w:rStyle w:val="44"/>
          <w:rFonts w:hint="eastAsia" w:ascii="宋体" w:hAnsi="宋体" w:cs="宋体"/>
          <w:sz w:val="24"/>
          <w:szCs w:val="24"/>
        </w:rPr>
        <w:t>项目总价：包括</w:t>
      </w:r>
      <w:r>
        <w:rPr>
          <w:rStyle w:val="44"/>
          <w:rFonts w:hint="eastAsia" w:ascii="宋体" w:hAnsi="宋体" w:cs="宋体"/>
          <w:bCs/>
          <w:sz w:val="24"/>
          <w:szCs w:val="24"/>
        </w:rPr>
        <w:t>买方需求的货物价格</w:t>
      </w:r>
      <w:r>
        <w:rPr>
          <w:rStyle w:val="44"/>
          <w:rFonts w:hint="eastAsia" w:ascii="宋体" w:hAnsi="宋体" w:cs="宋体"/>
          <w:sz w:val="24"/>
          <w:szCs w:val="24"/>
        </w:rPr>
        <w:t>、</w:t>
      </w:r>
      <w:r>
        <w:rPr>
          <w:rStyle w:val="44"/>
          <w:rFonts w:hint="eastAsia" w:ascii="宋体" w:hAnsi="宋体" w:cs="宋体"/>
          <w:bCs/>
          <w:sz w:val="24"/>
          <w:szCs w:val="24"/>
        </w:rPr>
        <w:t>质量保证费用、培训费用及售后服务费用，项目在指定地点、环境交付、安装、调试、验收所需费用和所有</w:t>
      </w:r>
      <w:r>
        <w:rPr>
          <w:rStyle w:val="44"/>
          <w:rFonts w:hint="eastAsia" w:ascii="宋体" w:hAnsi="宋体" w:cs="宋体"/>
          <w:sz w:val="24"/>
          <w:szCs w:val="24"/>
        </w:rPr>
        <w:t>相关税金费用</w:t>
      </w:r>
      <w:r>
        <w:rPr>
          <w:rStyle w:val="44"/>
          <w:rFonts w:hint="eastAsia" w:ascii="宋体" w:hAnsi="宋体" w:cs="宋体"/>
          <w:bCs/>
          <w:sz w:val="24"/>
          <w:szCs w:val="24"/>
        </w:rPr>
        <w:t>及为完成整个项目所产生的其它所有费用。</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13.6.2</w:t>
      </w:r>
      <w:r>
        <w:rPr>
          <w:rStyle w:val="44"/>
          <w:rFonts w:hint="eastAsia" w:ascii="宋体" w:hAnsi="宋体" w:cs="宋体"/>
          <w:bCs/>
          <w:sz w:val="24"/>
          <w:szCs w:val="24"/>
        </w:rPr>
        <w:t>项目单价按投标配置及分项报价表中要求填报。</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14</w:t>
      </w:r>
      <w:r>
        <w:rPr>
          <w:rStyle w:val="44"/>
          <w:rFonts w:hint="eastAsia" w:ascii="宋体" w:hAnsi="宋体" w:cs="宋体"/>
          <w:b/>
          <w:bCs/>
          <w:sz w:val="24"/>
          <w:szCs w:val="24"/>
        </w:rPr>
        <w:t>、</w:t>
      </w:r>
      <w:r>
        <w:rPr>
          <w:rStyle w:val="44"/>
          <w:rFonts w:hint="eastAsia" w:ascii="宋体" w:hAnsi="宋体" w:cs="宋体"/>
          <w:sz w:val="24"/>
          <w:szCs w:val="24"/>
        </w:rPr>
        <w:t>技术参数响应及偏离表、商务条款响应及偏离表及投标货物说明</w:t>
      </w:r>
    </w:p>
    <w:p>
      <w:pPr>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bCs/>
          <w:sz w:val="24"/>
          <w:szCs w:val="24"/>
          <w:lang w:val="zh-CN"/>
        </w:rPr>
        <w:t>14.1</w:t>
      </w:r>
      <w:r>
        <w:rPr>
          <w:rStyle w:val="44"/>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14.3 培训计划；</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bCs/>
          <w:sz w:val="24"/>
          <w:szCs w:val="24"/>
        </w:rPr>
        <w:t>1</w:t>
      </w:r>
      <w:r>
        <w:rPr>
          <w:rStyle w:val="44"/>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bCs/>
          <w:sz w:val="24"/>
          <w:szCs w:val="24"/>
        </w:rPr>
        <w:t>15.1</w:t>
      </w:r>
      <w:r>
        <w:rPr>
          <w:rStyle w:val="44"/>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15.2</w:t>
      </w:r>
      <w:r>
        <w:rPr>
          <w:rStyle w:val="44"/>
          <w:rFonts w:hint="eastAsia" w:ascii="宋体" w:hAnsi="宋体" w:cs="宋体"/>
          <w:sz w:val="24"/>
          <w:szCs w:val="24"/>
        </w:rPr>
        <w:t>提供投标人有关售后服务的管理制度、售后服务机构的分布情况、售后服务人员的数量、素质、技术水平及售后服务的反应能力。</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16、投标函和开标一览表</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16.1</w:t>
      </w:r>
      <w:r>
        <w:rPr>
          <w:rStyle w:val="44"/>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16.2开标一览表中的价格应与投标文件中投标配置与分项报价表中的价格一致，如不一致，</w:t>
      </w:r>
      <w:r>
        <w:rPr>
          <w:rStyle w:val="44"/>
          <w:rFonts w:hint="eastAsia" w:ascii="宋体" w:hAnsi="宋体" w:cs="宋体"/>
          <w:sz w:val="24"/>
          <w:szCs w:val="24"/>
        </w:rPr>
        <w:t>不作为无效投标处理</w:t>
      </w:r>
      <w:r>
        <w:rPr>
          <w:rStyle w:val="44"/>
          <w:rFonts w:hint="eastAsia" w:ascii="宋体" w:hAnsi="宋体" w:cs="宋体"/>
          <w:bCs/>
          <w:sz w:val="24"/>
          <w:szCs w:val="24"/>
        </w:rPr>
        <w:t>，但评标时按开标一览表中价格为准</w:t>
      </w:r>
      <w:r>
        <w:rPr>
          <w:rStyle w:val="44"/>
          <w:rFonts w:hint="eastAsia" w:ascii="宋体" w:hAnsi="宋体" w:cs="宋体"/>
          <w:b/>
          <w:bCs/>
          <w:sz w:val="24"/>
          <w:szCs w:val="24"/>
        </w:rPr>
        <w:t>。</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17、投标有效期</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17.1</w:t>
      </w:r>
      <w:r>
        <w:rPr>
          <w:rStyle w:val="44"/>
          <w:rFonts w:hint="eastAsia" w:ascii="宋体" w:hAnsi="宋体" w:cs="宋体"/>
          <w:bCs/>
          <w:sz w:val="24"/>
          <w:szCs w:val="24"/>
        </w:rPr>
        <w:t xml:space="preserve"> 投标有效期为采购人或采购代理机构规定的开标之日后</w:t>
      </w:r>
      <w:r>
        <w:rPr>
          <w:rStyle w:val="44"/>
          <w:rFonts w:hint="eastAsia" w:ascii="宋体" w:hAnsi="宋体" w:cs="宋体"/>
          <w:b/>
          <w:sz w:val="24"/>
          <w:szCs w:val="24"/>
          <w:u w:val="single" w:color="000000"/>
        </w:rPr>
        <w:t>六十（60）天</w:t>
      </w:r>
      <w:r>
        <w:rPr>
          <w:rStyle w:val="44"/>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17.2</w:t>
      </w:r>
      <w:r>
        <w:rPr>
          <w:rStyle w:val="44"/>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s="宋体"/>
          <w:sz w:val="24"/>
          <w:szCs w:val="24"/>
        </w:rPr>
        <w:t>。</w:t>
      </w:r>
      <w:r>
        <w:rPr>
          <w:rStyle w:val="44"/>
          <w:rFonts w:hint="eastAsia" w:ascii="宋体" w:hAnsi="宋体" w:cs="宋体"/>
          <w:bCs/>
          <w:sz w:val="24"/>
          <w:szCs w:val="24"/>
        </w:rPr>
        <w:t>同意延长投标有效期的投标人既不能要求也不允许修改其投标文件。</w:t>
      </w:r>
      <w:r>
        <w:rPr>
          <w:rStyle w:val="44"/>
          <w:rFonts w:hint="eastAsia" w:ascii="宋体" w:hAnsi="宋体" w:cs="宋体"/>
          <w:sz w:val="24"/>
          <w:szCs w:val="24"/>
        </w:rPr>
        <w:t>受投标有效期约束的所有权利与义务均延长至新的有效期</w:t>
      </w:r>
      <w:r>
        <w:rPr>
          <w:rStyle w:val="44"/>
          <w:rFonts w:hint="eastAsia" w:ascii="宋体" w:hAnsi="宋体" w:cs="宋体"/>
          <w:bCs/>
          <w:sz w:val="24"/>
          <w:szCs w:val="24"/>
        </w:rPr>
        <w:t>。</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18、投标文件份数和签署</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18.1</w:t>
      </w:r>
      <w:r>
        <w:rPr>
          <w:rStyle w:val="44"/>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18.2投标文件正本中，</w:t>
      </w:r>
      <w:r>
        <w:rPr>
          <w:rStyle w:val="44"/>
          <w:rFonts w:hint="eastAsia" w:ascii="宋体" w:hAnsi="宋体" w:cs="宋体"/>
          <w:bCs/>
          <w:sz w:val="24"/>
          <w:szCs w:val="24"/>
        </w:rPr>
        <w:t>招标文件要求必须提供原件的按照要求提供，文</w:t>
      </w:r>
      <w:r>
        <w:rPr>
          <w:rStyle w:val="44"/>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18.3</w:t>
      </w:r>
      <w:r>
        <w:rPr>
          <w:rStyle w:val="44"/>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四、投标文件的递交</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19、投标文件的密封和标记</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19.1</w:t>
      </w:r>
      <w:r>
        <w:rPr>
          <w:rStyle w:val="44"/>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19.2</w:t>
      </w:r>
      <w:r>
        <w:rPr>
          <w:rStyle w:val="44"/>
          <w:rFonts w:hint="eastAsia" w:ascii="宋体" w:hAnsi="宋体" w:cs="宋体"/>
          <w:bCs/>
          <w:sz w:val="24"/>
          <w:szCs w:val="24"/>
        </w:rPr>
        <w:t xml:space="preserve"> 密封的投标文件应：</w:t>
      </w:r>
    </w:p>
    <w:p>
      <w:pPr>
        <w:snapToGrid w:val="0"/>
        <w:spacing w:line="360" w:lineRule="auto"/>
        <w:ind w:firstLine="480" w:firstLineChars="200"/>
        <w:rPr>
          <w:rStyle w:val="44"/>
          <w:rFonts w:ascii="宋体" w:hAnsi="宋体" w:cs="宋体"/>
          <w:b/>
          <w:sz w:val="24"/>
          <w:szCs w:val="24"/>
        </w:rPr>
      </w:pPr>
      <w:r>
        <w:rPr>
          <w:rStyle w:val="44"/>
          <w:rFonts w:hint="eastAsia" w:ascii="宋体" w:hAnsi="宋体" w:cs="宋体"/>
          <w:bCs/>
          <w:sz w:val="24"/>
          <w:szCs w:val="24"/>
        </w:rPr>
        <w:t xml:space="preserve">19.2.1 </w:t>
      </w:r>
      <w:r>
        <w:rPr>
          <w:rStyle w:val="44"/>
          <w:rFonts w:hint="eastAsia" w:ascii="宋体" w:hAnsi="宋体" w:cs="宋体"/>
          <w:b/>
          <w:sz w:val="24"/>
          <w:szCs w:val="24"/>
        </w:rPr>
        <w:t>注明投标人名称，如因标注不清而产生的后果由投标人自负。按招标公告中注明的地址送达；</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 xml:space="preserve">19.2.2  </w:t>
      </w:r>
      <w:r>
        <w:rPr>
          <w:rStyle w:val="44"/>
          <w:rFonts w:hint="eastAsia" w:ascii="宋体" w:hAnsi="宋体" w:cs="宋体"/>
          <w:b/>
          <w:sz w:val="24"/>
          <w:szCs w:val="24"/>
        </w:rPr>
        <w:t>注明投标项目名称、标书编号及包号</w:t>
      </w:r>
      <w:r>
        <w:rPr>
          <w:rStyle w:val="44"/>
          <w:rFonts w:hint="eastAsia" w:ascii="宋体" w:hAnsi="宋体" w:cs="宋体"/>
          <w:bCs/>
          <w:sz w:val="24"/>
          <w:szCs w:val="24"/>
        </w:rPr>
        <w:t>。</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19.2.3</w:t>
      </w:r>
      <w:r>
        <w:rPr>
          <w:rStyle w:val="44"/>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20、投标截止日期</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20.1</w:t>
      </w:r>
      <w:r>
        <w:rPr>
          <w:rStyle w:val="44"/>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20.2</w:t>
      </w:r>
      <w:r>
        <w:rPr>
          <w:rStyle w:val="44"/>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21、迟交的投标文件</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21.1</w:t>
      </w:r>
      <w:r>
        <w:rPr>
          <w:rStyle w:val="44"/>
          <w:rFonts w:hint="eastAsia" w:ascii="宋体" w:hAnsi="宋体" w:cs="宋体"/>
          <w:bCs/>
          <w:sz w:val="24"/>
          <w:szCs w:val="24"/>
        </w:rPr>
        <w:t xml:space="preserve"> 采购人和采购代理机构拒绝接收在其规定的投标截止时间后递交的任何投标文件。</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22、投标文件的修改和撤回</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22.1</w:t>
      </w:r>
      <w:r>
        <w:rPr>
          <w:rStyle w:val="44"/>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4"/>
          <w:rFonts w:hint="eastAsia" w:ascii="宋体" w:hAnsi="宋体" w:cs="宋体"/>
          <w:sz w:val="24"/>
          <w:szCs w:val="24"/>
        </w:rPr>
        <w:t>通知采购人或采购代理机构，修改或撤回其投标文件。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22.2</w:t>
      </w:r>
      <w:r>
        <w:rPr>
          <w:rStyle w:val="44"/>
          <w:rFonts w:hint="eastAsia" w:ascii="宋体" w:hAnsi="宋体" w:cs="宋体"/>
          <w:bCs/>
          <w:sz w:val="24"/>
          <w:szCs w:val="24"/>
        </w:rPr>
        <w:t xml:space="preserve"> 投标人的修改或撤回文件应按规定进行编制、密封、标记和发送，并应在封套上加注“修改”或“撤回”字样。</w:t>
      </w:r>
      <w:r>
        <w:rPr>
          <w:rStyle w:val="44"/>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22.3</w:t>
      </w:r>
      <w:r>
        <w:rPr>
          <w:rStyle w:val="44"/>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22.4</w:t>
      </w:r>
      <w:r>
        <w:rPr>
          <w:rStyle w:val="44"/>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五、开标与评标</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23、开标</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23.1</w:t>
      </w:r>
      <w:r>
        <w:rPr>
          <w:rStyle w:val="44"/>
          <w:rFonts w:hint="eastAsia" w:ascii="宋体" w:hAnsi="宋体" w:cs="宋体"/>
          <w:bCs/>
          <w:sz w:val="24"/>
          <w:szCs w:val="24"/>
        </w:rPr>
        <w:t xml:space="preserve"> 采购人和采购代理机构将在招标公告中规定的时间和地点组织公开开标</w:t>
      </w:r>
      <w:r>
        <w:rPr>
          <w:rStyle w:val="44"/>
          <w:rFonts w:hint="eastAsia" w:ascii="宋体" w:hAnsi="宋体" w:cs="宋体"/>
          <w:sz w:val="24"/>
          <w:szCs w:val="24"/>
        </w:rPr>
        <w:t>。</w:t>
      </w:r>
      <w:r>
        <w:rPr>
          <w:rStyle w:val="44"/>
          <w:rFonts w:hint="eastAsia" w:ascii="宋体" w:hAnsi="宋体" w:cs="宋体"/>
          <w:b/>
          <w:bCs/>
          <w:sz w:val="24"/>
          <w:szCs w:val="24"/>
        </w:rPr>
        <w:t>投标人应委派携带有效证件（身份证）的代表准时参加，参加开标的代表需签名以证明其出席并接受采购人和采购代理人核验其身份证，未提供作为无效标处理。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23.2</w:t>
      </w:r>
      <w:r>
        <w:rPr>
          <w:rStyle w:val="44"/>
          <w:rFonts w:hint="eastAsia" w:ascii="宋体" w:hAnsi="宋体" w:cs="宋体"/>
          <w:sz w:val="24"/>
          <w:szCs w:val="24"/>
        </w:rPr>
        <w:t>开标仪式由采购人或采购代理机构组织，采购人代表</w:t>
      </w:r>
      <w:r>
        <w:rPr>
          <w:rStyle w:val="44"/>
          <w:rFonts w:hint="eastAsia" w:ascii="宋体" w:hAnsi="宋体" w:cs="宋体"/>
          <w:b/>
          <w:sz w:val="24"/>
          <w:szCs w:val="24"/>
        </w:rPr>
        <w:t>(需提供单位授权函)</w:t>
      </w:r>
      <w:r>
        <w:rPr>
          <w:rStyle w:val="44"/>
          <w:rFonts w:hint="eastAsia" w:ascii="宋体" w:hAnsi="宋体" w:cs="宋体"/>
          <w:sz w:val="24"/>
          <w:szCs w:val="24"/>
        </w:rPr>
        <w:t>、监管代表、投标人代表等参加。</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23.3</w:t>
      </w:r>
      <w:r>
        <w:rPr>
          <w:rStyle w:val="44"/>
          <w:rFonts w:hint="eastAsia" w:ascii="宋体" w:hAnsi="宋体" w:cs="宋体"/>
          <w:bCs/>
          <w:sz w:val="24"/>
          <w:szCs w:val="24"/>
        </w:rPr>
        <w:t>按照规定同意撤回的投标将不予开封。</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23.6 投标人在报价时不允许采用选择性报价，否则将被视为无效投标。</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24、资格审查</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24.1</w:t>
      </w:r>
      <w:r>
        <w:rPr>
          <w:rStyle w:val="44"/>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合格投标人不足3家的，不得评标。</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25、评标委员会</w:t>
      </w:r>
    </w:p>
    <w:p>
      <w:pPr>
        <w:snapToGrid w:val="0"/>
        <w:spacing w:line="360" w:lineRule="auto"/>
        <w:ind w:firstLine="480" w:firstLineChars="200"/>
        <w:rPr>
          <w:rStyle w:val="44"/>
          <w:rFonts w:ascii="宋体" w:hAnsi="宋体" w:cs="宋体"/>
          <w:b/>
          <w:sz w:val="24"/>
          <w:szCs w:val="24"/>
        </w:rPr>
      </w:pPr>
      <w:r>
        <w:rPr>
          <w:rStyle w:val="44"/>
          <w:rFonts w:hint="eastAsia" w:ascii="宋体" w:hAnsi="宋体" w:cs="宋体"/>
          <w:sz w:val="24"/>
          <w:szCs w:val="24"/>
        </w:rPr>
        <w:t>25.1资格审查通过后，采购人将组织评标委员会（以下简称评委会）进行评标。</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25.3评委会独立工作，负责评审所有投标文件并确定中标候选人。</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26、评标过程的保密与公正</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26.1</w:t>
      </w:r>
      <w:r>
        <w:rPr>
          <w:rStyle w:val="44"/>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26.3在评标期间，采购人或采购代理机构将设专门人员与投标人联系。</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26.5 采用综合评分法的项目，未中标的投标人如需了解自己的评审得分及排序情况，可向采购人提出申请。</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27、投标的澄清</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27.3 接到评委会澄清要求的投标人如未按规定做出澄清，其风险由投标人自行承担。</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28、对投标文件的评审</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28.1</w:t>
      </w:r>
      <w:r>
        <w:rPr>
          <w:rStyle w:val="44"/>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28.3</w:t>
      </w:r>
      <w:r>
        <w:rPr>
          <w:rStyle w:val="44"/>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28.4</w:t>
      </w:r>
      <w:r>
        <w:rPr>
          <w:rStyle w:val="44"/>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（2）大写金额和小写金额不一致的，以大写金额为准。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28.5</w:t>
      </w:r>
      <w:r>
        <w:rPr>
          <w:rStyle w:val="44"/>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28.6</w:t>
      </w:r>
      <w:r>
        <w:rPr>
          <w:rStyle w:val="44"/>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28.7</w:t>
      </w:r>
      <w:r>
        <w:rPr>
          <w:rStyle w:val="44"/>
          <w:rFonts w:hint="eastAsia" w:ascii="宋体" w:hAnsi="宋体" w:cs="宋体"/>
          <w:b/>
          <w:sz w:val="24"/>
          <w:szCs w:val="24"/>
        </w:rPr>
        <w:t>采用最低评标价法的采购项目，</w:t>
      </w:r>
      <w:r>
        <w:rPr>
          <w:rStyle w:val="44"/>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4"/>
          <w:rFonts w:ascii="宋体" w:hAnsi="宋体" w:cs="宋体"/>
          <w:sz w:val="24"/>
          <w:szCs w:val="24"/>
        </w:rPr>
      </w:pPr>
      <w:r>
        <w:rPr>
          <w:rStyle w:val="44"/>
          <w:rFonts w:hint="eastAsia" w:ascii="宋体" w:hAnsi="宋体" w:cs="宋体"/>
          <w:b/>
          <w:sz w:val="24"/>
          <w:szCs w:val="24"/>
        </w:rPr>
        <w:t>使用综合评分法的采购项目，</w:t>
      </w:r>
      <w:r>
        <w:rPr>
          <w:rStyle w:val="44"/>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4"/>
          <w:rFonts w:ascii="宋体" w:hAnsi="宋体" w:cs="宋体"/>
          <w:sz w:val="24"/>
          <w:szCs w:val="24"/>
        </w:rPr>
      </w:pPr>
      <w:r>
        <w:rPr>
          <w:rStyle w:val="44"/>
          <w:rFonts w:hint="eastAsia" w:ascii="宋体" w:hAnsi="宋体" w:cs="宋体"/>
          <w:b/>
          <w:sz w:val="24"/>
          <w:szCs w:val="24"/>
        </w:rPr>
        <w:t>非单一产品采购项目，</w:t>
      </w:r>
      <w:r>
        <w:rPr>
          <w:rStyle w:val="44"/>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29、无效投标条款和废标条款</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29.1无效投标条款</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29.1.1未按要求交纳投标保证金的（本项目无要求）；</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29.1.2未按照招标文件规定要求密封、签署、盖章的；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29.1.3投标人在报价时采用选择性报价；</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29.1.4投标人不具备招标文件中规定资格要求的；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29.1.5投标人的报价超过了采购预算或最高限价的；</w:t>
      </w:r>
    </w:p>
    <w:p>
      <w:pPr>
        <w:snapToGrid w:val="0"/>
        <w:spacing w:line="360" w:lineRule="auto"/>
        <w:ind w:firstLine="480" w:firstLineChars="200"/>
        <w:rPr>
          <w:rStyle w:val="44"/>
          <w:rFonts w:ascii="宋体" w:hAnsi="宋体" w:cs="宋体"/>
          <w:bCs/>
          <w:i/>
          <w:sz w:val="24"/>
          <w:szCs w:val="24"/>
          <w:u w:val="single" w:color="000000"/>
        </w:rPr>
      </w:pPr>
      <w:r>
        <w:rPr>
          <w:rStyle w:val="44"/>
          <w:rFonts w:hint="eastAsia" w:ascii="宋体" w:hAnsi="宋体" w:cs="宋体"/>
          <w:bCs/>
          <w:sz w:val="24"/>
          <w:szCs w:val="24"/>
        </w:rPr>
        <w:t>29.1.6未通过符合性检查的；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29.1.8 投标人串通投标；</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 xml:space="preserve">29.2废标条款：                                                                                                                                                                                                                                                                                                                                                                                                                                                                                                                                                                                                                                                                                                                                                                                                                                                                                                                                                                                                                                                                                                                                                                                                                                                                                                                                                                                                                                                                         </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29.2.2出现影响采购公正的违法、违规行为的；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29.2.3因重大变故，采购任务取消的；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六、定标</w:t>
      </w:r>
    </w:p>
    <w:p>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30、确定中标单位</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30.3采购人</w:t>
      </w:r>
      <w:r>
        <w:rPr>
          <w:rStyle w:val="44"/>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.4.1提供虚假材料谋取中标的；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30.4.5与采购人或者其他供应商恶意串通的；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30.4.6采取不正当手段诋毁、排挤其他供应商的；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30.4.7不符合法律、法规的规定的。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 xml:space="preserve">30.5. </w:t>
      </w:r>
      <w:r>
        <w:rPr>
          <w:rStyle w:val="44"/>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30.5.5不同投标人的投标文件相互混装。</w:t>
      </w:r>
    </w:p>
    <w:p>
      <w:pPr>
        <w:pStyle w:val="38"/>
        <w:tabs>
          <w:tab w:val="left" w:pos="4120"/>
        </w:tabs>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31、质疑处理</w:t>
      </w:r>
      <w:r>
        <w:rPr>
          <w:rStyle w:val="44"/>
          <w:rFonts w:hint="eastAsia" w:ascii="宋体" w:hAnsi="宋体" w:cs="宋体"/>
          <w:b w:val="0"/>
          <w:sz w:val="24"/>
          <w:szCs w:val="24"/>
        </w:rPr>
        <w:tab/>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4"/>
          <w:rFonts w:hint="eastAsia" w:ascii="宋体" w:hAnsi="宋体" w:eastAsia="宋体" w:cs="宋体"/>
          <w:kern w:val="0"/>
          <w:sz w:val="24"/>
          <w:szCs w:val="24"/>
          <w:lang w:eastAsia="zh-CN"/>
        </w:rPr>
      </w:pPr>
      <w:r>
        <w:rPr>
          <w:rStyle w:val="44"/>
          <w:rFonts w:hint="eastAsia" w:ascii="宋体" w:hAnsi="宋体" w:cs="宋体"/>
          <w:sz w:val="24"/>
          <w:szCs w:val="24"/>
        </w:rPr>
        <w:t>31.1.1</w:t>
      </w:r>
      <w:r>
        <w:rPr>
          <w:rStyle w:val="44"/>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4"/>
          <w:rFonts w:hint="eastAsia" w:ascii="宋体" w:hAnsi="宋体" w:eastAsia="宋体" w:cs="宋体"/>
          <w:kern w:val="0"/>
          <w:sz w:val="24"/>
          <w:szCs w:val="24"/>
          <w:lang w:eastAsia="zh-CN"/>
        </w:rPr>
      </w:pPr>
      <w:r>
        <w:rPr>
          <w:rStyle w:val="44"/>
          <w:rFonts w:hint="eastAsia" w:ascii="宋体" w:hAnsi="宋体" w:cs="宋体"/>
          <w:kern w:val="0"/>
          <w:sz w:val="24"/>
          <w:szCs w:val="24"/>
        </w:rPr>
        <w:t>　　</w:t>
      </w:r>
      <w:r>
        <w:rPr>
          <w:rStyle w:val="44"/>
          <w:rFonts w:hint="eastAsia" w:ascii="宋体" w:hAnsi="宋体" w:cs="宋体"/>
          <w:sz w:val="24"/>
          <w:szCs w:val="24"/>
        </w:rPr>
        <w:t>31.1.2</w:t>
      </w:r>
      <w:r>
        <w:rPr>
          <w:rStyle w:val="44"/>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kern w:val="0"/>
          <w:sz w:val="24"/>
          <w:szCs w:val="24"/>
        </w:rPr>
        <w:t>　　</w:t>
      </w:r>
      <w:r>
        <w:rPr>
          <w:rStyle w:val="44"/>
          <w:rFonts w:hint="eastAsia" w:ascii="宋体" w:hAnsi="宋体" w:cs="宋体"/>
          <w:sz w:val="24"/>
          <w:szCs w:val="24"/>
        </w:rPr>
        <w:t>31.1.3</w:t>
      </w:r>
      <w:r>
        <w:rPr>
          <w:rStyle w:val="44"/>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31.4质疑函应当包括下列内容：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31.4.1质疑投标人的名称、地址、邮编、联系人、联系电话；</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31.4.2具体的质疑事项及明确的请求；</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31.4.4提起质疑的日期；</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32、中标通知书</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七、合同签订相关事项</w:t>
      </w:r>
    </w:p>
    <w:p>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33. 签订合同</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33</w:t>
      </w:r>
      <w:r>
        <w:rPr>
          <w:rStyle w:val="44"/>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34、货物和服务的追加、减少和添购。</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4"/>
          <w:rFonts w:ascii="宋体" w:hAnsi="宋体" w:cs="宋体"/>
          <w:b/>
          <w:sz w:val="24"/>
          <w:szCs w:val="24"/>
        </w:rPr>
      </w:pPr>
      <w:r>
        <w:rPr>
          <w:rStyle w:val="44"/>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35、履约保证金</w:t>
      </w:r>
    </w:p>
    <w:p>
      <w:pPr>
        <w:tabs>
          <w:tab w:val="left" w:pos="900"/>
        </w:tabs>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4"/>
          <w:rFonts w:ascii="宋体" w:hAnsi="宋体" w:cs="宋体"/>
          <w:sz w:val="24"/>
          <w:szCs w:val="24"/>
        </w:rPr>
      </w:pPr>
      <w:r>
        <w:rPr>
          <w:rStyle w:val="44"/>
          <w:rFonts w:hint="eastAsia" w:ascii="宋体" w:hAnsi="宋体" w:cs="宋体"/>
          <w:b/>
          <w:sz w:val="24"/>
          <w:szCs w:val="24"/>
        </w:rPr>
        <w:t>36、政府采购履约资金扶持政策</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4"/>
          <w:rFonts w:ascii="宋体" w:hAnsi="宋体" w:cs="宋体"/>
          <w:b/>
          <w:bCs/>
          <w:sz w:val="24"/>
          <w:szCs w:val="24"/>
        </w:rPr>
      </w:pPr>
      <w:r>
        <w:rPr>
          <w:rStyle w:val="44"/>
          <w:rFonts w:hint="eastAsia" w:ascii="宋体" w:hAnsi="宋体" w:cs="宋体"/>
          <w:b/>
          <w:bCs/>
          <w:sz w:val="24"/>
          <w:szCs w:val="24"/>
        </w:rPr>
        <w:t>八、其他</w:t>
      </w:r>
    </w:p>
    <w:p>
      <w:pPr>
        <w:pStyle w:val="2"/>
        <w:outlineLvl w:val="9"/>
      </w:pPr>
    </w:p>
    <w:p>
      <w:pPr>
        <w:rPr>
          <w:rStyle w:val="44"/>
          <w:rFonts w:ascii="宋体" w:hAnsi="宋体" w:cs="宋体"/>
          <w:b/>
          <w:sz w:val="44"/>
        </w:rPr>
      </w:pPr>
    </w:p>
    <w:p>
      <w:pPr>
        <w:pStyle w:val="24"/>
        <w:ind w:firstLine="883"/>
        <w:rPr>
          <w:rStyle w:val="44"/>
          <w:rFonts w:cs="宋体"/>
          <w:b/>
          <w:sz w:val="44"/>
          <w:szCs w:val="21"/>
        </w:rPr>
      </w:pPr>
    </w:p>
    <w:p>
      <w:pPr>
        <w:pStyle w:val="24"/>
        <w:ind w:firstLine="883"/>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24"/>
        <w:ind w:firstLine="0" w:firstLineChars="0"/>
        <w:rPr>
          <w:rStyle w:val="44"/>
          <w:rFonts w:cs="宋体"/>
          <w:b/>
          <w:sz w:val="44"/>
          <w:szCs w:val="21"/>
        </w:rPr>
      </w:pPr>
    </w:p>
    <w:p>
      <w:pPr>
        <w:pStyle w:val="34"/>
        <w:jc w:val="both"/>
        <w:rPr>
          <w:rStyle w:val="44"/>
          <w:rFonts w:ascii="宋体" w:hAnsi="宋体" w:eastAsia="宋体" w:cs="宋体"/>
          <w:b/>
          <w:sz w:val="44"/>
        </w:rPr>
      </w:pPr>
    </w:p>
    <w:p/>
    <w:p>
      <w:pPr>
        <w:pStyle w:val="34"/>
        <w:outlineLvl w:val="0"/>
        <w:rPr>
          <w:rStyle w:val="44"/>
          <w:rFonts w:ascii="宋体" w:hAnsi="宋体" w:eastAsia="宋体" w:cs="宋体"/>
          <w:b/>
          <w:sz w:val="44"/>
        </w:rPr>
      </w:pPr>
      <w:bookmarkStart w:id="2" w:name="_Toc29478"/>
      <w:r>
        <w:rPr>
          <w:rStyle w:val="44"/>
          <w:rFonts w:hint="eastAsia" w:ascii="宋体" w:hAnsi="宋体" w:eastAsia="宋体" w:cs="宋体"/>
          <w:b/>
          <w:sz w:val="44"/>
        </w:rPr>
        <w:t>第三章  合同条款及格式</w:t>
      </w:r>
      <w:bookmarkEnd w:id="2"/>
    </w:p>
    <w:p>
      <w:pPr>
        <w:jc w:val="center"/>
        <w:rPr>
          <w:b/>
          <w:bCs/>
          <w:sz w:val="36"/>
          <w:szCs w:val="36"/>
        </w:rPr>
      </w:pPr>
      <w:r>
        <w:rPr>
          <w:rFonts w:hint="eastAsia"/>
          <w:b/>
          <w:bCs/>
          <w:sz w:val="36"/>
          <w:szCs w:val="36"/>
        </w:rPr>
        <w:t>采 购 合 同</w:t>
      </w:r>
    </w:p>
    <w:p>
      <w:pPr>
        <w:spacing w:line="440" w:lineRule="exact"/>
        <w:ind w:firstLine="480" w:firstLineChars="200"/>
        <w:rPr>
          <w:rStyle w:val="44"/>
          <w:rFonts w:ascii="宋体" w:hAnsi="宋体" w:cs="宋体"/>
          <w:bCs/>
          <w:color w:val="000000" w:themeColor="text1"/>
          <w:sz w:val="24"/>
          <w14:textFill>
            <w14:solidFill>
              <w14:schemeClr w14:val="tx1"/>
            </w14:solidFill>
          </w14:textFill>
        </w:rPr>
      </w:pPr>
      <w:r>
        <w:rPr>
          <w:rStyle w:val="44"/>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4"/>
          <w:rFonts w:asciiTheme="minorEastAsia" w:hAnsiTheme="minorEastAsia" w:eastAsiaTheme="minorEastAsia" w:cstheme="minorEastAsia"/>
          <w:b/>
          <w:color w:val="000000" w:themeColor="text1"/>
          <w:sz w:val="30"/>
          <w:szCs w:val="20"/>
          <w14:textFill>
            <w14:solidFill>
              <w14:schemeClr w14:val="tx1"/>
            </w14:solidFill>
          </w14:textFill>
        </w:rPr>
      </w:pPr>
      <w:r>
        <w:rPr>
          <w:rStyle w:val="44"/>
          <w:rFonts w:hint="eastAsia" w:asciiTheme="minorEastAsia" w:hAnsiTheme="minorEastAsia" w:eastAsiaTheme="minorEastAsia" w:cstheme="minorEastAsia"/>
          <w:b/>
          <w:color w:val="000000" w:themeColor="text1"/>
          <w:sz w:val="30"/>
          <w14:textFill>
            <w14:solidFill>
              <w14:schemeClr w14:val="tx1"/>
            </w14:solidFill>
          </w14:textFill>
        </w:rPr>
        <w:t>采购合同（格式）</w:t>
      </w:r>
    </w:p>
    <w:p>
      <w:pPr>
        <w:pStyle w:val="22"/>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项目名称：</w:t>
      </w:r>
    </w:p>
    <w:p>
      <w:pPr>
        <w:pStyle w:val="22"/>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22"/>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napToGrid w:val="0"/>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Style w:val="44"/>
          <w:rFonts w:hint="eastAsia" w:ascii="宋体" w:hAnsi="宋体" w:cs="宋体"/>
          <w:sz w:val="24"/>
          <w:szCs w:val="24"/>
          <w:u w:val="single"/>
        </w:rPr>
        <w:t>盐城工业职业技术学院健身区健身器材采购项目</w:t>
      </w:r>
      <w:r>
        <w:rPr>
          <w:rFonts w:hint="eastAsia" w:ascii="宋体" w:hAnsi="宋体" w:cs="宋体"/>
          <w:color w:val="000000" w:themeColor="text1"/>
          <w:sz w:val="24"/>
          <w:szCs w:val="24"/>
          <w14:textFill>
            <w14:solidFill>
              <w14:schemeClr w14:val="tx1"/>
            </w14:solidFill>
          </w14:textFill>
        </w:rPr>
        <w:t>公开招标的结果，签署本合同。</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snapToGrid w:val="0"/>
        <w:spacing w:line="360" w:lineRule="auto"/>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1.1 项目名称：</w:t>
      </w:r>
      <w:r>
        <w:rPr>
          <w:rStyle w:val="44"/>
          <w:rFonts w:hint="eastAsia" w:ascii="宋体" w:hAnsi="宋体" w:cs="宋体"/>
          <w:sz w:val="24"/>
          <w:szCs w:val="24"/>
          <w:u w:val="single"/>
        </w:rPr>
        <w:t>盐城工业职业技术学院健身区健身器材采购项目</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2.1 本合同金额为（大写）：（小写）：______元人民币或其他币种。</w:t>
      </w:r>
    </w:p>
    <w:p>
      <w:pPr>
        <w:pStyle w:val="22"/>
        <w:widowControl w:val="0"/>
        <w:snapToGrid w:val="0"/>
        <w:spacing w:before="0" w:beforeAutospacing="0" w:after="0" w:afterAutospacing="0" w:line="4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国家对乙方征收的各种税费等涉及到的所有费用。</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22"/>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2"/>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6.1乙方交纳人民币______元作为本合同的履约保证金（合同金额的5%取整汇到采购人指定账户，验收合格后无息退还中标人）。</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除非得到甲方的书面同意，乙方不得部分分包给他人供应。</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7.3如有转让和未经甲方同意的分包行为，甲方有权给予终止合同。</w:t>
      </w:r>
    </w:p>
    <w:p>
      <w:pPr>
        <w:pStyle w:val="22"/>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八、质保期</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8.1、中标人须提供至少2年（以投标承诺的质保期限为准）的免费质保服务。</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8.2、所有质保费用均已包含在投标报价中，质保期满后，应提供优先的有偿售后服务及按不高于投标文件中主要配件、易损件清单所报价格供应原厂零配件等。</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8.3、中标人须设有维修服务电话，负责解答用户在设备使用中遇到的问题，及时提出解决问题的建议和操作方法。</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8.4、售后服务响应时间：如设备出现故障，电话响应无法解决，中标人必须在接报修电话24 小时到现场并解决问题。</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九、交货期、交货方式、交货地点及验收</w:t>
      </w:r>
    </w:p>
    <w:p>
      <w:pPr>
        <w:pStyle w:val="22"/>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9.1 交货期：</w:t>
      </w:r>
      <w:r>
        <w:rPr>
          <w:rFonts w:hint="eastAsia"/>
          <w:bCs/>
          <w:color w:val="000000" w:themeColor="text1"/>
          <w:kern w:val="2"/>
          <w:u w:val="single"/>
          <w14:textFill>
            <w14:solidFill>
              <w14:schemeClr w14:val="tx1"/>
            </w14:solidFill>
          </w14:textFill>
        </w:rPr>
        <w:t>签订合同后，自收到中标通知书30个工作日内交货和安装培训</w:t>
      </w:r>
      <w:r>
        <w:rPr>
          <w:rFonts w:hint="eastAsia"/>
          <w:color w:val="000000" w:themeColor="text1"/>
          <w:kern w:val="2"/>
          <w:u w:val="single"/>
          <w14:textFill>
            <w14:solidFill>
              <w14:schemeClr w14:val="tx1"/>
            </w14:solidFill>
          </w14:textFill>
        </w:rPr>
        <w:t>。</w:t>
      </w:r>
      <w:r>
        <w:rPr>
          <w:rFonts w:hint="eastAsia" w:ascii="宋体" w:hAnsi="宋体" w:eastAsia="宋体" w:cs="宋体"/>
          <w:color w:val="000000" w:themeColor="text1"/>
          <w:kern w:val="2"/>
          <w:u w:val="single"/>
          <w:lang w:eastAsia="zh-CN"/>
          <w14:textFill>
            <w14:solidFill>
              <w14:schemeClr w14:val="tx1"/>
            </w14:solidFill>
          </w14:textFill>
        </w:rPr>
        <w:t>（如甲方需要延时交付，可另行约定时间）</w:t>
      </w:r>
      <w:r>
        <w:rPr>
          <w:rFonts w:hint="eastAsia" w:cs="宋体"/>
          <w:color w:val="000000" w:themeColor="text1"/>
          <w:kern w:val="2"/>
          <w:u w:val="single"/>
          <w:lang w:eastAsia="zh-CN"/>
          <w14:textFill>
            <w14:solidFill>
              <w14:schemeClr w14:val="tx1"/>
            </w14:solidFill>
          </w14:textFill>
        </w:rPr>
        <w:t>。</w:t>
      </w:r>
    </w:p>
    <w:p>
      <w:pPr>
        <w:pStyle w:val="22"/>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u w:val="single"/>
          <w:lang w:eastAsia="zh-TW"/>
          <w14:textFill>
            <w14:solidFill>
              <w14:schemeClr w14:val="tx1"/>
            </w14:solidFill>
          </w14:textFill>
        </w:rPr>
        <w:t>送货上门、安装与调试</w:t>
      </w:r>
      <w:r>
        <w:rPr>
          <w:rFonts w:hint="eastAsia"/>
          <w:color w:val="000000" w:themeColor="text1"/>
          <w:kern w:val="2"/>
          <w:u w:val="single"/>
          <w14:textFill>
            <w14:solidFill>
              <w14:schemeClr w14:val="tx1"/>
            </w14:solidFill>
          </w14:textFill>
        </w:rPr>
        <w:t>。</w:t>
      </w:r>
    </w:p>
    <w:p>
      <w:pPr>
        <w:pStyle w:val="22"/>
        <w:widowControl w:val="0"/>
        <w:snapToGrid w:val="0"/>
        <w:spacing w:before="0" w:beforeAutospacing="0" w:after="0" w:afterAutospacing="0" w:line="460" w:lineRule="exact"/>
        <w:ind w:firstLine="480" w:firstLineChars="200"/>
        <w:jc w:val="both"/>
        <w:rPr>
          <w:color w:val="000000" w:themeColor="text1"/>
          <w:kern w:val="2"/>
          <w:u w:val="single"/>
          <w:lang w:eastAsia="zh-TW"/>
          <w14:textFill>
            <w14:solidFill>
              <w14:schemeClr w14:val="tx1"/>
            </w14:solidFill>
          </w14:textFill>
        </w:rPr>
      </w:pPr>
      <w:r>
        <w:rPr>
          <w:rFonts w:hint="eastAsia"/>
          <w:bCs/>
          <w:color w:val="000000" w:themeColor="text1"/>
          <w:kern w:val="2"/>
          <w14:textFill>
            <w14:solidFill>
              <w14:schemeClr w14:val="tx1"/>
            </w14:solidFill>
          </w14:textFill>
        </w:rPr>
        <w:t>9.3 交货地点：</w:t>
      </w:r>
      <w:r>
        <w:rPr>
          <w:rFonts w:hint="eastAsia"/>
          <w:color w:val="000000" w:themeColor="text1"/>
          <w:kern w:val="2"/>
          <w:u w:val="single"/>
          <w:lang w:eastAsia="zh-TW"/>
          <w14:textFill>
            <w14:solidFill>
              <w14:schemeClr w14:val="tx1"/>
            </w14:solidFill>
          </w14:textFill>
        </w:rPr>
        <w:t>盐城工业职业技术学院校内甲方指定地点。</w:t>
      </w:r>
    </w:p>
    <w:p>
      <w:pPr>
        <w:pStyle w:val="22"/>
        <w:widowControl w:val="0"/>
        <w:snapToGrid w:val="0"/>
        <w:spacing w:before="0" w:beforeAutospacing="0" w:after="0" w:afterAutospacing="0" w:line="460" w:lineRule="exact"/>
        <w:ind w:firstLine="480" w:firstLineChars="200"/>
        <w:jc w:val="both"/>
        <w:rPr>
          <w:color w:val="000000" w:themeColor="text1"/>
          <w:kern w:val="2"/>
          <w:u w:val="single"/>
          <w14:textFill>
            <w14:solidFill>
              <w14:schemeClr w14:val="tx1"/>
            </w14:solidFill>
          </w14:textFill>
        </w:rPr>
      </w:pPr>
      <w:r>
        <w:rPr>
          <w:rFonts w:hint="eastAsia"/>
          <w:color w:val="000000" w:themeColor="text1"/>
          <w:kern w:val="2"/>
          <w14:textFill>
            <w14:solidFill>
              <w14:schemeClr w14:val="tx1"/>
            </w14:solidFill>
          </w14:textFill>
        </w:rPr>
        <w:t>9.4 验收：</w:t>
      </w:r>
      <w:r>
        <w:rPr>
          <w:rFonts w:hint="eastAsia"/>
          <w:color w:val="000000" w:themeColor="text1"/>
          <w:kern w:val="2"/>
          <w:u w:val="single"/>
          <w14:textFill>
            <w14:solidFill>
              <w14:schemeClr w14:val="tx1"/>
            </w14:solidFill>
          </w14:textFill>
        </w:rPr>
        <w:t>提交的货物依据招标文件上的技术规格要求和国家有关质量标准进行现场初步验收，外观、说明书符合招标文件技术要求的，给予签收，初步验收不合格的不予签收；交货前供应商应对产品作出全面检查和对验收文件进行整理，并列出清单，作为采购方收货验收和使用的技术条件依据，检验的结果应随货物交给采购单位。</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pPr>
        <w:snapToGrid w:val="0"/>
        <w:spacing w:line="460" w:lineRule="exact"/>
        <w:ind w:firstLine="480" w:firstLineChars="200"/>
        <w:rPr>
          <w:rFonts w:ascii="宋体" w:hAnsi="宋体" w:cs="宋体"/>
          <w:color w:val="FF0000"/>
          <w:sz w:val="24"/>
          <w:u w:val="single"/>
        </w:rPr>
      </w:pPr>
      <w:r>
        <w:rPr>
          <w:rFonts w:hint="eastAsia" w:ascii="宋体" w:hAnsi="宋体" w:cs="宋体"/>
          <w:color w:val="000000" w:themeColor="text1"/>
          <w:sz w:val="24"/>
          <w14:textFill>
            <w14:solidFill>
              <w14:schemeClr w14:val="tx1"/>
            </w14:solidFill>
          </w14:textFill>
        </w:rPr>
        <w:t>10.1 付款方式：</w:t>
      </w:r>
      <w:r>
        <w:rPr>
          <w:rFonts w:hint="eastAsia" w:ascii="宋体" w:hAnsi="宋体" w:cs="宋体"/>
          <w:color w:val="auto"/>
          <w:sz w:val="24"/>
          <w:szCs w:val="24"/>
        </w:rPr>
        <w:t>乙方在签订合同后将所有货物运到甲方指定地点，</w:t>
      </w:r>
      <w:r>
        <w:rPr>
          <w:rFonts w:hint="eastAsia" w:ascii="宋体" w:hAnsi="宋体" w:cs="宋体"/>
          <w:color w:val="auto"/>
          <w:sz w:val="24"/>
          <w:szCs w:val="24"/>
          <w:lang w:val="en-US" w:eastAsia="zh-CN"/>
        </w:rPr>
        <w:t>清点验收后，甲方向乙方支付至结算价款的50%，</w:t>
      </w:r>
      <w:r>
        <w:rPr>
          <w:rFonts w:hint="eastAsia" w:ascii="宋体" w:hAnsi="宋体" w:cs="宋体"/>
          <w:color w:val="auto"/>
          <w:sz w:val="24"/>
          <w:szCs w:val="24"/>
        </w:rPr>
        <w:t>完成安装、 调试、 验收合格后 10 个工作日内， 甲方向乙方支付至结算价款的 9</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%（乙方必须开具合同金额 100%的增值税专用发票） ； 其余结算价款的 </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 %作为质量保证金。 待验收合格并交付使用2年后无质量问题 10个工作日内一次退还。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注：甲方每次付款时，乙方必须提供增值税专用发票，否则甲方有权不付款。</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十一、税费</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pStyle w:val="22"/>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pStyle w:val="22"/>
        <w:spacing w:before="0" w:beforeAutospacing="0" w:after="0" w:afterAutospacing="0" w:line="360" w:lineRule="auto"/>
        <w:ind w:firstLine="480" w:firstLineChars="200"/>
        <w:textAlignment w:val="auto"/>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12.1 按照国家规定的标准和标书规定的标准执行。</w:t>
      </w:r>
    </w:p>
    <w:p>
      <w:pPr>
        <w:spacing w:line="360" w:lineRule="auto"/>
        <w:ind w:firstLine="480" w:firstLineChars="200"/>
        <w:textAlignment w:val="auto"/>
        <w:rPr>
          <w:rFonts w:ascii="宋体" w:hAnsi="宋体" w:cs="Courier New"/>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12.2乙方应按招标文件规定的货物性能、技术要求、质量标准向甲方</w:t>
      </w:r>
      <w:r>
        <w:rPr>
          <w:rFonts w:hint="eastAsia" w:ascii="宋体" w:hAnsi="宋体" w:cs="Courier New"/>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Courier New"/>
          <w:bCs/>
          <w:color w:val="000000" w:themeColor="text1"/>
          <w:sz w:val="24"/>
          <w:szCs w:val="24"/>
          <w14:textFill>
            <w14:solidFill>
              <w14:schemeClr w14:val="tx1"/>
            </w14:solidFill>
          </w14:textFill>
        </w:rPr>
        <w:t>发现有任何问题（如外观有损伤），</w:t>
      </w:r>
      <w:r>
        <w:rPr>
          <w:rFonts w:hint="eastAsia" w:ascii="宋体" w:hAnsi="宋体" w:cs="宋体"/>
          <w:color w:val="000000" w:themeColor="text1"/>
          <w:sz w:val="24"/>
          <w:szCs w:val="24"/>
          <w14:textFill>
            <w14:solidFill>
              <w14:schemeClr w14:val="tx1"/>
            </w14:solidFill>
          </w14:textFill>
        </w:rPr>
        <w:t>乙方</w:t>
      </w:r>
      <w:r>
        <w:rPr>
          <w:rFonts w:hint="eastAsia" w:ascii="宋体" w:hAnsi="宋体" w:cs="Courier New"/>
          <w:bCs/>
          <w:color w:val="000000" w:themeColor="text1"/>
          <w:sz w:val="24"/>
          <w:szCs w:val="24"/>
          <w14:textFill>
            <w14:solidFill>
              <w14:schemeClr w14:val="tx1"/>
            </w14:solidFill>
          </w14:textFill>
        </w:rPr>
        <w:t>必须立即以同样型号的货物在</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Courier New"/>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spacing w:line="360" w:lineRule="auto"/>
        <w:ind w:firstLine="480" w:firstLineChars="200"/>
        <w:textAlignment w:val="auto"/>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12.3所有设备、附（配）件应具备该类产品的功能要求，无瑕疵和缺陷，质量为合格产品，同时有明确的生产厂商或制造厂商；</w:t>
      </w:r>
    </w:p>
    <w:p>
      <w:pPr>
        <w:pStyle w:val="22"/>
        <w:spacing w:before="0" w:beforeAutospacing="0" w:after="0" w:afterAutospacing="0" w:line="360" w:lineRule="auto"/>
        <w:ind w:firstLine="480" w:firstLineChars="200"/>
        <w:textAlignment w:val="auto"/>
        <w:rPr>
          <w:color w:val="000000" w:themeColor="text1"/>
          <w:kern w:val="2"/>
          <w14:textFill>
            <w14:solidFill>
              <w14:schemeClr w14:val="tx1"/>
            </w14:solidFill>
          </w14:textFill>
        </w:rPr>
      </w:pPr>
      <w:r>
        <w:rPr>
          <w:rFonts w:hint="eastAsia" w:cs="Courier New"/>
          <w:bCs/>
          <w:color w:val="000000" w:themeColor="text1"/>
          <w:kern w:val="2"/>
          <w14:textFill>
            <w14:solidFill>
              <w14:schemeClr w14:val="tx1"/>
            </w14:solidFill>
          </w14:textFill>
        </w:rPr>
        <w:t>12.4对于出卖的标的物，乙方应当拥有完整物权，并且乙方负有保证第三人不得向甲方主张任何权利的义务</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在质保期内因本身的质量问题发生故障，乙方应负责免费维修。对达不到技术要求者，根据实际情况，经双方协商，可按以下办法处理：</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⑵贬值处理：由甲乙双方合议定价。</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12.6在质保期内，乙方应对货物和服务出现的质量及安全问题负责处理解决并承担一切费用，提供7*24小时免费上门维修服务，并在接到甲方通知后在2小时响应，</w:t>
      </w:r>
      <w:r>
        <w:rPr>
          <w:rFonts w:hint="eastAsia" w:ascii="宋体" w:hAnsi="宋体" w:cs="宋体"/>
          <w:color w:val="000000" w:themeColor="text1"/>
          <w:sz w:val="24"/>
          <w:szCs w:val="24"/>
          <w:u w:val="single"/>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小时内到达甲方现场提供免费上门维修服务直至解决问题，确保系统正常运行。如不能及时解决问题，乙方免费提供同型号的备品、备件，直至原设备修复（非收费上门服务）。质保期后提供维修维护服务。</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12.7乙方须向甲方操作人员进行免费系统培训服务，确保使用者完全会使用及操作为止。</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12.8上述的货物免费保修期，因人为因素出现的故障不在免费保修范围内。超过保修期的机器设备，终生维修，维修时只收部件成本费。</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12.9乙方提供的产品必须是满足招标方要求的全新现货。产品质量稳定且符合国家和有关部门质量检测标准及相关要求。如果投标货物实行生产许可证制度，应有生产许可证。</w:t>
      </w:r>
    </w:p>
    <w:p>
      <w:pPr>
        <w:pStyle w:val="22"/>
        <w:widowControl w:val="0"/>
        <w:snapToGrid w:val="0"/>
        <w:spacing w:before="0" w:beforeAutospacing="0" w:after="0" w:afterAutospacing="0" w:line="360" w:lineRule="auto"/>
        <w:ind w:firstLine="482" w:firstLineChars="200"/>
        <w:jc w:val="both"/>
        <w:textAlignment w:val="auto"/>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360" w:lineRule="auto"/>
        <w:ind w:firstLine="480" w:firstLineChars="200"/>
        <w:textAlignment w:val="auto"/>
        <w:rPr>
          <w:rFonts w:ascii="宋体" w:hAnsi="宋体" w:cs="Courier New"/>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13.1 </w:t>
      </w:r>
      <w:r>
        <w:rPr>
          <w:rFonts w:hint="eastAsia" w:ascii="宋体" w:hAnsi="宋体" w:cs="Courier New"/>
          <w:bCs/>
          <w:color w:val="000000" w:themeColor="text1"/>
          <w:sz w:val="24"/>
          <w:szCs w:val="24"/>
          <w14:textFill>
            <w14:solidFill>
              <w14:schemeClr w14:val="tx1"/>
            </w14:solidFill>
          </w14:textFill>
        </w:rPr>
        <w:t>安装要求：</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360" w:lineRule="auto"/>
        <w:ind w:firstLine="480" w:firstLineChars="200"/>
        <w:textAlignment w:val="auto"/>
        <w:rPr>
          <w:b/>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18.2本合同未尽事宜，遵照《民法典》有关条文执行。</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22"/>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22"/>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pStyle w:val="22"/>
        <w:widowControl w:val="0"/>
        <w:snapToGrid w:val="0"/>
        <w:spacing w:before="0" w:beforeAutospacing="0" w:after="0" w:afterAutospacing="0" w:line="460" w:lineRule="exact"/>
        <w:jc w:val="right"/>
        <w:rPr>
          <w:b/>
          <w:color w:val="000000" w:themeColor="text1"/>
          <w:sz w:val="44"/>
          <w14:textFill>
            <w14:solidFill>
              <w14:schemeClr w14:val="tx1"/>
            </w14:solidFill>
          </w14:textFill>
        </w:rPr>
      </w:pPr>
      <w:r>
        <w:rPr>
          <w:rFonts w:hint="eastAsia"/>
          <w:color w:val="000000" w:themeColor="text1"/>
          <w:kern w:val="2"/>
          <w14:textFill>
            <w14:solidFill>
              <w14:schemeClr w14:val="tx1"/>
            </w14:solidFill>
          </w14:textFill>
        </w:rPr>
        <w:t xml:space="preserve">  签订日期：      年  月  日</w:t>
      </w:r>
    </w:p>
    <w:p>
      <w:pPr>
        <w:spacing w:line="480" w:lineRule="auto"/>
        <w:ind w:firstLine="240" w:firstLineChars="100"/>
        <w:rPr>
          <w:rFonts w:ascii="宋体" w:hAnsi="宋体" w:cs="宋体"/>
          <w:sz w:val="24"/>
          <w:szCs w:val="24"/>
        </w:rPr>
      </w:pPr>
    </w:p>
    <w:p>
      <w:pPr>
        <w:spacing w:line="480" w:lineRule="auto"/>
        <w:ind w:firstLine="240" w:firstLineChars="100"/>
        <w:rPr>
          <w:rFonts w:ascii="宋体" w:hAnsi="宋体" w:cs="宋体"/>
          <w:sz w:val="24"/>
          <w:szCs w:val="24"/>
        </w:rPr>
      </w:pPr>
    </w:p>
    <w:p>
      <w:pPr>
        <w:pStyle w:val="33"/>
        <w:rPr>
          <w:rFonts w:ascii="宋体" w:hAnsi="宋体" w:cs="宋体"/>
        </w:rPr>
      </w:pPr>
    </w:p>
    <w:p>
      <w:pPr>
        <w:rPr>
          <w:rStyle w:val="44"/>
          <w:rFonts w:ascii="宋体" w:hAnsi="宋体" w:cs="宋体"/>
          <w:b/>
          <w:sz w:val="44"/>
        </w:rPr>
      </w:pPr>
    </w:p>
    <w:p>
      <w:pPr>
        <w:ind w:firstLine="2650" w:firstLineChars="600"/>
        <w:outlineLvl w:val="0"/>
        <w:rPr>
          <w:rStyle w:val="44"/>
          <w:rFonts w:ascii="宋体" w:hAnsi="宋体" w:cs="宋体"/>
          <w:b/>
          <w:sz w:val="24"/>
          <w:szCs w:val="24"/>
        </w:rPr>
      </w:pPr>
      <w:bookmarkStart w:id="3" w:name="_Toc5799"/>
      <w:r>
        <w:rPr>
          <w:rStyle w:val="44"/>
          <w:rFonts w:hint="eastAsia" w:ascii="宋体" w:hAnsi="宋体" w:cs="宋体"/>
          <w:b/>
          <w:sz w:val="44"/>
        </w:rPr>
        <w:t>第四章 项目需求</w:t>
      </w:r>
      <w:bookmarkEnd w:id="3"/>
    </w:p>
    <w:p>
      <w:pPr>
        <w:spacing w:line="360" w:lineRule="exact"/>
        <w:ind w:firstLine="482" w:firstLineChars="200"/>
        <w:rPr>
          <w:rFonts w:ascii="宋体" w:hAnsi="宋体" w:cs="宋体"/>
          <w:b/>
          <w:sz w:val="24"/>
        </w:rPr>
      </w:pPr>
    </w:p>
    <w:p>
      <w:pPr>
        <w:spacing w:line="480" w:lineRule="auto"/>
        <w:rPr>
          <w:rFonts w:ascii="宋体" w:hAnsi="宋体" w:cs="宋体"/>
          <w:b/>
          <w:bCs/>
          <w:sz w:val="24"/>
          <w:szCs w:val="24"/>
        </w:rPr>
      </w:pPr>
      <w:r>
        <w:rPr>
          <w:rFonts w:hint="eastAsia" w:ascii="宋体" w:hAnsi="宋体" w:cs="宋体"/>
          <w:b/>
          <w:bCs/>
          <w:sz w:val="24"/>
          <w:szCs w:val="24"/>
        </w:rPr>
        <w:t>一、 采购内容及技术要求</w:t>
      </w:r>
    </w:p>
    <w:p>
      <w:pPr>
        <w:spacing w:line="480" w:lineRule="auto"/>
        <w:ind w:firstLine="240" w:firstLineChars="100"/>
        <w:rPr>
          <w:rFonts w:ascii="宋体" w:hAnsi="宋体" w:cs="宋体"/>
          <w:sz w:val="24"/>
          <w:szCs w:val="24"/>
        </w:rPr>
      </w:pPr>
      <w:r>
        <w:rPr>
          <w:rFonts w:hint="eastAsia" w:ascii="宋体" w:hAnsi="宋体" w:cs="宋体"/>
          <w:sz w:val="24"/>
          <w:szCs w:val="24"/>
        </w:rPr>
        <w:t>1.采购内容：本次采购内容为盐城工业职业技术学院健身区健身器材采购项目，包括设备的供货、运输、装卸、安装、设置、调试和售后服务等。（包括但不限于以下内容）：</w:t>
      </w:r>
    </w:p>
    <w:p>
      <w:pPr>
        <w:pStyle w:val="33"/>
        <w:rPr>
          <w:rFonts w:ascii="宋体" w:hAnsi="宋体" w:cs="宋体"/>
        </w:rPr>
      </w:pPr>
      <w:r>
        <w:rPr>
          <w:rFonts w:hint="eastAsia" w:ascii="宋体" w:hAnsi="宋体" w:cs="宋体"/>
        </w:rPr>
        <w:t xml:space="preserve">  1.1设备的提供、运输、装卸；</w:t>
      </w:r>
    </w:p>
    <w:p>
      <w:pPr>
        <w:pStyle w:val="33"/>
        <w:rPr>
          <w:rFonts w:ascii="宋体" w:hAnsi="宋体" w:cs="宋体"/>
        </w:rPr>
      </w:pPr>
      <w:r>
        <w:rPr>
          <w:rFonts w:hint="eastAsia" w:ascii="宋体" w:hAnsi="宋体" w:cs="宋体"/>
        </w:rPr>
        <w:t xml:space="preserve">  1.2设备安装现场开箱验收；</w:t>
      </w:r>
    </w:p>
    <w:p>
      <w:pPr>
        <w:pStyle w:val="33"/>
        <w:rPr>
          <w:rFonts w:ascii="宋体" w:hAnsi="宋体" w:cs="宋体"/>
        </w:rPr>
      </w:pPr>
      <w:r>
        <w:rPr>
          <w:rFonts w:hint="eastAsia" w:ascii="宋体" w:hAnsi="宋体" w:cs="宋体"/>
        </w:rPr>
        <w:t xml:space="preserve">  1.3设备安装的检查与确认；</w:t>
      </w:r>
    </w:p>
    <w:p>
      <w:pPr>
        <w:pStyle w:val="33"/>
        <w:rPr>
          <w:rFonts w:ascii="宋体" w:hAnsi="宋体" w:cs="宋体"/>
        </w:rPr>
      </w:pPr>
      <w:r>
        <w:rPr>
          <w:rFonts w:hint="eastAsia" w:ascii="宋体" w:hAnsi="宋体" w:cs="宋体"/>
        </w:rPr>
        <w:t xml:space="preserve">  1.4设备及部件的检查、检验及测试；</w:t>
      </w:r>
    </w:p>
    <w:p>
      <w:pPr>
        <w:pStyle w:val="33"/>
        <w:rPr>
          <w:rFonts w:ascii="宋体" w:hAnsi="宋体" w:cs="宋体"/>
        </w:rPr>
      </w:pPr>
      <w:r>
        <w:rPr>
          <w:rFonts w:hint="eastAsia" w:ascii="宋体" w:hAnsi="宋体" w:cs="宋体"/>
        </w:rPr>
        <w:t xml:space="preserve">  1.5整改及验收；</w:t>
      </w:r>
    </w:p>
    <w:p>
      <w:pPr>
        <w:pStyle w:val="33"/>
        <w:rPr>
          <w:rFonts w:ascii="宋体" w:hAnsi="宋体" w:cs="宋体"/>
        </w:rPr>
      </w:pPr>
      <w:r>
        <w:rPr>
          <w:rFonts w:hint="eastAsia" w:ascii="宋体" w:hAnsi="宋体" w:cs="宋体"/>
        </w:rPr>
        <w:t xml:space="preserve">  1.6 设备的维护、维修；</w:t>
      </w:r>
    </w:p>
    <w:p>
      <w:pPr>
        <w:pStyle w:val="33"/>
      </w:pPr>
      <w:r>
        <w:rPr>
          <w:rFonts w:hint="eastAsia" w:ascii="宋体" w:hAnsi="宋体" w:cs="宋体"/>
        </w:rPr>
        <w:t xml:space="preserve">  1.7 售后服务。</w:t>
      </w:r>
    </w:p>
    <w:p>
      <w:pPr>
        <w:pStyle w:val="33"/>
        <w:numPr>
          <w:ilvl w:val="0"/>
          <w:numId w:val="5"/>
        </w:numPr>
        <w:rPr>
          <w:rFonts w:ascii="宋体" w:hAnsi="宋体" w:cs="宋体"/>
        </w:rPr>
      </w:pPr>
      <w:r>
        <w:rPr>
          <w:rFonts w:hint="eastAsia" w:ascii="宋体" w:hAnsi="宋体" w:cs="宋体"/>
        </w:rPr>
        <w:t>采购设备参数及清单</w:t>
      </w:r>
    </w:p>
    <w:tbl>
      <w:tblPr>
        <w:tblStyle w:val="25"/>
        <w:tblpPr w:leftFromText="180" w:rightFromText="180" w:vertAnchor="text" w:horzAnchor="page" w:tblpX="1129" w:tblpY="708"/>
        <w:tblOverlap w:val="never"/>
        <w:tblW w:w="9967" w:type="dxa"/>
        <w:tblInd w:w="0" w:type="dxa"/>
        <w:tblLayout w:type="fixed"/>
        <w:tblCellMar>
          <w:top w:w="15" w:type="dxa"/>
          <w:left w:w="15" w:type="dxa"/>
          <w:bottom w:w="15" w:type="dxa"/>
          <w:right w:w="15" w:type="dxa"/>
        </w:tblCellMar>
      </w:tblPr>
      <w:tblGrid>
        <w:gridCol w:w="588"/>
        <w:gridCol w:w="1599"/>
        <w:gridCol w:w="452"/>
        <w:gridCol w:w="4432"/>
        <w:gridCol w:w="2266"/>
        <w:gridCol w:w="630"/>
      </w:tblGrid>
      <w:tr>
        <w:tblPrEx>
          <w:tblCellMar>
            <w:top w:w="15" w:type="dxa"/>
            <w:left w:w="15" w:type="dxa"/>
            <w:bottom w:w="15" w:type="dxa"/>
            <w:right w:w="15" w:type="dxa"/>
          </w:tblCellMar>
        </w:tblPrEx>
        <w:trPr>
          <w:trHeight w:val="4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序号</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品名</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t>数量</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技术参数</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参考图片</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材质</w:t>
            </w:r>
          </w:p>
        </w:tc>
      </w:tr>
      <w:tr>
        <w:tblPrEx>
          <w:tblCellMar>
            <w:top w:w="15" w:type="dxa"/>
            <w:left w:w="15" w:type="dxa"/>
            <w:bottom w:w="15" w:type="dxa"/>
            <w:right w:w="15" w:type="dxa"/>
          </w:tblCellMar>
        </w:tblPrEx>
        <w:trPr>
          <w:trHeight w:val="270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1</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肋木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2台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pStyle w:val="150"/>
              <w:spacing w:line="360" w:lineRule="auto"/>
              <w:ind w:firstLine="0" w:firstLineChars="0"/>
              <w:rPr>
                <w:rFonts w:ascii="宋体" w:hAnsi="宋体" w:cs="宋体"/>
                <w:color w:val="000000"/>
                <w:sz w:val="21"/>
                <w:szCs w:val="21"/>
              </w:rPr>
            </w:pPr>
            <w:r>
              <w:rPr>
                <w:rFonts w:hint="eastAsia" w:ascii="宋体" w:hAnsi="宋体" w:cs="宋体"/>
                <w:color w:val="000000"/>
                <w:sz w:val="21"/>
                <w:szCs w:val="21"/>
              </w:rPr>
              <w:t>1、产品尺寸：不小于1200mm×140mm×2100mm,主承载钢管不小于110mm×80mm×3.0mm</w:t>
            </w:r>
          </w:p>
          <w:p>
            <w:pPr>
              <w:pStyle w:val="150"/>
              <w:spacing w:line="360" w:lineRule="auto"/>
              <w:ind w:firstLine="0" w:firstLineChars="0"/>
              <w:rPr>
                <w:rFonts w:ascii="宋体" w:hAnsi="宋体" w:cs="宋体"/>
                <w:color w:val="000000"/>
                <w:sz w:val="21"/>
                <w:szCs w:val="21"/>
              </w:rPr>
            </w:pPr>
            <w:r>
              <w:rPr>
                <w:rFonts w:hint="eastAsia" w:ascii="宋体" w:hAnsi="宋体" w:cs="宋体"/>
                <w:color w:val="000000"/>
                <w:sz w:val="21"/>
                <w:szCs w:val="21"/>
              </w:rPr>
              <w:t>2、横管规格为：不小于φ30mm×2.5mm钢管；</w:t>
            </w:r>
          </w:p>
          <w:p>
            <w:pPr>
              <w:pStyle w:val="150"/>
              <w:spacing w:line="360" w:lineRule="auto"/>
              <w:ind w:firstLine="0" w:firstLineChars="0"/>
              <w:rPr>
                <w:rFonts w:ascii="宋体" w:hAnsi="宋体" w:cs="宋体"/>
                <w:color w:val="000000"/>
                <w:sz w:val="21"/>
                <w:szCs w:val="21"/>
              </w:rPr>
            </w:pPr>
            <w:r>
              <w:rPr>
                <w:rFonts w:hint="eastAsia" w:ascii="宋体" w:hAnsi="宋体" w:cs="宋体"/>
                <w:color w:val="000000"/>
                <w:sz w:val="21"/>
                <w:szCs w:val="21"/>
              </w:rPr>
              <w:t>3、横管间距不小于230mm，</w:t>
            </w:r>
            <w:r>
              <w:rPr>
                <w:rFonts w:hint="eastAsia" w:ascii="宋体" w:hAnsi="宋体" w:cs="宋体"/>
                <w:bCs/>
                <w:color w:val="000000"/>
                <w:sz w:val="21"/>
                <w:szCs w:val="21"/>
                <w:lang w:val="zh-CN"/>
              </w:rPr>
              <w:t>无头部卡夹危险</w:t>
            </w:r>
            <w:r>
              <w:rPr>
                <w:rFonts w:hint="eastAsia" w:ascii="宋体" w:hAnsi="宋体" w:cs="宋体"/>
                <w:color w:val="000000"/>
                <w:sz w:val="21"/>
                <w:szCs w:val="21"/>
              </w:rPr>
              <w:t>；</w:t>
            </w:r>
          </w:p>
          <w:p>
            <w:pPr>
              <w:pStyle w:val="150"/>
              <w:spacing w:line="360" w:lineRule="auto"/>
              <w:ind w:firstLine="0" w:firstLineChars="0"/>
              <w:rPr>
                <w:rFonts w:ascii="宋体" w:hAnsi="宋体" w:cs="宋体"/>
                <w:color w:val="000000"/>
                <w:sz w:val="21"/>
                <w:szCs w:val="21"/>
              </w:rPr>
            </w:pPr>
            <w:r>
              <w:rPr>
                <w:rFonts w:hint="eastAsia" w:ascii="宋体" w:hAnsi="宋体" w:cs="宋体"/>
                <w:color w:val="000000"/>
                <w:sz w:val="21"/>
                <w:szCs w:val="21"/>
              </w:rPr>
              <w:t>4、立柱顶部不允许高出横管；</w:t>
            </w:r>
          </w:p>
          <w:p>
            <w:pPr>
              <w:pStyle w:val="150"/>
              <w:spacing w:line="360" w:lineRule="auto"/>
              <w:ind w:firstLine="0" w:firstLineChars="0"/>
              <w:rPr>
                <w:rFonts w:ascii="宋体" w:hAnsi="宋体" w:cs="宋体"/>
                <w:color w:val="000000"/>
                <w:sz w:val="21"/>
                <w:szCs w:val="21"/>
              </w:rPr>
            </w:pPr>
            <w:r>
              <w:rPr>
                <w:rFonts w:hint="eastAsia" w:ascii="宋体" w:hAnsi="宋体" w:cs="宋体"/>
                <w:color w:val="000000"/>
                <w:sz w:val="21"/>
                <w:szCs w:val="21"/>
              </w:rPr>
              <w:t>5、两立柱间距不小于1000mm；</w:t>
            </w:r>
          </w:p>
          <w:p>
            <w:pPr>
              <w:spacing w:line="360" w:lineRule="auto"/>
              <w:rPr>
                <w:rFonts w:ascii="宋体" w:hAnsi="宋体" w:cs="宋体"/>
                <w:color w:val="000000"/>
              </w:rPr>
            </w:pPr>
            <w:r>
              <w:rPr>
                <w:rFonts w:hint="eastAsia" w:ascii="宋体" w:hAnsi="宋体" w:cs="宋体"/>
                <w:bCs/>
                <w:color w:val="000000"/>
              </w:rPr>
              <w:t>6、</w:t>
            </w:r>
            <w:r>
              <w:rPr>
                <w:rFonts w:hint="eastAsia" w:ascii="宋体" w:hAnsi="宋体" w:cs="宋体"/>
                <w:bCs/>
                <w:color w:val="000000"/>
                <w:lang w:val="zh-CN"/>
              </w:rPr>
              <w:t>最低横杆下缘距地面不小于</w:t>
            </w:r>
            <w:r>
              <w:rPr>
                <w:rFonts w:hint="eastAsia" w:ascii="宋体" w:hAnsi="宋体" w:cs="宋体"/>
                <w:bCs/>
                <w:color w:val="000000"/>
              </w:rPr>
              <w:t>500</w:t>
            </w:r>
            <w:r>
              <w:rPr>
                <w:rFonts w:hint="eastAsia" w:ascii="宋体" w:hAnsi="宋体" w:cs="宋体"/>
                <w:bCs/>
                <w:color w:val="000000"/>
                <w:lang w:val="zh-CN"/>
              </w:rPr>
              <w:t>mm ，无身体卡夹危险；</w:t>
            </w:r>
          </w:p>
          <w:p>
            <w:pPr>
              <w:jc w:val="left"/>
              <w:textAlignment w:val="center"/>
              <w:rPr>
                <w:rFonts w:ascii="宋体" w:hAnsi="宋体" w:cs="宋体"/>
                <w:color w:val="000000"/>
              </w:rPr>
            </w:pP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p>
          <w:p>
            <w:pPr>
              <w:rPr>
                <w:rFonts w:ascii="宋体" w:hAnsi="宋体" w:cs="宋体"/>
                <w:color w:val="000000"/>
              </w:rPr>
            </w:pPr>
          </w:p>
          <w:p>
            <w:pPr>
              <w:rPr>
                <w:rFonts w:ascii="宋体" w:hAnsi="宋体" w:cs="宋体"/>
                <w:color w:val="000000"/>
              </w:rPr>
            </w:pPr>
          </w:p>
          <w:p>
            <w:pPr>
              <w:jc w:val="center"/>
              <w:rPr>
                <w:rFonts w:ascii="宋体" w:hAnsi="宋体" w:cs="宋体"/>
                <w:color w:val="000000"/>
              </w:rPr>
            </w:pPr>
            <w:r>
              <w:rPr>
                <w:rFonts w:hint="eastAsia" w:ascii="宋体" w:hAnsi="宋体" w:cs="宋体"/>
                <w:color w:val="000000"/>
              </w:rPr>
              <w:drawing>
                <wp:anchor distT="0" distB="0" distL="114935" distR="114935" simplePos="0" relativeHeight="251670528" behindDoc="0" locked="0" layoutInCell="1" allowOverlap="1">
                  <wp:simplePos x="0" y="0"/>
                  <wp:positionH relativeFrom="column">
                    <wp:posOffset>214630</wp:posOffset>
                  </wp:positionH>
                  <wp:positionV relativeFrom="paragraph">
                    <wp:posOffset>184785</wp:posOffset>
                  </wp:positionV>
                  <wp:extent cx="1009650" cy="1657350"/>
                  <wp:effectExtent l="0" t="0" r="0" b="0"/>
                  <wp:wrapSquare wrapText="bothSides"/>
                  <wp:docPr id="1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5"/>
                          <pic:cNvPicPr>
                            <a:picLocks noChangeAspect="1"/>
                          </pic:cNvPicPr>
                        </pic:nvPicPr>
                        <pic:blipFill>
                          <a:blip r:embed="rId12"/>
                          <a:stretch>
                            <a:fillRect/>
                          </a:stretch>
                        </pic:blipFill>
                        <pic:spPr>
                          <a:xfrm>
                            <a:off x="0" y="0"/>
                            <a:ext cx="1009650" cy="1657350"/>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钢、铝、塑木复合结构</w:t>
            </w:r>
          </w:p>
        </w:tc>
      </w:tr>
      <w:tr>
        <w:tblPrEx>
          <w:tblCellMar>
            <w:top w:w="15" w:type="dxa"/>
            <w:left w:w="15" w:type="dxa"/>
            <w:bottom w:w="15" w:type="dxa"/>
            <w:right w:w="15" w:type="dxa"/>
          </w:tblCellMar>
        </w:tblPrEx>
        <w:trPr>
          <w:trHeight w:val="986"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2</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单杠</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6台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textAlignment w:val="center"/>
              <w:rPr>
                <w:rFonts w:ascii="宋体" w:hAnsi="宋体" w:cs="宋体"/>
                <w:color w:val="000000"/>
                <w:kern w:val="0"/>
              </w:rPr>
            </w:pPr>
            <w:r>
              <w:rPr>
                <w:rFonts w:hint="eastAsia" w:ascii="宋体" w:hAnsi="宋体" w:cs="宋体"/>
                <w:color w:val="000000"/>
              </w:rPr>
              <w:t>1、产品尺寸：不小于2800mm×140mm×2300mm,主承载钢管110mm×80mm×3.0mm钢管；</w:t>
            </w:r>
            <w:r>
              <w:rPr>
                <w:rFonts w:hint="eastAsia" w:ascii="宋体" w:hAnsi="宋体" w:cs="宋体"/>
                <w:color w:val="000000"/>
                <w:kern w:val="0"/>
              </w:rPr>
              <w:t>并与其他管材同时满</w:t>
            </w:r>
            <w:r>
              <w:rPr>
                <w:rFonts w:hint="eastAsia" w:ascii="宋体" w:hAnsi="宋体" w:cs="宋体"/>
                <w:color w:val="000000"/>
              </w:rPr>
              <w:t>足国家体育用品质量监督检验中心试验要求；</w:t>
            </w:r>
          </w:p>
          <w:p>
            <w:pPr>
              <w:spacing w:line="360" w:lineRule="auto"/>
              <w:jc w:val="left"/>
              <w:textAlignment w:val="center"/>
              <w:rPr>
                <w:rFonts w:ascii="宋体" w:hAnsi="宋体" w:cs="宋体"/>
                <w:color w:val="000000"/>
                <w:kern w:val="0"/>
              </w:rPr>
            </w:pPr>
            <w:r>
              <w:rPr>
                <w:rFonts w:hint="eastAsia" w:ascii="宋体" w:hAnsi="宋体" w:cs="宋体"/>
                <w:color w:val="000000"/>
                <w:kern w:val="0"/>
              </w:rPr>
              <w:t>2、使用宽度应不小于1200mm，杠面高度应为1500mm～2400mm，横杠外径应不大于32mm；</w:t>
            </w:r>
          </w:p>
          <w:p>
            <w:pPr>
              <w:spacing w:line="360" w:lineRule="auto"/>
              <w:jc w:val="left"/>
              <w:textAlignment w:val="center"/>
              <w:rPr>
                <w:rFonts w:ascii="宋体" w:hAnsi="宋体" w:cs="宋体"/>
                <w:color w:val="000000"/>
                <w:kern w:val="0"/>
              </w:rPr>
            </w:pPr>
            <w:r>
              <w:rPr>
                <w:rFonts w:hint="eastAsia" w:ascii="宋体" w:hAnsi="宋体" w:cs="宋体"/>
                <w:color w:val="000000"/>
                <w:kern w:val="0"/>
              </w:rPr>
              <w:t>3、横杠有防旋转措施，柱无钩挂隐患。</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anchor distT="0" distB="0" distL="114935" distR="114935" simplePos="0" relativeHeight="251671552" behindDoc="1" locked="0" layoutInCell="1" allowOverlap="1">
                  <wp:simplePos x="0" y="0"/>
                  <wp:positionH relativeFrom="column">
                    <wp:posOffset>121920</wp:posOffset>
                  </wp:positionH>
                  <wp:positionV relativeFrom="paragraph">
                    <wp:posOffset>612775</wp:posOffset>
                  </wp:positionV>
                  <wp:extent cx="1235710" cy="1505585"/>
                  <wp:effectExtent l="0" t="0" r="2540" b="18415"/>
                  <wp:wrapTight wrapText="bothSides">
                    <wp:wrapPolygon>
                      <wp:start x="0" y="0"/>
                      <wp:lineTo x="0" y="21318"/>
                      <wp:lineTo x="21311" y="21318"/>
                      <wp:lineTo x="21311" y="0"/>
                      <wp:lineTo x="0" y="0"/>
                    </wp:wrapPolygon>
                  </wp:wrapTight>
                  <wp:docPr id="1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2"/>
                          <pic:cNvPicPr>
                            <a:picLocks noChangeAspect="1"/>
                          </pic:cNvPicPr>
                        </pic:nvPicPr>
                        <pic:blipFill>
                          <a:blip r:embed="rId13"/>
                          <a:stretch>
                            <a:fillRect/>
                          </a:stretch>
                        </pic:blipFill>
                        <pic:spPr>
                          <a:xfrm>
                            <a:off x="0" y="0"/>
                            <a:ext cx="1235710" cy="1505585"/>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钢、铝、塑木复合结构</w:t>
            </w:r>
          </w:p>
        </w:tc>
      </w:tr>
      <w:tr>
        <w:tblPrEx>
          <w:tblCellMar>
            <w:top w:w="15" w:type="dxa"/>
            <w:left w:w="15" w:type="dxa"/>
            <w:bottom w:w="15" w:type="dxa"/>
            <w:right w:w="15" w:type="dxa"/>
          </w:tblCellMar>
        </w:tblPrEx>
        <w:trPr>
          <w:trHeight w:val="1197"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3</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双杠（男生用）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4台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textAlignment w:val="center"/>
              <w:rPr>
                <w:rFonts w:ascii="宋体" w:hAnsi="宋体" w:cs="宋体"/>
                <w:color w:val="000000"/>
                <w:kern w:val="0"/>
              </w:rPr>
            </w:pPr>
            <w:r>
              <w:rPr>
                <w:rFonts w:hint="eastAsia" w:ascii="宋体" w:hAnsi="宋体" w:cs="宋体"/>
                <w:color w:val="000000"/>
              </w:rPr>
              <w:t>1、产品尺寸：不小于</w:t>
            </w:r>
            <w:r>
              <w:rPr>
                <w:rFonts w:hint="eastAsia" w:ascii="仿宋" w:hAnsi="仿宋" w:eastAsia="仿宋" w:cs="仿宋"/>
              </w:rPr>
              <w:t>2500mm×700mm×1500mm</w:t>
            </w:r>
            <w:r>
              <w:rPr>
                <w:rFonts w:hint="eastAsia" w:ascii="仿宋" w:hAnsi="仿宋" w:eastAsia="仿宋" w:cs="仿宋"/>
                <w:color w:val="00B050"/>
              </w:rPr>
              <w:t>，</w:t>
            </w:r>
            <w:r>
              <w:rPr>
                <w:rFonts w:hint="eastAsia" w:ascii="宋体" w:hAnsi="宋体" w:cs="宋体"/>
                <w:color w:val="000000"/>
              </w:rPr>
              <w:t>截面尺寸：130mm×120mm,主承载钢管110mm×80mm×3.0mm钢管</w:t>
            </w:r>
            <w:r>
              <w:rPr>
                <w:rFonts w:hint="eastAsia" w:ascii="宋体" w:hAnsi="宋体" w:cs="宋体"/>
                <w:color w:val="000000"/>
                <w:kern w:val="0"/>
              </w:rPr>
              <w:t>,并与其他管材同时满足国家体育用品质量监督检验中心出具要求；</w:t>
            </w:r>
          </w:p>
          <w:p>
            <w:pPr>
              <w:spacing w:line="360" w:lineRule="auto"/>
              <w:jc w:val="left"/>
              <w:textAlignment w:val="center"/>
              <w:rPr>
                <w:rFonts w:hint="eastAsia" w:ascii="宋体" w:hAnsi="宋体" w:eastAsia="宋体" w:cs="宋体"/>
                <w:color w:val="000000"/>
                <w:kern w:val="0"/>
                <w:lang w:eastAsia="zh-CN"/>
              </w:rPr>
            </w:pPr>
            <w:r>
              <w:rPr>
                <w:rFonts w:hint="eastAsia" w:ascii="宋体" w:hAnsi="宋体" w:cs="宋体"/>
                <w:color w:val="000000"/>
                <w:kern w:val="0"/>
              </w:rPr>
              <w:t>2、两杠内侧距离应为450mm～550mm，杠长应为2000mm～2500mm；、相应的纵向立柱中心距应为1200mm～1500mm；</w:t>
            </w:r>
          </w:p>
          <w:p>
            <w:pPr>
              <w:spacing w:line="360" w:lineRule="auto"/>
              <w:jc w:val="left"/>
              <w:textAlignment w:val="center"/>
              <w:rPr>
                <w:rFonts w:ascii="宋体" w:hAnsi="宋体" w:cs="宋体"/>
                <w:color w:val="000000"/>
                <w:kern w:val="0"/>
              </w:rPr>
            </w:pPr>
            <w:r>
              <w:rPr>
                <w:rFonts w:hint="eastAsia" w:ascii="宋体" w:hAnsi="宋体" w:cs="宋体"/>
                <w:color w:val="000000"/>
                <w:kern w:val="0"/>
              </w:rPr>
              <w:t xml:space="preserve">3、杠面高度应为1500mm～1700mm，横杠的外径应不大于50mm； </w:t>
            </w:r>
          </w:p>
          <w:p>
            <w:pPr>
              <w:spacing w:line="360" w:lineRule="auto"/>
              <w:jc w:val="left"/>
              <w:textAlignment w:val="center"/>
              <w:rPr>
                <w:rFonts w:ascii="宋体" w:hAnsi="宋体" w:cs="宋体"/>
                <w:color w:val="000000"/>
              </w:rPr>
            </w:pPr>
            <w:r>
              <w:rPr>
                <w:rFonts w:hint="eastAsia" w:ascii="宋体" w:hAnsi="宋体" w:cs="宋体"/>
                <w:color w:val="000000"/>
                <w:kern w:val="0"/>
              </w:rPr>
              <w:t>主要 承载横梁：</w:t>
            </w:r>
            <w:r>
              <w:rPr>
                <w:rFonts w:hint="eastAsia" w:ascii="宋体" w:hAnsi="宋体" w:cs="宋体"/>
                <w:color w:val="000000"/>
              </w:rPr>
              <w:t>φ48mm×3.0mm钢管。</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inline distT="0" distB="0" distL="114300" distR="114300">
                  <wp:extent cx="1419225" cy="1333500"/>
                  <wp:effectExtent l="0" t="0" r="9525" b="0"/>
                  <wp:docPr id="1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0"/>
                          <pic:cNvPicPr>
                            <a:picLocks noChangeAspect="1"/>
                          </pic:cNvPicPr>
                        </pic:nvPicPr>
                        <pic:blipFill>
                          <a:blip r:embed="rId14"/>
                          <a:stretch>
                            <a:fillRect/>
                          </a:stretch>
                        </pic:blipFill>
                        <pic:spPr>
                          <a:xfrm>
                            <a:off x="0" y="0"/>
                            <a:ext cx="1419225" cy="1333500"/>
                          </a:xfrm>
                          <a:prstGeom prst="rect">
                            <a:avLst/>
                          </a:prstGeom>
                          <a:noFill/>
                          <a:ln>
                            <a:noFill/>
                          </a:ln>
                        </pic:spPr>
                      </pic:pic>
                    </a:graphicData>
                  </a:graphic>
                </wp:inline>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钢、铝、塑木复合结构</w:t>
            </w:r>
          </w:p>
        </w:tc>
      </w:tr>
      <w:tr>
        <w:tblPrEx>
          <w:tblCellMar>
            <w:top w:w="15" w:type="dxa"/>
            <w:left w:w="15" w:type="dxa"/>
            <w:bottom w:w="15" w:type="dxa"/>
            <w:right w:w="15" w:type="dxa"/>
          </w:tblCellMar>
        </w:tblPrEx>
        <w:trPr>
          <w:trHeight w:val="3363"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4</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双杠（女生用）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2台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textAlignment w:val="center"/>
              <w:rPr>
                <w:rFonts w:ascii="宋体" w:hAnsi="宋体" w:cs="宋体"/>
                <w:color w:val="000000"/>
                <w:kern w:val="0"/>
              </w:rPr>
            </w:pPr>
            <w:r>
              <w:rPr>
                <w:rFonts w:hint="eastAsia" w:ascii="宋体" w:hAnsi="宋体" w:cs="宋体"/>
                <w:color w:val="000000"/>
              </w:rPr>
              <w:t>1、产品尺寸：不小于</w:t>
            </w:r>
            <w:r>
              <w:rPr>
                <w:rFonts w:hint="eastAsia" w:ascii="仿宋" w:hAnsi="仿宋" w:eastAsia="仿宋" w:cs="仿宋"/>
              </w:rPr>
              <w:t>2500mm×700mm×1300mm</w:t>
            </w:r>
            <w:r>
              <w:rPr>
                <w:rFonts w:hint="eastAsia" w:ascii="仿宋" w:hAnsi="仿宋" w:eastAsia="仿宋" w:cs="仿宋"/>
                <w:color w:val="00B050"/>
              </w:rPr>
              <w:t>，</w:t>
            </w:r>
            <w:r>
              <w:rPr>
                <w:rFonts w:hint="eastAsia" w:ascii="宋体" w:hAnsi="宋体" w:cs="宋体"/>
                <w:color w:val="000000"/>
              </w:rPr>
              <w:t>截面尺寸：130mm×120mm,主承载钢管110mm×80mm×3.0mm钢管</w:t>
            </w:r>
            <w:r>
              <w:rPr>
                <w:rFonts w:hint="eastAsia" w:ascii="宋体" w:hAnsi="宋体" w:cs="宋体"/>
                <w:color w:val="000000"/>
                <w:kern w:val="0"/>
              </w:rPr>
              <w:t>,并与其他管材同时满足国家体育用品质量监督检验中心出具要求；</w:t>
            </w:r>
          </w:p>
          <w:p>
            <w:pPr>
              <w:spacing w:line="360" w:lineRule="auto"/>
              <w:jc w:val="left"/>
              <w:textAlignment w:val="center"/>
              <w:rPr>
                <w:rFonts w:hint="eastAsia" w:ascii="宋体" w:hAnsi="宋体" w:eastAsia="宋体" w:cs="宋体"/>
                <w:color w:val="000000"/>
                <w:kern w:val="0"/>
                <w:lang w:eastAsia="zh-CN"/>
              </w:rPr>
            </w:pPr>
            <w:r>
              <w:rPr>
                <w:rFonts w:hint="eastAsia" w:ascii="宋体" w:hAnsi="宋体" w:cs="宋体"/>
                <w:color w:val="000000"/>
                <w:kern w:val="0"/>
              </w:rPr>
              <w:t>2、两杠内侧距离应为390mm～450mm，杠长应为2000mm～2500mm；、相应的纵向立柱中心距应为1200mm～1500mm；</w:t>
            </w:r>
          </w:p>
          <w:p>
            <w:pPr>
              <w:spacing w:line="360" w:lineRule="auto"/>
              <w:jc w:val="left"/>
              <w:textAlignment w:val="center"/>
              <w:rPr>
                <w:rFonts w:ascii="宋体" w:hAnsi="宋体" w:cs="宋体"/>
                <w:color w:val="000000"/>
                <w:kern w:val="0"/>
              </w:rPr>
            </w:pPr>
            <w:r>
              <w:rPr>
                <w:rFonts w:hint="eastAsia" w:ascii="宋体" w:hAnsi="宋体" w:cs="宋体"/>
                <w:color w:val="000000"/>
                <w:kern w:val="0"/>
              </w:rPr>
              <w:t xml:space="preserve">3、杠面高度应为1300mm～1500mm，横杠的外径应不大于50mm； </w:t>
            </w:r>
          </w:p>
          <w:p>
            <w:pPr>
              <w:spacing w:line="360" w:lineRule="auto"/>
              <w:jc w:val="left"/>
              <w:textAlignment w:val="center"/>
              <w:rPr>
                <w:rFonts w:ascii="宋体" w:hAnsi="宋体" w:cs="宋体"/>
                <w:color w:val="000000"/>
                <w:kern w:val="0"/>
              </w:rPr>
            </w:pPr>
            <w:r>
              <w:rPr>
                <w:rFonts w:hint="eastAsia" w:ascii="宋体" w:hAnsi="宋体" w:cs="宋体"/>
                <w:color w:val="000000"/>
                <w:kern w:val="0"/>
              </w:rPr>
              <w:t>主要 承载横梁：</w:t>
            </w:r>
            <w:r>
              <w:rPr>
                <w:rFonts w:hint="eastAsia" w:ascii="宋体" w:hAnsi="宋体" w:cs="宋体"/>
                <w:color w:val="000000"/>
              </w:rPr>
              <w:t>φ48mm×3.0mm钢管。</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inline distT="0" distB="0" distL="114300" distR="114300">
                  <wp:extent cx="1419225" cy="1333500"/>
                  <wp:effectExtent l="0" t="0" r="9525" b="0"/>
                  <wp:docPr id="1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
                          <pic:cNvPicPr>
                            <a:picLocks noChangeAspect="1"/>
                          </pic:cNvPicPr>
                        </pic:nvPicPr>
                        <pic:blipFill>
                          <a:blip r:embed="rId14"/>
                          <a:stretch>
                            <a:fillRect/>
                          </a:stretch>
                        </pic:blipFill>
                        <pic:spPr>
                          <a:xfrm>
                            <a:off x="0" y="0"/>
                            <a:ext cx="1419225" cy="1333500"/>
                          </a:xfrm>
                          <a:prstGeom prst="rect">
                            <a:avLst/>
                          </a:prstGeom>
                          <a:noFill/>
                          <a:ln>
                            <a:noFill/>
                          </a:ln>
                        </pic:spPr>
                      </pic:pic>
                    </a:graphicData>
                  </a:graphic>
                </wp:inline>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钢、铝、塑木复合结构</w:t>
            </w:r>
          </w:p>
        </w:tc>
      </w:tr>
      <w:tr>
        <w:tblPrEx>
          <w:tblCellMar>
            <w:top w:w="15" w:type="dxa"/>
            <w:left w:w="15" w:type="dxa"/>
            <w:bottom w:w="15" w:type="dxa"/>
            <w:right w:w="15" w:type="dxa"/>
          </w:tblCellMar>
        </w:tblPrEx>
        <w:trPr>
          <w:trHeight w:val="3363"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5</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天梯</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2台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numPr>
                <w:ilvl w:val="0"/>
                <w:numId w:val="6"/>
              </w:numPr>
              <w:spacing w:line="360" w:lineRule="auto"/>
              <w:jc w:val="left"/>
              <w:textAlignment w:val="center"/>
              <w:rPr>
                <w:rFonts w:ascii="宋体" w:hAnsi="宋体" w:cs="宋体"/>
                <w:color w:val="000000"/>
                <w:kern w:val="0"/>
              </w:rPr>
            </w:pPr>
            <w:r>
              <w:rPr>
                <w:rFonts w:hint="eastAsia" w:ascii="宋体" w:hAnsi="宋体" w:cs="宋体"/>
                <w:color w:val="000000"/>
              </w:rPr>
              <w:t>产品尺寸：不小于3100mm×1400mm×2100mm，</w:t>
            </w:r>
            <w:r>
              <w:rPr>
                <w:rFonts w:hint="eastAsia" w:ascii="宋体" w:hAnsi="宋体" w:cs="宋体"/>
                <w:color w:val="000000"/>
                <w:kern w:val="0"/>
              </w:rPr>
              <w:t>立柱为鼓鼓型“</w:t>
            </w:r>
            <w:r>
              <w:rPr>
                <w:rFonts w:hint="eastAsia" w:ascii="宋体" w:hAnsi="宋体" w:cs="宋体"/>
                <w:color w:val="000000"/>
                <w:kern w:val="0"/>
              </w:rPr>
              <w:drawing>
                <wp:inline distT="0" distB="0" distL="114300" distR="114300">
                  <wp:extent cx="134620" cy="128905"/>
                  <wp:effectExtent l="0" t="0" r="17780" b="4445"/>
                  <wp:docPr id="1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
                          <pic:cNvPicPr>
                            <a:picLocks noChangeAspect="1"/>
                          </pic:cNvPicPr>
                        </pic:nvPicPr>
                        <pic:blipFill>
                          <a:blip r:embed="rId15"/>
                          <a:stretch>
                            <a:fillRect/>
                          </a:stretch>
                        </pic:blipFill>
                        <pic:spPr>
                          <a:xfrm>
                            <a:off x="0" y="0"/>
                            <a:ext cx="134620" cy="128905"/>
                          </a:xfrm>
                          <a:prstGeom prst="rect">
                            <a:avLst/>
                          </a:prstGeom>
                          <a:noFill/>
                          <a:ln>
                            <a:noFill/>
                          </a:ln>
                        </pic:spPr>
                      </pic:pic>
                    </a:graphicData>
                  </a:graphic>
                </wp:inline>
              </w:drawing>
            </w:r>
            <w:r>
              <w:rPr>
                <w:rFonts w:hint="eastAsia" w:ascii="宋体" w:hAnsi="宋体" w:cs="宋体"/>
                <w:color w:val="000000"/>
                <w:kern w:val="0"/>
              </w:rPr>
              <w:t>”截面尺寸130mm×120mm，主承载钢管不小于110mm×80mm×3.0mm矩形钢管，并与其他管材同时满足国家体育用品质量监督检验中心出具要求，立柱上部无钩挂结构；</w:t>
            </w:r>
          </w:p>
          <w:p>
            <w:pPr>
              <w:numPr>
                <w:ilvl w:val="0"/>
                <w:numId w:val="6"/>
              </w:numPr>
              <w:spacing w:line="360" w:lineRule="auto"/>
              <w:jc w:val="left"/>
              <w:textAlignment w:val="center"/>
              <w:rPr>
                <w:rFonts w:ascii="宋体" w:hAnsi="宋体" w:cs="宋体"/>
                <w:color w:val="000000"/>
                <w:kern w:val="0"/>
              </w:rPr>
            </w:pPr>
            <w:r>
              <w:rPr>
                <w:rFonts w:hint="eastAsia" w:ascii="宋体" w:hAnsi="宋体" w:cs="宋体"/>
                <w:color w:val="000000"/>
                <w:kern w:val="0"/>
              </w:rPr>
              <w:t>2、天梯支架管规格为∮60×3mm，横杆规格为</w:t>
            </w:r>
          </w:p>
          <w:p>
            <w:pPr>
              <w:spacing w:line="360" w:lineRule="auto"/>
              <w:jc w:val="left"/>
              <w:textAlignment w:val="center"/>
              <w:rPr>
                <w:rFonts w:ascii="宋体" w:hAnsi="宋体" w:cs="宋体"/>
                <w:color w:val="000000"/>
                <w:kern w:val="0"/>
              </w:rPr>
            </w:pPr>
            <w:r>
              <w:rPr>
                <w:rFonts w:hint="eastAsia" w:ascii="宋体" w:hAnsi="宋体" w:cs="宋体"/>
                <w:color w:val="000000"/>
                <w:kern w:val="0"/>
              </w:rPr>
              <w:t>∮29×3 mm；</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inline distT="0" distB="0" distL="114300" distR="114300">
                  <wp:extent cx="1419860" cy="1199515"/>
                  <wp:effectExtent l="0" t="0" r="8890" b="635"/>
                  <wp:docPr id="1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3"/>
                          <pic:cNvPicPr>
                            <a:picLocks noChangeAspect="1"/>
                          </pic:cNvPicPr>
                        </pic:nvPicPr>
                        <pic:blipFill>
                          <a:blip r:embed="rId16"/>
                          <a:stretch>
                            <a:fillRect/>
                          </a:stretch>
                        </pic:blipFill>
                        <pic:spPr>
                          <a:xfrm>
                            <a:off x="0" y="0"/>
                            <a:ext cx="1419860" cy="1199515"/>
                          </a:xfrm>
                          <a:prstGeom prst="rect">
                            <a:avLst/>
                          </a:prstGeom>
                          <a:noFill/>
                          <a:ln>
                            <a:noFill/>
                          </a:ln>
                        </pic:spPr>
                      </pic:pic>
                    </a:graphicData>
                  </a:graphic>
                </wp:inline>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kern w:val="0"/>
              </w:rPr>
              <w:t>钢、铝、塑木复合结构</w:t>
            </w:r>
          </w:p>
        </w:tc>
      </w:tr>
      <w:tr>
        <w:tblPrEx>
          <w:tblCellMar>
            <w:top w:w="15" w:type="dxa"/>
            <w:left w:w="15" w:type="dxa"/>
            <w:bottom w:w="15" w:type="dxa"/>
            <w:right w:w="15" w:type="dxa"/>
          </w:tblCellMar>
        </w:tblPrEx>
        <w:trPr>
          <w:trHeight w:val="49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6</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t>伸背器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2</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1、产品尺寸：不小于1000mm×600mm×1300mm</w:t>
            </w:r>
            <w:r>
              <w:rPr>
                <w:rFonts w:hint="eastAsia" w:ascii="宋体" w:hAnsi="宋体" w:cs="宋体"/>
                <w:bCs/>
                <w:color w:val="000000"/>
                <w:lang w:val="zh-CN"/>
              </w:rPr>
              <w:t>，</w:t>
            </w:r>
            <w:r>
              <w:rPr>
                <w:rFonts w:hint="eastAsia" w:ascii="宋体" w:hAnsi="宋体" w:cs="宋体"/>
                <w:color w:val="000000"/>
                <w:kern w:val="0"/>
              </w:rPr>
              <w:t>立柱为鼓鼓型“</w:t>
            </w:r>
            <w:r>
              <w:rPr>
                <w:rFonts w:hint="eastAsia" w:ascii="宋体" w:hAnsi="宋体" w:cs="宋体"/>
                <w:color w:val="000000"/>
                <w:kern w:val="0"/>
              </w:rPr>
              <w:drawing>
                <wp:inline distT="0" distB="0" distL="114300" distR="114300">
                  <wp:extent cx="134620" cy="128905"/>
                  <wp:effectExtent l="0" t="0" r="17780" b="4445"/>
                  <wp:docPr id="1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4"/>
                          <pic:cNvPicPr>
                            <a:picLocks noChangeAspect="1"/>
                          </pic:cNvPicPr>
                        </pic:nvPicPr>
                        <pic:blipFill>
                          <a:blip r:embed="rId15"/>
                          <a:stretch>
                            <a:fillRect/>
                          </a:stretch>
                        </pic:blipFill>
                        <pic:spPr>
                          <a:xfrm>
                            <a:off x="0" y="0"/>
                            <a:ext cx="134620" cy="128905"/>
                          </a:xfrm>
                          <a:prstGeom prst="rect">
                            <a:avLst/>
                          </a:prstGeom>
                          <a:noFill/>
                          <a:ln>
                            <a:noFill/>
                          </a:ln>
                        </pic:spPr>
                      </pic:pic>
                    </a:graphicData>
                  </a:graphic>
                </wp:inline>
              </w:drawing>
            </w:r>
            <w:r>
              <w:rPr>
                <w:rFonts w:hint="eastAsia" w:ascii="宋体" w:hAnsi="宋体" w:cs="宋体"/>
                <w:color w:val="000000"/>
                <w:kern w:val="0"/>
              </w:rPr>
              <w:t>”截面尺寸130mm×120mm，</w:t>
            </w:r>
            <w:r>
              <w:rPr>
                <w:rFonts w:hint="eastAsia" w:ascii="宋体" w:hAnsi="宋体" w:cs="宋体"/>
                <w:color w:val="000000"/>
              </w:rPr>
              <w:t>主立柱为钢、铝、塑木复合结构</w:t>
            </w:r>
            <w:r>
              <w:rPr>
                <w:rFonts w:hint="eastAsia" w:ascii="宋体" w:hAnsi="宋体" w:cs="宋体"/>
                <w:bCs/>
                <w:color w:val="000000"/>
                <w:lang w:val="zh-CN"/>
              </w:rPr>
              <w:t>，主承载钢管不小于1</w:t>
            </w:r>
            <w:r>
              <w:rPr>
                <w:rFonts w:hint="eastAsia" w:ascii="宋体" w:hAnsi="宋体" w:cs="宋体"/>
                <w:bCs/>
                <w:color w:val="000000"/>
              </w:rPr>
              <w:t>1</w:t>
            </w:r>
            <w:r>
              <w:rPr>
                <w:rFonts w:hint="eastAsia" w:ascii="宋体" w:hAnsi="宋体" w:cs="宋体"/>
                <w:bCs/>
                <w:color w:val="000000"/>
                <w:lang w:val="zh-CN"/>
              </w:rPr>
              <w:t>0mm×80mm×3.0mm；</w:t>
            </w:r>
          </w:p>
          <w:p>
            <w:pPr>
              <w:rPr>
                <w:rFonts w:ascii="宋体" w:hAnsi="宋体" w:cs="宋体"/>
                <w:color w:val="000000"/>
              </w:rPr>
            </w:pPr>
            <w:r>
              <w:rPr>
                <w:rFonts w:hint="eastAsia" w:ascii="宋体" w:hAnsi="宋体" w:cs="宋体"/>
                <w:color w:val="000000"/>
              </w:rPr>
              <w:t>2、活动部件与固定部件之间的距离应不小于60mm；</w:t>
            </w:r>
          </w:p>
          <w:p>
            <w:pPr>
              <w:pStyle w:val="7"/>
              <w:ind w:left="315" w:hanging="315" w:hangingChars="150"/>
              <w:rPr>
                <w:rFonts w:ascii="宋体" w:hAnsi="宋体" w:cs="宋体"/>
                <w:color w:val="000000"/>
                <w:sz w:val="21"/>
              </w:rPr>
            </w:pPr>
            <w:r>
              <w:rPr>
                <w:rFonts w:hint="eastAsia" w:ascii="宋体" w:hAnsi="宋体" w:cs="宋体"/>
                <w:color w:val="000000"/>
                <w:sz w:val="21"/>
              </w:rPr>
              <w:t>3、不允许存在剪切点、挤压点、引入点，不允</w:t>
            </w:r>
          </w:p>
          <w:p>
            <w:pPr>
              <w:pStyle w:val="7"/>
              <w:ind w:left="315" w:hanging="315" w:hangingChars="150"/>
              <w:rPr>
                <w:rFonts w:ascii="宋体" w:hAnsi="宋体" w:cs="宋体"/>
                <w:color w:val="000000"/>
                <w:sz w:val="21"/>
              </w:rPr>
            </w:pPr>
            <w:r>
              <w:rPr>
                <w:rFonts w:hint="eastAsia" w:ascii="宋体" w:hAnsi="宋体" w:cs="宋体"/>
                <w:color w:val="000000"/>
                <w:sz w:val="21"/>
              </w:rPr>
              <w:t>许存在刚性碰撞；</w:t>
            </w:r>
          </w:p>
          <w:p>
            <w:pPr>
              <w:rPr>
                <w:rFonts w:ascii="宋体" w:hAnsi="宋体" w:cs="宋体"/>
                <w:color w:val="000000"/>
              </w:rPr>
            </w:pPr>
            <w:r>
              <w:rPr>
                <w:rFonts w:hint="eastAsia" w:ascii="宋体" w:hAnsi="宋体" w:cs="宋体"/>
                <w:color w:val="000000"/>
              </w:rPr>
              <w:t>4、转轴直径不小于25mm；</w:t>
            </w:r>
          </w:p>
          <w:p>
            <w:pPr>
              <w:rPr>
                <w:rFonts w:ascii="宋体" w:hAnsi="宋体" w:cs="宋体"/>
                <w:color w:val="000000"/>
              </w:rPr>
            </w:pPr>
            <w:r>
              <w:rPr>
                <w:rFonts w:hint="eastAsia" w:ascii="宋体" w:hAnsi="宋体" w:cs="宋体"/>
                <w:color w:val="000000"/>
              </w:rPr>
              <w:t>5、不允许存在衣服、头发钩挂或缠绕危险；</w:t>
            </w:r>
          </w:p>
          <w:p>
            <w:pPr>
              <w:rPr>
                <w:rFonts w:ascii="宋体" w:hAnsi="宋体" w:cs="宋体"/>
                <w:bCs/>
                <w:color w:val="000000"/>
              </w:rPr>
            </w:pPr>
            <w:r>
              <w:rPr>
                <w:rFonts w:hint="eastAsia" w:ascii="宋体" w:hAnsi="宋体" w:cs="宋体"/>
                <w:color w:val="000000"/>
              </w:rPr>
              <w:t>6、扶手直径应不小于16mm且不大于45mm；</w:t>
            </w:r>
          </w:p>
          <w:p>
            <w:pPr>
              <w:rPr>
                <w:rFonts w:ascii="宋体" w:hAnsi="宋体" w:cs="宋体"/>
                <w:color w:val="000000"/>
              </w:rPr>
            </w:pPr>
            <w:r>
              <w:rPr>
                <w:rFonts w:hint="eastAsia" w:ascii="宋体" w:hAnsi="宋体" w:cs="宋体"/>
                <w:color w:val="000000"/>
              </w:rPr>
              <w:t>7、把手端部直径不小于50mm；</w:t>
            </w:r>
          </w:p>
          <w:p>
            <w:pPr>
              <w:jc w:val="left"/>
              <w:rPr>
                <w:rFonts w:ascii="宋体" w:hAnsi="宋体" w:cs="宋体"/>
                <w:color w:val="000000"/>
              </w:rPr>
            </w:pPr>
            <w:r>
              <w:rPr>
                <w:rFonts w:hint="eastAsia" w:ascii="宋体" w:hAnsi="宋体" w:cs="宋体"/>
                <w:color w:val="000000"/>
              </w:rPr>
              <w:t>8、各连接片、耳片实际厚度不小于5mm；</w:t>
            </w:r>
          </w:p>
          <w:p>
            <w:pPr>
              <w:jc w:val="left"/>
              <w:textAlignment w:val="center"/>
              <w:rPr>
                <w:rFonts w:ascii="宋体" w:hAnsi="宋体" w:cs="宋体"/>
                <w:color w:val="000000"/>
              </w:rPr>
            </w:pPr>
            <w:r>
              <w:rPr>
                <w:rFonts w:hint="eastAsia" w:ascii="宋体" w:hAnsi="宋体" w:cs="宋体"/>
                <w:color w:val="000000"/>
              </w:rPr>
              <w:t>9、立柱采用外扣式封头，可防止雨水流入。</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inline distT="0" distB="0" distL="114300" distR="114300">
                  <wp:extent cx="1277620" cy="1021080"/>
                  <wp:effectExtent l="0" t="0" r="17780" b="7620"/>
                  <wp:docPr id="1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5"/>
                          <pic:cNvPicPr>
                            <a:picLocks noChangeAspect="1"/>
                          </pic:cNvPicPr>
                        </pic:nvPicPr>
                        <pic:blipFill>
                          <a:blip r:embed="rId17"/>
                          <a:stretch>
                            <a:fillRect/>
                          </a:stretch>
                        </pic:blipFill>
                        <pic:spPr>
                          <a:xfrm>
                            <a:off x="0" y="0"/>
                            <a:ext cx="1277620" cy="1021080"/>
                          </a:xfrm>
                          <a:prstGeom prst="rect">
                            <a:avLst/>
                          </a:prstGeom>
                          <a:noFill/>
                          <a:ln>
                            <a:noFill/>
                          </a:ln>
                        </pic:spPr>
                      </pic:pic>
                    </a:graphicData>
                  </a:graphic>
                </wp:inline>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钢、铝、塑木</w:t>
            </w:r>
          </w:p>
        </w:tc>
      </w:tr>
      <w:tr>
        <w:tblPrEx>
          <w:tblCellMar>
            <w:top w:w="15" w:type="dxa"/>
            <w:left w:w="15" w:type="dxa"/>
            <w:bottom w:w="15" w:type="dxa"/>
            <w:right w:w="15" w:type="dxa"/>
          </w:tblCellMar>
        </w:tblPrEx>
        <w:trPr>
          <w:trHeight w:val="1625"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7</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t>直立健身车</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2</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1、产品尺寸：不小于</w:t>
            </w:r>
            <w:r>
              <w:rPr>
                <w:rFonts w:hint="eastAsia" w:ascii="宋体" w:hAnsi="宋体" w:cs="宋体"/>
              </w:rPr>
              <w:t>1000mm×550mm×1100mm</w:t>
            </w:r>
            <w:r>
              <w:rPr>
                <w:rFonts w:hint="eastAsia" w:ascii="宋体" w:hAnsi="宋体" w:cs="宋体"/>
                <w:bCs/>
                <w:lang w:val="zh-CN"/>
              </w:rPr>
              <w:t>，</w:t>
            </w:r>
            <w:r>
              <w:rPr>
                <w:rFonts w:hint="eastAsia" w:ascii="宋体" w:hAnsi="宋体" w:cs="宋体"/>
                <w:color w:val="000000"/>
              </w:rPr>
              <w:t>主立柱为钢、铝、塑木复合结构</w:t>
            </w:r>
            <w:r>
              <w:rPr>
                <w:rFonts w:hint="eastAsia" w:ascii="宋体" w:hAnsi="宋体" w:cs="宋体"/>
                <w:bCs/>
                <w:color w:val="000000"/>
                <w:lang w:val="zh-CN"/>
              </w:rPr>
              <w:t>，主承载钢管不小于</w:t>
            </w:r>
            <w:r>
              <w:rPr>
                <w:rFonts w:hint="eastAsia" w:ascii="宋体" w:hAnsi="宋体" w:cs="宋体"/>
                <w:bCs/>
                <w:color w:val="000000"/>
              </w:rPr>
              <w:t>110</w:t>
            </w:r>
            <w:r>
              <w:rPr>
                <w:rFonts w:hint="eastAsia" w:ascii="宋体" w:hAnsi="宋体" w:cs="宋体"/>
                <w:bCs/>
                <w:color w:val="000000"/>
                <w:lang w:val="zh-CN"/>
              </w:rPr>
              <w:t>mm×</w:t>
            </w:r>
            <w:r>
              <w:rPr>
                <w:rFonts w:hint="eastAsia" w:ascii="宋体" w:hAnsi="宋体" w:cs="宋体"/>
                <w:bCs/>
                <w:color w:val="000000"/>
              </w:rPr>
              <w:t>80</w:t>
            </w:r>
            <w:r>
              <w:rPr>
                <w:rFonts w:hint="eastAsia" w:ascii="宋体" w:hAnsi="宋体" w:cs="宋体"/>
                <w:bCs/>
                <w:color w:val="000000"/>
                <w:lang w:val="zh-CN"/>
              </w:rPr>
              <w:t>mm×3.0mm</w:t>
            </w:r>
          </w:p>
          <w:p>
            <w:pPr>
              <w:rPr>
                <w:rFonts w:ascii="宋体" w:hAnsi="宋体" w:cs="宋体"/>
                <w:color w:val="000000"/>
              </w:rPr>
            </w:pPr>
            <w:r>
              <w:rPr>
                <w:rFonts w:hint="eastAsia" w:ascii="宋体" w:hAnsi="宋体" w:cs="宋体"/>
                <w:color w:val="000000"/>
              </w:rPr>
              <w:t>2、扶手管直径应不小于16mm且不大于45mm，端部直径不小于50mm；</w:t>
            </w:r>
          </w:p>
          <w:p>
            <w:pPr>
              <w:rPr>
                <w:rFonts w:ascii="宋体" w:hAnsi="宋体" w:cs="宋体"/>
                <w:color w:val="000000"/>
              </w:rPr>
            </w:pPr>
            <w:r>
              <w:rPr>
                <w:rFonts w:hint="eastAsia" w:ascii="宋体" w:hAnsi="宋体" w:cs="宋体"/>
                <w:color w:val="000000"/>
              </w:rPr>
              <w:t>3、脚蹬应采用冲压凸台防滑设计；脚蹬轴处应设置有止退装置；</w:t>
            </w:r>
          </w:p>
          <w:p>
            <w:pPr>
              <w:rPr>
                <w:rFonts w:ascii="宋体" w:hAnsi="宋体" w:cs="宋体"/>
                <w:color w:val="000000"/>
              </w:rPr>
            </w:pPr>
            <w:r>
              <w:rPr>
                <w:rFonts w:hint="eastAsia" w:ascii="宋体" w:hAnsi="宋体" w:cs="宋体"/>
                <w:color w:val="000000"/>
              </w:rPr>
              <w:t>4、主轴不小于∮25 mm，主轴部位设置有防止超速转动的阻尼装置；</w:t>
            </w:r>
          </w:p>
          <w:p>
            <w:pPr>
              <w:jc w:val="left"/>
              <w:rPr>
                <w:rFonts w:ascii="宋体" w:hAnsi="宋体" w:cs="宋体"/>
                <w:color w:val="000000"/>
              </w:rPr>
            </w:pPr>
            <w:r>
              <w:rPr>
                <w:rFonts w:hint="eastAsia" w:ascii="宋体" w:hAnsi="宋体" w:cs="宋体"/>
                <w:color w:val="000000"/>
              </w:rPr>
              <w:t>5、座板采用一次性冲压成型座板，使用更舒适；</w:t>
            </w:r>
          </w:p>
          <w:p>
            <w:pPr>
              <w:spacing w:line="360" w:lineRule="auto"/>
              <w:jc w:val="left"/>
              <w:textAlignment w:val="center"/>
              <w:rPr>
                <w:rFonts w:ascii="宋体" w:hAnsi="宋体" w:cs="宋体"/>
                <w:color w:val="000000"/>
              </w:rPr>
            </w:pPr>
            <w:r>
              <w:rPr>
                <w:rFonts w:hint="eastAsia" w:ascii="宋体" w:hAnsi="宋体" w:cs="宋体"/>
                <w:color w:val="000000"/>
              </w:rPr>
              <w:t>6、立柱采用外扣式封头，可防止雨水流入。</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inline distT="0" distB="0" distL="114300" distR="114300">
                  <wp:extent cx="1419225" cy="1010285"/>
                  <wp:effectExtent l="0" t="0" r="9525" b="18415"/>
                  <wp:docPr id="1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6"/>
                          <pic:cNvPicPr>
                            <a:picLocks noChangeAspect="1"/>
                          </pic:cNvPicPr>
                        </pic:nvPicPr>
                        <pic:blipFill>
                          <a:blip r:embed="rId18"/>
                          <a:stretch>
                            <a:fillRect/>
                          </a:stretch>
                        </pic:blipFill>
                        <pic:spPr>
                          <a:xfrm>
                            <a:off x="0" y="0"/>
                            <a:ext cx="1419225" cy="1010285"/>
                          </a:xfrm>
                          <a:prstGeom prst="rect">
                            <a:avLst/>
                          </a:prstGeom>
                          <a:noFill/>
                          <a:ln>
                            <a:noFill/>
                          </a:ln>
                        </pic:spPr>
                      </pic:pic>
                    </a:graphicData>
                  </a:graphic>
                </wp:inline>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钢、铝、塑木</w:t>
            </w:r>
          </w:p>
        </w:tc>
      </w:tr>
      <w:tr>
        <w:tblPrEx>
          <w:tblCellMar>
            <w:top w:w="15" w:type="dxa"/>
            <w:left w:w="15" w:type="dxa"/>
            <w:bottom w:w="15" w:type="dxa"/>
            <w:right w:w="15" w:type="dxa"/>
          </w:tblCellMar>
        </w:tblPrEx>
        <w:trPr>
          <w:trHeight w:val="25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8</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t>自重式腹背屈伸训练器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2</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rPr>
            </w:pPr>
            <w:r>
              <w:rPr>
                <w:rFonts w:hint="eastAsia" w:ascii="宋体" w:hAnsi="宋体" w:cs="宋体"/>
                <w:color w:val="000000"/>
              </w:rPr>
              <w:t>1、产品尺寸：不小于1800mm×660mm×1000mm，主立柱为钢、铝、塑木复合结构，主承载钢管不小于110mm×80×3mm</w:t>
            </w:r>
          </w:p>
          <w:p>
            <w:pPr>
              <w:spacing w:line="360" w:lineRule="auto"/>
              <w:jc w:val="left"/>
              <w:textAlignment w:val="center"/>
              <w:rPr>
                <w:rFonts w:ascii="宋体" w:hAnsi="宋体" w:cs="宋体"/>
                <w:color w:val="000000"/>
              </w:rPr>
            </w:pPr>
            <w:r>
              <w:rPr>
                <w:rFonts w:hint="eastAsia" w:ascii="宋体" w:hAnsi="宋体" w:cs="宋体"/>
                <w:color w:val="000000"/>
              </w:rPr>
              <w:t>2、活动部件底面与其它部件点间距大于120mm；</w:t>
            </w:r>
          </w:p>
          <w:p>
            <w:pPr>
              <w:spacing w:line="360" w:lineRule="auto"/>
              <w:jc w:val="left"/>
              <w:textAlignment w:val="center"/>
              <w:rPr>
                <w:rFonts w:ascii="宋体" w:hAnsi="宋体" w:cs="宋体"/>
                <w:color w:val="000000"/>
              </w:rPr>
            </w:pPr>
            <w:r>
              <w:rPr>
                <w:rFonts w:hint="eastAsia" w:ascii="宋体" w:hAnsi="宋体" w:cs="宋体"/>
                <w:color w:val="000000"/>
              </w:rPr>
              <w:t>3、脚踏部位应有防滑措施；</w:t>
            </w:r>
          </w:p>
          <w:p>
            <w:pPr>
              <w:spacing w:line="360" w:lineRule="auto"/>
              <w:jc w:val="left"/>
              <w:textAlignment w:val="center"/>
              <w:rPr>
                <w:rFonts w:ascii="宋体" w:hAnsi="宋体" w:cs="宋体"/>
                <w:color w:val="000000"/>
              </w:rPr>
            </w:pPr>
            <w:r>
              <w:rPr>
                <w:rFonts w:hint="eastAsia" w:ascii="宋体" w:hAnsi="宋体" w:cs="宋体"/>
                <w:color w:val="000000"/>
              </w:rPr>
              <w:t>4、活动部件点下底面距地面点高度应大200mm。</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inline distT="0" distB="0" distL="114300" distR="114300">
                  <wp:extent cx="1419860" cy="1038860"/>
                  <wp:effectExtent l="0" t="0" r="8890" b="8890"/>
                  <wp:docPr id="1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7"/>
                          <pic:cNvPicPr>
                            <a:picLocks noChangeAspect="1"/>
                          </pic:cNvPicPr>
                        </pic:nvPicPr>
                        <pic:blipFill>
                          <a:blip r:embed="rId19"/>
                          <a:stretch>
                            <a:fillRect/>
                          </a:stretch>
                        </pic:blipFill>
                        <pic:spPr>
                          <a:xfrm>
                            <a:off x="0" y="0"/>
                            <a:ext cx="1419860" cy="1038860"/>
                          </a:xfrm>
                          <a:prstGeom prst="rect">
                            <a:avLst/>
                          </a:prstGeom>
                          <a:noFill/>
                          <a:ln>
                            <a:noFill/>
                          </a:ln>
                        </pic:spPr>
                      </pic:pic>
                    </a:graphicData>
                  </a:graphic>
                </wp:inline>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钢、铝、塑木</w:t>
            </w:r>
          </w:p>
        </w:tc>
      </w:tr>
      <w:tr>
        <w:tblPrEx>
          <w:tblCellMar>
            <w:top w:w="15" w:type="dxa"/>
            <w:left w:w="15" w:type="dxa"/>
            <w:bottom w:w="15" w:type="dxa"/>
            <w:right w:w="15" w:type="dxa"/>
          </w:tblCellMar>
        </w:tblPrEx>
        <w:trPr>
          <w:trHeight w:val="736"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9</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t>太阳能心率柱</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2</w:t>
            </w:r>
          </w:p>
        </w:tc>
        <w:tc>
          <w:tcPr>
            <w:tcW w:w="4432" w:type="dxa"/>
            <w:tcBorders>
              <w:top w:val="single" w:color="000000" w:sz="4" w:space="0"/>
              <w:left w:val="single" w:color="000000" w:sz="4" w:space="0"/>
              <w:bottom w:val="single" w:color="000000" w:sz="4" w:space="0"/>
              <w:right w:val="single" w:color="000000" w:sz="4" w:space="0"/>
            </w:tcBorders>
            <w:noWrap/>
          </w:tcPr>
          <w:p>
            <w:pPr>
              <w:pStyle w:val="149"/>
              <w:spacing w:before="272"/>
              <w:ind w:right="-15"/>
              <w:rPr>
                <w:color w:val="000000"/>
              </w:rPr>
            </w:pPr>
            <w:r>
              <w:rPr>
                <w:rFonts w:hint="eastAsia"/>
                <w:color w:val="000000"/>
                <w:lang w:val="en-US"/>
              </w:rPr>
              <w:t>1、产品尺寸</w:t>
            </w:r>
            <w:r>
              <w:rPr>
                <w:rFonts w:hint="eastAsia"/>
                <w:color w:val="000000"/>
              </w:rPr>
              <w:t>：</w:t>
            </w:r>
            <w:r>
              <w:rPr>
                <w:rFonts w:hint="eastAsia"/>
                <w:color w:val="000000"/>
                <w:lang w:val="en-US"/>
              </w:rPr>
              <w:t>不小于</w:t>
            </w:r>
            <w:r>
              <w:rPr>
                <w:rFonts w:hint="eastAsia"/>
                <w:color w:val="000000"/>
                <w:kern w:val="0"/>
                <w:lang w:val="en-US"/>
              </w:rPr>
              <w:t>660mm×360mm×4100</w:t>
            </w:r>
            <w:r>
              <w:rPr>
                <w:rFonts w:hint="eastAsia"/>
                <w:color w:val="000000"/>
                <w:kern w:val="0"/>
              </w:rPr>
              <w:t>mm,</w:t>
            </w:r>
            <w:r>
              <w:rPr>
                <w:rFonts w:hint="eastAsia"/>
                <w:color w:val="000000"/>
              </w:rPr>
              <w:t>立柱截面尺寸</w:t>
            </w:r>
            <w:r>
              <w:rPr>
                <w:rFonts w:hint="eastAsia"/>
                <w:color w:val="000000"/>
                <w:spacing w:val="-3"/>
              </w:rPr>
              <w:t>130×120mm</w:t>
            </w:r>
            <w:r>
              <w:rPr>
                <w:rFonts w:hint="eastAsia"/>
                <w:color w:val="000000"/>
                <w:spacing w:val="-9"/>
              </w:rPr>
              <w:t>，钢、铝、塑木</w:t>
            </w:r>
            <w:r>
              <w:rPr>
                <w:rFonts w:hint="eastAsia"/>
                <w:color w:val="000000"/>
                <w:spacing w:val="-9"/>
                <w:lang w:val="en-US"/>
              </w:rPr>
              <w:t>复合</w:t>
            </w:r>
            <w:r>
              <w:rPr>
                <w:rFonts w:hint="eastAsia"/>
                <w:color w:val="000000"/>
                <w:spacing w:val="-9"/>
              </w:rPr>
              <w:t>结构，主承载钢管不小于1</w:t>
            </w:r>
            <w:r>
              <w:rPr>
                <w:rFonts w:hint="eastAsia"/>
                <w:color w:val="000000"/>
                <w:spacing w:val="-9"/>
                <w:lang w:val="en-US"/>
              </w:rPr>
              <w:t>10</w:t>
            </w:r>
            <w:r>
              <w:rPr>
                <w:rFonts w:hint="eastAsia"/>
                <w:color w:val="000000"/>
                <w:spacing w:val="-9"/>
              </w:rPr>
              <w:t>×</w:t>
            </w:r>
            <w:r>
              <w:rPr>
                <w:rFonts w:hint="eastAsia"/>
                <w:color w:val="000000"/>
                <w:spacing w:val="-9"/>
                <w:lang w:val="en-US"/>
              </w:rPr>
              <w:t>8</w:t>
            </w:r>
            <w:r>
              <w:rPr>
                <w:rFonts w:hint="eastAsia"/>
                <w:color w:val="000000"/>
                <w:spacing w:val="-9"/>
              </w:rPr>
              <w:t>0×3.0mm</w:t>
            </w:r>
          </w:p>
          <w:p>
            <w:pPr>
              <w:pStyle w:val="149"/>
              <w:spacing w:before="152"/>
              <w:rPr>
                <w:color w:val="000000"/>
              </w:rPr>
            </w:pPr>
            <w:r>
              <w:rPr>
                <w:rFonts w:hint="eastAsia"/>
                <w:color w:val="000000"/>
              </w:rPr>
              <w:t>2、采用太阳能板，解决电源问题；</w:t>
            </w:r>
          </w:p>
          <w:p>
            <w:pPr>
              <w:spacing w:line="360" w:lineRule="auto"/>
              <w:jc w:val="left"/>
              <w:textAlignment w:val="center"/>
              <w:rPr>
                <w:rFonts w:ascii="宋体" w:hAnsi="宋体" w:cs="宋体"/>
                <w:color w:val="000000"/>
              </w:rPr>
            </w:pPr>
            <w:r>
              <w:rPr>
                <w:rFonts w:hint="eastAsia" w:ascii="宋体" w:hAnsi="宋体" w:cs="宋体"/>
                <w:color w:val="000000"/>
              </w:rPr>
              <w:t>3、可以显示锻炼者瞬间心率，并连接到手机APP上，记录锻炼者个人数据；</w:t>
            </w:r>
          </w:p>
          <w:p>
            <w:pPr>
              <w:spacing w:line="360" w:lineRule="auto"/>
              <w:jc w:val="left"/>
              <w:textAlignment w:val="center"/>
              <w:rPr>
                <w:rFonts w:ascii="宋体" w:hAnsi="宋体" w:cs="宋体"/>
                <w:color w:val="000000"/>
              </w:rPr>
            </w:pPr>
            <w:r>
              <w:rPr>
                <w:rFonts w:hint="eastAsia" w:ascii="宋体" w:hAnsi="宋体" w:cs="宋体"/>
                <w:color w:val="000000"/>
              </w:rPr>
              <w:t>4、配备手握模块；</w:t>
            </w:r>
          </w:p>
          <w:p>
            <w:pPr>
              <w:spacing w:line="360" w:lineRule="auto"/>
              <w:jc w:val="left"/>
              <w:textAlignment w:val="center"/>
              <w:rPr>
                <w:rFonts w:ascii="宋体" w:hAnsi="宋体" w:cs="宋体"/>
                <w:color w:val="000000"/>
              </w:rPr>
            </w:pPr>
            <w:r>
              <w:rPr>
                <w:rFonts w:hint="eastAsia" w:ascii="宋体" w:hAnsi="宋体" w:cs="宋体"/>
                <w:color w:val="000000"/>
              </w:rPr>
              <w:t>5、语音播报为内置结构，要防盗防撞击</w:t>
            </w:r>
          </w:p>
          <w:p>
            <w:pPr>
              <w:spacing w:line="360" w:lineRule="auto"/>
              <w:jc w:val="left"/>
              <w:textAlignment w:val="center"/>
              <w:rPr>
                <w:rFonts w:ascii="宋体" w:hAnsi="宋体" w:cs="宋体"/>
                <w:color w:val="000000"/>
              </w:rPr>
            </w:pPr>
            <w:r>
              <w:rPr>
                <w:rFonts w:hint="eastAsia" w:ascii="宋体" w:hAnsi="宋体" w:cs="宋体"/>
                <w:color w:val="000000"/>
              </w:rPr>
              <w:t>6、可以扫描二维码实现视频使用指导功能。</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inline distT="0" distB="0" distL="114300" distR="114300">
                  <wp:extent cx="1417320" cy="1328420"/>
                  <wp:effectExtent l="0" t="0" r="11430" b="5080"/>
                  <wp:docPr id="1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8"/>
                          <pic:cNvPicPr>
                            <a:picLocks noChangeAspect="1"/>
                          </pic:cNvPicPr>
                        </pic:nvPicPr>
                        <pic:blipFill>
                          <a:blip r:embed="rId20"/>
                          <a:stretch>
                            <a:fillRect/>
                          </a:stretch>
                        </pic:blipFill>
                        <pic:spPr>
                          <a:xfrm>
                            <a:off x="0" y="0"/>
                            <a:ext cx="1417320" cy="1328420"/>
                          </a:xfrm>
                          <a:prstGeom prst="rect">
                            <a:avLst/>
                          </a:prstGeom>
                          <a:noFill/>
                          <a:ln>
                            <a:noFill/>
                          </a:ln>
                        </pic:spPr>
                      </pic:pic>
                    </a:graphicData>
                  </a:graphic>
                </wp:inline>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钢、铝、塑木</w:t>
            </w:r>
          </w:p>
        </w:tc>
      </w:tr>
      <w:tr>
        <w:tblPrEx>
          <w:tblCellMar>
            <w:top w:w="15" w:type="dxa"/>
            <w:left w:w="15" w:type="dxa"/>
            <w:bottom w:w="15" w:type="dxa"/>
            <w:right w:w="15" w:type="dxa"/>
          </w:tblCellMar>
        </w:tblPrEx>
        <w:trPr>
          <w:trHeight w:val="25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10</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rPr>
              <w:t>坐式推举训练器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1、主立柱采用120×80×3.0mm矩形钢管；</w:t>
            </w:r>
          </w:p>
          <w:p>
            <w:pPr>
              <w:tabs>
                <w:tab w:val="left" w:pos="8146"/>
              </w:tabs>
              <w:jc w:val="left"/>
              <w:rPr>
                <w:rFonts w:ascii="宋体" w:hAnsi="宋体" w:cs="宋体"/>
                <w:color w:val="000000"/>
              </w:rPr>
            </w:pPr>
            <w:r>
              <w:rPr>
                <w:rFonts w:hint="eastAsia" w:ascii="宋体" w:hAnsi="宋体" w:cs="宋体"/>
                <w:color w:val="000000"/>
              </w:rPr>
              <w:t>2、推把管采用100×50×3.0mm其它管：100×60×3mm矩形钢管；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4、双轴结构设计，高密度塑木座板+靠背；</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6、手把管采用高强度铝合金材料制作而成；</w:t>
            </w:r>
          </w:p>
          <w:p>
            <w:pPr>
              <w:spacing w:line="360" w:lineRule="auto"/>
              <w:textAlignment w:val="center"/>
              <w:rPr>
                <w:rFonts w:ascii="宋体" w:hAnsi="宋体" w:cs="宋体"/>
                <w:color w:val="000000"/>
              </w:rPr>
            </w:pPr>
            <w:r>
              <w:rPr>
                <w:rFonts w:hint="eastAsia" w:ascii="宋体" w:hAnsi="宋体" w:cs="宋体"/>
                <w:color w:val="000000"/>
              </w:rPr>
              <w:t>7、产品采用内限位结构；</w:t>
            </w:r>
          </w:p>
          <w:p>
            <w:pPr>
              <w:spacing w:line="360" w:lineRule="auto"/>
              <w:textAlignment w:val="center"/>
              <w:rPr>
                <w:rFonts w:ascii="宋体" w:hAnsi="宋体" w:cs="宋体"/>
                <w:color w:val="000000"/>
              </w:rPr>
            </w:pPr>
            <w:r>
              <w:rPr>
                <w:rFonts w:hint="eastAsia" w:ascii="宋体" w:hAnsi="宋体" w:cs="宋体"/>
                <w:color w:val="000000"/>
              </w:rPr>
              <w:t>8、手把套、脚踏管都有防滑处理；</w:t>
            </w:r>
          </w:p>
          <w:p>
            <w:pPr>
              <w:spacing w:line="360" w:lineRule="auto"/>
              <w:jc w:val="left"/>
              <w:textAlignment w:val="center"/>
              <w:rPr>
                <w:rFonts w:ascii="宋体" w:hAnsi="宋体" w:cs="宋体"/>
                <w:color w:val="000000"/>
              </w:rPr>
            </w:pPr>
            <w:r>
              <w:rPr>
                <w:rFonts w:hint="eastAsia" w:ascii="宋体" w:hAnsi="宋体" w:cs="宋体"/>
                <w:color w:val="000000"/>
              </w:rPr>
              <w:t>9、器材符合GB19272-2011标准；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10、功能：锻炼三角肌，尤其是该肌中部，以及斜方肌上部，前锯肌上和肱三头肌。</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rPr>
              <w:drawing>
                <wp:anchor distT="0" distB="0" distL="114935" distR="114935" simplePos="0" relativeHeight="251659264" behindDoc="0" locked="0" layoutInCell="1" allowOverlap="1">
                  <wp:simplePos x="0" y="0"/>
                  <wp:positionH relativeFrom="column">
                    <wp:posOffset>223520</wp:posOffset>
                  </wp:positionH>
                  <wp:positionV relativeFrom="paragraph">
                    <wp:posOffset>1424305</wp:posOffset>
                  </wp:positionV>
                  <wp:extent cx="970280" cy="1080135"/>
                  <wp:effectExtent l="0" t="0" r="1270" b="5715"/>
                  <wp:wrapSquare wrapText="bothSides"/>
                  <wp:docPr id="107" name="图片 1" descr="UC截图2019081909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 descr="UC截图20190819092421"/>
                          <pic:cNvPicPr>
                            <a:picLocks noChangeAspect="1"/>
                          </pic:cNvPicPr>
                        </pic:nvPicPr>
                        <pic:blipFill>
                          <a:blip r:embed="rId21"/>
                          <a:stretch>
                            <a:fillRect/>
                          </a:stretch>
                        </pic:blipFill>
                        <pic:spPr>
                          <a:xfrm>
                            <a:off x="0" y="0"/>
                            <a:ext cx="970280" cy="1080135"/>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25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11</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rPr>
              <w:t>坐式划船训练器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1、主立柱采用120×80×3.0mm矩形钢管；</w:t>
            </w:r>
          </w:p>
          <w:p>
            <w:pPr>
              <w:tabs>
                <w:tab w:val="left" w:pos="8146"/>
              </w:tabs>
              <w:jc w:val="left"/>
              <w:rPr>
                <w:rFonts w:ascii="宋体" w:hAnsi="宋体" w:cs="宋体"/>
                <w:color w:val="000000"/>
              </w:rPr>
            </w:pPr>
            <w:r>
              <w:rPr>
                <w:rFonts w:hint="eastAsia" w:ascii="宋体" w:hAnsi="宋体" w:cs="宋体"/>
                <w:color w:val="000000"/>
              </w:rPr>
              <w:t>2、推把管采用100×50×3.0mm,其它管：100×60×3mm矩形钢管；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4、双轴结构设计，高密度塑木座板+靠背；</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6、手把管采用高强度铝合金材料制作而成；</w:t>
            </w:r>
          </w:p>
          <w:p>
            <w:pPr>
              <w:spacing w:line="360" w:lineRule="auto"/>
              <w:textAlignment w:val="center"/>
              <w:rPr>
                <w:rFonts w:ascii="宋体" w:hAnsi="宋体" w:cs="宋体"/>
                <w:color w:val="000000"/>
              </w:rPr>
            </w:pPr>
            <w:r>
              <w:rPr>
                <w:rFonts w:hint="eastAsia" w:ascii="宋体" w:hAnsi="宋体" w:cs="宋体"/>
                <w:color w:val="000000"/>
              </w:rPr>
              <w:t>7、产品采用内限位结构；</w:t>
            </w:r>
          </w:p>
          <w:p>
            <w:pPr>
              <w:spacing w:line="360" w:lineRule="auto"/>
              <w:textAlignment w:val="center"/>
              <w:rPr>
                <w:rFonts w:ascii="宋体" w:hAnsi="宋体" w:cs="宋体"/>
                <w:color w:val="000000"/>
              </w:rPr>
            </w:pPr>
            <w:r>
              <w:rPr>
                <w:rFonts w:hint="eastAsia" w:ascii="宋体" w:hAnsi="宋体" w:cs="宋体"/>
                <w:color w:val="000000"/>
              </w:rPr>
              <w:t>8、手把套、脚踏管都有防滑处理；</w:t>
            </w:r>
          </w:p>
          <w:p>
            <w:pPr>
              <w:spacing w:line="360" w:lineRule="auto"/>
              <w:jc w:val="left"/>
              <w:textAlignment w:val="center"/>
              <w:rPr>
                <w:rFonts w:ascii="宋体" w:hAnsi="宋体" w:cs="宋体"/>
                <w:color w:val="000000"/>
              </w:rPr>
            </w:pPr>
            <w:r>
              <w:rPr>
                <w:rFonts w:hint="eastAsia" w:ascii="宋体" w:hAnsi="宋体" w:cs="宋体"/>
                <w:color w:val="000000"/>
              </w:rPr>
              <w:t>9、器材符合GB19272-2011标准；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10、功能：主要锻炼背部肌肉，尤其是背阔肌，同时对大圆肌、三角肌后部、肱二头肌、肱肌、肱桡肌、菱形肌也能起到锻炼作用。</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rPr>
              <w:drawing>
                <wp:anchor distT="0" distB="0" distL="114935" distR="114935" simplePos="0" relativeHeight="251660288" behindDoc="0" locked="0" layoutInCell="1" allowOverlap="1">
                  <wp:simplePos x="0" y="0"/>
                  <wp:positionH relativeFrom="column">
                    <wp:posOffset>124460</wp:posOffset>
                  </wp:positionH>
                  <wp:positionV relativeFrom="paragraph">
                    <wp:posOffset>1366520</wp:posOffset>
                  </wp:positionV>
                  <wp:extent cx="1199515" cy="1158240"/>
                  <wp:effectExtent l="0" t="0" r="635" b="3810"/>
                  <wp:wrapSquare wrapText="bothSides"/>
                  <wp:docPr id="108" name="图片 19" descr="UC截图2019081909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9" descr="UC截图20190819092822"/>
                          <pic:cNvPicPr>
                            <a:picLocks noChangeAspect="1"/>
                          </pic:cNvPicPr>
                        </pic:nvPicPr>
                        <pic:blipFill>
                          <a:blip r:embed="rId22"/>
                          <a:stretch>
                            <a:fillRect/>
                          </a:stretch>
                        </pic:blipFill>
                        <pic:spPr>
                          <a:xfrm>
                            <a:off x="0" y="0"/>
                            <a:ext cx="1199515" cy="1158240"/>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9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12</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上斜推举训练器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1、主立柱采用120×80×3.0mm矩形钢管；</w:t>
            </w:r>
          </w:p>
          <w:p>
            <w:pPr>
              <w:tabs>
                <w:tab w:val="left" w:pos="8146"/>
              </w:tabs>
              <w:jc w:val="left"/>
              <w:rPr>
                <w:rFonts w:ascii="宋体" w:hAnsi="宋体" w:cs="宋体"/>
                <w:color w:val="000000"/>
              </w:rPr>
            </w:pPr>
            <w:r>
              <w:rPr>
                <w:rFonts w:hint="eastAsia" w:ascii="宋体" w:hAnsi="宋体" w:cs="宋体"/>
                <w:color w:val="000000"/>
              </w:rPr>
              <w:t>2、推把管采用100×50×3.0mm，其它管：100×60×3mm矩形钢管；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4、双轴结构设计，高密度塑木座板+靠背；</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6、手把管采用高强度铝合金材料制作而成；</w:t>
            </w:r>
          </w:p>
          <w:p>
            <w:pPr>
              <w:spacing w:line="360" w:lineRule="auto"/>
              <w:textAlignment w:val="center"/>
              <w:rPr>
                <w:rFonts w:ascii="宋体" w:hAnsi="宋体" w:cs="宋体"/>
                <w:color w:val="000000"/>
              </w:rPr>
            </w:pPr>
            <w:r>
              <w:rPr>
                <w:rFonts w:hint="eastAsia" w:ascii="宋体" w:hAnsi="宋体" w:cs="宋体"/>
                <w:color w:val="000000"/>
              </w:rPr>
              <w:t>7、产品采用内限位结构；</w:t>
            </w:r>
          </w:p>
          <w:p>
            <w:pPr>
              <w:spacing w:line="360" w:lineRule="auto"/>
              <w:textAlignment w:val="center"/>
              <w:rPr>
                <w:rFonts w:ascii="宋体" w:hAnsi="宋体" w:cs="宋体"/>
                <w:color w:val="000000"/>
              </w:rPr>
            </w:pPr>
            <w:r>
              <w:rPr>
                <w:rFonts w:hint="eastAsia" w:ascii="宋体" w:hAnsi="宋体" w:cs="宋体"/>
                <w:color w:val="000000"/>
              </w:rPr>
              <w:t>8、手把套、脚踏管都有防滑处理；</w:t>
            </w:r>
          </w:p>
          <w:p>
            <w:pPr>
              <w:spacing w:line="360" w:lineRule="auto"/>
              <w:jc w:val="left"/>
              <w:textAlignment w:val="center"/>
              <w:rPr>
                <w:rFonts w:ascii="宋体" w:hAnsi="宋体" w:cs="宋体"/>
                <w:color w:val="000000"/>
              </w:rPr>
            </w:pPr>
            <w:r>
              <w:rPr>
                <w:rFonts w:hint="eastAsia" w:ascii="宋体" w:hAnsi="宋体" w:cs="宋体"/>
                <w:color w:val="000000"/>
              </w:rPr>
              <w:t>9、器材符合GB19272-2011标准；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10、功能：主要锻炼锻炼胸大肌为主，同时可对其起牵拉作用。此外还能锻炼三角肌前部、肱三头肌、前锯肌和胸小肌。</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rPr>
              <w:drawing>
                <wp:anchor distT="0" distB="0" distL="114935" distR="114935" simplePos="0" relativeHeight="251661312" behindDoc="0" locked="0" layoutInCell="1" allowOverlap="1">
                  <wp:simplePos x="0" y="0"/>
                  <wp:positionH relativeFrom="column">
                    <wp:posOffset>199390</wp:posOffset>
                  </wp:positionH>
                  <wp:positionV relativeFrom="paragraph">
                    <wp:posOffset>1682115</wp:posOffset>
                  </wp:positionV>
                  <wp:extent cx="1090930" cy="1069975"/>
                  <wp:effectExtent l="0" t="0" r="13970" b="15875"/>
                  <wp:wrapSquare wrapText="bothSides"/>
                  <wp:docPr id="109" name="图片 20" descr="UC截图20190819094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20" descr="UC截图20190819094654"/>
                          <pic:cNvPicPr>
                            <a:picLocks noChangeAspect="1"/>
                          </pic:cNvPicPr>
                        </pic:nvPicPr>
                        <pic:blipFill>
                          <a:blip r:embed="rId23"/>
                          <a:stretch>
                            <a:fillRect/>
                          </a:stretch>
                        </pic:blipFill>
                        <pic:spPr>
                          <a:xfrm>
                            <a:off x="0" y="0"/>
                            <a:ext cx="1090930" cy="1069975"/>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25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13</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背肌训练器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1、主立柱采用120×80×3.0mm矩形钢管；</w:t>
            </w:r>
          </w:p>
          <w:p>
            <w:pPr>
              <w:tabs>
                <w:tab w:val="left" w:pos="8146"/>
              </w:tabs>
              <w:jc w:val="left"/>
              <w:rPr>
                <w:rFonts w:ascii="宋体" w:hAnsi="宋体" w:cs="宋体"/>
                <w:color w:val="000000"/>
              </w:rPr>
            </w:pPr>
            <w:r>
              <w:rPr>
                <w:rFonts w:hint="eastAsia" w:ascii="宋体" w:hAnsi="宋体" w:cs="宋体"/>
                <w:color w:val="000000"/>
              </w:rPr>
              <w:t>2、配重管采用100×50×3.0mm,其它管：100×60×3mm矩形钢管；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4、高密度塑木座板+靠背；</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6、产品采用内限位结构；</w:t>
            </w:r>
          </w:p>
          <w:p>
            <w:pPr>
              <w:spacing w:line="360" w:lineRule="auto"/>
              <w:textAlignment w:val="center"/>
              <w:rPr>
                <w:rFonts w:ascii="宋体" w:hAnsi="宋体" w:cs="宋体"/>
                <w:color w:val="000000"/>
              </w:rPr>
            </w:pPr>
            <w:r>
              <w:rPr>
                <w:rFonts w:hint="eastAsia" w:ascii="宋体" w:hAnsi="宋体" w:cs="宋体"/>
                <w:color w:val="000000"/>
              </w:rPr>
              <w:t>7、手把套、脚踏管都有防滑处理；</w:t>
            </w:r>
          </w:p>
          <w:p>
            <w:pPr>
              <w:spacing w:line="360" w:lineRule="auto"/>
              <w:jc w:val="left"/>
              <w:textAlignment w:val="center"/>
              <w:rPr>
                <w:rFonts w:ascii="宋体" w:hAnsi="宋体" w:cs="宋体"/>
                <w:color w:val="000000"/>
              </w:rPr>
            </w:pPr>
            <w:r>
              <w:rPr>
                <w:rFonts w:hint="eastAsia" w:ascii="宋体" w:hAnsi="宋体" w:cs="宋体"/>
                <w:color w:val="000000"/>
              </w:rPr>
              <w:t>8、器材符合GB19272-2011标准；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9、功能：通过下背部（特别是腰骶部的棘肌）用力，来锻炼竖脊肌。</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anchor distT="0" distB="0" distL="114935" distR="114935" simplePos="0" relativeHeight="251662336" behindDoc="0" locked="0" layoutInCell="1" allowOverlap="1">
                  <wp:simplePos x="0" y="0"/>
                  <wp:positionH relativeFrom="column">
                    <wp:posOffset>200660</wp:posOffset>
                  </wp:positionH>
                  <wp:positionV relativeFrom="paragraph">
                    <wp:posOffset>1144905</wp:posOffset>
                  </wp:positionV>
                  <wp:extent cx="1040765" cy="1209675"/>
                  <wp:effectExtent l="0" t="0" r="6985" b="9525"/>
                  <wp:wrapSquare wrapText="bothSides"/>
                  <wp:docPr id="110" name="图片 21" descr="UC截图2019083113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21" descr="UC截图20190831135717"/>
                          <pic:cNvPicPr>
                            <a:picLocks noChangeAspect="1"/>
                          </pic:cNvPicPr>
                        </pic:nvPicPr>
                        <pic:blipFill>
                          <a:blip r:embed="rId24"/>
                          <a:stretch>
                            <a:fillRect/>
                          </a:stretch>
                        </pic:blipFill>
                        <pic:spPr>
                          <a:xfrm>
                            <a:off x="0" y="0"/>
                            <a:ext cx="1040765" cy="1209675"/>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137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14</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 xml:space="preserve">坐式踢腿训练器 </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1、主立柱采用120×80×3.0mm矩形钢管；</w:t>
            </w:r>
          </w:p>
          <w:p>
            <w:pPr>
              <w:tabs>
                <w:tab w:val="left" w:pos="8146"/>
              </w:tabs>
              <w:jc w:val="left"/>
              <w:rPr>
                <w:rFonts w:ascii="宋体" w:hAnsi="宋体" w:cs="宋体"/>
                <w:color w:val="000000"/>
              </w:rPr>
            </w:pPr>
            <w:r>
              <w:rPr>
                <w:rFonts w:hint="eastAsia" w:ascii="宋体" w:hAnsi="宋体" w:cs="宋体"/>
                <w:color w:val="000000"/>
              </w:rPr>
              <w:t>2、配重管采用100×50×3.0mm,其它管：100×60×3mm矩形钢管；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4、高密度塑木座板+靠背；</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6、产品采用内限位结构；</w:t>
            </w:r>
          </w:p>
          <w:p>
            <w:pPr>
              <w:spacing w:line="360" w:lineRule="auto"/>
              <w:textAlignment w:val="center"/>
              <w:rPr>
                <w:rFonts w:ascii="宋体" w:hAnsi="宋体" w:cs="宋体"/>
                <w:color w:val="000000"/>
              </w:rPr>
            </w:pPr>
            <w:r>
              <w:rPr>
                <w:rFonts w:hint="eastAsia" w:ascii="宋体" w:hAnsi="宋体" w:cs="宋体"/>
                <w:color w:val="000000"/>
              </w:rPr>
              <w:t>7、手把套、脚踏管都有防滑处理；</w:t>
            </w:r>
          </w:p>
          <w:p>
            <w:pPr>
              <w:spacing w:line="360" w:lineRule="auto"/>
              <w:jc w:val="left"/>
              <w:textAlignment w:val="center"/>
              <w:rPr>
                <w:rFonts w:ascii="宋体" w:hAnsi="宋体" w:cs="宋体"/>
                <w:color w:val="000000"/>
              </w:rPr>
            </w:pPr>
            <w:r>
              <w:rPr>
                <w:rFonts w:hint="eastAsia" w:ascii="宋体" w:hAnsi="宋体" w:cs="宋体"/>
                <w:color w:val="000000"/>
              </w:rPr>
              <w:t>8、器材符合GB19272-2011标准；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9、功能：此动作是对股四头肌最好的锻炼。抬起小腿时股直肌将受到牵拉从而得到更强化的锻炼。</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anchor distT="0" distB="0" distL="114935" distR="114935" simplePos="0" relativeHeight="251663360" behindDoc="0" locked="0" layoutInCell="1" allowOverlap="1">
                  <wp:simplePos x="0" y="0"/>
                  <wp:positionH relativeFrom="column">
                    <wp:posOffset>105410</wp:posOffset>
                  </wp:positionH>
                  <wp:positionV relativeFrom="paragraph">
                    <wp:posOffset>1380490</wp:posOffset>
                  </wp:positionV>
                  <wp:extent cx="1224280" cy="1241425"/>
                  <wp:effectExtent l="0" t="0" r="13970" b="15875"/>
                  <wp:wrapSquare wrapText="bothSides"/>
                  <wp:docPr id="104" name="图片 22" descr="UC截图2019083113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22" descr="UC截图20190831135557"/>
                          <pic:cNvPicPr>
                            <a:picLocks noChangeAspect="1"/>
                          </pic:cNvPicPr>
                        </pic:nvPicPr>
                        <pic:blipFill>
                          <a:blip r:embed="rId25"/>
                          <a:stretch>
                            <a:fillRect/>
                          </a:stretch>
                        </pic:blipFill>
                        <pic:spPr>
                          <a:xfrm>
                            <a:off x="0" y="0"/>
                            <a:ext cx="1224280" cy="1241425"/>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107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15</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rPr>
              <w:t>腰部侧屈训练器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1、主立柱采用120×80×3.0mm矩形钢管；</w:t>
            </w:r>
          </w:p>
          <w:p>
            <w:pPr>
              <w:tabs>
                <w:tab w:val="left" w:pos="8146"/>
              </w:tabs>
              <w:jc w:val="left"/>
              <w:rPr>
                <w:rFonts w:ascii="宋体" w:hAnsi="宋体" w:cs="宋体"/>
                <w:color w:val="000000"/>
              </w:rPr>
            </w:pPr>
            <w:r>
              <w:rPr>
                <w:rFonts w:hint="eastAsia" w:ascii="宋体" w:hAnsi="宋体" w:cs="宋体"/>
                <w:color w:val="000000"/>
              </w:rPr>
              <w:t>2、配重管采用100×50×3.0mm,其它管：100×60×3mm矩形钢管；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4、高密度塑木座板+靠背；</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6、产品采用内限位结构；</w:t>
            </w:r>
          </w:p>
          <w:p>
            <w:pPr>
              <w:spacing w:line="360" w:lineRule="auto"/>
              <w:textAlignment w:val="center"/>
              <w:rPr>
                <w:rFonts w:ascii="宋体" w:hAnsi="宋体" w:cs="宋体"/>
                <w:color w:val="000000"/>
              </w:rPr>
            </w:pPr>
            <w:r>
              <w:rPr>
                <w:rFonts w:hint="eastAsia" w:ascii="宋体" w:hAnsi="宋体" w:cs="宋体"/>
                <w:color w:val="000000"/>
              </w:rPr>
              <w:t>7、手把套、脚踏管都有防滑处理；</w:t>
            </w:r>
          </w:p>
          <w:p>
            <w:pPr>
              <w:spacing w:line="360" w:lineRule="auto"/>
              <w:jc w:val="left"/>
              <w:textAlignment w:val="center"/>
              <w:rPr>
                <w:rFonts w:ascii="宋体" w:hAnsi="宋体" w:cs="宋体"/>
                <w:color w:val="000000"/>
              </w:rPr>
            </w:pPr>
            <w:r>
              <w:rPr>
                <w:rFonts w:hint="eastAsia" w:ascii="宋体" w:hAnsi="宋体" w:cs="宋体"/>
                <w:color w:val="000000"/>
              </w:rPr>
              <w:t>8、器材符合GB19272-2011标准；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9、功能：主要锻炼腹外斜肌。同时能对腰部核心肌群起到很好的锻炼作用。</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anchor distT="0" distB="0" distL="114935" distR="114935" simplePos="0" relativeHeight="251664384" behindDoc="0" locked="0" layoutInCell="1" allowOverlap="1">
                  <wp:simplePos x="0" y="0"/>
                  <wp:positionH relativeFrom="column">
                    <wp:posOffset>86360</wp:posOffset>
                  </wp:positionH>
                  <wp:positionV relativeFrom="paragraph">
                    <wp:posOffset>1266190</wp:posOffset>
                  </wp:positionV>
                  <wp:extent cx="1273810" cy="1373505"/>
                  <wp:effectExtent l="0" t="0" r="2540" b="17145"/>
                  <wp:wrapSquare wrapText="bothSides"/>
                  <wp:docPr id="106" name="图片 23" descr="UC截图201908311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23" descr="UC截图20190831163000"/>
                          <pic:cNvPicPr>
                            <a:picLocks noChangeAspect="1"/>
                          </pic:cNvPicPr>
                        </pic:nvPicPr>
                        <pic:blipFill>
                          <a:blip r:embed="rId26"/>
                          <a:stretch>
                            <a:fillRect/>
                          </a:stretch>
                        </pic:blipFill>
                        <pic:spPr>
                          <a:xfrm>
                            <a:off x="0" y="0"/>
                            <a:ext cx="1273810" cy="1373505"/>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25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16</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t>后踢腿训练器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1、主立柱采用120×80×3.0mm矩形钢管；</w:t>
            </w:r>
          </w:p>
          <w:p>
            <w:pPr>
              <w:tabs>
                <w:tab w:val="left" w:pos="8146"/>
              </w:tabs>
              <w:jc w:val="left"/>
              <w:rPr>
                <w:rFonts w:ascii="宋体" w:hAnsi="宋体" w:cs="宋体"/>
                <w:color w:val="000000"/>
              </w:rPr>
            </w:pPr>
            <w:r>
              <w:rPr>
                <w:rFonts w:hint="eastAsia" w:ascii="宋体" w:hAnsi="宋体" w:cs="宋体"/>
                <w:color w:val="000000"/>
              </w:rPr>
              <w:t>2、配重管采用100×50×3.0mm,其它管：100×60×3mm矩形钢管；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4、高密度塑木肘垫板；</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6、产品采用内限位结构；</w:t>
            </w:r>
          </w:p>
          <w:p>
            <w:pPr>
              <w:spacing w:line="360" w:lineRule="auto"/>
              <w:textAlignment w:val="center"/>
              <w:rPr>
                <w:rFonts w:ascii="宋体" w:hAnsi="宋体" w:cs="宋体"/>
                <w:color w:val="000000"/>
              </w:rPr>
            </w:pPr>
            <w:r>
              <w:rPr>
                <w:rFonts w:hint="eastAsia" w:ascii="宋体" w:hAnsi="宋体" w:cs="宋体"/>
                <w:color w:val="000000"/>
              </w:rPr>
              <w:t>7、手把套、脚踏管都有防滑处理；</w:t>
            </w:r>
          </w:p>
          <w:p>
            <w:pPr>
              <w:spacing w:line="360" w:lineRule="auto"/>
              <w:jc w:val="left"/>
              <w:textAlignment w:val="center"/>
              <w:rPr>
                <w:rFonts w:ascii="宋体" w:hAnsi="宋体" w:cs="宋体"/>
                <w:color w:val="000000"/>
              </w:rPr>
            </w:pPr>
            <w:r>
              <w:rPr>
                <w:rFonts w:hint="eastAsia" w:ascii="宋体" w:hAnsi="宋体" w:cs="宋体"/>
                <w:color w:val="000000"/>
              </w:rPr>
              <w:t>8、器材符合GB19272-2011标准；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9、功能：主要锻炼股四头肌和臀肌。有利于腿部塑形，增加臀肌紧张度。</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anchor distT="0" distB="0" distL="114935" distR="114935" simplePos="0" relativeHeight="251665408" behindDoc="0" locked="0" layoutInCell="1" allowOverlap="1">
                  <wp:simplePos x="0" y="0"/>
                  <wp:positionH relativeFrom="column">
                    <wp:posOffset>105410</wp:posOffset>
                  </wp:positionH>
                  <wp:positionV relativeFrom="paragraph">
                    <wp:posOffset>1280795</wp:posOffset>
                  </wp:positionV>
                  <wp:extent cx="1209040" cy="1308100"/>
                  <wp:effectExtent l="0" t="0" r="10160" b="6350"/>
                  <wp:wrapSquare wrapText="bothSides"/>
                  <wp:docPr id="103" name="图片 24" descr="UC截图2019081910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24" descr="UC截图20190819102259"/>
                          <pic:cNvPicPr>
                            <a:picLocks noChangeAspect="1"/>
                          </pic:cNvPicPr>
                        </pic:nvPicPr>
                        <pic:blipFill>
                          <a:blip r:embed="rId27"/>
                          <a:stretch>
                            <a:fillRect/>
                          </a:stretch>
                        </pic:blipFill>
                        <pic:spPr>
                          <a:xfrm>
                            <a:off x="0" y="0"/>
                            <a:ext cx="1209040" cy="1308100"/>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25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17</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tabs>
                <w:tab w:val="left" w:pos="8146"/>
              </w:tabs>
              <w:jc w:val="center"/>
              <w:rPr>
                <w:rFonts w:ascii="宋体" w:hAnsi="宋体" w:cs="宋体"/>
                <w:color w:val="000000"/>
              </w:rPr>
            </w:pPr>
            <w:r>
              <w:rPr>
                <w:rFonts w:hint="eastAsia" w:ascii="宋体" w:hAnsi="宋体" w:cs="宋体"/>
                <w:color w:val="000000"/>
              </w:rPr>
              <w:t>髋部</w:t>
            </w:r>
          </w:p>
          <w:p>
            <w:pPr>
              <w:jc w:val="center"/>
              <w:textAlignment w:val="center"/>
              <w:rPr>
                <w:rFonts w:ascii="宋体" w:hAnsi="宋体" w:cs="宋体"/>
                <w:color w:val="000000"/>
              </w:rPr>
            </w:pPr>
            <w:r>
              <w:rPr>
                <w:rFonts w:hint="eastAsia" w:ascii="宋体" w:hAnsi="宋体" w:cs="宋体"/>
                <w:color w:val="000000"/>
              </w:rPr>
              <w:t>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1、主立柱采用120×80×3.0mm矩形钢管；</w:t>
            </w:r>
          </w:p>
          <w:p>
            <w:pPr>
              <w:tabs>
                <w:tab w:val="left" w:pos="8146"/>
              </w:tabs>
              <w:jc w:val="left"/>
              <w:rPr>
                <w:rFonts w:ascii="宋体" w:hAnsi="宋体" w:cs="宋体"/>
                <w:color w:val="000000"/>
              </w:rPr>
            </w:pPr>
            <w:r>
              <w:rPr>
                <w:rFonts w:hint="eastAsia" w:ascii="宋体" w:hAnsi="宋体" w:cs="宋体"/>
                <w:color w:val="000000"/>
              </w:rPr>
              <w:t>2、配重管采用100×50×3.0mm,其它管：70×50×3mm矩形钢管；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5、产品采用内限位结构；</w:t>
            </w:r>
          </w:p>
          <w:p>
            <w:pPr>
              <w:spacing w:line="360" w:lineRule="auto"/>
              <w:textAlignment w:val="center"/>
              <w:rPr>
                <w:rFonts w:ascii="宋体" w:hAnsi="宋体" w:cs="宋体"/>
                <w:color w:val="000000"/>
              </w:rPr>
            </w:pPr>
            <w:r>
              <w:rPr>
                <w:rFonts w:hint="eastAsia" w:ascii="宋体" w:hAnsi="宋体" w:cs="宋体"/>
                <w:color w:val="000000"/>
              </w:rPr>
              <w:t>6、手把套、脚踏管都有防滑处理；</w:t>
            </w:r>
          </w:p>
          <w:p>
            <w:pPr>
              <w:spacing w:line="360" w:lineRule="auto"/>
              <w:jc w:val="left"/>
              <w:textAlignment w:val="center"/>
              <w:rPr>
                <w:rFonts w:ascii="宋体" w:hAnsi="宋体" w:cs="宋体"/>
                <w:color w:val="000000"/>
              </w:rPr>
            </w:pPr>
            <w:r>
              <w:rPr>
                <w:rFonts w:hint="eastAsia" w:ascii="宋体" w:hAnsi="宋体" w:cs="宋体"/>
                <w:color w:val="000000"/>
              </w:rPr>
              <w:t>7、器材符合GB19272-2011标准；</w:t>
            </w:r>
          </w:p>
          <w:p>
            <w:pPr>
              <w:tabs>
                <w:tab w:val="left" w:pos="8146"/>
              </w:tabs>
              <w:jc w:val="left"/>
              <w:rPr>
                <w:rFonts w:ascii="宋体" w:hAnsi="宋体" w:cs="宋体"/>
                <w:color w:val="000000"/>
              </w:rPr>
            </w:pPr>
            <w:r>
              <w:rPr>
                <w:rFonts w:hint="eastAsia" w:ascii="宋体" w:hAnsi="宋体" w:cs="宋体"/>
                <w:color w:val="000000"/>
              </w:rPr>
              <w:t>8、功能：①此动作锻炼所有的收肌，对大腿内侧肌群的塑形非常有效。</w:t>
            </w:r>
          </w:p>
          <w:p>
            <w:pPr>
              <w:spacing w:line="360" w:lineRule="auto"/>
              <w:jc w:val="left"/>
              <w:textAlignment w:val="center"/>
              <w:rPr>
                <w:rFonts w:ascii="宋体" w:hAnsi="宋体" w:cs="宋体"/>
                <w:color w:val="000000"/>
              </w:rPr>
            </w:pPr>
            <w:r>
              <w:rPr>
                <w:rFonts w:hint="eastAsia" w:ascii="宋体" w:hAnsi="宋体" w:cs="宋体"/>
                <w:color w:val="000000"/>
              </w:rPr>
              <w:t>②此动作主要锻炼臀大肌，其次锻炼半腱肌、半膜肌和股二头肌长头。</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anchor distT="0" distB="0" distL="114935" distR="114935" simplePos="0" relativeHeight="251666432" behindDoc="0" locked="0" layoutInCell="1" allowOverlap="1">
                  <wp:simplePos x="0" y="0"/>
                  <wp:positionH relativeFrom="column">
                    <wp:posOffset>200660</wp:posOffset>
                  </wp:positionH>
                  <wp:positionV relativeFrom="paragraph">
                    <wp:posOffset>1315720</wp:posOffset>
                  </wp:positionV>
                  <wp:extent cx="1071245" cy="1334135"/>
                  <wp:effectExtent l="0" t="0" r="14605" b="18415"/>
                  <wp:wrapSquare wrapText="bothSides"/>
                  <wp:docPr id="100" name="图片 25" descr="UC截图2019081910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25" descr="UC截图20190819102724"/>
                          <pic:cNvPicPr>
                            <a:picLocks noChangeAspect="1"/>
                          </pic:cNvPicPr>
                        </pic:nvPicPr>
                        <pic:blipFill>
                          <a:blip r:embed="rId28"/>
                          <a:stretch>
                            <a:fillRect/>
                          </a:stretch>
                        </pic:blipFill>
                        <pic:spPr>
                          <a:xfrm>
                            <a:off x="0" y="0"/>
                            <a:ext cx="1071245" cy="1334135"/>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25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18</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t>深蹲训练器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1、主立柱采用120×80×3.0mm矩形钢管；</w:t>
            </w:r>
          </w:p>
          <w:p>
            <w:pPr>
              <w:tabs>
                <w:tab w:val="left" w:pos="8146"/>
              </w:tabs>
              <w:jc w:val="left"/>
              <w:rPr>
                <w:rFonts w:ascii="宋体" w:hAnsi="宋体" w:cs="宋体"/>
                <w:color w:val="000000"/>
              </w:rPr>
            </w:pPr>
            <w:r>
              <w:rPr>
                <w:rFonts w:hint="eastAsia" w:ascii="宋体" w:hAnsi="宋体" w:cs="宋体"/>
                <w:color w:val="000000"/>
              </w:rPr>
              <w:t>2、配重管采用100×50×3.0mm,其它管：100×60×3mm矩形钢管；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4、双轴结构设计；</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6、产品采用内限位结构；</w:t>
            </w:r>
          </w:p>
          <w:p>
            <w:pPr>
              <w:spacing w:line="360" w:lineRule="auto"/>
              <w:textAlignment w:val="center"/>
              <w:rPr>
                <w:rFonts w:ascii="宋体" w:hAnsi="宋体" w:cs="宋体"/>
                <w:color w:val="000000"/>
              </w:rPr>
            </w:pPr>
            <w:r>
              <w:rPr>
                <w:rFonts w:hint="eastAsia" w:ascii="宋体" w:hAnsi="宋体" w:cs="宋体"/>
                <w:color w:val="000000"/>
              </w:rPr>
              <w:t>7、手把管有防滑处理；</w:t>
            </w:r>
          </w:p>
          <w:p>
            <w:pPr>
              <w:spacing w:line="360" w:lineRule="auto"/>
              <w:jc w:val="left"/>
              <w:textAlignment w:val="center"/>
              <w:rPr>
                <w:rFonts w:ascii="宋体" w:hAnsi="宋体" w:cs="宋体"/>
                <w:color w:val="000000"/>
              </w:rPr>
            </w:pPr>
            <w:r>
              <w:rPr>
                <w:rFonts w:hint="eastAsia" w:ascii="宋体" w:hAnsi="宋体" w:cs="宋体"/>
                <w:color w:val="000000"/>
              </w:rPr>
              <w:t>8、器材符合GB19272-2011标准；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9、功能：锻炼大腿内侧的肌肉，包括：股四头肌、所有的收肌、臀肌、腘绳肌、全部竖脊肌。</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anchor distT="0" distB="0" distL="114935" distR="114935" simplePos="0" relativeHeight="251667456" behindDoc="0" locked="0" layoutInCell="1" allowOverlap="1">
                  <wp:simplePos x="0" y="0"/>
                  <wp:positionH relativeFrom="column">
                    <wp:posOffset>219710</wp:posOffset>
                  </wp:positionH>
                  <wp:positionV relativeFrom="paragraph">
                    <wp:posOffset>1228725</wp:posOffset>
                  </wp:positionV>
                  <wp:extent cx="1087120" cy="1222375"/>
                  <wp:effectExtent l="0" t="0" r="17780" b="15875"/>
                  <wp:wrapSquare wrapText="bothSides"/>
                  <wp:docPr id="101" name="图片 26" descr="UC截图2019081910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26" descr="UC截图20190819102936"/>
                          <pic:cNvPicPr>
                            <a:picLocks noChangeAspect="1"/>
                          </pic:cNvPicPr>
                        </pic:nvPicPr>
                        <pic:blipFill>
                          <a:blip r:embed="rId29"/>
                          <a:stretch>
                            <a:fillRect/>
                          </a:stretch>
                        </pic:blipFill>
                        <pic:spPr>
                          <a:xfrm>
                            <a:off x="0" y="0"/>
                            <a:ext cx="1087120" cy="1222375"/>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1847"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19</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t>坐式下拉训练器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1、主立柱采用不小于1140×80×3.0mm矩形钢管，1492mm×1129mm×1668mm</w:t>
            </w:r>
          </w:p>
          <w:p>
            <w:pPr>
              <w:tabs>
                <w:tab w:val="left" w:pos="8146"/>
              </w:tabs>
              <w:jc w:val="left"/>
              <w:rPr>
                <w:rFonts w:ascii="宋体" w:hAnsi="宋体" w:cs="宋体"/>
                <w:color w:val="000000"/>
              </w:rPr>
            </w:pPr>
            <w:r>
              <w:rPr>
                <w:rFonts w:hint="eastAsia" w:ascii="宋体" w:hAnsi="宋体" w:cs="宋体"/>
                <w:color w:val="000000"/>
              </w:rPr>
              <w:t>2、配重管采用100×50×3.0mm,其它管：100×60×3mm矩形钢管；</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4、双轴结构设计，高密度塑木坐板；</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6、产品采用内限位结构；</w:t>
            </w:r>
          </w:p>
          <w:p>
            <w:pPr>
              <w:spacing w:line="360" w:lineRule="auto"/>
              <w:textAlignment w:val="center"/>
              <w:rPr>
                <w:rFonts w:ascii="宋体" w:hAnsi="宋体" w:cs="宋体"/>
                <w:color w:val="000000"/>
              </w:rPr>
            </w:pPr>
            <w:r>
              <w:rPr>
                <w:rFonts w:hint="eastAsia" w:ascii="宋体" w:hAnsi="宋体" w:cs="宋体"/>
                <w:color w:val="000000"/>
              </w:rPr>
              <w:t>7、手把管有防滑处理；</w:t>
            </w:r>
          </w:p>
          <w:p>
            <w:pPr>
              <w:spacing w:line="360" w:lineRule="auto"/>
              <w:jc w:val="left"/>
              <w:textAlignment w:val="center"/>
              <w:rPr>
                <w:rFonts w:ascii="宋体" w:hAnsi="宋体" w:cs="宋体"/>
                <w:color w:val="000000"/>
              </w:rPr>
            </w:pPr>
            <w:r>
              <w:rPr>
                <w:rFonts w:hint="eastAsia" w:ascii="宋体" w:hAnsi="宋体" w:cs="宋体"/>
                <w:color w:val="000000"/>
              </w:rPr>
              <w:t>8、器材符合GB19272-2011标准；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9、功能：锻主要锻炼背部肌肉，尤其是背阔肌下部，同时对前臂屈肌、肱二头肌、肱肌、肱桡肌、菱形肌和斜方肌下部也能起到锻炼作用。</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anchor distT="0" distB="0" distL="114935" distR="114935" simplePos="0" relativeHeight="251669504" behindDoc="0" locked="0" layoutInCell="1" allowOverlap="1">
                  <wp:simplePos x="0" y="0"/>
                  <wp:positionH relativeFrom="column">
                    <wp:posOffset>172085</wp:posOffset>
                  </wp:positionH>
                  <wp:positionV relativeFrom="paragraph">
                    <wp:posOffset>1381125</wp:posOffset>
                  </wp:positionV>
                  <wp:extent cx="1110615" cy="1248410"/>
                  <wp:effectExtent l="0" t="0" r="13335" b="8890"/>
                  <wp:wrapSquare wrapText="bothSides"/>
                  <wp:docPr id="102" name="图片 28" descr="UC截图2019100910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28" descr="UC截图20191009105454"/>
                          <pic:cNvPicPr>
                            <a:picLocks noChangeAspect="1"/>
                          </pic:cNvPicPr>
                        </pic:nvPicPr>
                        <pic:blipFill>
                          <a:blip r:embed="rId30"/>
                          <a:stretch>
                            <a:fillRect/>
                          </a:stretch>
                        </pic:blipFill>
                        <pic:spPr>
                          <a:xfrm>
                            <a:off x="0" y="0"/>
                            <a:ext cx="1110615" cy="1248410"/>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258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20</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t>坐式前推训练器</w:t>
            </w:r>
          </w:p>
        </w:tc>
        <w:tc>
          <w:tcPr>
            <w:tcW w:w="452" w:type="dxa"/>
            <w:tcBorders>
              <w:top w:val="single" w:color="000000" w:sz="4" w:space="0"/>
              <w:left w:val="single" w:color="000000" w:sz="4" w:space="0"/>
              <w:bottom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1台</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宋体" w:hAnsi="宋体" w:cs="宋体"/>
                <w:color w:val="000000"/>
              </w:rPr>
            </w:pPr>
            <w:r>
              <w:rPr>
                <w:rFonts w:hint="eastAsia" w:ascii="宋体" w:hAnsi="宋体" w:cs="宋体"/>
                <w:color w:val="000000"/>
              </w:rPr>
              <w:t>1、主立柱采用不小于114×80×3.0mm矩形钢管；</w:t>
            </w:r>
          </w:p>
          <w:p>
            <w:pPr>
              <w:tabs>
                <w:tab w:val="left" w:pos="8146"/>
              </w:tabs>
              <w:jc w:val="left"/>
              <w:rPr>
                <w:rFonts w:ascii="宋体" w:hAnsi="宋体" w:cs="宋体"/>
                <w:color w:val="000000"/>
              </w:rPr>
            </w:pPr>
            <w:r>
              <w:rPr>
                <w:rFonts w:hint="eastAsia" w:ascii="宋体" w:hAnsi="宋体" w:cs="宋体"/>
                <w:color w:val="000000"/>
              </w:rPr>
              <w:t>2、主要横梁立柱尺寸≥Φ50×2.75  Ф60×2.75</w:t>
            </w:r>
          </w:p>
          <w:p>
            <w:pPr>
              <w:spacing w:line="360" w:lineRule="auto"/>
              <w:textAlignment w:val="center"/>
              <w:rPr>
                <w:rFonts w:ascii="宋体" w:hAnsi="宋体" w:cs="宋体"/>
                <w:color w:val="000000"/>
              </w:rPr>
            </w:pPr>
            <w:r>
              <w:rPr>
                <w:rFonts w:hint="eastAsia" w:ascii="宋体" w:hAnsi="宋体" w:cs="宋体"/>
                <w:color w:val="000000"/>
              </w:rPr>
              <w:t>3、配重重量共4档可调节，满足不同使用者根据自身需求进行锻炼；</w:t>
            </w:r>
          </w:p>
          <w:p>
            <w:pPr>
              <w:spacing w:line="360" w:lineRule="auto"/>
              <w:textAlignment w:val="center"/>
              <w:rPr>
                <w:rFonts w:ascii="宋体" w:hAnsi="宋体" w:cs="宋体"/>
                <w:color w:val="000000"/>
              </w:rPr>
            </w:pPr>
            <w:r>
              <w:rPr>
                <w:rFonts w:hint="eastAsia" w:ascii="宋体" w:hAnsi="宋体" w:cs="宋体"/>
                <w:color w:val="000000"/>
              </w:rPr>
              <w:t>4、双轴结构设计，高密度塑木坐板+靠背；</w:t>
            </w:r>
          </w:p>
          <w:p>
            <w:pPr>
              <w:spacing w:line="360" w:lineRule="auto"/>
              <w:textAlignment w:val="center"/>
              <w:rPr>
                <w:rFonts w:ascii="宋体" w:hAnsi="宋体" w:cs="宋体"/>
                <w:color w:val="000000"/>
              </w:rPr>
            </w:pPr>
            <w:r>
              <w:rPr>
                <w:rFonts w:hint="eastAsia" w:ascii="宋体" w:hAnsi="宋体" w:cs="宋体"/>
                <w:color w:val="000000"/>
              </w:rPr>
              <w:t>5、滑轨采用不锈钢材质，滑块采用高强度铝合金材质，调节结构结实耐用不生锈；</w:t>
            </w:r>
          </w:p>
          <w:p>
            <w:pPr>
              <w:spacing w:line="360" w:lineRule="auto"/>
              <w:textAlignment w:val="center"/>
              <w:rPr>
                <w:rFonts w:ascii="宋体" w:hAnsi="宋体" w:cs="宋体"/>
                <w:color w:val="000000"/>
              </w:rPr>
            </w:pPr>
            <w:r>
              <w:rPr>
                <w:rFonts w:hint="eastAsia" w:ascii="宋体" w:hAnsi="宋体" w:cs="宋体"/>
                <w:color w:val="000000"/>
              </w:rPr>
              <w:t>6、产品采用内限位结构；</w:t>
            </w:r>
          </w:p>
          <w:p>
            <w:pPr>
              <w:spacing w:line="360" w:lineRule="auto"/>
              <w:textAlignment w:val="center"/>
              <w:rPr>
                <w:rFonts w:ascii="宋体" w:hAnsi="宋体" w:cs="宋体"/>
                <w:color w:val="000000"/>
              </w:rPr>
            </w:pPr>
            <w:r>
              <w:rPr>
                <w:rFonts w:hint="eastAsia" w:ascii="宋体" w:hAnsi="宋体" w:cs="宋体"/>
                <w:color w:val="000000"/>
              </w:rPr>
              <w:t>7、手把管有防滑处理；</w:t>
            </w:r>
          </w:p>
          <w:p>
            <w:pPr>
              <w:spacing w:line="360" w:lineRule="auto"/>
              <w:jc w:val="left"/>
              <w:textAlignment w:val="center"/>
              <w:rPr>
                <w:rFonts w:ascii="宋体" w:hAnsi="宋体" w:cs="宋体"/>
                <w:color w:val="000000"/>
              </w:rPr>
            </w:pPr>
            <w:r>
              <w:rPr>
                <w:rFonts w:hint="eastAsia" w:ascii="宋体" w:hAnsi="宋体" w:cs="宋体"/>
                <w:color w:val="000000"/>
              </w:rPr>
              <w:t>8、器材符合GB19272-2011标准；</w:t>
            </w:r>
          </w:p>
          <w:p>
            <w:pPr>
              <w:spacing w:line="360" w:lineRule="auto"/>
              <w:jc w:val="left"/>
              <w:textAlignment w:val="center"/>
              <w:rPr>
                <w:rFonts w:ascii="宋体" w:hAnsi="宋体" w:cs="宋体"/>
                <w:color w:val="000000"/>
              </w:rPr>
            </w:pPr>
            <w:r>
              <w:rPr>
                <w:rFonts w:hint="eastAsia" w:ascii="宋体" w:hAnsi="宋体" w:cs="宋体"/>
                <w:color w:val="000000"/>
              </w:rPr>
              <w:t>9、功能：集中锻炼胸大肌。身体按照固定的模式运动，尤其适用于初练者加强力量锻炼。</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rPr>
            </w:pPr>
            <w:r>
              <w:rPr>
                <w:rFonts w:hint="eastAsia" w:ascii="宋体" w:hAnsi="宋体" w:cs="宋体"/>
                <w:color w:val="000000"/>
              </w:rPr>
              <w:drawing>
                <wp:anchor distT="0" distB="0" distL="114935" distR="114935" simplePos="0" relativeHeight="251668480" behindDoc="0" locked="0" layoutInCell="1" allowOverlap="1">
                  <wp:simplePos x="0" y="0"/>
                  <wp:positionH relativeFrom="column">
                    <wp:posOffset>114935</wp:posOffset>
                  </wp:positionH>
                  <wp:positionV relativeFrom="paragraph">
                    <wp:posOffset>1238885</wp:posOffset>
                  </wp:positionV>
                  <wp:extent cx="1224915" cy="1139190"/>
                  <wp:effectExtent l="0" t="0" r="13335" b="3810"/>
                  <wp:wrapSquare wrapText="bothSides"/>
                  <wp:docPr id="105" name="图片 27" descr="UC截图2019081910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27" descr="UC截图20190819103801"/>
                          <pic:cNvPicPr>
                            <a:picLocks noChangeAspect="1"/>
                          </pic:cNvPicPr>
                        </pic:nvPicPr>
                        <pic:blipFill>
                          <a:blip r:embed="rId31"/>
                          <a:stretch>
                            <a:fillRect/>
                          </a:stretch>
                        </pic:blipFill>
                        <pic:spPr>
                          <a:xfrm>
                            <a:off x="0" y="0"/>
                            <a:ext cx="1224915" cy="1139190"/>
                          </a:xfrm>
                          <a:prstGeom prst="rect">
                            <a:avLst/>
                          </a:prstGeom>
                          <a:noFill/>
                          <a:ln>
                            <a:noFill/>
                          </a:ln>
                        </pic:spPr>
                      </pic:pic>
                    </a:graphicData>
                  </a:graphic>
                </wp:anchor>
              </w:drawing>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rPr>
            </w:pPr>
            <w:r>
              <w:rPr>
                <w:rFonts w:hint="eastAsia" w:ascii="宋体" w:hAnsi="宋体" w:cs="宋体"/>
                <w:color w:val="000000"/>
                <w:kern w:val="0"/>
              </w:rPr>
              <w:t>矩形钢管</w:t>
            </w:r>
          </w:p>
        </w:tc>
      </w:tr>
      <w:tr>
        <w:tblPrEx>
          <w:tblCellMar>
            <w:top w:w="15" w:type="dxa"/>
            <w:left w:w="15" w:type="dxa"/>
            <w:bottom w:w="15" w:type="dxa"/>
            <w:right w:w="15" w:type="dxa"/>
          </w:tblCellMar>
        </w:tblPrEx>
        <w:trPr>
          <w:trHeight w:val="1770"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hint="default" w:ascii="宋体" w:hAnsi="宋体" w:cs="宋体"/>
                <w:color w:val="000000"/>
                <w:lang w:val="en-US" w:eastAsia="zh-CN"/>
              </w:rPr>
            </w:pPr>
            <w:r>
              <w:rPr>
                <w:rFonts w:hint="eastAsia" w:ascii="宋体" w:hAnsi="宋体" w:cs="宋体"/>
                <w:color w:val="000000"/>
                <w:lang w:val="en-US" w:eastAsia="zh-CN"/>
              </w:rPr>
              <w:t>21</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hint="eastAsia" w:ascii="宋体" w:hAnsi="宋体" w:cs="宋体"/>
                <w:color w:val="000000"/>
              </w:rPr>
            </w:pPr>
            <w:r>
              <w:rPr>
                <w:rFonts w:hint="eastAsia" w:ascii="宋体" w:hAnsi="宋体" w:cs="宋体"/>
                <w:color w:val="000000"/>
                <w:lang w:val="en-US" w:eastAsia="zh-CN"/>
              </w:rPr>
              <w:t>设计费</w:t>
            </w:r>
          </w:p>
        </w:tc>
        <w:tc>
          <w:tcPr>
            <w:tcW w:w="452" w:type="dxa"/>
            <w:tcBorders>
              <w:top w:val="single" w:color="000000" w:sz="4" w:space="0"/>
              <w:left w:val="single" w:color="000000" w:sz="4" w:space="0"/>
              <w:bottom w:val="single" w:color="000000" w:sz="4" w:space="0"/>
            </w:tcBorders>
            <w:noWrap/>
            <w:vAlign w:val="center"/>
          </w:tcPr>
          <w:p>
            <w:pPr>
              <w:spacing w:line="360" w:lineRule="auto"/>
              <w:textAlignment w:val="center"/>
              <w:rPr>
                <w:rFonts w:hint="default" w:ascii="宋体" w:hAnsi="宋体" w:cs="宋体"/>
                <w:color w:val="000000"/>
                <w:lang w:val="en-US" w:eastAsia="zh-CN"/>
              </w:rPr>
            </w:pPr>
            <w:r>
              <w:rPr>
                <w:rFonts w:hint="eastAsia" w:ascii="宋体" w:hAnsi="宋体" w:cs="宋体"/>
                <w:color w:val="000000"/>
                <w:lang w:val="en-US" w:eastAsia="zh-CN"/>
              </w:rPr>
              <w:t>1项</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hint="default" w:ascii="宋体" w:hAnsi="宋体" w:cs="宋体"/>
                <w:color w:val="000000"/>
                <w:lang w:val="en-US" w:eastAsia="zh-CN"/>
              </w:rPr>
            </w:pPr>
            <w:r>
              <w:rPr>
                <w:rFonts w:hint="eastAsia" w:ascii="宋体" w:hAnsi="宋体" w:cs="宋体"/>
                <w:color w:val="000000"/>
                <w:lang w:val="en-US" w:eastAsia="zh-CN"/>
              </w:rPr>
              <w:t>1、提供</w:t>
            </w:r>
            <w:r>
              <w:rPr>
                <w:rFonts w:hint="default" w:ascii="宋体" w:hAnsi="宋体" w:cs="宋体"/>
                <w:color w:val="000000"/>
                <w:lang w:val="en-US" w:eastAsia="zh-CN"/>
              </w:rPr>
              <w:t>平面图施工图及效果图</w:t>
            </w:r>
          </w:p>
          <w:p>
            <w:pPr>
              <w:spacing w:line="360" w:lineRule="auto"/>
              <w:textAlignment w:val="center"/>
              <w:rPr>
                <w:rFonts w:hint="eastAsia" w:ascii="宋体" w:hAnsi="宋体" w:cs="宋体"/>
                <w:color w:val="000000"/>
              </w:rPr>
            </w:pPr>
            <w:r>
              <w:rPr>
                <w:rFonts w:hint="eastAsia" w:ascii="宋体" w:hAnsi="宋体" w:cs="宋体"/>
                <w:color w:val="000000"/>
                <w:lang w:val="en-US" w:eastAsia="zh-CN"/>
              </w:rPr>
              <w:t>2、该项作为不可竞争费（投标人不得改变此项，否则废标）</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000000"/>
                <w:lang w:val="en-US" w:eastAsia="zh-CN"/>
              </w:rPr>
            </w:pPr>
            <w:r>
              <w:rPr>
                <w:rFonts w:hint="eastAsia" w:ascii="宋体" w:hAnsi="宋体" w:cs="宋体"/>
                <w:color w:val="000000"/>
                <w:lang w:val="en-US" w:eastAsia="zh-CN"/>
              </w:rPr>
              <w:t>6000元</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kern w:val="0"/>
              </w:rPr>
            </w:pPr>
          </w:p>
        </w:tc>
      </w:tr>
    </w:tbl>
    <w:p>
      <w:pPr>
        <w:spacing w:line="360" w:lineRule="auto"/>
        <w:textAlignment w:val="center"/>
        <w:rPr>
          <w:rFonts w:ascii="宋体" w:hAnsi="宋体" w:cs="宋体"/>
          <w:color w:val="000000"/>
        </w:rPr>
      </w:pPr>
      <w:r>
        <w:rPr>
          <w:rFonts w:hint="eastAsia" w:ascii="宋体" w:hAnsi="宋体" w:cs="宋体"/>
          <w:sz w:val="24"/>
          <w:szCs w:val="24"/>
        </w:rPr>
        <w:t>注：1、</w:t>
      </w:r>
      <w:r>
        <w:rPr>
          <w:rFonts w:hint="eastAsia" w:ascii="宋体" w:hAnsi="宋体" w:cs="宋体"/>
          <w:color w:val="000000"/>
        </w:rPr>
        <w:t>本项目以全费用固定综合单价报价，报价应为承包完成本次投标需完成全部工作所发生的所有费用，并承担一切风险责任，包括了货物及其附件的设计、采购、制造、检测、试验、运输、保险、现场仓储、税费（含进口关税、增值税等）以及验收、技术服务（包括技术资料的提供、 首次使用过程中需要配置的各种设备、材料）、质保期保障、等相关服务的全部费用。</w:t>
      </w:r>
    </w:p>
    <w:p>
      <w:pPr>
        <w:spacing w:line="360" w:lineRule="auto"/>
        <w:ind w:firstLine="420" w:firstLineChars="200"/>
        <w:textAlignment w:val="center"/>
        <w:rPr>
          <w:rFonts w:ascii="宋体" w:hAnsi="宋体" w:cs="宋体"/>
          <w:color w:val="000000"/>
        </w:rPr>
      </w:pPr>
      <w:r>
        <w:rPr>
          <w:rFonts w:hint="eastAsia" w:ascii="宋体" w:hAnsi="宋体" w:cs="宋体"/>
          <w:color w:val="000000"/>
        </w:rPr>
        <w:t>2、请供应商选择技术指标达到或优于以上要求的产品或品牌进行投标报价。</w:t>
      </w:r>
    </w:p>
    <w:p>
      <w:pPr>
        <w:spacing w:line="360" w:lineRule="auto"/>
        <w:ind w:firstLine="420" w:firstLineChars="200"/>
        <w:textAlignment w:val="center"/>
        <w:rPr>
          <w:rFonts w:ascii="宋体" w:hAnsi="宋体" w:cs="宋体"/>
          <w:color w:val="000000"/>
        </w:rPr>
      </w:pPr>
      <w:r>
        <w:rPr>
          <w:rFonts w:hint="eastAsia" w:ascii="宋体" w:hAnsi="宋体" w:cs="宋体"/>
          <w:color w:val="000000"/>
        </w:rPr>
        <w:t>3、投标产品必须符合国家相关标准，并经过国家体育用品质量监督检验中心检验合格。</w:t>
      </w:r>
    </w:p>
    <w:p>
      <w:pPr>
        <w:spacing w:line="360" w:lineRule="auto"/>
        <w:ind w:firstLine="420" w:firstLineChars="200"/>
        <w:textAlignment w:val="center"/>
        <w:rPr>
          <w:rFonts w:asciiTheme="minorEastAsia" w:hAnsiTheme="minorEastAsia" w:eastAsiaTheme="minorEastAsia" w:cstheme="minorEastAsia"/>
          <w:color w:val="000000"/>
        </w:rPr>
      </w:pPr>
      <w:r>
        <w:rPr>
          <w:rFonts w:hint="eastAsia" w:ascii="宋体" w:hAnsi="宋体" w:cs="宋体"/>
          <w:color w:val="000000"/>
        </w:rPr>
        <w:t>4、健身器材的设计、制造、检验，都应符合中华人民共和国最新颁发的强制性国家标准：GB19272-2011《室外健身器材的安全通用要求》及相对应的国标标准。本次投标报价包含完成全部工作所发生的所有费用，并承担一切风险责任，包括了货物及其附件的设计、采购、制造、 检测、试验、运输、保险、现场仓储、税费</w:t>
      </w:r>
      <w:r>
        <w:rPr>
          <w:rFonts w:hint="eastAsia" w:asciiTheme="minorEastAsia" w:hAnsiTheme="minorEastAsia" w:eastAsiaTheme="minorEastAsia" w:cstheme="minorEastAsia"/>
          <w:color w:val="000000"/>
        </w:rPr>
        <w:t>（含进口关税、 增值税等）以及验收、 技术服务（包括技术资料的提供、首次使用过程中需要配置的各种设备、材料）、质保期保障、等相关服务的全部费用。凡报价单位在报价中未列明但又为本次采购所必备的项目 或遗漏项目，采购人将一律视为已包括在其报价中，在合同执行中将不予考虑。</w:t>
      </w:r>
    </w:p>
    <w:p>
      <w:pPr>
        <w:spacing w:line="360" w:lineRule="auto"/>
        <w:ind w:firstLine="420" w:firstLineChars="200"/>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成交供应商最终供货产品材质与采购文件要求的材质不符，采购人有权委托第三方作出检测报告，如检测不通过或不符合的，可据此拒收货物并中止合同，成交供应商固此所发生的损失由其自负。若产品质量如低于样品质量和磋商文件质量要求，采购人有权要求退货，调换合格的产品至采购人满意为止，所产生的一切费用由成交供应商自行承担。</w:t>
      </w:r>
    </w:p>
    <w:p>
      <w:pPr>
        <w:spacing w:line="480" w:lineRule="auto"/>
        <w:rPr>
          <w:rFonts w:ascii="宋体" w:hAnsi="宋体" w:cs="宋体"/>
          <w:b/>
          <w:bCs/>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、商务条款：</w:t>
      </w:r>
    </w:p>
    <w:p>
      <w:pPr>
        <w:spacing w:line="480" w:lineRule="auto"/>
        <w:ind w:firstLine="241" w:firstLineChars="100"/>
        <w:rPr>
          <w:rFonts w:ascii="宋体" w:hAnsi="宋体" w:cs="宋体"/>
          <w:b/>
          <w:bCs/>
          <w:sz w:val="24"/>
          <w:szCs w:val="24"/>
        </w:rPr>
      </w:pPr>
      <w:r>
        <w:rPr>
          <w:rFonts w:hint="eastAsia" w:ascii="宋体" w:hAnsi="宋体" w:cs="宋体"/>
          <w:b/>
          <w:bCs/>
          <w:sz w:val="24"/>
          <w:szCs w:val="24"/>
        </w:rPr>
        <w:t>1、质量要求</w:t>
      </w:r>
    </w:p>
    <w:p>
      <w:pPr>
        <w:spacing w:line="480" w:lineRule="auto"/>
        <w:ind w:firstLine="240" w:firstLineChars="100"/>
        <w:rPr>
          <w:rFonts w:hint="eastAsia" w:ascii="宋体" w:hAnsi="宋体" w:cs="宋体"/>
          <w:sz w:val="24"/>
          <w:szCs w:val="24"/>
        </w:rPr>
      </w:pPr>
      <w:r>
        <w:rPr>
          <w:rFonts w:hint="eastAsia" w:ascii="宋体" w:hAnsi="宋体" w:cs="宋体"/>
          <w:sz w:val="24"/>
          <w:szCs w:val="24"/>
        </w:rPr>
        <w:t>产品必须是2021年以来生产的符合国家技术规格和质量标准的全新的原厂原包装</w:t>
      </w:r>
    </w:p>
    <w:p>
      <w:pPr>
        <w:spacing w:line="480" w:lineRule="auto"/>
        <w:ind w:firstLine="240" w:firstLineChars="100"/>
        <w:rPr>
          <w:rFonts w:hint="eastAsia" w:ascii="宋体" w:hAnsi="宋体" w:cs="宋体"/>
          <w:sz w:val="24"/>
          <w:szCs w:val="24"/>
        </w:rPr>
      </w:pPr>
      <w:r>
        <w:rPr>
          <w:rFonts w:hint="eastAsia" w:ascii="宋体" w:hAnsi="宋体" w:cs="宋体"/>
          <w:sz w:val="24"/>
          <w:szCs w:val="24"/>
        </w:rPr>
        <w:t>合格产品。</w:t>
      </w:r>
    </w:p>
    <w:p>
      <w:pPr>
        <w:spacing w:line="480" w:lineRule="auto"/>
        <w:ind w:firstLine="241" w:firstLineChars="100"/>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、免费保修期</w:t>
      </w:r>
    </w:p>
    <w:p>
      <w:pPr>
        <w:spacing w:line="480" w:lineRule="auto"/>
        <w:ind w:firstLine="240" w:firstLineChars="100"/>
        <w:rPr>
          <w:rFonts w:ascii="宋体" w:hAnsi="宋体" w:cs="宋体"/>
          <w:sz w:val="24"/>
          <w:szCs w:val="24"/>
        </w:rPr>
      </w:pPr>
      <w:r>
        <w:rPr>
          <w:rFonts w:hint="eastAsia" w:ascii="宋体" w:hAnsi="宋体" w:cs="宋体"/>
          <w:sz w:val="24"/>
          <w:szCs w:val="24"/>
        </w:rPr>
        <w:t>本项目所有器材及附件的免费保修期自验收合格并交付使用后开始计算，质保期为至少2年（以投标时承诺为准）。如厂商本身承诺的产品质保期（同保修期）高于标书要求的则按照厂商承诺执行。</w:t>
      </w:r>
    </w:p>
    <w:p>
      <w:pPr>
        <w:spacing w:line="480" w:lineRule="auto"/>
        <w:ind w:firstLine="241" w:firstLineChars="100"/>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、售后服务</w:t>
      </w:r>
    </w:p>
    <w:p>
      <w:pPr>
        <w:spacing w:line="480" w:lineRule="auto"/>
        <w:ind w:firstLine="240" w:firstLineChars="100"/>
        <w:rPr>
          <w:rFonts w:ascii="宋体" w:hAnsi="宋体" w:cs="宋体"/>
          <w:sz w:val="24"/>
          <w:szCs w:val="24"/>
        </w:rPr>
      </w:pPr>
      <w:r>
        <w:rPr>
          <w:rFonts w:hint="eastAsia" w:ascii="宋体" w:hAnsi="宋体" w:cs="宋体"/>
          <w:sz w:val="24"/>
          <w:szCs w:val="24"/>
        </w:rPr>
        <w:t>保修期内中标供应商负责修理和替换任何由于设备自身的质量问题造成的损坏及</w:t>
      </w:r>
    </w:p>
    <w:p>
      <w:pPr>
        <w:spacing w:line="480" w:lineRule="auto"/>
        <w:rPr>
          <w:rFonts w:ascii="宋体" w:hAnsi="宋体" w:cs="宋体"/>
          <w:sz w:val="24"/>
          <w:szCs w:val="24"/>
        </w:rPr>
      </w:pPr>
      <w:r>
        <w:rPr>
          <w:rFonts w:hint="eastAsia" w:ascii="宋体" w:hAnsi="宋体" w:cs="宋体"/>
          <w:sz w:val="24"/>
          <w:szCs w:val="24"/>
        </w:rPr>
        <w:t>故障以及保修条款内提及的项目，采购人无须为此付费。保修期满后，中标供应商仍需提供维修服务，收取成本费。保修期内维修响应时间为2小时，要求在接到采购人电话24小时内到达现场。调查故障原因并及时修复直至解决问题，如无法解决，应提供应急设备予以代用。中标供应商要实现在投标文件中承诺的措施。原厂家承诺的服务措施，可作为中标供应商的技术和服务支持，但中标供应商不得以此为由拒绝第一时间的服务。提供巡检服务。</w:t>
      </w:r>
    </w:p>
    <w:p>
      <w:pPr>
        <w:spacing w:line="480" w:lineRule="auto"/>
        <w:ind w:firstLine="241" w:firstLineChars="100"/>
        <w:rPr>
          <w:rFonts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、付款方式</w:t>
      </w:r>
    </w:p>
    <w:p>
      <w:pPr>
        <w:pStyle w:val="87"/>
        <w:spacing w:before="290" w:after="290"/>
        <w:ind w:firstLine="240" w:firstLineChars="100"/>
        <w:jc w:val="both"/>
        <w:rPr>
          <w:rStyle w:val="44"/>
          <w:rFonts w:cs="宋体"/>
          <w:b/>
          <w:sz w:val="44"/>
        </w:rPr>
      </w:pPr>
      <w:r>
        <w:rPr>
          <w:rFonts w:hint="eastAsia" w:ascii="宋体" w:hAnsi="宋体" w:cs="宋体"/>
          <w:color w:val="auto"/>
          <w:sz w:val="24"/>
          <w:szCs w:val="24"/>
        </w:rPr>
        <w:t>乙方在签订合同后将所有货物运到甲方指定地点，</w:t>
      </w:r>
      <w:r>
        <w:rPr>
          <w:rFonts w:hint="eastAsia" w:ascii="宋体" w:hAnsi="宋体" w:cs="宋体"/>
          <w:color w:val="auto"/>
          <w:sz w:val="24"/>
          <w:szCs w:val="24"/>
          <w:lang w:val="en-US" w:eastAsia="zh-CN"/>
        </w:rPr>
        <w:t>清点验收后</w:t>
      </w:r>
      <w:r>
        <w:rPr>
          <w:rFonts w:hint="eastAsia" w:cs="宋体"/>
          <w:color w:val="auto"/>
          <w:sz w:val="24"/>
          <w:szCs w:val="24"/>
          <w:lang w:val="en-US" w:eastAsia="zh-CN"/>
        </w:rPr>
        <w:t>，</w:t>
      </w:r>
      <w:r>
        <w:rPr>
          <w:rFonts w:hint="eastAsia" w:ascii="宋体" w:hAnsi="宋体" w:cs="宋体"/>
          <w:color w:val="auto"/>
          <w:sz w:val="24"/>
          <w:szCs w:val="24"/>
          <w:lang w:val="en-US" w:eastAsia="zh-CN"/>
        </w:rPr>
        <w:t>甲方向乙方支付至结算价款的50%，</w:t>
      </w:r>
      <w:r>
        <w:rPr>
          <w:rFonts w:hint="eastAsia" w:ascii="宋体" w:hAnsi="宋体" w:cs="宋体"/>
          <w:color w:val="auto"/>
          <w:sz w:val="24"/>
          <w:szCs w:val="24"/>
        </w:rPr>
        <w:t>完成安装、 调试、 验收合格后 10 个工作日内， 甲方向乙方支付至结算价款的 9</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%（乙方必须开具合同金额 100%的增值税专用发票） ； 其余结算价款的 </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 %作为质量保证金。 待验收合格并交付使用2年后无质量问题 10个工作日内一次退还。</w:t>
      </w:r>
    </w:p>
    <w:p>
      <w:pPr>
        <w:pStyle w:val="87"/>
        <w:spacing w:before="290" w:after="290"/>
        <w:ind w:firstLine="1767" w:firstLineChars="400"/>
        <w:jc w:val="both"/>
        <w:rPr>
          <w:rStyle w:val="44"/>
          <w:rFonts w:hint="eastAsia" w:cs="宋体"/>
          <w:b/>
          <w:sz w:val="44"/>
        </w:rPr>
      </w:pPr>
    </w:p>
    <w:p>
      <w:pPr>
        <w:pStyle w:val="87"/>
        <w:spacing w:before="290" w:after="290"/>
        <w:ind w:firstLine="1767" w:firstLineChars="400"/>
        <w:jc w:val="both"/>
        <w:rPr>
          <w:rStyle w:val="44"/>
          <w:rFonts w:hint="eastAsia" w:cs="宋体"/>
          <w:b/>
          <w:sz w:val="44"/>
        </w:rPr>
      </w:pPr>
    </w:p>
    <w:p>
      <w:pPr>
        <w:pStyle w:val="87"/>
        <w:spacing w:before="290" w:after="290"/>
        <w:ind w:firstLine="1767" w:firstLineChars="400"/>
        <w:jc w:val="both"/>
        <w:rPr>
          <w:rStyle w:val="44"/>
          <w:rFonts w:hint="eastAsia" w:cs="宋体"/>
          <w:b/>
          <w:sz w:val="44"/>
        </w:rPr>
      </w:pPr>
    </w:p>
    <w:p>
      <w:pPr>
        <w:pStyle w:val="87"/>
        <w:spacing w:before="290" w:after="290"/>
        <w:ind w:firstLine="1767" w:firstLineChars="400"/>
        <w:jc w:val="both"/>
        <w:rPr>
          <w:rStyle w:val="44"/>
          <w:rFonts w:hint="eastAsia" w:cs="宋体"/>
          <w:b/>
          <w:sz w:val="44"/>
        </w:rPr>
      </w:pPr>
    </w:p>
    <w:p>
      <w:pPr>
        <w:pStyle w:val="87"/>
        <w:spacing w:before="290" w:after="290"/>
        <w:ind w:firstLine="1767" w:firstLineChars="400"/>
        <w:jc w:val="both"/>
        <w:rPr>
          <w:rStyle w:val="44"/>
          <w:rFonts w:hint="eastAsia" w:cs="宋体"/>
          <w:b/>
          <w:sz w:val="44"/>
        </w:rPr>
      </w:pPr>
    </w:p>
    <w:p>
      <w:pPr>
        <w:pStyle w:val="87"/>
        <w:spacing w:before="290" w:after="290"/>
        <w:ind w:firstLine="1767" w:firstLineChars="400"/>
        <w:jc w:val="both"/>
        <w:rPr>
          <w:rStyle w:val="44"/>
          <w:rFonts w:hint="eastAsia" w:cs="宋体"/>
          <w:b/>
          <w:sz w:val="44"/>
        </w:rPr>
      </w:pPr>
    </w:p>
    <w:p>
      <w:pPr>
        <w:pStyle w:val="87"/>
        <w:spacing w:before="290" w:after="290"/>
        <w:ind w:firstLine="1767" w:firstLineChars="400"/>
        <w:jc w:val="both"/>
        <w:rPr>
          <w:rStyle w:val="44"/>
          <w:rFonts w:hint="eastAsia" w:cs="宋体"/>
          <w:b/>
          <w:sz w:val="44"/>
        </w:rPr>
      </w:pPr>
    </w:p>
    <w:p>
      <w:pPr>
        <w:pStyle w:val="87"/>
        <w:spacing w:before="290" w:after="290"/>
        <w:jc w:val="both"/>
        <w:rPr>
          <w:rStyle w:val="44"/>
          <w:rFonts w:hint="eastAsia" w:cs="宋体"/>
          <w:b/>
          <w:sz w:val="44"/>
        </w:rPr>
      </w:pPr>
    </w:p>
    <w:p>
      <w:pPr>
        <w:pStyle w:val="87"/>
        <w:spacing w:before="290" w:after="290"/>
        <w:ind w:firstLine="1767" w:firstLineChars="400"/>
        <w:jc w:val="both"/>
        <w:outlineLvl w:val="0"/>
        <w:rPr>
          <w:rStyle w:val="44"/>
          <w:rFonts w:hint="eastAsia" w:cs="宋体"/>
          <w:b/>
          <w:sz w:val="44"/>
        </w:rPr>
      </w:pPr>
      <w:bookmarkStart w:id="4" w:name="_Toc13894"/>
    </w:p>
    <w:p>
      <w:pPr>
        <w:pStyle w:val="87"/>
        <w:spacing w:before="290" w:after="290"/>
        <w:ind w:firstLine="1767" w:firstLineChars="400"/>
        <w:jc w:val="both"/>
        <w:outlineLvl w:val="0"/>
        <w:rPr>
          <w:rStyle w:val="44"/>
          <w:rFonts w:hint="eastAsia" w:cs="宋体"/>
          <w:b/>
          <w:sz w:val="44"/>
        </w:rPr>
      </w:pPr>
    </w:p>
    <w:p>
      <w:pPr>
        <w:pStyle w:val="87"/>
        <w:spacing w:before="290" w:after="290"/>
        <w:ind w:firstLine="1767" w:firstLineChars="400"/>
        <w:jc w:val="both"/>
        <w:outlineLvl w:val="0"/>
        <w:rPr>
          <w:rStyle w:val="44"/>
          <w:rFonts w:hint="eastAsia" w:cs="宋体"/>
          <w:b/>
          <w:sz w:val="44"/>
        </w:rPr>
      </w:pPr>
    </w:p>
    <w:p>
      <w:pPr>
        <w:pStyle w:val="87"/>
        <w:spacing w:before="290" w:after="290"/>
        <w:ind w:firstLine="1767" w:firstLineChars="400"/>
        <w:jc w:val="both"/>
        <w:outlineLvl w:val="0"/>
        <w:rPr>
          <w:rStyle w:val="44"/>
          <w:rFonts w:hint="eastAsia" w:cs="宋体"/>
          <w:b/>
          <w:sz w:val="44"/>
        </w:rPr>
      </w:pPr>
    </w:p>
    <w:p>
      <w:pPr>
        <w:pStyle w:val="87"/>
        <w:spacing w:before="290" w:after="290"/>
        <w:ind w:firstLine="1767" w:firstLineChars="400"/>
        <w:jc w:val="both"/>
        <w:outlineLvl w:val="0"/>
        <w:rPr>
          <w:rStyle w:val="44"/>
          <w:rFonts w:cs="宋体"/>
          <w:b/>
          <w:sz w:val="44"/>
        </w:rPr>
      </w:pPr>
      <w:r>
        <w:rPr>
          <w:rStyle w:val="44"/>
          <w:rFonts w:hint="eastAsia" w:cs="宋体"/>
          <w:b/>
          <w:sz w:val="44"/>
        </w:rPr>
        <w:t>第五章  评标方法与评标标准</w:t>
      </w:r>
      <w:bookmarkEnd w:id="4"/>
    </w:p>
    <w:p>
      <w:pPr>
        <w:rPr>
          <w:rStyle w:val="44"/>
          <w:rFonts w:ascii="宋体" w:hAnsi="宋体" w:cs="宋体"/>
        </w:rPr>
      </w:pPr>
    </w:p>
    <w:p>
      <w:pPr>
        <w:spacing w:line="500" w:lineRule="exact"/>
        <w:ind w:firstLine="482" w:firstLineChars="200"/>
        <w:jc w:val="left"/>
        <w:rPr>
          <w:rFonts w:ascii="宋体" w:hAnsi="宋体" w:cs="宋体"/>
          <w:b/>
          <w:sz w:val="24"/>
        </w:rPr>
      </w:pPr>
      <w:r>
        <w:rPr>
          <w:rFonts w:hint="eastAsia" w:ascii="宋体" w:hAnsi="宋体" w:cs="宋体"/>
          <w:b/>
          <w:sz w:val="24"/>
        </w:rPr>
        <w:t>一、评标、定标办法</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pStyle w:val="22"/>
        <w:adjustRightInd w:val="0"/>
        <w:snapToGrid w:val="0"/>
        <w:spacing w:before="0" w:beforeAutospacing="0" w:after="0" w:afterAutospacing="0" w:line="360" w:lineRule="auto"/>
        <w:ind w:firstLine="482" w:firstLineChars="200"/>
        <w:rPr>
          <w:b/>
          <w:bCs/>
          <w:color w:val="000000"/>
        </w:rPr>
      </w:pPr>
      <w:r>
        <w:rPr>
          <w:rFonts w:hint="eastAsia"/>
          <w:b/>
          <w:bCs/>
          <w:color w:val="000000"/>
        </w:rPr>
        <w:t>政府采购政策功能落实</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1、小微型企业价格扣除</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（2）供应商需按照采购文件的要求提供相应的《企业声明函》。</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2、残疾人福利单位价格扣除</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3、监狱和戒毒企业价格扣除</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4、残疾人福利单位、监狱企业属于小型、微型企业的，不重复享受政策。</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5、★符合本采购文件优先采购 “环境标志产品”或“节能产品”的；必须提供“环境标志产品”或“节能产品”证明，否则不予认可。</w:t>
      </w:r>
    </w:p>
    <w:p>
      <w:pPr>
        <w:snapToGrid w:val="0"/>
        <w:spacing w:line="360" w:lineRule="auto"/>
        <w:ind w:firstLine="480" w:firstLineChars="200"/>
      </w:pPr>
      <w:r>
        <w:rPr>
          <w:rFonts w:hint="eastAsia" w:ascii="宋体" w:hAnsi="宋体" w:cs="宋体"/>
          <w:bCs/>
          <w:color w:val="000000"/>
          <w:sz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numPr>
          <w:ilvl w:val="0"/>
          <w:numId w:val="7"/>
        </w:numPr>
        <w:snapToGrid w:val="0"/>
        <w:spacing w:line="500" w:lineRule="exact"/>
        <w:ind w:firstLine="482" w:firstLineChars="200"/>
        <w:rPr>
          <w:rStyle w:val="44"/>
          <w:rFonts w:ascii="宋体" w:hAnsi="宋体" w:cs="宋体"/>
          <w:b/>
          <w:sz w:val="24"/>
          <w:szCs w:val="24"/>
        </w:rPr>
      </w:pPr>
      <w:r>
        <w:rPr>
          <w:rStyle w:val="44"/>
          <w:rFonts w:hint="eastAsia" w:ascii="宋体" w:hAnsi="宋体" w:cs="宋体"/>
          <w:b/>
          <w:sz w:val="24"/>
          <w:szCs w:val="24"/>
        </w:rPr>
        <w:t>评标标准（总分100分）</w:t>
      </w:r>
    </w:p>
    <w:p>
      <w:pPr>
        <w:snapToGrid w:val="0"/>
        <w:spacing w:line="360" w:lineRule="auto"/>
        <w:ind w:firstLine="480" w:firstLineChars="200"/>
        <w:rPr>
          <w:rFonts w:ascii="宋体" w:hAnsi="宋体" w:cs="宋体"/>
          <w:b/>
          <w:sz w:val="24"/>
        </w:rPr>
      </w:pPr>
      <w:r>
        <w:rPr>
          <w:rFonts w:hint="eastAsia" w:ascii="宋体" w:hAnsi="宋体" w:cs="宋体"/>
          <w:sz w:val="24"/>
          <w:szCs w:val="24"/>
        </w:rPr>
        <w:t>总得分保留2位小数（第3位四舍五入）</w:t>
      </w:r>
    </w:p>
    <w:tbl>
      <w:tblPr>
        <w:tblStyle w:val="25"/>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236"/>
        <w:gridCol w:w="1019"/>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71" w:type="dxa"/>
            <w:gridSpan w:val="2"/>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评标项目</w:t>
            </w:r>
          </w:p>
        </w:tc>
        <w:tc>
          <w:tcPr>
            <w:tcW w:w="1019"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分值</w:t>
            </w:r>
          </w:p>
        </w:tc>
        <w:tc>
          <w:tcPr>
            <w:tcW w:w="6389"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2471" w:type="dxa"/>
            <w:gridSpan w:val="2"/>
            <w:vAlign w:val="center"/>
          </w:tcPr>
          <w:p>
            <w:pPr>
              <w:jc w:val="center"/>
              <w:rPr>
                <w:rFonts w:ascii="宋体" w:hAnsi="宋体" w:cs="宋体"/>
                <w:szCs w:val="24"/>
              </w:rPr>
            </w:pPr>
            <w:r>
              <w:rPr>
                <w:rFonts w:hint="eastAsia" w:ascii="宋体" w:hAnsi="宋体" w:cs="宋体"/>
                <w:szCs w:val="24"/>
              </w:rPr>
              <w:t>投标报价（50分）</w:t>
            </w:r>
          </w:p>
        </w:tc>
        <w:tc>
          <w:tcPr>
            <w:tcW w:w="1019" w:type="dxa"/>
            <w:vAlign w:val="center"/>
          </w:tcPr>
          <w:p>
            <w:pPr>
              <w:jc w:val="center"/>
              <w:rPr>
                <w:rFonts w:ascii="宋体" w:hAnsi="宋体" w:cs="宋体"/>
                <w:szCs w:val="24"/>
              </w:rPr>
            </w:pPr>
            <w:r>
              <w:rPr>
                <w:rFonts w:hint="eastAsia" w:ascii="宋体" w:hAnsi="宋体" w:cs="宋体"/>
                <w:szCs w:val="24"/>
              </w:rPr>
              <w:t>50</w:t>
            </w:r>
          </w:p>
        </w:tc>
        <w:tc>
          <w:tcPr>
            <w:tcW w:w="6389" w:type="dxa"/>
            <w:vAlign w:val="center"/>
          </w:tcPr>
          <w:p>
            <w:pPr>
              <w:rPr>
                <w:rFonts w:ascii="宋体" w:hAnsi="宋体" w:cs="宋体"/>
                <w:szCs w:val="24"/>
              </w:rPr>
            </w:pPr>
            <w:r>
              <w:rPr>
                <w:rFonts w:hint="eastAsia" w:ascii="宋体" w:hAnsi="宋体" w:cs="宋体"/>
                <w:szCs w:val="24"/>
              </w:rPr>
              <w:t>评标基准价：满足招标文件要求且投标价格最低的有效投标报价为评标基准价，其价格分为满分（50分）。</w:t>
            </w:r>
          </w:p>
          <w:p>
            <w:pPr>
              <w:rPr>
                <w:rFonts w:ascii="宋体" w:hAnsi="宋体" w:cs="宋体"/>
                <w:szCs w:val="24"/>
              </w:rPr>
            </w:pPr>
            <w:r>
              <w:rPr>
                <w:rFonts w:hint="eastAsia" w:ascii="宋体" w:hAnsi="宋体" w:cs="宋体"/>
                <w:szCs w:val="24"/>
              </w:rPr>
              <w:t>其他投标人报价得分：投标报价得分=(评标基准价／投标报价)×50（四舍五入后保留小数点后两位）。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35" w:type="dxa"/>
            <w:vMerge w:val="restart"/>
            <w:vAlign w:val="center"/>
          </w:tcPr>
          <w:p>
            <w:pPr>
              <w:jc w:val="center"/>
              <w:rPr>
                <w:rFonts w:ascii="宋体" w:hAnsi="宋体" w:cs="宋体"/>
                <w:szCs w:val="24"/>
              </w:rPr>
            </w:pPr>
            <w:r>
              <w:rPr>
                <w:rFonts w:hint="eastAsia" w:ascii="宋体" w:hAnsi="宋体" w:cs="宋体"/>
                <w:szCs w:val="24"/>
              </w:rPr>
              <w:t>商务分（23分）</w:t>
            </w:r>
          </w:p>
        </w:tc>
        <w:tc>
          <w:tcPr>
            <w:tcW w:w="1236" w:type="dxa"/>
            <w:vAlign w:val="center"/>
          </w:tcPr>
          <w:p>
            <w:pPr>
              <w:jc w:val="center"/>
              <w:rPr>
                <w:rFonts w:ascii="宋体" w:hAnsi="宋体" w:cs="宋体"/>
                <w:szCs w:val="24"/>
              </w:rPr>
            </w:pPr>
            <w:r>
              <w:rPr>
                <w:rFonts w:hint="eastAsia" w:ascii="宋体" w:hAnsi="宋体" w:cs="宋体"/>
                <w:color w:val="000000" w:themeColor="text1"/>
                <w:szCs w:val="24"/>
                <w14:textFill>
                  <w14:solidFill>
                    <w14:schemeClr w14:val="tx1"/>
                  </w14:solidFill>
                </w14:textFill>
              </w:rPr>
              <w:t>综合实力</w:t>
            </w:r>
          </w:p>
        </w:tc>
        <w:tc>
          <w:tcPr>
            <w:tcW w:w="1019" w:type="dxa"/>
            <w:vAlign w:val="center"/>
          </w:tcPr>
          <w:p>
            <w:pPr>
              <w:jc w:val="center"/>
              <w:rPr>
                <w:rFonts w:ascii="宋体" w:hAnsi="宋体" w:cs="宋体"/>
                <w:szCs w:val="24"/>
              </w:rPr>
            </w:pPr>
            <w:r>
              <w:rPr>
                <w:rFonts w:hint="eastAsia" w:ascii="宋体" w:hAnsi="宋体" w:cs="宋体"/>
                <w:szCs w:val="24"/>
              </w:rPr>
              <w:t>14</w:t>
            </w:r>
          </w:p>
        </w:tc>
        <w:tc>
          <w:tcPr>
            <w:tcW w:w="6389" w:type="dxa"/>
            <w:vAlign w:val="center"/>
          </w:tcPr>
          <w:p>
            <w:pPr>
              <w:numPr>
                <w:ilvl w:val="0"/>
                <w:numId w:val="8"/>
              </w:numP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投标产品制造商具有ISO9001质量管理体系认证、ISO14001环境管理体系认证、OHSAS18001职业健康安全管理体系认证、ISO10015:1999培训管理体系认证，每提供一份证书得1分，共4分。不提供不得分。</w:t>
            </w:r>
          </w:p>
          <w:p>
            <w:pPr>
              <w:numPr>
                <w:ilvl w:val="0"/>
                <w:numId w:val="8"/>
              </w:numP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投标产品制造商获得过市级行政部门颁发表彰或奖项的得1分，省级的得2分，国家级的得3分；此项最高得分不超过6分，不提供不得分。</w:t>
            </w:r>
          </w:p>
          <w:p>
            <w:pPr>
              <w:numPr>
                <w:ilvl w:val="0"/>
                <w:numId w:val="8"/>
              </w:numP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投标文件中提供投标人获得省级体育局确认为省级体育产业示范单位证明复印件的得1分，获得国家体育总局确认为国家体育产业示范单位证明复印件的得3分，最高得3分。</w:t>
            </w:r>
          </w:p>
          <w:p>
            <w:pP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w:t>
            </w:r>
            <w:r>
              <w:rPr>
                <w:rFonts w:hint="eastAsia" w:ascii="宋体" w:hAnsi="宋体" w:cs="宋体"/>
                <w:szCs w:val="24"/>
              </w:rPr>
              <w:t>投标人所投产品制造商的检测中心获得中国合格评定国家认可委员会实验室认可证书（CNAS）得1分，</w:t>
            </w:r>
            <w:r>
              <w:rPr>
                <w:rFonts w:hint="eastAsia" w:ascii="宋体" w:hAnsi="宋体" w:cs="宋体"/>
                <w:color w:val="000000" w:themeColor="text1"/>
                <w:szCs w:val="24"/>
                <w14:textFill>
                  <w14:solidFill>
                    <w14:schemeClr w14:val="tx1"/>
                  </w14:solidFill>
                </w14:textFill>
              </w:rPr>
              <w:t>不提供不得分。</w:t>
            </w:r>
          </w:p>
          <w:p>
            <w:pP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（提供加盖投标人公章的有效证明材料，原件备查）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235" w:type="dxa"/>
            <w:vMerge w:val="continue"/>
            <w:vAlign w:val="center"/>
          </w:tcPr>
          <w:p>
            <w:pPr>
              <w:jc w:val="center"/>
              <w:rPr>
                <w:rFonts w:ascii="宋体" w:hAnsi="宋体" w:cs="宋体"/>
                <w:szCs w:val="24"/>
              </w:rPr>
            </w:pPr>
          </w:p>
        </w:tc>
        <w:tc>
          <w:tcPr>
            <w:tcW w:w="1236" w:type="dxa"/>
            <w:vAlign w:val="center"/>
          </w:tcPr>
          <w:p>
            <w:pPr>
              <w:jc w:val="center"/>
              <w:rPr>
                <w:rFonts w:ascii="宋体" w:hAnsi="宋体" w:cs="宋体"/>
                <w:szCs w:val="24"/>
              </w:rPr>
            </w:pPr>
            <w:r>
              <w:rPr>
                <w:rFonts w:hint="eastAsia" w:ascii="宋体" w:hAnsi="宋体" w:cs="宋体"/>
                <w:color w:val="000000" w:themeColor="text1"/>
                <w:szCs w:val="24"/>
                <w14:textFill>
                  <w14:solidFill>
                    <w14:schemeClr w14:val="tx1"/>
                  </w14:solidFill>
                </w14:textFill>
              </w:rPr>
              <w:t>业绩</w:t>
            </w:r>
          </w:p>
        </w:tc>
        <w:tc>
          <w:tcPr>
            <w:tcW w:w="1019" w:type="dxa"/>
            <w:vAlign w:val="center"/>
          </w:tcPr>
          <w:p>
            <w:pPr>
              <w:jc w:val="center"/>
              <w:rPr>
                <w:rFonts w:ascii="宋体" w:hAnsi="宋体" w:cs="宋体"/>
                <w:szCs w:val="24"/>
              </w:rPr>
            </w:pPr>
            <w:r>
              <w:rPr>
                <w:rFonts w:hint="eastAsia" w:ascii="宋体" w:hAnsi="宋体" w:cs="宋体"/>
                <w:szCs w:val="24"/>
              </w:rPr>
              <w:t>3</w:t>
            </w:r>
          </w:p>
        </w:tc>
        <w:tc>
          <w:tcPr>
            <w:tcW w:w="6389" w:type="dxa"/>
            <w:vAlign w:val="center"/>
          </w:tcPr>
          <w:p>
            <w:pP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根据</w:t>
            </w:r>
            <w:r>
              <w:rPr>
                <w:rFonts w:hint="eastAsia" w:ascii="宋体" w:hAnsi="宋体" w:cs="宋体"/>
                <w:color w:val="000000" w:themeColor="text1"/>
                <w:szCs w:val="24"/>
                <w:lang w:val="en-US" w:eastAsia="zh-CN"/>
                <w14:textFill>
                  <w14:solidFill>
                    <w14:schemeClr w14:val="tx1"/>
                  </w14:solidFill>
                </w14:textFill>
              </w:rPr>
              <w:t>投标人</w:t>
            </w:r>
            <w:r>
              <w:rPr>
                <w:rFonts w:hint="eastAsia" w:ascii="宋体" w:hAnsi="宋体" w:cs="宋体"/>
                <w:color w:val="000000" w:themeColor="text1"/>
                <w:szCs w:val="24"/>
                <w14:textFill>
                  <w14:solidFill>
                    <w14:schemeClr w14:val="tx1"/>
                  </w14:solidFill>
                </w14:textFill>
              </w:rPr>
              <w:t>近3年（2018年10月1日至今）国内的类似产品销售业绩，提供一份合同得1分，最高得3分。</w:t>
            </w:r>
          </w:p>
          <w:p>
            <w:pPr>
              <w:rPr>
                <w:rFonts w:ascii="宋体" w:hAnsi="宋体" w:cs="宋体"/>
                <w:szCs w:val="24"/>
              </w:rPr>
            </w:pPr>
            <w:r>
              <w:rPr>
                <w:rFonts w:hint="eastAsia" w:ascii="宋体" w:hAnsi="宋体" w:cs="宋体"/>
                <w:color w:val="000000" w:themeColor="text1"/>
                <w:szCs w:val="24"/>
                <w14:textFill>
                  <w14:solidFill>
                    <w14:schemeClr w14:val="tx1"/>
                  </w14:solidFill>
                </w14:textFill>
              </w:rPr>
              <w:t>（本项累计计分；需</w:t>
            </w:r>
            <w:r>
              <w:rPr>
                <w:rFonts w:hint="eastAsia" w:ascii="宋体" w:hAnsi="宋体" w:cs="宋体"/>
                <w:color w:val="000000" w:themeColor="text1"/>
                <w:szCs w:val="24"/>
                <w:lang w:val="en-US" w:eastAsia="zh-CN"/>
                <w14:textFill>
                  <w14:solidFill>
                    <w14:schemeClr w14:val="tx1"/>
                  </w14:solidFill>
                </w14:textFill>
              </w:rPr>
              <w:t>提供投标人</w:t>
            </w:r>
            <w:r>
              <w:rPr>
                <w:rFonts w:hint="eastAsia" w:ascii="宋体" w:hAnsi="宋体" w:cs="宋体"/>
                <w:color w:val="000000" w:themeColor="text1"/>
                <w:szCs w:val="24"/>
                <w14:textFill>
                  <w14:solidFill>
                    <w14:schemeClr w14:val="tx1"/>
                  </w14:solidFill>
                </w14:textFill>
              </w:rPr>
              <w:t>的中标通知书、合同复印件，能清晰反映签订时间、品牌型号、合同金额等要素并加盖</w:t>
            </w:r>
            <w:r>
              <w:rPr>
                <w:rFonts w:hint="eastAsia" w:ascii="宋体" w:hAnsi="宋体" w:cs="宋体"/>
                <w:color w:val="000000" w:themeColor="text1"/>
                <w:szCs w:val="24"/>
                <w:lang w:val="en-US" w:eastAsia="zh-CN"/>
                <w14:textFill>
                  <w14:solidFill>
                    <w14:schemeClr w14:val="tx1"/>
                  </w14:solidFill>
                </w14:textFill>
              </w:rPr>
              <w:t>投标人</w:t>
            </w:r>
            <w:r>
              <w:rPr>
                <w:rFonts w:hint="eastAsia" w:ascii="宋体" w:hAnsi="宋体" w:cs="宋体"/>
                <w:color w:val="000000" w:themeColor="text1"/>
                <w:szCs w:val="24"/>
                <w14:textFill>
                  <w14:solidFill>
                    <w14:schemeClr w14:val="tx1"/>
                  </w14:solidFill>
                </w14:textFill>
              </w:rPr>
              <w:t>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235" w:type="dxa"/>
            <w:vMerge w:val="continue"/>
            <w:vAlign w:val="center"/>
          </w:tcPr>
          <w:p>
            <w:pPr>
              <w:rPr>
                <w:rFonts w:ascii="宋体" w:hAnsi="宋体" w:cs="宋体"/>
                <w:szCs w:val="24"/>
              </w:rPr>
            </w:pPr>
          </w:p>
        </w:tc>
        <w:tc>
          <w:tcPr>
            <w:tcW w:w="1236" w:type="dxa"/>
            <w:vAlign w:val="center"/>
          </w:tcPr>
          <w:p>
            <w:pPr>
              <w:rPr>
                <w:rFonts w:ascii="宋体" w:hAnsi="宋体" w:cs="宋体"/>
                <w:szCs w:val="24"/>
              </w:rPr>
            </w:pPr>
            <w:r>
              <w:rPr>
                <w:rFonts w:hint="eastAsia" w:ascii="宋体" w:hAnsi="宋体" w:cs="宋体"/>
                <w:color w:val="000000" w:themeColor="text1"/>
                <w:szCs w:val="24"/>
                <w14:textFill>
                  <w14:solidFill>
                    <w14:schemeClr w14:val="tx1"/>
                  </w14:solidFill>
                </w14:textFill>
              </w:rPr>
              <w:t>投标文件的编制情况</w:t>
            </w:r>
          </w:p>
        </w:tc>
        <w:tc>
          <w:tcPr>
            <w:tcW w:w="1019" w:type="dxa"/>
            <w:vAlign w:val="center"/>
          </w:tcPr>
          <w:p>
            <w:pPr>
              <w:jc w:val="center"/>
              <w:rPr>
                <w:rFonts w:ascii="宋体" w:hAnsi="宋体" w:cs="宋体"/>
                <w:szCs w:val="24"/>
              </w:rPr>
            </w:pPr>
            <w:r>
              <w:rPr>
                <w:rFonts w:hint="eastAsia" w:ascii="宋体" w:hAnsi="宋体" w:cs="宋体"/>
                <w:szCs w:val="24"/>
              </w:rPr>
              <w:t>2</w:t>
            </w:r>
          </w:p>
        </w:tc>
        <w:tc>
          <w:tcPr>
            <w:tcW w:w="6389" w:type="dxa"/>
            <w:vAlign w:val="center"/>
          </w:tcPr>
          <w:p>
            <w:pP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1.双面打印，装订牢固（胶装），目录清楚，逐页编码，页码准确，得1分。</w:t>
            </w:r>
          </w:p>
          <w:p>
            <w:pPr>
              <w:rPr>
                <w:rFonts w:ascii="宋体" w:hAnsi="宋体" w:cs="宋体"/>
                <w:szCs w:val="24"/>
              </w:rPr>
            </w:pPr>
            <w:r>
              <w:rPr>
                <w:rFonts w:hint="eastAsia" w:ascii="宋体" w:hAnsi="宋体" w:cs="宋体"/>
                <w:color w:val="000000" w:themeColor="text1"/>
                <w:szCs w:val="24"/>
                <w14:textFill>
                  <w14:solidFill>
                    <w14:schemeClr w14:val="tx1"/>
                  </w14:solidFill>
                </w14:textFill>
              </w:rPr>
              <w:t>2.完全响应招标文件要求提供相关资料、表格、评分索引表等得1分。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235" w:type="dxa"/>
            <w:vMerge w:val="continue"/>
            <w:vAlign w:val="center"/>
          </w:tcPr>
          <w:p>
            <w:pPr>
              <w:rPr>
                <w:rFonts w:ascii="宋体" w:hAnsi="宋体" w:cs="宋体"/>
                <w:szCs w:val="24"/>
              </w:rPr>
            </w:pPr>
          </w:p>
        </w:tc>
        <w:tc>
          <w:tcPr>
            <w:tcW w:w="1236" w:type="dxa"/>
            <w:vAlign w:val="center"/>
          </w:tcPr>
          <w:p>
            <w:pPr>
              <w:rPr>
                <w:rFonts w:ascii="宋体" w:hAnsi="宋体" w:cs="宋体"/>
                <w:szCs w:val="24"/>
              </w:rPr>
            </w:pPr>
            <w:r>
              <w:rPr>
                <w:rFonts w:hint="eastAsia" w:ascii="宋体" w:hAnsi="宋体" w:cs="宋体"/>
                <w:color w:val="000000" w:themeColor="text1"/>
                <w:szCs w:val="24"/>
                <w14:textFill>
                  <w14:solidFill>
                    <w14:schemeClr w14:val="tx1"/>
                  </w14:solidFill>
                </w14:textFill>
              </w:rPr>
              <w:t>售后服务</w:t>
            </w:r>
          </w:p>
        </w:tc>
        <w:tc>
          <w:tcPr>
            <w:tcW w:w="1019" w:type="dxa"/>
            <w:vAlign w:val="center"/>
          </w:tcPr>
          <w:p>
            <w:pPr>
              <w:jc w:val="center"/>
              <w:rPr>
                <w:rFonts w:ascii="宋体" w:hAnsi="宋体" w:cs="宋体"/>
                <w:szCs w:val="24"/>
              </w:rPr>
            </w:pPr>
            <w:r>
              <w:rPr>
                <w:rFonts w:hint="eastAsia" w:ascii="宋体" w:hAnsi="宋体" w:cs="宋体"/>
                <w:szCs w:val="24"/>
              </w:rPr>
              <w:t>4</w:t>
            </w:r>
          </w:p>
        </w:tc>
        <w:tc>
          <w:tcPr>
            <w:tcW w:w="6389"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1、投标单位或产品制造商具有国家标准“商品售后服务评价体系”GB/T27922-2011五星级证书（全国商品售后服务评价达标认证评审委员会颁发）的得1分（提供有效期内证书复印件加盖</w:t>
            </w:r>
            <w:r>
              <w:rPr>
                <w:rFonts w:hint="eastAsia" w:ascii="宋体" w:hAnsi="宋体" w:cs="宋体"/>
                <w:color w:val="000000" w:themeColor="text1"/>
                <w:lang w:val="en-US" w:eastAsia="zh-CN"/>
                <w14:textFill>
                  <w14:solidFill>
                    <w14:schemeClr w14:val="tx1"/>
                  </w14:solidFill>
                </w14:textFill>
              </w:rPr>
              <w:t>投标人</w:t>
            </w:r>
            <w:r>
              <w:rPr>
                <w:rFonts w:hint="eastAsia" w:ascii="宋体" w:hAnsi="宋体" w:cs="宋体"/>
                <w:color w:val="000000" w:themeColor="text1"/>
                <w14:textFill>
                  <w14:solidFill>
                    <w14:schemeClr w14:val="tx1"/>
                  </w14:solidFill>
                </w14:textFill>
              </w:rPr>
              <w:t>公章，原件备查）</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2、投标产品制造商在江苏省内有售后服务点或服务机构，得1分。（须出具相关证明材料，如经营场地产权证明或租赁合同等资料复印件加盖</w:t>
            </w:r>
            <w:r>
              <w:rPr>
                <w:rFonts w:hint="eastAsia" w:ascii="宋体" w:hAnsi="宋体" w:cs="宋体"/>
                <w:color w:val="000000" w:themeColor="text1"/>
                <w:lang w:val="en-US" w:eastAsia="zh-CN"/>
                <w14:textFill>
                  <w14:solidFill>
                    <w14:schemeClr w14:val="tx1"/>
                  </w14:solidFill>
                </w14:textFill>
              </w:rPr>
              <w:t>投标人</w:t>
            </w:r>
            <w:r>
              <w:rPr>
                <w:rFonts w:hint="eastAsia" w:ascii="宋体" w:hAnsi="宋体" w:cs="宋体"/>
                <w:color w:val="000000" w:themeColor="text1"/>
                <w14:textFill>
                  <w14:solidFill>
                    <w14:schemeClr w14:val="tx1"/>
                  </w14:solidFill>
                </w14:textFill>
              </w:rPr>
              <w:t>公章，原件备查）</w:t>
            </w:r>
          </w:p>
          <w:p>
            <w:pPr>
              <w:rPr>
                <w:rFonts w:ascii="宋体" w:hAnsi="宋体" w:cs="宋体"/>
                <w:szCs w:val="24"/>
              </w:rPr>
            </w:pPr>
            <w:r>
              <w:rPr>
                <w:rFonts w:hint="eastAsia" w:ascii="宋体" w:hAnsi="宋体" w:cs="宋体"/>
                <w:color w:val="000000" w:themeColor="text1"/>
                <w14:textFill>
                  <w14:solidFill>
                    <w14:schemeClr w14:val="tx1"/>
                  </w14:solidFill>
                </w14:textFill>
              </w:rPr>
              <w:t>3、投标人具有针对本项目详细的施工组织及售后服务方案，评价为良好的得2分，评价为一般的不得分，最高得2分。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235" w:type="dxa"/>
            <w:vMerge w:val="restart"/>
            <w:vAlign w:val="center"/>
          </w:tcPr>
          <w:p>
            <w:pPr>
              <w:rPr>
                <w:rFonts w:ascii="宋体" w:hAnsi="宋体" w:cs="宋体"/>
                <w:szCs w:val="24"/>
              </w:rPr>
            </w:pPr>
            <w:r>
              <w:rPr>
                <w:rFonts w:hint="eastAsia" w:ascii="宋体" w:hAnsi="宋体" w:cs="宋体"/>
                <w:szCs w:val="24"/>
              </w:rPr>
              <w:t>技术分（27）分</w:t>
            </w:r>
          </w:p>
        </w:tc>
        <w:tc>
          <w:tcPr>
            <w:tcW w:w="1236" w:type="dxa"/>
            <w:vAlign w:val="center"/>
          </w:tcPr>
          <w:p>
            <w:pPr>
              <w:rPr>
                <w:rFonts w:ascii="宋体" w:hAnsi="宋体" w:cs="宋体"/>
                <w:szCs w:val="24"/>
              </w:rPr>
            </w:pPr>
            <w:r>
              <w:rPr>
                <w:rFonts w:hint="eastAsia" w:ascii="宋体" w:hAnsi="宋体" w:cs="宋体"/>
                <w:color w:val="000000" w:themeColor="text1"/>
                <w:szCs w:val="24"/>
                <w14:textFill>
                  <w14:solidFill>
                    <w14:schemeClr w14:val="tx1"/>
                  </w14:solidFill>
                </w14:textFill>
              </w:rPr>
              <w:t>技术参数</w:t>
            </w:r>
          </w:p>
        </w:tc>
        <w:tc>
          <w:tcPr>
            <w:tcW w:w="1019" w:type="dxa"/>
            <w:vAlign w:val="center"/>
          </w:tcPr>
          <w:p>
            <w:pPr>
              <w:jc w:val="center"/>
              <w:rPr>
                <w:rFonts w:ascii="宋体" w:hAnsi="宋体" w:cs="宋体"/>
                <w:szCs w:val="24"/>
              </w:rPr>
            </w:pPr>
            <w:r>
              <w:rPr>
                <w:rFonts w:hint="eastAsia" w:ascii="宋体" w:hAnsi="宋体" w:cs="宋体"/>
                <w:szCs w:val="24"/>
              </w:rPr>
              <w:t>10</w:t>
            </w:r>
          </w:p>
        </w:tc>
        <w:tc>
          <w:tcPr>
            <w:tcW w:w="6389" w:type="dxa"/>
            <w:vAlign w:val="center"/>
          </w:tcPr>
          <w:p>
            <w:pPr>
              <w:rPr>
                <w:rFonts w:ascii="宋体" w:hAnsi="宋体" w:cs="宋体"/>
                <w:szCs w:val="24"/>
              </w:rPr>
            </w:pPr>
            <w:r>
              <w:rPr>
                <w:rFonts w:hint="eastAsia" w:ascii="宋体" w:hAnsi="宋体" w:cs="宋体"/>
                <w:color w:val="000000" w:themeColor="text1"/>
                <w:szCs w:val="24"/>
                <w14:textFill>
                  <w14:solidFill>
                    <w14:schemeClr w14:val="tx1"/>
                  </w14:solidFill>
                </w14:textFill>
              </w:rPr>
              <w:t>供应商的响应文件完全满足招标文件中的服务要求得</w:t>
            </w:r>
            <w:r>
              <w:rPr>
                <w:rFonts w:ascii="宋体" w:hAnsi="宋体" w:cs="宋体"/>
                <w:color w:val="000000" w:themeColor="text1"/>
                <w:szCs w:val="24"/>
                <w14:textFill>
                  <w14:solidFill>
                    <w14:schemeClr w14:val="tx1"/>
                  </w14:solidFill>
                </w14:textFill>
              </w:rPr>
              <w:t>10</w:t>
            </w:r>
            <w:r>
              <w:rPr>
                <w:rFonts w:hint="eastAsia" w:ascii="宋体" w:hAnsi="宋体" w:cs="宋体"/>
                <w:color w:val="000000" w:themeColor="text1"/>
                <w:szCs w:val="24"/>
                <w14:textFill>
                  <w14:solidFill>
                    <w14:schemeClr w14:val="tx1"/>
                  </w14:solidFill>
                </w14:textFill>
              </w:rPr>
              <w:t>分，</w:t>
            </w:r>
            <w:r>
              <w:rPr>
                <w:rFonts w:hint="eastAsia" w:ascii="宋体" w:hAnsi="宋体" w:cs="宋体"/>
                <w:szCs w:val="24"/>
              </w:rPr>
              <w:t>每有一项不满足（负偏离）的，扣1分；扣完为止。优于招标文件参数不加分。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35" w:type="dxa"/>
            <w:vMerge w:val="continue"/>
            <w:vAlign w:val="center"/>
          </w:tcPr>
          <w:p>
            <w:pPr>
              <w:rPr>
                <w:rFonts w:ascii="宋体" w:hAnsi="宋体" w:cs="宋体"/>
                <w:szCs w:val="24"/>
              </w:rPr>
            </w:pPr>
          </w:p>
        </w:tc>
        <w:tc>
          <w:tcPr>
            <w:tcW w:w="1236" w:type="dxa"/>
            <w:vAlign w:val="center"/>
          </w:tcPr>
          <w:p>
            <w:pPr>
              <w:spacing w:beforeLines="50"/>
              <w:jc w:val="left"/>
              <w:rPr>
                <w:rFonts w:ascii="宋体" w:hAnsi="宋体" w:cs="宋体"/>
                <w:szCs w:val="24"/>
              </w:rPr>
            </w:pPr>
            <w:r>
              <w:rPr>
                <w:rFonts w:hint="eastAsia" w:ascii="宋体" w:hAnsi="宋体" w:cs="宋体"/>
                <w:color w:val="000000" w:themeColor="text1"/>
                <w:szCs w:val="24"/>
                <w:lang w:bidi="zh-CN"/>
                <w14:textFill>
                  <w14:solidFill>
                    <w14:schemeClr w14:val="tx1"/>
                  </w14:solidFill>
                </w14:textFill>
              </w:rPr>
              <w:t>产品认证</w:t>
            </w:r>
          </w:p>
        </w:tc>
        <w:tc>
          <w:tcPr>
            <w:tcW w:w="1019" w:type="dxa"/>
            <w:vAlign w:val="center"/>
          </w:tcPr>
          <w:p>
            <w:pPr>
              <w:spacing w:beforeLines="50"/>
              <w:jc w:val="center"/>
              <w:rPr>
                <w:rFonts w:ascii="宋体" w:hAnsi="宋体" w:cs="宋体"/>
                <w:szCs w:val="24"/>
              </w:rPr>
            </w:pPr>
            <w:r>
              <w:rPr>
                <w:rFonts w:hint="eastAsia" w:ascii="宋体" w:hAnsi="宋体" w:cs="宋体"/>
                <w:color w:val="000000" w:themeColor="text1"/>
                <w:szCs w:val="24"/>
                <w14:textFill>
                  <w14:solidFill>
                    <w14:schemeClr w14:val="tx1"/>
                  </w14:solidFill>
                </w14:textFill>
              </w:rPr>
              <w:t>8</w:t>
            </w:r>
          </w:p>
        </w:tc>
        <w:tc>
          <w:tcPr>
            <w:tcW w:w="6389" w:type="dxa"/>
          </w:tcPr>
          <w:p>
            <w:pPr>
              <w:jc w:val="left"/>
              <w:rPr>
                <w:rFonts w:ascii="宋体" w:hAnsi="宋体" w:cs="宋体"/>
                <w:szCs w:val="24"/>
              </w:rPr>
            </w:pPr>
            <w:r>
              <w:rPr>
                <w:rFonts w:hint="eastAsia" w:ascii="宋体" w:hAnsi="宋体" w:cs="宋体"/>
                <w:color w:val="000000" w:themeColor="text1"/>
                <w:szCs w:val="24"/>
                <w14:textFill>
                  <w14:solidFill>
                    <w14:schemeClr w14:val="tx1"/>
                  </w14:solidFill>
                </w14:textFill>
              </w:rPr>
              <w:t>投标人所投产品取得有效期内的国体认证NSCC证书，每一项产品认证得0.5分，本项最高得8分。（提供加盖</w:t>
            </w:r>
            <w:r>
              <w:rPr>
                <w:rFonts w:hint="eastAsia" w:ascii="宋体" w:hAnsi="宋体" w:cs="宋体"/>
                <w:color w:val="000000" w:themeColor="text1"/>
                <w:szCs w:val="24"/>
                <w:lang w:val="en-US" w:eastAsia="zh-CN"/>
                <w14:textFill>
                  <w14:solidFill>
                    <w14:schemeClr w14:val="tx1"/>
                  </w14:solidFill>
                </w14:textFill>
              </w:rPr>
              <w:t>投标人</w:t>
            </w:r>
            <w:r>
              <w:rPr>
                <w:rFonts w:hint="eastAsia" w:ascii="宋体" w:hAnsi="宋体" w:cs="宋体"/>
                <w:color w:val="000000" w:themeColor="text1"/>
                <w:szCs w:val="24"/>
                <w14:textFill>
                  <w14:solidFill>
                    <w14:schemeClr w14:val="tx1"/>
                  </w14:solidFill>
                </w14:textFill>
              </w:rPr>
              <w:t>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35" w:type="dxa"/>
            <w:vMerge w:val="continue"/>
            <w:vAlign w:val="center"/>
          </w:tcPr>
          <w:p>
            <w:pPr>
              <w:rPr>
                <w:rFonts w:ascii="宋体" w:hAnsi="宋体" w:cs="宋体"/>
                <w:szCs w:val="24"/>
              </w:rPr>
            </w:pPr>
          </w:p>
        </w:tc>
        <w:tc>
          <w:tcPr>
            <w:tcW w:w="1236" w:type="dxa"/>
            <w:vAlign w:val="center"/>
          </w:tcPr>
          <w:p>
            <w:pPr>
              <w:spacing w:beforeLines="50"/>
              <w:jc w:val="left"/>
              <w:rPr>
                <w:rFonts w:ascii="宋体" w:hAnsi="宋体" w:cs="宋体"/>
                <w:szCs w:val="24"/>
              </w:rPr>
            </w:pPr>
            <w:r>
              <w:rPr>
                <w:rFonts w:hint="eastAsia" w:ascii="宋体" w:hAnsi="宋体" w:cs="宋体"/>
                <w:color w:val="000000" w:themeColor="text1"/>
                <w:szCs w:val="24"/>
                <w14:textFill>
                  <w14:solidFill>
                    <w14:schemeClr w14:val="tx1"/>
                  </w14:solidFill>
                </w14:textFill>
              </w:rPr>
              <w:t>产品统一性要求</w:t>
            </w:r>
          </w:p>
        </w:tc>
        <w:tc>
          <w:tcPr>
            <w:tcW w:w="1019" w:type="dxa"/>
            <w:vAlign w:val="center"/>
          </w:tcPr>
          <w:p>
            <w:pPr>
              <w:spacing w:beforeLines="50"/>
              <w:jc w:val="center"/>
              <w:rPr>
                <w:rFonts w:ascii="宋体" w:hAnsi="宋体" w:cs="宋体"/>
                <w:szCs w:val="24"/>
              </w:rPr>
            </w:pPr>
            <w:r>
              <w:rPr>
                <w:rFonts w:hint="eastAsia" w:ascii="宋体" w:hAnsi="宋体" w:cs="宋体"/>
                <w:color w:val="000000" w:themeColor="text1"/>
                <w:szCs w:val="24"/>
                <w14:textFill>
                  <w14:solidFill>
                    <w14:schemeClr w14:val="tx1"/>
                  </w14:solidFill>
                </w14:textFill>
              </w:rPr>
              <w:t>3</w:t>
            </w:r>
          </w:p>
        </w:tc>
        <w:tc>
          <w:tcPr>
            <w:tcW w:w="6389" w:type="dxa"/>
            <w:vAlign w:val="center"/>
          </w:tcPr>
          <w:p>
            <w:pPr>
              <w:jc w:val="left"/>
              <w:rPr>
                <w:rFonts w:ascii="宋体" w:hAnsi="宋体" w:cs="宋体"/>
                <w:szCs w:val="24"/>
              </w:rPr>
            </w:pPr>
            <w:r>
              <w:rPr>
                <w:rFonts w:hint="eastAsia" w:ascii="宋体" w:hAnsi="宋体" w:cs="宋体"/>
                <w:szCs w:val="24"/>
              </w:rPr>
              <w:t>为保证器材售后便捷性要求，所有产品为统一品牌得3分，不统一品牌不得分。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235" w:type="dxa"/>
            <w:vMerge w:val="continue"/>
            <w:vAlign w:val="center"/>
          </w:tcPr>
          <w:p>
            <w:pPr>
              <w:rPr>
                <w:rFonts w:ascii="宋体" w:hAnsi="宋体" w:cs="宋体"/>
                <w:szCs w:val="24"/>
              </w:rPr>
            </w:pPr>
          </w:p>
        </w:tc>
        <w:tc>
          <w:tcPr>
            <w:tcW w:w="1236" w:type="dxa"/>
            <w:vAlign w:val="center"/>
          </w:tcPr>
          <w:p>
            <w:pPr>
              <w:spacing w:beforeLines="50"/>
              <w:jc w:val="left"/>
              <w:rPr>
                <w:rFonts w:ascii="宋体" w:hAnsi="宋体" w:cs="宋体"/>
                <w:szCs w:val="24"/>
              </w:rPr>
            </w:pPr>
            <w:r>
              <w:rPr>
                <w:rFonts w:hint="eastAsia" w:ascii="宋体" w:hAnsi="宋体" w:cs="宋体"/>
                <w:color w:val="000000" w:themeColor="text1"/>
                <w:szCs w:val="24"/>
                <w14:textFill>
                  <w14:solidFill>
                    <w14:schemeClr w14:val="tx1"/>
                  </w14:solidFill>
                </w14:textFill>
              </w:rPr>
              <w:t>售后健身器材管理软件</w:t>
            </w:r>
          </w:p>
        </w:tc>
        <w:tc>
          <w:tcPr>
            <w:tcW w:w="1019" w:type="dxa"/>
            <w:vAlign w:val="center"/>
          </w:tcPr>
          <w:p>
            <w:pPr>
              <w:spacing w:beforeLines="50"/>
              <w:jc w:val="center"/>
              <w:rPr>
                <w:rFonts w:ascii="宋体" w:hAnsi="宋体" w:cs="宋体"/>
                <w:szCs w:val="24"/>
              </w:rPr>
            </w:pPr>
            <w:r>
              <w:rPr>
                <w:rFonts w:hint="eastAsia" w:ascii="宋体" w:hAnsi="宋体" w:cs="宋体"/>
                <w:kern w:val="0"/>
              </w:rPr>
              <w:t>1</w:t>
            </w:r>
          </w:p>
        </w:tc>
        <w:tc>
          <w:tcPr>
            <w:tcW w:w="6389" w:type="dxa"/>
            <w:vAlign w:val="center"/>
          </w:tcPr>
          <w:p>
            <w:pPr>
              <w:jc w:val="left"/>
              <w:rPr>
                <w:rFonts w:ascii="宋体" w:hAnsi="宋体" w:cs="宋体"/>
                <w:szCs w:val="24"/>
              </w:rPr>
            </w:pPr>
            <w:r>
              <w:rPr>
                <w:rFonts w:hint="eastAsia" w:ascii="宋体" w:hAnsi="宋体" w:cs="宋体"/>
                <w:szCs w:val="24"/>
              </w:rPr>
              <w:t>投标产品制造商具有自主研发的健身器材管理系统，主要包括二维码扫描识别、器材视频功能介绍、器材定位、器材报修、维修管理等功能，提供功能操作页面截图。功能丰富齐全，操作便捷，运行顺畅得1分（提供加盖投标人公章的计算机软件著作权登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5" w:type="dxa"/>
            <w:vMerge w:val="continue"/>
            <w:vAlign w:val="center"/>
          </w:tcPr>
          <w:p>
            <w:pPr>
              <w:rPr>
                <w:rFonts w:ascii="宋体" w:hAnsi="宋体" w:cs="宋体"/>
                <w:szCs w:val="24"/>
              </w:rPr>
            </w:pPr>
          </w:p>
        </w:tc>
        <w:tc>
          <w:tcPr>
            <w:tcW w:w="1236" w:type="dxa"/>
            <w:vAlign w:val="center"/>
          </w:tcPr>
          <w:p>
            <w:pPr>
              <w:spacing w:beforeLines="50"/>
              <w:jc w:val="left"/>
              <w:rPr>
                <w:rFonts w:ascii="宋体" w:hAnsi="宋体" w:cs="宋体"/>
                <w:szCs w:val="24"/>
              </w:rPr>
            </w:pPr>
            <w:r>
              <w:rPr>
                <w:rFonts w:hint="eastAsia" w:ascii="宋体" w:hAnsi="宋体" w:cs="宋体"/>
                <w:color w:val="000000" w:themeColor="text1"/>
                <w:szCs w:val="24"/>
                <w14:textFill>
                  <w14:solidFill>
                    <w14:schemeClr w14:val="tx1"/>
                  </w14:solidFill>
                </w14:textFill>
              </w:rPr>
              <w:t>产品保险体系评价</w:t>
            </w:r>
          </w:p>
        </w:tc>
        <w:tc>
          <w:tcPr>
            <w:tcW w:w="1019" w:type="dxa"/>
            <w:vAlign w:val="center"/>
          </w:tcPr>
          <w:p>
            <w:pPr>
              <w:spacing w:beforeLines="50"/>
              <w:jc w:val="center"/>
              <w:rPr>
                <w:rFonts w:ascii="宋体" w:hAnsi="宋体" w:cs="宋体"/>
                <w:szCs w:val="24"/>
              </w:rPr>
            </w:pPr>
            <w:r>
              <w:rPr>
                <w:rFonts w:hint="eastAsia" w:ascii="宋体" w:hAnsi="宋体" w:cs="宋体"/>
                <w:color w:val="000000" w:themeColor="text1"/>
                <w:szCs w:val="24"/>
                <w14:textFill>
                  <w14:solidFill>
                    <w14:schemeClr w14:val="tx1"/>
                  </w14:solidFill>
                </w14:textFill>
              </w:rPr>
              <w:t>3</w:t>
            </w:r>
          </w:p>
        </w:tc>
        <w:tc>
          <w:tcPr>
            <w:tcW w:w="6389" w:type="dxa"/>
          </w:tcPr>
          <w:p>
            <w:pPr>
              <w:jc w:val="left"/>
              <w:rPr>
                <w:rFonts w:ascii="宋体" w:hAnsi="宋体" w:cs="宋体"/>
                <w:szCs w:val="24"/>
              </w:rPr>
            </w:pPr>
            <w:r>
              <w:rPr>
                <w:rFonts w:hint="eastAsia" w:ascii="宋体" w:hAnsi="宋体" w:cs="宋体"/>
                <w:color w:val="000000"/>
                <w:kern w:val="0"/>
              </w:rPr>
              <w:t>健身器材投有产品质量险、产品责任险、意外伤害险和公众责任险的得3分，少一项不得分。（提供证明材料）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5" w:type="dxa"/>
            <w:vMerge w:val="continue"/>
            <w:vAlign w:val="center"/>
          </w:tcPr>
          <w:p>
            <w:pPr>
              <w:rPr>
                <w:rFonts w:ascii="宋体" w:hAnsi="宋体" w:cs="宋体"/>
                <w:szCs w:val="24"/>
              </w:rPr>
            </w:pPr>
          </w:p>
        </w:tc>
        <w:tc>
          <w:tcPr>
            <w:tcW w:w="1236" w:type="dxa"/>
            <w:vAlign w:val="center"/>
          </w:tcPr>
          <w:p>
            <w:pPr>
              <w:spacing w:beforeLines="50"/>
              <w:jc w:val="left"/>
              <w:rPr>
                <w:rFonts w:ascii="宋体" w:hAnsi="宋体" w:cs="宋体"/>
                <w:szCs w:val="24"/>
              </w:rPr>
            </w:pPr>
            <w:r>
              <w:rPr>
                <w:rFonts w:hint="eastAsia" w:ascii="宋体" w:hAnsi="宋体" w:cs="宋体"/>
                <w:color w:val="000000" w:themeColor="text1"/>
                <w:szCs w:val="24"/>
                <w14:textFill>
                  <w14:solidFill>
                    <w14:schemeClr w14:val="tx1"/>
                  </w14:solidFill>
                </w14:textFill>
              </w:rPr>
              <w:t>质保承诺</w:t>
            </w:r>
          </w:p>
        </w:tc>
        <w:tc>
          <w:tcPr>
            <w:tcW w:w="1019" w:type="dxa"/>
            <w:vAlign w:val="center"/>
          </w:tcPr>
          <w:p>
            <w:pPr>
              <w:spacing w:beforeLines="50"/>
              <w:jc w:val="center"/>
              <w:rPr>
                <w:rFonts w:ascii="宋体" w:hAnsi="宋体" w:cs="宋体"/>
                <w:szCs w:val="24"/>
              </w:rPr>
            </w:pPr>
            <w:r>
              <w:rPr>
                <w:rFonts w:hint="eastAsia" w:ascii="宋体" w:hAnsi="宋体" w:cs="宋体"/>
                <w:color w:val="000000" w:themeColor="text1"/>
                <w:szCs w:val="24"/>
                <w14:textFill>
                  <w14:solidFill>
                    <w14:schemeClr w14:val="tx1"/>
                  </w14:solidFill>
                </w14:textFill>
              </w:rPr>
              <w:t>2</w:t>
            </w:r>
          </w:p>
        </w:tc>
        <w:tc>
          <w:tcPr>
            <w:tcW w:w="6389" w:type="dxa"/>
          </w:tcPr>
          <w:p>
            <w:pPr>
              <w:jc w:val="left"/>
              <w:rPr>
                <w:rFonts w:ascii="宋体" w:hAnsi="宋体" w:cs="宋体"/>
                <w:szCs w:val="24"/>
              </w:rPr>
            </w:pPr>
            <w:r>
              <w:rPr>
                <w:rFonts w:hint="eastAsia" w:ascii="宋体" w:hAnsi="宋体" w:cs="宋体"/>
                <w:color w:val="000000" w:themeColor="text1"/>
                <w:szCs w:val="24"/>
                <w14:textFill>
                  <w14:solidFill>
                    <w14:schemeClr w14:val="tx1"/>
                  </w14:solidFill>
                </w14:textFill>
              </w:rPr>
              <w:t>投标人需提供投标产品制造商的质保承诺函，承诺三年质保得1分，承诺四年及以上质保得2分（复印件加盖</w:t>
            </w:r>
            <w:r>
              <w:rPr>
                <w:rFonts w:hint="eastAsia" w:ascii="宋体" w:hAnsi="宋体" w:cs="宋体"/>
                <w:color w:val="000000" w:themeColor="text1"/>
                <w:szCs w:val="24"/>
                <w:lang w:val="en-US" w:eastAsia="zh-CN"/>
                <w14:textFill>
                  <w14:solidFill>
                    <w14:schemeClr w14:val="tx1"/>
                  </w14:solidFill>
                </w14:textFill>
              </w:rPr>
              <w:t>投标人</w:t>
            </w:r>
            <w:r>
              <w:rPr>
                <w:rFonts w:hint="eastAsia" w:ascii="宋体" w:hAnsi="宋体" w:cs="宋体"/>
                <w:color w:val="000000" w:themeColor="text1"/>
                <w:szCs w:val="24"/>
                <w14:textFill>
                  <w14:solidFill>
                    <w14:schemeClr w14:val="tx1"/>
                  </w14:solidFill>
                </w14:textFill>
              </w:rPr>
              <w:t>公章）无则不得分。</w:t>
            </w:r>
          </w:p>
        </w:tc>
      </w:tr>
    </w:tbl>
    <w:p>
      <w:pPr>
        <w:spacing w:line="500" w:lineRule="exact"/>
        <w:rPr>
          <w:rFonts w:ascii="宋体" w:hAnsi="宋体" w:cs="宋体"/>
          <w:kern w:val="0"/>
          <w:sz w:val="24"/>
        </w:rPr>
      </w:pPr>
      <w:r>
        <w:rPr>
          <w:rFonts w:hint="eastAsia" w:ascii="宋体" w:hAnsi="宋体" w:cs="宋体"/>
          <w:kern w:val="0"/>
          <w:sz w:val="24"/>
        </w:rPr>
        <w:t>备注： 有有效期的证书，需在有效期内，否则不予计取。</w:t>
      </w:r>
    </w:p>
    <w:p>
      <w:pPr>
        <w:spacing w:line="500" w:lineRule="exact"/>
        <w:ind w:firstLine="508" w:firstLineChars="211"/>
        <w:rPr>
          <w:rFonts w:ascii="宋体" w:hAnsi="宋体" w:cs="宋体"/>
          <w:b/>
          <w:kern w:val="0"/>
          <w:sz w:val="24"/>
        </w:rPr>
      </w:pPr>
    </w:p>
    <w:p>
      <w:pPr>
        <w:spacing w:line="500" w:lineRule="exact"/>
        <w:ind w:firstLine="508" w:firstLineChars="211"/>
        <w:rPr>
          <w:rFonts w:ascii="宋体" w:hAnsi="宋体" w:cs="宋体"/>
          <w:b/>
          <w:kern w:val="0"/>
          <w:sz w:val="24"/>
        </w:rPr>
      </w:pPr>
    </w:p>
    <w:p>
      <w:pPr>
        <w:spacing w:line="500" w:lineRule="exact"/>
        <w:ind w:firstLine="508" w:firstLineChars="211"/>
        <w:rPr>
          <w:rFonts w:ascii="宋体" w:hAnsi="宋体" w:cs="宋体"/>
          <w:kern w:val="0"/>
          <w:sz w:val="24"/>
        </w:rPr>
      </w:pPr>
      <w:r>
        <w:rPr>
          <w:rFonts w:hint="eastAsia" w:ascii="宋体" w:hAnsi="宋体" w:cs="宋体"/>
          <w:b/>
          <w:kern w:val="0"/>
          <w:sz w:val="24"/>
        </w:rPr>
        <w:t>三、定标补充规定</w:t>
      </w:r>
    </w:p>
    <w:p>
      <w:pPr>
        <w:spacing w:line="500" w:lineRule="exact"/>
        <w:ind w:firstLine="506" w:firstLineChars="211"/>
        <w:rPr>
          <w:rFonts w:ascii="宋体" w:hAnsi="宋体" w:cs="宋体"/>
          <w:kern w:val="0"/>
          <w:sz w:val="24"/>
        </w:rPr>
      </w:pPr>
      <w:r>
        <w:rPr>
          <w:rFonts w:hint="eastAsia" w:ascii="宋体" w:hAnsi="宋体" w:cs="宋体"/>
          <w:kern w:val="0"/>
          <w:sz w:val="24"/>
        </w:rPr>
        <w:t>按有效投标人的投标报价由低到高推荐中标候选人，如投标报价相同的，由评标委员会随机抽取确定排序。</w:t>
      </w:r>
    </w:p>
    <w:p>
      <w:pPr>
        <w:spacing w:line="500" w:lineRule="exact"/>
        <w:ind w:firstLine="506" w:firstLineChars="211"/>
        <w:rPr>
          <w:rFonts w:ascii="宋体" w:hAnsi="宋体" w:cs="宋体"/>
          <w:kern w:val="0"/>
          <w:sz w:val="24"/>
        </w:rPr>
      </w:pPr>
      <w:r>
        <w:rPr>
          <w:rFonts w:hint="eastAsia" w:ascii="宋体" w:hAnsi="宋体" w:cs="宋体"/>
          <w:kern w:val="0"/>
          <w:sz w:val="24"/>
        </w:rPr>
        <w:t>招标人根据评标委员会推荐的中标候选人，确定中标人。</w:t>
      </w:r>
    </w:p>
    <w:p>
      <w:pPr>
        <w:spacing w:line="500" w:lineRule="exact"/>
        <w:ind w:firstLine="506" w:firstLineChars="211"/>
        <w:rPr>
          <w:rFonts w:ascii="宋体" w:hAnsi="宋体" w:cs="宋体"/>
          <w:kern w:val="0"/>
          <w:sz w:val="24"/>
        </w:rPr>
      </w:pPr>
      <w:r>
        <w:rPr>
          <w:rFonts w:hint="eastAsia" w:ascii="宋体" w:hAnsi="宋体" w:cs="宋体"/>
          <w:kern w:val="0"/>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Style w:val="44"/>
          <w:rFonts w:ascii="宋体" w:hAnsi="宋体" w:cs="宋体"/>
          <w:b/>
          <w:sz w:val="44"/>
        </w:rPr>
      </w:pPr>
      <w:r>
        <w:rPr>
          <w:rFonts w:hint="eastAsia" w:ascii="宋体" w:hAnsi="宋体" w:cs="宋体"/>
          <w:kern w:val="0"/>
          <w:sz w:val="24"/>
        </w:rPr>
        <w:t>对不中标的投标人，招标人有权不作任何解释。</w:t>
      </w:r>
    </w:p>
    <w:p>
      <w:pPr>
        <w:pStyle w:val="34"/>
        <w:jc w:val="both"/>
        <w:rPr>
          <w:rStyle w:val="44"/>
          <w:rFonts w:ascii="宋体" w:hAnsi="宋体" w:eastAsia="宋体" w:cs="宋体"/>
          <w:b/>
          <w:sz w:val="44"/>
        </w:rPr>
      </w:pPr>
    </w:p>
    <w:p>
      <w:pPr>
        <w:pStyle w:val="34"/>
        <w:jc w:val="both"/>
        <w:rPr>
          <w:rStyle w:val="44"/>
          <w:rFonts w:asciiTheme="minorEastAsia" w:hAnsiTheme="minorEastAsia" w:eastAsiaTheme="minorEastAsia" w:cstheme="minorEastAsia"/>
          <w:b/>
          <w:sz w:val="44"/>
        </w:rPr>
      </w:pPr>
    </w:p>
    <w:p>
      <w:pPr>
        <w:jc w:val="center"/>
        <w:rPr>
          <w:rStyle w:val="44"/>
          <w:rFonts w:asciiTheme="minorEastAsia" w:hAnsiTheme="minorEastAsia" w:eastAsiaTheme="minorEastAsia" w:cstheme="minorEastAsia"/>
          <w:b/>
          <w:sz w:val="72"/>
        </w:rPr>
      </w:pPr>
    </w:p>
    <w:p>
      <w:pPr>
        <w:pStyle w:val="2"/>
        <w:outlineLvl w:val="9"/>
      </w:pPr>
    </w:p>
    <w:p>
      <w:pPr>
        <w:jc w:val="center"/>
        <w:rPr>
          <w:rStyle w:val="44"/>
          <w:rFonts w:asciiTheme="minorEastAsia" w:hAnsiTheme="minorEastAsia" w:eastAsiaTheme="minorEastAsia" w:cstheme="minorEastAsia"/>
          <w:b/>
          <w:sz w:val="44"/>
        </w:rPr>
      </w:pPr>
    </w:p>
    <w:p>
      <w:pPr>
        <w:jc w:val="center"/>
        <w:rPr>
          <w:rStyle w:val="44"/>
          <w:rFonts w:hint="eastAsia" w:asciiTheme="minorEastAsia" w:hAnsiTheme="minorEastAsia" w:eastAsiaTheme="minorEastAsia" w:cstheme="minorEastAsia"/>
          <w:b/>
          <w:sz w:val="44"/>
        </w:rPr>
      </w:pPr>
    </w:p>
    <w:p>
      <w:pPr>
        <w:jc w:val="center"/>
        <w:rPr>
          <w:rStyle w:val="44"/>
          <w:rFonts w:hint="eastAsia" w:asciiTheme="minorEastAsia" w:hAnsiTheme="minorEastAsia" w:eastAsiaTheme="minorEastAsia" w:cstheme="minorEastAsia"/>
          <w:b/>
          <w:sz w:val="44"/>
        </w:rPr>
      </w:pPr>
    </w:p>
    <w:p>
      <w:pPr>
        <w:jc w:val="center"/>
        <w:rPr>
          <w:rStyle w:val="44"/>
          <w:rFonts w:hint="eastAsia" w:asciiTheme="minorEastAsia" w:hAnsiTheme="minorEastAsia" w:eastAsiaTheme="minorEastAsia" w:cstheme="minorEastAsia"/>
          <w:b/>
          <w:sz w:val="44"/>
        </w:rPr>
      </w:pPr>
    </w:p>
    <w:p>
      <w:pPr>
        <w:jc w:val="center"/>
        <w:rPr>
          <w:rStyle w:val="44"/>
          <w:rFonts w:hint="eastAsia" w:asciiTheme="minorEastAsia" w:hAnsiTheme="minorEastAsia" w:eastAsiaTheme="minorEastAsia" w:cstheme="minorEastAsia"/>
          <w:b/>
          <w:sz w:val="44"/>
        </w:rPr>
      </w:pPr>
    </w:p>
    <w:p>
      <w:pPr>
        <w:jc w:val="center"/>
        <w:rPr>
          <w:rStyle w:val="44"/>
          <w:rFonts w:hint="eastAsia" w:asciiTheme="minorEastAsia" w:hAnsiTheme="minorEastAsia" w:eastAsiaTheme="minorEastAsia" w:cstheme="minorEastAsia"/>
          <w:b/>
          <w:sz w:val="44"/>
        </w:rPr>
      </w:pPr>
    </w:p>
    <w:p>
      <w:pPr>
        <w:jc w:val="center"/>
        <w:rPr>
          <w:rStyle w:val="44"/>
          <w:rFonts w:hint="eastAsia" w:asciiTheme="minorEastAsia" w:hAnsiTheme="minorEastAsia" w:eastAsiaTheme="minorEastAsia" w:cstheme="minorEastAsia"/>
          <w:b/>
          <w:sz w:val="44"/>
        </w:rPr>
      </w:pPr>
    </w:p>
    <w:p>
      <w:pPr>
        <w:jc w:val="center"/>
        <w:rPr>
          <w:rStyle w:val="44"/>
          <w:rFonts w:hint="eastAsia" w:asciiTheme="minorEastAsia" w:hAnsiTheme="minorEastAsia" w:eastAsiaTheme="minorEastAsia" w:cstheme="minorEastAsia"/>
          <w:b/>
          <w:sz w:val="44"/>
        </w:rPr>
      </w:pPr>
    </w:p>
    <w:p>
      <w:pPr>
        <w:jc w:val="center"/>
        <w:rPr>
          <w:rStyle w:val="44"/>
          <w:rFonts w:hint="eastAsia" w:asciiTheme="minorEastAsia" w:hAnsiTheme="minorEastAsia" w:eastAsiaTheme="minorEastAsia" w:cstheme="minorEastAsia"/>
          <w:b/>
          <w:sz w:val="44"/>
        </w:rPr>
      </w:pPr>
    </w:p>
    <w:p>
      <w:pPr>
        <w:jc w:val="center"/>
        <w:outlineLvl w:val="0"/>
        <w:rPr>
          <w:rStyle w:val="44"/>
          <w:rFonts w:asciiTheme="minorEastAsia" w:hAnsiTheme="minorEastAsia" w:eastAsiaTheme="minorEastAsia" w:cstheme="minorEastAsia"/>
          <w:b/>
          <w:sz w:val="72"/>
        </w:rPr>
      </w:pPr>
      <w:bookmarkStart w:id="5" w:name="_Toc30004"/>
      <w:r>
        <w:rPr>
          <w:rStyle w:val="44"/>
          <w:rFonts w:hint="eastAsia" w:asciiTheme="minorEastAsia" w:hAnsiTheme="minorEastAsia" w:eastAsiaTheme="minorEastAsia" w:cstheme="minorEastAsia"/>
          <w:b/>
          <w:sz w:val="44"/>
        </w:rPr>
        <w:t>第六章  投标文件格式</w:t>
      </w:r>
      <w:bookmarkEnd w:id="5"/>
    </w:p>
    <w:p>
      <w:pPr>
        <w:jc w:val="center"/>
        <w:outlineLvl w:val="0"/>
        <w:rPr>
          <w:rStyle w:val="44"/>
          <w:rFonts w:asciiTheme="minorEastAsia" w:hAnsiTheme="minorEastAsia" w:eastAsiaTheme="minorEastAsia" w:cstheme="minorEastAsia"/>
          <w:b/>
          <w:sz w:val="72"/>
        </w:rPr>
      </w:pPr>
      <w:bookmarkStart w:id="6" w:name="_Toc27254"/>
      <w:r>
        <w:rPr>
          <w:rStyle w:val="44"/>
          <w:rFonts w:hint="eastAsia" w:asciiTheme="minorEastAsia" w:hAnsiTheme="minorEastAsia" w:eastAsiaTheme="minorEastAsia" w:cstheme="minorEastAsia"/>
          <w:b/>
          <w:sz w:val="72"/>
        </w:rPr>
        <w:t>投  标  文  件</w:t>
      </w:r>
      <w:bookmarkEnd w:id="6"/>
    </w:p>
    <w:p>
      <w:pPr>
        <w:jc w:val="center"/>
        <w:rPr>
          <w:rStyle w:val="44"/>
          <w:rFonts w:asciiTheme="minorEastAsia" w:hAnsiTheme="minorEastAsia" w:eastAsiaTheme="minorEastAsia" w:cstheme="minorEastAsia"/>
          <w:b/>
          <w:sz w:val="72"/>
        </w:rPr>
      </w:pPr>
      <w:r>
        <w:rPr>
          <w:rStyle w:val="44"/>
          <w:rFonts w:hint="eastAsia" w:asciiTheme="minorEastAsia" w:hAnsiTheme="minorEastAsia" w:eastAsiaTheme="minorEastAsia" w:cstheme="minorEastAsia"/>
          <w:b/>
          <w:sz w:val="36"/>
        </w:rPr>
        <w:t>（正或副本）</w:t>
      </w:r>
    </w:p>
    <w:p>
      <w:pPr>
        <w:jc w:val="center"/>
        <w:rPr>
          <w:rStyle w:val="44"/>
          <w:rFonts w:asciiTheme="minorEastAsia" w:hAnsiTheme="minorEastAsia" w:eastAsiaTheme="minorEastAsia" w:cstheme="minorEastAsia"/>
          <w:b/>
          <w:sz w:val="72"/>
        </w:rPr>
      </w:pPr>
    </w:p>
    <w:p>
      <w:pPr>
        <w:jc w:val="center"/>
        <w:rPr>
          <w:rStyle w:val="44"/>
          <w:rFonts w:asciiTheme="minorEastAsia" w:hAnsiTheme="minorEastAsia" w:eastAsiaTheme="minorEastAsia" w:cstheme="minorEastAsia"/>
          <w:b/>
          <w:sz w:val="36"/>
        </w:rPr>
      </w:pPr>
    </w:p>
    <w:p>
      <w:pPr>
        <w:jc w:val="center"/>
        <w:rPr>
          <w:rStyle w:val="44"/>
          <w:rFonts w:asciiTheme="minorEastAsia" w:hAnsiTheme="minorEastAsia" w:eastAsiaTheme="minorEastAsia" w:cstheme="minorEastAsia"/>
          <w:b/>
          <w:sz w:val="36"/>
        </w:rPr>
      </w:pPr>
    </w:p>
    <w:p>
      <w:pPr>
        <w:jc w:val="center"/>
        <w:rPr>
          <w:rStyle w:val="44"/>
          <w:rFonts w:asciiTheme="minorEastAsia" w:hAnsiTheme="minorEastAsia" w:eastAsiaTheme="minorEastAsia" w:cstheme="minorEastAsia"/>
          <w:b/>
          <w:sz w:val="36"/>
        </w:rPr>
      </w:pPr>
    </w:p>
    <w:p>
      <w:pPr>
        <w:ind w:firstLine="1084" w:firstLineChars="300"/>
        <w:outlineLvl w:val="0"/>
        <w:rPr>
          <w:rStyle w:val="44"/>
          <w:rFonts w:asciiTheme="minorEastAsia" w:hAnsiTheme="minorEastAsia" w:eastAsiaTheme="minorEastAsia" w:cstheme="minorEastAsia"/>
          <w:b/>
          <w:sz w:val="36"/>
        </w:rPr>
      </w:pPr>
      <w:bookmarkStart w:id="7" w:name="_Toc4669"/>
      <w:r>
        <w:rPr>
          <w:rStyle w:val="44"/>
          <w:rFonts w:hint="eastAsia" w:asciiTheme="minorEastAsia" w:hAnsiTheme="minorEastAsia" w:eastAsiaTheme="minorEastAsia" w:cstheme="minorEastAsia"/>
          <w:b/>
          <w:sz w:val="36"/>
        </w:rPr>
        <w:t>项 目 名 称：</w:t>
      </w:r>
      <w:bookmarkEnd w:id="7"/>
    </w:p>
    <w:p>
      <w:pPr>
        <w:ind w:firstLine="1084" w:firstLineChars="300"/>
        <w:outlineLvl w:val="0"/>
        <w:rPr>
          <w:rStyle w:val="44"/>
          <w:rFonts w:asciiTheme="minorEastAsia" w:hAnsiTheme="minorEastAsia" w:eastAsiaTheme="minorEastAsia" w:cstheme="minorEastAsia"/>
          <w:b/>
          <w:sz w:val="36"/>
          <w:u w:val="single" w:color="000000"/>
        </w:rPr>
      </w:pPr>
      <w:bookmarkStart w:id="8" w:name="_Toc27442"/>
      <w:r>
        <w:rPr>
          <w:rStyle w:val="44"/>
          <w:rFonts w:hint="eastAsia" w:asciiTheme="minorEastAsia" w:hAnsiTheme="minorEastAsia" w:eastAsiaTheme="minorEastAsia" w:cstheme="minorEastAsia"/>
          <w:b/>
          <w:sz w:val="36"/>
        </w:rPr>
        <w:t>招 标 编 号：</w:t>
      </w:r>
      <w:bookmarkEnd w:id="8"/>
    </w:p>
    <w:p>
      <w:pPr>
        <w:outlineLvl w:val="0"/>
        <w:rPr>
          <w:rStyle w:val="44"/>
          <w:rFonts w:asciiTheme="minorEastAsia" w:hAnsiTheme="minorEastAsia" w:eastAsiaTheme="minorEastAsia" w:cstheme="minorEastAsia"/>
          <w:b/>
          <w:sz w:val="36"/>
          <w:u w:val="single" w:color="000000"/>
        </w:rPr>
      </w:pPr>
      <w:r>
        <w:rPr>
          <w:rStyle w:val="44"/>
          <w:rFonts w:hint="eastAsia" w:asciiTheme="minorEastAsia" w:hAnsiTheme="minorEastAsia" w:eastAsiaTheme="minorEastAsia" w:cstheme="minorEastAsia"/>
          <w:b/>
          <w:sz w:val="36"/>
        </w:rPr>
        <w:t xml:space="preserve">      </w:t>
      </w:r>
      <w:bookmarkStart w:id="9" w:name="_Toc31399"/>
      <w:r>
        <w:rPr>
          <w:rStyle w:val="44"/>
          <w:rFonts w:hint="eastAsia" w:asciiTheme="minorEastAsia" w:hAnsiTheme="minorEastAsia" w:eastAsiaTheme="minorEastAsia" w:cstheme="minorEastAsia"/>
          <w:b/>
          <w:sz w:val="36"/>
        </w:rPr>
        <w:t>投标人名称 ：</w:t>
      </w:r>
      <w:bookmarkEnd w:id="9"/>
    </w:p>
    <w:p>
      <w:pPr>
        <w:outlineLvl w:val="0"/>
        <w:rPr>
          <w:rStyle w:val="44"/>
          <w:rFonts w:asciiTheme="minorEastAsia" w:hAnsiTheme="minorEastAsia" w:eastAsiaTheme="minorEastAsia" w:cstheme="minorEastAsia"/>
          <w:b/>
          <w:sz w:val="36"/>
        </w:rPr>
      </w:pPr>
      <w:r>
        <w:rPr>
          <w:rStyle w:val="44"/>
          <w:rFonts w:hint="eastAsia" w:asciiTheme="minorEastAsia" w:hAnsiTheme="minorEastAsia" w:eastAsiaTheme="minorEastAsia" w:cstheme="minorEastAsia"/>
          <w:b/>
          <w:sz w:val="36"/>
        </w:rPr>
        <w:t xml:space="preserve">      </w:t>
      </w:r>
      <w:bookmarkStart w:id="10" w:name="_Toc7099"/>
      <w:r>
        <w:rPr>
          <w:rStyle w:val="44"/>
          <w:rFonts w:hint="eastAsia" w:asciiTheme="minorEastAsia" w:hAnsiTheme="minorEastAsia" w:eastAsiaTheme="minorEastAsia" w:cstheme="minorEastAsia"/>
          <w:b/>
          <w:sz w:val="36"/>
        </w:rPr>
        <w:t>日      期 ：</w:t>
      </w:r>
      <w:bookmarkEnd w:id="10"/>
    </w:p>
    <w:p>
      <w:pPr>
        <w:spacing w:line="440" w:lineRule="exact"/>
        <w:jc w:val="center"/>
        <w:rPr>
          <w:rStyle w:val="44"/>
          <w:rFonts w:asciiTheme="minorEastAsia" w:hAnsiTheme="minorEastAsia" w:eastAsiaTheme="minorEastAsia" w:cstheme="minorEastAsia"/>
          <w:b/>
          <w:bCs/>
          <w:sz w:val="32"/>
          <w:szCs w:val="32"/>
        </w:rPr>
      </w:pPr>
    </w:p>
    <w:p>
      <w:pPr>
        <w:spacing w:line="440" w:lineRule="exact"/>
        <w:ind w:firstLine="480" w:firstLineChars="200"/>
        <w:rPr>
          <w:rStyle w:val="44"/>
          <w:rFonts w:asciiTheme="minorEastAsia" w:hAnsiTheme="minorEastAsia" w:eastAsiaTheme="minorEastAsia" w:cstheme="minorEastAsia"/>
          <w:sz w:val="24"/>
        </w:rPr>
      </w:pPr>
    </w:p>
    <w:p>
      <w:pPr>
        <w:pStyle w:val="34"/>
        <w:jc w:val="both"/>
        <w:rPr>
          <w:rStyle w:val="44"/>
          <w:rFonts w:ascii="宋体" w:hAnsi="宋体" w:eastAsia="宋体" w:cs="宋体"/>
          <w:b/>
          <w:sz w:val="44"/>
        </w:rPr>
      </w:pPr>
    </w:p>
    <w:p>
      <w:pPr>
        <w:rPr>
          <w:rStyle w:val="44"/>
          <w:rFonts w:ascii="宋体" w:hAnsi="宋体" w:cs="宋体"/>
          <w:b/>
          <w:sz w:val="44"/>
        </w:rPr>
      </w:pPr>
    </w:p>
    <w:p>
      <w:pPr>
        <w:pStyle w:val="33"/>
        <w:rPr>
          <w:rStyle w:val="44"/>
          <w:rFonts w:ascii="宋体" w:hAnsi="宋体" w:cs="宋体"/>
          <w:b/>
          <w:color w:val="auto"/>
          <w:sz w:val="44"/>
        </w:rPr>
      </w:pPr>
    </w:p>
    <w:p>
      <w:pPr>
        <w:pStyle w:val="2"/>
        <w:outlineLvl w:val="9"/>
        <w:rPr>
          <w:rFonts w:asciiTheme="minorEastAsia" w:hAnsiTheme="minorEastAsia" w:eastAsiaTheme="minorEastAsia" w:cstheme="minorEastAsia"/>
        </w:rPr>
      </w:pPr>
    </w:p>
    <w:p/>
    <w:p>
      <w:pPr>
        <w:spacing w:line="440" w:lineRule="exact"/>
        <w:jc w:val="center"/>
        <w:rPr>
          <w:rStyle w:val="44"/>
          <w:rFonts w:asciiTheme="minorEastAsia" w:hAnsiTheme="minorEastAsia" w:eastAsiaTheme="minorEastAsia" w:cstheme="minorEastAsia"/>
          <w:b/>
          <w:sz w:val="30"/>
          <w:szCs w:val="30"/>
        </w:rPr>
      </w:pPr>
    </w:p>
    <w:p>
      <w:pPr>
        <w:spacing w:line="440" w:lineRule="exact"/>
        <w:jc w:val="center"/>
        <w:rPr>
          <w:rStyle w:val="44"/>
          <w:rFonts w:asciiTheme="minorEastAsia" w:hAnsiTheme="minorEastAsia" w:eastAsiaTheme="minorEastAsia" w:cstheme="minorEastAsia"/>
          <w:b/>
          <w:sz w:val="30"/>
          <w:szCs w:val="30"/>
        </w:rPr>
      </w:pPr>
    </w:p>
    <w:p>
      <w:pPr>
        <w:spacing w:line="440" w:lineRule="exact"/>
        <w:jc w:val="center"/>
        <w:rPr>
          <w:rStyle w:val="44"/>
          <w:rFonts w:asciiTheme="minorEastAsia" w:hAnsiTheme="minorEastAsia" w:eastAsiaTheme="minorEastAsia" w:cstheme="minorEastAsia"/>
          <w:b/>
          <w:sz w:val="30"/>
          <w:szCs w:val="30"/>
        </w:rPr>
      </w:pPr>
    </w:p>
    <w:p>
      <w:pPr>
        <w:spacing w:line="440" w:lineRule="exact"/>
        <w:jc w:val="center"/>
        <w:rPr>
          <w:rStyle w:val="44"/>
          <w:rFonts w:asciiTheme="minorEastAsia" w:hAnsiTheme="minorEastAsia" w:eastAsiaTheme="minorEastAsia" w:cstheme="minorEastAsia"/>
          <w:b/>
          <w:sz w:val="30"/>
          <w:szCs w:val="30"/>
        </w:rPr>
      </w:pPr>
    </w:p>
    <w:p>
      <w:pPr>
        <w:spacing w:line="440" w:lineRule="exact"/>
        <w:jc w:val="center"/>
        <w:outlineLvl w:val="0"/>
        <w:rPr>
          <w:rStyle w:val="44"/>
          <w:rFonts w:asciiTheme="minorEastAsia" w:hAnsiTheme="minorEastAsia" w:eastAsiaTheme="minorEastAsia" w:cstheme="minorEastAsia"/>
          <w:b/>
          <w:sz w:val="30"/>
          <w:szCs w:val="30"/>
        </w:rPr>
      </w:pPr>
      <w:bookmarkStart w:id="11" w:name="_Toc11994"/>
      <w:r>
        <w:rPr>
          <w:rStyle w:val="44"/>
          <w:rFonts w:hint="eastAsia" w:asciiTheme="minorEastAsia" w:hAnsiTheme="minorEastAsia" w:eastAsiaTheme="minorEastAsia" w:cstheme="minorEastAsia"/>
          <w:b/>
          <w:sz w:val="30"/>
          <w:szCs w:val="30"/>
        </w:rPr>
        <w:t>评分索引表</w:t>
      </w:r>
      <w:bookmarkEnd w:id="11"/>
    </w:p>
    <w:p>
      <w:pPr>
        <w:spacing w:line="440" w:lineRule="exact"/>
        <w:jc w:val="center"/>
        <w:rPr>
          <w:rStyle w:val="44"/>
          <w:rFonts w:asciiTheme="minorEastAsia" w:hAnsiTheme="minorEastAsia" w:eastAsiaTheme="minorEastAsia" w:cstheme="minorEastAsia"/>
          <w:b/>
          <w:sz w:val="30"/>
          <w:szCs w:val="30"/>
        </w:rPr>
      </w:pPr>
    </w:p>
    <w:tbl>
      <w:tblPr>
        <w:tblStyle w:val="25"/>
        <w:tblW w:w="9240"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jc w:val="center"/>
              <w:rPr>
                <w:rStyle w:val="44"/>
                <w:rFonts w:asciiTheme="minorEastAsia" w:hAnsiTheme="minorEastAsia" w:eastAsiaTheme="minorEastAsia" w:cstheme="minorEastAsia"/>
                <w:b/>
                <w:bCs/>
                <w:lang w:eastAsia="zh-CN"/>
              </w:rPr>
            </w:pPr>
            <w:r>
              <w:rPr>
                <w:rStyle w:val="44"/>
                <w:rFonts w:hint="eastAsia" w:asciiTheme="minorEastAsia" w:hAnsiTheme="minorEastAsia" w:eastAsiaTheme="minorEastAsia" w:cstheme="minorEastAsia"/>
                <w:b/>
              </w:rPr>
              <w:t>评分项目</w:t>
            </w:r>
          </w:p>
        </w:tc>
        <w:tc>
          <w:tcPr>
            <w:tcW w:w="3570" w:type="dxa"/>
            <w:tcBorders>
              <w:top w:val="single" w:color="000000" w:sz="4" w:space="0"/>
              <w:left w:val="single" w:color="000000" w:sz="4" w:space="0"/>
              <w:bottom w:val="single" w:color="000000" w:sz="4" w:space="0"/>
              <w:right w:val="single" w:color="000000" w:sz="4" w:space="0"/>
            </w:tcBorders>
          </w:tcPr>
          <w:p>
            <w:pPr>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kern w:val="0"/>
                <w:sz w:val="24"/>
                <w:lang w:bidi="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jc w:val="both"/>
              <w:rPr>
                <w:rStyle w:val="44"/>
                <w:rFonts w:asciiTheme="minorEastAsia" w:hAnsiTheme="minorEastAsia" w:eastAsiaTheme="minorEastAsia" w:cstheme="minorEastAsia"/>
                <w:b/>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b/>
                <w:kern w:val="0"/>
                <w:sz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jc w:val="both"/>
              <w:rPr>
                <w:rStyle w:val="44"/>
                <w:rFonts w:asciiTheme="minorEastAsia" w:hAnsiTheme="minorEastAsia" w:eastAsiaTheme="minorEastAsia" w:cs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jc w:val="both"/>
              <w:rPr>
                <w:rStyle w:val="44"/>
                <w:rFonts w:asciiTheme="minorEastAsia" w:hAnsiTheme="minorEastAsia" w:eastAsiaTheme="minorEastAsia" w:cs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jc w:val="both"/>
              <w:rPr>
                <w:rStyle w:val="44"/>
                <w:rFonts w:asciiTheme="minorEastAsia" w:hAnsiTheme="minorEastAsia" w:eastAsiaTheme="minorEastAsia" w:cstheme="minorEastAsia"/>
                <w:b/>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b/>
                <w:bCs/>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57"/>
              <w:shd w:val="clear" w:color="auto" w:fill="FFFFFF"/>
              <w:spacing w:line="265" w:lineRule="atLeast"/>
              <w:ind w:left="420"/>
              <w:rPr>
                <w:rStyle w:val="44"/>
                <w:rFonts w:asciiTheme="minorEastAsia" w:hAnsiTheme="minorEastAsia" w:eastAsiaTheme="minorEastAsia" w:cstheme="minorEastAsia"/>
                <w:b/>
                <w:bCs/>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44"/>
                <w:rFonts w:asciiTheme="minorEastAsia" w:hAnsiTheme="minorEastAsia" w:eastAsiaTheme="minorEastAsia" w:cstheme="minorEastAsia"/>
              </w:rPr>
            </w:pPr>
          </w:p>
        </w:tc>
      </w:tr>
    </w:tbl>
    <w:p>
      <w:pPr>
        <w:rPr>
          <w:rStyle w:val="44"/>
          <w:rFonts w:asciiTheme="minorEastAsia" w:hAnsiTheme="minorEastAsia" w:eastAsiaTheme="minorEastAsia" w:cstheme="minorEastAsia"/>
        </w:rPr>
      </w:pPr>
    </w:p>
    <w:p>
      <w:pPr>
        <w:pStyle w:val="33"/>
        <w:rPr>
          <w:rStyle w:val="44"/>
          <w:rFonts w:ascii="宋体" w:hAnsi="宋体" w:cs="宋体"/>
          <w:b/>
          <w:color w:val="auto"/>
          <w:sz w:val="44"/>
        </w:rPr>
      </w:pPr>
    </w:p>
    <w:p>
      <w:pPr>
        <w:pStyle w:val="24"/>
        <w:ind w:firstLine="0" w:firstLineChars="0"/>
        <w:rPr>
          <w:rFonts w:cs="宋体"/>
        </w:rPr>
      </w:pPr>
    </w:p>
    <w:p>
      <w:pPr>
        <w:pStyle w:val="24"/>
        <w:ind w:firstLine="0" w:firstLineChars="0"/>
        <w:rPr>
          <w:rFonts w:cs="宋体"/>
        </w:rPr>
      </w:pPr>
    </w:p>
    <w:p>
      <w:pPr>
        <w:ind w:firstLine="964" w:firstLineChars="300"/>
        <w:jc w:val="center"/>
        <w:rPr>
          <w:rStyle w:val="44"/>
          <w:rFonts w:asciiTheme="minorEastAsia" w:hAnsiTheme="minorEastAsia" w:eastAsiaTheme="minorEastAsia" w:cstheme="minorEastAsia"/>
          <w:b/>
          <w:bCs/>
          <w:sz w:val="32"/>
          <w:szCs w:val="32"/>
        </w:rPr>
      </w:pPr>
      <w:r>
        <w:rPr>
          <w:rStyle w:val="44"/>
          <w:rFonts w:hint="eastAsia" w:asciiTheme="minorEastAsia" w:hAnsiTheme="minorEastAsia" w:eastAsiaTheme="minorEastAsia" w:cstheme="minorEastAsia"/>
          <w:b/>
          <w:bCs/>
          <w:sz w:val="32"/>
          <w:szCs w:val="32"/>
        </w:rPr>
        <w:t>投标主要文件目录</w:t>
      </w:r>
    </w:p>
    <w:p>
      <w:pPr>
        <w:spacing w:line="440" w:lineRule="exact"/>
        <w:jc w:val="center"/>
        <w:rPr>
          <w:rStyle w:val="44"/>
          <w:rFonts w:asciiTheme="minorEastAsia" w:hAnsiTheme="minorEastAsia" w:eastAsiaTheme="minorEastAsia" w:cstheme="minorEastAsia"/>
          <w:b/>
          <w:bCs/>
          <w:sz w:val="32"/>
          <w:szCs w:val="32"/>
        </w:rPr>
      </w:pP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hAnsi="宋体" w:cs="宋体"/>
          <w:bCs/>
          <w:sz w:val="24"/>
        </w:rPr>
      </w:pPr>
      <w:r>
        <w:rPr>
          <w:rFonts w:hint="eastAsia" w:ascii="宋体" w:hAnsi="宋体" w:cs="宋体"/>
          <w:sz w:val="24"/>
        </w:rPr>
        <w:t>三、符合性检查响应对照表</w:t>
      </w:r>
    </w:p>
    <w:p>
      <w:pPr>
        <w:ind w:firstLine="480" w:firstLineChars="200"/>
        <w:rPr>
          <w:rFonts w:ascii="宋体" w:hAnsi="宋体" w:cs="宋体"/>
          <w:sz w:val="24"/>
        </w:rPr>
      </w:pPr>
      <w:r>
        <w:rPr>
          <w:rFonts w:hint="eastAsia" w:ascii="宋体" w:hAnsi="宋体" w:cs="宋体"/>
          <w:sz w:val="24"/>
        </w:rPr>
        <w:t>四、投标函</w:t>
      </w:r>
    </w:p>
    <w:p>
      <w:pPr>
        <w:ind w:firstLine="480" w:firstLineChars="200"/>
        <w:rPr>
          <w:rFonts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hAnsi="宋体" w:cs="宋体"/>
          <w:sz w:val="24"/>
        </w:rPr>
      </w:pPr>
      <w:r>
        <w:rPr>
          <w:rFonts w:hint="eastAsia" w:ascii="宋体" w:hAnsi="宋体" w:cs="宋体"/>
          <w:sz w:val="24"/>
        </w:rPr>
        <w:t>六、投标配置与分项报价表</w:t>
      </w:r>
    </w:p>
    <w:p>
      <w:pPr>
        <w:ind w:firstLine="480" w:firstLineChars="200"/>
        <w:rPr>
          <w:rFonts w:ascii="宋体" w:hAns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八、商务条款响应及偏离表</w:t>
      </w:r>
    </w:p>
    <w:p>
      <w:pPr>
        <w:ind w:firstLine="480" w:firstLineChars="200"/>
        <w:rPr>
          <w:rFonts w:ascii="宋体" w:hAnsi="宋体" w:cs="宋体"/>
          <w:sz w:val="24"/>
        </w:rPr>
      </w:pPr>
      <w:r>
        <w:rPr>
          <w:rFonts w:hint="eastAsia" w:ascii="宋体" w:hAnsi="宋体" w:cs="宋体"/>
          <w:sz w:val="24"/>
        </w:rPr>
        <w:t>九、技术方案、服务承诺、培训承诺等</w:t>
      </w:r>
    </w:p>
    <w:p>
      <w:pPr>
        <w:ind w:firstLine="480" w:firstLineChars="200"/>
        <w:rPr>
          <w:rFonts w:ascii="宋体" w:hAnsi="宋体" w:cs="宋体"/>
          <w:sz w:val="24"/>
        </w:rPr>
      </w:pPr>
      <w:r>
        <w:rPr>
          <w:rFonts w:hint="eastAsia" w:ascii="宋体" w:hAnsi="宋体" w:cs="宋体"/>
          <w:sz w:val="24"/>
        </w:rPr>
        <w:t>十、盐城市政府采购事前信用承诺书</w:t>
      </w:r>
    </w:p>
    <w:p>
      <w:pPr>
        <w:pStyle w:val="33"/>
      </w:pPr>
      <w:r>
        <w:rPr>
          <w:rFonts w:hint="eastAsia" w:ascii="宋体" w:hAnsi="宋体" w:cs="宋体"/>
          <w:color w:val="auto"/>
        </w:rPr>
        <w:t xml:space="preserve">    十一、其他材料</w:t>
      </w:r>
    </w:p>
    <w:p>
      <w:pPr>
        <w:spacing w:line="440" w:lineRule="exact"/>
        <w:ind w:firstLine="480" w:firstLineChars="200"/>
        <w:rPr>
          <w:rStyle w:val="44"/>
          <w:rFonts w:asciiTheme="minorEastAsia" w:hAnsiTheme="minorEastAsia" w:eastAsiaTheme="minorEastAsia" w:cstheme="minorEastAsia"/>
          <w:sz w:val="24"/>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ind w:firstLine="2570" w:firstLineChars="800"/>
        <w:outlineLvl w:val="0"/>
        <w:rPr>
          <w:rStyle w:val="44"/>
          <w:rFonts w:ascii="宋体" w:hAnsi="宋体" w:cs="宋体"/>
          <w:i/>
          <w:szCs w:val="24"/>
          <w:u w:val="single" w:color="000000"/>
        </w:rPr>
      </w:pPr>
      <w:bookmarkStart w:id="12" w:name="_Toc9304"/>
      <w:r>
        <w:rPr>
          <w:rStyle w:val="44"/>
          <w:rFonts w:hint="eastAsia" w:ascii="宋体" w:hAnsi="宋体" w:cs="宋体"/>
          <w:b/>
          <w:bCs/>
          <w:sz w:val="32"/>
          <w:szCs w:val="32"/>
        </w:rPr>
        <w:t>一、资信证明文件要求</w:t>
      </w:r>
      <w:bookmarkEnd w:id="12"/>
    </w:p>
    <w:p>
      <w:pPr>
        <w:adjustRightInd w:val="0"/>
        <w:snapToGrid w:val="0"/>
        <w:spacing w:line="360" w:lineRule="auto"/>
        <w:ind w:firstLine="482" w:firstLineChars="200"/>
        <w:rPr>
          <w:rStyle w:val="44"/>
          <w:rFonts w:ascii="宋体" w:hAnsi="宋体" w:cs="宋体"/>
          <w:sz w:val="24"/>
          <w:szCs w:val="20"/>
        </w:rPr>
      </w:pPr>
      <w:r>
        <w:rPr>
          <w:rStyle w:val="44"/>
          <w:rFonts w:hint="eastAsia" w:ascii="宋体" w:hAnsi="宋体" w:cs="宋体"/>
          <w:b/>
          <w:bCs/>
          <w:sz w:val="24"/>
        </w:rPr>
        <w:t>1、实质性资格证明文件目录</w:t>
      </w:r>
    </w:p>
    <w:p>
      <w:pPr>
        <w:snapToGrid w:val="0"/>
        <w:spacing w:line="500" w:lineRule="exact"/>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文件1 法人或者其他组织的营业执照等证明文件，自然人的身份证明（复印件）</w:t>
      </w:r>
    </w:p>
    <w:p>
      <w:pPr>
        <w:snapToGrid w:val="0"/>
        <w:spacing w:line="500" w:lineRule="exact"/>
        <w:ind w:firstLine="480" w:firstLineChars="200"/>
        <w:jc w:val="left"/>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文件2 上一年度财务状况报表（复印件，成立不满一年不需提供）</w:t>
      </w:r>
    </w:p>
    <w:p>
      <w:pPr>
        <w:snapToGrid w:val="0"/>
        <w:spacing w:line="500" w:lineRule="exact"/>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文件3 依法缴纳税收和社会保障资金的相关材料（复印件）</w:t>
      </w:r>
    </w:p>
    <w:p>
      <w:pPr>
        <w:snapToGrid w:val="0"/>
        <w:spacing w:line="500" w:lineRule="exact"/>
        <w:ind w:firstLine="480" w:firstLineChars="200"/>
        <w:jc w:val="left"/>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文件4 具备履行合同所必需的设备和专业技术能力的书面声明</w:t>
      </w:r>
    </w:p>
    <w:p>
      <w:pPr>
        <w:snapToGrid w:val="0"/>
        <w:spacing w:line="500" w:lineRule="exact"/>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文件5 参加政府采购活动前 3 年内在经营活动中没有重大违法记录的书面声明</w:t>
      </w:r>
    </w:p>
    <w:p>
      <w:pPr>
        <w:snapToGrid w:val="0"/>
        <w:spacing w:line="500" w:lineRule="exact"/>
        <w:ind w:firstLine="480" w:firstLineChars="200"/>
        <w:jc w:val="left"/>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文件6 法人授权书</w:t>
      </w:r>
    </w:p>
    <w:p>
      <w:pPr>
        <w:snapToGrid w:val="0"/>
        <w:spacing w:line="500" w:lineRule="exact"/>
        <w:ind w:firstLine="480" w:firstLineChars="200"/>
        <w:jc w:val="left"/>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5"/>
        <w:tabs>
          <w:tab w:val="left" w:pos="1275"/>
        </w:tabs>
        <w:jc w:val="center"/>
        <w:outlineLvl w:val="9"/>
        <w:rPr>
          <w:rFonts w:ascii="宋体" w:hAnsi="宋体" w:cs="宋体"/>
        </w:rPr>
      </w:pPr>
    </w:p>
    <w:p>
      <w:pPr>
        <w:rPr>
          <w:rFonts w:ascii="宋体" w:hAnsi="宋体" w:cs="宋体"/>
          <w:bCs/>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3"/>
        <w:rPr>
          <w:rFonts w:ascii="宋体" w:hAnsi="宋体" w:cs="宋体"/>
          <w:bCs/>
          <w:color w:val="auto"/>
          <w:szCs w:val="28"/>
        </w:rPr>
      </w:pPr>
    </w:p>
    <w:p>
      <w:pPr>
        <w:pStyle w:val="37"/>
        <w:jc w:val="center"/>
        <w:rPr>
          <w:rStyle w:val="44"/>
          <w:rFonts w:asciiTheme="minorEastAsia" w:hAnsiTheme="minorEastAsia" w:eastAsiaTheme="minorEastAsia" w:cstheme="minorEastAsia"/>
          <w:b w:val="0"/>
          <w:bCs w:val="0"/>
          <w:sz w:val="28"/>
          <w:szCs w:val="28"/>
        </w:rPr>
      </w:pPr>
      <w:r>
        <w:rPr>
          <w:rStyle w:val="44"/>
          <w:rFonts w:hint="eastAsia" w:asciiTheme="minorEastAsia" w:hAnsiTheme="minorEastAsia" w:eastAsiaTheme="minorEastAsia" w:cstheme="minorEastAsia"/>
          <w:sz w:val="28"/>
          <w:szCs w:val="28"/>
        </w:rPr>
        <w:t>具备履行合同所必需的设备和专业技术能力的书面声明</w:t>
      </w:r>
    </w:p>
    <w:p>
      <w:pPr>
        <w:spacing w:line="460" w:lineRule="exact"/>
        <w:ind w:firstLine="492"/>
        <w:rPr>
          <w:rStyle w:val="44"/>
          <w:rFonts w:asciiTheme="minorEastAsia" w:hAnsiTheme="minorEastAsia" w:eastAsiaTheme="minorEastAsia" w:cstheme="minorEastAsia"/>
          <w:bCs/>
          <w:sz w:val="28"/>
          <w:szCs w:val="28"/>
        </w:rPr>
      </w:pPr>
      <w:r>
        <w:rPr>
          <w:rStyle w:val="44"/>
          <w:rFonts w:hint="eastAsia" w:asciiTheme="minorEastAsia" w:hAnsiTheme="minorEastAsia" w:eastAsiaTheme="minorEastAsia" w:cstheme="minorEastAsia"/>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4"/>
          <w:rFonts w:asciiTheme="minorEastAsia" w:hAnsiTheme="minorEastAsia" w:eastAsiaTheme="minorEastAsia" w:cstheme="minorEastAsia"/>
          <w:bCs/>
          <w:sz w:val="28"/>
          <w:szCs w:val="28"/>
        </w:rPr>
      </w:pPr>
      <w:r>
        <w:rPr>
          <w:rStyle w:val="44"/>
          <w:rFonts w:hint="eastAsia" w:asciiTheme="minorEastAsia" w:hAnsiTheme="minorEastAsia" w:eastAsiaTheme="minorEastAsia" w:cstheme="minorEastAsia"/>
          <w:bCs/>
          <w:sz w:val="28"/>
          <w:szCs w:val="28"/>
        </w:rPr>
        <w:t>主要设备有：。</w:t>
      </w:r>
    </w:p>
    <w:p>
      <w:pPr>
        <w:spacing w:line="460" w:lineRule="exact"/>
        <w:ind w:firstLine="492"/>
        <w:rPr>
          <w:rStyle w:val="44"/>
          <w:rFonts w:asciiTheme="minorEastAsia" w:hAnsiTheme="minorEastAsia" w:eastAsiaTheme="minorEastAsia" w:cstheme="minorEastAsia"/>
          <w:bCs/>
          <w:sz w:val="28"/>
          <w:szCs w:val="28"/>
        </w:rPr>
      </w:pPr>
      <w:r>
        <w:rPr>
          <w:rStyle w:val="44"/>
          <w:rFonts w:hint="eastAsia" w:asciiTheme="minorEastAsia" w:hAnsiTheme="minorEastAsia" w:eastAsiaTheme="minorEastAsia" w:cstheme="minorEastAsia"/>
          <w:bCs/>
          <w:sz w:val="28"/>
          <w:szCs w:val="28"/>
        </w:rPr>
        <w:t>主要专业技术能力有：。</w:t>
      </w:r>
    </w:p>
    <w:p>
      <w:pPr>
        <w:spacing w:line="460" w:lineRule="exact"/>
        <w:ind w:firstLine="492"/>
        <w:rPr>
          <w:rStyle w:val="44"/>
          <w:rFonts w:asciiTheme="minorEastAsia" w:hAnsiTheme="minorEastAsia" w:eastAsiaTheme="minorEastAsia" w:cstheme="minorEastAsia"/>
          <w:bCs/>
          <w:sz w:val="28"/>
          <w:szCs w:val="28"/>
        </w:rPr>
      </w:pPr>
    </w:p>
    <w:p>
      <w:pPr>
        <w:spacing w:line="460" w:lineRule="exact"/>
        <w:ind w:firstLine="492"/>
        <w:rPr>
          <w:rStyle w:val="44"/>
          <w:rFonts w:asciiTheme="minorEastAsia" w:hAnsiTheme="minorEastAsia" w:eastAsiaTheme="minorEastAsia" w:cstheme="minorEastAsia"/>
          <w:bCs/>
          <w:sz w:val="28"/>
          <w:szCs w:val="28"/>
        </w:rPr>
      </w:pPr>
    </w:p>
    <w:p>
      <w:pPr>
        <w:spacing w:line="460" w:lineRule="exact"/>
        <w:ind w:firstLine="492"/>
        <w:rPr>
          <w:rStyle w:val="44"/>
          <w:rFonts w:asciiTheme="minorEastAsia" w:hAnsiTheme="minorEastAsia" w:eastAsiaTheme="minorEastAsia" w:cstheme="minorEastAsia"/>
          <w:bCs/>
          <w:sz w:val="28"/>
          <w:szCs w:val="28"/>
        </w:rPr>
      </w:pPr>
    </w:p>
    <w:p>
      <w:pPr>
        <w:spacing w:line="460" w:lineRule="exact"/>
        <w:rPr>
          <w:rStyle w:val="44"/>
          <w:rFonts w:asciiTheme="minorEastAsia" w:hAnsiTheme="minorEastAsia" w:eastAsiaTheme="minorEastAsia" w:cstheme="minorEastAsia"/>
          <w:bCs/>
          <w:sz w:val="28"/>
          <w:szCs w:val="28"/>
        </w:rPr>
      </w:pPr>
      <w:r>
        <w:rPr>
          <w:rStyle w:val="44"/>
          <w:rFonts w:hint="eastAsia" w:asciiTheme="minorEastAsia" w:hAnsiTheme="minorEastAsia" w:eastAsiaTheme="minorEastAsia" w:cstheme="minorEastAsia"/>
          <w:bCs/>
          <w:sz w:val="28"/>
          <w:szCs w:val="28"/>
        </w:rPr>
        <w:t xml:space="preserve">                                       供应商名称（公章）：</w:t>
      </w:r>
    </w:p>
    <w:p>
      <w:pPr>
        <w:spacing w:line="460" w:lineRule="exact"/>
        <w:rPr>
          <w:rStyle w:val="44"/>
          <w:rFonts w:asciiTheme="minorEastAsia" w:hAnsiTheme="minorEastAsia" w:eastAsiaTheme="minorEastAsia" w:cstheme="minorEastAsia"/>
          <w:bCs/>
          <w:sz w:val="28"/>
          <w:szCs w:val="28"/>
        </w:rPr>
      </w:pPr>
    </w:p>
    <w:p>
      <w:pPr>
        <w:spacing w:line="460" w:lineRule="exact"/>
        <w:jc w:val="right"/>
        <w:rPr>
          <w:rStyle w:val="44"/>
          <w:rFonts w:asciiTheme="minorEastAsia" w:hAnsiTheme="minorEastAsia" w:eastAsiaTheme="minorEastAsia" w:cstheme="minorEastAsia"/>
          <w:bCs/>
          <w:sz w:val="28"/>
          <w:szCs w:val="28"/>
        </w:rPr>
      </w:pPr>
      <w:r>
        <w:rPr>
          <w:rStyle w:val="44"/>
          <w:rFonts w:hint="eastAsia" w:asciiTheme="minorEastAsia" w:hAnsiTheme="minorEastAsia" w:eastAsiaTheme="minorEastAsia" w:cstheme="minorEastAsia"/>
          <w:bCs/>
          <w:sz w:val="28"/>
          <w:szCs w:val="28"/>
        </w:rPr>
        <w:t>日期：</w:t>
      </w:r>
      <w:r>
        <w:rPr>
          <w:rStyle w:val="44"/>
          <w:rFonts w:hint="eastAsia" w:asciiTheme="minorEastAsia" w:hAnsiTheme="minorEastAsia" w:eastAsiaTheme="minorEastAsia" w:cstheme="minorEastAsia"/>
          <w:bCs/>
          <w:sz w:val="28"/>
          <w:szCs w:val="28"/>
          <w:u w:val="single" w:color="000000"/>
        </w:rPr>
        <w:t xml:space="preserve">    年    月    日</w:t>
      </w:r>
    </w:p>
    <w:p>
      <w:pPr>
        <w:pStyle w:val="37"/>
        <w:jc w:val="center"/>
        <w:rPr>
          <w:rStyle w:val="44"/>
          <w:rFonts w:asciiTheme="minorEastAsia" w:hAnsiTheme="minorEastAsia" w:eastAsiaTheme="minorEastAsia" w:cstheme="minorEastAsia"/>
          <w:sz w:val="28"/>
          <w:szCs w:val="28"/>
        </w:rPr>
      </w:pPr>
      <w:r>
        <w:rPr>
          <w:rStyle w:val="44"/>
          <w:rFonts w:hint="eastAsia" w:asciiTheme="minorEastAsia" w:hAnsiTheme="minorEastAsia" w:eastAsiaTheme="minorEastAsia" w:cstheme="minorEastAsia"/>
          <w:sz w:val="28"/>
          <w:szCs w:val="28"/>
        </w:rPr>
        <w:br w:type="page"/>
      </w:r>
      <w:r>
        <w:rPr>
          <w:rStyle w:val="44"/>
          <w:rFonts w:hint="eastAsia" w:asciiTheme="minorEastAsia" w:hAnsiTheme="minorEastAsia" w:eastAsiaTheme="minorEastAsia" w:cstheme="minorEastAsia"/>
          <w:sz w:val="28"/>
          <w:szCs w:val="28"/>
        </w:rPr>
        <w:t>参加政府采购活动前 3 年内在经营活动中没有重大违法记录的书面声明</w:t>
      </w:r>
    </w:p>
    <w:p>
      <w:pPr>
        <w:spacing w:line="460" w:lineRule="exact"/>
        <w:rPr>
          <w:rStyle w:val="44"/>
          <w:rFonts w:asciiTheme="minorEastAsia" w:hAnsiTheme="minorEastAsia" w:eastAsiaTheme="minorEastAsia" w:cstheme="minorEastAsia"/>
          <w:b/>
          <w:bCs/>
          <w:sz w:val="28"/>
          <w:szCs w:val="28"/>
        </w:rPr>
      </w:pPr>
    </w:p>
    <w:p>
      <w:pPr>
        <w:jc w:val="center"/>
        <w:rPr>
          <w:rStyle w:val="44"/>
          <w:rFonts w:asciiTheme="minorEastAsia" w:hAnsiTheme="minorEastAsia" w:eastAsiaTheme="minorEastAsia" w:cstheme="minorEastAsia"/>
          <w:b/>
          <w:bCs/>
          <w:sz w:val="44"/>
          <w:szCs w:val="44"/>
        </w:rPr>
      </w:pPr>
      <w:r>
        <w:rPr>
          <w:rStyle w:val="44"/>
          <w:rFonts w:hint="eastAsia" w:asciiTheme="minorEastAsia" w:hAnsiTheme="minorEastAsia" w:eastAsiaTheme="minorEastAsia" w:cstheme="minorEastAsia"/>
          <w:b/>
          <w:bCs/>
          <w:sz w:val="44"/>
          <w:szCs w:val="44"/>
        </w:rPr>
        <w:t>声  明</w:t>
      </w:r>
    </w:p>
    <w:p>
      <w:pPr>
        <w:spacing w:line="460" w:lineRule="exact"/>
        <w:rPr>
          <w:rStyle w:val="44"/>
          <w:rFonts w:asciiTheme="minorEastAsia" w:hAnsiTheme="minorEastAsia" w:eastAsiaTheme="minorEastAsia" w:cstheme="minorEastAsia"/>
          <w:bCs/>
          <w:sz w:val="28"/>
          <w:szCs w:val="28"/>
        </w:rPr>
      </w:pPr>
      <w:r>
        <w:rPr>
          <w:rStyle w:val="44"/>
          <w:rFonts w:hint="eastAsia" w:asciiTheme="minorEastAsia" w:hAnsiTheme="minorEastAsia" w:eastAsiaTheme="minorEastAsia" w:cstheme="minorEastAsia"/>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4"/>
          <w:rFonts w:asciiTheme="minorEastAsia" w:hAnsiTheme="minorEastAsia" w:eastAsiaTheme="minorEastAsia" w:cstheme="minorEastAsia"/>
          <w:bCs/>
          <w:sz w:val="28"/>
          <w:szCs w:val="28"/>
        </w:rPr>
      </w:pPr>
    </w:p>
    <w:p>
      <w:pPr>
        <w:spacing w:line="460" w:lineRule="exact"/>
        <w:ind w:firstLine="3640" w:firstLineChars="1300"/>
        <w:rPr>
          <w:rStyle w:val="44"/>
          <w:rFonts w:asciiTheme="minorEastAsia" w:hAnsiTheme="minorEastAsia" w:eastAsiaTheme="minorEastAsia" w:cstheme="minorEastAsia"/>
          <w:bCs/>
          <w:sz w:val="28"/>
          <w:szCs w:val="28"/>
        </w:rPr>
      </w:pPr>
      <w:r>
        <w:rPr>
          <w:rStyle w:val="44"/>
          <w:rFonts w:hint="eastAsia" w:asciiTheme="minorEastAsia" w:hAnsiTheme="minorEastAsia" w:eastAsiaTheme="minorEastAsia" w:cstheme="minorEastAsia"/>
          <w:bCs/>
          <w:sz w:val="28"/>
          <w:szCs w:val="28"/>
        </w:rPr>
        <w:t>供应商名称（公章）：</w:t>
      </w:r>
    </w:p>
    <w:p>
      <w:pPr>
        <w:spacing w:line="460" w:lineRule="exact"/>
        <w:ind w:firstLine="3640" w:firstLineChars="1300"/>
        <w:rPr>
          <w:rStyle w:val="44"/>
          <w:rFonts w:asciiTheme="minorEastAsia" w:hAnsiTheme="minorEastAsia" w:eastAsiaTheme="minorEastAsia" w:cstheme="minorEastAsia"/>
          <w:bCs/>
          <w:sz w:val="28"/>
          <w:szCs w:val="28"/>
        </w:rPr>
      </w:pPr>
      <w:r>
        <w:rPr>
          <w:rStyle w:val="44"/>
          <w:rFonts w:hint="eastAsia" w:asciiTheme="minorEastAsia" w:hAnsiTheme="minorEastAsia" w:eastAsiaTheme="minorEastAsia" w:cstheme="minorEastAsia"/>
          <w:bCs/>
          <w:sz w:val="28"/>
          <w:szCs w:val="28"/>
        </w:rPr>
        <w:t>授权代表签字：</w:t>
      </w:r>
    </w:p>
    <w:p>
      <w:pPr>
        <w:spacing w:line="460" w:lineRule="exact"/>
        <w:rPr>
          <w:rStyle w:val="44"/>
          <w:rFonts w:asciiTheme="minorEastAsia" w:hAnsiTheme="minorEastAsia" w:eastAsiaTheme="minorEastAsia" w:cstheme="minorEastAsia"/>
          <w:bCs/>
          <w:sz w:val="28"/>
          <w:szCs w:val="28"/>
        </w:rPr>
      </w:pPr>
      <w:r>
        <w:rPr>
          <w:rStyle w:val="44"/>
          <w:rFonts w:hint="eastAsia" w:asciiTheme="minorEastAsia" w:hAnsiTheme="minorEastAsia" w:eastAsiaTheme="minorEastAsia" w:cstheme="minorEastAsia"/>
          <w:bCs/>
          <w:sz w:val="28"/>
          <w:szCs w:val="28"/>
        </w:rPr>
        <w:t xml:space="preserve">                          日期：</w:t>
      </w:r>
      <w:r>
        <w:rPr>
          <w:rStyle w:val="44"/>
          <w:rFonts w:hint="eastAsia" w:asciiTheme="minorEastAsia" w:hAnsiTheme="minorEastAsia" w:eastAsiaTheme="minorEastAsia" w:cstheme="minorEastAsia"/>
          <w:bCs/>
          <w:sz w:val="28"/>
          <w:szCs w:val="28"/>
          <w:u w:val="single" w:color="000000"/>
        </w:rPr>
        <w:t>年    月    日</w:t>
      </w:r>
    </w:p>
    <w:p>
      <w:pPr>
        <w:spacing w:line="460" w:lineRule="exact"/>
        <w:rPr>
          <w:rStyle w:val="44"/>
          <w:rFonts w:asciiTheme="minorEastAsia" w:hAnsiTheme="minorEastAsia" w:eastAsiaTheme="minorEastAsia" w:cstheme="minorEastAsia"/>
          <w:bCs/>
          <w:sz w:val="28"/>
          <w:szCs w:val="28"/>
        </w:rPr>
      </w:pPr>
    </w:p>
    <w:p>
      <w:pPr>
        <w:spacing w:line="460" w:lineRule="exact"/>
        <w:rPr>
          <w:rStyle w:val="44"/>
          <w:rFonts w:asciiTheme="minorEastAsia" w:hAnsiTheme="minorEastAsia" w:eastAsiaTheme="minorEastAsia" w:cstheme="minorEastAsia"/>
          <w:bCs/>
          <w:sz w:val="28"/>
          <w:szCs w:val="28"/>
        </w:rPr>
      </w:pPr>
    </w:p>
    <w:p>
      <w:pPr>
        <w:spacing w:line="460" w:lineRule="exact"/>
        <w:rPr>
          <w:rStyle w:val="44"/>
          <w:rFonts w:asciiTheme="minorEastAsia" w:hAnsiTheme="minorEastAsia" w:eastAsiaTheme="minorEastAsia" w:cstheme="minorEastAsia"/>
          <w:bCs/>
          <w:sz w:val="28"/>
          <w:szCs w:val="28"/>
        </w:rPr>
      </w:pPr>
    </w:p>
    <w:p>
      <w:pPr>
        <w:spacing w:line="460" w:lineRule="exact"/>
        <w:rPr>
          <w:rStyle w:val="44"/>
          <w:rFonts w:asciiTheme="minorEastAsia" w:hAnsiTheme="minorEastAsia" w:eastAsiaTheme="minorEastAsia" w:cstheme="minorEastAsia"/>
          <w:bCs/>
          <w:sz w:val="28"/>
          <w:szCs w:val="28"/>
        </w:rPr>
      </w:pPr>
    </w:p>
    <w:p>
      <w:pPr>
        <w:spacing w:line="460" w:lineRule="exact"/>
        <w:rPr>
          <w:rStyle w:val="44"/>
          <w:rFonts w:asciiTheme="minorEastAsia" w:hAnsiTheme="minorEastAsia" w:eastAsiaTheme="minorEastAsia" w:cstheme="minorEastAsia"/>
          <w:bCs/>
          <w:sz w:val="28"/>
          <w:szCs w:val="28"/>
        </w:rPr>
      </w:pPr>
    </w:p>
    <w:p>
      <w:pPr>
        <w:spacing w:line="460" w:lineRule="exact"/>
        <w:rPr>
          <w:rStyle w:val="44"/>
          <w:rFonts w:asciiTheme="minorEastAsia" w:hAnsiTheme="minorEastAsia" w:eastAsiaTheme="minorEastAsia" w:cstheme="minorEastAsia"/>
          <w:bCs/>
          <w:sz w:val="28"/>
          <w:szCs w:val="28"/>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spacing w:line="460" w:lineRule="exact"/>
        <w:rPr>
          <w:rStyle w:val="44"/>
          <w:rFonts w:asciiTheme="minorEastAsia" w:hAnsiTheme="minorEastAsia" w:eastAsiaTheme="minorEastAsia" w:cstheme="minorEastAsia"/>
          <w:bCs/>
          <w:sz w:val="24"/>
        </w:rPr>
      </w:pPr>
    </w:p>
    <w:p>
      <w:pPr>
        <w:pStyle w:val="37"/>
        <w:jc w:val="center"/>
        <w:rPr>
          <w:rStyle w:val="44"/>
          <w:rFonts w:asciiTheme="minorEastAsia" w:hAnsiTheme="minorEastAsia" w:eastAsiaTheme="minorEastAsia" w:cstheme="minorEastAsia"/>
          <w:sz w:val="28"/>
          <w:szCs w:val="28"/>
        </w:rPr>
      </w:pPr>
      <w:r>
        <w:rPr>
          <w:rStyle w:val="44"/>
          <w:rFonts w:hint="eastAsia" w:asciiTheme="minorEastAsia" w:hAnsiTheme="minorEastAsia" w:eastAsiaTheme="minorEastAsia" w:cstheme="minorEastAsia"/>
          <w:sz w:val="28"/>
          <w:szCs w:val="28"/>
        </w:rPr>
        <w:t>法人授权书</w:t>
      </w:r>
    </w:p>
    <w:p>
      <w:pPr>
        <w:pStyle w:val="115"/>
        <w:ind w:firstLine="560"/>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本授权书声明：____________（供应商名称）授权________________（被授权人的姓名）为我方就号项目采购活动的合法代理人，以本公司名义全权处理一切与该项目采购有关的事务。</w:t>
      </w:r>
    </w:p>
    <w:p>
      <w:pPr>
        <w:pStyle w:val="115"/>
        <w:ind w:firstLine="560"/>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本授权书于______年____月____日起生效，特此声明。</w:t>
      </w:r>
    </w:p>
    <w:p>
      <w:pPr>
        <w:pStyle w:val="115"/>
        <w:ind w:firstLineChars="0"/>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 xml:space="preserve">          代理人（被授权人）：_______________________</w:t>
      </w:r>
    </w:p>
    <w:p>
      <w:pPr>
        <w:pStyle w:val="115"/>
        <w:ind w:firstLine="1680" w:firstLineChars="600"/>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单位名称：_______________________________</w:t>
      </w:r>
    </w:p>
    <w:p>
      <w:pPr>
        <w:pStyle w:val="115"/>
        <w:ind w:firstLine="1663" w:firstLineChars="594"/>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授权单位盖章：_________________________________</w:t>
      </w:r>
    </w:p>
    <w:p>
      <w:pPr>
        <w:pStyle w:val="115"/>
        <w:ind w:firstLine="560"/>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单位名称：_____________________________________</w:t>
      </w:r>
    </w:p>
    <w:p>
      <w:pPr>
        <w:pStyle w:val="115"/>
        <w:ind w:firstLine="560"/>
        <w:rPr>
          <w:rStyle w:val="44"/>
          <w:rFonts w:asciiTheme="minorEastAsia" w:hAnsiTheme="minorEastAsia" w:eastAsiaTheme="minorEastAsia" w:cstheme="minorEastAsia"/>
          <w:szCs w:val="28"/>
          <w:u w:val="single" w:color="000000"/>
        </w:rPr>
      </w:pPr>
      <w:r>
        <w:rPr>
          <w:rStyle w:val="44"/>
          <w:rFonts w:hint="eastAsia" w:asciiTheme="minorEastAsia" w:hAnsiTheme="minorEastAsia" w:eastAsiaTheme="minorEastAsia" w:cstheme="minorEastAsia"/>
          <w:szCs w:val="28"/>
        </w:rPr>
        <w:t>地址：_____________________________________</w:t>
      </w:r>
    </w:p>
    <w:p>
      <w:pPr>
        <w:pStyle w:val="115"/>
        <w:ind w:firstLine="560"/>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 xml:space="preserve">日期：_____________________________________                    </w:t>
      </w:r>
    </w:p>
    <w:p>
      <w:pPr>
        <w:pStyle w:val="37"/>
        <w:rPr>
          <w:rStyle w:val="44"/>
          <w:rFonts w:asciiTheme="minorEastAsia" w:hAnsiTheme="minorEastAsia" w:eastAsiaTheme="minorEastAsia" w:cstheme="minorEastAsia"/>
          <w:sz w:val="28"/>
          <w:szCs w:val="28"/>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pStyle w:val="36"/>
        <w:rPr>
          <w:rStyle w:val="44"/>
          <w:rFonts w:asciiTheme="minorEastAsia" w:hAnsiTheme="minorEastAsia" w:eastAsiaTheme="minorEastAsia" w:cstheme="minorEastAsia"/>
        </w:rPr>
      </w:pPr>
    </w:p>
    <w:p>
      <w:pPr>
        <w:spacing w:line="460" w:lineRule="exact"/>
        <w:rPr>
          <w:rStyle w:val="44"/>
          <w:rFonts w:asciiTheme="minorEastAsia" w:hAnsiTheme="minorEastAsia" w:eastAsiaTheme="minorEastAsia" w:cstheme="minorEastAsia"/>
          <w:bCs/>
          <w:sz w:val="24"/>
        </w:rPr>
      </w:pPr>
    </w:p>
    <w:p>
      <w:pPr>
        <w:snapToGrid w:val="0"/>
        <w:spacing w:before="50" w:after="50"/>
        <w:jc w:val="center"/>
        <w:rPr>
          <w:rStyle w:val="44"/>
          <w:rFonts w:asciiTheme="minorEastAsia" w:hAnsiTheme="minorEastAsia" w:eastAsiaTheme="minorEastAsia" w:cstheme="minorEastAsia"/>
          <w:sz w:val="32"/>
          <w:szCs w:val="32"/>
        </w:rPr>
      </w:pPr>
    </w:p>
    <w:p>
      <w:pPr>
        <w:snapToGrid w:val="0"/>
        <w:spacing w:before="50" w:after="50"/>
        <w:jc w:val="center"/>
        <w:rPr>
          <w:rStyle w:val="44"/>
          <w:rFonts w:asciiTheme="minorEastAsia" w:hAnsiTheme="minorEastAsia" w:eastAsiaTheme="minorEastAsia" w:cstheme="minorEastAsia"/>
          <w:sz w:val="32"/>
          <w:szCs w:val="32"/>
        </w:rPr>
      </w:pPr>
    </w:p>
    <w:p>
      <w:pPr>
        <w:snapToGrid w:val="0"/>
        <w:spacing w:before="50" w:after="50"/>
        <w:jc w:val="center"/>
        <w:rPr>
          <w:rStyle w:val="44"/>
          <w:rFonts w:asciiTheme="minorEastAsia" w:hAnsiTheme="minorEastAsia" w:eastAsiaTheme="minorEastAsia" w:cstheme="minorEastAsia"/>
          <w:sz w:val="32"/>
          <w:szCs w:val="32"/>
        </w:rPr>
      </w:pPr>
    </w:p>
    <w:p>
      <w:pPr>
        <w:snapToGrid w:val="0"/>
        <w:spacing w:before="50" w:after="50"/>
        <w:jc w:val="center"/>
        <w:outlineLvl w:val="0"/>
        <w:rPr>
          <w:rStyle w:val="44"/>
          <w:rFonts w:asciiTheme="minorEastAsia" w:hAnsiTheme="minorEastAsia" w:eastAsiaTheme="minorEastAsia" w:cstheme="minorEastAsia"/>
          <w:sz w:val="32"/>
          <w:szCs w:val="32"/>
        </w:rPr>
      </w:pPr>
      <w:bookmarkStart w:id="13" w:name="_Toc16760"/>
      <w:r>
        <w:rPr>
          <w:rStyle w:val="44"/>
          <w:rFonts w:hint="eastAsia" w:asciiTheme="minorEastAsia" w:hAnsiTheme="minorEastAsia" w:eastAsiaTheme="minorEastAsia" w:cstheme="minorEastAsia"/>
          <w:sz w:val="32"/>
          <w:szCs w:val="32"/>
        </w:rPr>
        <w:t>二、资格性审查响应对照表（格式）</w:t>
      </w:r>
      <w:bookmarkEnd w:id="13"/>
    </w:p>
    <w:p>
      <w:pPr>
        <w:ind w:firstLine="309"/>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投标人全称（加盖公章）：</w:t>
      </w:r>
    </w:p>
    <w:tbl>
      <w:tblPr>
        <w:tblStyle w:val="2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是否响应</w:t>
            </w:r>
          </w:p>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投标文件中的</w:t>
            </w:r>
          </w:p>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bl>
    <w:p>
      <w:pPr>
        <w:spacing w:line="440" w:lineRule="exact"/>
        <w:ind w:firstLine="480" w:firstLineChars="200"/>
        <w:rPr>
          <w:rStyle w:val="44"/>
          <w:rFonts w:asciiTheme="minorEastAsia" w:hAnsiTheme="minorEastAsia" w:eastAsiaTheme="minorEastAsia" w:cstheme="minorEastAsia"/>
          <w:sz w:val="24"/>
        </w:rPr>
      </w:pPr>
    </w:p>
    <w:p>
      <w:pPr>
        <w:snapToGrid w:val="0"/>
        <w:spacing w:before="50" w:after="50"/>
        <w:rPr>
          <w:rStyle w:val="44"/>
          <w:rFonts w:asciiTheme="minorEastAsia" w:hAnsiTheme="minorEastAsia" w:eastAsiaTheme="minorEastAsia" w:cstheme="minorEastAsia"/>
          <w:sz w:val="44"/>
        </w:rPr>
      </w:pPr>
    </w:p>
    <w:p>
      <w:pPr>
        <w:snapToGrid w:val="0"/>
        <w:spacing w:before="50" w:after="50"/>
        <w:rPr>
          <w:rStyle w:val="44"/>
          <w:rFonts w:asciiTheme="minorEastAsia" w:hAnsiTheme="minorEastAsia" w:eastAsiaTheme="minorEastAsia" w:cstheme="minorEastAsia"/>
          <w:sz w:val="44"/>
        </w:rPr>
      </w:pPr>
    </w:p>
    <w:p>
      <w:pPr>
        <w:snapToGrid w:val="0"/>
        <w:spacing w:before="50" w:after="50"/>
        <w:rPr>
          <w:rStyle w:val="44"/>
          <w:rFonts w:asciiTheme="minorEastAsia" w:hAnsiTheme="minorEastAsia" w:eastAsiaTheme="minorEastAsia" w:cstheme="minorEastAsia"/>
          <w:sz w:val="44"/>
        </w:rPr>
      </w:pPr>
    </w:p>
    <w:p>
      <w:pPr>
        <w:snapToGrid w:val="0"/>
        <w:spacing w:before="50" w:after="50"/>
        <w:rPr>
          <w:rStyle w:val="44"/>
          <w:rFonts w:asciiTheme="minorEastAsia" w:hAnsiTheme="minorEastAsia" w:eastAsiaTheme="minorEastAsia" w:cstheme="minorEastAsia"/>
          <w:sz w:val="44"/>
        </w:rPr>
      </w:pPr>
    </w:p>
    <w:p>
      <w:pPr>
        <w:snapToGrid w:val="0"/>
        <w:spacing w:before="50" w:after="50"/>
        <w:rPr>
          <w:rStyle w:val="44"/>
          <w:rFonts w:asciiTheme="minorEastAsia" w:hAnsiTheme="minorEastAsia" w:eastAsiaTheme="minorEastAsia" w:cstheme="minorEastAsia"/>
          <w:sz w:val="44"/>
        </w:rPr>
      </w:pPr>
    </w:p>
    <w:p>
      <w:pPr>
        <w:snapToGrid w:val="0"/>
        <w:spacing w:before="50" w:after="50"/>
        <w:jc w:val="center"/>
        <w:rPr>
          <w:rStyle w:val="44"/>
          <w:rFonts w:asciiTheme="minorEastAsia" w:hAnsiTheme="minorEastAsia" w:eastAsiaTheme="minorEastAsia" w:cstheme="minorEastAsia"/>
          <w:sz w:val="32"/>
          <w:szCs w:val="32"/>
        </w:rPr>
      </w:pPr>
    </w:p>
    <w:p>
      <w:pPr>
        <w:snapToGrid w:val="0"/>
        <w:spacing w:before="50" w:after="50"/>
        <w:jc w:val="center"/>
        <w:outlineLvl w:val="0"/>
        <w:rPr>
          <w:rStyle w:val="44"/>
          <w:rFonts w:asciiTheme="minorEastAsia" w:hAnsiTheme="minorEastAsia" w:eastAsiaTheme="minorEastAsia" w:cstheme="minorEastAsia"/>
          <w:sz w:val="32"/>
          <w:szCs w:val="32"/>
        </w:rPr>
      </w:pPr>
      <w:bookmarkStart w:id="14" w:name="_Toc4796"/>
      <w:r>
        <w:rPr>
          <w:rStyle w:val="44"/>
          <w:rFonts w:hint="eastAsia" w:asciiTheme="minorEastAsia" w:hAnsiTheme="minorEastAsia" w:eastAsiaTheme="minorEastAsia" w:cstheme="minorEastAsia"/>
          <w:sz w:val="32"/>
          <w:szCs w:val="32"/>
        </w:rPr>
        <w:t>三、符合性检查响应对照表（格式）</w:t>
      </w:r>
      <w:bookmarkEnd w:id="14"/>
    </w:p>
    <w:p>
      <w:pPr>
        <w:ind w:firstLine="309"/>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投标人全称（加盖公章）：</w:t>
      </w:r>
    </w:p>
    <w:tbl>
      <w:tblPr>
        <w:tblStyle w:val="2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是否响应</w:t>
            </w:r>
          </w:p>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投标文件中的</w:t>
            </w:r>
          </w:p>
          <w:p>
            <w:pPr>
              <w:snapToGrid w:val="0"/>
              <w:spacing w:line="240" w:lineRule="atLeast"/>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b/>
              </w:rPr>
            </w:pPr>
            <w:r>
              <w:rPr>
                <w:rStyle w:val="44"/>
                <w:rFonts w:hint="eastAsia" w:asciiTheme="minorEastAsia" w:hAnsiTheme="minorEastAsia" w:eastAsiaTheme="minorEastAsia" w:cstheme="minorEastAsia"/>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Theme="minorEastAsia" w:hAnsiTheme="minorEastAsia" w:eastAsiaTheme="minorEastAsia" w:cstheme="minorEastAsia"/>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r>
              <w:rPr>
                <w:rStyle w:val="44"/>
                <w:rFonts w:hint="eastAsia" w:asciiTheme="minorEastAsia" w:hAnsiTheme="minorEastAsia" w:eastAsiaTheme="minorEastAsia" w:cstheme="minorEastAsia"/>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Theme="minorEastAsia" w:hAnsiTheme="minorEastAsia" w:eastAsiaTheme="minorEastAsia" w:cstheme="minorEastAsia"/>
                <w:iCs/>
                <w:sz w:val="24"/>
                <w:szCs w:val="24"/>
              </w:rPr>
            </w:pPr>
            <w:r>
              <w:rPr>
                <w:rStyle w:val="44"/>
                <w:rFonts w:hint="eastAsia" w:asciiTheme="minorEastAsia" w:hAnsiTheme="minorEastAsia" w:eastAsiaTheme="minorEastAsia" w:cstheme="minorEastAsia"/>
                <w:iCs/>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Theme="minorEastAsia" w:hAnsiTheme="minorEastAsia" w:eastAsiaTheme="minorEastAsia" w:cstheme="minorEastAsia"/>
              </w:rPr>
            </w:pPr>
          </w:p>
        </w:tc>
      </w:tr>
    </w:tbl>
    <w:p>
      <w:pPr>
        <w:snapToGrid w:val="0"/>
        <w:spacing w:before="50" w:after="50"/>
        <w:rPr>
          <w:rStyle w:val="44"/>
          <w:rFonts w:asciiTheme="minorEastAsia" w:hAnsiTheme="minorEastAsia" w:eastAsiaTheme="minorEastAsia" w:cstheme="minorEastAsia"/>
          <w:sz w:val="44"/>
        </w:rPr>
      </w:pPr>
    </w:p>
    <w:p>
      <w:pPr>
        <w:snapToGrid w:val="0"/>
        <w:spacing w:before="50" w:after="50"/>
        <w:rPr>
          <w:rStyle w:val="44"/>
          <w:rFonts w:asciiTheme="minorEastAsia" w:hAnsiTheme="minorEastAsia" w:eastAsiaTheme="minorEastAsia" w:cstheme="minorEastAsia"/>
          <w:sz w:val="44"/>
        </w:rPr>
      </w:pPr>
    </w:p>
    <w:p>
      <w:pPr>
        <w:snapToGrid w:val="0"/>
        <w:spacing w:before="50" w:after="50"/>
        <w:rPr>
          <w:rStyle w:val="44"/>
          <w:rFonts w:asciiTheme="minorEastAsia" w:hAnsiTheme="minorEastAsia" w:eastAsiaTheme="minorEastAsia" w:cstheme="minorEastAsia"/>
          <w:sz w:val="44"/>
        </w:rPr>
      </w:pPr>
    </w:p>
    <w:p>
      <w:pPr>
        <w:snapToGrid w:val="0"/>
        <w:spacing w:before="50" w:after="50"/>
        <w:rPr>
          <w:rStyle w:val="44"/>
          <w:rFonts w:asciiTheme="minorEastAsia" w:hAnsiTheme="minorEastAsia" w:eastAsiaTheme="minorEastAsia" w:cstheme="minorEastAsia"/>
          <w:sz w:val="44"/>
        </w:rPr>
      </w:pPr>
    </w:p>
    <w:p>
      <w:pPr>
        <w:snapToGrid w:val="0"/>
        <w:spacing w:before="50" w:after="50"/>
        <w:rPr>
          <w:rStyle w:val="44"/>
          <w:rFonts w:asciiTheme="minorEastAsia" w:hAnsiTheme="minorEastAsia" w:eastAsiaTheme="minorEastAsia" w:cstheme="minorEastAsia"/>
          <w:sz w:val="32"/>
          <w:szCs w:val="32"/>
        </w:rPr>
      </w:pPr>
    </w:p>
    <w:p>
      <w:pPr>
        <w:snapToGrid w:val="0"/>
        <w:spacing w:before="50" w:after="50"/>
        <w:rPr>
          <w:rStyle w:val="44"/>
          <w:rFonts w:asciiTheme="minorEastAsia" w:hAnsiTheme="minorEastAsia" w:eastAsiaTheme="minorEastAsia" w:cstheme="minorEastAsia"/>
          <w:sz w:val="24"/>
          <w:szCs w:val="24"/>
        </w:rPr>
      </w:pPr>
    </w:p>
    <w:p>
      <w:pPr>
        <w:snapToGrid w:val="0"/>
        <w:spacing w:before="50" w:after="50"/>
        <w:jc w:val="center"/>
        <w:outlineLvl w:val="0"/>
        <w:rPr>
          <w:rStyle w:val="44"/>
          <w:rFonts w:asciiTheme="minorEastAsia" w:hAnsiTheme="minorEastAsia" w:eastAsiaTheme="minorEastAsia" w:cstheme="minorEastAsia"/>
          <w:sz w:val="32"/>
          <w:szCs w:val="32"/>
        </w:rPr>
      </w:pPr>
      <w:bookmarkStart w:id="15" w:name="_Toc182"/>
      <w:r>
        <w:rPr>
          <w:rStyle w:val="44"/>
          <w:rFonts w:hint="eastAsia" w:asciiTheme="minorEastAsia" w:hAnsiTheme="minorEastAsia" w:eastAsiaTheme="minorEastAsia" w:cstheme="minorEastAsia"/>
          <w:sz w:val="32"/>
          <w:szCs w:val="32"/>
        </w:rPr>
        <w:t>四、投标函（格式）</w:t>
      </w:r>
      <w:bookmarkEnd w:id="15"/>
    </w:p>
    <w:p>
      <w:pPr>
        <w:pStyle w:val="130"/>
        <w:spacing w:before="0" w:after="0" w:line="420" w:lineRule="exact"/>
        <w:ind w:firstLine="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致：</w:t>
      </w:r>
      <w:r>
        <w:rPr>
          <w:rStyle w:val="44"/>
          <w:rFonts w:hint="eastAsia" w:asciiTheme="minorEastAsia" w:hAnsiTheme="minorEastAsia" w:eastAsiaTheme="minorEastAsia" w:cstheme="minorEastAsia"/>
          <w:kern w:val="2"/>
          <w:szCs w:val="21"/>
          <w:u w:val="single" w:color="000000"/>
        </w:rPr>
        <w:t>盐城工业职业技术学院</w:t>
      </w:r>
    </w:p>
    <w:p>
      <w:pPr>
        <w:pStyle w:val="130"/>
        <w:spacing w:before="0" w:after="0" w:line="420" w:lineRule="exact"/>
        <w:ind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根据贵方的</w:t>
      </w:r>
      <w:r>
        <w:rPr>
          <w:rStyle w:val="44"/>
          <w:rFonts w:hint="eastAsia" w:asciiTheme="minorEastAsia" w:hAnsiTheme="minorEastAsia" w:eastAsiaTheme="minorEastAsia" w:cstheme="minorEastAsia"/>
          <w:kern w:val="2"/>
          <w:szCs w:val="21"/>
          <w:u w:val="single" w:color="000000"/>
        </w:rPr>
        <w:t xml:space="preserve">     号</w:t>
      </w:r>
      <w:r>
        <w:rPr>
          <w:rStyle w:val="44"/>
          <w:rFonts w:hint="eastAsia" w:asciiTheme="minorEastAsia" w:hAnsiTheme="minorEastAsia" w:eastAsiaTheme="minorEastAsia" w:cstheme="minorEastAsia"/>
          <w:kern w:val="2"/>
          <w:szCs w:val="21"/>
        </w:rPr>
        <w:t>招标文件，正式授权下述签字人_________(姓名)代表我方______________（投标人的名称），全权处理本次项目投标的有关事宜。</w:t>
      </w:r>
    </w:p>
    <w:p>
      <w:pPr>
        <w:pStyle w:val="130"/>
        <w:spacing w:before="0" w:after="0" w:line="420" w:lineRule="exact"/>
        <w:ind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据此函，__________签字人兹宣布同意如下：</w:t>
      </w:r>
    </w:p>
    <w:p>
      <w:pPr>
        <w:pStyle w:val="130"/>
        <w:spacing w:before="0" w:after="0" w:line="420" w:lineRule="exact"/>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1.按招标文件规定的各项要求，向买方提供所需货物与服务。</w:t>
      </w:r>
    </w:p>
    <w:p>
      <w:pPr>
        <w:pStyle w:val="130"/>
        <w:spacing w:before="0" w:after="0" w:line="420" w:lineRule="exact"/>
        <w:ind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2.我们完全理解贵方不一定将合同授予最低报价的投标人。</w:t>
      </w:r>
    </w:p>
    <w:p>
      <w:pPr>
        <w:pStyle w:val="130"/>
        <w:spacing w:before="0" w:after="0" w:line="420" w:lineRule="exact"/>
        <w:ind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3.我们已详细审核全部招标文件及其有效补充文件，我们知道必须放弃提出含糊不清或误解问题的权利。</w:t>
      </w:r>
    </w:p>
    <w:p>
      <w:pPr>
        <w:pStyle w:val="130"/>
        <w:spacing w:before="0" w:after="0" w:line="420" w:lineRule="exact"/>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4.我们同意从规定的开标日期起遵循本投标文件，并在规定的投标有效期期满之前均具有约束力。</w:t>
      </w:r>
    </w:p>
    <w:p>
      <w:pPr>
        <w:pStyle w:val="130"/>
        <w:spacing w:before="0" w:after="0" w:line="420" w:lineRule="exact"/>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5.如果在开标后规定的投标有效期内撤回投标或中标后拒绝签订合同，则按照国家相关法律法规受到相应处罚。</w:t>
      </w:r>
    </w:p>
    <w:p>
      <w:pPr>
        <w:pStyle w:val="130"/>
        <w:spacing w:before="0" w:after="0" w:line="420" w:lineRule="exact"/>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6.同意向贵方提供贵方可能另外要求的与投标有关的任何证据或资料，并保证我方已提供和将要提供的文件是真实的、准确的。</w:t>
      </w:r>
    </w:p>
    <w:p>
      <w:pPr>
        <w:pStyle w:val="130"/>
        <w:spacing w:before="0" w:after="0" w:line="420" w:lineRule="exact"/>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8.与本投标有关的正式通讯地址为：</w:t>
      </w:r>
    </w:p>
    <w:p>
      <w:pPr>
        <w:pStyle w:val="130"/>
        <w:spacing w:before="0" w:after="0" w:line="420" w:lineRule="exact"/>
        <w:ind w:left="420" w:leftChars="200"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地          址：</w:t>
      </w:r>
    </w:p>
    <w:p>
      <w:pPr>
        <w:pStyle w:val="130"/>
        <w:spacing w:before="0" w:after="0" w:line="420" w:lineRule="exact"/>
        <w:ind w:left="420" w:leftChars="200"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邮          编：</w:t>
      </w:r>
    </w:p>
    <w:p>
      <w:pPr>
        <w:pStyle w:val="130"/>
        <w:spacing w:before="0" w:after="0" w:line="420" w:lineRule="exact"/>
        <w:ind w:left="420" w:leftChars="200"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电          话：</w:t>
      </w:r>
    </w:p>
    <w:p>
      <w:pPr>
        <w:pStyle w:val="130"/>
        <w:spacing w:before="0" w:after="0" w:line="420" w:lineRule="exact"/>
        <w:ind w:left="420" w:leftChars="200"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传          真：</w:t>
      </w:r>
    </w:p>
    <w:p>
      <w:pPr>
        <w:pStyle w:val="130"/>
        <w:spacing w:before="0" w:after="0" w:line="420" w:lineRule="exact"/>
        <w:ind w:left="420" w:leftChars="200"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投标人开户行：</w:t>
      </w:r>
    </w:p>
    <w:p>
      <w:pPr>
        <w:pStyle w:val="130"/>
        <w:spacing w:before="0" w:after="0" w:line="420" w:lineRule="exact"/>
        <w:ind w:left="420" w:leftChars="200"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 xml:space="preserve">账          户： </w:t>
      </w:r>
    </w:p>
    <w:p>
      <w:pPr>
        <w:pStyle w:val="130"/>
        <w:spacing w:before="0" w:after="0" w:line="420" w:lineRule="exact"/>
        <w:ind w:left="420" w:leftChars="200"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 xml:space="preserve">投标人授权代表姓名（签字）： </w:t>
      </w:r>
    </w:p>
    <w:p>
      <w:pPr>
        <w:pStyle w:val="130"/>
        <w:spacing w:before="0" w:after="0" w:line="420" w:lineRule="exact"/>
        <w:ind w:left="420" w:leftChars="200"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 xml:space="preserve">投标人名称（公章）： </w:t>
      </w:r>
    </w:p>
    <w:p>
      <w:pPr>
        <w:pStyle w:val="130"/>
        <w:spacing w:before="0" w:after="0" w:line="420" w:lineRule="exact"/>
        <w:ind w:left="420" w:leftChars="200" w:firstLineChars="200"/>
        <w:rPr>
          <w:rStyle w:val="44"/>
          <w:rFonts w:asciiTheme="minorEastAsia" w:hAnsiTheme="minorEastAsia" w:eastAsiaTheme="minorEastAsia" w:cstheme="minorEastAsia"/>
          <w:kern w:val="2"/>
          <w:szCs w:val="21"/>
        </w:rPr>
      </w:pPr>
      <w:r>
        <w:rPr>
          <w:rStyle w:val="44"/>
          <w:rFonts w:hint="eastAsia" w:asciiTheme="minorEastAsia" w:hAnsiTheme="minorEastAsia" w:eastAsiaTheme="minorEastAsia" w:cstheme="minorEastAsia"/>
          <w:kern w:val="2"/>
          <w:szCs w:val="21"/>
        </w:rPr>
        <w:t>日           期：________年____月____日</w:t>
      </w:r>
    </w:p>
    <w:p>
      <w:pPr>
        <w:snapToGrid w:val="0"/>
        <w:spacing w:before="50" w:after="145"/>
        <w:jc w:val="left"/>
        <w:rPr>
          <w:rStyle w:val="44"/>
          <w:rFonts w:asciiTheme="minorEastAsia" w:hAnsiTheme="minorEastAsia" w:eastAsiaTheme="minorEastAsia" w:cstheme="minorEastAsia"/>
          <w:sz w:val="24"/>
          <w:szCs w:val="20"/>
        </w:rPr>
      </w:pPr>
    </w:p>
    <w:p>
      <w:pPr>
        <w:jc w:val="center"/>
        <w:rPr>
          <w:rStyle w:val="44"/>
          <w:rFonts w:asciiTheme="minorEastAsia" w:hAnsiTheme="minorEastAsia" w:eastAsiaTheme="minorEastAsia" w:cstheme="minorEastAsia"/>
          <w:b/>
          <w:sz w:val="32"/>
          <w:szCs w:val="32"/>
        </w:rPr>
      </w:pPr>
    </w:p>
    <w:p>
      <w:pPr>
        <w:jc w:val="center"/>
        <w:rPr>
          <w:rStyle w:val="44"/>
          <w:rFonts w:asciiTheme="minorEastAsia" w:hAnsiTheme="minorEastAsia" w:eastAsiaTheme="minorEastAsia" w:cstheme="minorEastAsia"/>
          <w:b/>
          <w:sz w:val="32"/>
          <w:szCs w:val="32"/>
        </w:rPr>
      </w:pPr>
    </w:p>
    <w:p>
      <w:pPr>
        <w:snapToGrid w:val="0"/>
        <w:spacing w:before="50" w:after="50"/>
        <w:jc w:val="center"/>
        <w:rPr>
          <w:rStyle w:val="44"/>
          <w:rFonts w:asciiTheme="minorEastAsia" w:hAnsiTheme="minorEastAsia" w:eastAsiaTheme="minorEastAsia" w:cstheme="minorEastAsia"/>
          <w:sz w:val="32"/>
          <w:szCs w:val="32"/>
        </w:rPr>
      </w:pPr>
    </w:p>
    <w:p>
      <w:pPr>
        <w:snapToGrid w:val="0"/>
        <w:spacing w:before="50" w:after="50"/>
        <w:jc w:val="center"/>
        <w:outlineLvl w:val="0"/>
        <w:rPr>
          <w:rStyle w:val="44"/>
          <w:rFonts w:asciiTheme="minorEastAsia" w:hAnsiTheme="minorEastAsia" w:eastAsiaTheme="minorEastAsia" w:cstheme="minorEastAsia"/>
          <w:sz w:val="32"/>
          <w:szCs w:val="32"/>
        </w:rPr>
      </w:pPr>
      <w:bookmarkStart w:id="16" w:name="_Toc15974"/>
      <w:r>
        <w:rPr>
          <w:rStyle w:val="44"/>
          <w:rFonts w:hint="eastAsia" w:asciiTheme="minorEastAsia" w:hAnsiTheme="minorEastAsia" w:eastAsiaTheme="minorEastAsia" w:cstheme="minorEastAsia"/>
          <w:sz w:val="32"/>
          <w:szCs w:val="32"/>
        </w:rPr>
        <w:t>五、开标一览表（格式）</w:t>
      </w:r>
      <w:bookmarkEnd w:id="16"/>
    </w:p>
    <w:p>
      <w:pPr>
        <w:snapToGrid w:val="0"/>
        <w:spacing w:before="50" w:after="50"/>
        <w:jc w:val="center"/>
        <w:rPr>
          <w:rStyle w:val="44"/>
          <w:rFonts w:asciiTheme="minorEastAsia" w:hAnsiTheme="minorEastAsia" w:eastAsiaTheme="minorEastAsia" w:cstheme="minorEastAsia"/>
          <w:sz w:val="32"/>
          <w:szCs w:val="32"/>
        </w:rPr>
      </w:pPr>
    </w:p>
    <w:tbl>
      <w:tblPr>
        <w:tblStyle w:val="2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5"/>
              <w:jc w:val="both"/>
              <w:rPr>
                <w:rStyle w:val="44"/>
                <w:rFonts w:asciiTheme="minorEastAsia" w:hAnsiTheme="minorEastAsia" w:eastAsiaTheme="minorEastAsia" w:cstheme="minorEastAsia"/>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5"/>
              <w:jc w:val="both"/>
              <w:rPr>
                <w:rStyle w:val="44"/>
                <w:rFonts w:eastAsia="宋体" w:asciiTheme="minorEastAsia" w:hAnsiTheme="minorEastAsia" w:cstheme="minorEastAsia"/>
                <w:sz w:val="28"/>
                <w:szCs w:val="28"/>
              </w:rPr>
            </w:pPr>
            <w:r>
              <w:rPr>
                <w:rFonts w:hint="eastAsia" w:ascii="宋体" w:hAnsi="宋体" w:eastAsia="宋体" w:cs="宋体"/>
                <w:sz w:val="21"/>
                <w:szCs w:val="28"/>
              </w:rPr>
              <w:t>盐城工业职业技术学院健身区健身器材采购项目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b/>
                <w:bCs/>
                <w:szCs w:val="28"/>
              </w:rPr>
              <w:t>项目投标报价：（大写）</w:t>
            </w:r>
            <w:r>
              <w:rPr>
                <w:rStyle w:val="44"/>
                <w:rFonts w:hint="eastAsia" w:asciiTheme="minorEastAsia" w:hAnsiTheme="minorEastAsia" w:eastAsiaTheme="minorEastAsia" w:cstheme="minorEastAsia"/>
              </w:rPr>
              <w:t>_____</w:t>
            </w:r>
            <w:r>
              <w:rPr>
                <w:rStyle w:val="44"/>
                <w:rFonts w:hint="eastAsia" w:asciiTheme="minorEastAsia" w:hAnsiTheme="minorEastAsia" w:eastAsiaTheme="minorEastAsia" w:cstheme="minorEastAsia"/>
                <w:b/>
                <w:bCs/>
                <w:sz w:val="24"/>
                <w:szCs w:val="24"/>
              </w:rPr>
              <w:t>元</w:t>
            </w:r>
            <w:r>
              <w:rPr>
                <w:rStyle w:val="44"/>
                <w:rFonts w:hint="eastAsia" w:asciiTheme="minorEastAsia" w:hAnsiTheme="minorEastAsia" w:eastAsiaTheme="minorEastAsia" w:cstheme="minorEastAsia"/>
                <w:b/>
                <w:bCs/>
                <w:szCs w:val="28"/>
              </w:rPr>
              <w:t>，小写：</w:t>
            </w:r>
            <w:r>
              <w:rPr>
                <w:rStyle w:val="44"/>
                <w:rFonts w:hint="eastAsia" w:asciiTheme="minorEastAsia" w:hAnsiTheme="minorEastAsia" w:eastAsiaTheme="minorEastAsia" w:cstheme="minorEastAsia"/>
                <w:b/>
                <w:bCs/>
              </w:rPr>
              <w:t>_____</w:t>
            </w:r>
            <w:r>
              <w:rPr>
                <w:rStyle w:val="44"/>
                <w:rFonts w:hint="eastAsia" w:asciiTheme="minorEastAsia" w:hAnsiTheme="minorEastAsia" w:eastAsiaTheme="minorEastAsia" w:cstheme="minorEastAsia"/>
                <w:b/>
                <w:bCs/>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Theme="minorEastAsia" w:hAnsiTheme="minorEastAsia" w:eastAsiaTheme="minorEastAsia" w:cstheme="minorEastAsia"/>
                <w:b/>
                <w:bCs/>
                <w:szCs w:val="28"/>
              </w:rPr>
            </w:pPr>
            <w:r>
              <w:rPr>
                <w:rStyle w:val="44"/>
                <w:rFonts w:hint="eastAsia" w:asciiTheme="minorEastAsia" w:hAnsiTheme="minorEastAsia" w:eastAsiaTheme="minorEastAsia" w:cstheme="minorEastAsia"/>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Theme="minorEastAsia" w:hAnsiTheme="minorEastAsia" w:eastAsiaTheme="minorEastAsia" w:cstheme="minorEastAsia"/>
                <w:b/>
                <w:bCs/>
                <w:szCs w:val="28"/>
              </w:rPr>
            </w:pPr>
            <w:r>
              <w:rPr>
                <w:rFonts w:hint="eastAsia" w:ascii="宋体" w:hAnsi="宋体" w:cs="宋体"/>
                <w:b/>
                <w:bCs/>
                <w:szCs w:val="28"/>
              </w:rPr>
              <w:t xml:space="preserve">品牌：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Theme="minorEastAsia" w:hAnsiTheme="minorEastAsia" w:eastAsiaTheme="minorEastAsia" w:cstheme="minorEastAsia"/>
                <w:b/>
                <w:bCs/>
                <w:szCs w:val="28"/>
              </w:rPr>
            </w:pPr>
            <w:r>
              <w:rPr>
                <w:rFonts w:hint="eastAsia" w:ascii="宋体" w:hAnsi="宋体" w:cs="宋体"/>
                <w:b/>
                <w:bCs/>
                <w:szCs w:val="28"/>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Theme="minorEastAsia" w:hAnsiTheme="minorEastAsia" w:eastAsiaTheme="minorEastAsia" w:cstheme="minorEastAsia"/>
                <w:b/>
                <w:bCs/>
                <w:szCs w:val="28"/>
              </w:rPr>
            </w:pPr>
            <w:r>
              <w:rPr>
                <w:rStyle w:val="44"/>
                <w:rFonts w:hint="eastAsia" w:asciiTheme="minorEastAsia" w:hAnsiTheme="minorEastAsia" w:eastAsiaTheme="minorEastAsia" w:cstheme="minorEastAsia"/>
                <w:b/>
                <w:bCs/>
                <w:szCs w:val="28"/>
              </w:rPr>
              <w:t>合同履行期限：</w:t>
            </w:r>
          </w:p>
        </w:tc>
      </w:tr>
    </w:tbl>
    <w:p>
      <w:pPr>
        <w:spacing w:line="240" w:lineRule="atLeast"/>
        <w:rPr>
          <w:rStyle w:val="44"/>
          <w:rFonts w:asciiTheme="minorEastAsia" w:hAnsiTheme="minorEastAsia" w:eastAsiaTheme="minorEastAsia" w:cstheme="minorEastAsia"/>
          <w:szCs w:val="28"/>
        </w:rPr>
      </w:pPr>
    </w:p>
    <w:p>
      <w:pPr>
        <w:spacing w:line="240" w:lineRule="atLeast"/>
        <w:rPr>
          <w:rStyle w:val="44"/>
          <w:rFonts w:asciiTheme="minorEastAsia" w:hAnsiTheme="minorEastAsia" w:eastAsiaTheme="minorEastAsia" w:cstheme="minorEastAsia"/>
          <w:szCs w:val="28"/>
        </w:rPr>
      </w:pPr>
      <w:r>
        <w:rPr>
          <w:rStyle w:val="44"/>
          <w:rFonts w:hint="eastAsia" w:asciiTheme="minorEastAsia" w:hAnsiTheme="minorEastAsia" w:eastAsiaTheme="minorEastAsia" w:cstheme="minorEastAsia"/>
          <w:szCs w:val="28"/>
        </w:rPr>
        <w:t>填写说明：</w:t>
      </w:r>
    </w:p>
    <w:p>
      <w:pPr>
        <w:numPr>
          <w:ilvl w:val="0"/>
          <w:numId w:val="9"/>
        </w:numPr>
        <w:rPr>
          <w:rStyle w:val="44"/>
          <w:rFonts w:asciiTheme="minorEastAsia" w:hAnsiTheme="minorEastAsia" w:eastAsiaTheme="minorEastAsia" w:cstheme="minorEastAsia"/>
          <w:sz w:val="24"/>
        </w:rPr>
      </w:pPr>
      <w:r>
        <w:rPr>
          <w:rStyle w:val="44"/>
          <w:rFonts w:hint="eastAsia" w:asciiTheme="minorEastAsia" w:hAnsiTheme="minorEastAsia" w:eastAsiaTheme="minorEastAsia" w:cstheme="minorEastAsia"/>
          <w:sz w:val="24"/>
        </w:rPr>
        <w:t>开标一览表不得填报选择性报价，否则将作为无效投标；</w:t>
      </w:r>
    </w:p>
    <w:p>
      <w:pPr>
        <w:numPr>
          <w:ilvl w:val="0"/>
          <w:numId w:val="9"/>
        </w:numPr>
        <w:rPr>
          <w:rStyle w:val="44"/>
          <w:rFonts w:asciiTheme="minorEastAsia" w:hAnsiTheme="minorEastAsia" w:eastAsiaTheme="minorEastAsia" w:cstheme="minorEastAsia"/>
          <w:sz w:val="24"/>
        </w:rPr>
      </w:pPr>
      <w:r>
        <w:rPr>
          <w:rStyle w:val="44"/>
          <w:rFonts w:hint="eastAsia" w:asciiTheme="minorEastAsia" w:hAnsiTheme="minorEastAsia" w:eastAsiaTheme="minorEastAsia" w:cstheme="minorEastAsia"/>
          <w:sz w:val="24"/>
        </w:rPr>
        <w:t>开标一览表中报价与投标分项明细报价表中不符时时，以开标一览表为准；</w:t>
      </w:r>
    </w:p>
    <w:p>
      <w:pPr>
        <w:ind w:firstLine="2640" w:firstLineChars="600"/>
        <w:rPr>
          <w:rStyle w:val="44"/>
          <w:rFonts w:asciiTheme="minorEastAsia" w:hAnsiTheme="minorEastAsia" w:eastAsiaTheme="minorEastAsia" w:cstheme="minorEastAsia"/>
          <w:sz w:val="44"/>
        </w:rPr>
      </w:pPr>
    </w:p>
    <w:p>
      <w:pPr>
        <w:ind w:firstLine="480"/>
        <w:rPr>
          <w:rStyle w:val="44"/>
          <w:rFonts w:asciiTheme="minorEastAsia" w:hAnsiTheme="minorEastAsia" w:eastAsiaTheme="minorEastAsia" w:cstheme="minorEastAsia"/>
          <w:sz w:val="24"/>
        </w:rPr>
      </w:pPr>
    </w:p>
    <w:p>
      <w:pPr>
        <w:ind w:firstLine="480"/>
        <w:rPr>
          <w:rStyle w:val="44"/>
          <w:rFonts w:asciiTheme="minorEastAsia" w:hAnsiTheme="minorEastAsia" w:eastAsiaTheme="minorEastAsia" w:cstheme="minorEastAsia"/>
          <w:sz w:val="24"/>
        </w:rPr>
      </w:pPr>
    </w:p>
    <w:p>
      <w:pPr>
        <w:ind w:firstLine="480"/>
        <w:jc w:val="center"/>
        <w:rPr>
          <w:rStyle w:val="44"/>
          <w:rFonts w:asciiTheme="minorEastAsia" w:hAnsiTheme="minorEastAsia" w:eastAsiaTheme="minorEastAsia" w:cstheme="minorEastAsia"/>
          <w:sz w:val="24"/>
        </w:rPr>
      </w:pPr>
      <w:r>
        <w:rPr>
          <w:rStyle w:val="44"/>
          <w:rFonts w:hint="eastAsia" w:asciiTheme="minorEastAsia" w:hAnsiTheme="minorEastAsia" w:eastAsiaTheme="minorEastAsia" w:cstheme="minorEastAsia"/>
          <w:bCs/>
          <w:sz w:val="24"/>
        </w:rPr>
        <w:t xml:space="preserve">                                        供应商名称（公章）：</w:t>
      </w:r>
    </w:p>
    <w:p>
      <w:pPr>
        <w:ind w:firstLine="480"/>
        <w:rPr>
          <w:rStyle w:val="44"/>
          <w:rFonts w:asciiTheme="minorEastAsia" w:hAnsiTheme="minorEastAsia" w:eastAsiaTheme="minorEastAsia" w:cstheme="minorEastAsia"/>
          <w:sz w:val="24"/>
        </w:rPr>
      </w:pPr>
      <w:r>
        <w:rPr>
          <w:rStyle w:val="44"/>
          <w:rFonts w:hint="eastAsia" w:asciiTheme="minorEastAsia" w:hAnsiTheme="minorEastAsia" w:eastAsiaTheme="minorEastAsia" w:cstheme="minorEastAsia"/>
          <w:sz w:val="24"/>
        </w:rPr>
        <w:t xml:space="preserve">                                              日期： 年月日</w:t>
      </w:r>
    </w:p>
    <w:p>
      <w:pPr>
        <w:pStyle w:val="5"/>
        <w:tabs>
          <w:tab w:val="left" w:pos="1275"/>
        </w:tabs>
        <w:jc w:val="center"/>
        <w:outlineLvl w:val="9"/>
        <w:rPr>
          <w:rFonts w:ascii="宋体" w:hAnsi="宋体" w:cs="宋体"/>
        </w:rPr>
      </w:pPr>
    </w:p>
    <w:p>
      <w:pPr>
        <w:pStyle w:val="5"/>
        <w:tabs>
          <w:tab w:val="left" w:pos="1275"/>
        </w:tabs>
        <w:jc w:val="center"/>
        <w:outlineLvl w:val="9"/>
        <w:rPr>
          <w:rFonts w:ascii="宋体" w:hAnsi="宋体" w:cs="宋体"/>
        </w:rPr>
      </w:pPr>
    </w:p>
    <w:p>
      <w:pPr>
        <w:pStyle w:val="5"/>
        <w:tabs>
          <w:tab w:val="left" w:pos="1275"/>
        </w:tabs>
        <w:jc w:val="center"/>
        <w:outlineLvl w:val="9"/>
        <w:rPr>
          <w:rFonts w:ascii="宋体" w:hAnsi="宋体" w:cs="宋体"/>
        </w:rPr>
      </w:pPr>
    </w:p>
    <w:p>
      <w:pPr>
        <w:pStyle w:val="5"/>
        <w:tabs>
          <w:tab w:val="left" w:pos="1275"/>
        </w:tabs>
        <w:jc w:val="center"/>
        <w:outlineLvl w:val="9"/>
        <w:rPr>
          <w:rFonts w:ascii="宋体" w:hAnsi="宋体" w:cs="宋体"/>
        </w:rPr>
      </w:pPr>
    </w:p>
    <w:p>
      <w:pPr>
        <w:pStyle w:val="5"/>
        <w:tabs>
          <w:tab w:val="left" w:pos="1275"/>
        </w:tabs>
        <w:jc w:val="center"/>
        <w:outlineLvl w:val="9"/>
        <w:rPr>
          <w:rFonts w:ascii="宋体" w:hAnsi="宋体" w:cs="宋体"/>
        </w:rPr>
      </w:pPr>
    </w:p>
    <w:p>
      <w:pPr>
        <w:snapToGrid w:val="0"/>
        <w:spacing w:before="50" w:after="50"/>
        <w:jc w:val="center"/>
        <w:outlineLvl w:val="0"/>
        <w:rPr>
          <w:rFonts w:ascii="宋体" w:hAnsi="宋体" w:cs="宋体"/>
          <w:sz w:val="32"/>
          <w:szCs w:val="32"/>
        </w:rPr>
      </w:pPr>
      <w:bookmarkStart w:id="17" w:name="_Toc10159"/>
      <w:r>
        <w:rPr>
          <w:rFonts w:hint="eastAsia" w:ascii="宋体" w:hAnsi="宋体" w:cs="宋体"/>
          <w:sz w:val="32"/>
          <w:szCs w:val="32"/>
        </w:rPr>
        <w:t>六、投标产品配置及分项报价表（格式）</w:t>
      </w:r>
      <w:bookmarkEnd w:id="17"/>
    </w:p>
    <w:p>
      <w:pPr>
        <w:rPr>
          <w:rFonts w:ascii="宋体" w:hAnsi="宋体" w:cs="宋体"/>
          <w:sz w:val="24"/>
          <w:szCs w:val="24"/>
        </w:rPr>
      </w:pPr>
      <w:r>
        <w:rPr>
          <w:rFonts w:hint="eastAsia" w:ascii="宋体" w:hAnsi="宋体" w:cs="宋体"/>
          <w:sz w:val="24"/>
          <w:szCs w:val="24"/>
        </w:rPr>
        <w:t>投标人全称（加盖公章）：</w:t>
      </w:r>
    </w:p>
    <w:tbl>
      <w:tblPr>
        <w:tblStyle w:val="2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noWrap/>
            <w:vAlign w:val="center"/>
          </w:tcPr>
          <w:p>
            <w:pPr>
              <w:jc w:val="center"/>
              <w:rPr>
                <w:rFonts w:ascii="宋体" w:hAnsi="宋体" w:cs="宋体"/>
                <w:sz w:val="24"/>
                <w:szCs w:val="24"/>
              </w:rPr>
            </w:pPr>
            <w:r>
              <w:rPr>
                <w:rFonts w:hint="eastAsia" w:ascii="宋体" w:hAnsi="宋体" w:cs="宋体"/>
                <w:sz w:val="24"/>
                <w:szCs w:val="24"/>
              </w:rPr>
              <w:t>1</w:t>
            </w:r>
          </w:p>
        </w:tc>
        <w:tc>
          <w:tcPr>
            <w:tcW w:w="2369" w:type="dxa"/>
            <w:noWrap/>
            <w:vAlign w:val="center"/>
          </w:tcPr>
          <w:p>
            <w:pPr>
              <w:jc w:val="center"/>
              <w:rPr>
                <w:rFonts w:ascii="宋体" w:hAnsi="宋体" w:cs="宋体"/>
                <w:sz w:val="24"/>
                <w:szCs w:val="24"/>
              </w:rPr>
            </w:pPr>
            <w:r>
              <w:rPr>
                <w:rFonts w:hint="eastAsia" w:ascii="宋体" w:hAnsi="宋体" w:cs="宋体"/>
                <w:sz w:val="24"/>
                <w:szCs w:val="24"/>
              </w:rPr>
              <w:t>2</w:t>
            </w:r>
          </w:p>
        </w:tc>
        <w:tc>
          <w:tcPr>
            <w:tcW w:w="1442" w:type="dxa"/>
            <w:noWrap/>
            <w:vAlign w:val="center"/>
          </w:tcPr>
          <w:p>
            <w:pPr>
              <w:jc w:val="center"/>
              <w:rPr>
                <w:rFonts w:ascii="宋体" w:hAnsi="宋体" w:cs="宋体"/>
                <w:sz w:val="24"/>
                <w:szCs w:val="24"/>
              </w:rPr>
            </w:pPr>
            <w:r>
              <w:rPr>
                <w:rFonts w:hint="eastAsia" w:ascii="宋体" w:hAnsi="宋体" w:cs="宋体"/>
                <w:sz w:val="24"/>
                <w:szCs w:val="24"/>
              </w:rPr>
              <w:t>3</w:t>
            </w:r>
          </w:p>
        </w:tc>
        <w:tc>
          <w:tcPr>
            <w:tcW w:w="2781" w:type="dxa"/>
            <w:noWrap/>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2" w:type="dxa"/>
            <w:noWrap/>
            <w:vAlign w:val="center"/>
          </w:tcPr>
          <w:p>
            <w:pPr>
              <w:jc w:val="center"/>
              <w:rPr>
                <w:rFonts w:ascii="宋体" w:hAnsi="宋体" w:cs="宋体"/>
                <w:sz w:val="24"/>
                <w:szCs w:val="24"/>
              </w:rPr>
            </w:pPr>
            <w:r>
              <w:rPr>
                <w:rFonts w:hint="eastAsia" w:ascii="宋体" w:hAnsi="宋体" w:cs="宋体"/>
                <w:sz w:val="24"/>
                <w:szCs w:val="24"/>
              </w:rPr>
              <w:t>货物名称及规格、型号</w:t>
            </w:r>
          </w:p>
        </w:tc>
        <w:tc>
          <w:tcPr>
            <w:tcW w:w="2369" w:type="dxa"/>
            <w:noWrap/>
            <w:vAlign w:val="center"/>
          </w:tcPr>
          <w:p>
            <w:pPr>
              <w:jc w:val="center"/>
              <w:rPr>
                <w:rFonts w:ascii="宋体" w:hAnsi="宋体" w:cs="宋体"/>
                <w:sz w:val="24"/>
                <w:szCs w:val="24"/>
              </w:rPr>
            </w:pPr>
            <w:r>
              <w:rPr>
                <w:rFonts w:hint="eastAsia" w:ascii="宋体" w:hAnsi="宋体" w:cs="宋体"/>
                <w:sz w:val="24"/>
                <w:szCs w:val="24"/>
              </w:rPr>
              <w:t>数量</w:t>
            </w:r>
          </w:p>
        </w:tc>
        <w:tc>
          <w:tcPr>
            <w:tcW w:w="1442" w:type="dxa"/>
            <w:noWrap/>
            <w:vAlign w:val="center"/>
          </w:tcPr>
          <w:p>
            <w:pPr>
              <w:jc w:val="center"/>
              <w:rPr>
                <w:rFonts w:ascii="宋体" w:hAnsi="宋体" w:cs="宋体"/>
                <w:sz w:val="24"/>
                <w:szCs w:val="24"/>
              </w:rPr>
            </w:pPr>
            <w:r>
              <w:rPr>
                <w:rFonts w:hint="eastAsia" w:ascii="宋体" w:hAnsi="宋体" w:cs="宋体"/>
                <w:sz w:val="24"/>
                <w:szCs w:val="24"/>
              </w:rPr>
              <w:t>单价</w:t>
            </w:r>
          </w:p>
        </w:tc>
        <w:tc>
          <w:tcPr>
            <w:tcW w:w="2781" w:type="dxa"/>
            <w:noWrap/>
            <w:vAlign w:val="center"/>
          </w:tcPr>
          <w:p>
            <w:pPr>
              <w:jc w:val="center"/>
              <w:rPr>
                <w:rFonts w:ascii="宋体" w:hAns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noWrap/>
            <w:vAlign w:val="center"/>
          </w:tcPr>
          <w:p>
            <w:pPr>
              <w:rPr>
                <w:rFonts w:ascii="宋体" w:hAnsi="宋体" w:cs="宋体"/>
                <w:sz w:val="24"/>
                <w:szCs w:val="24"/>
              </w:rPr>
            </w:pPr>
          </w:p>
        </w:tc>
        <w:tc>
          <w:tcPr>
            <w:tcW w:w="2369" w:type="dxa"/>
            <w:noWrap/>
            <w:vAlign w:val="center"/>
          </w:tcPr>
          <w:p>
            <w:pPr>
              <w:rPr>
                <w:rFonts w:ascii="宋体" w:hAnsi="宋体" w:cs="宋体"/>
                <w:sz w:val="24"/>
                <w:szCs w:val="24"/>
              </w:rPr>
            </w:pPr>
          </w:p>
        </w:tc>
        <w:tc>
          <w:tcPr>
            <w:tcW w:w="1442" w:type="dxa"/>
            <w:noWrap/>
            <w:vAlign w:val="center"/>
          </w:tcPr>
          <w:p>
            <w:pPr>
              <w:rPr>
                <w:rFonts w:ascii="宋体" w:hAnsi="宋体" w:cs="宋体"/>
                <w:sz w:val="24"/>
                <w:szCs w:val="24"/>
              </w:rPr>
            </w:pPr>
          </w:p>
        </w:tc>
        <w:tc>
          <w:tcPr>
            <w:tcW w:w="2781"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noWrap/>
            <w:vAlign w:val="center"/>
          </w:tcPr>
          <w:p>
            <w:pPr>
              <w:rPr>
                <w:rFonts w:ascii="宋体" w:hAnsi="宋体" w:cs="宋体"/>
                <w:sz w:val="24"/>
                <w:szCs w:val="24"/>
              </w:rPr>
            </w:pPr>
          </w:p>
        </w:tc>
        <w:tc>
          <w:tcPr>
            <w:tcW w:w="2369" w:type="dxa"/>
            <w:noWrap/>
            <w:vAlign w:val="center"/>
          </w:tcPr>
          <w:p>
            <w:pPr>
              <w:rPr>
                <w:rFonts w:ascii="宋体" w:hAnsi="宋体" w:cs="宋体"/>
                <w:sz w:val="24"/>
                <w:szCs w:val="24"/>
              </w:rPr>
            </w:pPr>
          </w:p>
        </w:tc>
        <w:tc>
          <w:tcPr>
            <w:tcW w:w="1442" w:type="dxa"/>
            <w:noWrap/>
            <w:vAlign w:val="center"/>
          </w:tcPr>
          <w:p>
            <w:pPr>
              <w:rPr>
                <w:rFonts w:ascii="宋体" w:hAnsi="宋体" w:cs="宋体"/>
                <w:sz w:val="24"/>
                <w:szCs w:val="24"/>
              </w:rPr>
            </w:pPr>
          </w:p>
        </w:tc>
        <w:tc>
          <w:tcPr>
            <w:tcW w:w="2781"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noWrap/>
            <w:vAlign w:val="center"/>
          </w:tcPr>
          <w:p>
            <w:pPr>
              <w:rPr>
                <w:rFonts w:ascii="宋体" w:hAnsi="宋体" w:cs="宋体"/>
                <w:sz w:val="24"/>
                <w:szCs w:val="24"/>
              </w:rPr>
            </w:pPr>
          </w:p>
        </w:tc>
        <w:tc>
          <w:tcPr>
            <w:tcW w:w="2369" w:type="dxa"/>
            <w:noWrap/>
            <w:vAlign w:val="center"/>
          </w:tcPr>
          <w:p>
            <w:pPr>
              <w:rPr>
                <w:rFonts w:ascii="宋体" w:hAnsi="宋体" w:cs="宋体"/>
                <w:sz w:val="24"/>
                <w:szCs w:val="24"/>
              </w:rPr>
            </w:pPr>
          </w:p>
        </w:tc>
        <w:tc>
          <w:tcPr>
            <w:tcW w:w="1442" w:type="dxa"/>
            <w:noWrap/>
            <w:vAlign w:val="center"/>
          </w:tcPr>
          <w:p>
            <w:pPr>
              <w:rPr>
                <w:rFonts w:ascii="宋体" w:hAnsi="宋体" w:cs="宋体"/>
                <w:sz w:val="24"/>
                <w:szCs w:val="24"/>
              </w:rPr>
            </w:pPr>
          </w:p>
        </w:tc>
        <w:tc>
          <w:tcPr>
            <w:tcW w:w="2781"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noWrap/>
            <w:vAlign w:val="center"/>
          </w:tcPr>
          <w:p>
            <w:pPr>
              <w:rPr>
                <w:rFonts w:ascii="宋体" w:hAnsi="宋体" w:cs="宋体"/>
                <w:sz w:val="24"/>
                <w:szCs w:val="24"/>
              </w:rPr>
            </w:pPr>
          </w:p>
        </w:tc>
        <w:tc>
          <w:tcPr>
            <w:tcW w:w="2369" w:type="dxa"/>
            <w:noWrap/>
            <w:vAlign w:val="center"/>
          </w:tcPr>
          <w:p>
            <w:pPr>
              <w:rPr>
                <w:rFonts w:ascii="宋体" w:hAnsi="宋体" w:cs="宋体"/>
                <w:sz w:val="24"/>
                <w:szCs w:val="24"/>
              </w:rPr>
            </w:pPr>
          </w:p>
        </w:tc>
        <w:tc>
          <w:tcPr>
            <w:tcW w:w="1442" w:type="dxa"/>
            <w:noWrap/>
            <w:vAlign w:val="center"/>
          </w:tcPr>
          <w:p>
            <w:pPr>
              <w:rPr>
                <w:rFonts w:ascii="宋体" w:hAnsi="宋体" w:cs="宋体"/>
                <w:sz w:val="24"/>
                <w:szCs w:val="24"/>
              </w:rPr>
            </w:pPr>
          </w:p>
        </w:tc>
        <w:tc>
          <w:tcPr>
            <w:tcW w:w="2781"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noWrap/>
            <w:vAlign w:val="center"/>
          </w:tcPr>
          <w:p>
            <w:pPr>
              <w:jc w:val="center"/>
              <w:rPr>
                <w:rFonts w:ascii="宋体" w:hAnsi="宋体" w:cs="宋体"/>
                <w:sz w:val="24"/>
                <w:szCs w:val="24"/>
              </w:rPr>
            </w:pPr>
            <w:r>
              <w:rPr>
                <w:rFonts w:hint="eastAsia" w:ascii="宋体" w:hAnsi="宋体" w:cs="宋体"/>
                <w:sz w:val="24"/>
                <w:szCs w:val="24"/>
              </w:rPr>
              <w:t>合计</w:t>
            </w:r>
          </w:p>
        </w:tc>
        <w:tc>
          <w:tcPr>
            <w:tcW w:w="6592" w:type="dxa"/>
            <w:gridSpan w:val="3"/>
            <w:noWrap/>
          </w:tcPr>
          <w:p>
            <w:pPr>
              <w:rPr>
                <w:rFonts w:ascii="宋体" w:hAnsi="宋体" w:cs="宋体"/>
                <w:sz w:val="24"/>
                <w:szCs w:val="24"/>
              </w:rPr>
            </w:pPr>
          </w:p>
        </w:tc>
      </w:tr>
    </w:tbl>
    <w:p>
      <w:pPr>
        <w:rPr>
          <w:rFonts w:ascii="宋体" w:hAnsi="宋体" w:cs="宋体"/>
          <w:sz w:val="24"/>
          <w:szCs w:val="24"/>
        </w:rPr>
      </w:pPr>
    </w:p>
    <w:p>
      <w:r>
        <w:rPr>
          <w:rFonts w:hint="eastAsia" w:ascii="宋体" w:hAnsi="宋体" w:cs="宋体"/>
          <w:sz w:val="24"/>
          <w:szCs w:val="24"/>
        </w:rPr>
        <w:t>法定代表人或授权代表签字：</w:t>
      </w:r>
    </w:p>
    <w:p>
      <w:pPr>
        <w:rPr>
          <w:rFonts w:ascii="宋体" w:hAnsi="宋体" w:cs="宋体"/>
          <w:sz w:val="24"/>
          <w:szCs w:val="24"/>
        </w:rPr>
      </w:pPr>
      <w:r>
        <w:rPr>
          <w:rFonts w:hint="eastAsia" w:ascii="宋体" w:hAnsi="宋体" w:cs="宋体"/>
          <w:sz w:val="24"/>
          <w:szCs w:val="24"/>
        </w:rPr>
        <w:t>注：1、按照基本技术要求详细填列。</w:t>
      </w:r>
    </w:p>
    <w:p>
      <w:pPr>
        <w:numPr>
          <w:ilvl w:val="0"/>
          <w:numId w:val="10"/>
        </w:numPr>
        <w:rPr>
          <w:rFonts w:ascii="宋体" w:hAnsi="宋体" w:cs="宋体"/>
          <w:sz w:val="24"/>
          <w:szCs w:val="24"/>
        </w:rPr>
      </w:pPr>
      <w:r>
        <w:rPr>
          <w:rFonts w:hint="eastAsia" w:ascii="宋体" w:hAnsi="宋体" w:cs="宋体"/>
          <w:sz w:val="24"/>
          <w:szCs w:val="24"/>
        </w:rPr>
        <w:t>行数不够，可自行添加。</w:t>
      </w:r>
    </w:p>
    <w:p>
      <w:pPr>
        <w:spacing w:line="360" w:lineRule="auto"/>
        <w:ind w:firstLine="480"/>
        <w:rPr>
          <w:rFonts w:ascii="宋体" w:hAnsi="宋体" w:cs="宋体"/>
          <w:bCs/>
          <w:sz w:val="24"/>
        </w:rPr>
      </w:pPr>
      <w:r>
        <w:rPr>
          <w:rFonts w:hint="eastAsia" w:ascii="宋体" w:hAnsi="宋体" w:cs="宋体"/>
          <w:bCs/>
          <w:sz w:val="24"/>
        </w:rPr>
        <w:t>3、技术偏离表应针对项目需求逐条应答。</w:t>
      </w:r>
    </w:p>
    <w:p>
      <w:pPr>
        <w:pStyle w:val="33"/>
      </w:pPr>
    </w:p>
    <w:p>
      <w:pPr>
        <w:pStyle w:val="24"/>
        <w:ind w:firstLine="0" w:firstLineChars="0"/>
        <w:rPr>
          <w:rFonts w:cs="宋体"/>
          <w:sz w:val="32"/>
          <w:szCs w:val="32"/>
        </w:rPr>
      </w:pPr>
    </w:p>
    <w:p>
      <w:pPr>
        <w:ind w:firstLine="480"/>
        <w:jc w:val="right"/>
        <w:rPr>
          <w:rStyle w:val="44"/>
          <w:rFonts w:asciiTheme="minorEastAsia" w:hAnsiTheme="minorEastAsia" w:eastAsiaTheme="minorEastAsia" w:cstheme="minorEastAsia"/>
          <w:sz w:val="24"/>
        </w:rPr>
      </w:pPr>
      <w:r>
        <w:rPr>
          <w:rStyle w:val="44"/>
          <w:rFonts w:hint="eastAsia" w:asciiTheme="minorEastAsia" w:hAnsiTheme="minorEastAsia" w:eastAsiaTheme="minorEastAsia" w:cstheme="minorEastAsia"/>
          <w:bCs/>
          <w:sz w:val="24"/>
        </w:rPr>
        <w:t>供应商名称（公章）：</w:t>
      </w:r>
    </w:p>
    <w:p>
      <w:pPr>
        <w:ind w:firstLine="480"/>
        <w:sectPr>
          <w:pgSz w:w="11906" w:h="16838"/>
          <w:pgMar w:top="1417" w:right="1588" w:bottom="1417" w:left="1365" w:header="851" w:footer="907" w:gutter="0"/>
          <w:cols w:space="425" w:num="1"/>
          <w:docGrid w:type="lines" w:linePitch="290" w:charSpace="0"/>
        </w:sectPr>
      </w:pPr>
      <w:r>
        <w:rPr>
          <w:rStyle w:val="44"/>
          <w:rFonts w:hint="eastAsia" w:asciiTheme="minorEastAsia" w:hAnsiTheme="minorEastAsia" w:eastAsiaTheme="minorEastAsia" w:cstheme="minorEastAsia"/>
          <w:sz w:val="24"/>
        </w:rPr>
        <w:t>日期： 年月日</w:t>
      </w:r>
    </w:p>
    <w:p>
      <w:pPr>
        <w:snapToGrid w:val="0"/>
        <w:spacing w:before="50" w:after="50"/>
        <w:jc w:val="center"/>
        <w:outlineLvl w:val="0"/>
        <w:rPr>
          <w:rFonts w:ascii="宋体" w:hAnsi="宋体" w:cs="宋体"/>
          <w:sz w:val="32"/>
          <w:szCs w:val="32"/>
        </w:rPr>
      </w:pPr>
      <w:bookmarkStart w:id="18" w:name="_Toc6455"/>
      <w:r>
        <w:rPr>
          <w:rFonts w:hint="eastAsia" w:ascii="宋体" w:hAnsi="宋体" w:cs="宋体"/>
          <w:sz w:val="32"/>
          <w:szCs w:val="32"/>
        </w:rPr>
        <w:t>七、技术参数响应及偏离表（如有）</w:t>
      </w:r>
      <w:bookmarkEnd w:id="18"/>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sz w:val="24"/>
                <w:szCs w:val="24"/>
              </w:rPr>
            </w:pPr>
            <w:r>
              <w:rPr>
                <w:rFonts w:hint="eastAsia" w:ascii="宋体" w:hAnsi="宋体" w:cs="宋体"/>
                <w:sz w:val="24"/>
                <w:szCs w:val="24"/>
              </w:rPr>
              <w:t>序号</w:t>
            </w:r>
          </w:p>
        </w:tc>
        <w:tc>
          <w:tcPr>
            <w:tcW w:w="2852" w:type="dxa"/>
            <w:noWrap/>
            <w:vAlign w:val="center"/>
          </w:tcPr>
          <w:p>
            <w:pPr>
              <w:rPr>
                <w:rFonts w:ascii="宋体" w:hAnsi="宋体" w:cs="宋体"/>
                <w:sz w:val="24"/>
                <w:szCs w:val="24"/>
              </w:rPr>
            </w:pPr>
            <w:r>
              <w:rPr>
                <w:rFonts w:hint="eastAsia" w:ascii="宋体" w:hAnsi="宋体" w:cs="宋体"/>
                <w:sz w:val="24"/>
                <w:szCs w:val="24"/>
              </w:rPr>
              <w:t>招标要求</w:t>
            </w:r>
          </w:p>
        </w:tc>
        <w:tc>
          <w:tcPr>
            <w:tcW w:w="2852" w:type="dxa"/>
            <w:noWrap/>
            <w:vAlign w:val="center"/>
          </w:tcPr>
          <w:p>
            <w:pPr>
              <w:rPr>
                <w:rFonts w:ascii="宋体" w:hAnsi="宋体" w:cs="宋体"/>
                <w:sz w:val="24"/>
                <w:szCs w:val="24"/>
              </w:rPr>
            </w:pPr>
            <w:r>
              <w:rPr>
                <w:rFonts w:hint="eastAsia" w:ascii="宋体" w:hAnsi="宋体" w:cs="宋体"/>
                <w:sz w:val="24"/>
                <w:szCs w:val="24"/>
              </w:rPr>
              <w:t>投标响应</w:t>
            </w:r>
          </w:p>
        </w:tc>
        <w:tc>
          <w:tcPr>
            <w:tcW w:w="1308" w:type="dxa"/>
            <w:noWrap/>
            <w:vAlign w:val="center"/>
          </w:tcPr>
          <w:p>
            <w:pPr>
              <w:rPr>
                <w:rFonts w:ascii="宋体" w:hAnsi="宋体" w:cs="宋体"/>
                <w:sz w:val="24"/>
                <w:szCs w:val="24"/>
              </w:rPr>
            </w:pPr>
            <w:r>
              <w:rPr>
                <w:rFonts w:hint="eastAsia" w:ascii="宋体" w:hAnsi="宋体" w:cs="宋体"/>
                <w:sz w:val="24"/>
                <w:szCs w:val="24"/>
              </w:rPr>
              <w:t>超出、符合或偏离</w:t>
            </w:r>
          </w:p>
        </w:tc>
        <w:tc>
          <w:tcPr>
            <w:tcW w:w="1173" w:type="dxa"/>
            <w:noWrap/>
            <w:vAlign w:val="center"/>
          </w:tcPr>
          <w:p>
            <w:pPr>
              <w:jc w:val="center"/>
              <w:rPr>
                <w:rFonts w:ascii="宋体" w:hAns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bl>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注：1、按照基本技术要求详细填列。</w:t>
      </w:r>
    </w:p>
    <w:p>
      <w:pPr>
        <w:numPr>
          <w:ilvl w:val="0"/>
          <w:numId w:val="10"/>
        </w:numPr>
        <w:rPr>
          <w:rFonts w:ascii="宋体" w:hAnsi="宋体" w:cs="宋体"/>
          <w:sz w:val="24"/>
          <w:szCs w:val="24"/>
        </w:rPr>
      </w:pPr>
      <w:r>
        <w:rPr>
          <w:rFonts w:hint="eastAsia" w:ascii="宋体" w:hAnsi="宋体" w:cs="宋体"/>
          <w:sz w:val="24"/>
          <w:szCs w:val="24"/>
        </w:rPr>
        <w:t>行数不够，可自行添加。</w:t>
      </w:r>
    </w:p>
    <w:p>
      <w:pPr>
        <w:spacing w:line="360" w:lineRule="auto"/>
        <w:ind w:firstLine="480"/>
        <w:rPr>
          <w:rFonts w:ascii="宋体" w:hAnsi="宋体" w:cs="宋体"/>
          <w:sz w:val="24"/>
          <w:szCs w:val="24"/>
        </w:rPr>
      </w:pPr>
      <w:r>
        <w:rPr>
          <w:rFonts w:hint="eastAsia" w:ascii="宋体" w:hAnsi="宋体" w:cs="宋体"/>
          <w:bCs/>
          <w:sz w:val="24"/>
        </w:rPr>
        <w:t>3、技术偏离表应针对项目需求逐条应答。</w:t>
      </w:r>
    </w:p>
    <w:p>
      <w:pPr>
        <w:pStyle w:val="139"/>
        <w:jc w:val="both"/>
        <w:rPr>
          <w:rStyle w:val="44"/>
          <w:rFonts w:asciiTheme="minorEastAsia" w:hAnsiTheme="minorEastAsia" w:eastAsiaTheme="minorEastAsia" w:cstheme="minorEastAsia"/>
          <w:color w:val="auto"/>
        </w:rPr>
      </w:pPr>
    </w:p>
    <w:p>
      <w:pPr>
        <w:ind w:firstLine="480"/>
        <w:jc w:val="right"/>
        <w:rPr>
          <w:rStyle w:val="44"/>
          <w:rFonts w:asciiTheme="minorEastAsia" w:hAnsiTheme="minorEastAsia" w:eastAsiaTheme="minorEastAsia" w:cstheme="minorEastAsia"/>
          <w:sz w:val="24"/>
        </w:rPr>
      </w:pPr>
      <w:r>
        <w:rPr>
          <w:rStyle w:val="44"/>
          <w:rFonts w:hint="eastAsia" w:asciiTheme="minorEastAsia" w:hAnsiTheme="minorEastAsia" w:eastAsiaTheme="minorEastAsia" w:cstheme="minorEastAsia"/>
          <w:bCs/>
          <w:sz w:val="24"/>
        </w:rPr>
        <w:t>供应商名称（公章）：</w:t>
      </w:r>
    </w:p>
    <w:p>
      <w:pPr>
        <w:ind w:firstLine="480"/>
        <w:rPr>
          <w:rStyle w:val="44"/>
          <w:rFonts w:asciiTheme="minorEastAsia" w:hAnsiTheme="minorEastAsia" w:eastAsiaTheme="minorEastAsia" w:cstheme="minorEastAsia"/>
          <w:sz w:val="24"/>
        </w:rPr>
      </w:pPr>
      <w:r>
        <w:rPr>
          <w:rStyle w:val="44"/>
          <w:rFonts w:hint="eastAsia" w:asciiTheme="minorEastAsia" w:hAnsiTheme="minorEastAsia" w:eastAsiaTheme="minorEastAsia" w:cstheme="minorEastAsia"/>
          <w:sz w:val="24"/>
        </w:rPr>
        <w:t>日期： 年月日</w:t>
      </w:r>
    </w:p>
    <w:p>
      <w:pPr>
        <w:pStyle w:val="33"/>
        <w:rPr>
          <w:color w:val="auto"/>
        </w:rPr>
        <w:sectPr>
          <w:headerReference r:id="rId5" w:type="default"/>
          <w:footerReference r:id="rId6" w:type="default"/>
          <w:pgSz w:w="11906" w:h="16838"/>
          <w:pgMar w:top="1417" w:right="1588" w:bottom="1417" w:left="1365" w:header="851" w:footer="907" w:gutter="0"/>
          <w:cols w:space="425" w:num="1"/>
          <w:docGrid w:type="lines" w:linePitch="290" w:charSpace="0"/>
        </w:sectPr>
      </w:pPr>
    </w:p>
    <w:p>
      <w:pPr>
        <w:snapToGrid w:val="0"/>
        <w:spacing w:before="50" w:after="50"/>
        <w:jc w:val="center"/>
        <w:outlineLvl w:val="0"/>
        <w:rPr>
          <w:rFonts w:ascii="宋体" w:hAnsi="宋体" w:cs="宋体"/>
          <w:sz w:val="32"/>
          <w:szCs w:val="32"/>
        </w:rPr>
      </w:pPr>
      <w:bookmarkStart w:id="19" w:name="_Toc16171"/>
      <w:r>
        <w:rPr>
          <w:rFonts w:hint="eastAsia" w:ascii="宋体" w:hAnsi="宋体" w:cs="宋体"/>
          <w:sz w:val="32"/>
          <w:szCs w:val="32"/>
        </w:rPr>
        <w:t>八、商务条款响应及偏离表（如有）</w:t>
      </w:r>
      <w:bookmarkEnd w:id="19"/>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p>
          <w:p>
            <w:pPr>
              <w:snapToGrid w:val="0"/>
              <w:spacing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p>
          <w:p>
            <w:pPr>
              <w:snapToGrid w:val="0"/>
              <w:spacing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bl>
    <w:p>
      <w:pPr>
        <w:ind w:firstLine="480"/>
        <w:jc w:val="right"/>
        <w:rPr>
          <w:rStyle w:val="44"/>
          <w:rFonts w:asciiTheme="minorEastAsia" w:hAnsiTheme="minorEastAsia" w:eastAsiaTheme="minorEastAsia" w:cstheme="minorEastAsia"/>
          <w:bCs/>
          <w:sz w:val="24"/>
        </w:rPr>
      </w:pPr>
    </w:p>
    <w:p>
      <w:pPr>
        <w:ind w:firstLine="480"/>
        <w:jc w:val="right"/>
        <w:rPr>
          <w:rStyle w:val="44"/>
          <w:rFonts w:asciiTheme="minorEastAsia" w:hAnsiTheme="minorEastAsia" w:eastAsiaTheme="minorEastAsia" w:cstheme="minorEastAsia"/>
          <w:bCs/>
          <w:sz w:val="24"/>
        </w:rPr>
      </w:pPr>
    </w:p>
    <w:p>
      <w:pPr>
        <w:ind w:firstLine="480"/>
        <w:jc w:val="right"/>
        <w:rPr>
          <w:rStyle w:val="44"/>
          <w:rFonts w:asciiTheme="minorEastAsia" w:hAnsiTheme="minorEastAsia" w:eastAsiaTheme="minorEastAsia" w:cstheme="minorEastAsia"/>
          <w:sz w:val="24"/>
        </w:rPr>
      </w:pPr>
      <w:r>
        <w:rPr>
          <w:rStyle w:val="44"/>
          <w:rFonts w:hint="eastAsia" w:asciiTheme="minorEastAsia" w:hAnsiTheme="minorEastAsia" w:eastAsiaTheme="minorEastAsia" w:cstheme="minorEastAsia"/>
          <w:bCs/>
          <w:sz w:val="24"/>
        </w:rPr>
        <w:t>供应商名称（公章）：</w:t>
      </w:r>
    </w:p>
    <w:p>
      <w:pPr>
        <w:ind w:firstLine="480"/>
        <w:sectPr>
          <w:headerReference r:id="rId7" w:type="default"/>
          <w:footerReference r:id="rId8" w:type="default"/>
          <w:pgSz w:w="11906" w:h="16838"/>
          <w:pgMar w:top="1417" w:right="1588" w:bottom="1417" w:left="1365" w:header="851" w:footer="907" w:gutter="0"/>
          <w:cols w:space="425" w:num="1"/>
          <w:docGrid w:type="lines" w:linePitch="290" w:charSpace="0"/>
        </w:sectPr>
      </w:pPr>
      <w:r>
        <w:rPr>
          <w:rStyle w:val="44"/>
          <w:rFonts w:hint="eastAsia" w:asciiTheme="minorEastAsia" w:hAnsiTheme="minorEastAsia" w:eastAsiaTheme="minorEastAsia" w:cstheme="minorEastAsia"/>
          <w:sz w:val="24"/>
        </w:rPr>
        <w:t>日期： 年月</w:t>
      </w:r>
    </w:p>
    <w:p>
      <w:pPr>
        <w:pStyle w:val="139"/>
        <w:jc w:val="both"/>
        <w:rPr>
          <w:rStyle w:val="44"/>
          <w:rFonts w:asciiTheme="minorEastAsia" w:hAnsiTheme="minorEastAsia" w:eastAsiaTheme="minorEastAsia" w:cstheme="minorEastAsia"/>
          <w:color w:val="auto"/>
        </w:rPr>
      </w:pPr>
    </w:p>
    <w:p>
      <w:pPr>
        <w:snapToGrid w:val="0"/>
        <w:spacing w:before="50" w:after="50"/>
        <w:jc w:val="center"/>
        <w:outlineLvl w:val="0"/>
        <w:rPr>
          <w:rFonts w:ascii="宋体" w:hAnsi="宋体" w:cs="宋体"/>
          <w:sz w:val="32"/>
          <w:szCs w:val="32"/>
        </w:rPr>
      </w:pPr>
      <w:bookmarkStart w:id="20" w:name="_Toc5527"/>
      <w:r>
        <w:rPr>
          <w:rFonts w:hint="eastAsia" w:ascii="宋体" w:hAnsi="宋体" w:cs="宋体"/>
          <w:sz w:val="32"/>
          <w:szCs w:val="32"/>
        </w:rPr>
        <w:t>九、技术方案、服务承诺、培训承诺等</w:t>
      </w:r>
      <w:bookmarkEnd w:id="20"/>
      <w:bookmarkStart w:id="21" w:name="_格式2__法定代表人授权书"/>
      <w:bookmarkEnd w:id="21"/>
    </w:p>
    <w:p>
      <w:pPr>
        <w:pStyle w:val="139"/>
        <w:jc w:val="both"/>
        <w:rPr>
          <w:rStyle w:val="44"/>
          <w:rFonts w:asciiTheme="minorEastAsia" w:hAnsiTheme="minorEastAsia" w:eastAsiaTheme="minorEastAsia" w:cstheme="minorEastAsia"/>
          <w:color w:val="auto"/>
        </w:rPr>
      </w:pPr>
    </w:p>
    <w:p>
      <w:pPr>
        <w:pStyle w:val="24"/>
        <w:ind w:firstLine="0" w:firstLineChars="0"/>
        <w:rPr>
          <w:rFonts w:cs="宋体"/>
          <w:sz w:val="32"/>
          <w:szCs w:val="32"/>
        </w:rPr>
      </w:pPr>
    </w:p>
    <w:p>
      <w:pPr>
        <w:pStyle w:val="24"/>
        <w:ind w:firstLine="640"/>
        <w:rPr>
          <w:rFonts w:cs="宋体"/>
          <w:sz w:val="32"/>
          <w:szCs w:val="32"/>
        </w:rPr>
      </w:pPr>
    </w:p>
    <w:p>
      <w:pPr>
        <w:pStyle w:val="24"/>
        <w:ind w:firstLine="640"/>
        <w:rPr>
          <w:rFonts w:cs="宋体"/>
          <w:sz w:val="32"/>
          <w:szCs w:val="32"/>
        </w:rPr>
      </w:pPr>
    </w:p>
    <w:p>
      <w:pPr>
        <w:pStyle w:val="139"/>
        <w:jc w:val="center"/>
        <w:outlineLvl w:val="0"/>
        <w:rPr>
          <w:rStyle w:val="44"/>
          <w:rFonts w:ascii="宋体" w:hAnsi="宋体" w:cs="宋体"/>
          <w:color w:val="auto"/>
          <w:sz w:val="32"/>
          <w:szCs w:val="32"/>
        </w:rPr>
      </w:pPr>
      <w:r>
        <w:rPr>
          <w:rStyle w:val="44"/>
          <w:rFonts w:hint="eastAsia" w:ascii="宋体" w:hAnsi="宋体" w:cs="宋体"/>
          <w:color w:val="auto"/>
          <w:sz w:val="32"/>
          <w:szCs w:val="32"/>
        </w:rPr>
        <w:br w:type="page"/>
      </w:r>
      <w:bookmarkStart w:id="22" w:name="_Toc20905"/>
      <w:r>
        <w:rPr>
          <w:rStyle w:val="44"/>
          <w:rFonts w:hint="eastAsia" w:ascii="宋体" w:hAnsi="宋体" w:cs="宋体"/>
          <w:color w:val="auto"/>
          <w:sz w:val="32"/>
          <w:szCs w:val="32"/>
        </w:rPr>
        <w:t>十、盐城市政府采购事前信用承诺书</w:t>
      </w:r>
      <w:bookmarkEnd w:id="22"/>
    </w:p>
    <w:p>
      <w:pPr>
        <w:spacing w:line="500" w:lineRule="exact"/>
        <w:ind w:firstLine="480" w:firstLineChars="200"/>
        <w:jc w:val="left"/>
        <w:rPr>
          <w:rStyle w:val="44"/>
          <w:rFonts w:ascii="宋体" w:hAnsi="宋体" w:cs="宋体"/>
          <w:sz w:val="24"/>
        </w:rPr>
      </w:pPr>
      <w:r>
        <w:rPr>
          <w:rStyle w:val="44"/>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4"/>
          <w:rFonts w:ascii="宋体" w:hAnsi="宋体" w:cs="宋体"/>
          <w:sz w:val="24"/>
        </w:rPr>
      </w:pPr>
      <w:r>
        <w:rPr>
          <w:rStyle w:val="44"/>
          <w:rFonts w:hint="eastAsia" w:ascii="宋体" w:hAnsi="宋体" w:cs="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4"/>
          <w:rFonts w:ascii="宋体" w:hAnsi="宋体" w:cs="宋体"/>
          <w:sz w:val="24"/>
        </w:rPr>
      </w:pPr>
      <w:r>
        <w:rPr>
          <w:rStyle w:val="44"/>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4"/>
          <w:rFonts w:ascii="宋体" w:hAnsi="宋体" w:cs="宋体"/>
          <w:sz w:val="24"/>
        </w:rPr>
      </w:pPr>
      <w:r>
        <w:rPr>
          <w:rStyle w:val="44"/>
          <w:rFonts w:hint="eastAsia" w:ascii="宋体" w:hAnsi="宋体" w:cs="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4"/>
          <w:rFonts w:ascii="宋体" w:hAnsi="宋体" w:cs="宋体"/>
          <w:sz w:val="24"/>
        </w:rPr>
      </w:pPr>
      <w:r>
        <w:rPr>
          <w:rStyle w:val="44"/>
          <w:rFonts w:hint="eastAsia" w:ascii="宋体" w:hAnsi="宋体" w:cs="宋体"/>
          <w:sz w:val="24"/>
        </w:rPr>
        <w:t>   （四）严格遵守即时信息公示规定，及时维护和更新维护和更新与本单位相关的信息；</w:t>
      </w:r>
    </w:p>
    <w:p>
      <w:pPr>
        <w:spacing w:line="500" w:lineRule="exact"/>
        <w:jc w:val="left"/>
        <w:rPr>
          <w:rStyle w:val="44"/>
          <w:rFonts w:ascii="宋体" w:hAnsi="宋体" w:cs="宋体"/>
          <w:sz w:val="24"/>
        </w:rPr>
      </w:pPr>
      <w:r>
        <w:rPr>
          <w:rStyle w:val="44"/>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4"/>
          <w:rFonts w:ascii="宋体" w:hAnsi="宋体" w:cs="宋体"/>
          <w:sz w:val="24"/>
        </w:rPr>
      </w:pPr>
      <w:r>
        <w:rPr>
          <w:rStyle w:val="44"/>
          <w:rFonts w:hint="eastAsia" w:ascii="宋体" w:hAnsi="宋体" w:cs="宋体"/>
          <w:sz w:val="24"/>
        </w:rPr>
        <w:t>   （六）自觉接受政府、行业组织、社会公众、新闻舆论的监督；</w:t>
      </w:r>
    </w:p>
    <w:p>
      <w:pPr>
        <w:spacing w:line="500" w:lineRule="exact"/>
        <w:ind w:firstLine="480" w:firstLineChars="200"/>
        <w:jc w:val="left"/>
        <w:rPr>
          <w:rStyle w:val="44"/>
          <w:rFonts w:ascii="宋体" w:hAnsi="宋体" w:cs="宋体"/>
          <w:sz w:val="24"/>
        </w:rPr>
      </w:pPr>
      <w:r>
        <w:rPr>
          <w:rStyle w:val="44"/>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4"/>
          <w:rFonts w:ascii="宋体" w:hAnsi="宋体" w:cs="宋体"/>
          <w:sz w:val="24"/>
        </w:rPr>
      </w:pPr>
      <w:r>
        <w:rPr>
          <w:rStyle w:val="44"/>
          <w:rFonts w:hint="eastAsia" w:ascii="宋体" w:hAnsi="宋体" w:cs="宋体"/>
          <w:sz w:val="24"/>
        </w:rPr>
        <w:t>   （八）本人已认真阅读了上述承诺，并向本单位员工作了宣传教育。</w:t>
      </w:r>
    </w:p>
    <w:p>
      <w:pPr>
        <w:spacing w:line="500" w:lineRule="exact"/>
        <w:jc w:val="left"/>
        <w:rPr>
          <w:rStyle w:val="44"/>
          <w:rFonts w:ascii="宋体" w:hAnsi="宋体" w:cs="宋体"/>
          <w:sz w:val="24"/>
        </w:rPr>
      </w:pPr>
    </w:p>
    <w:p>
      <w:pPr>
        <w:spacing w:line="500" w:lineRule="exact"/>
        <w:jc w:val="center"/>
        <w:rPr>
          <w:rStyle w:val="44"/>
          <w:rFonts w:ascii="宋体" w:hAnsi="宋体" w:cs="宋体"/>
          <w:sz w:val="24"/>
        </w:rPr>
      </w:pPr>
      <w:r>
        <w:rPr>
          <w:rStyle w:val="44"/>
          <w:rFonts w:hint="eastAsia" w:ascii="宋体" w:hAnsi="宋体" w:cs="宋体"/>
          <w:sz w:val="24"/>
        </w:rPr>
        <w:t xml:space="preserve">                 法定代表人签名：</w:t>
      </w:r>
    </w:p>
    <w:p>
      <w:pPr>
        <w:spacing w:line="500" w:lineRule="exact"/>
        <w:jc w:val="center"/>
        <w:rPr>
          <w:rStyle w:val="44"/>
          <w:rFonts w:ascii="宋体" w:hAnsi="宋体" w:cs="宋体"/>
          <w:sz w:val="24"/>
        </w:rPr>
      </w:pPr>
      <w:r>
        <w:rPr>
          <w:rStyle w:val="44"/>
          <w:rFonts w:hint="eastAsia" w:ascii="宋体" w:hAnsi="宋体" w:cs="宋体"/>
          <w:sz w:val="24"/>
        </w:rPr>
        <w:t xml:space="preserve">                   单位名称（盖章）：</w:t>
      </w:r>
    </w:p>
    <w:p>
      <w:pPr>
        <w:spacing w:line="500" w:lineRule="exact"/>
        <w:jc w:val="center"/>
        <w:rPr>
          <w:rStyle w:val="44"/>
          <w:rFonts w:ascii="宋体" w:hAnsi="宋体" w:cs="宋体"/>
          <w:sz w:val="24"/>
        </w:rPr>
      </w:pPr>
      <w:r>
        <w:rPr>
          <w:rStyle w:val="44"/>
          <w:rFonts w:hint="eastAsia" w:ascii="宋体" w:hAnsi="宋体" w:cs="宋体"/>
          <w:sz w:val="24"/>
        </w:rPr>
        <w:t xml:space="preserve">                      年    月    日</w:t>
      </w:r>
    </w:p>
    <w:p>
      <w:pPr>
        <w:pStyle w:val="139"/>
        <w:jc w:val="both"/>
        <w:rPr>
          <w:rStyle w:val="44"/>
          <w:rFonts w:ascii="宋体" w:hAnsi="宋体" w:cs="宋体"/>
          <w:color w:val="auto"/>
        </w:rPr>
      </w:pPr>
    </w:p>
    <w:p>
      <w:pPr>
        <w:pStyle w:val="139"/>
        <w:jc w:val="both"/>
        <w:rPr>
          <w:rStyle w:val="44"/>
          <w:rFonts w:ascii="宋体" w:hAnsi="宋体" w:cs="宋体"/>
          <w:color w:val="auto"/>
        </w:rPr>
      </w:pPr>
    </w:p>
    <w:p>
      <w:pPr>
        <w:pStyle w:val="4"/>
        <w:outlineLvl w:val="0"/>
        <w:rPr>
          <w:rFonts w:ascii="宋体" w:hAnsi="宋体" w:eastAsia="宋体" w:cs="宋体"/>
          <w:color w:val="000000" w:themeColor="text1"/>
          <w:sz w:val="32"/>
          <w:szCs w:val="32"/>
          <w14:textFill>
            <w14:solidFill>
              <w14:schemeClr w14:val="tx1"/>
            </w14:solidFill>
          </w14:textFill>
        </w:rPr>
      </w:pPr>
      <w:bookmarkStart w:id="23" w:name="_Toc22238"/>
      <w:r>
        <w:rPr>
          <w:rFonts w:hint="eastAsia" w:ascii="宋体" w:hAnsi="宋体" w:eastAsia="宋体" w:cs="宋体"/>
          <w:color w:val="000000" w:themeColor="text1"/>
          <w:sz w:val="32"/>
          <w:szCs w:val="32"/>
          <w14:textFill>
            <w14:solidFill>
              <w14:schemeClr w14:val="tx1"/>
            </w14:solidFill>
          </w14:textFill>
        </w:rPr>
        <w:t>十一、投标人资格声明</w:t>
      </w:r>
      <w:bookmarkEnd w:id="23"/>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投标人企业名称</w:t>
            </w:r>
          </w:p>
        </w:tc>
        <w:tc>
          <w:tcPr>
            <w:tcW w:w="7668" w:type="dxa"/>
            <w:gridSpan w:val="6"/>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地 址</w:t>
            </w:r>
          </w:p>
        </w:tc>
        <w:tc>
          <w:tcPr>
            <w:tcW w:w="7668" w:type="dxa"/>
            <w:gridSpan w:val="6"/>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主管部门</w:t>
            </w:r>
          </w:p>
        </w:tc>
        <w:tc>
          <w:tcPr>
            <w:tcW w:w="1380" w:type="dxa"/>
            <w:vAlign w:val="center"/>
          </w:tcPr>
          <w:p>
            <w:pPr>
              <w:spacing w:line="460" w:lineRule="exact"/>
              <w:rPr>
                <w:rFonts w:ascii="宋体" w:hAnsi="宋体" w:cs="宋体"/>
                <w:bCs/>
                <w:color w:val="000000" w:themeColor="text1"/>
                <w14:textFill>
                  <w14:solidFill>
                    <w14:schemeClr w14:val="tx1"/>
                  </w14:solidFill>
                </w14:textFill>
              </w:rPr>
            </w:pPr>
          </w:p>
        </w:tc>
        <w:tc>
          <w:tcPr>
            <w:tcW w:w="1549" w:type="dxa"/>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法定代表人</w:t>
            </w:r>
          </w:p>
        </w:tc>
        <w:tc>
          <w:tcPr>
            <w:tcW w:w="1549" w:type="dxa"/>
            <w:gridSpan w:val="2"/>
            <w:vAlign w:val="center"/>
          </w:tcPr>
          <w:p>
            <w:pPr>
              <w:spacing w:line="460" w:lineRule="exact"/>
              <w:rPr>
                <w:rFonts w:ascii="宋体" w:hAnsi="宋体" w:cs="宋体"/>
                <w:bCs/>
                <w:color w:val="000000" w:themeColor="text1"/>
                <w14:textFill>
                  <w14:solidFill>
                    <w14:schemeClr w14:val="tx1"/>
                  </w14:solidFill>
                </w14:textFill>
              </w:rPr>
            </w:pPr>
          </w:p>
        </w:tc>
        <w:tc>
          <w:tcPr>
            <w:tcW w:w="1583" w:type="dxa"/>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 务</w:t>
            </w:r>
          </w:p>
        </w:tc>
        <w:tc>
          <w:tcPr>
            <w:tcW w:w="1607" w:type="dxa"/>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注册时间</w:t>
            </w:r>
          </w:p>
        </w:tc>
        <w:tc>
          <w:tcPr>
            <w:tcW w:w="2929" w:type="dxa"/>
            <w:gridSpan w:val="2"/>
          </w:tcPr>
          <w:p>
            <w:pPr>
              <w:spacing w:line="460" w:lineRule="exact"/>
              <w:rPr>
                <w:rFonts w:ascii="宋体" w:hAnsi="宋体" w:cs="宋体"/>
                <w:bCs/>
                <w:color w:val="000000" w:themeColor="text1"/>
                <w14:textFill>
                  <w14:solidFill>
                    <w14:schemeClr w14:val="tx1"/>
                  </w14:solidFill>
                </w14:textFill>
              </w:rPr>
            </w:pPr>
          </w:p>
        </w:tc>
        <w:tc>
          <w:tcPr>
            <w:tcW w:w="1549" w:type="dxa"/>
            <w:gridSpan w:val="2"/>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经济类型</w:t>
            </w:r>
          </w:p>
        </w:tc>
        <w:tc>
          <w:tcPr>
            <w:tcW w:w="3190" w:type="dxa"/>
            <w:gridSpan w:val="2"/>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近三年内有经营活动中有无重大违法纪录</w:t>
            </w:r>
          </w:p>
        </w:tc>
        <w:tc>
          <w:tcPr>
            <w:tcW w:w="4739" w:type="dxa"/>
            <w:gridSpan w:val="4"/>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是否依法缴纳税收</w:t>
            </w:r>
          </w:p>
        </w:tc>
        <w:tc>
          <w:tcPr>
            <w:tcW w:w="2929" w:type="dxa"/>
            <w:gridSpan w:val="2"/>
          </w:tcPr>
          <w:p>
            <w:pPr>
              <w:spacing w:line="460" w:lineRule="exact"/>
              <w:rPr>
                <w:rFonts w:ascii="宋体" w:hAnsi="宋体" w:cs="宋体"/>
                <w:bCs/>
                <w:color w:val="000000" w:themeColor="text1"/>
                <w14:textFill>
                  <w14:solidFill>
                    <w14:schemeClr w14:val="tx1"/>
                  </w14:solidFill>
                </w14:textFill>
              </w:rPr>
            </w:pPr>
          </w:p>
        </w:tc>
        <w:tc>
          <w:tcPr>
            <w:tcW w:w="1549" w:type="dxa"/>
            <w:gridSpan w:val="2"/>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是否依法缴纳社会保障资金</w:t>
            </w:r>
          </w:p>
        </w:tc>
        <w:tc>
          <w:tcPr>
            <w:tcW w:w="3190" w:type="dxa"/>
            <w:gridSpan w:val="2"/>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cs="宋体"/>
                <w:bCs/>
                <w:color w:val="000000" w:themeColor="text1"/>
                <w14:textFill>
                  <w14:solidFill>
                    <w14:schemeClr w14:val="tx1"/>
                  </w14:solidFill>
                </w14:textFill>
              </w:rPr>
            </w:pP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单</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位</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概</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况</w:t>
            </w:r>
          </w:p>
        </w:tc>
        <w:tc>
          <w:tcPr>
            <w:tcW w:w="1380" w:type="dxa"/>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注册资本</w:t>
            </w:r>
          </w:p>
        </w:tc>
        <w:tc>
          <w:tcPr>
            <w:tcW w:w="1549" w:type="dxa"/>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万元</w:t>
            </w:r>
          </w:p>
        </w:tc>
        <w:tc>
          <w:tcPr>
            <w:tcW w:w="1549" w:type="dxa"/>
            <w:gridSpan w:val="2"/>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占地面积</w:t>
            </w:r>
          </w:p>
        </w:tc>
        <w:tc>
          <w:tcPr>
            <w:tcW w:w="3190" w:type="dxa"/>
            <w:gridSpan w:val="2"/>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cs="宋体"/>
                <w:bCs/>
                <w:color w:val="000000" w:themeColor="text1"/>
                <w14:textFill>
                  <w14:solidFill>
                    <w14:schemeClr w14:val="tx1"/>
                  </w14:solidFill>
                </w14:textFill>
              </w:rPr>
            </w:pPr>
          </w:p>
        </w:tc>
        <w:tc>
          <w:tcPr>
            <w:tcW w:w="1380" w:type="dxa"/>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职工总数</w:t>
            </w:r>
          </w:p>
        </w:tc>
        <w:tc>
          <w:tcPr>
            <w:tcW w:w="1549" w:type="dxa"/>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人</w:t>
            </w:r>
          </w:p>
        </w:tc>
        <w:tc>
          <w:tcPr>
            <w:tcW w:w="1549" w:type="dxa"/>
            <w:gridSpan w:val="2"/>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建筑面积</w:t>
            </w:r>
          </w:p>
        </w:tc>
        <w:tc>
          <w:tcPr>
            <w:tcW w:w="3190" w:type="dxa"/>
            <w:gridSpan w:val="2"/>
          </w:tcPr>
          <w:p>
            <w:pPr>
              <w:spacing w:line="460" w:lineRule="exact"/>
              <w:ind w:firstLine="1575" w:firstLineChars="7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cs="宋体"/>
                <w:bCs/>
                <w:color w:val="000000" w:themeColor="text1"/>
                <w14:textFill>
                  <w14:solidFill>
                    <w14:schemeClr w14:val="tx1"/>
                  </w14:solidFill>
                </w14:textFill>
              </w:rPr>
            </w:pPr>
          </w:p>
        </w:tc>
        <w:tc>
          <w:tcPr>
            <w:tcW w:w="1380" w:type="dxa"/>
            <w:vMerge w:val="restart"/>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资产</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情况</w:t>
            </w:r>
          </w:p>
        </w:tc>
        <w:tc>
          <w:tcPr>
            <w:tcW w:w="3098" w:type="dxa"/>
            <w:gridSpan w:val="3"/>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净资产：        万元</w:t>
            </w:r>
          </w:p>
        </w:tc>
        <w:tc>
          <w:tcPr>
            <w:tcW w:w="3190" w:type="dxa"/>
            <w:gridSpan w:val="2"/>
            <w:vMerge w:val="restart"/>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固定资产原值 ：      万元</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cs="宋体"/>
                <w:bCs/>
                <w:color w:val="000000" w:themeColor="text1"/>
                <w14:textFill>
                  <w14:solidFill>
                    <w14:schemeClr w14:val="tx1"/>
                  </w14:solidFill>
                </w14:textFill>
              </w:rPr>
            </w:pPr>
          </w:p>
        </w:tc>
        <w:tc>
          <w:tcPr>
            <w:tcW w:w="1380" w:type="dxa"/>
            <w:vMerge w:val="continue"/>
          </w:tcPr>
          <w:p>
            <w:pPr>
              <w:spacing w:line="460" w:lineRule="exact"/>
              <w:rPr>
                <w:rFonts w:ascii="宋体" w:hAnsi="宋体" w:cs="宋体"/>
                <w:bCs/>
                <w:color w:val="000000" w:themeColor="text1"/>
                <w14:textFill>
                  <w14:solidFill>
                    <w14:schemeClr w14:val="tx1"/>
                  </w14:solidFill>
                </w14:textFill>
              </w:rPr>
            </w:pPr>
          </w:p>
        </w:tc>
        <w:tc>
          <w:tcPr>
            <w:tcW w:w="3098" w:type="dxa"/>
            <w:gridSpan w:val="3"/>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负 债：         万元</w:t>
            </w:r>
          </w:p>
        </w:tc>
        <w:tc>
          <w:tcPr>
            <w:tcW w:w="3190" w:type="dxa"/>
            <w:gridSpan w:val="2"/>
            <w:vMerge w:val="continue"/>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财务状况</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（最近两年）</w:t>
            </w:r>
          </w:p>
        </w:tc>
        <w:tc>
          <w:tcPr>
            <w:tcW w:w="1380" w:type="dxa"/>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年限</w:t>
            </w:r>
          </w:p>
        </w:tc>
        <w:tc>
          <w:tcPr>
            <w:tcW w:w="1580" w:type="dxa"/>
            <w:gridSpan w:val="2"/>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主营收入</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18" w:type="dxa"/>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收人总额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83" w:type="dxa"/>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利润总额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607" w:type="dxa"/>
            <w:vAlign w:val="center"/>
          </w:tcPr>
          <w:p>
            <w:pPr>
              <w:spacing w:line="460" w:lineRule="exact"/>
              <w:ind w:firstLine="210" w:firstLineChars="10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净利润</w:t>
            </w:r>
          </w:p>
          <w:p>
            <w:pPr>
              <w:spacing w:line="460" w:lineRule="exact"/>
              <w:ind w:firstLine="210" w:firstLineChars="10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cs="宋体"/>
                <w:bCs/>
                <w:color w:val="000000" w:themeColor="text1"/>
                <w14:textFill>
                  <w14:solidFill>
                    <w14:schemeClr w14:val="tx1"/>
                  </w14:solidFill>
                </w14:textFill>
              </w:rPr>
            </w:pPr>
          </w:p>
        </w:tc>
        <w:tc>
          <w:tcPr>
            <w:tcW w:w="1380" w:type="dxa"/>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vAlign w:val="center"/>
          </w:tcPr>
          <w:p>
            <w:pPr>
              <w:spacing w:line="460" w:lineRule="exact"/>
              <w:rPr>
                <w:rFonts w:ascii="宋体" w:hAnsi="宋体" w:cs="宋体"/>
                <w:bCs/>
                <w:color w:val="000000" w:themeColor="text1"/>
                <w14:textFill>
                  <w14:solidFill>
                    <w14:schemeClr w14:val="tx1"/>
                  </w14:solidFill>
                </w14:textFill>
              </w:rPr>
            </w:pPr>
          </w:p>
        </w:tc>
        <w:tc>
          <w:tcPr>
            <w:tcW w:w="1518" w:type="dxa"/>
            <w:vAlign w:val="center"/>
          </w:tcPr>
          <w:p>
            <w:pPr>
              <w:spacing w:line="460" w:lineRule="exact"/>
              <w:rPr>
                <w:rFonts w:ascii="宋体" w:hAnsi="宋体" w:cs="宋体"/>
                <w:bCs/>
                <w:color w:val="000000" w:themeColor="text1"/>
                <w14:textFill>
                  <w14:solidFill>
                    <w14:schemeClr w14:val="tx1"/>
                  </w14:solidFill>
                </w14:textFill>
              </w:rPr>
            </w:pPr>
          </w:p>
        </w:tc>
        <w:tc>
          <w:tcPr>
            <w:tcW w:w="1583" w:type="dxa"/>
            <w:vAlign w:val="center"/>
          </w:tcPr>
          <w:p>
            <w:pPr>
              <w:spacing w:line="460" w:lineRule="exact"/>
              <w:rPr>
                <w:rFonts w:ascii="宋体" w:hAnsi="宋体" w:cs="宋体"/>
                <w:bCs/>
                <w:color w:val="000000" w:themeColor="text1"/>
                <w14:textFill>
                  <w14:solidFill>
                    <w14:schemeClr w14:val="tx1"/>
                  </w14:solidFill>
                </w14:textFill>
              </w:rPr>
            </w:pPr>
          </w:p>
        </w:tc>
        <w:tc>
          <w:tcPr>
            <w:tcW w:w="1607" w:type="dxa"/>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cs="宋体"/>
                <w:bCs/>
                <w:color w:val="000000" w:themeColor="text1"/>
                <w14:textFill>
                  <w14:solidFill>
                    <w14:schemeClr w14:val="tx1"/>
                  </w14:solidFill>
                </w14:textFill>
              </w:rPr>
            </w:pPr>
          </w:p>
        </w:tc>
        <w:tc>
          <w:tcPr>
            <w:tcW w:w="1380" w:type="dxa"/>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tcPr>
          <w:p>
            <w:pPr>
              <w:spacing w:line="460" w:lineRule="exact"/>
              <w:rPr>
                <w:rFonts w:ascii="宋体" w:hAnsi="宋体" w:cs="宋体"/>
                <w:bCs/>
                <w:color w:val="000000" w:themeColor="text1"/>
                <w14:textFill>
                  <w14:solidFill>
                    <w14:schemeClr w14:val="tx1"/>
                  </w14:solidFill>
                </w14:textFill>
              </w:rPr>
            </w:pPr>
          </w:p>
        </w:tc>
        <w:tc>
          <w:tcPr>
            <w:tcW w:w="1518" w:type="dxa"/>
          </w:tcPr>
          <w:p>
            <w:pPr>
              <w:spacing w:line="460" w:lineRule="exact"/>
              <w:rPr>
                <w:rFonts w:ascii="宋体" w:hAnsi="宋体" w:cs="宋体"/>
                <w:bCs/>
                <w:color w:val="000000" w:themeColor="text1"/>
                <w14:textFill>
                  <w14:solidFill>
                    <w14:schemeClr w14:val="tx1"/>
                  </w14:solidFill>
                </w14:textFill>
              </w:rPr>
            </w:pPr>
          </w:p>
        </w:tc>
        <w:tc>
          <w:tcPr>
            <w:tcW w:w="1583" w:type="dxa"/>
          </w:tcPr>
          <w:p>
            <w:pPr>
              <w:spacing w:line="460" w:lineRule="exact"/>
              <w:rPr>
                <w:rFonts w:ascii="宋体" w:hAnsi="宋体" w:cs="宋体"/>
                <w:bCs/>
                <w:color w:val="000000" w:themeColor="text1"/>
                <w14:textFill>
                  <w14:solidFill>
                    <w14:schemeClr w14:val="tx1"/>
                  </w14:solidFill>
                </w14:textFill>
              </w:rPr>
            </w:pPr>
          </w:p>
        </w:tc>
        <w:tc>
          <w:tcPr>
            <w:tcW w:w="1607" w:type="dxa"/>
          </w:tcPr>
          <w:p>
            <w:pPr>
              <w:spacing w:line="460" w:lineRule="exact"/>
              <w:rPr>
                <w:rFonts w:ascii="宋体" w:hAnsi="宋体" w:cs="宋体"/>
                <w:bCs/>
                <w:color w:val="000000" w:themeColor="text1"/>
                <w14:textFill>
                  <w14:solidFill>
                    <w14:schemeClr w14:val="tx1"/>
                  </w14:solidFill>
                </w14:textFill>
              </w:rPr>
            </w:pPr>
          </w:p>
        </w:tc>
      </w:tr>
    </w:tbl>
    <w:p>
      <w:pPr>
        <w:spacing w:line="460" w:lineRule="exact"/>
        <w:ind w:firstLine="48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我们保证上述声明中的资料和数据是真实的、正确的，我们同意如贵方要求，可以出示相关证明文件。</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授权代表（签字）：</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授权代表的职务：</w:t>
      </w:r>
    </w:p>
    <w:p>
      <w:pPr>
        <w:spacing w:line="460" w:lineRule="exact"/>
        <w:rPr>
          <w:rFonts w:ascii="宋体" w:hAnsi="宋体" w:cs="宋体"/>
          <w:bCs/>
          <w:color w:val="000000" w:themeColor="text1"/>
          <w:u w:val="single"/>
          <w14:textFill>
            <w14:solidFill>
              <w14:schemeClr w14:val="tx1"/>
            </w14:solidFill>
          </w14:textFill>
        </w:rPr>
      </w:pPr>
      <w:r>
        <w:rPr>
          <w:rFonts w:hint="eastAsia" w:ascii="宋体" w:hAnsi="宋体" w:cs="宋体"/>
          <w:bCs/>
          <w:color w:val="000000" w:themeColor="text1"/>
          <w14:textFill>
            <w14:solidFill>
              <w14:schemeClr w14:val="tx1"/>
            </w14:solidFill>
          </w14:textFill>
        </w:rPr>
        <w:t>电话号和传真号：</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投标人（公章）：</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w:t>
      </w:r>
    </w:p>
    <w:p>
      <w:pPr>
        <w:spacing w:line="560" w:lineRule="exact"/>
        <w:rPr>
          <w:rFonts w:ascii="宋体" w:hAnsi="宋体" w:cs="宋体"/>
          <w:b/>
          <w:bCs/>
          <w:color w:val="000000" w:themeColor="text1"/>
          <w14:textFill>
            <w14:solidFill>
              <w14:schemeClr w14:val="tx1"/>
            </w14:solidFill>
          </w14:textFill>
        </w:rPr>
        <w:sectPr>
          <w:pgSz w:w="11906" w:h="16838"/>
          <w:pgMar w:top="1417" w:right="1587" w:bottom="1417" w:left="1366" w:header="851" w:footer="907" w:gutter="0"/>
          <w:pgNumType w:fmt="numberInDash"/>
          <w:cols w:space="0" w:num="1"/>
          <w:docGrid w:type="lines" w:linePitch="298" w:charSpace="0"/>
        </w:sectPr>
      </w:pPr>
      <w:r>
        <w:rPr>
          <w:rFonts w:hint="eastAsia" w:ascii="宋体" w:hAnsi="宋体" w:cs="宋体"/>
          <w:bCs/>
          <w:color w:val="000000" w:themeColor="text1"/>
          <w14:textFill>
            <w14:solidFill>
              <w14:schemeClr w14:val="tx1"/>
            </w14:solidFill>
          </w14:textFill>
        </w:rPr>
        <w:t>日期：年月日</w:t>
      </w:r>
    </w:p>
    <w:p>
      <w:pP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14:textFill>
            <w14:solidFill>
              <w14:schemeClr w14:val="tx1"/>
            </w14:solidFill>
          </w14:textFill>
        </w:rPr>
        <w:t>附1</w:t>
      </w:r>
    </w:p>
    <w:p>
      <w:pPr>
        <w:spacing w:line="56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中小企业声明函（货物）</w:t>
      </w:r>
    </w:p>
    <w:p>
      <w:pPr>
        <w:spacing w:line="560" w:lineRule="exact"/>
        <w:jc w:val="center"/>
        <w:rPr>
          <w:rFonts w:ascii="宋体" w:hAnsi="宋体" w:cs="宋体"/>
          <w:b/>
          <w:bCs/>
          <w:color w:val="000000" w:themeColor="text1"/>
          <w:sz w:val="32"/>
          <w:szCs w:val="32"/>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8"/>
          <w:szCs w:val="28"/>
          <w:u w:val="single"/>
          <w14:textFill>
            <w14:solidFill>
              <w14:schemeClr w14:val="tx1"/>
            </w14:solidFill>
          </w14:textFill>
        </w:rPr>
        <w:t>（单位名称）</w:t>
      </w:r>
      <w:r>
        <w:rPr>
          <w:rFonts w:hint="eastAsia" w:ascii="宋体" w:hAnsi="宋体" w:cs="宋体"/>
          <w:color w:val="000000" w:themeColor="text1"/>
          <w:sz w:val="28"/>
          <w:szCs w:val="28"/>
          <w14:textFill>
            <w14:solidFill>
              <w14:schemeClr w14:val="tx1"/>
            </w14:solidFill>
          </w14:textFill>
        </w:rPr>
        <w:t>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numPr>
          <w:ilvl w:val="0"/>
          <w:numId w:val="11"/>
        </w:num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本企业对上述声明内容的真实性负责。如有虚假，将依法承担相应责任。</w:t>
      </w:r>
    </w:p>
    <w:p>
      <w:pPr>
        <w:ind w:firstLine="4760" w:firstLineChars="17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企业名称（盖章）：</w:t>
      </w:r>
    </w:p>
    <w:p>
      <w:pPr>
        <w:ind w:firstLine="4760" w:firstLineChars="17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p>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从业人员、营业收入、资产总额填报上一年度数据，无上一年度数据的新成立企业可不填报。</w:t>
      </w:r>
    </w:p>
    <w:p>
      <w:pPr>
        <w:spacing w:line="560" w:lineRule="exact"/>
        <w:jc w:val="center"/>
        <w:rPr>
          <w:rFonts w:ascii="宋体" w:hAnsi="宋体" w:cs="宋体"/>
          <w:b/>
          <w:bCs/>
          <w:color w:val="000000" w:themeColor="text1"/>
          <w:sz w:val="24"/>
          <w14:textFill>
            <w14:solidFill>
              <w14:schemeClr w14:val="tx1"/>
            </w14:solidFill>
          </w14:textFill>
        </w:rPr>
      </w:pPr>
    </w:p>
    <w:p>
      <w:pPr>
        <w:pStyle w:val="23"/>
        <w:ind w:firstLine="0" w:firstLineChars="0"/>
        <w:rPr>
          <w:rFonts w:ascii="宋体" w:hAnsi="宋体" w:cs="宋体"/>
          <w:b/>
          <w:bCs/>
          <w:color w:val="000000" w:themeColor="text1"/>
          <w:sz w:val="24"/>
          <w:szCs w:val="24"/>
          <w14:textFill>
            <w14:solidFill>
              <w14:schemeClr w14:val="tx1"/>
            </w14:solidFill>
          </w14:textFill>
        </w:rPr>
      </w:pPr>
    </w:p>
    <w:p>
      <w:pPr>
        <w:spacing w:line="56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中小企业声明函（工程、服务）</w:t>
      </w:r>
    </w:p>
    <w:p>
      <w:pPr>
        <w:spacing w:line="560" w:lineRule="exact"/>
        <w:rPr>
          <w:rFonts w:ascii="宋体" w:hAnsi="宋体" w:cs="宋体"/>
          <w:b/>
          <w:bCs/>
          <w:color w:val="000000" w:themeColor="text1"/>
          <w:sz w:val="28"/>
          <w:szCs w:val="28"/>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numPr>
          <w:ilvl w:val="0"/>
          <w:numId w:val="11"/>
        </w:num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本企业对上述声明内容的真实性负责。如有虚假，将依法承担相应责任。</w:t>
      </w:r>
    </w:p>
    <w:p>
      <w:pPr>
        <w:ind w:firstLine="4760" w:firstLineChars="17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企业名称（盖章）：</w:t>
      </w:r>
    </w:p>
    <w:p>
      <w:pPr>
        <w:ind w:firstLine="4760" w:firstLineChars="17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p>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从业人员、营业收入、资产总额填报上一年度数据，无上一年度数据的新成立企业可不填报。</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附件：2残疾人福利性单位声明函</w:t>
      </w:r>
    </w:p>
    <w:p>
      <w:pPr>
        <w:spacing w:line="360" w:lineRule="auto"/>
        <w:rPr>
          <w:rFonts w:ascii="宋体" w:hAnsi="宋体" w:cs="宋体"/>
          <w:b/>
          <w:color w:val="000000" w:themeColor="text1"/>
          <w:sz w:val="24"/>
          <w14:textFill>
            <w14:solidFill>
              <w14:schemeClr w14:val="tx1"/>
            </w14:solidFill>
          </w14:textFill>
        </w:rPr>
      </w:pPr>
    </w:p>
    <w:p>
      <w:pPr>
        <w:spacing w:line="360" w:lineRule="auto"/>
        <w:ind w:firstLine="562" w:firstLineChars="200"/>
        <w:jc w:val="center"/>
        <w:rPr>
          <w:rFonts w:ascii="宋体" w:hAnsi="宋体" w:cs="宋体"/>
          <w:b/>
          <w:color w:val="000000" w:themeColor="text1"/>
          <w:sz w:val="28"/>
          <w:szCs w:val="22"/>
          <w14:textFill>
            <w14:solidFill>
              <w14:schemeClr w14:val="tx1"/>
            </w14:solidFill>
          </w14:textFill>
        </w:rPr>
      </w:pPr>
      <w:r>
        <w:rPr>
          <w:rFonts w:hint="eastAsia" w:ascii="宋体" w:hAnsi="宋体" w:cs="宋体"/>
          <w:b/>
          <w:color w:val="000000" w:themeColor="text1"/>
          <w:sz w:val="28"/>
          <w:szCs w:val="22"/>
          <w14:textFill>
            <w14:solidFill>
              <w14:schemeClr w14:val="tx1"/>
            </w14:solidFill>
          </w14:textFill>
        </w:rPr>
        <w:t>残疾人福利性单位声明函</w:t>
      </w:r>
    </w:p>
    <w:p>
      <w:pPr>
        <w:spacing w:line="360" w:lineRule="auto"/>
        <w:jc w:val="center"/>
        <w:rPr>
          <w:rFonts w:ascii="宋体" w:hAnsi="宋体" w:cs="宋体"/>
          <w:b/>
          <w:color w:val="000000" w:themeColor="text1"/>
          <w:sz w:val="24"/>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本单位对上述声明的真实性负责。如有虚假，将依法承担相应责任。</w:t>
      </w:r>
    </w:p>
    <w:p>
      <w:pPr>
        <w:ind w:firstLine="560" w:firstLineChars="200"/>
        <w:jc w:val="left"/>
        <w:rPr>
          <w:rFonts w:ascii="宋体" w:hAnsi="宋体" w:cs="宋体"/>
          <w:color w:val="000000" w:themeColor="text1"/>
          <w:sz w:val="28"/>
          <w:szCs w:val="28"/>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残疾人福利性单位名称（盖章）：</w:t>
      </w:r>
    </w:p>
    <w:p>
      <w:pPr>
        <w:ind w:firstLine="560" w:firstLineChars="200"/>
        <w:jc w:val="left"/>
        <w:rPr>
          <w:rFonts w:ascii="宋体" w:hAnsi="宋体" w:cs="宋体"/>
          <w:color w:val="000000" w:themeColor="text1"/>
          <w:sz w:val="28"/>
          <w:szCs w:val="28"/>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  期：</w:t>
      </w:r>
    </w:p>
    <w:p>
      <w:pPr>
        <w:pStyle w:val="139"/>
        <w:jc w:val="center"/>
        <w:rPr>
          <w:rStyle w:val="44"/>
          <w:rFonts w:ascii="宋体" w:hAnsi="宋体" w:cs="宋体"/>
          <w:color w:val="auto"/>
          <w:sz w:val="32"/>
          <w:szCs w:val="32"/>
        </w:rPr>
      </w:pPr>
    </w:p>
    <w:p>
      <w:pPr>
        <w:pStyle w:val="139"/>
        <w:jc w:val="center"/>
        <w:rPr>
          <w:rStyle w:val="44"/>
          <w:rFonts w:ascii="宋体" w:hAnsi="宋体" w:cs="宋体"/>
          <w:color w:val="auto"/>
          <w:sz w:val="32"/>
          <w:szCs w:val="32"/>
        </w:rPr>
      </w:pPr>
    </w:p>
    <w:p>
      <w:pPr>
        <w:pStyle w:val="139"/>
        <w:jc w:val="center"/>
        <w:rPr>
          <w:rStyle w:val="44"/>
          <w:rFonts w:ascii="宋体" w:hAnsi="宋体" w:cs="宋体"/>
          <w:color w:val="auto"/>
          <w:sz w:val="32"/>
          <w:szCs w:val="32"/>
        </w:rPr>
      </w:pPr>
    </w:p>
    <w:p>
      <w:pPr>
        <w:pStyle w:val="139"/>
        <w:jc w:val="center"/>
        <w:rPr>
          <w:rStyle w:val="44"/>
          <w:rFonts w:ascii="宋体" w:hAnsi="宋体" w:cs="宋体"/>
          <w:color w:val="auto"/>
          <w:sz w:val="32"/>
          <w:szCs w:val="32"/>
        </w:rPr>
      </w:pPr>
    </w:p>
    <w:p>
      <w:pPr>
        <w:pStyle w:val="139"/>
        <w:jc w:val="center"/>
        <w:rPr>
          <w:rStyle w:val="44"/>
          <w:rFonts w:ascii="宋体" w:hAnsi="宋体" w:cs="宋体"/>
          <w:color w:val="auto"/>
          <w:sz w:val="32"/>
          <w:szCs w:val="32"/>
        </w:rPr>
      </w:pPr>
    </w:p>
    <w:p>
      <w:pPr>
        <w:pStyle w:val="139"/>
        <w:jc w:val="center"/>
        <w:rPr>
          <w:rStyle w:val="44"/>
          <w:rFonts w:ascii="宋体" w:hAnsi="宋体" w:cs="宋体"/>
          <w:color w:val="auto"/>
          <w:sz w:val="32"/>
          <w:szCs w:val="32"/>
        </w:rPr>
      </w:pPr>
    </w:p>
    <w:p>
      <w:pPr>
        <w:pStyle w:val="139"/>
        <w:jc w:val="center"/>
        <w:rPr>
          <w:rStyle w:val="44"/>
          <w:rFonts w:ascii="宋体" w:hAnsi="宋体" w:cs="宋体"/>
          <w:color w:val="auto"/>
          <w:sz w:val="32"/>
          <w:szCs w:val="32"/>
        </w:rPr>
      </w:pPr>
    </w:p>
    <w:p>
      <w:pPr>
        <w:pStyle w:val="139"/>
        <w:jc w:val="center"/>
        <w:rPr>
          <w:rStyle w:val="44"/>
          <w:rFonts w:ascii="宋体" w:hAnsi="宋体" w:cs="宋体"/>
          <w:color w:val="auto"/>
          <w:sz w:val="32"/>
          <w:szCs w:val="32"/>
        </w:rPr>
      </w:pPr>
    </w:p>
    <w:p>
      <w:pPr>
        <w:pStyle w:val="139"/>
        <w:jc w:val="center"/>
        <w:outlineLvl w:val="0"/>
        <w:rPr>
          <w:rStyle w:val="44"/>
          <w:rFonts w:ascii="宋体" w:hAnsi="宋体" w:cs="宋体"/>
          <w:color w:val="auto"/>
          <w:sz w:val="32"/>
          <w:szCs w:val="32"/>
        </w:rPr>
      </w:pPr>
      <w:bookmarkStart w:id="24" w:name="_Toc29873"/>
      <w:r>
        <w:rPr>
          <w:rStyle w:val="44"/>
          <w:rFonts w:hint="eastAsia" w:ascii="宋体" w:hAnsi="宋体" w:cs="宋体"/>
          <w:color w:val="auto"/>
          <w:sz w:val="32"/>
          <w:szCs w:val="32"/>
        </w:rPr>
        <w:t>十二、其他资料(招标文件中规定要求提供的证明材料和投标人认为需要提供的其他材料)</w:t>
      </w:r>
      <w:bookmarkEnd w:id="24"/>
    </w:p>
    <w:sectPr>
      <w:headerReference r:id="rId9" w:type="default"/>
      <w:footerReference r:id="rId10"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44"/>
      </w:rPr>
    </w:pPr>
  </w:p>
  <w:p>
    <w:pPr>
      <w:pStyle w:val="19"/>
      <w:jc w:val="center"/>
      <w:rPr>
        <w:rStyle w:val="44"/>
      </w:rPr>
    </w:pPr>
  </w:p>
  <w:p>
    <w:pPr>
      <w:pStyle w:val="19"/>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44"/>
      </w:rPr>
    </w:pPr>
  </w:p>
  <w:p>
    <w:pPr>
      <w:pStyle w:val="19"/>
      <w:rPr>
        <w:rStyle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44"/>
      </w:rPr>
    </w:pPr>
  </w:p>
  <w:p>
    <w:pPr>
      <w:pStyle w:val="19"/>
      <w:rPr>
        <w:rStyle w:val="4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44"/>
      </w:rPr>
    </w:pPr>
  </w:p>
  <w:p>
    <w:pPr>
      <w:pStyle w:val="19"/>
      <w:rPr>
        <w:rStyle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pBdr>
        <w:bottom w:val="single" w:color="000000" w:sz="6" w:space="1"/>
      </w:pBdr>
      <w:tabs>
        <w:tab w:val="center" w:pos="4153"/>
        <w:tab w:val="right" w:pos="8306"/>
      </w:tabs>
      <w:snapToGrid w:val="0"/>
      <w:spacing w:before="0" w:after="0"/>
      <w:jc w:val="center"/>
      <w:rPr>
        <w:rStyle w:val="44"/>
        <w:rFonts w:eastAsia="隶书"/>
        <w:color w:val="FF0000"/>
        <w:spacing w:val="40"/>
        <w:sz w:val="21"/>
        <w:szCs w:val="21"/>
      </w:rPr>
    </w:pPr>
    <w:r>
      <w:rPr>
        <w:rStyle w:val="44"/>
        <w:rFonts w:hint="eastAsia" w:ascii="Times New Roman" w:hAnsi="Times New Roman" w:eastAsia="隶书"/>
        <w:color w:val="FF0000"/>
        <w:spacing w:val="40"/>
        <w:kern w:val="2"/>
        <w:sz w:val="21"/>
        <w:szCs w:val="21"/>
      </w:rPr>
      <w:t>2021</w:t>
    </w:r>
    <w:r>
      <w:rPr>
        <w:rStyle w:val="44"/>
        <w:rFonts w:hint="eastAsia" w:ascii="Times New Roman" w:hAnsi="Times New Roman" w:eastAsia="隶书"/>
        <w:color w:val="FF0000"/>
        <w:spacing w:val="40"/>
        <w:kern w:val="2"/>
        <w:sz w:val="21"/>
        <w:szCs w:val="21"/>
        <w:lang w:val="en-US" w:eastAsia="zh-CN"/>
      </w:rPr>
      <w:t>-041Q</w:t>
    </w:r>
    <w:r>
      <w:rPr>
        <w:rStyle w:val="44"/>
        <w:rFonts w:ascii="Times New Roman" w:hAnsi="隶书" w:eastAsia="隶书"/>
        <w:color w:val="000000"/>
        <w:spacing w:val="40"/>
        <w:kern w:val="2"/>
        <w:sz w:val="21"/>
        <w:szCs w:val="21"/>
      </w:rPr>
      <w:t>招标文件</w:t>
    </w:r>
  </w:p>
  <w:p>
    <w:pPr>
      <w:pStyle w:val="20"/>
      <w:pBdr>
        <w:bottom w:val="none" w:color="auto" w:sz="0" w:space="0"/>
      </w:pBdr>
      <w:rPr>
        <w:rStyle w:val="4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pBdr>
        <w:bottom w:val="single" w:color="000000" w:sz="6" w:space="1"/>
      </w:pBdr>
      <w:tabs>
        <w:tab w:val="center" w:pos="4153"/>
        <w:tab w:val="right" w:pos="8306"/>
      </w:tabs>
      <w:snapToGrid w:val="0"/>
      <w:spacing w:before="0" w:after="0"/>
      <w:jc w:val="center"/>
      <w:rPr>
        <w:rStyle w:val="44"/>
        <w:rFonts w:eastAsia="隶书"/>
        <w:color w:val="FF0000"/>
        <w:spacing w:val="40"/>
        <w:sz w:val="21"/>
        <w:szCs w:val="21"/>
      </w:rPr>
    </w:pPr>
    <w:r>
      <w:rPr>
        <w:rStyle w:val="44"/>
        <w:rFonts w:hint="eastAsia" w:ascii="Times New Roman" w:hAnsi="Times New Roman" w:eastAsia="隶书"/>
        <w:color w:val="FF0000"/>
        <w:spacing w:val="40"/>
        <w:kern w:val="2"/>
        <w:sz w:val="21"/>
        <w:szCs w:val="21"/>
      </w:rPr>
      <w:t>2021-019W</w:t>
    </w:r>
    <w:r>
      <w:rPr>
        <w:rStyle w:val="44"/>
        <w:rFonts w:ascii="Times New Roman" w:hAnsi="隶书" w:eastAsia="隶书"/>
        <w:color w:val="000000"/>
        <w:spacing w:val="40"/>
        <w:kern w:val="2"/>
        <w:sz w:val="21"/>
        <w:szCs w:val="21"/>
      </w:rPr>
      <w:t>招标文件</w:t>
    </w:r>
  </w:p>
  <w:p>
    <w:pPr>
      <w:pStyle w:val="20"/>
      <w:pBdr>
        <w:bottom w:val="none" w:color="auto" w:sz="0" w:space="0"/>
      </w:pBdr>
      <w:rPr>
        <w:rStyle w:val="4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pBdr>
        <w:bottom w:val="single" w:color="000000" w:sz="6" w:space="1"/>
      </w:pBdr>
      <w:tabs>
        <w:tab w:val="center" w:pos="4153"/>
        <w:tab w:val="right" w:pos="8306"/>
      </w:tabs>
      <w:snapToGrid w:val="0"/>
      <w:spacing w:before="0" w:after="0"/>
      <w:jc w:val="center"/>
      <w:rPr>
        <w:rStyle w:val="44"/>
        <w:rFonts w:eastAsia="隶书"/>
        <w:color w:val="FF0000"/>
        <w:spacing w:val="40"/>
        <w:sz w:val="21"/>
        <w:szCs w:val="21"/>
      </w:rPr>
    </w:pPr>
    <w:r>
      <w:rPr>
        <w:rStyle w:val="44"/>
        <w:rFonts w:hint="eastAsia" w:ascii="Times New Roman" w:hAnsi="Times New Roman" w:eastAsia="隶书"/>
        <w:color w:val="FF0000"/>
        <w:spacing w:val="40"/>
        <w:kern w:val="2"/>
        <w:sz w:val="21"/>
        <w:szCs w:val="21"/>
      </w:rPr>
      <w:t>2021-019W</w:t>
    </w:r>
    <w:r>
      <w:rPr>
        <w:rStyle w:val="44"/>
        <w:rFonts w:ascii="Times New Roman" w:hAnsi="隶书" w:eastAsia="隶书"/>
        <w:color w:val="000000"/>
        <w:spacing w:val="40"/>
        <w:kern w:val="2"/>
        <w:sz w:val="21"/>
        <w:szCs w:val="21"/>
      </w:rPr>
      <w:t>招标文件</w:t>
    </w:r>
  </w:p>
  <w:p>
    <w:pPr>
      <w:pStyle w:val="20"/>
      <w:pBdr>
        <w:bottom w:val="none" w:color="auto" w:sz="0" w:space="0"/>
      </w:pBdr>
      <w:rPr>
        <w:rStyle w:val="4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pBdr>
        <w:bottom w:val="single" w:color="000000" w:sz="6" w:space="1"/>
      </w:pBdr>
      <w:tabs>
        <w:tab w:val="center" w:pos="4153"/>
        <w:tab w:val="right" w:pos="8306"/>
      </w:tabs>
      <w:snapToGrid w:val="0"/>
      <w:spacing w:before="0" w:after="0"/>
      <w:jc w:val="center"/>
      <w:rPr>
        <w:rStyle w:val="44"/>
        <w:rFonts w:eastAsia="隶书"/>
        <w:color w:val="FF0000"/>
        <w:spacing w:val="40"/>
        <w:sz w:val="21"/>
        <w:szCs w:val="21"/>
      </w:rPr>
    </w:pPr>
    <w:r>
      <w:rPr>
        <w:rStyle w:val="44"/>
        <w:rFonts w:hint="eastAsia" w:ascii="Times New Roman" w:hAnsi="Times New Roman" w:eastAsia="隶书"/>
        <w:color w:val="FF0000"/>
        <w:spacing w:val="40"/>
        <w:kern w:val="2"/>
        <w:sz w:val="21"/>
        <w:szCs w:val="21"/>
      </w:rPr>
      <w:t>2021-</w:t>
    </w:r>
    <w:r>
      <w:rPr>
        <w:rStyle w:val="44"/>
        <w:rFonts w:ascii="Times New Roman" w:hAnsi="隶书" w:eastAsia="隶书"/>
        <w:color w:val="000000"/>
        <w:spacing w:val="40"/>
        <w:kern w:val="2"/>
        <w:sz w:val="21"/>
        <w:szCs w:val="21"/>
      </w:rPr>
      <w:t>招标文件</w:t>
    </w:r>
  </w:p>
  <w:p>
    <w:pPr>
      <w:pStyle w:val="20"/>
      <w:pBdr>
        <w:bottom w:val="none" w:color="auto" w:sz="0" w:space="0"/>
      </w:pBdr>
      <w:rPr>
        <w:rStyle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A61F0"/>
    <w:multiLevelType w:val="singleLevel"/>
    <w:tmpl w:val="DD8A61F0"/>
    <w:lvl w:ilvl="0" w:tentative="0">
      <w:start w:val="2"/>
      <w:numFmt w:val="chineseCounting"/>
      <w:suff w:val="nothing"/>
      <w:lvlText w:val="%1、"/>
      <w:lvlJc w:val="left"/>
      <w:rPr>
        <w:rFonts w:hint="eastAsia"/>
      </w:rPr>
    </w:lvl>
  </w:abstractNum>
  <w:abstractNum w:abstractNumId="1">
    <w:nsid w:val="F667244C"/>
    <w:multiLevelType w:val="singleLevel"/>
    <w:tmpl w:val="F667244C"/>
    <w:lvl w:ilvl="0" w:tentative="0">
      <w:start w:val="1"/>
      <w:numFmt w:val="decimal"/>
      <w:suff w:val="nothing"/>
      <w:lvlText w:val="%1、"/>
      <w:lvlJc w:val="left"/>
    </w:lvl>
  </w:abstractNum>
  <w:abstractNum w:abstractNumId="2">
    <w:nsid w:val="06784D56"/>
    <w:multiLevelType w:val="singleLevel"/>
    <w:tmpl w:val="06784D56"/>
    <w:lvl w:ilvl="0" w:tentative="0">
      <w:start w:val="1"/>
      <w:numFmt w:val="upperLetter"/>
      <w:pStyle w:val="82"/>
      <w:lvlText w:val="附录%1."/>
      <w:lvlJc w:val="left"/>
      <w:pPr>
        <w:tabs>
          <w:tab w:val="left" w:pos="907"/>
        </w:tabs>
        <w:ind w:left="907" w:hanging="907"/>
        <w:textAlignment w:val="baseline"/>
      </w:p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5">
    <w:nsid w:val="420C153B"/>
    <w:multiLevelType w:val="multilevel"/>
    <w:tmpl w:val="420C153B"/>
    <w:lvl w:ilvl="0" w:tentative="0">
      <w:start w:val="1"/>
      <w:numFmt w:val="decimal"/>
      <w:pStyle w:val="13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6">
    <w:nsid w:val="4B2F0322"/>
    <w:multiLevelType w:val="singleLevel"/>
    <w:tmpl w:val="4B2F0322"/>
    <w:lvl w:ilvl="0" w:tentative="0">
      <w:start w:val="2"/>
      <w:numFmt w:val="decimal"/>
      <w:lvlText w:val="%1."/>
      <w:lvlJc w:val="left"/>
      <w:pPr>
        <w:tabs>
          <w:tab w:val="left" w:pos="312"/>
        </w:tabs>
      </w:pPr>
    </w:lvl>
  </w:abstractNum>
  <w:abstractNum w:abstractNumId="7">
    <w:nsid w:val="5A2B9532"/>
    <w:multiLevelType w:val="singleLevel"/>
    <w:tmpl w:val="5A2B9532"/>
    <w:lvl w:ilvl="0" w:tentative="0">
      <w:start w:val="2"/>
      <w:numFmt w:val="decimal"/>
      <w:suff w:val="space"/>
      <w:lvlText w:val="%1."/>
      <w:lvlJc w:val="left"/>
    </w:lvl>
  </w:abstractNum>
  <w:abstractNum w:abstractNumId="8">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abstractNum w:abstractNumId="9">
    <w:nsid w:val="72713075"/>
    <w:multiLevelType w:val="singleLevel"/>
    <w:tmpl w:val="72713075"/>
    <w:lvl w:ilvl="0" w:tentative="0">
      <w:start w:val="5"/>
      <w:numFmt w:val="decimal"/>
      <w:suff w:val="nothing"/>
      <w:lvlText w:val="（%1）"/>
      <w:lvlJc w:val="left"/>
    </w:lvl>
  </w:abstractNum>
  <w:abstractNum w:abstractNumId="10">
    <w:nsid w:val="7427E834"/>
    <w:multiLevelType w:val="singleLevel"/>
    <w:tmpl w:val="7427E834"/>
    <w:lvl w:ilvl="0" w:tentative="0">
      <w:start w:val="1"/>
      <w:numFmt w:val="decimal"/>
      <w:suff w:val="nothing"/>
      <w:lvlText w:val="%1、"/>
      <w:lvlJc w:val="left"/>
    </w:lvl>
  </w:abstractNum>
  <w:num w:numId="1">
    <w:abstractNumId w:val="8"/>
  </w:num>
  <w:num w:numId="2">
    <w:abstractNumId w:val="2"/>
  </w:num>
  <w:num w:numId="3">
    <w:abstractNumId w:val="5"/>
  </w:num>
  <w:num w:numId="4">
    <w:abstractNumId w:val="9"/>
  </w:num>
  <w:num w:numId="5">
    <w:abstractNumId w:val="6"/>
  </w:num>
  <w:num w:numId="6">
    <w:abstractNumId w:val="1"/>
  </w:num>
  <w:num w:numId="7">
    <w:abstractNumId w:val="0"/>
  </w:num>
  <w:num w:numId="8">
    <w:abstractNumId w:val="10"/>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A9"/>
    <w:rsid w:val="00223C79"/>
    <w:rsid w:val="00426342"/>
    <w:rsid w:val="00502298"/>
    <w:rsid w:val="00860E15"/>
    <w:rsid w:val="00913371"/>
    <w:rsid w:val="00B64DAC"/>
    <w:rsid w:val="00B719DD"/>
    <w:rsid w:val="00B8533E"/>
    <w:rsid w:val="00C157C0"/>
    <w:rsid w:val="00C31CC3"/>
    <w:rsid w:val="00D95D2B"/>
    <w:rsid w:val="00DA296D"/>
    <w:rsid w:val="00F868A9"/>
    <w:rsid w:val="01230F71"/>
    <w:rsid w:val="01944F6F"/>
    <w:rsid w:val="03276387"/>
    <w:rsid w:val="035D6D24"/>
    <w:rsid w:val="03A861C1"/>
    <w:rsid w:val="05297336"/>
    <w:rsid w:val="08755359"/>
    <w:rsid w:val="089046F2"/>
    <w:rsid w:val="0B835BF0"/>
    <w:rsid w:val="0BA17C72"/>
    <w:rsid w:val="0E261538"/>
    <w:rsid w:val="0F31292D"/>
    <w:rsid w:val="1210779B"/>
    <w:rsid w:val="18CE4E0E"/>
    <w:rsid w:val="1C1D44C4"/>
    <w:rsid w:val="1C6A463D"/>
    <w:rsid w:val="1D1D5BD0"/>
    <w:rsid w:val="1F016927"/>
    <w:rsid w:val="1F57225A"/>
    <w:rsid w:val="20762DAC"/>
    <w:rsid w:val="210C2C1A"/>
    <w:rsid w:val="22F0160A"/>
    <w:rsid w:val="235F191E"/>
    <w:rsid w:val="23BE350D"/>
    <w:rsid w:val="257C4970"/>
    <w:rsid w:val="27A57585"/>
    <w:rsid w:val="27C52B64"/>
    <w:rsid w:val="284E1359"/>
    <w:rsid w:val="2B413507"/>
    <w:rsid w:val="2EFB2475"/>
    <w:rsid w:val="300158C0"/>
    <w:rsid w:val="31AC0751"/>
    <w:rsid w:val="33923CA7"/>
    <w:rsid w:val="34B9461D"/>
    <w:rsid w:val="36A75891"/>
    <w:rsid w:val="36DC697C"/>
    <w:rsid w:val="382E7757"/>
    <w:rsid w:val="38721B8D"/>
    <w:rsid w:val="38CB0D95"/>
    <w:rsid w:val="38CF3E86"/>
    <w:rsid w:val="3A336A47"/>
    <w:rsid w:val="3B496E20"/>
    <w:rsid w:val="3B5326F5"/>
    <w:rsid w:val="3C5024CE"/>
    <w:rsid w:val="42964D53"/>
    <w:rsid w:val="43636DBB"/>
    <w:rsid w:val="483B3B77"/>
    <w:rsid w:val="48764FC4"/>
    <w:rsid w:val="48980043"/>
    <w:rsid w:val="48D60CE9"/>
    <w:rsid w:val="4A6F0D23"/>
    <w:rsid w:val="4A884D31"/>
    <w:rsid w:val="4FEA69E5"/>
    <w:rsid w:val="532D671A"/>
    <w:rsid w:val="54210BEE"/>
    <w:rsid w:val="57605DDD"/>
    <w:rsid w:val="5AAD4B12"/>
    <w:rsid w:val="5CDE14F7"/>
    <w:rsid w:val="5D166834"/>
    <w:rsid w:val="5E4F08C3"/>
    <w:rsid w:val="613933E1"/>
    <w:rsid w:val="620E4996"/>
    <w:rsid w:val="62FA5BD7"/>
    <w:rsid w:val="63F1623E"/>
    <w:rsid w:val="67215FFD"/>
    <w:rsid w:val="687674CE"/>
    <w:rsid w:val="69864093"/>
    <w:rsid w:val="6B08451F"/>
    <w:rsid w:val="6C9A77C1"/>
    <w:rsid w:val="6E6D07E1"/>
    <w:rsid w:val="74106C1E"/>
    <w:rsid w:val="74A5063C"/>
    <w:rsid w:val="74D70127"/>
    <w:rsid w:val="752F59CE"/>
    <w:rsid w:val="756048F2"/>
    <w:rsid w:val="77932E81"/>
    <w:rsid w:val="784F7CC3"/>
    <w:rsid w:val="78C35866"/>
    <w:rsid w:val="792558B9"/>
    <w:rsid w:val="79BC6630"/>
    <w:rsid w:val="7D451979"/>
    <w:rsid w:val="7D7B5C6D"/>
    <w:rsid w:val="7D8916D5"/>
    <w:rsid w:val="7EBB4E70"/>
    <w:rsid w:val="7EE75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0"/>
    <w:pPr>
      <w:jc w:val="left"/>
    </w:pPr>
    <w:rPr>
      <w:sz w:val="24"/>
    </w:r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99"/>
    <w:pPr>
      <w:spacing w:after="120"/>
      <w:ind w:left="1440" w:leftChars="700" w:right="1440" w:rightChars="700"/>
    </w:p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Balloon Text"/>
    <w:basedOn w:val="1"/>
    <w:link w:val="151"/>
    <w:qFormat/>
    <w:uiPriority w:val="0"/>
    <w:rPr>
      <w:sz w:val="18"/>
      <w:szCs w:val="18"/>
    </w:rPr>
  </w:style>
  <w:style w:type="paragraph" w:styleId="19">
    <w:name w:val="footer"/>
    <w:basedOn w:val="1"/>
    <w:link w:val="73"/>
    <w:qFormat/>
    <w:uiPriority w:val="0"/>
    <w:pPr>
      <w:tabs>
        <w:tab w:val="center" w:pos="4153"/>
        <w:tab w:val="right" w:pos="8306"/>
      </w:tabs>
      <w:snapToGrid w:val="0"/>
      <w:jc w:val="left"/>
    </w:pPr>
    <w:rPr>
      <w:sz w:val="18"/>
      <w:szCs w:val="18"/>
    </w:rPr>
  </w:style>
  <w:style w:type="paragraph" w:styleId="20">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21">
    <w:name w:val="List"/>
    <w:basedOn w:val="1"/>
    <w:qFormat/>
    <w:uiPriority w:val="0"/>
    <w:pPr>
      <w:ind w:left="200" w:hanging="200" w:hangingChars="200"/>
    </w:pPr>
  </w:style>
  <w:style w:type="paragraph" w:styleId="22">
    <w:name w:val="Normal (Web)"/>
    <w:basedOn w:val="1"/>
    <w:qFormat/>
    <w:uiPriority w:val="99"/>
    <w:pPr>
      <w:spacing w:before="100" w:beforeAutospacing="1" w:after="100" w:afterAutospacing="1"/>
      <w:jc w:val="left"/>
    </w:pPr>
    <w:rPr>
      <w:rFonts w:ascii="宋体" w:hAnsi="宋体" w:cs="宋体"/>
      <w:kern w:val="0"/>
      <w:sz w:val="24"/>
    </w:rPr>
  </w:style>
  <w:style w:type="paragraph" w:styleId="23">
    <w:name w:val="Body Text First Indent"/>
    <w:basedOn w:val="1"/>
    <w:qFormat/>
    <w:uiPriority w:val="99"/>
    <w:pPr>
      <w:ind w:firstLine="420" w:firstLineChars="100"/>
    </w:pPr>
  </w:style>
  <w:style w:type="paragraph" w:styleId="24">
    <w:name w:val="Body Text First Indent 2"/>
    <w:basedOn w:val="13"/>
    <w:qFormat/>
    <w:uiPriority w:val="0"/>
    <w:pPr>
      <w:spacing w:line="360" w:lineRule="auto"/>
      <w:ind w:firstLine="420" w:firstLineChars="200"/>
    </w:pPr>
    <w:rPr>
      <w:rFonts w:ascii="宋体" w:hAnsi="宋体" w:eastAsia="宋体"/>
      <w:sz w:val="21"/>
      <w:szCs w:val="20"/>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rFonts w:cs="Times New Roman"/>
      <w:b/>
      <w:bCs/>
    </w:rPr>
  </w:style>
  <w:style w:type="character" w:styleId="29">
    <w:name w:val="page number"/>
    <w:basedOn w:val="27"/>
    <w:qFormat/>
    <w:uiPriority w:val="0"/>
  </w:style>
  <w:style w:type="character" w:styleId="30">
    <w:name w:val="FollowedHyperlink"/>
    <w:qFormat/>
    <w:uiPriority w:val="0"/>
    <w:rPr>
      <w:color w:val="800080"/>
    </w:rPr>
  </w:style>
  <w:style w:type="character" w:styleId="31">
    <w:name w:val="Emphasis"/>
    <w:qFormat/>
    <w:uiPriority w:val="0"/>
  </w:style>
  <w:style w:type="character" w:styleId="32">
    <w:name w:val="Hyperlink"/>
    <w:qFormat/>
    <w:uiPriority w:val="0"/>
    <w:rPr>
      <w:color w:val="0000FF"/>
    </w:rPr>
  </w:style>
  <w:style w:type="paragraph" w:customStyle="1" w:styleId="3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Heading1"/>
    <w:basedOn w:val="1"/>
    <w:next w:val="1"/>
    <w:link w:val="62"/>
    <w:qFormat/>
    <w:uiPriority w:val="0"/>
    <w:pPr>
      <w:keepNext/>
      <w:jc w:val="center"/>
    </w:pPr>
    <w:rPr>
      <w:rFonts w:ascii="楷体_GB2312" w:eastAsia="楷体_GB2312"/>
      <w:sz w:val="28"/>
      <w:szCs w:val="28"/>
    </w:rPr>
  </w:style>
  <w:style w:type="paragraph" w:customStyle="1" w:styleId="35">
    <w:name w:val="Heading2"/>
    <w:basedOn w:val="1"/>
    <w:next w:val="36"/>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qFormat/>
    <w:uiPriority w:val="0"/>
    <w:pPr>
      <w:ind w:firstLine="420"/>
    </w:pPr>
  </w:style>
  <w:style w:type="paragraph" w:customStyle="1" w:styleId="37">
    <w:name w:val="Heading3"/>
    <w:basedOn w:val="1"/>
    <w:next w:val="36"/>
    <w:link w:val="65"/>
    <w:qFormat/>
    <w:uiPriority w:val="0"/>
    <w:pPr>
      <w:keepNext/>
      <w:keepLines/>
      <w:spacing w:before="260" w:after="260" w:line="416" w:lineRule="auto"/>
    </w:pPr>
    <w:rPr>
      <w:rFonts w:cs="Times New Roman"/>
      <w:b/>
      <w:bCs/>
      <w:sz w:val="32"/>
      <w:szCs w:val="32"/>
    </w:rPr>
  </w:style>
  <w:style w:type="paragraph" w:customStyle="1" w:styleId="38">
    <w:name w:val="Heading4"/>
    <w:basedOn w:val="1"/>
    <w:next w:val="1"/>
    <w:link w:val="66"/>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qFormat/>
    <w:uiPriority w:val="0"/>
    <w:pPr>
      <w:keepNext/>
    </w:pPr>
    <w:rPr>
      <w:rFonts w:ascii="宋体"/>
      <w:color w:val="000000"/>
      <w:kern w:val="0"/>
      <w:sz w:val="28"/>
      <w:szCs w:val="28"/>
    </w:rPr>
  </w:style>
  <w:style w:type="paragraph" w:customStyle="1" w:styleId="4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semiHidden/>
    <w:qFormat/>
    <w:uiPriority w:val="0"/>
  </w:style>
  <w:style w:type="table" w:customStyle="1" w:styleId="45">
    <w:name w:val="TableNormal"/>
    <w:semiHidden/>
    <w:qFormat/>
    <w:uiPriority w:val="0"/>
    <w:tblPr>
      <w:tblCellMar>
        <w:top w:w="0" w:type="dxa"/>
        <w:left w:w="0" w:type="dxa"/>
        <w:bottom w:w="0" w:type="dxa"/>
        <w:right w:w="0" w:type="dxa"/>
      </w:tblCellMar>
    </w:tblPr>
  </w:style>
  <w:style w:type="character" w:customStyle="1" w:styleId="46">
    <w:name w:val="htmlSamp"/>
    <w:qFormat/>
    <w:uiPriority w:val="0"/>
    <w:rPr>
      <w:rFonts w:ascii="monospace" w:hAnsi="monospace" w:eastAsia="monospace"/>
    </w:rPr>
  </w:style>
  <w:style w:type="character" w:customStyle="1" w:styleId="47">
    <w:name w:val="PageNumber"/>
    <w:basedOn w:val="44"/>
    <w:qFormat/>
    <w:uiPriority w:val="0"/>
  </w:style>
  <w:style w:type="character" w:customStyle="1" w:styleId="48">
    <w:name w:val="HtmlVar"/>
    <w:qFormat/>
    <w:uiPriority w:val="0"/>
  </w:style>
  <w:style w:type="character" w:customStyle="1" w:styleId="49">
    <w:name w:val="HtmlKbd"/>
    <w:qFormat/>
    <w:uiPriority w:val="0"/>
    <w:rPr>
      <w:rFonts w:ascii="monospace" w:hAnsi="monospace" w:eastAsia="monospace"/>
      <w:sz w:val="20"/>
    </w:rPr>
  </w:style>
  <w:style w:type="character" w:customStyle="1" w:styleId="50">
    <w:name w:val="HtmlDfn"/>
    <w:qFormat/>
    <w:uiPriority w:val="0"/>
  </w:style>
  <w:style w:type="character" w:customStyle="1" w:styleId="51">
    <w:name w:val="HtmlCite"/>
    <w:qFormat/>
    <w:uiPriority w:val="0"/>
  </w:style>
  <w:style w:type="character" w:customStyle="1" w:styleId="52">
    <w:name w:val="HtmlAcronym"/>
    <w:basedOn w:val="44"/>
    <w:qFormat/>
    <w:uiPriority w:val="0"/>
  </w:style>
  <w:style w:type="character" w:customStyle="1" w:styleId="53">
    <w:name w:val="HtmlTt"/>
    <w:qFormat/>
    <w:uiPriority w:val="0"/>
    <w:rPr>
      <w:rFonts w:ascii="monospace" w:hAnsi="monospace" w:eastAsia="monospace"/>
      <w:sz w:val="20"/>
    </w:rPr>
  </w:style>
  <w:style w:type="character" w:customStyle="1" w:styleId="54">
    <w:name w:val="AnnotationReference"/>
    <w:semiHidden/>
    <w:qFormat/>
    <w:uiPriority w:val="0"/>
    <w:rPr>
      <w:sz w:val="21"/>
      <w:szCs w:val="21"/>
    </w:rPr>
  </w:style>
  <w:style w:type="character" w:customStyle="1" w:styleId="55">
    <w:name w:val="HtmlCode"/>
    <w:qFormat/>
    <w:uiPriority w:val="0"/>
    <w:rPr>
      <w:rFonts w:ascii="monospace" w:hAnsi="monospace" w:eastAsia="monospace"/>
      <w:sz w:val="20"/>
    </w:rPr>
  </w:style>
  <w:style w:type="character" w:customStyle="1" w:styleId="56">
    <w:name w:val="UserStyle_0"/>
    <w:link w:val="57"/>
    <w:qFormat/>
    <w:locked/>
    <w:uiPriority w:val="0"/>
    <w:rPr>
      <w:rFonts w:ascii="Calibri" w:hAnsi="Calibri"/>
      <w:sz w:val="24"/>
      <w:szCs w:val="24"/>
      <w:lang w:eastAsia="en-US" w:bidi="en-US"/>
    </w:rPr>
  </w:style>
  <w:style w:type="paragraph" w:customStyle="1" w:styleId="57">
    <w:name w:val="UserStyle_1"/>
    <w:basedOn w:val="1"/>
    <w:link w:val="56"/>
    <w:qFormat/>
    <w:uiPriority w:val="0"/>
    <w:pPr>
      <w:ind w:left="720"/>
      <w:contextualSpacing/>
      <w:jc w:val="left"/>
    </w:pPr>
    <w:rPr>
      <w:kern w:val="0"/>
      <w:sz w:val="24"/>
      <w:szCs w:val="24"/>
      <w:lang w:eastAsia="en-US" w:bidi="en-US"/>
    </w:rPr>
  </w:style>
  <w:style w:type="character" w:customStyle="1" w:styleId="58">
    <w:name w:val="UserStyle_2"/>
    <w:basedOn w:val="44"/>
    <w:qFormat/>
    <w:uiPriority w:val="0"/>
  </w:style>
  <w:style w:type="character" w:customStyle="1" w:styleId="59">
    <w:name w:val="UserStyle_3"/>
    <w:basedOn w:val="44"/>
    <w:qFormat/>
    <w:uiPriority w:val="0"/>
  </w:style>
  <w:style w:type="character" w:customStyle="1" w:styleId="60">
    <w:name w:val="UserStyle_4"/>
    <w:link w:val="61"/>
    <w:qFormat/>
    <w:uiPriority w:val="0"/>
    <w:rPr>
      <w:rFonts w:eastAsia="宋体"/>
      <w:kern w:val="2"/>
      <w:sz w:val="21"/>
      <w:szCs w:val="21"/>
      <w:lang w:val="en-US" w:eastAsia="zh-CN" w:bidi="ar-SA"/>
    </w:rPr>
  </w:style>
  <w:style w:type="paragraph" w:customStyle="1" w:styleId="61">
    <w:name w:val="NavPane"/>
    <w:basedOn w:val="1"/>
    <w:link w:val="60"/>
    <w:semiHidden/>
    <w:qFormat/>
    <w:uiPriority w:val="0"/>
    <w:pPr>
      <w:shd w:val="clear" w:color="auto" w:fill="000080"/>
    </w:pPr>
  </w:style>
  <w:style w:type="character" w:customStyle="1" w:styleId="62">
    <w:name w:val="UserStyle_5"/>
    <w:link w:val="34"/>
    <w:qFormat/>
    <w:uiPriority w:val="0"/>
    <w:rPr>
      <w:rFonts w:ascii="楷体_GB2312" w:eastAsia="楷体_GB2312"/>
      <w:kern w:val="2"/>
      <w:sz w:val="28"/>
      <w:szCs w:val="28"/>
    </w:rPr>
  </w:style>
  <w:style w:type="character" w:customStyle="1" w:styleId="63">
    <w:name w:val="UserStyle_6"/>
    <w:qFormat/>
    <w:uiPriority w:val="0"/>
    <w:rPr>
      <w:color w:val="999999"/>
    </w:rPr>
  </w:style>
  <w:style w:type="character" w:customStyle="1" w:styleId="64">
    <w:name w:val="UserStyle_7"/>
    <w:link w:val="36"/>
    <w:qFormat/>
    <w:uiPriority w:val="0"/>
    <w:rPr>
      <w:kern w:val="2"/>
      <w:sz w:val="21"/>
      <w:szCs w:val="21"/>
    </w:rPr>
  </w:style>
  <w:style w:type="character" w:customStyle="1" w:styleId="65">
    <w:name w:val="UserStyle_8"/>
    <w:link w:val="37"/>
    <w:qFormat/>
    <w:uiPriority w:val="0"/>
    <w:rPr>
      <w:rFonts w:eastAsia="宋体" w:cs="Times New Roman"/>
      <w:b/>
      <w:bCs/>
      <w:kern w:val="2"/>
      <w:sz w:val="32"/>
      <w:szCs w:val="32"/>
      <w:lang w:val="en-US" w:eastAsia="zh-CN" w:bidi="ar-SA"/>
    </w:rPr>
  </w:style>
  <w:style w:type="character" w:customStyle="1" w:styleId="66">
    <w:name w:val="UserStyle_9"/>
    <w:link w:val="38"/>
    <w:qFormat/>
    <w:uiPriority w:val="0"/>
    <w:rPr>
      <w:rFonts w:ascii="Cambria" w:hAnsi="Cambria" w:eastAsia="宋体"/>
      <w:b/>
      <w:kern w:val="2"/>
      <w:sz w:val="28"/>
      <w:szCs w:val="28"/>
    </w:rPr>
  </w:style>
  <w:style w:type="character" w:customStyle="1" w:styleId="67">
    <w:name w:val="UserStyle_10"/>
    <w:link w:val="68"/>
    <w:semiHidden/>
    <w:qFormat/>
    <w:uiPriority w:val="0"/>
    <w:rPr>
      <w:kern w:val="2"/>
      <w:sz w:val="21"/>
      <w:szCs w:val="21"/>
    </w:rPr>
  </w:style>
  <w:style w:type="paragraph" w:customStyle="1" w:styleId="68">
    <w:name w:val="AnnotationText"/>
    <w:basedOn w:val="1"/>
    <w:link w:val="67"/>
    <w:semiHidden/>
    <w:qFormat/>
    <w:uiPriority w:val="0"/>
    <w:pPr>
      <w:jc w:val="left"/>
    </w:pPr>
  </w:style>
  <w:style w:type="character" w:customStyle="1" w:styleId="69">
    <w:name w:val="UserStyle_11"/>
    <w:link w:val="70"/>
    <w:qFormat/>
    <w:uiPriority w:val="0"/>
    <w:rPr>
      <w:rFonts w:ascii="宋体" w:hAnsi="Courier New"/>
      <w:kern w:val="2"/>
      <w:sz w:val="21"/>
      <w:szCs w:val="21"/>
    </w:rPr>
  </w:style>
  <w:style w:type="paragraph" w:customStyle="1" w:styleId="70">
    <w:name w:val="PlainText"/>
    <w:basedOn w:val="1"/>
    <w:link w:val="69"/>
    <w:qFormat/>
    <w:uiPriority w:val="0"/>
    <w:rPr>
      <w:rFonts w:ascii="宋体" w:hAnsi="Courier New"/>
    </w:rPr>
  </w:style>
  <w:style w:type="character" w:customStyle="1" w:styleId="71">
    <w:name w:val="UserStyle_12"/>
    <w:link w:val="72"/>
    <w:semiHidden/>
    <w:qFormat/>
    <w:uiPriority w:val="0"/>
    <w:rPr>
      <w:kern w:val="2"/>
      <w:sz w:val="18"/>
      <w:szCs w:val="18"/>
    </w:rPr>
  </w:style>
  <w:style w:type="paragraph" w:customStyle="1" w:styleId="72">
    <w:name w:val="Acetate"/>
    <w:basedOn w:val="1"/>
    <w:link w:val="71"/>
    <w:semiHidden/>
    <w:qFormat/>
    <w:uiPriority w:val="0"/>
    <w:rPr>
      <w:sz w:val="18"/>
      <w:szCs w:val="18"/>
    </w:rPr>
  </w:style>
  <w:style w:type="character" w:customStyle="1" w:styleId="73">
    <w:name w:val="页脚 Char"/>
    <w:link w:val="19"/>
    <w:qFormat/>
    <w:uiPriority w:val="0"/>
    <w:rPr>
      <w:kern w:val="2"/>
      <w:sz w:val="18"/>
      <w:szCs w:val="18"/>
    </w:rPr>
  </w:style>
  <w:style w:type="character" w:customStyle="1" w:styleId="74">
    <w:name w:val="页眉 Char"/>
    <w:link w:val="20"/>
    <w:qFormat/>
    <w:uiPriority w:val="0"/>
    <w:rPr>
      <w:kern w:val="2"/>
      <w:sz w:val="18"/>
      <w:szCs w:val="18"/>
    </w:rPr>
  </w:style>
  <w:style w:type="character" w:customStyle="1" w:styleId="75">
    <w:name w:val="UserStyle_15"/>
    <w:qFormat/>
    <w:uiPriority w:val="0"/>
    <w:rPr>
      <w:rFonts w:ascii="宋体" w:hAnsi="宋体" w:eastAsia="宋体"/>
      <w:sz w:val="28"/>
      <w:szCs w:val="28"/>
      <w:lang w:val="en-US" w:eastAsia="zh-CN" w:bidi="ar-SA"/>
    </w:rPr>
  </w:style>
  <w:style w:type="character" w:customStyle="1" w:styleId="76">
    <w:name w:val="UserStyle_16"/>
    <w:basedOn w:val="44"/>
    <w:qFormat/>
    <w:uiPriority w:val="0"/>
    <w:rPr>
      <w:rFonts w:ascii="宋体" w:hAnsi="宋体" w:eastAsia="宋体"/>
      <w:color w:val="000000"/>
      <w:sz w:val="22"/>
      <w:szCs w:val="22"/>
    </w:rPr>
  </w:style>
  <w:style w:type="character" w:customStyle="1" w:styleId="77">
    <w:name w:val="UserStyle_17"/>
    <w:qFormat/>
    <w:uiPriority w:val="0"/>
    <w:rPr>
      <w:shd w:val="clear" w:color="auto" w:fill="EEEEEE"/>
    </w:rPr>
  </w:style>
  <w:style w:type="character" w:customStyle="1" w:styleId="78">
    <w:name w:val="UserStyle_18"/>
    <w:link w:val="79"/>
    <w:qFormat/>
    <w:uiPriority w:val="0"/>
    <w:rPr>
      <w:rFonts w:ascii="Tahoma" w:hAnsi="Tahoma" w:eastAsia="宋体"/>
      <w:kern w:val="2"/>
      <w:sz w:val="24"/>
      <w:szCs w:val="24"/>
      <w:lang w:val="en-US" w:eastAsia="zh-CN" w:bidi="ar-SA"/>
    </w:rPr>
  </w:style>
  <w:style w:type="paragraph" w:customStyle="1" w:styleId="79">
    <w:name w:val="UserStyle_19"/>
    <w:basedOn w:val="61"/>
    <w:link w:val="78"/>
    <w:qFormat/>
    <w:uiPriority w:val="0"/>
    <w:pPr>
      <w:snapToGrid w:val="0"/>
      <w:spacing w:line="360" w:lineRule="auto"/>
    </w:pPr>
    <w:rPr>
      <w:rFonts w:ascii="Tahoma" w:hAnsi="Tahoma"/>
      <w:sz w:val="24"/>
      <w:szCs w:val="24"/>
    </w:rPr>
  </w:style>
  <w:style w:type="character" w:customStyle="1" w:styleId="80">
    <w:name w:val="UserStyle_20"/>
    <w:qFormat/>
    <w:uiPriority w:val="0"/>
    <w:rPr>
      <w:rFonts w:eastAsia="宋体"/>
      <w:b/>
      <w:spacing w:val="-2"/>
      <w:sz w:val="24"/>
      <w:lang w:val="en-US" w:eastAsia="zh-CN" w:bidi="ar-SA"/>
    </w:rPr>
  </w:style>
  <w:style w:type="character" w:customStyle="1" w:styleId="81">
    <w:name w:val="UserStyle_21"/>
    <w:link w:val="82"/>
    <w:qFormat/>
    <w:uiPriority w:val="0"/>
    <w:rPr>
      <w:b/>
      <w:kern w:val="2"/>
      <w:sz w:val="30"/>
      <w:szCs w:val="28"/>
      <w:lang w:val="en-US" w:eastAsia="zh-CN" w:bidi="ar-SA"/>
    </w:rPr>
  </w:style>
  <w:style w:type="paragraph" w:customStyle="1" w:styleId="82">
    <w:name w:val="UserStyle_22"/>
    <w:next w:val="1"/>
    <w:link w:val="81"/>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3">
    <w:name w:val="UserStyle_23"/>
    <w:basedOn w:val="44"/>
    <w:qFormat/>
    <w:uiPriority w:val="0"/>
  </w:style>
  <w:style w:type="paragraph" w:customStyle="1" w:styleId="84">
    <w:name w:val="TOC4"/>
    <w:basedOn w:val="1"/>
    <w:next w:val="1"/>
    <w:semiHidden/>
    <w:qFormat/>
    <w:uiPriority w:val="0"/>
    <w:pPr>
      <w:ind w:left="630"/>
      <w:jc w:val="left"/>
    </w:pPr>
  </w:style>
  <w:style w:type="paragraph" w:customStyle="1" w:styleId="85">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qFormat/>
    <w:uiPriority w:val="0"/>
    <w:pPr>
      <w:ind w:left="630" w:firstLine="645"/>
    </w:pPr>
    <w:rPr>
      <w:rFonts w:ascii="Arial" w:hAnsi="Arial" w:eastAsia="仿宋_GB2312"/>
      <w:sz w:val="32"/>
      <w:szCs w:val="32"/>
    </w:rPr>
  </w:style>
  <w:style w:type="paragraph" w:customStyle="1" w:styleId="8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qFormat/>
    <w:uiPriority w:val="0"/>
    <w:pPr>
      <w:snapToGrid w:val="0"/>
    </w:pPr>
    <w:rPr>
      <w:rFonts w:ascii="Arial" w:hAnsi="Arial"/>
    </w:rPr>
  </w:style>
  <w:style w:type="paragraph" w:customStyle="1" w:styleId="89">
    <w:name w:val="BodyTextIndent"/>
    <w:basedOn w:val="1"/>
    <w:next w:val="88"/>
    <w:qFormat/>
    <w:uiPriority w:val="0"/>
    <w:pPr>
      <w:ind w:firstLine="645"/>
    </w:pPr>
    <w:rPr>
      <w:rFonts w:ascii="楷体_GB2312" w:eastAsia="楷体_GB2312"/>
      <w:sz w:val="32"/>
      <w:szCs w:val="32"/>
    </w:rPr>
  </w:style>
  <w:style w:type="paragraph" w:customStyle="1" w:styleId="90">
    <w:name w:val="BodyText3"/>
    <w:basedOn w:val="1"/>
    <w:qFormat/>
    <w:uiPriority w:val="0"/>
    <w:rPr>
      <w:rFonts w:ascii="仿宋_GB2312" w:hAnsi="Arial" w:eastAsia="仿宋_GB2312"/>
      <w:sz w:val="32"/>
      <w:szCs w:val="32"/>
    </w:rPr>
  </w:style>
  <w:style w:type="paragraph" w:customStyle="1" w:styleId="9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2">
    <w:name w:val="List2"/>
    <w:basedOn w:val="1"/>
    <w:qFormat/>
    <w:uiPriority w:val="0"/>
    <w:pPr>
      <w:ind w:left="100" w:leftChars="200" w:hanging="200" w:hangingChars="200"/>
    </w:pPr>
  </w:style>
  <w:style w:type="paragraph" w:customStyle="1" w:styleId="93">
    <w:name w:val="List3"/>
    <w:basedOn w:val="1"/>
    <w:qFormat/>
    <w:uiPriority w:val="0"/>
    <w:pPr>
      <w:ind w:left="100" w:leftChars="400" w:hanging="200" w:hangingChars="200"/>
    </w:pPr>
  </w:style>
  <w:style w:type="paragraph" w:customStyle="1" w:styleId="94">
    <w:name w:val="Index1"/>
    <w:basedOn w:val="1"/>
    <w:next w:val="1"/>
    <w:semiHidden/>
    <w:qFormat/>
    <w:uiPriority w:val="0"/>
    <w:pPr>
      <w:spacing w:line="240" w:lineRule="atLeast"/>
    </w:pPr>
    <w:rPr>
      <w:rFonts w:cs="Times New Roman"/>
      <w:b/>
      <w:bCs/>
    </w:rPr>
  </w:style>
  <w:style w:type="paragraph" w:customStyle="1" w:styleId="95">
    <w:name w:val="BodyText2"/>
    <w:basedOn w:val="1"/>
    <w:qFormat/>
    <w:uiPriority w:val="0"/>
    <w:pPr>
      <w:jc w:val="center"/>
    </w:pPr>
    <w:rPr>
      <w:rFonts w:ascii="楷体_GB2312" w:eastAsia="楷体_GB2312"/>
      <w:sz w:val="28"/>
      <w:szCs w:val="28"/>
    </w:rPr>
  </w:style>
  <w:style w:type="paragraph" w:customStyle="1" w:styleId="96">
    <w:name w:val="ToCaption"/>
    <w:basedOn w:val="1"/>
    <w:next w:val="1"/>
    <w:semiHidden/>
    <w:qFormat/>
    <w:uiPriority w:val="0"/>
    <w:pPr>
      <w:ind w:left="840" w:hanging="420"/>
    </w:pPr>
  </w:style>
  <w:style w:type="paragraph" w:customStyle="1" w:styleId="97">
    <w:name w:val="BodyTextIndent3"/>
    <w:basedOn w:val="1"/>
    <w:qFormat/>
    <w:uiPriority w:val="0"/>
    <w:pPr>
      <w:ind w:left="645" w:firstLine="645"/>
    </w:pPr>
    <w:rPr>
      <w:rFonts w:ascii="Arial" w:hAnsi="Arial" w:eastAsia="仿宋_GB2312"/>
      <w:color w:val="FFFF00"/>
      <w:sz w:val="32"/>
      <w:szCs w:val="32"/>
    </w:rPr>
  </w:style>
  <w:style w:type="paragraph" w:customStyle="1" w:styleId="98">
    <w:name w:val="TOC6"/>
    <w:basedOn w:val="1"/>
    <w:next w:val="1"/>
    <w:semiHidden/>
    <w:qFormat/>
    <w:uiPriority w:val="0"/>
    <w:pPr>
      <w:ind w:left="1050"/>
      <w:jc w:val="left"/>
    </w:pPr>
  </w:style>
  <w:style w:type="paragraph" w:customStyle="1" w:styleId="99">
    <w:name w:val="BodyText1I2"/>
    <w:basedOn w:val="89"/>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semiHidden/>
    <w:qFormat/>
    <w:uiPriority w:val="0"/>
    <w:rPr>
      <w:rFonts w:cs="Times New Roman"/>
      <w:b/>
      <w:bCs/>
    </w:rPr>
  </w:style>
  <w:style w:type="paragraph" w:customStyle="1" w:styleId="101">
    <w:name w:val="TOC2"/>
    <w:basedOn w:val="1"/>
    <w:next w:val="1"/>
    <w:semiHidden/>
    <w:qFormat/>
    <w:uiPriority w:val="0"/>
    <w:pPr>
      <w:ind w:left="210"/>
      <w:jc w:val="left"/>
    </w:pPr>
    <w:rPr>
      <w:smallCaps/>
      <w:szCs w:val="24"/>
    </w:rPr>
  </w:style>
  <w:style w:type="paragraph" w:customStyle="1" w:styleId="102">
    <w:name w:val="TOC8"/>
    <w:basedOn w:val="1"/>
    <w:next w:val="1"/>
    <w:semiHidden/>
    <w:qFormat/>
    <w:uiPriority w:val="0"/>
    <w:pPr>
      <w:ind w:left="1470"/>
      <w:jc w:val="left"/>
    </w:pPr>
  </w:style>
  <w:style w:type="paragraph" w:customStyle="1" w:styleId="103">
    <w:name w:val="TOC7"/>
    <w:basedOn w:val="1"/>
    <w:next w:val="1"/>
    <w:semiHidden/>
    <w:qFormat/>
    <w:uiPriority w:val="0"/>
    <w:pPr>
      <w:ind w:left="1260"/>
      <w:jc w:val="left"/>
    </w:pPr>
  </w:style>
  <w:style w:type="paragraph" w:customStyle="1" w:styleId="104">
    <w:name w:val="BodyText"/>
    <w:basedOn w:val="1"/>
    <w:qFormat/>
    <w:uiPriority w:val="0"/>
    <w:rPr>
      <w:rFonts w:ascii="楷体_GB2312" w:hAnsi="Arial" w:eastAsia="楷体_GB2312"/>
      <w:sz w:val="28"/>
      <w:szCs w:val="28"/>
    </w:rPr>
  </w:style>
  <w:style w:type="paragraph" w:customStyle="1" w:styleId="105">
    <w:name w:val="TOC9"/>
    <w:basedOn w:val="1"/>
    <w:next w:val="1"/>
    <w:semiHidden/>
    <w:qFormat/>
    <w:uiPriority w:val="0"/>
    <w:pPr>
      <w:ind w:left="1680"/>
      <w:jc w:val="left"/>
    </w:pPr>
  </w:style>
  <w:style w:type="paragraph" w:customStyle="1" w:styleId="106">
    <w:name w:val="TOC3"/>
    <w:basedOn w:val="1"/>
    <w:next w:val="1"/>
    <w:semiHidden/>
    <w:qFormat/>
    <w:uiPriority w:val="0"/>
    <w:pPr>
      <w:ind w:left="420"/>
      <w:jc w:val="left"/>
    </w:pPr>
    <w:rPr>
      <w:i/>
      <w:iCs/>
      <w:szCs w:val="24"/>
    </w:rPr>
  </w:style>
  <w:style w:type="paragraph" w:customStyle="1" w:styleId="107">
    <w:name w:val="TOC5"/>
    <w:basedOn w:val="1"/>
    <w:next w:val="1"/>
    <w:semiHidden/>
    <w:qFormat/>
    <w:uiPriority w:val="0"/>
    <w:pPr>
      <w:ind w:left="840"/>
      <w:jc w:val="left"/>
    </w:pPr>
  </w:style>
  <w:style w:type="paragraph" w:customStyle="1" w:styleId="108">
    <w:name w:val="BlockQuote"/>
    <w:basedOn w:val="1"/>
    <w:qFormat/>
    <w:uiPriority w:val="0"/>
    <w:pPr>
      <w:spacing w:after="120"/>
      <w:ind w:left="1440" w:leftChars="700" w:right="1440" w:rightChars="700"/>
    </w:pPr>
  </w:style>
  <w:style w:type="paragraph" w:customStyle="1" w:styleId="109">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0">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1">
    <w:name w:val="179"/>
    <w:basedOn w:val="1"/>
    <w:qFormat/>
    <w:uiPriority w:val="0"/>
    <w:pPr>
      <w:ind w:left="720"/>
      <w:contextualSpacing/>
      <w:jc w:val="left"/>
    </w:pPr>
    <w:rPr>
      <w:rFonts w:ascii="Calibri" w:hAnsi="Calibri"/>
      <w:kern w:val="0"/>
      <w:sz w:val="24"/>
      <w:szCs w:val="24"/>
      <w:lang w:eastAsia="en-US" w:bidi="en-US"/>
    </w:rPr>
  </w:style>
  <w:style w:type="paragraph" w:customStyle="1" w:styleId="112">
    <w:name w:val="UserStyle_26"/>
    <w:basedOn w:val="1"/>
    <w:qFormat/>
    <w:uiPriority w:val="0"/>
    <w:pPr>
      <w:tabs>
        <w:tab w:val="left" w:pos="-720"/>
      </w:tabs>
    </w:pPr>
    <w:rPr>
      <w:spacing w:val="-3"/>
      <w:kern w:val="0"/>
      <w:sz w:val="24"/>
      <w:szCs w:val="20"/>
      <w:lang w:val="en-AU" w:eastAsia="en-US"/>
    </w:rPr>
  </w:style>
  <w:style w:type="paragraph" w:customStyle="1" w:styleId="113">
    <w:name w:val="UserStyle_27"/>
    <w:basedOn w:val="1"/>
    <w:next w:val="1"/>
    <w:qFormat/>
    <w:uiPriority w:val="0"/>
    <w:pPr>
      <w:jc w:val="center"/>
    </w:pPr>
    <w:rPr>
      <w:sz w:val="24"/>
    </w:rPr>
  </w:style>
  <w:style w:type="paragraph" w:customStyle="1" w:styleId="114">
    <w:name w:val="UserStyle_28"/>
    <w:basedOn w:val="1"/>
    <w:qFormat/>
    <w:uiPriority w:val="0"/>
    <w:pPr>
      <w:jc w:val="left"/>
    </w:pPr>
    <w:rPr>
      <w:kern w:val="0"/>
      <w:sz w:val="20"/>
      <w:szCs w:val="20"/>
      <w:lang w:val="de-DE" w:eastAsia="de-DE"/>
    </w:rPr>
  </w:style>
  <w:style w:type="paragraph" w:customStyle="1" w:styleId="115">
    <w:name w:val="UserStyle_29"/>
    <w:basedOn w:val="1"/>
    <w:qFormat/>
    <w:uiPriority w:val="0"/>
    <w:pPr>
      <w:tabs>
        <w:tab w:val="left" w:pos="360"/>
      </w:tabs>
      <w:ind w:firstLine="200" w:firstLineChars="200"/>
    </w:pPr>
    <w:rPr>
      <w:sz w:val="28"/>
      <w:szCs w:val="30"/>
    </w:rPr>
  </w:style>
  <w:style w:type="paragraph" w:customStyle="1" w:styleId="116">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7">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8">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9">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0">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1">
    <w:name w:val="UserStyle_35"/>
    <w:basedOn w:val="113"/>
    <w:qFormat/>
    <w:uiPriority w:val="0"/>
    <w:pPr>
      <w:jc w:val="left"/>
    </w:pPr>
  </w:style>
  <w:style w:type="paragraph" w:customStyle="1" w:styleId="122">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4">
    <w:name w:val="UserStyle_38"/>
    <w:basedOn w:val="1"/>
    <w:qFormat/>
    <w:uiPriority w:val="0"/>
    <w:pPr>
      <w:spacing w:before="120"/>
      <w:jc w:val="left"/>
    </w:pPr>
    <w:rPr>
      <w:rFonts w:cs="Times New Roman"/>
      <w:bCs/>
      <w:kern w:val="0"/>
      <w:sz w:val="20"/>
      <w:szCs w:val="20"/>
      <w:lang w:val="de-DE" w:eastAsia="de-DE"/>
    </w:rPr>
  </w:style>
  <w:style w:type="paragraph" w:customStyle="1" w:styleId="125">
    <w:name w:val="UserStyle_39"/>
    <w:basedOn w:val="61"/>
    <w:qFormat/>
    <w:uiPriority w:val="0"/>
    <w:pPr>
      <w:snapToGrid w:val="0"/>
      <w:spacing w:line="360" w:lineRule="auto"/>
    </w:pPr>
    <w:rPr>
      <w:rFonts w:ascii="Tahoma" w:hAnsi="Tahoma"/>
      <w:sz w:val="24"/>
      <w:szCs w:val="24"/>
    </w:rPr>
  </w:style>
  <w:style w:type="paragraph" w:customStyle="1" w:styleId="126">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7">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8">
    <w:name w:val="UserStyle_42"/>
    <w:basedOn w:val="1"/>
    <w:qFormat/>
    <w:uiPriority w:val="0"/>
    <w:pPr>
      <w:snapToGrid w:val="0"/>
      <w:jc w:val="left"/>
    </w:pPr>
    <w:rPr>
      <w:rFonts w:ascii="Arial Unicode MS" w:hAnsi="Arial Unicode MS"/>
      <w:szCs w:val="24"/>
    </w:rPr>
  </w:style>
  <w:style w:type="paragraph" w:customStyle="1" w:styleId="129">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0">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1">
    <w:name w:val="UserStyle_45"/>
    <w:basedOn w:val="61"/>
    <w:qFormat/>
    <w:uiPriority w:val="0"/>
    <w:rPr>
      <w:rFonts w:ascii="Tahoma" w:hAnsi="Tahoma"/>
      <w:sz w:val="24"/>
      <w:szCs w:val="24"/>
    </w:rPr>
  </w:style>
  <w:style w:type="paragraph" w:customStyle="1" w:styleId="132">
    <w:name w:val="UserStyle_46"/>
    <w:basedOn w:val="1"/>
    <w:qFormat/>
    <w:uiPriority w:val="0"/>
    <w:pPr>
      <w:spacing w:line="360" w:lineRule="auto"/>
    </w:pPr>
    <w:rPr>
      <w:kern w:val="0"/>
      <w:sz w:val="24"/>
      <w:szCs w:val="20"/>
    </w:rPr>
  </w:style>
  <w:style w:type="paragraph" w:customStyle="1" w:styleId="133">
    <w:name w:val="UserStyle_47"/>
    <w:basedOn w:val="1"/>
    <w:qFormat/>
    <w:uiPriority w:val="0"/>
    <w:pPr>
      <w:numPr>
        <w:ilvl w:val="0"/>
        <w:numId w:val="3"/>
      </w:numPr>
    </w:pPr>
    <w:rPr>
      <w:rFonts w:ascii="宋体" w:hAnsi="宋体"/>
      <w:kern w:val="0"/>
    </w:rPr>
  </w:style>
  <w:style w:type="paragraph" w:customStyle="1" w:styleId="134">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5">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6">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7">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8">
    <w:name w:val="UserStyle_52"/>
    <w:basedOn w:val="1"/>
    <w:next w:val="97"/>
    <w:qFormat/>
    <w:uiPriority w:val="0"/>
    <w:pPr>
      <w:spacing w:line="360" w:lineRule="auto"/>
      <w:ind w:firstLine="420"/>
    </w:pPr>
    <w:rPr>
      <w:color w:val="FF0000"/>
      <w:sz w:val="24"/>
      <w:szCs w:val="24"/>
    </w:rPr>
  </w:style>
  <w:style w:type="paragraph" w:customStyle="1" w:styleId="139">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0">
    <w:name w:val="UserStyle_54"/>
    <w:basedOn w:val="1"/>
    <w:next w:val="104"/>
    <w:qFormat/>
    <w:uiPriority w:val="0"/>
    <w:pPr>
      <w:spacing w:after="120"/>
    </w:pPr>
    <w:rPr>
      <w:rFonts w:ascii="宋体" w:hAnsi="Arial" w:cs="Times New Roman"/>
      <w:bCs/>
      <w:iCs/>
      <w:szCs w:val="24"/>
    </w:rPr>
  </w:style>
  <w:style w:type="paragraph" w:customStyle="1" w:styleId="141">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2">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3">
    <w:name w:val="TableGrid"/>
    <w:basedOn w:val="45"/>
    <w:qFormat/>
    <w:uiPriority w:val="0"/>
    <w:tblPr>
      <w:tblCellMar>
        <w:top w:w="0" w:type="dxa"/>
        <w:left w:w="0" w:type="dxa"/>
        <w:bottom w:w="0" w:type="dxa"/>
        <w:right w:w="0" w:type="dxa"/>
      </w:tblCellMar>
    </w:tblPr>
  </w:style>
  <w:style w:type="paragraph" w:styleId="144">
    <w:name w:val="List Paragraph"/>
    <w:basedOn w:val="1"/>
    <w:qFormat/>
    <w:uiPriority w:val="34"/>
    <w:pPr>
      <w:ind w:left="720"/>
      <w:contextualSpacing/>
      <w:jc w:val="left"/>
    </w:pPr>
    <w:rPr>
      <w:rFonts w:ascii="Calibri" w:hAnsi="Calibri"/>
      <w:kern w:val="0"/>
      <w:sz w:val="24"/>
      <w:lang w:eastAsia="en-US" w:bidi="en-US"/>
    </w:rPr>
  </w:style>
  <w:style w:type="paragraph" w:customStyle="1" w:styleId="145">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6">
    <w:name w:val="正文1"/>
    <w:basedOn w:val="1"/>
    <w:qFormat/>
    <w:uiPriority w:val="0"/>
    <w:pPr>
      <w:spacing w:line="440" w:lineRule="exact"/>
      <w:ind w:right="-167" w:rightChars="-167"/>
    </w:pPr>
    <w:rPr>
      <w:b/>
    </w:rPr>
  </w:style>
  <w:style w:type="paragraph" w:styleId="147">
    <w:name w:val="No Spacing"/>
    <w:qFormat/>
    <w:uiPriority w:val="1"/>
    <w:pPr>
      <w:widowControl w:val="0"/>
      <w:jc w:val="both"/>
    </w:pPr>
    <w:rPr>
      <w:rFonts w:ascii="Times New Roman" w:hAnsi="Times New Roman" w:eastAsiaTheme="minorEastAsia" w:cstheme="minorBidi"/>
      <w:kern w:val="2"/>
      <w:sz w:val="21"/>
      <w:szCs w:val="24"/>
      <w:lang w:val="en-US" w:eastAsia="zh-CN" w:bidi="ar-SA"/>
    </w:rPr>
  </w:style>
  <w:style w:type="paragraph" w:customStyle="1" w:styleId="148">
    <w:name w:val="列出段落1"/>
    <w:basedOn w:val="1"/>
    <w:qFormat/>
    <w:uiPriority w:val="0"/>
    <w:pPr>
      <w:ind w:firstLine="420" w:firstLineChars="200"/>
    </w:pPr>
    <w:rPr>
      <w:sz w:val="24"/>
      <w:szCs w:val="24"/>
    </w:rPr>
  </w:style>
  <w:style w:type="paragraph" w:customStyle="1" w:styleId="149">
    <w:name w:val="Table Paragraph"/>
    <w:basedOn w:val="1"/>
    <w:qFormat/>
    <w:uiPriority w:val="1"/>
    <w:rPr>
      <w:rFonts w:ascii="宋体" w:hAnsi="宋体" w:cs="宋体"/>
      <w:lang w:val="zh-CN" w:bidi="zh-CN"/>
    </w:rPr>
  </w:style>
  <w:style w:type="paragraph" w:customStyle="1" w:styleId="150">
    <w:name w:val="列出段落11"/>
    <w:basedOn w:val="1"/>
    <w:qFormat/>
    <w:uiPriority w:val="0"/>
    <w:pPr>
      <w:ind w:firstLine="420" w:firstLineChars="200"/>
    </w:pPr>
    <w:rPr>
      <w:sz w:val="24"/>
      <w:szCs w:val="24"/>
    </w:rPr>
  </w:style>
  <w:style w:type="character" w:customStyle="1" w:styleId="151">
    <w:name w:val="批注框文本 Char"/>
    <w:basedOn w:val="27"/>
    <w:link w:val="18"/>
    <w:qFormat/>
    <w:uiPriority w:val="0"/>
    <w:rPr>
      <w:rFonts w:cstheme="minorBidi"/>
      <w:kern w:val="2"/>
      <w:sz w:val="18"/>
      <w:szCs w:val="18"/>
    </w:rPr>
  </w:style>
  <w:style w:type="paragraph" w:customStyle="1" w:styleId="15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5283</Words>
  <Characters>30118</Characters>
  <Lines>250</Lines>
  <Paragraphs>70</Paragraphs>
  <TotalTime>11</TotalTime>
  <ScaleCrop>false</ScaleCrop>
  <LinksUpToDate>false</LinksUpToDate>
  <CharactersWithSpaces>35331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赵萌</cp:lastModifiedBy>
  <cp:lastPrinted>2021-08-02T06:31:00Z</cp:lastPrinted>
  <dcterms:modified xsi:type="dcterms:W3CDTF">2021-12-03T08:00:10Z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D31F03EEB3794A32B436804CC0F55735</vt:lpwstr>
  </property>
</Properties>
</file>