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b/>
          <w:color w:val="000000" w:themeColor="text1"/>
          <w:sz w:val="84"/>
        </w:rPr>
      </w:pPr>
      <w:r>
        <w:rPr>
          <w:rFonts w:hint="eastAsia" w:ascii="宋体" w:hAnsi="宋体" w:cs="宋体"/>
          <w:b/>
          <w:color w:val="000000" w:themeColor="text1"/>
          <w:sz w:val="84"/>
        </w:rPr>
        <w:t>招 标 文 件</w:t>
      </w:r>
    </w:p>
    <w:p>
      <w:pP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0" w:firstLineChars="200"/>
        <w:rPr>
          <w:rFonts w:hint="eastAsia" w:ascii="宋体" w:hAnsi="宋体" w:eastAsia="宋体" w:cs="宋体"/>
          <w:b/>
          <w:color w:val="000000" w:themeColor="text1"/>
          <w:sz w:val="36"/>
          <w:lang w:val="en-US" w:eastAsia="zh-CN"/>
        </w:rPr>
      </w:pPr>
      <w:r>
        <w:rPr>
          <w:rFonts w:hint="eastAsia" w:ascii="宋体" w:hAnsi="宋体" w:cs="宋体"/>
          <w:b/>
          <w:color w:val="000000" w:themeColor="text1"/>
          <w:sz w:val="36"/>
        </w:rPr>
        <w:t>项目编号：</w:t>
      </w:r>
      <w:r>
        <w:rPr>
          <w:rFonts w:hint="eastAsia" w:ascii="宋体" w:hAnsi="宋体" w:cs="宋体"/>
          <w:b/>
          <w:color w:val="000000" w:themeColor="text1"/>
          <w:sz w:val="36"/>
          <w:lang w:eastAsia="zh-CN"/>
        </w:rPr>
        <w:t>2020-054W-</w:t>
      </w:r>
      <w:r>
        <w:rPr>
          <w:rFonts w:hint="eastAsia" w:ascii="宋体" w:hAnsi="宋体" w:cs="宋体"/>
          <w:b/>
          <w:color w:val="000000" w:themeColor="text1"/>
          <w:sz w:val="36"/>
          <w:lang w:val="en-US" w:eastAsia="zh-CN"/>
        </w:rPr>
        <w:t>2</w:t>
      </w: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rPr>
          <w:rFonts w:hint="eastAsia" w:ascii="宋体" w:hAnsi="宋体" w:eastAsia="宋体" w:cs="宋体"/>
          <w:b/>
          <w:color w:val="000000" w:themeColor="text1"/>
          <w:sz w:val="36"/>
          <w:szCs w:val="36"/>
          <w:lang w:eastAsia="zh-CN"/>
        </w:rPr>
      </w:pPr>
      <w:r>
        <w:rPr>
          <w:rFonts w:hint="eastAsia" w:ascii="宋体" w:hAnsi="宋体" w:cs="宋体"/>
          <w:b/>
          <w:color w:val="000000" w:themeColor="text1"/>
          <w:sz w:val="36"/>
          <w:szCs w:val="36"/>
        </w:rPr>
        <w:t>项目名称：盐城工业职业技术学院车辆租赁服务</w:t>
      </w:r>
      <w:r>
        <w:rPr>
          <w:rFonts w:hint="eastAsia" w:ascii="宋体" w:hAnsi="宋体" w:cs="宋体"/>
          <w:b/>
          <w:color w:val="000000" w:themeColor="text1"/>
          <w:sz w:val="36"/>
          <w:szCs w:val="36"/>
          <w:lang w:eastAsia="zh-CN"/>
        </w:rPr>
        <w:t>（</w:t>
      </w:r>
      <w:r>
        <w:rPr>
          <w:rFonts w:hint="eastAsia" w:ascii="宋体" w:hAnsi="宋体" w:cs="宋体"/>
          <w:b/>
          <w:color w:val="000000" w:themeColor="text1"/>
          <w:sz w:val="36"/>
          <w:szCs w:val="36"/>
          <w:lang w:val="en-US" w:eastAsia="zh-CN"/>
        </w:rPr>
        <w:t>二次</w:t>
      </w:r>
      <w:r>
        <w:rPr>
          <w:rFonts w:hint="eastAsia" w:ascii="宋体" w:hAnsi="宋体" w:cs="宋体"/>
          <w:b/>
          <w:color w:val="000000" w:themeColor="text1"/>
          <w:sz w:val="36"/>
          <w:szCs w:val="36"/>
          <w:lang w:eastAsia="zh-CN"/>
        </w:rPr>
        <w:t>）</w:t>
      </w: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Cs/>
          <w:color w:val="000000" w:themeColor="text1"/>
          <w:sz w:val="32"/>
        </w:rPr>
      </w:pPr>
    </w:p>
    <w:p>
      <w:pPr>
        <w:rPr>
          <w:rFonts w:ascii="宋体" w:hAnsi="宋体" w:cs="宋体"/>
          <w:bCs/>
          <w:color w:val="000000" w:themeColor="text1"/>
          <w:sz w:val="32"/>
        </w:rPr>
      </w:pP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盐城工业职业技术学院</w:t>
      </w:r>
    </w:p>
    <w:p>
      <w:pPr>
        <w:jc w:val="center"/>
        <w:rPr>
          <w:rFonts w:ascii="宋体" w:hAnsi="宋体" w:cs="宋体"/>
          <w:b/>
          <w:color w:val="000000" w:themeColor="text1"/>
          <w:sz w:val="36"/>
          <w:szCs w:val="36"/>
        </w:rPr>
      </w:pPr>
      <w:r>
        <w:rPr>
          <w:rFonts w:ascii="宋体" w:hAnsi="宋体" w:cs="宋体"/>
          <w:b/>
          <w:color w:val="000000" w:themeColor="text1"/>
          <w:sz w:val="36"/>
          <w:szCs w:val="36"/>
        </w:rPr>
        <w:t>2021</w:t>
      </w:r>
      <w:r>
        <w:rPr>
          <w:rFonts w:hint="eastAsia" w:ascii="宋体" w:hAnsi="宋体" w:cs="宋体"/>
          <w:b/>
          <w:color w:val="000000" w:themeColor="text1"/>
          <w:sz w:val="36"/>
          <w:szCs w:val="36"/>
        </w:rPr>
        <w:t>年</w:t>
      </w:r>
      <w:r>
        <w:rPr>
          <w:rFonts w:ascii="宋体" w:hAnsi="宋体" w:cs="宋体"/>
          <w:b/>
          <w:color w:val="000000" w:themeColor="text1"/>
          <w:sz w:val="36"/>
          <w:szCs w:val="36"/>
        </w:rPr>
        <w:t>1</w:t>
      </w:r>
      <w:r>
        <w:rPr>
          <w:rFonts w:hint="eastAsia" w:ascii="宋体" w:hAnsi="宋体" w:cs="宋体"/>
          <w:b/>
          <w:color w:val="000000" w:themeColor="text1"/>
          <w:sz w:val="36"/>
          <w:szCs w:val="36"/>
        </w:rPr>
        <w:t>月</w:t>
      </w:r>
      <w:r>
        <w:rPr>
          <w:rFonts w:hint="eastAsia" w:ascii="宋体" w:hAnsi="宋体" w:cs="宋体"/>
          <w:b/>
          <w:color w:val="000000" w:themeColor="text1"/>
          <w:sz w:val="36"/>
          <w:szCs w:val="36"/>
          <w:lang w:val="en-US" w:eastAsia="zh-CN"/>
        </w:rPr>
        <w:t>24</w:t>
      </w:r>
      <w:r>
        <w:rPr>
          <w:rFonts w:hint="eastAsia" w:ascii="宋体" w:hAnsi="宋体" w:cs="宋体"/>
          <w:b/>
          <w:color w:val="000000" w:themeColor="text1"/>
          <w:sz w:val="36"/>
          <w:szCs w:val="36"/>
        </w:rPr>
        <w:t>日</w:t>
      </w:r>
    </w:p>
    <w:p>
      <w:pPr>
        <w:spacing w:line="480" w:lineRule="auto"/>
        <w:jc w:val="center"/>
        <w:outlineLvl w:val="0"/>
        <w:rPr>
          <w:rFonts w:ascii="宋体" w:hAnsi="宋体" w:cs="宋体"/>
          <w:b/>
          <w:color w:val="000000" w:themeColor="text1"/>
          <w:sz w:val="44"/>
        </w:rPr>
      </w:pPr>
      <w:r>
        <w:rPr>
          <w:rFonts w:hint="eastAsia" w:ascii="宋体" w:hAnsi="宋体" w:cs="宋体"/>
          <w:color w:val="000000" w:themeColor="text1"/>
        </w:rPr>
        <w:br w:type="page"/>
      </w:r>
      <w:bookmarkStart w:id="0" w:name="_Toc120614210"/>
      <w:bookmarkStart w:id="1" w:name="_Toc513029200"/>
      <w:bookmarkStart w:id="2" w:name="_Toc16938516"/>
      <w:bookmarkStart w:id="3" w:name="_Toc523127445"/>
      <w:bookmarkStart w:id="4" w:name="_Toc20823272"/>
      <w:bookmarkStart w:id="5" w:name="_Toc479757206"/>
      <w:r>
        <w:rPr>
          <w:rFonts w:hint="eastAsia" w:ascii="宋体" w:hAnsi="宋体" w:cs="宋体"/>
          <w:b/>
          <w:color w:val="000000" w:themeColor="text1"/>
          <w:sz w:val="44"/>
        </w:rPr>
        <w:t>总  目  录</w:t>
      </w:r>
    </w:p>
    <w:p>
      <w:pPr>
        <w:spacing w:line="480" w:lineRule="auto"/>
        <w:rPr>
          <w:rFonts w:ascii="宋体" w:hAnsi="宋体" w:cs="宋体"/>
          <w:b/>
          <w:color w:val="000000" w:themeColor="text1"/>
          <w:sz w:val="28"/>
        </w:rPr>
      </w:pPr>
    </w:p>
    <w:p>
      <w:pPr>
        <w:numPr>
          <w:ilvl w:val="0"/>
          <w:numId w:val="4"/>
        </w:numPr>
        <w:spacing w:line="480" w:lineRule="auto"/>
        <w:outlineLvl w:val="0"/>
        <w:rPr>
          <w:rFonts w:ascii="宋体" w:hAnsi="宋体" w:cs="宋体"/>
          <w:color w:val="000000" w:themeColor="text1"/>
          <w:sz w:val="32"/>
        </w:rPr>
      </w:pPr>
      <w:r>
        <w:rPr>
          <w:rFonts w:hint="eastAsia" w:ascii="宋体" w:hAnsi="宋体" w:cs="宋体"/>
          <w:color w:val="000000" w:themeColor="text1"/>
          <w:sz w:val="36"/>
        </w:rPr>
        <w:t>招标公告……………………………………</w:t>
      </w:r>
    </w:p>
    <w:p>
      <w:pPr>
        <w:numPr>
          <w:ilvl w:val="0"/>
          <w:numId w:val="4"/>
        </w:numPr>
        <w:spacing w:line="480" w:lineRule="auto"/>
        <w:outlineLvl w:val="0"/>
        <w:rPr>
          <w:rFonts w:ascii="宋体" w:hAnsi="宋体" w:cs="宋体"/>
          <w:color w:val="000000" w:themeColor="text1"/>
          <w:sz w:val="36"/>
        </w:rPr>
      </w:pPr>
      <w:r>
        <w:rPr>
          <w:rFonts w:hint="eastAsia" w:ascii="宋体" w:hAnsi="宋体" w:cs="宋体"/>
          <w:bCs/>
          <w:color w:val="000000" w:themeColor="text1"/>
          <w:sz w:val="36"/>
          <w:szCs w:val="36"/>
        </w:rPr>
        <w:t>投标人须知</w:t>
      </w:r>
      <w:r>
        <w:rPr>
          <w:rFonts w:hint="eastAsia" w:ascii="宋体" w:hAnsi="宋体" w:cs="宋体"/>
          <w:color w:val="000000" w:themeColor="text1"/>
          <w:sz w:val="36"/>
          <w:szCs w:val="36"/>
        </w:rPr>
        <w:t>…</w:t>
      </w:r>
      <w:r>
        <w:rPr>
          <w:rFonts w:hint="eastAsia" w:ascii="宋体" w:hAnsi="宋体" w:cs="宋体"/>
          <w:color w:val="000000" w:themeColor="text1"/>
          <w:sz w:val="36"/>
        </w:rPr>
        <w:t>………………………………</w:t>
      </w:r>
    </w:p>
    <w:p>
      <w:pPr>
        <w:numPr>
          <w:ilvl w:val="0"/>
          <w:numId w:val="4"/>
        </w:numPr>
        <w:spacing w:line="480" w:lineRule="auto"/>
        <w:outlineLvl w:val="0"/>
        <w:rPr>
          <w:rFonts w:ascii="宋体" w:hAnsi="宋体" w:cs="宋体"/>
          <w:color w:val="000000" w:themeColor="text1"/>
          <w:sz w:val="36"/>
        </w:rPr>
      </w:pPr>
      <w:r>
        <w:rPr>
          <w:rFonts w:hint="eastAsia" w:ascii="宋体" w:hAnsi="宋体" w:cs="宋体"/>
          <w:color w:val="000000" w:themeColor="text1"/>
          <w:sz w:val="36"/>
        </w:rPr>
        <w:t>合同条款及格式……………………………</w:t>
      </w:r>
    </w:p>
    <w:p>
      <w:pPr>
        <w:numPr>
          <w:ilvl w:val="0"/>
          <w:numId w:val="4"/>
        </w:numPr>
        <w:spacing w:line="480" w:lineRule="auto"/>
        <w:outlineLvl w:val="0"/>
        <w:rPr>
          <w:rFonts w:ascii="宋体" w:hAnsi="宋体" w:cs="宋体"/>
          <w:color w:val="000000" w:themeColor="text1"/>
          <w:sz w:val="36"/>
        </w:rPr>
      </w:pPr>
      <w:r>
        <w:rPr>
          <w:rFonts w:hint="eastAsia" w:ascii="宋体" w:hAnsi="宋体" w:cs="宋体"/>
          <w:color w:val="000000" w:themeColor="text1"/>
          <w:sz w:val="36"/>
        </w:rPr>
        <w:t>项目需求……………………………………</w:t>
      </w:r>
    </w:p>
    <w:p>
      <w:pPr>
        <w:numPr>
          <w:ilvl w:val="0"/>
          <w:numId w:val="4"/>
        </w:numPr>
        <w:spacing w:line="480" w:lineRule="auto"/>
        <w:outlineLvl w:val="0"/>
        <w:rPr>
          <w:rFonts w:ascii="宋体" w:hAnsi="宋体" w:cs="宋体"/>
          <w:color w:val="000000" w:themeColor="text1"/>
          <w:sz w:val="36"/>
        </w:rPr>
      </w:pPr>
      <w:r>
        <w:rPr>
          <w:rFonts w:hint="eastAsia" w:ascii="宋体" w:hAnsi="宋体" w:cs="宋体"/>
          <w:bCs/>
          <w:color w:val="000000" w:themeColor="text1"/>
          <w:sz w:val="36"/>
          <w:szCs w:val="36"/>
        </w:rPr>
        <w:t>评标方法与评标标准</w:t>
      </w:r>
      <w:r>
        <w:rPr>
          <w:rFonts w:hint="eastAsia" w:ascii="宋体" w:hAnsi="宋体" w:cs="宋体"/>
          <w:color w:val="000000" w:themeColor="text1"/>
          <w:sz w:val="36"/>
        </w:rPr>
        <w:t>………………………</w:t>
      </w:r>
    </w:p>
    <w:p>
      <w:pPr>
        <w:numPr>
          <w:ilvl w:val="0"/>
          <w:numId w:val="4"/>
        </w:numPr>
        <w:spacing w:line="480" w:lineRule="auto"/>
        <w:outlineLvl w:val="0"/>
        <w:rPr>
          <w:rFonts w:ascii="宋体" w:hAnsi="宋体" w:cs="宋体"/>
          <w:color w:val="000000" w:themeColor="text1"/>
          <w:sz w:val="36"/>
        </w:rPr>
      </w:pPr>
      <w:r>
        <w:rPr>
          <w:rFonts w:hint="eastAsia" w:ascii="宋体" w:hAnsi="宋体" w:cs="宋体"/>
          <w:color w:val="000000" w:themeColor="text1"/>
          <w:sz w:val="36"/>
        </w:rPr>
        <w:t>投标文件格式………………………………</w:t>
      </w:r>
    </w:p>
    <w:p>
      <w:pPr>
        <w:pStyle w:val="2"/>
        <w:rPr>
          <w:rFonts w:ascii="宋体" w:hAnsi="宋体" w:eastAsia="宋体" w:cs="宋体"/>
          <w:bCs/>
          <w:color w:val="000000" w:themeColor="text1"/>
          <w:sz w:val="44"/>
        </w:rPr>
      </w:pPr>
    </w:p>
    <w:p>
      <w:pPr>
        <w:pStyle w:val="2"/>
        <w:rPr>
          <w:rFonts w:ascii="宋体" w:hAnsi="宋体" w:eastAsia="宋体" w:cs="宋体"/>
          <w:bCs/>
          <w:color w:val="000000" w:themeColor="text1"/>
          <w:sz w:val="44"/>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pStyle w:val="2"/>
        <w:rPr>
          <w:rFonts w:ascii="宋体" w:hAnsi="宋体" w:eastAsia="宋体" w:cs="宋体"/>
          <w:bCs/>
          <w:color w:val="000000" w:themeColor="text1"/>
          <w:sz w:val="24"/>
          <w:szCs w:val="24"/>
        </w:rPr>
      </w:pPr>
      <w:r>
        <w:rPr>
          <w:rFonts w:hint="eastAsia" w:ascii="宋体" w:hAnsi="宋体" w:eastAsia="宋体" w:cs="宋体"/>
          <w:color w:val="000000" w:themeColor="text1"/>
          <w:sz w:val="44"/>
          <w:szCs w:val="44"/>
        </w:rPr>
        <w:br w:type="page"/>
      </w:r>
      <w:r>
        <w:rPr>
          <w:rFonts w:hint="eastAsia" w:ascii="宋体" w:hAnsi="宋体" w:eastAsia="宋体" w:cs="宋体"/>
          <w:b/>
          <w:bCs/>
          <w:color w:val="000000" w:themeColor="text1"/>
          <w:sz w:val="44"/>
          <w:szCs w:val="44"/>
        </w:rPr>
        <w:t xml:space="preserve">第一章  </w:t>
      </w:r>
      <w:bookmarkEnd w:id="0"/>
      <w:r>
        <w:rPr>
          <w:rFonts w:hint="eastAsia" w:ascii="宋体" w:hAnsi="宋体" w:eastAsia="宋体" w:cs="宋体"/>
          <w:b/>
          <w:bCs/>
          <w:color w:val="000000" w:themeColor="text1"/>
          <w:sz w:val="44"/>
          <w:szCs w:val="44"/>
        </w:rPr>
        <w:t>招标公告</w:t>
      </w:r>
    </w:p>
    <w:p>
      <w:pPr>
        <w:pStyle w:val="40"/>
        <w:pBdr>
          <w:top w:val="single" w:color="000000" w:sz="8" w:space="0"/>
          <w:left w:val="single" w:color="000000" w:sz="8" w:space="0"/>
          <w:right w:val="single" w:color="000000" w:sz="8" w:space="0"/>
        </w:pBdr>
        <w:shd w:val="clear" w:color="auto" w:fill="FFFFFF"/>
        <w:spacing w:before="0" w:beforeAutospacing="0" w:after="0" w:afterAutospacing="0" w:line="360" w:lineRule="auto"/>
        <w:ind w:firstLine="482"/>
        <w:rPr>
          <w:rFonts w:ascii="Times New Roman" w:hAnsi="Times New Roman" w:cs="Times New Roman"/>
          <w:color w:val="000000" w:themeColor="text1"/>
        </w:rPr>
      </w:pPr>
      <w:r>
        <w:rPr>
          <w:rFonts w:hint="eastAsia"/>
          <w:b/>
          <w:color w:val="000000" w:themeColor="text1"/>
          <w:shd w:val="clear" w:color="auto" w:fill="FFFFFF"/>
        </w:rPr>
        <w:t>项目概况</w:t>
      </w:r>
    </w:p>
    <w:p>
      <w:pPr>
        <w:pStyle w:val="40"/>
        <w:pBdr>
          <w:left w:val="single" w:color="000000" w:sz="8" w:space="0"/>
          <w:bottom w:val="single" w:color="000000" w:sz="8" w:space="0"/>
          <w:right w:val="single" w:color="000000" w:sz="8" w:space="0"/>
        </w:pBdr>
        <w:shd w:val="clear" w:color="auto" w:fill="FFFFFF"/>
        <w:spacing w:before="0" w:beforeAutospacing="0" w:after="0" w:afterAutospacing="0" w:line="360" w:lineRule="auto"/>
        <w:ind w:firstLine="480"/>
        <w:rPr>
          <w:rFonts w:ascii="Times New Roman" w:hAnsi="Times New Roman" w:cs="Times New Roman"/>
          <w:color w:val="000000" w:themeColor="text1"/>
          <w:highlight w:val="none"/>
        </w:rPr>
      </w:pPr>
      <w:r>
        <w:rPr>
          <w:rFonts w:hint="eastAsia"/>
          <w:color w:val="000000" w:themeColor="text1"/>
          <w:shd w:val="clear" w:color="auto" w:fill="FFFFFF"/>
        </w:rPr>
        <w:t>盐城工业职业技术学院车辆租赁服务项目的潜在投标人应在</w:t>
      </w:r>
      <w:bookmarkStart w:id="194" w:name="_GoBack"/>
      <w:r>
        <w:rPr>
          <w:rFonts w:hint="eastAsia"/>
          <w:color w:val="000000" w:themeColor="text1"/>
          <w:u w:val="single"/>
          <w:shd w:val="clear" w:color="auto" w:fill="FFFFFF"/>
        </w:rPr>
        <w:t>“盐城市政府采购网和盐城工业职业技术学院招标采购网”</w:t>
      </w:r>
      <w:bookmarkEnd w:id="194"/>
      <w:r>
        <w:rPr>
          <w:rFonts w:hint="eastAsia"/>
          <w:color w:val="000000" w:themeColor="text1"/>
          <w:shd w:val="clear" w:color="auto" w:fill="FFFFFF"/>
        </w:rPr>
        <w:t>获取招标文件，并于</w:t>
      </w:r>
      <w:r>
        <w:rPr>
          <w:rFonts w:hint="eastAsia"/>
          <w:color w:val="000000" w:themeColor="text1"/>
          <w:highlight w:val="none"/>
          <w:u w:val="single"/>
          <w:shd w:val="clear" w:color="auto" w:fill="FFFFFF"/>
        </w:rPr>
        <w:t>2021年2月</w:t>
      </w:r>
      <w:r>
        <w:rPr>
          <w:rFonts w:hint="eastAsia"/>
          <w:color w:val="000000" w:themeColor="text1"/>
          <w:highlight w:val="none"/>
          <w:u w:val="single"/>
          <w:shd w:val="clear" w:color="auto" w:fill="FFFFFF"/>
          <w:lang w:val="en-US" w:eastAsia="zh-CN"/>
        </w:rPr>
        <w:t>19</w:t>
      </w:r>
      <w:r>
        <w:rPr>
          <w:rFonts w:hint="eastAsia"/>
          <w:color w:val="000000" w:themeColor="text1"/>
          <w:highlight w:val="none"/>
          <w:u w:val="single"/>
          <w:shd w:val="clear" w:color="auto" w:fill="FFFFFF"/>
        </w:rPr>
        <w:t>日</w:t>
      </w:r>
      <w:r>
        <w:rPr>
          <w:rFonts w:hint="eastAsia"/>
          <w:color w:val="000000" w:themeColor="text1"/>
          <w:highlight w:val="none"/>
          <w:u w:val="single"/>
          <w:shd w:val="clear" w:color="auto" w:fill="FFFFFF"/>
          <w:lang w:val="en-US" w:eastAsia="zh-CN"/>
        </w:rPr>
        <w:t>9</w:t>
      </w:r>
      <w:r>
        <w:rPr>
          <w:rFonts w:hint="eastAsia"/>
          <w:color w:val="000000" w:themeColor="text1"/>
          <w:highlight w:val="none"/>
          <w:u w:val="single"/>
          <w:shd w:val="clear" w:color="auto" w:fill="FFFFFF"/>
        </w:rPr>
        <w:t>点</w:t>
      </w:r>
      <w:r>
        <w:rPr>
          <w:rFonts w:hint="eastAsia"/>
          <w:color w:val="000000" w:themeColor="text1"/>
          <w:highlight w:val="none"/>
          <w:u w:val="single"/>
          <w:shd w:val="clear" w:color="auto" w:fill="FFFFFF"/>
          <w:lang w:val="en-US" w:eastAsia="zh-CN"/>
        </w:rPr>
        <w:t>00</w:t>
      </w:r>
      <w:r>
        <w:rPr>
          <w:rFonts w:hint="eastAsia"/>
          <w:color w:val="000000" w:themeColor="text1"/>
          <w:highlight w:val="none"/>
          <w:u w:val="single"/>
          <w:shd w:val="clear" w:color="auto" w:fill="FFFFFF"/>
        </w:rPr>
        <w:t>分</w:t>
      </w:r>
      <w:r>
        <w:rPr>
          <w:rFonts w:hint="eastAsia"/>
          <w:color w:val="000000" w:themeColor="text1"/>
          <w:highlight w:val="none"/>
          <w:shd w:val="clear" w:color="auto" w:fill="FFFFFF"/>
        </w:rPr>
        <w:t>（北京时间）前递交投标文件。</w:t>
      </w:r>
    </w:p>
    <w:p>
      <w:pPr>
        <w:pStyle w:val="40"/>
        <w:shd w:val="clear" w:color="auto" w:fill="FFFFFF"/>
        <w:adjustRightInd w:val="0"/>
        <w:snapToGrid w:val="0"/>
        <w:spacing w:before="0" w:beforeAutospacing="0" w:after="0" w:afterAutospacing="0" w:line="360" w:lineRule="auto"/>
        <w:ind w:firstLine="480" w:firstLineChars="200"/>
        <w:jc w:val="both"/>
        <w:rPr>
          <w:color w:val="000000" w:themeColor="text1"/>
        </w:rPr>
      </w:pPr>
      <w:r>
        <w:rPr>
          <w:rFonts w:hint="eastAsia"/>
          <w:b/>
          <w:color w:val="000000" w:themeColor="text1"/>
          <w:shd w:val="clear" w:color="auto" w:fill="FFFFFF"/>
        </w:rPr>
        <w:t>一、项目基本情况</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1.项目编号：</w:t>
      </w:r>
      <w:r>
        <w:rPr>
          <w:rFonts w:hint="eastAsia" w:ascii="宋体" w:hAnsi="宋体" w:cs="宋体"/>
          <w:color w:val="000000" w:themeColor="text1"/>
          <w:sz w:val="24"/>
          <w:szCs w:val="24"/>
          <w:lang w:eastAsia="zh-CN"/>
        </w:rPr>
        <w:t>2020-054W-</w:t>
      </w:r>
      <w:r>
        <w:rPr>
          <w:rFonts w:hint="eastAsia" w:ascii="宋体" w:hAnsi="宋体" w:cs="宋体"/>
          <w:color w:val="000000" w:themeColor="text1"/>
          <w:sz w:val="24"/>
          <w:szCs w:val="24"/>
          <w:lang w:val="en-US" w:eastAsia="zh-CN"/>
        </w:rPr>
        <w:t>2</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2.项目名称：盐城工业职业技术学院车辆租赁服务项目</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二次</w:t>
      </w:r>
      <w:r>
        <w:rPr>
          <w:rFonts w:hint="eastAsia" w:ascii="宋体" w:hAnsi="宋体" w:cs="宋体"/>
          <w:color w:val="000000" w:themeColor="text1"/>
          <w:sz w:val="24"/>
          <w:szCs w:val="24"/>
          <w:lang w:eastAsia="zh-CN"/>
        </w:rPr>
        <w:t>）</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3.最高限价：①油费（按公车</w:t>
      </w:r>
      <w:r>
        <w:rPr>
          <w:rFonts w:ascii="宋体" w:hAnsi="宋体" w:cs="宋体"/>
          <w:color w:val="000000" w:themeColor="text1"/>
          <w:sz w:val="24"/>
          <w:szCs w:val="24"/>
        </w:rPr>
        <w:t>平台</w:t>
      </w:r>
      <w:r>
        <w:rPr>
          <w:rFonts w:hint="eastAsia" w:ascii="宋体" w:hAnsi="宋体" w:cs="宋体"/>
          <w:color w:val="000000" w:themeColor="text1"/>
          <w:sz w:val="24"/>
          <w:szCs w:val="24"/>
        </w:rPr>
        <w:t>车型</w:t>
      </w:r>
      <w:r>
        <w:rPr>
          <w:rFonts w:ascii="宋体" w:hAnsi="宋体" w:cs="宋体"/>
          <w:color w:val="000000" w:themeColor="text1"/>
          <w:sz w:val="24"/>
          <w:szCs w:val="24"/>
        </w:rPr>
        <w:t>价格结算，如表</w:t>
      </w:r>
      <w:r>
        <w:rPr>
          <w:rFonts w:hint="eastAsia" w:ascii="宋体" w:hAnsi="宋体" w:cs="宋体"/>
          <w:color w:val="000000" w:themeColor="text1"/>
          <w:sz w:val="24"/>
          <w:szCs w:val="24"/>
        </w:rPr>
        <w:t>1，不</w:t>
      </w:r>
      <w:r>
        <w:rPr>
          <w:rFonts w:ascii="宋体" w:hAnsi="宋体" w:cs="宋体"/>
          <w:color w:val="000000" w:themeColor="text1"/>
          <w:sz w:val="24"/>
          <w:szCs w:val="24"/>
        </w:rPr>
        <w:t>参与报价</w:t>
      </w:r>
      <w:r>
        <w:rPr>
          <w:rFonts w:hint="eastAsia" w:ascii="宋体" w:hAnsi="宋体" w:cs="宋体"/>
          <w:color w:val="000000" w:themeColor="text1"/>
          <w:sz w:val="24"/>
          <w:szCs w:val="24"/>
        </w:rPr>
        <w:t>，定额结算）；②车辆租金（轿车3</w:t>
      </w:r>
      <w:r>
        <w:rPr>
          <w:rFonts w:ascii="宋体" w:hAnsi="宋体" w:cs="宋体"/>
          <w:color w:val="000000" w:themeColor="text1"/>
          <w:sz w:val="24"/>
          <w:szCs w:val="24"/>
        </w:rPr>
        <w:t>3</w:t>
      </w:r>
      <w:r>
        <w:rPr>
          <w:rFonts w:hint="eastAsia" w:ascii="宋体" w:hAnsi="宋体" w:cs="宋体"/>
          <w:color w:val="000000" w:themeColor="text1"/>
          <w:sz w:val="24"/>
          <w:szCs w:val="24"/>
        </w:rPr>
        <w:t>0元/天，商务车4</w:t>
      </w:r>
      <w:r>
        <w:rPr>
          <w:rFonts w:ascii="宋体" w:hAnsi="宋体" w:cs="宋体"/>
          <w:color w:val="000000" w:themeColor="text1"/>
          <w:sz w:val="24"/>
          <w:szCs w:val="24"/>
        </w:rPr>
        <w:t>9</w:t>
      </w:r>
      <w:r>
        <w:rPr>
          <w:rFonts w:hint="eastAsia" w:ascii="宋体" w:hAnsi="宋体" w:cs="宋体"/>
          <w:color w:val="000000" w:themeColor="text1"/>
          <w:sz w:val="24"/>
          <w:szCs w:val="24"/>
        </w:rPr>
        <w:t>0元/天，丰田或同档次车型13座6</w:t>
      </w:r>
      <w:r>
        <w:rPr>
          <w:rFonts w:ascii="宋体" w:hAnsi="宋体" w:cs="宋体"/>
          <w:color w:val="000000" w:themeColor="text1"/>
          <w:sz w:val="24"/>
          <w:szCs w:val="24"/>
        </w:rPr>
        <w:t>5</w:t>
      </w:r>
      <w:r>
        <w:rPr>
          <w:rFonts w:hint="eastAsia" w:ascii="宋体" w:hAnsi="宋体" w:cs="宋体"/>
          <w:color w:val="000000" w:themeColor="text1"/>
          <w:sz w:val="24"/>
          <w:szCs w:val="24"/>
        </w:rPr>
        <w:t>0元/天，考斯特或同档次车型8</w:t>
      </w:r>
      <w:r>
        <w:rPr>
          <w:rFonts w:ascii="宋体" w:hAnsi="宋体" w:cs="宋体"/>
          <w:color w:val="000000" w:themeColor="text1"/>
          <w:sz w:val="24"/>
          <w:szCs w:val="24"/>
        </w:rPr>
        <w:t>6</w:t>
      </w:r>
      <w:r>
        <w:rPr>
          <w:rFonts w:hint="eastAsia" w:ascii="宋体" w:hAnsi="宋体" w:cs="宋体"/>
          <w:color w:val="000000" w:themeColor="text1"/>
          <w:sz w:val="24"/>
          <w:szCs w:val="24"/>
        </w:rPr>
        <w:t>0元/天，50座9</w:t>
      </w:r>
      <w:r>
        <w:rPr>
          <w:rFonts w:ascii="宋体" w:hAnsi="宋体" w:cs="宋体"/>
          <w:color w:val="000000" w:themeColor="text1"/>
          <w:sz w:val="24"/>
          <w:szCs w:val="24"/>
        </w:rPr>
        <w:t>7</w:t>
      </w:r>
      <w:r>
        <w:rPr>
          <w:rFonts w:hint="eastAsia" w:ascii="宋体" w:hAnsi="宋体" w:cs="宋体"/>
          <w:color w:val="000000" w:themeColor="text1"/>
          <w:sz w:val="24"/>
          <w:szCs w:val="24"/>
        </w:rPr>
        <w:t>0元/天），超300公里增一天车辆租金，未超4小时未出市区按半天计；③司机费用：市内140元/天，市外190元/天(此项不参与报价，定额结算)；④住宿费：省内160元/天，省外260元/天(此项不参与报价，按实际产生金额结算，最高不超过最高限价)；5、餐费：30元/顿(此项不参与报价，按实际产生金额结算，最高不超过最高限价)；6、过路费、停车费按实际费用为准。</w:t>
      </w:r>
    </w:p>
    <w:tbl>
      <w:tblPr>
        <w:tblStyle w:val="45"/>
        <w:tblW w:w="9168" w:type="dxa"/>
        <w:tblInd w:w="0" w:type="dxa"/>
        <w:tblLayout w:type="fixed"/>
        <w:tblCellMar>
          <w:top w:w="0" w:type="dxa"/>
          <w:left w:w="108" w:type="dxa"/>
          <w:bottom w:w="0" w:type="dxa"/>
          <w:right w:w="108" w:type="dxa"/>
        </w:tblCellMar>
      </w:tblPr>
      <w:tblGrid>
        <w:gridCol w:w="1885"/>
        <w:gridCol w:w="1307"/>
        <w:gridCol w:w="3053"/>
        <w:gridCol w:w="2923"/>
      </w:tblGrid>
      <w:tr>
        <w:tblPrEx>
          <w:tblLayout w:type="fixed"/>
          <w:tblCellMar>
            <w:top w:w="0" w:type="dxa"/>
            <w:left w:w="108" w:type="dxa"/>
            <w:bottom w:w="0" w:type="dxa"/>
            <w:right w:w="108" w:type="dxa"/>
          </w:tblCellMar>
        </w:tblPrEx>
        <w:trPr>
          <w:trHeight w:val="420" w:hRule="atLeast"/>
        </w:trPr>
        <w:tc>
          <w:tcPr>
            <w:tcW w:w="9168" w:type="dxa"/>
            <w:gridSpan w:val="4"/>
            <w:tcBorders>
              <w:bottom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表1.公车平台油耗价格表</w:t>
            </w:r>
          </w:p>
        </w:tc>
      </w:tr>
      <w:tr>
        <w:tblPrEx>
          <w:tblLayout w:type="fixed"/>
          <w:tblCellMar>
            <w:top w:w="0" w:type="dxa"/>
            <w:left w:w="108" w:type="dxa"/>
            <w:bottom w:w="0" w:type="dxa"/>
            <w:right w:w="108" w:type="dxa"/>
          </w:tblCellMar>
        </w:tblPrEx>
        <w:trPr>
          <w:trHeight w:val="420" w:hRule="atLeast"/>
        </w:trPr>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车型</w:t>
            </w:r>
          </w:p>
        </w:tc>
        <w:tc>
          <w:tcPr>
            <w:tcW w:w="13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座位</w:t>
            </w:r>
          </w:p>
        </w:tc>
        <w:tc>
          <w:tcPr>
            <w:tcW w:w="305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油耗（元/公里）</w:t>
            </w:r>
          </w:p>
        </w:tc>
        <w:tc>
          <w:tcPr>
            <w:tcW w:w="2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别克君越</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0.8/公里</w:t>
            </w:r>
          </w:p>
        </w:tc>
        <w:tc>
          <w:tcPr>
            <w:tcW w:w="2923" w:type="dxa"/>
            <w:vMerge w:val="restart"/>
            <w:tcBorders>
              <w:top w:val="nil"/>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同等档次车型参照此标准执行</w:t>
            </w: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迈腾</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0.8/公里</w:t>
            </w:r>
          </w:p>
        </w:tc>
        <w:tc>
          <w:tcPr>
            <w:tcW w:w="2923"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帕萨特</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0.8/公里</w:t>
            </w:r>
          </w:p>
        </w:tc>
        <w:tc>
          <w:tcPr>
            <w:tcW w:w="2923"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别克商务车</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1.0/公里</w:t>
            </w:r>
          </w:p>
        </w:tc>
        <w:tc>
          <w:tcPr>
            <w:tcW w:w="2923"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丰田海狮</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9-15座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1.2/公里</w:t>
            </w:r>
          </w:p>
        </w:tc>
        <w:tc>
          <w:tcPr>
            <w:tcW w:w="2923"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考斯特</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1.4/公里</w:t>
            </w:r>
          </w:p>
        </w:tc>
        <w:tc>
          <w:tcPr>
            <w:tcW w:w="2923"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宇通中巴</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1.4/公里</w:t>
            </w:r>
          </w:p>
        </w:tc>
        <w:tc>
          <w:tcPr>
            <w:tcW w:w="2923"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宇通大巴</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1.6/公里</w:t>
            </w:r>
          </w:p>
        </w:tc>
        <w:tc>
          <w:tcPr>
            <w:tcW w:w="2923"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20" w:hRule="atLeast"/>
        </w:trPr>
        <w:tc>
          <w:tcPr>
            <w:tcW w:w="18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宇通大巴</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55座</w:t>
            </w:r>
          </w:p>
        </w:tc>
        <w:tc>
          <w:tcPr>
            <w:tcW w:w="30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1.6/公里</w:t>
            </w:r>
          </w:p>
        </w:tc>
        <w:tc>
          <w:tcPr>
            <w:tcW w:w="2923"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bl>
    <w:p>
      <w:pPr>
        <w:pStyle w:val="53"/>
      </w:pP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4.服务期限：暂定一年。</w:t>
      </w:r>
    </w:p>
    <w:p>
      <w:pPr>
        <w:pStyle w:val="44"/>
        <w:adjustRightInd w:val="0"/>
        <w:snapToGrid w:val="0"/>
        <w:ind w:firstLine="480"/>
        <w:rPr>
          <w:rFonts w:cs="宋体"/>
          <w:color w:val="000000" w:themeColor="text1"/>
          <w:sz w:val="24"/>
          <w:szCs w:val="24"/>
        </w:rPr>
      </w:pPr>
      <w:r>
        <w:rPr>
          <w:rFonts w:hint="eastAsia" w:cs="宋体"/>
          <w:color w:val="000000" w:themeColor="text1"/>
          <w:sz w:val="24"/>
          <w:szCs w:val="24"/>
        </w:rPr>
        <w:t>5.服务地点：盐城工业职业技术学院公务用车部门指定地点。</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6.包件划分：本次招标共分为2个分包，具体划分如下：</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
          <w:color w:val="000000" w:themeColor="text1"/>
          <w:sz w:val="24"/>
          <w:szCs w:val="24"/>
        </w:rPr>
        <w:t>分包一：15座及以下车辆</w:t>
      </w:r>
      <w:r>
        <w:rPr>
          <w:rFonts w:hint="eastAsia" w:ascii="宋体" w:hAnsi="宋体" w:cs="宋体"/>
          <w:color w:val="000000" w:themeColor="text1"/>
          <w:sz w:val="24"/>
          <w:szCs w:val="24"/>
        </w:rPr>
        <w:t>（5座含司机小车、7座含司机商务车、9～15座含司机商务车）,拟确定中标供应商：3-5家（根据投标单位数等情况确定）。</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
          <w:color w:val="000000" w:themeColor="text1"/>
          <w:sz w:val="24"/>
          <w:szCs w:val="24"/>
        </w:rPr>
        <w:t>分包二：15座以上车辆</w:t>
      </w:r>
      <w:r>
        <w:rPr>
          <w:rFonts w:hint="eastAsia" w:ascii="宋体" w:hAnsi="宋体" w:cs="宋体"/>
          <w:color w:val="000000" w:themeColor="text1"/>
          <w:sz w:val="24"/>
          <w:szCs w:val="24"/>
        </w:rPr>
        <w:t>（一般是19～21座含司机小型客车、35～39座含司机中型客车、45～55 座含司机大型客车）,拟确定中标供应商：2-3家（根据投标单位数等情况确定）。</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投标人可同时参加上述两个分包的投标且可同时入围两个分包。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7.项目基本概况：选择一名供应商作为我单位车辆租赁服务提供商,招标人不保证中标供应商在合同有效期内的车辆租赁服务的业务量。</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8.本项目</w:t>
      </w:r>
      <w:r>
        <w:rPr>
          <w:rFonts w:hint="eastAsia" w:ascii="宋体" w:hAnsi="宋体" w:cs="宋体"/>
          <w:color w:val="000000" w:themeColor="text1"/>
          <w:sz w:val="24"/>
          <w:szCs w:val="24"/>
          <w:u w:val="single"/>
        </w:rPr>
        <w:t>不接受</w:t>
      </w:r>
      <w:r>
        <w:rPr>
          <w:rFonts w:hint="eastAsia" w:ascii="宋体" w:hAnsi="宋体" w:cs="宋体"/>
          <w:color w:val="000000" w:themeColor="text1"/>
          <w:sz w:val="24"/>
          <w:szCs w:val="24"/>
        </w:rPr>
        <w:t>联合体投标。</w:t>
      </w:r>
    </w:p>
    <w:p>
      <w:pPr>
        <w:pStyle w:val="53"/>
        <w:ind w:firstLine="480" w:firstLineChars="200"/>
        <w:rPr>
          <w:rFonts w:ascii="宋体" w:hAnsi="宋体" w:cs="宋体"/>
          <w:color w:val="000000" w:themeColor="text1"/>
          <w:kern w:val="2"/>
        </w:rPr>
      </w:pPr>
      <w:r>
        <w:rPr>
          <w:rFonts w:hint="eastAsia" w:ascii="宋体" w:hAnsi="宋体" w:cs="宋体"/>
          <w:color w:val="000000" w:themeColor="text1"/>
          <w:kern w:val="2"/>
        </w:rPr>
        <w:t>9.各</w:t>
      </w:r>
      <w:r>
        <w:rPr>
          <w:rFonts w:ascii="宋体" w:hAnsi="宋体" w:cs="宋体"/>
          <w:color w:val="000000" w:themeColor="text1"/>
          <w:kern w:val="2"/>
        </w:rPr>
        <w:t>投标单位兼投分包一和分包二的，</w:t>
      </w:r>
      <w:r>
        <w:rPr>
          <w:rFonts w:hint="eastAsia" w:ascii="宋体" w:hAnsi="宋体" w:cs="宋体"/>
          <w:color w:val="000000" w:themeColor="text1"/>
          <w:kern w:val="2"/>
        </w:rPr>
        <w:t>必须</w:t>
      </w:r>
      <w:r>
        <w:rPr>
          <w:rFonts w:ascii="宋体" w:hAnsi="宋体" w:cs="宋体"/>
          <w:color w:val="000000" w:themeColor="text1"/>
          <w:kern w:val="2"/>
        </w:rPr>
        <w:t>分开投标，标书中所有字体必须清晰可辨识，相关材料原件备查。</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二、供应商资格要求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（一）符合政府采购法第二十二条第一款规定的条件，并提供下列材料：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1、法人或者其他组织的营业执照等证明文件，自然人的身份证明；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2、上一年度的财务报表（成立不满一年不需提供）；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3、依法缴纳税收和社会保障资金的相关材料；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4、具备履行合同所必需的设备和专业技术能力的书面声明；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5、参加政府采购活动前3年内在经营活动中没有重大违法记录的书面声明。</w:t>
      </w:r>
    </w:p>
    <w:p>
      <w:pPr>
        <w:pStyle w:val="53"/>
      </w:pPr>
      <w:r>
        <w:rPr>
          <w:rFonts w:hint="eastAsia"/>
        </w:rPr>
        <w:t>注</w:t>
      </w:r>
      <w:r>
        <w:t>：以上材料请在标书中</w:t>
      </w:r>
      <w:r>
        <w:rPr>
          <w:rFonts w:hint="eastAsia"/>
        </w:rPr>
        <w:t>以</w:t>
      </w:r>
      <w:r>
        <w:t>表</w:t>
      </w:r>
      <w:r>
        <w:rPr>
          <w:rFonts w:hint="eastAsia"/>
        </w:rPr>
        <w:t>2</w:t>
      </w:r>
      <w:r>
        <w:t>形式给出，如下表</w:t>
      </w:r>
    </w:p>
    <w:tbl>
      <w:tblPr>
        <w:tblStyle w:val="4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276"/>
        <w:gridCol w:w="2268"/>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2" w:type="dxa"/>
            <w:gridSpan w:val="5"/>
          </w:tcPr>
          <w:p>
            <w:pPr>
              <w:pStyle w:val="53"/>
              <w:jc w:val="center"/>
            </w:pPr>
            <w:r>
              <w:rPr>
                <w:rFonts w:hint="eastAsia"/>
              </w:rPr>
              <w:t>表2.XXXXX</w:t>
            </w:r>
            <w:r>
              <w:t>公司</w:t>
            </w:r>
            <w:r>
              <w:rPr>
                <w:rFonts w:hint="eastAsia"/>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53"/>
              <w:jc w:val="both"/>
            </w:pPr>
            <w:r>
              <w:rPr>
                <w:rFonts w:hint="eastAsia"/>
              </w:rPr>
              <w:t>序号</w:t>
            </w:r>
          </w:p>
        </w:tc>
        <w:tc>
          <w:tcPr>
            <w:tcW w:w="1984" w:type="dxa"/>
          </w:tcPr>
          <w:p>
            <w:pPr>
              <w:pStyle w:val="53"/>
              <w:jc w:val="both"/>
            </w:pPr>
            <w:r>
              <w:rPr>
                <w:rFonts w:hint="eastAsia"/>
              </w:rPr>
              <w:t>资格</w:t>
            </w:r>
            <w:r>
              <w:t>条件项目</w:t>
            </w:r>
          </w:p>
        </w:tc>
        <w:tc>
          <w:tcPr>
            <w:tcW w:w="1276" w:type="dxa"/>
          </w:tcPr>
          <w:p>
            <w:pPr>
              <w:pStyle w:val="53"/>
              <w:jc w:val="both"/>
            </w:pPr>
            <w:r>
              <w:rPr>
                <w:rFonts w:hint="eastAsia"/>
              </w:rPr>
              <w:t>是否有</w:t>
            </w:r>
          </w:p>
        </w:tc>
        <w:tc>
          <w:tcPr>
            <w:tcW w:w="2268" w:type="dxa"/>
          </w:tcPr>
          <w:p>
            <w:pPr>
              <w:pStyle w:val="53"/>
              <w:jc w:val="both"/>
            </w:pPr>
            <w:r>
              <w:rPr>
                <w:rFonts w:hint="eastAsia"/>
              </w:rPr>
              <w:t>若</w:t>
            </w:r>
            <w:r>
              <w:t>无（</w:t>
            </w:r>
            <w:r>
              <w:rPr>
                <w:rFonts w:hint="eastAsia"/>
              </w:rPr>
              <w:t>说明</w:t>
            </w:r>
            <w:r>
              <w:t>原因）</w:t>
            </w:r>
          </w:p>
        </w:tc>
        <w:tc>
          <w:tcPr>
            <w:tcW w:w="2568" w:type="dxa"/>
          </w:tcPr>
          <w:p>
            <w:pPr>
              <w:pStyle w:val="53"/>
              <w:jc w:val="both"/>
            </w:pPr>
            <w:r>
              <w:rPr>
                <w:rFonts w:hint="eastAsia"/>
              </w:rPr>
              <w:t>标书</w:t>
            </w:r>
            <w:r>
              <w:t>中</w:t>
            </w:r>
            <w:r>
              <w:rPr>
                <w:rFonts w:hint="eastAsia"/>
              </w:rPr>
              <w:t>对应</w:t>
            </w:r>
            <w:r>
              <w:t>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53"/>
              <w:jc w:val="both"/>
            </w:pPr>
            <w:r>
              <w:rPr>
                <w:rFonts w:hint="eastAsia"/>
              </w:rPr>
              <w:t>1</w:t>
            </w:r>
          </w:p>
        </w:tc>
        <w:tc>
          <w:tcPr>
            <w:tcW w:w="1984" w:type="dxa"/>
          </w:tcPr>
          <w:p>
            <w:pPr>
              <w:pStyle w:val="53"/>
              <w:jc w:val="both"/>
            </w:pPr>
            <w:r>
              <w:rPr>
                <w:rFonts w:hint="eastAsia" w:ascii="宋体" w:hAnsi="宋体" w:cs="宋体"/>
                <w:color w:val="000000" w:themeColor="text1"/>
              </w:rPr>
              <w:t>法人或者其他组织的营业执照等证明文件，自然人的身份证明</w:t>
            </w:r>
          </w:p>
        </w:tc>
        <w:tc>
          <w:tcPr>
            <w:tcW w:w="1276" w:type="dxa"/>
          </w:tcPr>
          <w:p>
            <w:pPr>
              <w:pStyle w:val="53"/>
              <w:jc w:val="both"/>
            </w:pPr>
          </w:p>
        </w:tc>
        <w:tc>
          <w:tcPr>
            <w:tcW w:w="2268" w:type="dxa"/>
          </w:tcPr>
          <w:p>
            <w:pPr>
              <w:pStyle w:val="53"/>
              <w:jc w:val="both"/>
            </w:pPr>
          </w:p>
        </w:tc>
        <w:tc>
          <w:tcPr>
            <w:tcW w:w="2568" w:type="dxa"/>
          </w:tcPr>
          <w:p>
            <w:pPr>
              <w:pStyle w:val="5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53"/>
              <w:jc w:val="both"/>
            </w:pPr>
            <w:r>
              <w:rPr>
                <w:rFonts w:hint="eastAsia"/>
              </w:rPr>
              <w:t>2</w:t>
            </w:r>
          </w:p>
        </w:tc>
        <w:tc>
          <w:tcPr>
            <w:tcW w:w="1984" w:type="dxa"/>
          </w:tcPr>
          <w:p>
            <w:pPr>
              <w:pStyle w:val="53"/>
              <w:jc w:val="both"/>
            </w:pPr>
            <w:r>
              <w:rPr>
                <w:rFonts w:hint="eastAsia" w:ascii="宋体" w:hAnsi="宋体" w:cs="宋体"/>
                <w:color w:val="000000" w:themeColor="text1"/>
              </w:rPr>
              <w:t>上一年度的财务报表（成立不满一年不需提供）</w:t>
            </w:r>
          </w:p>
        </w:tc>
        <w:tc>
          <w:tcPr>
            <w:tcW w:w="1276" w:type="dxa"/>
          </w:tcPr>
          <w:p>
            <w:pPr>
              <w:pStyle w:val="53"/>
              <w:jc w:val="both"/>
            </w:pPr>
          </w:p>
        </w:tc>
        <w:tc>
          <w:tcPr>
            <w:tcW w:w="2268" w:type="dxa"/>
          </w:tcPr>
          <w:p>
            <w:pPr>
              <w:pStyle w:val="53"/>
              <w:jc w:val="both"/>
            </w:pPr>
          </w:p>
        </w:tc>
        <w:tc>
          <w:tcPr>
            <w:tcW w:w="2568" w:type="dxa"/>
          </w:tcPr>
          <w:p>
            <w:pPr>
              <w:pStyle w:val="5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53"/>
              <w:jc w:val="both"/>
            </w:pPr>
            <w:r>
              <w:rPr>
                <w:rFonts w:hint="eastAsia"/>
              </w:rPr>
              <w:t>3</w:t>
            </w:r>
          </w:p>
        </w:tc>
        <w:tc>
          <w:tcPr>
            <w:tcW w:w="1984" w:type="dxa"/>
          </w:tcPr>
          <w:p>
            <w:pPr>
              <w:pStyle w:val="53"/>
              <w:jc w:val="both"/>
            </w:pPr>
            <w:r>
              <w:rPr>
                <w:rFonts w:hint="eastAsia" w:ascii="宋体" w:hAnsi="宋体" w:cs="宋体"/>
                <w:color w:val="000000" w:themeColor="text1"/>
              </w:rPr>
              <w:t>依法缴纳税收和社会保障资金的相关材料</w:t>
            </w:r>
          </w:p>
        </w:tc>
        <w:tc>
          <w:tcPr>
            <w:tcW w:w="1276" w:type="dxa"/>
          </w:tcPr>
          <w:p>
            <w:pPr>
              <w:pStyle w:val="53"/>
              <w:jc w:val="both"/>
            </w:pPr>
          </w:p>
        </w:tc>
        <w:tc>
          <w:tcPr>
            <w:tcW w:w="2268" w:type="dxa"/>
          </w:tcPr>
          <w:p>
            <w:pPr>
              <w:pStyle w:val="53"/>
              <w:jc w:val="both"/>
            </w:pPr>
          </w:p>
        </w:tc>
        <w:tc>
          <w:tcPr>
            <w:tcW w:w="2568" w:type="dxa"/>
          </w:tcPr>
          <w:p>
            <w:pPr>
              <w:pStyle w:val="5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53"/>
              <w:jc w:val="both"/>
            </w:pPr>
            <w:r>
              <w:rPr>
                <w:rFonts w:hint="eastAsia"/>
              </w:rPr>
              <w:t>4</w:t>
            </w:r>
          </w:p>
        </w:tc>
        <w:tc>
          <w:tcPr>
            <w:tcW w:w="1984" w:type="dxa"/>
          </w:tcPr>
          <w:p>
            <w:pPr>
              <w:pStyle w:val="53"/>
              <w:jc w:val="both"/>
            </w:pPr>
            <w:r>
              <w:rPr>
                <w:rFonts w:hint="eastAsia" w:ascii="宋体" w:hAnsi="宋体" w:cs="宋体"/>
                <w:color w:val="000000" w:themeColor="text1"/>
              </w:rPr>
              <w:t>具备履行合同所必需的设备和专业技术能力的书面声明</w:t>
            </w:r>
          </w:p>
        </w:tc>
        <w:tc>
          <w:tcPr>
            <w:tcW w:w="1276" w:type="dxa"/>
          </w:tcPr>
          <w:p>
            <w:pPr>
              <w:pStyle w:val="53"/>
              <w:jc w:val="both"/>
            </w:pPr>
          </w:p>
        </w:tc>
        <w:tc>
          <w:tcPr>
            <w:tcW w:w="2268" w:type="dxa"/>
          </w:tcPr>
          <w:p>
            <w:pPr>
              <w:pStyle w:val="53"/>
              <w:jc w:val="both"/>
            </w:pPr>
          </w:p>
        </w:tc>
        <w:tc>
          <w:tcPr>
            <w:tcW w:w="2568" w:type="dxa"/>
          </w:tcPr>
          <w:p>
            <w:pPr>
              <w:pStyle w:val="5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53"/>
              <w:jc w:val="both"/>
            </w:pPr>
            <w:r>
              <w:rPr>
                <w:rFonts w:hint="eastAsia"/>
              </w:rPr>
              <w:t>5</w:t>
            </w:r>
          </w:p>
        </w:tc>
        <w:tc>
          <w:tcPr>
            <w:tcW w:w="1984" w:type="dxa"/>
          </w:tcPr>
          <w:p>
            <w:pPr>
              <w:pStyle w:val="53"/>
              <w:jc w:val="both"/>
            </w:pPr>
            <w:r>
              <w:rPr>
                <w:rFonts w:hint="eastAsia" w:ascii="宋体" w:hAnsi="宋体" w:cs="宋体"/>
                <w:color w:val="000000" w:themeColor="text1"/>
              </w:rPr>
              <w:t>参加政府采购活动前3年内在经营活动中没有重大违法记录的书面声明</w:t>
            </w:r>
          </w:p>
        </w:tc>
        <w:tc>
          <w:tcPr>
            <w:tcW w:w="1276" w:type="dxa"/>
          </w:tcPr>
          <w:p>
            <w:pPr>
              <w:pStyle w:val="53"/>
              <w:jc w:val="both"/>
            </w:pPr>
          </w:p>
        </w:tc>
        <w:tc>
          <w:tcPr>
            <w:tcW w:w="2268" w:type="dxa"/>
          </w:tcPr>
          <w:p>
            <w:pPr>
              <w:pStyle w:val="53"/>
              <w:jc w:val="both"/>
            </w:pPr>
          </w:p>
        </w:tc>
        <w:tc>
          <w:tcPr>
            <w:tcW w:w="2568" w:type="dxa"/>
          </w:tcPr>
          <w:p>
            <w:pPr>
              <w:pStyle w:val="53"/>
              <w:jc w:val="both"/>
            </w:pPr>
          </w:p>
        </w:tc>
      </w:tr>
    </w:tbl>
    <w:p>
      <w:pPr>
        <w:pStyle w:val="53"/>
      </w:pPr>
    </w:p>
    <w:p>
      <w:pPr>
        <w:adjustRightInd w:val="0"/>
        <w:snapToGrid w:val="0"/>
        <w:spacing w:line="360" w:lineRule="auto"/>
        <w:ind w:firstLine="480" w:firstLineChars="200"/>
        <w:rPr>
          <w:rFonts w:ascii="宋体" w:hAnsi="宋体" w:cs="宋体"/>
          <w:bCs/>
          <w:color w:val="000000" w:themeColor="text1"/>
          <w:sz w:val="24"/>
          <w:szCs w:val="24"/>
          <w:u w:val="single"/>
        </w:rPr>
      </w:pPr>
      <w:r>
        <w:rPr>
          <w:rFonts w:hint="eastAsia" w:ascii="宋体" w:hAnsi="宋体" w:cs="宋体"/>
          <w:bCs/>
          <w:color w:val="000000" w:themeColor="text1"/>
          <w:sz w:val="24"/>
          <w:szCs w:val="24"/>
        </w:rPr>
        <w:t>（二）其他资格条件：</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一标段要求：</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人必须是在中华人民共和国境内注册从事车辆租赁经营实体，有长期提供招标人所需车辆租赁能力的服务商，或其具有合法授权委托手续的代理商。只有在法律上和财务上独立、合法、且与招标人、招标代理机构无直接利害关系、隶属关系的服务商或具有合法授权委托手续的代理商才能参加投标。</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所供出租车辆手续齐全，必须符合国家、行业技术标准和招标文件要求。车辆需按照国家相关规定进行投保（交强险，商业险以及相关的车损险）。其中，商业第三者责任险不低于壹佰万元，有购买车上人员责任险（乘客）（提供至少三部车辆信息，并承诺中标后按采购人要求购买不低于5万元每人的车上人员责任险）。承租车辆的驾驶员需持有有效的中华人民共和国正式驾驶证，</w:t>
      </w:r>
      <w:r>
        <w:rPr>
          <w:rFonts w:ascii="宋体" w:hAnsi="宋体" w:cs="宋体"/>
          <w:color w:val="000000" w:themeColor="text1"/>
          <w:sz w:val="24"/>
          <w:szCs w:val="24"/>
        </w:rPr>
        <w:t>按照车辆座位数列出对应的</w:t>
      </w:r>
      <w:r>
        <w:rPr>
          <w:rFonts w:hint="eastAsia" w:ascii="宋体" w:hAnsi="宋体" w:cs="宋体"/>
          <w:color w:val="000000" w:themeColor="text1"/>
          <w:sz w:val="24"/>
          <w:szCs w:val="24"/>
        </w:rPr>
        <w:t>驾驶员证件。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3.投标人近三年内没有被司法部门或行业管理部门查处；没有处于被责令停业、财产被接管、冻结、破产等状态。招标人中标后不得以任何方式进行转包。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4.投标人保证所供出租车辆行驶安全，如发生交通事故，一切责任均由投标人承担。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5.（一）服务用车</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校内小车服务市场投标人具有注册在其名下（含股东</w:t>
      </w:r>
      <w:r>
        <w:rPr>
          <w:rFonts w:ascii="宋体" w:hAnsi="宋体" w:cs="宋体"/>
          <w:color w:val="000000" w:themeColor="text1"/>
          <w:sz w:val="24"/>
          <w:szCs w:val="24"/>
        </w:rPr>
        <w:t>的</w:t>
      </w:r>
      <w:r>
        <w:rPr>
          <w:rFonts w:hint="eastAsia" w:ascii="宋体" w:hAnsi="宋体" w:cs="宋体"/>
          <w:color w:val="000000" w:themeColor="text1"/>
          <w:sz w:val="24"/>
          <w:szCs w:val="24"/>
        </w:rPr>
        <w:t>）的4座以上（7座以下）的品牌小轿车和6座以上（7座以下）的品牌的商务车和15座以下的品牌面包车，且都在有效期内。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（二）驾驶员</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校内小车服务市场投标人注册在其名下的驾驶员具有相对应</w:t>
      </w:r>
      <w:r>
        <w:rPr>
          <w:rFonts w:ascii="宋体" w:hAnsi="宋体" w:cs="宋体"/>
          <w:color w:val="000000" w:themeColor="text1"/>
          <w:sz w:val="24"/>
          <w:szCs w:val="24"/>
        </w:rPr>
        <w:t>车辆的</w:t>
      </w:r>
      <w:r>
        <w:rPr>
          <w:rFonts w:hint="eastAsia" w:ascii="宋体" w:hAnsi="宋体" w:cs="宋体"/>
          <w:color w:val="000000" w:themeColor="text1"/>
          <w:sz w:val="24"/>
          <w:szCs w:val="24"/>
        </w:rPr>
        <w:t>驾驶证，且都在有效期内。三名以上（含三名）驾驶员缴纳社会保险。</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6、投标人近三年内没有被司法部门或行业管理部门查处；没有处于被责令停业、财产被接管、冻结、破产等状态。招标人中标后不得以任何方式进行转包。</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7、未</w:t>
      </w:r>
      <w:r>
        <w:rPr>
          <w:rFonts w:hint="eastAsia" w:ascii="宋体" w:hAnsi="宋体" w:cs="宋体"/>
          <w:bCs/>
          <w:color w:val="000000" w:themeColor="text1"/>
          <w:sz w:val="24"/>
          <w:szCs w:val="24"/>
        </w:rPr>
        <w:t>被“信用中国”网站（www.creditchina.gov.cn）列入失信被执行人、重大税收违法案件当事人名单、政府采购严重失信行为记录名单。</w:t>
      </w:r>
    </w:p>
    <w:p>
      <w:pPr>
        <w:pStyle w:val="53"/>
      </w:pPr>
      <w:r>
        <w:rPr>
          <w:rFonts w:hint="eastAsia"/>
        </w:rPr>
        <w:t>注</w:t>
      </w:r>
      <w:r>
        <w:t>：所有资格条件按表</w:t>
      </w:r>
      <w:r>
        <w:rPr>
          <w:rFonts w:hint="eastAsia"/>
        </w:rPr>
        <w:t>3</w:t>
      </w:r>
      <w:r>
        <w:t>-5</w:t>
      </w:r>
      <w:r>
        <w:rPr>
          <w:rFonts w:hint="eastAsia"/>
        </w:rPr>
        <w:t>填写（表格</w:t>
      </w:r>
      <w:r>
        <w:t>可增添行数</w:t>
      </w:r>
      <w:r>
        <w:rPr>
          <w:rFonts w:hint="eastAsia"/>
        </w:rPr>
        <w:t>），其余</w:t>
      </w:r>
      <w:r>
        <w:t>资格条件</w:t>
      </w:r>
      <w:r>
        <w:rPr>
          <w:rFonts w:hint="eastAsia"/>
        </w:rPr>
        <w:t>提供</w:t>
      </w:r>
      <w:r>
        <w:t>目录及在标书中的页码。</w:t>
      </w:r>
    </w:p>
    <w:tbl>
      <w:tblPr>
        <w:tblStyle w:val="4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22"/>
        <w:gridCol w:w="992"/>
        <w:gridCol w:w="1276"/>
        <w:gridCol w:w="2410"/>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2" w:type="dxa"/>
            <w:gridSpan w:val="6"/>
          </w:tcPr>
          <w:p>
            <w:pPr>
              <w:pStyle w:val="53"/>
              <w:jc w:val="center"/>
            </w:pPr>
            <w:r>
              <w:rPr>
                <w:rFonts w:hint="eastAsia"/>
              </w:rPr>
              <w:t>表</w:t>
            </w:r>
            <w:r>
              <w:t>3</w:t>
            </w:r>
            <w:r>
              <w:rPr>
                <w:rFonts w:hint="eastAsia"/>
              </w:rPr>
              <w:t>.XXXXX</w:t>
            </w:r>
            <w:r>
              <w:t>公司</w:t>
            </w:r>
            <w:r>
              <w:rPr>
                <w:rFonts w:hint="eastAsia"/>
              </w:rPr>
              <w:t>供应商其他资格条件（一标段）-</w:t>
            </w:r>
            <w:r>
              <w:t>车辆</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序号</w:t>
            </w:r>
          </w:p>
        </w:tc>
        <w:tc>
          <w:tcPr>
            <w:tcW w:w="1222" w:type="dxa"/>
          </w:tcPr>
          <w:p>
            <w:pPr>
              <w:pStyle w:val="53"/>
              <w:jc w:val="center"/>
            </w:pPr>
            <w:r>
              <w:rPr>
                <w:rFonts w:hint="eastAsia"/>
              </w:rPr>
              <w:t>车辆牌号</w:t>
            </w:r>
          </w:p>
        </w:tc>
        <w:tc>
          <w:tcPr>
            <w:tcW w:w="992" w:type="dxa"/>
          </w:tcPr>
          <w:p>
            <w:pPr>
              <w:pStyle w:val="53"/>
              <w:jc w:val="center"/>
            </w:pPr>
            <w:r>
              <w:rPr>
                <w:rFonts w:hint="eastAsia"/>
              </w:rPr>
              <w:t>座位数（按</w:t>
            </w:r>
            <w:r>
              <w:t>由</w:t>
            </w:r>
            <w:r>
              <w:rPr>
                <w:rFonts w:hint="eastAsia"/>
              </w:rPr>
              <w:t>小</w:t>
            </w:r>
            <w:r>
              <w:t>到大填写</w:t>
            </w:r>
            <w:r>
              <w:rPr>
                <w:rFonts w:hint="eastAsia"/>
              </w:rPr>
              <w:t>）</w:t>
            </w:r>
          </w:p>
        </w:tc>
        <w:tc>
          <w:tcPr>
            <w:tcW w:w="1276" w:type="dxa"/>
          </w:tcPr>
          <w:p>
            <w:pPr>
              <w:pStyle w:val="53"/>
              <w:jc w:val="center"/>
            </w:pPr>
            <w:r>
              <w:rPr>
                <w:rFonts w:hint="eastAsia"/>
              </w:rPr>
              <w:t>购买</w:t>
            </w:r>
            <w:r>
              <w:t>日期</w:t>
            </w:r>
          </w:p>
          <w:p>
            <w:pPr>
              <w:pStyle w:val="53"/>
              <w:jc w:val="center"/>
            </w:pPr>
            <w:r>
              <w:rPr>
                <w:rFonts w:hint="eastAsia"/>
              </w:rPr>
              <w:t>（按</w:t>
            </w:r>
            <w:r>
              <w:t>由近及远填写</w:t>
            </w:r>
            <w:r>
              <w:rPr>
                <w:rFonts w:hint="eastAsia"/>
              </w:rPr>
              <w:t>）</w:t>
            </w:r>
          </w:p>
        </w:tc>
        <w:tc>
          <w:tcPr>
            <w:tcW w:w="2410" w:type="dxa"/>
          </w:tcPr>
          <w:p>
            <w:pPr>
              <w:pStyle w:val="53"/>
              <w:jc w:val="center"/>
            </w:pPr>
            <w:r>
              <w:rPr>
                <w:rFonts w:hint="eastAsia"/>
              </w:rPr>
              <w:t>乘客</w:t>
            </w:r>
            <w:r>
              <w:t>险</w:t>
            </w:r>
            <w:r>
              <w:rPr>
                <w:rFonts w:hint="eastAsia"/>
              </w:rPr>
              <w:t>（有、无）</w:t>
            </w:r>
          </w:p>
        </w:tc>
        <w:tc>
          <w:tcPr>
            <w:tcW w:w="2426" w:type="dxa"/>
          </w:tcPr>
          <w:p>
            <w:pPr>
              <w:pStyle w:val="53"/>
              <w:jc w:val="center"/>
            </w:pPr>
            <w:r>
              <w:rPr>
                <w:rFonts w:hint="eastAsia"/>
              </w:rPr>
              <w:t>行驶证</w:t>
            </w:r>
            <w:r>
              <w:t>复印件在标书中的页码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1</w:t>
            </w:r>
          </w:p>
        </w:tc>
        <w:tc>
          <w:tcPr>
            <w:tcW w:w="1222" w:type="dxa"/>
          </w:tcPr>
          <w:p>
            <w:pPr>
              <w:pStyle w:val="53"/>
              <w:jc w:val="center"/>
            </w:pPr>
          </w:p>
        </w:tc>
        <w:tc>
          <w:tcPr>
            <w:tcW w:w="992" w:type="dxa"/>
          </w:tcPr>
          <w:p>
            <w:pPr>
              <w:pStyle w:val="53"/>
              <w:jc w:val="center"/>
            </w:pPr>
          </w:p>
        </w:tc>
        <w:tc>
          <w:tcPr>
            <w:tcW w:w="1276" w:type="dxa"/>
          </w:tcPr>
          <w:p>
            <w:pPr>
              <w:pStyle w:val="53"/>
              <w:jc w:val="center"/>
            </w:pPr>
          </w:p>
        </w:tc>
        <w:tc>
          <w:tcPr>
            <w:tcW w:w="2410"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2</w:t>
            </w:r>
          </w:p>
        </w:tc>
        <w:tc>
          <w:tcPr>
            <w:tcW w:w="1222" w:type="dxa"/>
          </w:tcPr>
          <w:p>
            <w:pPr>
              <w:pStyle w:val="53"/>
              <w:jc w:val="center"/>
            </w:pPr>
          </w:p>
        </w:tc>
        <w:tc>
          <w:tcPr>
            <w:tcW w:w="992" w:type="dxa"/>
          </w:tcPr>
          <w:p>
            <w:pPr>
              <w:pStyle w:val="53"/>
              <w:jc w:val="center"/>
            </w:pPr>
          </w:p>
        </w:tc>
        <w:tc>
          <w:tcPr>
            <w:tcW w:w="1276" w:type="dxa"/>
          </w:tcPr>
          <w:p>
            <w:pPr>
              <w:pStyle w:val="53"/>
              <w:jc w:val="center"/>
            </w:pPr>
          </w:p>
        </w:tc>
        <w:tc>
          <w:tcPr>
            <w:tcW w:w="2410"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3</w:t>
            </w:r>
          </w:p>
        </w:tc>
        <w:tc>
          <w:tcPr>
            <w:tcW w:w="1222" w:type="dxa"/>
          </w:tcPr>
          <w:p>
            <w:pPr>
              <w:pStyle w:val="53"/>
              <w:jc w:val="center"/>
            </w:pPr>
          </w:p>
        </w:tc>
        <w:tc>
          <w:tcPr>
            <w:tcW w:w="992" w:type="dxa"/>
          </w:tcPr>
          <w:p>
            <w:pPr>
              <w:pStyle w:val="53"/>
              <w:jc w:val="center"/>
            </w:pPr>
          </w:p>
        </w:tc>
        <w:tc>
          <w:tcPr>
            <w:tcW w:w="1276" w:type="dxa"/>
          </w:tcPr>
          <w:p>
            <w:pPr>
              <w:pStyle w:val="53"/>
              <w:jc w:val="center"/>
            </w:pPr>
          </w:p>
        </w:tc>
        <w:tc>
          <w:tcPr>
            <w:tcW w:w="2410"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4</w:t>
            </w:r>
          </w:p>
        </w:tc>
        <w:tc>
          <w:tcPr>
            <w:tcW w:w="1222" w:type="dxa"/>
          </w:tcPr>
          <w:p>
            <w:pPr>
              <w:pStyle w:val="53"/>
              <w:jc w:val="center"/>
            </w:pPr>
          </w:p>
        </w:tc>
        <w:tc>
          <w:tcPr>
            <w:tcW w:w="992" w:type="dxa"/>
          </w:tcPr>
          <w:p>
            <w:pPr>
              <w:pStyle w:val="53"/>
              <w:jc w:val="center"/>
            </w:pPr>
          </w:p>
        </w:tc>
        <w:tc>
          <w:tcPr>
            <w:tcW w:w="1276" w:type="dxa"/>
          </w:tcPr>
          <w:p>
            <w:pPr>
              <w:pStyle w:val="53"/>
              <w:jc w:val="center"/>
            </w:pPr>
          </w:p>
        </w:tc>
        <w:tc>
          <w:tcPr>
            <w:tcW w:w="2410"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5</w:t>
            </w:r>
          </w:p>
        </w:tc>
        <w:tc>
          <w:tcPr>
            <w:tcW w:w="1222" w:type="dxa"/>
          </w:tcPr>
          <w:p>
            <w:pPr>
              <w:pStyle w:val="53"/>
              <w:jc w:val="center"/>
            </w:pPr>
          </w:p>
        </w:tc>
        <w:tc>
          <w:tcPr>
            <w:tcW w:w="992" w:type="dxa"/>
          </w:tcPr>
          <w:p>
            <w:pPr>
              <w:pStyle w:val="53"/>
              <w:jc w:val="center"/>
            </w:pPr>
          </w:p>
        </w:tc>
        <w:tc>
          <w:tcPr>
            <w:tcW w:w="1276" w:type="dxa"/>
          </w:tcPr>
          <w:p>
            <w:pPr>
              <w:pStyle w:val="53"/>
              <w:jc w:val="center"/>
            </w:pPr>
          </w:p>
        </w:tc>
        <w:tc>
          <w:tcPr>
            <w:tcW w:w="2410"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6</w:t>
            </w:r>
          </w:p>
        </w:tc>
        <w:tc>
          <w:tcPr>
            <w:tcW w:w="1222" w:type="dxa"/>
          </w:tcPr>
          <w:p>
            <w:pPr>
              <w:pStyle w:val="53"/>
              <w:jc w:val="center"/>
            </w:pPr>
          </w:p>
        </w:tc>
        <w:tc>
          <w:tcPr>
            <w:tcW w:w="992" w:type="dxa"/>
          </w:tcPr>
          <w:p>
            <w:pPr>
              <w:pStyle w:val="53"/>
              <w:jc w:val="center"/>
            </w:pPr>
          </w:p>
        </w:tc>
        <w:tc>
          <w:tcPr>
            <w:tcW w:w="1276" w:type="dxa"/>
          </w:tcPr>
          <w:p>
            <w:pPr>
              <w:pStyle w:val="53"/>
              <w:jc w:val="center"/>
            </w:pPr>
          </w:p>
        </w:tc>
        <w:tc>
          <w:tcPr>
            <w:tcW w:w="2410"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p>
        </w:tc>
        <w:tc>
          <w:tcPr>
            <w:tcW w:w="1222" w:type="dxa"/>
          </w:tcPr>
          <w:p>
            <w:pPr>
              <w:pStyle w:val="53"/>
              <w:jc w:val="center"/>
            </w:pPr>
          </w:p>
        </w:tc>
        <w:tc>
          <w:tcPr>
            <w:tcW w:w="992" w:type="dxa"/>
          </w:tcPr>
          <w:p>
            <w:pPr>
              <w:pStyle w:val="53"/>
              <w:jc w:val="center"/>
            </w:pPr>
          </w:p>
        </w:tc>
        <w:tc>
          <w:tcPr>
            <w:tcW w:w="1276" w:type="dxa"/>
          </w:tcPr>
          <w:p>
            <w:pPr>
              <w:pStyle w:val="53"/>
              <w:jc w:val="center"/>
            </w:pPr>
          </w:p>
        </w:tc>
        <w:tc>
          <w:tcPr>
            <w:tcW w:w="2410"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p>
        </w:tc>
        <w:tc>
          <w:tcPr>
            <w:tcW w:w="1222" w:type="dxa"/>
          </w:tcPr>
          <w:p>
            <w:pPr>
              <w:pStyle w:val="53"/>
              <w:jc w:val="center"/>
            </w:pPr>
          </w:p>
        </w:tc>
        <w:tc>
          <w:tcPr>
            <w:tcW w:w="992" w:type="dxa"/>
          </w:tcPr>
          <w:p>
            <w:pPr>
              <w:pStyle w:val="53"/>
              <w:jc w:val="center"/>
            </w:pPr>
          </w:p>
        </w:tc>
        <w:tc>
          <w:tcPr>
            <w:tcW w:w="1276" w:type="dxa"/>
          </w:tcPr>
          <w:p>
            <w:pPr>
              <w:pStyle w:val="53"/>
              <w:jc w:val="center"/>
            </w:pPr>
          </w:p>
        </w:tc>
        <w:tc>
          <w:tcPr>
            <w:tcW w:w="2410" w:type="dxa"/>
          </w:tcPr>
          <w:p>
            <w:pPr>
              <w:pStyle w:val="53"/>
              <w:jc w:val="center"/>
            </w:pPr>
          </w:p>
        </w:tc>
        <w:tc>
          <w:tcPr>
            <w:tcW w:w="2426" w:type="dxa"/>
          </w:tcPr>
          <w:p>
            <w:pPr>
              <w:pStyle w:val="53"/>
              <w:jc w:val="center"/>
            </w:pPr>
          </w:p>
        </w:tc>
      </w:tr>
    </w:tbl>
    <w:p>
      <w:pPr>
        <w:pStyle w:val="53"/>
      </w:pPr>
    </w:p>
    <w:tbl>
      <w:tblPr>
        <w:tblStyle w:val="4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80"/>
        <w:gridCol w:w="542"/>
        <w:gridCol w:w="709"/>
        <w:gridCol w:w="1318"/>
        <w:gridCol w:w="1233"/>
        <w:gridCol w:w="184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gridSpan w:val="2"/>
          </w:tcPr>
          <w:p>
            <w:pPr>
              <w:pStyle w:val="53"/>
              <w:jc w:val="center"/>
            </w:pPr>
          </w:p>
        </w:tc>
        <w:tc>
          <w:tcPr>
            <w:tcW w:w="8071" w:type="dxa"/>
            <w:gridSpan w:val="6"/>
          </w:tcPr>
          <w:p>
            <w:pPr>
              <w:pStyle w:val="53"/>
              <w:jc w:val="center"/>
            </w:pPr>
            <w:r>
              <w:rPr>
                <w:rFonts w:hint="eastAsia"/>
              </w:rPr>
              <w:t>表</w:t>
            </w:r>
            <w:r>
              <w:t>4</w:t>
            </w:r>
            <w:r>
              <w:rPr>
                <w:rFonts w:hint="eastAsia"/>
              </w:rPr>
              <w:t>.XXXXX</w:t>
            </w:r>
            <w:r>
              <w:t>公司</w:t>
            </w:r>
            <w:r>
              <w:rPr>
                <w:rFonts w:hint="eastAsia"/>
              </w:rPr>
              <w:t>供应商其他资格条件（一标段）-驾驶员信息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r>
              <w:rPr>
                <w:rFonts w:hint="eastAsia"/>
              </w:rPr>
              <w:t>序号</w:t>
            </w:r>
          </w:p>
        </w:tc>
        <w:tc>
          <w:tcPr>
            <w:tcW w:w="822" w:type="dxa"/>
            <w:gridSpan w:val="2"/>
          </w:tcPr>
          <w:p>
            <w:pPr>
              <w:pStyle w:val="53"/>
              <w:jc w:val="center"/>
            </w:pPr>
            <w:r>
              <w:rPr>
                <w:rFonts w:hint="eastAsia"/>
              </w:rPr>
              <w:t>驾驶员姓名</w:t>
            </w:r>
          </w:p>
        </w:tc>
        <w:tc>
          <w:tcPr>
            <w:tcW w:w="709" w:type="dxa"/>
          </w:tcPr>
          <w:p>
            <w:pPr>
              <w:pStyle w:val="53"/>
              <w:jc w:val="center"/>
            </w:pPr>
            <w:r>
              <w:rPr>
                <w:rFonts w:hint="eastAsia"/>
              </w:rPr>
              <w:t>年龄</w:t>
            </w:r>
          </w:p>
        </w:tc>
        <w:tc>
          <w:tcPr>
            <w:tcW w:w="1318" w:type="dxa"/>
          </w:tcPr>
          <w:p>
            <w:pPr>
              <w:pStyle w:val="53"/>
              <w:jc w:val="center"/>
            </w:pPr>
            <w:r>
              <w:rPr>
                <w:rFonts w:hint="eastAsia"/>
              </w:rPr>
              <w:t>驾龄（按照</w:t>
            </w:r>
            <w:r>
              <w:t>驾龄从高</w:t>
            </w:r>
            <w:r>
              <w:rPr>
                <w:rFonts w:hint="eastAsia"/>
              </w:rPr>
              <w:t>到低</w:t>
            </w:r>
            <w:r>
              <w:t>排</w:t>
            </w:r>
            <w:r>
              <w:rPr>
                <w:rFonts w:hint="eastAsia"/>
              </w:rPr>
              <w:t>）</w:t>
            </w:r>
          </w:p>
        </w:tc>
        <w:tc>
          <w:tcPr>
            <w:tcW w:w="1233" w:type="dxa"/>
          </w:tcPr>
          <w:p>
            <w:pPr>
              <w:pStyle w:val="53"/>
              <w:jc w:val="center"/>
            </w:pPr>
            <w:r>
              <w:rPr>
                <w:rFonts w:hint="eastAsia"/>
              </w:rPr>
              <w:t>驾照类型</w:t>
            </w:r>
          </w:p>
        </w:tc>
        <w:tc>
          <w:tcPr>
            <w:tcW w:w="1843" w:type="dxa"/>
          </w:tcPr>
          <w:p>
            <w:pPr>
              <w:pStyle w:val="53"/>
              <w:jc w:val="center"/>
            </w:pPr>
            <w:r>
              <w:rPr>
                <w:rFonts w:hint="eastAsia"/>
              </w:rPr>
              <w:t>乘客</w:t>
            </w:r>
            <w:r>
              <w:t>险</w:t>
            </w:r>
            <w:r>
              <w:rPr>
                <w:rFonts w:hint="eastAsia"/>
              </w:rPr>
              <w:t>（万元）</w:t>
            </w:r>
          </w:p>
        </w:tc>
        <w:tc>
          <w:tcPr>
            <w:tcW w:w="2426" w:type="dxa"/>
          </w:tcPr>
          <w:p>
            <w:pPr>
              <w:pStyle w:val="53"/>
              <w:jc w:val="center"/>
            </w:pPr>
            <w:r>
              <w:rPr>
                <w:rFonts w:hint="eastAsia"/>
              </w:rPr>
              <w:t>社会保险、驾</w:t>
            </w:r>
            <w:r>
              <w:t>驶证、身份证复印件在标书中</w:t>
            </w:r>
            <w:r>
              <w:rPr>
                <w:rFonts w:hint="eastAsia"/>
              </w:rPr>
              <w:t>的</w:t>
            </w:r>
            <w: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r>
              <w:rPr>
                <w:rFonts w:hint="eastAsia"/>
              </w:rPr>
              <w:t>1</w:t>
            </w:r>
          </w:p>
        </w:tc>
        <w:tc>
          <w:tcPr>
            <w:tcW w:w="822" w:type="dxa"/>
            <w:gridSpan w:val="2"/>
          </w:tcPr>
          <w:p>
            <w:pPr>
              <w:pStyle w:val="53"/>
              <w:jc w:val="center"/>
            </w:pPr>
          </w:p>
        </w:tc>
        <w:tc>
          <w:tcPr>
            <w:tcW w:w="709" w:type="dxa"/>
          </w:tcPr>
          <w:p>
            <w:pPr>
              <w:pStyle w:val="53"/>
              <w:jc w:val="center"/>
            </w:pPr>
          </w:p>
        </w:tc>
        <w:tc>
          <w:tcPr>
            <w:tcW w:w="1318" w:type="dxa"/>
          </w:tcPr>
          <w:p>
            <w:pPr>
              <w:pStyle w:val="53"/>
              <w:jc w:val="center"/>
            </w:pPr>
          </w:p>
        </w:tc>
        <w:tc>
          <w:tcPr>
            <w:tcW w:w="1233" w:type="dxa"/>
          </w:tcPr>
          <w:p>
            <w:pPr>
              <w:pStyle w:val="53"/>
              <w:jc w:val="center"/>
            </w:pPr>
          </w:p>
        </w:tc>
        <w:tc>
          <w:tcPr>
            <w:tcW w:w="1843"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r>
              <w:rPr>
                <w:rFonts w:hint="eastAsia"/>
              </w:rPr>
              <w:t>2</w:t>
            </w:r>
          </w:p>
        </w:tc>
        <w:tc>
          <w:tcPr>
            <w:tcW w:w="822" w:type="dxa"/>
            <w:gridSpan w:val="2"/>
          </w:tcPr>
          <w:p>
            <w:pPr>
              <w:pStyle w:val="53"/>
              <w:jc w:val="center"/>
            </w:pPr>
          </w:p>
        </w:tc>
        <w:tc>
          <w:tcPr>
            <w:tcW w:w="709" w:type="dxa"/>
          </w:tcPr>
          <w:p>
            <w:pPr>
              <w:pStyle w:val="53"/>
              <w:jc w:val="center"/>
            </w:pPr>
          </w:p>
        </w:tc>
        <w:tc>
          <w:tcPr>
            <w:tcW w:w="1318" w:type="dxa"/>
          </w:tcPr>
          <w:p>
            <w:pPr>
              <w:pStyle w:val="53"/>
              <w:jc w:val="center"/>
            </w:pPr>
          </w:p>
        </w:tc>
        <w:tc>
          <w:tcPr>
            <w:tcW w:w="1233" w:type="dxa"/>
          </w:tcPr>
          <w:p>
            <w:pPr>
              <w:pStyle w:val="53"/>
              <w:jc w:val="center"/>
            </w:pPr>
          </w:p>
        </w:tc>
        <w:tc>
          <w:tcPr>
            <w:tcW w:w="1843"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r>
              <w:rPr>
                <w:rFonts w:hint="eastAsia"/>
              </w:rPr>
              <w:t>3</w:t>
            </w:r>
          </w:p>
        </w:tc>
        <w:tc>
          <w:tcPr>
            <w:tcW w:w="822" w:type="dxa"/>
            <w:gridSpan w:val="2"/>
          </w:tcPr>
          <w:p>
            <w:pPr>
              <w:pStyle w:val="53"/>
              <w:jc w:val="center"/>
            </w:pPr>
          </w:p>
        </w:tc>
        <w:tc>
          <w:tcPr>
            <w:tcW w:w="709" w:type="dxa"/>
          </w:tcPr>
          <w:p>
            <w:pPr>
              <w:pStyle w:val="53"/>
              <w:jc w:val="center"/>
            </w:pPr>
          </w:p>
        </w:tc>
        <w:tc>
          <w:tcPr>
            <w:tcW w:w="1318" w:type="dxa"/>
          </w:tcPr>
          <w:p>
            <w:pPr>
              <w:pStyle w:val="53"/>
              <w:jc w:val="center"/>
            </w:pPr>
          </w:p>
        </w:tc>
        <w:tc>
          <w:tcPr>
            <w:tcW w:w="1233" w:type="dxa"/>
          </w:tcPr>
          <w:p>
            <w:pPr>
              <w:pStyle w:val="53"/>
              <w:jc w:val="center"/>
            </w:pPr>
          </w:p>
        </w:tc>
        <w:tc>
          <w:tcPr>
            <w:tcW w:w="1843"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r>
              <w:rPr>
                <w:rFonts w:hint="eastAsia"/>
              </w:rPr>
              <w:t>4</w:t>
            </w:r>
          </w:p>
        </w:tc>
        <w:tc>
          <w:tcPr>
            <w:tcW w:w="822" w:type="dxa"/>
            <w:gridSpan w:val="2"/>
          </w:tcPr>
          <w:p>
            <w:pPr>
              <w:pStyle w:val="53"/>
              <w:jc w:val="center"/>
            </w:pPr>
          </w:p>
        </w:tc>
        <w:tc>
          <w:tcPr>
            <w:tcW w:w="709" w:type="dxa"/>
          </w:tcPr>
          <w:p>
            <w:pPr>
              <w:pStyle w:val="53"/>
              <w:jc w:val="center"/>
            </w:pPr>
          </w:p>
        </w:tc>
        <w:tc>
          <w:tcPr>
            <w:tcW w:w="1318" w:type="dxa"/>
          </w:tcPr>
          <w:p>
            <w:pPr>
              <w:pStyle w:val="53"/>
              <w:jc w:val="center"/>
            </w:pPr>
          </w:p>
        </w:tc>
        <w:tc>
          <w:tcPr>
            <w:tcW w:w="1233" w:type="dxa"/>
          </w:tcPr>
          <w:p>
            <w:pPr>
              <w:pStyle w:val="53"/>
              <w:jc w:val="center"/>
            </w:pPr>
          </w:p>
        </w:tc>
        <w:tc>
          <w:tcPr>
            <w:tcW w:w="1843"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r>
              <w:rPr>
                <w:rFonts w:hint="eastAsia"/>
              </w:rPr>
              <w:t>5</w:t>
            </w:r>
          </w:p>
        </w:tc>
        <w:tc>
          <w:tcPr>
            <w:tcW w:w="822" w:type="dxa"/>
            <w:gridSpan w:val="2"/>
          </w:tcPr>
          <w:p>
            <w:pPr>
              <w:pStyle w:val="53"/>
              <w:jc w:val="center"/>
            </w:pPr>
          </w:p>
        </w:tc>
        <w:tc>
          <w:tcPr>
            <w:tcW w:w="709" w:type="dxa"/>
          </w:tcPr>
          <w:p>
            <w:pPr>
              <w:pStyle w:val="53"/>
              <w:jc w:val="center"/>
            </w:pPr>
          </w:p>
        </w:tc>
        <w:tc>
          <w:tcPr>
            <w:tcW w:w="1318" w:type="dxa"/>
          </w:tcPr>
          <w:p>
            <w:pPr>
              <w:pStyle w:val="53"/>
              <w:jc w:val="center"/>
            </w:pPr>
          </w:p>
        </w:tc>
        <w:tc>
          <w:tcPr>
            <w:tcW w:w="1233" w:type="dxa"/>
          </w:tcPr>
          <w:p>
            <w:pPr>
              <w:pStyle w:val="53"/>
              <w:jc w:val="center"/>
            </w:pPr>
          </w:p>
        </w:tc>
        <w:tc>
          <w:tcPr>
            <w:tcW w:w="1843"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r>
              <w:rPr>
                <w:rFonts w:hint="eastAsia"/>
              </w:rPr>
              <w:t>6</w:t>
            </w:r>
          </w:p>
        </w:tc>
        <w:tc>
          <w:tcPr>
            <w:tcW w:w="822" w:type="dxa"/>
            <w:gridSpan w:val="2"/>
          </w:tcPr>
          <w:p>
            <w:pPr>
              <w:pStyle w:val="53"/>
              <w:jc w:val="center"/>
            </w:pPr>
          </w:p>
        </w:tc>
        <w:tc>
          <w:tcPr>
            <w:tcW w:w="709" w:type="dxa"/>
          </w:tcPr>
          <w:p>
            <w:pPr>
              <w:pStyle w:val="53"/>
              <w:jc w:val="center"/>
            </w:pPr>
          </w:p>
        </w:tc>
        <w:tc>
          <w:tcPr>
            <w:tcW w:w="1318" w:type="dxa"/>
          </w:tcPr>
          <w:p>
            <w:pPr>
              <w:pStyle w:val="53"/>
              <w:jc w:val="center"/>
            </w:pPr>
          </w:p>
        </w:tc>
        <w:tc>
          <w:tcPr>
            <w:tcW w:w="1233" w:type="dxa"/>
          </w:tcPr>
          <w:p>
            <w:pPr>
              <w:pStyle w:val="53"/>
              <w:jc w:val="center"/>
            </w:pPr>
          </w:p>
        </w:tc>
        <w:tc>
          <w:tcPr>
            <w:tcW w:w="1843"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p>
        </w:tc>
        <w:tc>
          <w:tcPr>
            <w:tcW w:w="822" w:type="dxa"/>
            <w:gridSpan w:val="2"/>
          </w:tcPr>
          <w:p>
            <w:pPr>
              <w:pStyle w:val="53"/>
              <w:jc w:val="center"/>
            </w:pPr>
          </w:p>
        </w:tc>
        <w:tc>
          <w:tcPr>
            <w:tcW w:w="709" w:type="dxa"/>
          </w:tcPr>
          <w:p>
            <w:pPr>
              <w:pStyle w:val="53"/>
              <w:jc w:val="center"/>
            </w:pPr>
          </w:p>
        </w:tc>
        <w:tc>
          <w:tcPr>
            <w:tcW w:w="1318" w:type="dxa"/>
          </w:tcPr>
          <w:p>
            <w:pPr>
              <w:pStyle w:val="53"/>
              <w:jc w:val="center"/>
            </w:pPr>
          </w:p>
        </w:tc>
        <w:tc>
          <w:tcPr>
            <w:tcW w:w="1233" w:type="dxa"/>
          </w:tcPr>
          <w:p>
            <w:pPr>
              <w:pStyle w:val="53"/>
              <w:jc w:val="center"/>
            </w:pPr>
          </w:p>
        </w:tc>
        <w:tc>
          <w:tcPr>
            <w:tcW w:w="1843" w:type="dxa"/>
          </w:tcPr>
          <w:p>
            <w:pPr>
              <w:pStyle w:val="53"/>
              <w:jc w:val="center"/>
            </w:pPr>
          </w:p>
        </w:tc>
        <w:tc>
          <w:tcPr>
            <w:tcW w:w="2426"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 w:type="dxa"/>
          </w:tcPr>
          <w:p>
            <w:pPr>
              <w:pStyle w:val="53"/>
              <w:jc w:val="center"/>
            </w:pPr>
          </w:p>
        </w:tc>
        <w:tc>
          <w:tcPr>
            <w:tcW w:w="822" w:type="dxa"/>
            <w:gridSpan w:val="2"/>
          </w:tcPr>
          <w:p>
            <w:pPr>
              <w:pStyle w:val="53"/>
              <w:jc w:val="center"/>
            </w:pPr>
          </w:p>
        </w:tc>
        <w:tc>
          <w:tcPr>
            <w:tcW w:w="709" w:type="dxa"/>
          </w:tcPr>
          <w:p>
            <w:pPr>
              <w:pStyle w:val="53"/>
              <w:jc w:val="center"/>
            </w:pPr>
          </w:p>
        </w:tc>
        <w:tc>
          <w:tcPr>
            <w:tcW w:w="1318" w:type="dxa"/>
          </w:tcPr>
          <w:p>
            <w:pPr>
              <w:pStyle w:val="53"/>
              <w:jc w:val="center"/>
            </w:pPr>
          </w:p>
        </w:tc>
        <w:tc>
          <w:tcPr>
            <w:tcW w:w="1233" w:type="dxa"/>
          </w:tcPr>
          <w:p>
            <w:pPr>
              <w:pStyle w:val="53"/>
              <w:jc w:val="center"/>
            </w:pPr>
          </w:p>
        </w:tc>
        <w:tc>
          <w:tcPr>
            <w:tcW w:w="1843" w:type="dxa"/>
          </w:tcPr>
          <w:p>
            <w:pPr>
              <w:pStyle w:val="53"/>
              <w:jc w:val="center"/>
            </w:pPr>
          </w:p>
        </w:tc>
        <w:tc>
          <w:tcPr>
            <w:tcW w:w="2426" w:type="dxa"/>
          </w:tcPr>
          <w:p>
            <w:pPr>
              <w:pStyle w:val="53"/>
              <w:jc w:val="center"/>
            </w:pPr>
          </w:p>
        </w:tc>
      </w:tr>
    </w:tbl>
    <w:p>
      <w:pPr>
        <w:pStyle w:val="53"/>
      </w:pP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二标段要求：</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人必须是在中华人民共和国境内注册从事车辆租赁经营实体，有长期提供招标人所需车辆租赁能力的服务商，或其具有合法授权委托手续的代理商。只有在法律上和财务上独立、合法、且与招标人、招标代理机构无直接利害关系、隶属关系的服务商或具有合法授权委托手续的代理商才能参加投标。</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2.投标人所供出租车辆手续齐全，必须符合国家、行业技术标准和招标文件要求。车辆需按照国家相关规定进行投保（交强险，商业险以及相关的车损险）。其中，商业第三者责任险不低于壹佰万元，</w:t>
      </w:r>
      <w:r>
        <w:rPr>
          <w:rFonts w:hint="eastAsia" w:ascii="宋体" w:hAnsi="宋体" w:cs="宋体"/>
          <w:color w:val="FF0000"/>
          <w:sz w:val="24"/>
          <w:szCs w:val="24"/>
        </w:rPr>
        <w:t>有购买车上人员责任险（乘客）（提供至少三部车辆信息，并承诺中标后按采购人要求购买不低于一定金额的车上人员责任险</w:t>
      </w:r>
      <w:r>
        <w:rPr>
          <w:rFonts w:hint="eastAsia" w:ascii="宋体" w:hAnsi="宋体" w:cs="宋体"/>
          <w:color w:val="000000" w:themeColor="text1"/>
          <w:sz w:val="24"/>
          <w:szCs w:val="24"/>
        </w:rPr>
        <w:t>）。承租车辆的驾驶员需持有有效的中华人民共和国正式A</w:t>
      </w:r>
      <w:r>
        <w:rPr>
          <w:rFonts w:ascii="宋体" w:hAnsi="宋体" w:cs="宋体"/>
          <w:color w:val="000000" w:themeColor="text1"/>
          <w:sz w:val="24"/>
          <w:szCs w:val="24"/>
        </w:rPr>
        <w:t>1</w:t>
      </w:r>
      <w:r>
        <w:rPr>
          <w:rFonts w:hint="eastAsia" w:ascii="宋体" w:hAnsi="宋体" w:cs="宋体"/>
          <w:color w:val="000000" w:themeColor="text1"/>
          <w:sz w:val="24"/>
          <w:szCs w:val="24"/>
        </w:rPr>
        <w:t>驾驶证。</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3.投标人近三年内没有被司法部门或行业管理部门查处；没有处于被责令停业、财产被接管、冻结、破产等状态。招标人中标后不得以任何方式进行转包。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4.投标人保证所供出租车辆行驶安全，如发生交通事故，一切责任均由投标人承担。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5.投标人须具有道路运输经营</w:t>
      </w:r>
      <w:r>
        <w:rPr>
          <w:rFonts w:ascii="宋体" w:hAnsi="宋体" w:cs="宋体"/>
          <w:color w:val="000000" w:themeColor="text1"/>
          <w:sz w:val="24"/>
          <w:szCs w:val="24"/>
        </w:rPr>
        <w:t>许可证</w:t>
      </w:r>
      <w:r>
        <w:rPr>
          <w:rFonts w:hint="eastAsia" w:ascii="宋体" w:hAnsi="宋体" w:cs="宋体"/>
          <w:color w:val="000000" w:themeColor="text1"/>
          <w:sz w:val="24"/>
          <w:szCs w:val="24"/>
        </w:rPr>
        <w:t>，大</w:t>
      </w:r>
      <w:r>
        <w:rPr>
          <w:rFonts w:ascii="宋体" w:hAnsi="宋体" w:cs="宋体"/>
          <w:color w:val="000000" w:themeColor="text1"/>
          <w:sz w:val="24"/>
          <w:szCs w:val="24"/>
        </w:rPr>
        <w:t>巴车</w:t>
      </w:r>
      <w:r>
        <w:rPr>
          <w:rFonts w:hint="eastAsia" w:ascii="宋体" w:hAnsi="宋体" w:cs="宋体"/>
          <w:color w:val="000000" w:themeColor="text1"/>
          <w:sz w:val="24"/>
          <w:szCs w:val="24"/>
        </w:rPr>
        <w:t>市际</w:t>
      </w:r>
      <w:r>
        <w:rPr>
          <w:rFonts w:ascii="宋体" w:hAnsi="宋体" w:cs="宋体"/>
          <w:color w:val="000000" w:themeColor="text1"/>
          <w:sz w:val="24"/>
          <w:szCs w:val="24"/>
        </w:rPr>
        <w:t>以上营运证</w:t>
      </w:r>
      <w:r>
        <w:rPr>
          <w:rFonts w:hint="eastAsia" w:ascii="宋体" w:hAnsi="宋体" w:cs="宋体"/>
          <w:color w:val="000000" w:themeColor="text1"/>
          <w:sz w:val="24"/>
          <w:szCs w:val="24"/>
        </w:rPr>
        <w:t>。且投标公司有营运证车辆必须达5辆以上。</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6、投标人近三年内没有被司法部门或行业管理部门查处；没有处于被责令停业、财产被接管、冻结、破产等状态。招标人中标后不得以任何方式进行转包。</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7、未</w:t>
      </w:r>
      <w:r>
        <w:rPr>
          <w:rFonts w:hint="eastAsia" w:ascii="宋体" w:hAnsi="宋体" w:cs="宋体"/>
          <w:bCs/>
          <w:color w:val="000000" w:themeColor="text1"/>
          <w:sz w:val="24"/>
          <w:szCs w:val="24"/>
        </w:rPr>
        <w:t>被“信用中国”网站（www.creditchina.gov.cn）列入失信被执行人、重大税收违法案件当事人名单、政府采购严重失信行为记录名单。</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注</w:t>
      </w:r>
      <w:r>
        <w:rPr>
          <w:rFonts w:ascii="宋体" w:hAnsi="宋体" w:cs="宋体"/>
          <w:bCs/>
          <w:color w:val="000000" w:themeColor="text1"/>
          <w:sz w:val="24"/>
          <w:szCs w:val="24"/>
        </w:rPr>
        <w:t>：资格条件按表</w:t>
      </w:r>
      <w:r>
        <w:rPr>
          <w:rFonts w:hint="eastAsia" w:ascii="宋体" w:hAnsi="宋体" w:cs="宋体"/>
          <w:bCs/>
          <w:color w:val="000000" w:themeColor="text1"/>
          <w:sz w:val="24"/>
          <w:szCs w:val="24"/>
        </w:rPr>
        <w:t>6、7填写</w:t>
      </w:r>
      <w:r>
        <w:rPr>
          <w:rFonts w:ascii="宋体" w:hAnsi="宋体" w:cs="宋体"/>
          <w:bCs/>
          <w:color w:val="000000" w:themeColor="text1"/>
          <w:sz w:val="24"/>
          <w:szCs w:val="24"/>
        </w:rPr>
        <w:t>，</w:t>
      </w:r>
      <w:r>
        <w:rPr>
          <w:rFonts w:hint="eastAsia" w:ascii="宋体" w:hAnsi="宋体" w:cs="宋体"/>
          <w:bCs/>
          <w:color w:val="000000" w:themeColor="text1"/>
          <w:sz w:val="24"/>
          <w:szCs w:val="24"/>
        </w:rPr>
        <w:t>其他</w:t>
      </w:r>
      <w:r>
        <w:rPr>
          <w:rFonts w:ascii="宋体" w:hAnsi="宋体" w:cs="宋体"/>
          <w:bCs/>
          <w:color w:val="000000" w:themeColor="text1"/>
          <w:sz w:val="24"/>
          <w:szCs w:val="24"/>
        </w:rPr>
        <w:t>未在表格中的资格条件请</w:t>
      </w:r>
      <w:r>
        <w:rPr>
          <w:rFonts w:hint="eastAsia" w:ascii="宋体" w:hAnsi="宋体" w:cs="宋体"/>
          <w:bCs/>
          <w:color w:val="000000" w:themeColor="text1"/>
          <w:sz w:val="24"/>
          <w:szCs w:val="24"/>
        </w:rPr>
        <w:t>在</w:t>
      </w:r>
      <w:r>
        <w:rPr>
          <w:rFonts w:ascii="宋体" w:hAnsi="宋体" w:cs="宋体"/>
          <w:bCs/>
          <w:color w:val="000000" w:themeColor="text1"/>
          <w:sz w:val="24"/>
          <w:szCs w:val="24"/>
        </w:rPr>
        <w:t>标书提供目录以及复印件</w:t>
      </w:r>
    </w:p>
    <w:tbl>
      <w:tblPr>
        <w:tblStyle w:val="4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22"/>
        <w:gridCol w:w="1701"/>
        <w:gridCol w:w="2126"/>
        <w:gridCol w:w="1985"/>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2" w:type="dxa"/>
            <w:gridSpan w:val="6"/>
          </w:tcPr>
          <w:p>
            <w:pPr>
              <w:pStyle w:val="53"/>
              <w:jc w:val="center"/>
            </w:pPr>
            <w:r>
              <w:rPr>
                <w:rFonts w:hint="eastAsia"/>
              </w:rPr>
              <w:t>表</w:t>
            </w:r>
            <w:r>
              <w:t>6</w:t>
            </w:r>
            <w:r>
              <w:rPr>
                <w:rFonts w:hint="eastAsia"/>
              </w:rPr>
              <w:t>.XXXXX</w:t>
            </w:r>
            <w:r>
              <w:t>公司</w:t>
            </w:r>
            <w:r>
              <w:rPr>
                <w:rFonts w:hint="eastAsia"/>
              </w:rPr>
              <w:t>供应商其他资格条件（二标段）-</w:t>
            </w:r>
            <w:r>
              <w:t>车辆</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序号</w:t>
            </w:r>
          </w:p>
        </w:tc>
        <w:tc>
          <w:tcPr>
            <w:tcW w:w="1222" w:type="dxa"/>
          </w:tcPr>
          <w:p>
            <w:pPr>
              <w:pStyle w:val="53"/>
              <w:jc w:val="center"/>
            </w:pPr>
            <w:r>
              <w:rPr>
                <w:rFonts w:hint="eastAsia"/>
              </w:rPr>
              <w:t>车辆牌号</w:t>
            </w:r>
          </w:p>
        </w:tc>
        <w:tc>
          <w:tcPr>
            <w:tcW w:w="1701" w:type="dxa"/>
          </w:tcPr>
          <w:p>
            <w:pPr>
              <w:pStyle w:val="53"/>
              <w:jc w:val="center"/>
            </w:pPr>
            <w:r>
              <w:rPr>
                <w:rFonts w:hint="eastAsia"/>
              </w:rPr>
              <w:t>座位数（按</w:t>
            </w:r>
            <w:r>
              <w:t>由</w:t>
            </w:r>
            <w:r>
              <w:rPr>
                <w:rFonts w:hint="eastAsia"/>
              </w:rPr>
              <w:t>小</w:t>
            </w:r>
            <w:r>
              <w:t>到大填写</w:t>
            </w:r>
            <w:r>
              <w:rPr>
                <w:rFonts w:hint="eastAsia"/>
              </w:rPr>
              <w:t>）</w:t>
            </w:r>
          </w:p>
        </w:tc>
        <w:tc>
          <w:tcPr>
            <w:tcW w:w="2126" w:type="dxa"/>
          </w:tcPr>
          <w:p>
            <w:pPr>
              <w:pStyle w:val="53"/>
              <w:jc w:val="center"/>
            </w:pPr>
            <w:r>
              <w:rPr>
                <w:rFonts w:hint="eastAsia"/>
              </w:rPr>
              <w:t>购买</w:t>
            </w:r>
            <w:r>
              <w:t>日期</w:t>
            </w:r>
          </w:p>
          <w:p>
            <w:pPr>
              <w:pStyle w:val="53"/>
              <w:jc w:val="center"/>
            </w:pPr>
            <w:r>
              <w:rPr>
                <w:rFonts w:hint="eastAsia"/>
              </w:rPr>
              <w:t>（按</w:t>
            </w:r>
            <w:r>
              <w:t>由近及远填写</w:t>
            </w:r>
            <w:r>
              <w:rPr>
                <w:rFonts w:hint="eastAsia"/>
              </w:rPr>
              <w:t>）</w:t>
            </w:r>
          </w:p>
        </w:tc>
        <w:tc>
          <w:tcPr>
            <w:tcW w:w="1985" w:type="dxa"/>
          </w:tcPr>
          <w:p>
            <w:pPr>
              <w:pStyle w:val="53"/>
              <w:jc w:val="center"/>
            </w:pPr>
            <w:r>
              <w:rPr>
                <w:rFonts w:hint="eastAsia"/>
              </w:rPr>
              <w:t>乘客</w:t>
            </w:r>
            <w:r>
              <w:t>险</w:t>
            </w:r>
            <w:r>
              <w:rPr>
                <w:rFonts w:hint="eastAsia"/>
              </w:rPr>
              <w:t>（有、无）</w:t>
            </w:r>
          </w:p>
        </w:tc>
        <w:tc>
          <w:tcPr>
            <w:tcW w:w="1292" w:type="dxa"/>
          </w:tcPr>
          <w:p>
            <w:pPr>
              <w:pStyle w:val="53"/>
              <w:jc w:val="center"/>
            </w:pPr>
            <w:r>
              <w:rPr>
                <w:rFonts w:hint="eastAsia"/>
              </w:rPr>
              <w:t>行驶证</w:t>
            </w:r>
            <w:r>
              <w:t>复印件在标书中的页码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1</w:t>
            </w:r>
          </w:p>
        </w:tc>
        <w:tc>
          <w:tcPr>
            <w:tcW w:w="1222" w:type="dxa"/>
          </w:tcPr>
          <w:p>
            <w:pPr>
              <w:pStyle w:val="53"/>
              <w:jc w:val="center"/>
            </w:pPr>
          </w:p>
        </w:tc>
        <w:tc>
          <w:tcPr>
            <w:tcW w:w="1701" w:type="dxa"/>
          </w:tcPr>
          <w:p>
            <w:pPr>
              <w:pStyle w:val="53"/>
              <w:jc w:val="center"/>
            </w:pPr>
          </w:p>
        </w:tc>
        <w:tc>
          <w:tcPr>
            <w:tcW w:w="2126" w:type="dxa"/>
          </w:tcPr>
          <w:p>
            <w:pPr>
              <w:pStyle w:val="53"/>
              <w:jc w:val="center"/>
            </w:pPr>
          </w:p>
        </w:tc>
        <w:tc>
          <w:tcPr>
            <w:tcW w:w="1985" w:type="dxa"/>
          </w:tcPr>
          <w:p>
            <w:pPr>
              <w:pStyle w:val="53"/>
              <w:jc w:val="center"/>
            </w:pPr>
          </w:p>
        </w:tc>
        <w:tc>
          <w:tcPr>
            <w:tcW w:w="1292"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2</w:t>
            </w:r>
          </w:p>
        </w:tc>
        <w:tc>
          <w:tcPr>
            <w:tcW w:w="1222" w:type="dxa"/>
          </w:tcPr>
          <w:p>
            <w:pPr>
              <w:pStyle w:val="53"/>
              <w:jc w:val="center"/>
            </w:pPr>
          </w:p>
        </w:tc>
        <w:tc>
          <w:tcPr>
            <w:tcW w:w="1701" w:type="dxa"/>
          </w:tcPr>
          <w:p>
            <w:pPr>
              <w:pStyle w:val="53"/>
              <w:jc w:val="center"/>
            </w:pPr>
          </w:p>
        </w:tc>
        <w:tc>
          <w:tcPr>
            <w:tcW w:w="2126" w:type="dxa"/>
          </w:tcPr>
          <w:p>
            <w:pPr>
              <w:pStyle w:val="53"/>
              <w:jc w:val="center"/>
            </w:pPr>
          </w:p>
        </w:tc>
        <w:tc>
          <w:tcPr>
            <w:tcW w:w="1985" w:type="dxa"/>
          </w:tcPr>
          <w:p>
            <w:pPr>
              <w:pStyle w:val="53"/>
              <w:jc w:val="center"/>
            </w:pPr>
          </w:p>
        </w:tc>
        <w:tc>
          <w:tcPr>
            <w:tcW w:w="1292"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3</w:t>
            </w:r>
          </w:p>
        </w:tc>
        <w:tc>
          <w:tcPr>
            <w:tcW w:w="1222" w:type="dxa"/>
          </w:tcPr>
          <w:p>
            <w:pPr>
              <w:pStyle w:val="53"/>
              <w:jc w:val="center"/>
            </w:pPr>
          </w:p>
        </w:tc>
        <w:tc>
          <w:tcPr>
            <w:tcW w:w="1701" w:type="dxa"/>
          </w:tcPr>
          <w:p>
            <w:pPr>
              <w:pStyle w:val="53"/>
              <w:jc w:val="center"/>
            </w:pPr>
          </w:p>
        </w:tc>
        <w:tc>
          <w:tcPr>
            <w:tcW w:w="2126" w:type="dxa"/>
          </w:tcPr>
          <w:p>
            <w:pPr>
              <w:pStyle w:val="53"/>
              <w:jc w:val="center"/>
            </w:pPr>
          </w:p>
        </w:tc>
        <w:tc>
          <w:tcPr>
            <w:tcW w:w="1985" w:type="dxa"/>
          </w:tcPr>
          <w:p>
            <w:pPr>
              <w:pStyle w:val="53"/>
              <w:jc w:val="center"/>
            </w:pPr>
          </w:p>
        </w:tc>
        <w:tc>
          <w:tcPr>
            <w:tcW w:w="1292"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4</w:t>
            </w:r>
          </w:p>
        </w:tc>
        <w:tc>
          <w:tcPr>
            <w:tcW w:w="1222" w:type="dxa"/>
          </w:tcPr>
          <w:p>
            <w:pPr>
              <w:pStyle w:val="53"/>
              <w:jc w:val="center"/>
            </w:pPr>
          </w:p>
        </w:tc>
        <w:tc>
          <w:tcPr>
            <w:tcW w:w="1701" w:type="dxa"/>
          </w:tcPr>
          <w:p>
            <w:pPr>
              <w:pStyle w:val="53"/>
              <w:jc w:val="center"/>
            </w:pPr>
          </w:p>
        </w:tc>
        <w:tc>
          <w:tcPr>
            <w:tcW w:w="2126" w:type="dxa"/>
          </w:tcPr>
          <w:p>
            <w:pPr>
              <w:pStyle w:val="53"/>
              <w:jc w:val="center"/>
            </w:pPr>
          </w:p>
        </w:tc>
        <w:tc>
          <w:tcPr>
            <w:tcW w:w="1985" w:type="dxa"/>
          </w:tcPr>
          <w:p>
            <w:pPr>
              <w:pStyle w:val="53"/>
              <w:jc w:val="center"/>
            </w:pPr>
          </w:p>
        </w:tc>
        <w:tc>
          <w:tcPr>
            <w:tcW w:w="1292"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5</w:t>
            </w:r>
          </w:p>
        </w:tc>
        <w:tc>
          <w:tcPr>
            <w:tcW w:w="1222" w:type="dxa"/>
          </w:tcPr>
          <w:p>
            <w:pPr>
              <w:pStyle w:val="53"/>
              <w:jc w:val="center"/>
            </w:pPr>
          </w:p>
        </w:tc>
        <w:tc>
          <w:tcPr>
            <w:tcW w:w="1701" w:type="dxa"/>
          </w:tcPr>
          <w:p>
            <w:pPr>
              <w:pStyle w:val="53"/>
              <w:jc w:val="center"/>
            </w:pPr>
          </w:p>
        </w:tc>
        <w:tc>
          <w:tcPr>
            <w:tcW w:w="2126" w:type="dxa"/>
          </w:tcPr>
          <w:p>
            <w:pPr>
              <w:pStyle w:val="53"/>
              <w:jc w:val="center"/>
            </w:pPr>
          </w:p>
        </w:tc>
        <w:tc>
          <w:tcPr>
            <w:tcW w:w="1985" w:type="dxa"/>
          </w:tcPr>
          <w:p>
            <w:pPr>
              <w:pStyle w:val="53"/>
              <w:jc w:val="center"/>
            </w:pPr>
          </w:p>
        </w:tc>
        <w:tc>
          <w:tcPr>
            <w:tcW w:w="1292"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r>
              <w:rPr>
                <w:rFonts w:hint="eastAsia"/>
              </w:rPr>
              <w:t>6</w:t>
            </w:r>
          </w:p>
        </w:tc>
        <w:tc>
          <w:tcPr>
            <w:tcW w:w="1222" w:type="dxa"/>
          </w:tcPr>
          <w:p>
            <w:pPr>
              <w:pStyle w:val="53"/>
              <w:jc w:val="center"/>
            </w:pPr>
          </w:p>
        </w:tc>
        <w:tc>
          <w:tcPr>
            <w:tcW w:w="1701" w:type="dxa"/>
          </w:tcPr>
          <w:p>
            <w:pPr>
              <w:pStyle w:val="53"/>
              <w:jc w:val="center"/>
            </w:pPr>
          </w:p>
        </w:tc>
        <w:tc>
          <w:tcPr>
            <w:tcW w:w="2126" w:type="dxa"/>
          </w:tcPr>
          <w:p>
            <w:pPr>
              <w:pStyle w:val="53"/>
              <w:jc w:val="center"/>
            </w:pPr>
          </w:p>
        </w:tc>
        <w:tc>
          <w:tcPr>
            <w:tcW w:w="1985" w:type="dxa"/>
          </w:tcPr>
          <w:p>
            <w:pPr>
              <w:pStyle w:val="53"/>
              <w:jc w:val="center"/>
            </w:pPr>
          </w:p>
        </w:tc>
        <w:tc>
          <w:tcPr>
            <w:tcW w:w="1292"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p>
        </w:tc>
        <w:tc>
          <w:tcPr>
            <w:tcW w:w="1222" w:type="dxa"/>
          </w:tcPr>
          <w:p>
            <w:pPr>
              <w:pStyle w:val="53"/>
              <w:jc w:val="center"/>
            </w:pPr>
          </w:p>
        </w:tc>
        <w:tc>
          <w:tcPr>
            <w:tcW w:w="1701" w:type="dxa"/>
          </w:tcPr>
          <w:p>
            <w:pPr>
              <w:pStyle w:val="53"/>
              <w:jc w:val="center"/>
            </w:pPr>
          </w:p>
        </w:tc>
        <w:tc>
          <w:tcPr>
            <w:tcW w:w="2126" w:type="dxa"/>
          </w:tcPr>
          <w:p>
            <w:pPr>
              <w:pStyle w:val="53"/>
              <w:jc w:val="center"/>
            </w:pPr>
          </w:p>
        </w:tc>
        <w:tc>
          <w:tcPr>
            <w:tcW w:w="1985" w:type="dxa"/>
          </w:tcPr>
          <w:p>
            <w:pPr>
              <w:pStyle w:val="53"/>
              <w:jc w:val="center"/>
            </w:pPr>
          </w:p>
        </w:tc>
        <w:tc>
          <w:tcPr>
            <w:tcW w:w="1292"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Pr>
          <w:p>
            <w:pPr>
              <w:pStyle w:val="53"/>
              <w:jc w:val="center"/>
            </w:pPr>
          </w:p>
        </w:tc>
        <w:tc>
          <w:tcPr>
            <w:tcW w:w="1222" w:type="dxa"/>
          </w:tcPr>
          <w:p>
            <w:pPr>
              <w:pStyle w:val="53"/>
              <w:jc w:val="center"/>
            </w:pPr>
          </w:p>
        </w:tc>
        <w:tc>
          <w:tcPr>
            <w:tcW w:w="1701" w:type="dxa"/>
          </w:tcPr>
          <w:p>
            <w:pPr>
              <w:pStyle w:val="53"/>
              <w:jc w:val="center"/>
            </w:pPr>
          </w:p>
        </w:tc>
        <w:tc>
          <w:tcPr>
            <w:tcW w:w="2126" w:type="dxa"/>
          </w:tcPr>
          <w:p>
            <w:pPr>
              <w:pStyle w:val="53"/>
              <w:jc w:val="center"/>
            </w:pPr>
          </w:p>
        </w:tc>
        <w:tc>
          <w:tcPr>
            <w:tcW w:w="1985" w:type="dxa"/>
          </w:tcPr>
          <w:p>
            <w:pPr>
              <w:pStyle w:val="53"/>
              <w:jc w:val="center"/>
            </w:pPr>
          </w:p>
        </w:tc>
        <w:tc>
          <w:tcPr>
            <w:tcW w:w="1292" w:type="dxa"/>
          </w:tcPr>
          <w:p>
            <w:pPr>
              <w:pStyle w:val="53"/>
              <w:jc w:val="center"/>
            </w:pPr>
          </w:p>
        </w:tc>
      </w:tr>
    </w:tbl>
    <w:p>
      <w:pPr>
        <w:adjustRightInd w:val="0"/>
        <w:snapToGrid w:val="0"/>
        <w:spacing w:line="360" w:lineRule="auto"/>
        <w:ind w:firstLine="480" w:firstLineChars="200"/>
        <w:rPr>
          <w:rFonts w:ascii="宋体" w:hAnsi="宋体" w:cs="宋体"/>
          <w:bCs/>
          <w:color w:val="000000" w:themeColor="text1"/>
          <w:sz w:val="24"/>
          <w:szCs w:val="24"/>
        </w:rPr>
      </w:pPr>
    </w:p>
    <w:tbl>
      <w:tblPr>
        <w:tblStyle w:val="46"/>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22"/>
        <w:gridCol w:w="433"/>
        <w:gridCol w:w="1207"/>
        <w:gridCol w:w="1760"/>
        <w:gridCol w:w="1760"/>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0" w:type="dxa"/>
            <w:gridSpan w:val="2"/>
          </w:tcPr>
          <w:p>
            <w:pPr>
              <w:pStyle w:val="53"/>
              <w:jc w:val="center"/>
            </w:pPr>
          </w:p>
        </w:tc>
        <w:tc>
          <w:tcPr>
            <w:tcW w:w="7408" w:type="dxa"/>
            <w:gridSpan w:val="5"/>
          </w:tcPr>
          <w:p>
            <w:pPr>
              <w:pStyle w:val="53"/>
              <w:jc w:val="center"/>
            </w:pPr>
            <w:r>
              <w:rPr>
                <w:rFonts w:hint="eastAsia"/>
              </w:rPr>
              <w:t>表</w:t>
            </w:r>
            <w:r>
              <w:t>7</w:t>
            </w:r>
            <w:r>
              <w:rPr>
                <w:rFonts w:hint="eastAsia"/>
              </w:rPr>
              <w:t>.XXXXX公司供应商其他资格条件（二标段）-驾驶员信息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r>
              <w:rPr>
                <w:rFonts w:hint="eastAsia"/>
              </w:rPr>
              <w:t>序号</w:t>
            </w:r>
          </w:p>
        </w:tc>
        <w:tc>
          <w:tcPr>
            <w:tcW w:w="1555" w:type="dxa"/>
            <w:gridSpan w:val="2"/>
          </w:tcPr>
          <w:p>
            <w:pPr>
              <w:pStyle w:val="53"/>
              <w:jc w:val="center"/>
            </w:pPr>
            <w:r>
              <w:rPr>
                <w:rFonts w:hint="eastAsia"/>
              </w:rPr>
              <w:t>驾驶员姓名</w:t>
            </w:r>
          </w:p>
        </w:tc>
        <w:tc>
          <w:tcPr>
            <w:tcW w:w="1207" w:type="dxa"/>
          </w:tcPr>
          <w:p>
            <w:pPr>
              <w:pStyle w:val="53"/>
              <w:jc w:val="center"/>
            </w:pPr>
            <w:r>
              <w:rPr>
                <w:rFonts w:hint="eastAsia"/>
              </w:rPr>
              <w:t>年龄</w:t>
            </w:r>
          </w:p>
        </w:tc>
        <w:tc>
          <w:tcPr>
            <w:tcW w:w="1760" w:type="dxa"/>
          </w:tcPr>
          <w:p>
            <w:pPr>
              <w:pStyle w:val="53"/>
              <w:jc w:val="center"/>
            </w:pPr>
            <w:r>
              <w:rPr>
                <w:rFonts w:hint="eastAsia"/>
              </w:rPr>
              <w:t>驾龄</w:t>
            </w:r>
            <w:r>
              <w:t>（</w:t>
            </w:r>
            <w:r>
              <w:rPr>
                <w:rFonts w:hint="eastAsia"/>
              </w:rPr>
              <w:t>从</w:t>
            </w:r>
            <w:r>
              <w:t>取得A1</w:t>
            </w:r>
            <w:r>
              <w:rPr>
                <w:rFonts w:hint="eastAsia"/>
              </w:rPr>
              <w:t>开始</w:t>
            </w:r>
            <w:r>
              <w:t>计算，从高到低排序）</w:t>
            </w:r>
          </w:p>
        </w:tc>
        <w:tc>
          <w:tcPr>
            <w:tcW w:w="1760" w:type="dxa"/>
          </w:tcPr>
          <w:p>
            <w:pPr>
              <w:pStyle w:val="53"/>
              <w:jc w:val="center"/>
            </w:pPr>
            <w:r>
              <w:rPr>
                <w:rFonts w:hint="eastAsia"/>
              </w:rPr>
              <w:t>驾照类型</w:t>
            </w:r>
          </w:p>
        </w:tc>
        <w:tc>
          <w:tcPr>
            <w:tcW w:w="2248" w:type="dxa"/>
          </w:tcPr>
          <w:p>
            <w:pPr>
              <w:pStyle w:val="53"/>
              <w:jc w:val="center"/>
            </w:pPr>
            <w:r>
              <w:rPr>
                <w:rFonts w:hint="eastAsia"/>
              </w:rPr>
              <w:t>驾</w:t>
            </w:r>
            <w:r>
              <w:t>驶证、身份证复印件在标书中</w:t>
            </w:r>
            <w:r>
              <w:rPr>
                <w:rFonts w:hint="eastAsia"/>
              </w:rPr>
              <w:t>的</w:t>
            </w:r>
            <w: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r>
              <w:rPr>
                <w:rFonts w:hint="eastAsia"/>
              </w:rPr>
              <w:t>1</w:t>
            </w:r>
          </w:p>
        </w:tc>
        <w:tc>
          <w:tcPr>
            <w:tcW w:w="1555" w:type="dxa"/>
            <w:gridSpan w:val="2"/>
          </w:tcPr>
          <w:p>
            <w:pPr>
              <w:pStyle w:val="53"/>
              <w:jc w:val="center"/>
            </w:pPr>
          </w:p>
        </w:tc>
        <w:tc>
          <w:tcPr>
            <w:tcW w:w="1207" w:type="dxa"/>
          </w:tcPr>
          <w:p>
            <w:pPr>
              <w:pStyle w:val="53"/>
              <w:jc w:val="center"/>
            </w:pPr>
          </w:p>
        </w:tc>
        <w:tc>
          <w:tcPr>
            <w:tcW w:w="1760" w:type="dxa"/>
          </w:tcPr>
          <w:p>
            <w:pPr>
              <w:pStyle w:val="53"/>
              <w:jc w:val="center"/>
            </w:pPr>
          </w:p>
        </w:tc>
        <w:tc>
          <w:tcPr>
            <w:tcW w:w="1760" w:type="dxa"/>
          </w:tcPr>
          <w:p>
            <w:pPr>
              <w:pStyle w:val="53"/>
              <w:jc w:val="center"/>
            </w:pPr>
          </w:p>
        </w:tc>
        <w:tc>
          <w:tcPr>
            <w:tcW w:w="2248"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r>
              <w:rPr>
                <w:rFonts w:hint="eastAsia"/>
              </w:rPr>
              <w:t>2</w:t>
            </w:r>
          </w:p>
        </w:tc>
        <w:tc>
          <w:tcPr>
            <w:tcW w:w="1555" w:type="dxa"/>
            <w:gridSpan w:val="2"/>
          </w:tcPr>
          <w:p>
            <w:pPr>
              <w:pStyle w:val="53"/>
              <w:jc w:val="center"/>
            </w:pPr>
          </w:p>
        </w:tc>
        <w:tc>
          <w:tcPr>
            <w:tcW w:w="1207" w:type="dxa"/>
          </w:tcPr>
          <w:p>
            <w:pPr>
              <w:pStyle w:val="53"/>
              <w:jc w:val="center"/>
            </w:pPr>
          </w:p>
        </w:tc>
        <w:tc>
          <w:tcPr>
            <w:tcW w:w="1760" w:type="dxa"/>
          </w:tcPr>
          <w:p>
            <w:pPr>
              <w:pStyle w:val="53"/>
              <w:jc w:val="center"/>
            </w:pPr>
          </w:p>
        </w:tc>
        <w:tc>
          <w:tcPr>
            <w:tcW w:w="1760" w:type="dxa"/>
          </w:tcPr>
          <w:p>
            <w:pPr>
              <w:pStyle w:val="53"/>
              <w:jc w:val="center"/>
            </w:pPr>
          </w:p>
        </w:tc>
        <w:tc>
          <w:tcPr>
            <w:tcW w:w="2248"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r>
              <w:rPr>
                <w:rFonts w:hint="eastAsia"/>
              </w:rPr>
              <w:t>3</w:t>
            </w:r>
          </w:p>
        </w:tc>
        <w:tc>
          <w:tcPr>
            <w:tcW w:w="1555" w:type="dxa"/>
            <w:gridSpan w:val="2"/>
          </w:tcPr>
          <w:p>
            <w:pPr>
              <w:pStyle w:val="53"/>
              <w:jc w:val="center"/>
            </w:pPr>
          </w:p>
        </w:tc>
        <w:tc>
          <w:tcPr>
            <w:tcW w:w="1207" w:type="dxa"/>
          </w:tcPr>
          <w:p>
            <w:pPr>
              <w:pStyle w:val="53"/>
              <w:jc w:val="center"/>
            </w:pPr>
          </w:p>
        </w:tc>
        <w:tc>
          <w:tcPr>
            <w:tcW w:w="1760" w:type="dxa"/>
          </w:tcPr>
          <w:p>
            <w:pPr>
              <w:pStyle w:val="53"/>
              <w:jc w:val="center"/>
            </w:pPr>
          </w:p>
        </w:tc>
        <w:tc>
          <w:tcPr>
            <w:tcW w:w="1760" w:type="dxa"/>
          </w:tcPr>
          <w:p>
            <w:pPr>
              <w:pStyle w:val="53"/>
              <w:jc w:val="center"/>
            </w:pPr>
          </w:p>
        </w:tc>
        <w:tc>
          <w:tcPr>
            <w:tcW w:w="2248"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r>
              <w:rPr>
                <w:rFonts w:hint="eastAsia"/>
              </w:rPr>
              <w:t>4</w:t>
            </w:r>
          </w:p>
        </w:tc>
        <w:tc>
          <w:tcPr>
            <w:tcW w:w="1555" w:type="dxa"/>
            <w:gridSpan w:val="2"/>
          </w:tcPr>
          <w:p>
            <w:pPr>
              <w:pStyle w:val="53"/>
              <w:jc w:val="center"/>
            </w:pPr>
          </w:p>
        </w:tc>
        <w:tc>
          <w:tcPr>
            <w:tcW w:w="1207" w:type="dxa"/>
          </w:tcPr>
          <w:p>
            <w:pPr>
              <w:pStyle w:val="53"/>
              <w:jc w:val="center"/>
            </w:pPr>
          </w:p>
        </w:tc>
        <w:tc>
          <w:tcPr>
            <w:tcW w:w="1760" w:type="dxa"/>
          </w:tcPr>
          <w:p>
            <w:pPr>
              <w:pStyle w:val="53"/>
              <w:jc w:val="center"/>
            </w:pPr>
          </w:p>
        </w:tc>
        <w:tc>
          <w:tcPr>
            <w:tcW w:w="1760" w:type="dxa"/>
          </w:tcPr>
          <w:p>
            <w:pPr>
              <w:pStyle w:val="53"/>
              <w:jc w:val="center"/>
            </w:pPr>
          </w:p>
        </w:tc>
        <w:tc>
          <w:tcPr>
            <w:tcW w:w="2248"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r>
              <w:rPr>
                <w:rFonts w:hint="eastAsia"/>
              </w:rPr>
              <w:t>5</w:t>
            </w:r>
          </w:p>
        </w:tc>
        <w:tc>
          <w:tcPr>
            <w:tcW w:w="1555" w:type="dxa"/>
            <w:gridSpan w:val="2"/>
          </w:tcPr>
          <w:p>
            <w:pPr>
              <w:pStyle w:val="53"/>
              <w:jc w:val="center"/>
            </w:pPr>
          </w:p>
        </w:tc>
        <w:tc>
          <w:tcPr>
            <w:tcW w:w="1207" w:type="dxa"/>
          </w:tcPr>
          <w:p>
            <w:pPr>
              <w:pStyle w:val="53"/>
              <w:jc w:val="center"/>
            </w:pPr>
          </w:p>
        </w:tc>
        <w:tc>
          <w:tcPr>
            <w:tcW w:w="1760" w:type="dxa"/>
          </w:tcPr>
          <w:p>
            <w:pPr>
              <w:pStyle w:val="53"/>
              <w:jc w:val="center"/>
            </w:pPr>
          </w:p>
        </w:tc>
        <w:tc>
          <w:tcPr>
            <w:tcW w:w="1760" w:type="dxa"/>
          </w:tcPr>
          <w:p>
            <w:pPr>
              <w:pStyle w:val="53"/>
              <w:jc w:val="center"/>
            </w:pPr>
          </w:p>
        </w:tc>
        <w:tc>
          <w:tcPr>
            <w:tcW w:w="2248"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r>
              <w:rPr>
                <w:rFonts w:hint="eastAsia"/>
              </w:rPr>
              <w:t>6</w:t>
            </w:r>
          </w:p>
        </w:tc>
        <w:tc>
          <w:tcPr>
            <w:tcW w:w="1555" w:type="dxa"/>
            <w:gridSpan w:val="2"/>
          </w:tcPr>
          <w:p>
            <w:pPr>
              <w:pStyle w:val="53"/>
              <w:jc w:val="center"/>
            </w:pPr>
          </w:p>
        </w:tc>
        <w:tc>
          <w:tcPr>
            <w:tcW w:w="1207" w:type="dxa"/>
          </w:tcPr>
          <w:p>
            <w:pPr>
              <w:pStyle w:val="53"/>
              <w:jc w:val="center"/>
            </w:pPr>
          </w:p>
        </w:tc>
        <w:tc>
          <w:tcPr>
            <w:tcW w:w="1760" w:type="dxa"/>
          </w:tcPr>
          <w:p>
            <w:pPr>
              <w:pStyle w:val="53"/>
              <w:jc w:val="center"/>
            </w:pPr>
          </w:p>
        </w:tc>
        <w:tc>
          <w:tcPr>
            <w:tcW w:w="1760" w:type="dxa"/>
          </w:tcPr>
          <w:p>
            <w:pPr>
              <w:pStyle w:val="53"/>
              <w:jc w:val="center"/>
            </w:pPr>
          </w:p>
        </w:tc>
        <w:tc>
          <w:tcPr>
            <w:tcW w:w="2248"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p>
        </w:tc>
        <w:tc>
          <w:tcPr>
            <w:tcW w:w="1555" w:type="dxa"/>
            <w:gridSpan w:val="2"/>
          </w:tcPr>
          <w:p>
            <w:pPr>
              <w:pStyle w:val="53"/>
              <w:jc w:val="center"/>
            </w:pPr>
          </w:p>
        </w:tc>
        <w:tc>
          <w:tcPr>
            <w:tcW w:w="1207" w:type="dxa"/>
          </w:tcPr>
          <w:p>
            <w:pPr>
              <w:pStyle w:val="53"/>
              <w:jc w:val="center"/>
            </w:pPr>
          </w:p>
        </w:tc>
        <w:tc>
          <w:tcPr>
            <w:tcW w:w="1760" w:type="dxa"/>
          </w:tcPr>
          <w:p>
            <w:pPr>
              <w:pStyle w:val="53"/>
              <w:jc w:val="center"/>
            </w:pPr>
          </w:p>
        </w:tc>
        <w:tc>
          <w:tcPr>
            <w:tcW w:w="1760" w:type="dxa"/>
          </w:tcPr>
          <w:p>
            <w:pPr>
              <w:pStyle w:val="53"/>
              <w:jc w:val="center"/>
            </w:pPr>
          </w:p>
        </w:tc>
        <w:tc>
          <w:tcPr>
            <w:tcW w:w="2248" w:type="dxa"/>
          </w:tcPr>
          <w:p>
            <w:pPr>
              <w:pStyle w:val="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tcPr>
          <w:p>
            <w:pPr>
              <w:pStyle w:val="53"/>
              <w:jc w:val="center"/>
            </w:pPr>
          </w:p>
        </w:tc>
        <w:tc>
          <w:tcPr>
            <w:tcW w:w="1555" w:type="dxa"/>
            <w:gridSpan w:val="2"/>
          </w:tcPr>
          <w:p>
            <w:pPr>
              <w:pStyle w:val="53"/>
              <w:jc w:val="center"/>
            </w:pPr>
          </w:p>
        </w:tc>
        <w:tc>
          <w:tcPr>
            <w:tcW w:w="1207" w:type="dxa"/>
          </w:tcPr>
          <w:p>
            <w:pPr>
              <w:pStyle w:val="53"/>
              <w:jc w:val="center"/>
            </w:pPr>
          </w:p>
        </w:tc>
        <w:tc>
          <w:tcPr>
            <w:tcW w:w="1760" w:type="dxa"/>
          </w:tcPr>
          <w:p>
            <w:pPr>
              <w:pStyle w:val="53"/>
              <w:jc w:val="center"/>
            </w:pPr>
          </w:p>
        </w:tc>
        <w:tc>
          <w:tcPr>
            <w:tcW w:w="1760" w:type="dxa"/>
          </w:tcPr>
          <w:p>
            <w:pPr>
              <w:pStyle w:val="53"/>
              <w:jc w:val="center"/>
            </w:pPr>
          </w:p>
        </w:tc>
        <w:tc>
          <w:tcPr>
            <w:tcW w:w="2248" w:type="dxa"/>
          </w:tcPr>
          <w:p>
            <w:pPr>
              <w:pStyle w:val="53"/>
              <w:jc w:val="center"/>
            </w:pPr>
          </w:p>
        </w:tc>
      </w:tr>
    </w:tbl>
    <w:p>
      <w:pPr>
        <w:adjustRightInd w:val="0"/>
        <w:snapToGrid w:val="0"/>
        <w:spacing w:line="360" w:lineRule="auto"/>
        <w:ind w:firstLine="480" w:firstLineChars="200"/>
        <w:rPr>
          <w:rFonts w:ascii="宋体" w:hAnsi="宋体" w:cs="宋体"/>
          <w:bCs/>
          <w:color w:val="000000" w:themeColor="text1"/>
          <w:sz w:val="24"/>
          <w:szCs w:val="24"/>
        </w:rPr>
      </w:pPr>
    </w:p>
    <w:p>
      <w:pPr>
        <w:adjustRightInd w:val="0"/>
        <w:snapToGrid w:val="0"/>
        <w:spacing w:line="360" w:lineRule="auto"/>
        <w:ind w:firstLine="480" w:firstLineChars="200"/>
        <w:jc w:val="left"/>
        <w:rPr>
          <w:rFonts w:ascii="宋体" w:hAnsi="宋体" w:cs="宋体"/>
          <w:b/>
          <w:bCs/>
          <w:color w:val="000000" w:themeColor="text1"/>
          <w:sz w:val="24"/>
          <w:szCs w:val="24"/>
        </w:rPr>
      </w:pPr>
      <w:r>
        <w:rPr>
          <w:rFonts w:hint="eastAsia" w:ascii="宋体" w:hAnsi="宋体" w:cs="宋体"/>
          <w:b/>
          <w:bCs/>
          <w:color w:val="000000" w:themeColor="text1"/>
          <w:sz w:val="24"/>
          <w:szCs w:val="24"/>
        </w:rPr>
        <w:t>三、获取招标文件</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时间：自公告之日起至投标截止时间前1日</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地点：盐城市政府采购网和盐城工业职业技术学院招标采购网</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方式：符合资格要求的投标人可自行下载采购文件，采购文件见盐城市政府采购网和盐城工业职业技术学院招标采购网本公告附件。</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售价：人民币500元在开标现场现金交纳。</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bookmarkStart w:id="6" w:name="_Toc28359082"/>
      <w:bookmarkStart w:id="7" w:name="_Toc28359005"/>
      <w:bookmarkStart w:id="8" w:name="_Toc35393793"/>
      <w:bookmarkStart w:id="9" w:name="_Toc35393624"/>
      <w:r>
        <w:rPr>
          <w:rFonts w:hint="eastAsia" w:ascii="宋体" w:hAnsi="宋体" w:cs="宋体"/>
          <w:b/>
          <w:bCs/>
          <w:color w:val="000000" w:themeColor="text1"/>
          <w:sz w:val="24"/>
          <w:szCs w:val="24"/>
        </w:rPr>
        <w:t>四、提交投标文件</w:t>
      </w:r>
      <w:bookmarkEnd w:id="6"/>
      <w:bookmarkEnd w:id="7"/>
      <w:r>
        <w:rPr>
          <w:rFonts w:hint="eastAsia" w:ascii="宋体" w:hAnsi="宋体" w:cs="宋体"/>
          <w:b/>
          <w:bCs/>
          <w:color w:val="000000" w:themeColor="text1"/>
          <w:sz w:val="24"/>
          <w:szCs w:val="24"/>
        </w:rPr>
        <w:t>截止时间、开标时间和地点</w:t>
      </w:r>
      <w:bookmarkEnd w:id="8"/>
      <w:bookmarkEnd w:id="9"/>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投标文件接收时间：202</w:t>
      </w: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年</w:t>
      </w: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19</w:t>
      </w:r>
      <w:r>
        <w:rPr>
          <w:rFonts w:hint="eastAsia" w:ascii="宋体" w:hAnsi="宋体" w:cs="宋体"/>
          <w:color w:val="000000" w:themeColor="text1"/>
          <w:sz w:val="24"/>
          <w:szCs w:val="24"/>
        </w:rPr>
        <w:t>日8：30时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投标文件接收截止时间：202</w:t>
      </w: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年</w:t>
      </w: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19</w:t>
      </w:r>
      <w:r>
        <w:rPr>
          <w:rFonts w:hint="eastAsia" w:ascii="宋体" w:hAnsi="宋体" w:cs="宋体"/>
          <w:color w:val="000000" w:themeColor="text1"/>
          <w:sz w:val="24"/>
          <w:szCs w:val="24"/>
        </w:rPr>
        <w:t>日9：00时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投标文件接收地点：盐城工业职业技术学院（盐城市解放南路285号）后勤服务楼402开标室</w:t>
      </w:r>
    </w:p>
    <w:p>
      <w:pPr>
        <w:pStyle w:val="2"/>
        <w:tabs>
          <w:tab w:val="left" w:pos="0"/>
          <w:tab w:val="left" w:pos="3165"/>
          <w:tab w:val="center" w:pos="4153"/>
        </w:tabs>
        <w:autoSpaceDE w:val="0"/>
        <w:autoSpaceDN w:val="0"/>
        <w:adjustRightInd w:val="0"/>
        <w:snapToGrid w:val="0"/>
        <w:spacing w:line="360" w:lineRule="auto"/>
        <w:ind w:firstLine="480" w:firstLineChars="200"/>
        <w:jc w:val="left"/>
        <w:rPr>
          <w:rFonts w:ascii="宋体" w:hAnsi="宋体" w:eastAsia="宋体" w:cs="宋体"/>
          <w:b/>
          <w:bCs/>
          <w:color w:val="000000" w:themeColor="text1"/>
          <w:sz w:val="24"/>
          <w:szCs w:val="24"/>
        </w:rPr>
      </w:pPr>
      <w:bookmarkStart w:id="10" w:name="_Toc35393794"/>
      <w:bookmarkStart w:id="11" w:name="_Toc28359084"/>
      <w:bookmarkStart w:id="12" w:name="_Toc28359007"/>
      <w:bookmarkStart w:id="13" w:name="_Toc35393625"/>
      <w:r>
        <w:rPr>
          <w:rFonts w:hint="eastAsia" w:ascii="宋体" w:hAnsi="宋体" w:eastAsia="宋体" w:cs="宋体"/>
          <w:b/>
          <w:bCs/>
          <w:color w:val="000000" w:themeColor="text1"/>
          <w:sz w:val="24"/>
          <w:szCs w:val="24"/>
        </w:rPr>
        <w:t>五、公告期限</w:t>
      </w:r>
      <w:bookmarkEnd w:id="10"/>
      <w:bookmarkEnd w:id="11"/>
      <w:bookmarkEnd w:id="12"/>
      <w:bookmarkEnd w:id="13"/>
    </w:p>
    <w:p>
      <w:pPr>
        <w:adjustRightInd w:val="0"/>
        <w:snapToGrid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自本公告发布之日起5个工作日。</w:t>
      </w:r>
    </w:p>
    <w:p>
      <w:pPr>
        <w:pStyle w:val="2"/>
        <w:tabs>
          <w:tab w:val="left" w:pos="0"/>
          <w:tab w:val="left" w:pos="3165"/>
          <w:tab w:val="center" w:pos="4153"/>
        </w:tabs>
        <w:autoSpaceDE w:val="0"/>
        <w:autoSpaceDN w:val="0"/>
        <w:adjustRightInd w:val="0"/>
        <w:snapToGrid w:val="0"/>
        <w:spacing w:line="360" w:lineRule="auto"/>
        <w:ind w:firstLine="480" w:firstLineChars="200"/>
        <w:jc w:val="left"/>
        <w:rPr>
          <w:rFonts w:ascii="宋体" w:hAnsi="宋体" w:eastAsia="宋体" w:cs="宋体"/>
          <w:b/>
          <w:bCs/>
          <w:color w:val="000000" w:themeColor="text1"/>
          <w:sz w:val="24"/>
          <w:szCs w:val="24"/>
        </w:rPr>
      </w:pPr>
      <w:bookmarkStart w:id="14" w:name="_Toc35393626"/>
      <w:bookmarkStart w:id="15" w:name="_Toc35393795"/>
      <w:r>
        <w:rPr>
          <w:rFonts w:hint="eastAsia" w:ascii="宋体" w:hAnsi="宋体" w:eastAsia="宋体" w:cs="宋体"/>
          <w:b/>
          <w:bCs/>
          <w:color w:val="000000" w:themeColor="text1"/>
          <w:sz w:val="24"/>
          <w:szCs w:val="24"/>
        </w:rPr>
        <w:t>六、其他补充事宜</w:t>
      </w:r>
      <w:bookmarkEnd w:id="14"/>
      <w:bookmarkEnd w:id="15"/>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(一)因疫情防控需要，为确保校园安全，投标人进入盐城工业职业技术学院校区时应服从下列疫情防控措施：</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（1）投标人从解放南路东门进出；投标人车辆一律不得进入校园。</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（2）各投标人项目授权代表限1人进入校园；项目授权代表进入校园时须自行配戴口罩、做好手部消毒及投标文件等消毒防护工作。</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（4）投标人进入校园后应在指定地点参与投标活动，不到非相关场所活动；投标工作结束后应立即离开校园，不逗留。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请各投标人预留好相应时间，配合做好上述管控措施。</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（二）投标文件制作份数要求：正本份数：1份，副本份数：4份。</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七、对本次招标提出询问，请按以下方式联系。</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1.采购人信息</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名称：盐城工业职业技术学院</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地址：盐城工业职业技术学院后勤服务中心四楼405室招标办公室</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联系人：</w:t>
      </w:r>
      <w:r>
        <w:rPr>
          <w:rFonts w:hint="eastAsia" w:ascii="宋体" w:hAnsi="宋体" w:cs="宋体"/>
          <w:color w:val="000000" w:themeColor="text1"/>
          <w:sz w:val="24"/>
          <w:szCs w:val="24"/>
          <w:lang w:val="en-US" w:eastAsia="zh-CN"/>
        </w:rPr>
        <w:t>赵萌</w:t>
      </w:r>
      <w:r>
        <w:rPr>
          <w:rFonts w:hint="eastAsia" w:ascii="宋体" w:hAnsi="宋体" w:cs="宋体"/>
          <w:color w:val="000000" w:themeColor="text1"/>
          <w:sz w:val="24"/>
          <w:szCs w:val="24"/>
        </w:rPr>
        <w:t xml:space="preserve">               </w:t>
      </w:r>
    </w:p>
    <w:p>
      <w:pPr>
        <w:tabs>
          <w:tab w:val="left" w:pos="900"/>
        </w:tabs>
        <w:adjustRightInd w:val="0"/>
        <w:snapToGrid w:val="0"/>
        <w:spacing w:line="360" w:lineRule="auto"/>
        <w:ind w:firstLine="480" w:firstLineChars="200"/>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联系电话：</w:t>
      </w:r>
      <w:r>
        <w:rPr>
          <w:rFonts w:hint="eastAsia" w:ascii="宋体" w:hAnsi="宋体" w:cs="宋体"/>
          <w:color w:val="000000" w:themeColor="text1"/>
          <w:sz w:val="24"/>
          <w:szCs w:val="24"/>
          <w:lang w:val="en-US" w:eastAsia="zh-CN"/>
        </w:rPr>
        <w:t>13056182223</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2.采购代理机构信息</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名称：江苏伟业项目管理有限公司</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地址：盐城市人民南路华邦国际东厦A区16楼</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联系人：王志东              </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联系电话：18005113358</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3.项目联系方式</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项目联系人： 周鹏飞</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电话：  18861991861</w:t>
      </w:r>
    </w:p>
    <w:p>
      <w:pPr>
        <w:spacing w:line="500" w:lineRule="exact"/>
        <w:ind w:firstLine="480" w:firstLineChars="200"/>
        <w:jc w:val="right"/>
        <w:rPr>
          <w:rFonts w:ascii="宋体" w:hAnsi="宋体" w:cs="宋体"/>
          <w:color w:val="000000" w:themeColor="text1"/>
          <w:sz w:val="24"/>
          <w:szCs w:val="24"/>
        </w:rPr>
      </w:pPr>
    </w:p>
    <w:p>
      <w:pPr>
        <w:jc w:val="center"/>
        <w:rPr>
          <w:rFonts w:ascii="宋体" w:hAnsi="宋体" w:cs="宋体"/>
          <w:color w:val="000000" w:themeColor="text1"/>
        </w:rPr>
      </w:pPr>
      <w:bookmarkStart w:id="16" w:name="_Toc120614211"/>
      <w:r>
        <w:rPr>
          <w:rFonts w:hint="eastAsia" w:ascii="宋体" w:hAnsi="宋体" w:cs="宋体"/>
          <w:color w:val="000000" w:themeColor="text1"/>
        </w:rPr>
        <w:br w:type="page"/>
      </w:r>
    </w:p>
    <w:p>
      <w:pPr>
        <w:pStyle w:val="3"/>
        <w:spacing w:line="240" w:lineRule="auto"/>
        <w:rPr>
          <w:rFonts w:ascii="宋体" w:hAnsi="宋体" w:eastAsia="宋体" w:cs="宋体"/>
          <w:b w:val="0"/>
          <w:bCs w:val="0"/>
          <w:color w:val="000000" w:themeColor="text1"/>
        </w:rPr>
      </w:pPr>
      <w:r>
        <w:rPr>
          <w:rFonts w:hint="eastAsia" w:ascii="宋体" w:hAnsi="宋体" w:eastAsia="宋体" w:cs="宋体"/>
          <w:color w:val="000000" w:themeColor="text1"/>
        </w:rPr>
        <w:t xml:space="preserve">第二章  </w:t>
      </w:r>
      <w:bookmarkEnd w:id="1"/>
      <w:bookmarkEnd w:id="2"/>
      <w:bookmarkEnd w:id="3"/>
      <w:bookmarkEnd w:id="4"/>
      <w:bookmarkEnd w:id="5"/>
      <w:bookmarkEnd w:id="16"/>
      <w:bookmarkStart w:id="17" w:name="_Toc120614213"/>
      <w:bookmarkStart w:id="18" w:name="_Toc513029202"/>
      <w:bookmarkStart w:id="19" w:name="_Toc16938518"/>
      <w:bookmarkStart w:id="20" w:name="_Toc20823274"/>
      <w:r>
        <w:rPr>
          <w:rFonts w:hint="eastAsia" w:ascii="宋体" w:hAnsi="宋体" w:eastAsia="宋体" w:cs="宋体"/>
          <w:color w:val="000000" w:themeColor="text1"/>
        </w:rPr>
        <w:t>投标人须知</w:t>
      </w:r>
      <w:bookmarkEnd w:id="17"/>
      <w:bookmarkEnd w:id="18"/>
      <w:bookmarkEnd w:id="19"/>
      <w:bookmarkEnd w:id="20"/>
    </w:p>
    <w:p>
      <w:pPr>
        <w:pStyle w:val="5"/>
        <w:adjustRightInd w:val="0"/>
        <w:snapToGrid w:val="0"/>
        <w:spacing w:before="0" w:after="0" w:line="360" w:lineRule="auto"/>
        <w:ind w:firstLine="480" w:firstLineChars="200"/>
        <w:rPr>
          <w:rFonts w:ascii="宋体" w:hAnsi="宋体" w:cs="宋体"/>
          <w:color w:val="000000" w:themeColor="text1"/>
          <w:sz w:val="24"/>
          <w:szCs w:val="24"/>
        </w:rPr>
      </w:pPr>
      <w:bookmarkStart w:id="21" w:name="_Toc120614214"/>
      <w:bookmarkStart w:id="22" w:name="_Toc20823275"/>
      <w:bookmarkStart w:id="23" w:name="_Toc513029203"/>
      <w:bookmarkStart w:id="24" w:name="_Toc16938519"/>
      <w:r>
        <w:rPr>
          <w:rFonts w:hint="eastAsia" w:ascii="宋体" w:hAnsi="宋体" w:cs="宋体"/>
          <w:color w:val="000000" w:themeColor="text1"/>
          <w:sz w:val="24"/>
          <w:szCs w:val="24"/>
        </w:rPr>
        <w:t>一、总则</w:t>
      </w:r>
      <w:bookmarkEnd w:id="21"/>
      <w:bookmarkEnd w:id="22"/>
      <w:bookmarkEnd w:id="23"/>
      <w:bookmarkEnd w:id="24"/>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25" w:name="_Hlt16619475"/>
      <w:bookmarkEnd w:id="25"/>
      <w:bookmarkStart w:id="26" w:name="_Toc458694821"/>
      <w:bookmarkStart w:id="27" w:name="_Toc16938520"/>
      <w:bookmarkStart w:id="28" w:name="_Toc513029204"/>
      <w:bookmarkStart w:id="29" w:name="_Toc20823276"/>
      <w:r>
        <w:rPr>
          <w:rFonts w:hint="eastAsia" w:ascii="宋体" w:hAnsi="宋体" w:eastAsia="宋体" w:cs="宋体"/>
          <w:b w:val="0"/>
          <w:bCs w:val="0"/>
          <w:color w:val="000000" w:themeColor="text1"/>
          <w:sz w:val="24"/>
          <w:szCs w:val="24"/>
        </w:rPr>
        <w:t>1</w:t>
      </w:r>
      <w:bookmarkEnd w:id="26"/>
      <w:r>
        <w:rPr>
          <w:rFonts w:hint="eastAsia" w:ascii="宋体" w:hAnsi="宋体" w:eastAsia="宋体" w:cs="宋体"/>
          <w:b w:val="0"/>
          <w:bCs w:val="0"/>
          <w:color w:val="000000" w:themeColor="text1"/>
          <w:sz w:val="24"/>
          <w:szCs w:val="24"/>
        </w:rPr>
        <w:t>、招标方式</w:t>
      </w:r>
      <w:bookmarkEnd w:id="27"/>
      <w:bookmarkEnd w:id="28"/>
      <w:bookmarkEnd w:id="29"/>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 本次招标采取公开招标方式，本招标文件仅适用于招标公告中所述项目。</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30" w:name="_Toc16938521"/>
      <w:bookmarkStart w:id="31" w:name="_Toc20823277"/>
      <w:bookmarkStart w:id="32" w:name="_Toc513029205"/>
      <w:r>
        <w:rPr>
          <w:rFonts w:hint="eastAsia" w:ascii="宋体" w:hAnsi="宋体" w:eastAsia="宋体" w:cs="宋体"/>
          <w:b w:val="0"/>
          <w:bCs w:val="0"/>
          <w:color w:val="000000" w:themeColor="text1"/>
          <w:sz w:val="24"/>
          <w:szCs w:val="24"/>
        </w:rPr>
        <w:t>2、合格的投标人</w:t>
      </w:r>
      <w:bookmarkEnd w:id="30"/>
      <w:bookmarkEnd w:id="31"/>
      <w:bookmarkEnd w:id="32"/>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2.1满足招标公告中供应商的资格要求的规定。</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满足本文件实质性条款的规定。</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33" w:name="_Toc513029206"/>
      <w:bookmarkStart w:id="34" w:name="_Toc20823278"/>
      <w:bookmarkStart w:id="35" w:name="_Toc16938522"/>
      <w:r>
        <w:rPr>
          <w:rFonts w:hint="eastAsia" w:ascii="宋体" w:hAnsi="宋体" w:eastAsia="宋体" w:cs="宋体"/>
          <w:b w:val="0"/>
          <w:bCs w:val="0"/>
          <w:color w:val="000000" w:themeColor="text1"/>
          <w:sz w:val="24"/>
          <w:szCs w:val="24"/>
        </w:rPr>
        <w:t>3、适用法律</w:t>
      </w:r>
      <w:bookmarkEnd w:id="33"/>
      <w:bookmarkEnd w:id="34"/>
      <w:bookmarkEnd w:id="35"/>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 本次招标及由此产生的合同受中华人民共和国有关的法律法规制约和保护。</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36" w:name="_Toc513029207"/>
      <w:bookmarkStart w:id="37" w:name="_Toc462564067"/>
      <w:bookmarkStart w:id="38" w:name="_Toc16938523"/>
      <w:bookmarkStart w:id="39" w:name="_Toc20823279"/>
      <w:r>
        <w:rPr>
          <w:rFonts w:hint="eastAsia" w:ascii="宋体" w:hAnsi="宋体" w:eastAsia="宋体" w:cs="宋体"/>
          <w:b w:val="0"/>
          <w:bCs w:val="0"/>
          <w:color w:val="000000" w:themeColor="text1"/>
          <w:sz w:val="24"/>
          <w:szCs w:val="24"/>
        </w:rPr>
        <w:t>4、投标费用</w:t>
      </w:r>
      <w:bookmarkEnd w:id="36"/>
      <w:bookmarkEnd w:id="37"/>
      <w:bookmarkEnd w:id="38"/>
      <w:bookmarkEnd w:id="39"/>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4.1</w:t>
      </w:r>
      <w:r>
        <w:rPr>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4.2本项目各分包中标人与采购人签订合同前，均须向采购代理机构支付招标代理服务费，本次代理服务费直接按2000计取，即本项目分包一和分包二的中标人均需要向招标代理机构分别支付人民币2000元，采购人不再承担上述费用；上述费用由各投标人在投标时自行综合考虑分摊含进投标报价中，且不得单列。</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r>
        <w:rPr>
          <w:rFonts w:hint="eastAsia" w:ascii="宋体" w:hAnsi="宋体" w:eastAsia="宋体" w:cs="宋体"/>
          <w:color w:val="000000" w:themeColor="text1"/>
          <w:sz w:val="24"/>
          <w:szCs w:val="24"/>
        </w:rPr>
        <w:t>5、</w:t>
      </w:r>
      <w:r>
        <w:rPr>
          <w:rFonts w:hint="eastAsia" w:ascii="宋体" w:hAnsi="宋体" w:eastAsia="宋体" w:cs="宋体"/>
          <w:b w:val="0"/>
          <w:bCs w:val="0"/>
          <w:color w:val="000000" w:themeColor="text1"/>
          <w:sz w:val="24"/>
          <w:szCs w:val="24"/>
        </w:rPr>
        <w:t>招标文件的约束力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5.1</w:t>
      </w:r>
      <w:r>
        <w:rPr>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6、招标文件的解释</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6.1 本招标文件由采购人或采购代理机构负责解释。</w:t>
      </w:r>
    </w:p>
    <w:p>
      <w:pPr>
        <w:pStyle w:val="5"/>
        <w:adjustRightInd w:val="0"/>
        <w:snapToGrid w:val="0"/>
        <w:spacing w:before="0" w:after="0" w:line="360" w:lineRule="auto"/>
        <w:ind w:firstLine="480" w:firstLineChars="200"/>
        <w:rPr>
          <w:rFonts w:ascii="宋体" w:hAnsi="宋体" w:cs="宋体"/>
          <w:color w:val="000000" w:themeColor="text1"/>
          <w:sz w:val="24"/>
          <w:szCs w:val="24"/>
        </w:rPr>
      </w:pPr>
      <w:bookmarkStart w:id="40" w:name="_Toc16938525"/>
      <w:bookmarkStart w:id="41" w:name="_Toc120614215"/>
      <w:bookmarkStart w:id="42" w:name="_Toc20823281"/>
      <w:bookmarkStart w:id="43" w:name="_Toc513029209"/>
      <w:r>
        <w:rPr>
          <w:rFonts w:hint="eastAsia" w:ascii="宋体" w:hAnsi="宋体" w:cs="宋体"/>
          <w:color w:val="000000" w:themeColor="text1"/>
          <w:sz w:val="24"/>
          <w:szCs w:val="24"/>
        </w:rPr>
        <w:t>二、招标文件</w:t>
      </w:r>
      <w:bookmarkEnd w:id="40"/>
      <w:bookmarkEnd w:id="41"/>
      <w:bookmarkEnd w:id="42"/>
      <w:bookmarkEnd w:id="43"/>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44" w:name="_Toc16938526"/>
      <w:bookmarkStart w:id="45" w:name="_Toc20823282"/>
      <w:bookmarkStart w:id="46" w:name="_Toc513029210"/>
      <w:r>
        <w:rPr>
          <w:rFonts w:hint="eastAsia" w:ascii="宋体" w:hAnsi="宋体" w:eastAsia="宋体" w:cs="宋体"/>
          <w:b w:val="0"/>
          <w:bCs w:val="0"/>
          <w:color w:val="000000" w:themeColor="text1"/>
          <w:sz w:val="24"/>
          <w:szCs w:val="24"/>
        </w:rPr>
        <w:t>7、招标文件构成</w:t>
      </w:r>
      <w:bookmarkEnd w:id="44"/>
      <w:bookmarkEnd w:id="45"/>
      <w:bookmarkEnd w:id="46"/>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7.1</w:t>
      </w:r>
      <w:r>
        <w:rPr>
          <w:rFonts w:hint="eastAsia" w:ascii="宋体" w:hAnsi="宋体" w:cs="宋体"/>
          <w:color w:val="000000" w:themeColor="text1"/>
          <w:sz w:val="24"/>
          <w:szCs w:val="24"/>
        </w:rPr>
        <w:t xml:space="preserve"> 招标文件有以下部分组成：</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（3）合同条款及格式</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（4）项目需求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（5）评标方法与评标标准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（6）投标文件格式</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请仔细检查招标文件是否齐全，如有缺漏请立即与采购人或采购代理机构联系解决。</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7.2</w:t>
      </w:r>
      <w:r>
        <w:rPr>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47" w:name="_Toc16938527"/>
      <w:bookmarkStart w:id="48" w:name="_Toc513029211"/>
      <w:bookmarkStart w:id="49" w:name="_Toc20823283"/>
      <w:bookmarkStart w:id="50" w:name="_Toc462564070"/>
      <w:r>
        <w:rPr>
          <w:rFonts w:hint="eastAsia" w:ascii="宋体" w:hAnsi="宋体" w:eastAsia="宋体" w:cs="宋体"/>
          <w:b w:val="0"/>
          <w:bCs w:val="0"/>
          <w:color w:val="000000" w:themeColor="text1"/>
          <w:sz w:val="24"/>
          <w:szCs w:val="24"/>
        </w:rPr>
        <w:t>8、招标文件的</w:t>
      </w:r>
      <w:bookmarkEnd w:id="47"/>
      <w:bookmarkEnd w:id="48"/>
      <w:bookmarkEnd w:id="49"/>
      <w:bookmarkEnd w:id="50"/>
      <w:r>
        <w:rPr>
          <w:rFonts w:hint="eastAsia" w:ascii="宋体" w:hAnsi="宋体" w:eastAsia="宋体" w:cs="宋体"/>
          <w:b w:val="0"/>
          <w:bCs w:val="0"/>
          <w:color w:val="000000" w:themeColor="text1"/>
          <w:sz w:val="24"/>
          <w:szCs w:val="24"/>
        </w:rPr>
        <w:t>询问</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8.1</w:t>
      </w:r>
      <w:r>
        <w:rPr>
          <w:rFonts w:hint="eastAsia" w:ascii="宋体" w:hAnsi="宋体" w:cs="宋体"/>
          <w:color w:val="000000" w:themeColor="text1"/>
          <w:sz w:val="24"/>
          <w:szCs w:val="24"/>
        </w:rPr>
        <w:t xml:space="preserve"> 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前按招标公告中的通讯地址，向采购代理机构或采购人提出。</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51" w:name="_Toc513029212"/>
      <w:bookmarkStart w:id="52" w:name="_Toc462564071"/>
      <w:bookmarkStart w:id="53" w:name="_Toc16938528"/>
      <w:bookmarkStart w:id="54" w:name="_Toc20823284"/>
      <w:r>
        <w:rPr>
          <w:rFonts w:hint="eastAsia" w:ascii="宋体" w:hAnsi="宋体" w:eastAsia="宋体" w:cs="宋体"/>
          <w:b w:val="0"/>
          <w:bCs w:val="0"/>
          <w:color w:val="000000" w:themeColor="text1"/>
          <w:sz w:val="24"/>
          <w:szCs w:val="24"/>
        </w:rPr>
        <w:t>9、招标文件的修改</w:t>
      </w:r>
      <w:bookmarkEnd w:id="51"/>
      <w:bookmarkEnd w:id="52"/>
      <w:bookmarkEnd w:id="53"/>
      <w:bookmarkEnd w:id="54"/>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9.1</w:t>
      </w:r>
      <w:r>
        <w:rPr>
          <w:rFonts w:hint="eastAsia" w:ascii="宋体" w:hAnsi="宋体" w:cs="宋体"/>
          <w:color w:val="000000" w:themeColor="text1"/>
          <w:sz w:val="24"/>
          <w:szCs w:val="24"/>
        </w:rPr>
        <w:t xml:space="preserve"> 在投标截止时间三天前，采购人或采购代理机构可以对招标文件进行修改。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9.2</w:t>
      </w:r>
      <w:r>
        <w:rPr>
          <w:rFonts w:hint="eastAsia" w:ascii="宋体" w:hAnsi="宋体" w:cs="宋体"/>
          <w:color w:val="000000" w:themeColor="text1"/>
          <w:sz w:val="24"/>
          <w:szCs w:val="24"/>
        </w:rPr>
        <w:t>采购人有权依法推迟投标截止日期和开标日期。</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9.3</w:t>
      </w:r>
      <w:r>
        <w:rPr>
          <w:rFonts w:hint="eastAsia" w:ascii="宋体" w:hAnsi="宋体" w:cs="宋体"/>
          <w:color w:val="000000" w:themeColor="text1"/>
          <w:sz w:val="24"/>
          <w:szCs w:val="24"/>
        </w:rPr>
        <w:t>招标文件的修改将在</w:t>
      </w:r>
      <w:r>
        <w:rPr>
          <w:rFonts w:hint="eastAsia" w:ascii="宋体" w:hAnsi="宋体" w:cs="宋体"/>
          <w:bCs/>
          <w:color w:val="000000" w:themeColor="text1"/>
          <w:sz w:val="24"/>
          <w:szCs w:val="24"/>
        </w:rPr>
        <w:t>“盐城市政府采购网”和“盐城工业职业技术学院招标采购网”</w:t>
      </w:r>
      <w:r>
        <w:rPr>
          <w:rFonts w:hint="eastAsia" w:ascii="宋体" w:hAnsi="宋体" w:cs="宋体"/>
          <w:color w:val="000000" w:themeColor="text1"/>
          <w:sz w:val="24"/>
          <w:szCs w:val="24"/>
        </w:rPr>
        <w:t>公布，补充文件将作为招标文件的组成部分，并对投标人具有约束力。</w:t>
      </w:r>
    </w:p>
    <w:p>
      <w:pPr>
        <w:pStyle w:val="5"/>
        <w:adjustRightInd w:val="0"/>
        <w:snapToGrid w:val="0"/>
        <w:spacing w:before="0" w:after="0" w:line="360" w:lineRule="auto"/>
        <w:ind w:firstLine="480" w:firstLineChars="200"/>
        <w:rPr>
          <w:rFonts w:ascii="宋体" w:hAnsi="宋体" w:cs="宋体"/>
          <w:color w:val="000000" w:themeColor="text1"/>
          <w:sz w:val="24"/>
          <w:szCs w:val="24"/>
        </w:rPr>
      </w:pPr>
      <w:bookmarkStart w:id="55" w:name="_Toc16938529"/>
      <w:bookmarkStart w:id="56" w:name="_Toc462564072"/>
      <w:bookmarkStart w:id="57" w:name="_Toc120614216"/>
      <w:bookmarkStart w:id="58" w:name="_Toc513029213"/>
      <w:bookmarkStart w:id="59" w:name="_Toc20823285"/>
      <w:r>
        <w:rPr>
          <w:rFonts w:hint="eastAsia" w:ascii="宋体" w:hAnsi="宋体" w:cs="宋体"/>
          <w:color w:val="000000" w:themeColor="text1"/>
          <w:sz w:val="24"/>
          <w:szCs w:val="24"/>
        </w:rPr>
        <w:t>三、投标文件的编制</w:t>
      </w:r>
      <w:bookmarkEnd w:id="55"/>
      <w:bookmarkEnd w:id="56"/>
      <w:bookmarkEnd w:id="57"/>
      <w:bookmarkEnd w:id="58"/>
      <w:bookmarkEnd w:id="59"/>
    </w:p>
    <w:p>
      <w:pPr>
        <w:pStyle w:val="6"/>
        <w:adjustRightInd w:val="0"/>
        <w:snapToGrid w:val="0"/>
        <w:spacing w:before="0" w:after="0" w:line="360" w:lineRule="auto"/>
        <w:ind w:firstLine="480" w:firstLineChars="200"/>
        <w:rPr>
          <w:rFonts w:ascii="宋体" w:hAnsi="宋体" w:eastAsia="宋体" w:cs="宋体"/>
          <w:bCs w:val="0"/>
          <w:color w:val="000000" w:themeColor="text1"/>
          <w:sz w:val="24"/>
          <w:szCs w:val="24"/>
        </w:rPr>
      </w:pPr>
      <w:bookmarkStart w:id="60" w:name="_Toc20823286"/>
      <w:bookmarkStart w:id="61" w:name="_Toc513029214"/>
      <w:bookmarkStart w:id="62" w:name="_Toc16938530"/>
      <w:bookmarkStart w:id="63" w:name="_Toc462564073"/>
      <w:r>
        <w:rPr>
          <w:rFonts w:hint="eastAsia" w:ascii="宋体" w:hAnsi="宋体" w:eastAsia="宋体" w:cs="宋体"/>
          <w:b w:val="0"/>
          <w:bCs w:val="0"/>
          <w:color w:val="000000" w:themeColor="text1"/>
          <w:sz w:val="24"/>
          <w:szCs w:val="24"/>
        </w:rPr>
        <w:t>10、投标文件的语言及度量衡单位</w:t>
      </w:r>
      <w:bookmarkEnd w:id="60"/>
      <w:bookmarkEnd w:id="61"/>
      <w:bookmarkEnd w:id="62"/>
      <w:bookmarkEnd w:id="63"/>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10.1</w:t>
      </w:r>
      <w:r>
        <w:rPr>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rPr>
        <w:t>简体中文</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10.2</w:t>
      </w:r>
      <w:r>
        <w:rPr>
          <w:rFonts w:hint="eastAsia" w:ascii="宋体" w:hAnsi="宋体" w:cs="宋体"/>
          <w:color w:val="000000" w:themeColor="text1"/>
          <w:sz w:val="24"/>
          <w:szCs w:val="24"/>
        </w:rPr>
        <w:t xml:space="preserve"> 除技术性能另有规定外，投标文件所使用的度量衡单位，均须采用国家法定计量单位。</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64" w:name="_Toc20823287"/>
      <w:bookmarkStart w:id="65" w:name="_Toc462564074"/>
      <w:bookmarkStart w:id="66" w:name="_Toc513029215"/>
      <w:bookmarkStart w:id="67" w:name="_Toc16938531"/>
      <w:r>
        <w:rPr>
          <w:rFonts w:hint="eastAsia" w:ascii="宋体" w:hAnsi="宋体" w:eastAsia="宋体" w:cs="宋体"/>
          <w:b w:val="0"/>
          <w:bCs w:val="0"/>
          <w:color w:val="000000" w:themeColor="text1"/>
          <w:sz w:val="24"/>
          <w:szCs w:val="24"/>
        </w:rPr>
        <w:t>11、投标文件构成</w:t>
      </w:r>
      <w:bookmarkEnd w:id="64"/>
      <w:bookmarkEnd w:id="65"/>
      <w:bookmarkEnd w:id="66"/>
      <w:bookmarkEnd w:id="67"/>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11.1</w:t>
      </w:r>
      <w:r>
        <w:rPr>
          <w:rFonts w:hint="eastAsia" w:ascii="宋体" w:hAnsi="宋体" w:cs="宋体"/>
          <w:color w:val="000000" w:themeColor="text1"/>
          <w:sz w:val="24"/>
          <w:szCs w:val="24"/>
        </w:rPr>
        <w:t xml:space="preserve"> 投标人编写的投标文件应包括资信证明文件、投标配置与分项报价表、技术参数响应及偏离表、商务条款响应及偏离表、技术及售后服务承诺书、投标函、开标一览表等部分。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11.2投标人应将投标文件按顺序装订成册，并编制投标文件资料目录。</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68" w:name="_Hlt26954838"/>
      <w:bookmarkEnd w:id="68"/>
      <w:bookmarkStart w:id="69" w:name="_Hlt26668975"/>
      <w:bookmarkEnd w:id="69"/>
      <w:bookmarkStart w:id="70" w:name="_Hlt26670360"/>
      <w:bookmarkEnd w:id="70"/>
      <w:bookmarkStart w:id="71" w:name="_Toc49090509"/>
      <w:bookmarkStart w:id="72" w:name="_Toc513029219"/>
      <w:bookmarkStart w:id="73" w:name="_Toc14577357"/>
      <w:bookmarkStart w:id="74" w:name="_Toc49090507"/>
      <w:bookmarkStart w:id="75" w:name="_Toc14577354"/>
      <w:bookmarkStart w:id="76" w:name="_Toc513029216"/>
      <w:r>
        <w:rPr>
          <w:rFonts w:hint="eastAsia" w:ascii="宋体" w:hAnsi="宋体" w:eastAsia="宋体" w:cs="宋体"/>
          <w:b w:val="0"/>
          <w:bCs w:val="0"/>
          <w:color w:val="000000" w:themeColor="text1"/>
          <w:sz w:val="24"/>
          <w:szCs w:val="24"/>
        </w:rPr>
        <w:t>12、证明投标人资格及符合招标文件规定的文件</w:t>
      </w:r>
      <w:bookmarkEnd w:id="71"/>
      <w:bookmarkEnd w:id="72"/>
      <w:bookmarkEnd w:id="73"/>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w:t>
      </w:r>
      <w:bookmarkStart w:id="77" w:name="_Hlt26668999"/>
      <w:bookmarkEnd w:id="77"/>
      <w:r>
        <w:rPr>
          <w:rFonts w:hint="eastAsia" w:ascii="宋体" w:hAnsi="宋体" w:cs="宋体"/>
          <w:color w:val="000000" w:themeColor="text1"/>
          <w:sz w:val="24"/>
          <w:szCs w:val="24"/>
        </w:rPr>
        <w:t>投标人应按要求提交资格证明文件及符合招标文件规定的文件。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12.2投标人应提交证明其有资格参加投标和中标后有能力独立履行合同的文件。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12.3投标人除必须具有履行合同所需提供的货物以及服务的能力外，还必须具备相应的财务、技术方面的能力。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12.4投标人应提交根据合同要求提供的证明货物质量合格以及符合招标文件规定的证明文件。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12.5证明投标人所提供货物与招标文件的要求相一致的文件可以是手册、图纸、文字资料和数据</w:t>
      </w:r>
      <w:r>
        <w:rPr>
          <w:rFonts w:hint="eastAsia" w:ascii="宋体" w:hAnsi="宋体" w:cs="宋体"/>
          <w:bCs/>
          <w:color w:val="000000" w:themeColor="text1"/>
          <w:sz w:val="24"/>
          <w:szCs w:val="24"/>
        </w:rPr>
        <w:t>。</w:t>
      </w:r>
    </w:p>
    <w:bookmarkEnd w:id="74"/>
    <w:bookmarkEnd w:id="75"/>
    <w:bookmarkEnd w:id="76"/>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78" w:name="_Toc14577355"/>
      <w:bookmarkStart w:id="79" w:name="_Toc49090508"/>
      <w:r>
        <w:rPr>
          <w:rFonts w:hint="eastAsia" w:ascii="宋体" w:hAnsi="宋体" w:eastAsia="宋体" w:cs="宋体"/>
          <w:b w:val="0"/>
          <w:bCs w:val="0"/>
          <w:color w:val="000000" w:themeColor="text1"/>
          <w:sz w:val="24"/>
          <w:szCs w:val="24"/>
        </w:rPr>
        <w:t>13、投标配置与分项报价</w:t>
      </w:r>
      <w:bookmarkEnd w:id="78"/>
      <w:bookmarkStart w:id="80" w:name="_Hlt26670373"/>
      <w:bookmarkEnd w:id="80"/>
      <w:r>
        <w:rPr>
          <w:rFonts w:hint="eastAsia" w:ascii="宋体" w:hAnsi="宋体" w:eastAsia="宋体" w:cs="宋体"/>
          <w:b w:val="0"/>
          <w:bCs w:val="0"/>
          <w:color w:val="000000" w:themeColor="text1"/>
          <w:sz w:val="24"/>
          <w:szCs w:val="24"/>
        </w:rPr>
        <w:t>表</w:t>
      </w:r>
      <w:bookmarkEnd w:id="79"/>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81" w:name="_Hlt26954840"/>
      <w:bookmarkEnd w:id="81"/>
      <w:r>
        <w:rPr>
          <w:rFonts w:hint="eastAsia" w:ascii="宋体" w:hAnsi="宋体" w:cs="宋体"/>
          <w:color w:val="000000" w:themeColor="text1"/>
          <w:sz w:val="24"/>
          <w:szCs w:val="24"/>
        </w:rPr>
        <w:t>标人应按照招标文件规定格式填报投标配置与分项报价表</w:t>
      </w:r>
      <w:bookmarkStart w:id="82" w:name="_Hlt26670399"/>
      <w:bookmarkEnd w:id="82"/>
      <w:r>
        <w:rPr>
          <w:rFonts w:hint="eastAsia" w:ascii="宋体" w:hAnsi="宋体" w:cs="宋体"/>
          <w:color w:val="000000" w:themeColor="text1"/>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13.2</w:t>
      </w:r>
      <w:r>
        <w:rPr>
          <w:rFonts w:hint="eastAsia" w:ascii="宋体" w:hAnsi="宋体" w:cs="宋体"/>
          <w:color w:val="000000" w:themeColor="text1"/>
          <w:sz w:val="24"/>
          <w:szCs w:val="24"/>
        </w:rPr>
        <w:t xml:space="preserve"> 标的物</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采购人需求的货物供应、安装，调试及有关技术服务等</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13.3</w:t>
      </w:r>
      <w:r>
        <w:rPr>
          <w:rFonts w:hint="eastAsia" w:ascii="宋体" w:hAnsi="宋体" w:cs="宋体"/>
          <w:bCs/>
          <w:color w:val="000000" w:themeColor="text1"/>
          <w:sz w:val="24"/>
          <w:szCs w:val="24"/>
        </w:rPr>
        <w:t>有关费用处理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招标报价采用总承包方式，投标人的报价应包括满足采购人使用车辆需要的所有费用。投标人报价时须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采购人不另行增加费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13.4</w:t>
      </w:r>
      <w:r>
        <w:rPr>
          <w:rFonts w:hint="eastAsia" w:ascii="宋体" w:hAnsi="宋体" w:cs="宋体"/>
          <w:bCs/>
          <w:color w:val="000000" w:themeColor="text1"/>
          <w:sz w:val="24"/>
          <w:szCs w:val="24"/>
        </w:rPr>
        <w:t>其它费用处理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招标文件未列明，而投标人认为必需的费用也需列入报价。</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13.5</w:t>
      </w:r>
      <w:r>
        <w:rPr>
          <w:rFonts w:hint="eastAsia" w:ascii="宋体" w:hAnsi="宋体" w:cs="宋体"/>
          <w:bCs/>
          <w:color w:val="000000" w:themeColor="text1"/>
          <w:sz w:val="24"/>
          <w:szCs w:val="24"/>
        </w:rPr>
        <w:t>投标货币</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投标文件中的货物单价和总价无特殊规定的采用人民币报价，以元为单位标注。</w:t>
      </w:r>
      <w:r>
        <w:rPr>
          <w:rFonts w:hint="eastAsia" w:ascii="宋体" w:hAnsi="宋体" w:cs="宋体"/>
          <w:color w:val="000000" w:themeColor="text1"/>
          <w:sz w:val="24"/>
          <w:szCs w:val="24"/>
        </w:rPr>
        <w:t>招标文件中另有规定的按规定执行。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w:t>
      </w:r>
      <w:r>
        <w:rPr>
          <w:rFonts w:hint="eastAsia" w:ascii="宋体" w:hAnsi="宋体" w:cs="宋体"/>
          <w:bCs/>
          <w:color w:val="000000" w:themeColor="text1"/>
          <w:sz w:val="24"/>
          <w:szCs w:val="24"/>
        </w:rPr>
        <w:t xml:space="preserve"> 投标配置与分项报价表上的价格应按下列方式分开填写</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bCs/>
          <w:color w:val="000000" w:themeColor="text1"/>
          <w:sz w:val="24"/>
          <w:szCs w:val="24"/>
        </w:rPr>
      </w:pPr>
      <w:bookmarkStart w:id="83" w:name="_Hlt26670403"/>
      <w:bookmarkEnd w:id="83"/>
      <w:bookmarkStart w:id="84" w:name="_Hlt26954842"/>
      <w:bookmarkEnd w:id="84"/>
      <w:bookmarkStart w:id="85" w:name="_Hlt26668983"/>
      <w:bookmarkEnd w:id="85"/>
      <w:bookmarkStart w:id="86" w:name="_Hlt26954844"/>
      <w:bookmarkEnd w:id="86"/>
      <w:bookmarkStart w:id="87" w:name="_Hlt26670425"/>
      <w:bookmarkEnd w:id="87"/>
      <w:r>
        <w:rPr>
          <w:rFonts w:hint="eastAsia" w:ascii="宋体" w:hAnsi="宋体" w:cs="宋体"/>
          <w:bCs/>
          <w:color w:val="000000" w:themeColor="text1"/>
          <w:sz w:val="24"/>
          <w:szCs w:val="24"/>
        </w:rPr>
        <w:t>（1）</w:t>
      </w:r>
      <w:r>
        <w:rPr>
          <w:rFonts w:hint="eastAsia" w:ascii="宋体" w:hAnsi="宋体" w:cs="宋体"/>
          <w:color w:val="000000" w:themeColor="text1"/>
          <w:sz w:val="24"/>
          <w:szCs w:val="24"/>
        </w:rPr>
        <w:t>项目总价：包括</w:t>
      </w:r>
      <w:r>
        <w:rPr>
          <w:rFonts w:hint="eastAsia" w:ascii="宋体" w:hAnsi="宋体" w:cs="宋体"/>
          <w:bCs/>
          <w:color w:val="000000" w:themeColor="text1"/>
          <w:sz w:val="24"/>
          <w:szCs w:val="24"/>
        </w:rPr>
        <w:t>买方需求的货物价格</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质量保证费用、培训费用及售后服务费用，项目在指定地点、环境交付、安装、调试、验收所需费用和所有</w:t>
      </w:r>
      <w:r>
        <w:rPr>
          <w:rFonts w:hint="eastAsia" w:ascii="宋体" w:hAnsi="宋体" w:cs="宋体"/>
          <w:color w:val="000000" w:themeColor="text1"/>
          <w:sz w:val="24"/>
          <w:szCs w:val="24"/>
        </w:rPr>
        <w:t>相关税金费用</w:t>
      </w:r>
      <w:r>
        <w:rPr>
          <w:rFonts w:hint="eastAsia" w:ascii="宋体" w:hAnsi="宋体" w:cs="宋体"/>
          <w:bCs/>
          <w:color w:val="000000" w:themeColor="text1"/>
          <w:sz w:val="24"/>
          <w:szCs w:val="24"/>
        </w:rPr>
        <w:t>及为完成整个项目所产生的其它所有费用。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w:t>
      </w:r>
      <w:r>
        <w:rPr>
          <w:rFonts w:hint="eastAsia" w:ascii="宋体" w:hAnsi="宋体" w:cs="宋体"/>
          <w:bCs/>
          <w:color w:val="000000" w:themeColor="text1"/>
          <w:sz w:val="24"/>
          <w:szCs w:val="24"/>
        </w:rPr>
        <w:t>项目单价按投标配置及分项报价表中要求填报。</w:t>
      </w:r>
      <w:bookmarkStart w:id="88" w:name="_Hlt26954848"/>
      <w:bookmarkEnd w:id="88"/>
      <w:bookmarkStart w:id="89" w:name="_Hlt26954846"/>
      <w:bookmarkEnd w:id="89"/>
      <w:bookmarkStart w:id="90" w:name="_Hlt26670482"/>
      <w:bookmarkEnd w:id="90"/>
      <w:bookmarkStart w:id="91" w:name="_Hlt26670486"/>
      <w:bookmarkEnd w:id="91"/>
      <w:bookmarkStart w:id="92" w:name="_Hlt26954731"/>
      <w:bookmarkEnd w:id="92"/>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14</w:t>
      </w:r>
      <w:r>
        <w:rPr>
          <w:rFonts w:hint="eastAsia" w:ascii="宋体" w:hAnsi="宋体" w:cs="宋体"/>
          <w:b/>
          <w:bCs/>
          <w:color w:val="000000" w:themeColor="text1"/>
          <w:sz w:val="24"/>
          <w:szCs w:val="24"/>
        </w:rPr>
        <w:t>、</w:t>
      </w:r>
      <w:r>
        <w:rPr>
          <w:rFonts w:hint="eastAsia" w:ascii="宋体" w:hAnsi="宋体" w:cs="宋体"/>
          <w:color w:val="000000" w:themeColor="text1"/>
          <w:sz w:val="24"/>
          <w:szCs w:val="24"/>
        </w:rPr>
        <w:t>技术参数响应及偏离表、商务条款响应及偏离表及投标货物说明</w:t>
      </w:r>
    </w:p>
    <w:p>
      <w:pPr>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lang w:val="zh-CN"/>
        </w:rPr>
        <w:t>14.1</w:t>
      </w:r>
      <w:r>
        <w:rPr>
          <w:rFonts w:hint="eastAsia" w:ascii="宋体" w:hAnsi="宋体" w:cs="宋体"/>
          <w:color w:val="000000" w:themeColor="text1"/>
          <w:sz w:val="24"/>
          <w:szCs w:val="24"/>
          <w:lang w:val="zh-CN"/>
        </w:rPr>
        <w:t>对招标文件中的技术与商务条款要求逐项作出响应或偏离，并说明原因。</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14.2 提供参加本项目类似案例简介。</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14.3 培训计划。</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14.5 投标人认为需要的其他技术文件或说明。</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rPr>
      </w:pPr>
      <w:r>
        <w:rPr>
          <w:rFonts w:hint="eastAsia" w:ascii="宋体" w:hAnsi="宋体" w:cs="宋体"/>
          <w:bCs/>
          <w:color w:val="000000" w:themeColor="text1"/>
          <w:sz w:val="24"/>
          <w:szCs w:val="24"/>
        </w:rPr>
        <w:t>15、服务承诺及售后服务机构、人员的情况介绍</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rPr>
      </w:pPr>
      <w:r>
        <w:rPr>
          <w:rFonts w:hint="eastAsia" w:ascii="宋体" w:hAnsi="宋体" w:cs="宋体"/>
          <w:bCs/>
          <w:color w:val="000000" w:themeColor="text1"/>
          <w:sz w:val="24"/>
          <w:szCs w:val="24"/>
        </w:rPr>
        <w:t>15、1投标人的服务承诺应按不低于招标文件中商务要求的标准。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15、2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93" w:name="_Toc14577359"/>
      <w:bookmarkStart w:id="94" w:name="_Toc49090510"/>
      <w:r>
        <w:rPr>
          <w:rFonts w:hint="eastAsia" w:ascii="宋体" w:hAnsi="宋体" w:eastAsia="宋体" w:cs="宋体"/>
          <w:b w:val="0"/>
          <w:bCs w:val="0"/>
          <w:color w:val="000000" w:themeColor="text1"/>
          <w:sz w:val="24"/>
          <w:szCs w:val="24"/>
        </w:rPr>
        <w:t>16、投标函和开标一览表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16.1</w:t>
      </w:r>
      <w:r>
        <w:rPr>
          <w:rFonts w:hint="eastAsia" w:ascii="宋体" w:hAnsi="宋体" w:cs="宋体"/>
          <w:color w:val="000000" w:themeColor="text1"/>
          <w:sz w:val="24"/>
          <w:szCs w:val="24"/>
        </w:rPr>
        <w:t xml:space="preserve"> 投标人应按照招标文件中提供的格式完整、正确填写投标函、开标一览表。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16.2开标一览表中的价格应与投标文件中投标配置与分项报价表中的价格一致，如不一致，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szCs w:val="24"/>
        </w:rPr>
        <w:t>，但评标时按开标一览表中价格为准</w:t>
      </w:r>
      <w:r>
        <w:rPr>
          <w:rFonts w:hint="eastAsia" w:ascii="宋体" w:hAnsi="宋体" w:cs="宋体"/>
          <w:b/>
          <w:bCs/>
          <w:color w:val="000000" w:themeColor="text1"/>
          <w:sz w:val="24"/>
          <w:szCs w:val="24"/>
        </w:rPr>
        <w:t>。</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w:t>
      </w:r>
      <w:bookmarkEnd w:id="93"/>
      <w:bookmarkEnd w:id="94"/>
      <w:bookmarkStart w:id="95" w:name="_Hlt26954850"/>
      <w:bookmarkEnd w:id="95"/>
      <w:bookmarkStart w:id="96" w:name="_Hlt26954734"/>
      <w:bookmarkEnd w:id="96"/>
      <w:bookmarkStart w:id="97" w:name="_Hlt26670489"/>
      <w:bookmarkEnd w:id="97"/>
      <w:bookmarkStart w:id="98" w:name="_Toc14577360"/>
      <w:bookmarkStart w:id="99" w:name="_Toc49090511"/>
      <w:r>
        <w:rPr>
          <w:rFonts w:hint="eastAsia" w:ascii="宋体" w:hAnsi="宋体" w:cs="宋体"/>
          <w:color w:val="000000" w:themeColor="text1"/>
          <w:sz w:val="24"/>
          <w:szCs w:val="24"/>
        </w:rPr>
        <w:t>投标有效期</w:t>
      </w:r>
      <w:bookmarkEnd w:id="98"/>
      <w:bookmarkEnd w:id="99"/>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17.1</w:t>
      </w:r>
      <w:r>
        <w:rPr>
          <w:rFonts w:hint="eastAsia" w:ascii="宋体" w:hAnsi="宋体" w:cs="宋体"/>
          <w:bCs/>
          <w:color w:val="000000" w:themeColor="text1"/>
          <w:sz w:val="24"/>
          <w:szCs w:val="24"/>
        </w:rPr>
        <w:t xml:space="preserve"> 投标有效期为规定的开标之日后</w:t>
      </w:r>
      <w:r>
        <w:rPr>
          <w:rFonts w:hint="eastAsia" w:ascii="宋体" w:hAnsi="宋体" w:cs="宋体"/>
          <w:b/>
          <w:color w:val="000000" w:themeColor="text1"/>
          <w:sz w:val="24"/>
          <w:szCs w:val="24"/>
          <w:u w:val="single"/>
        </w:rPr>
        <w:t>六十（60）天</w:t>
      </w:r>
      <w:r>
        <w:rPr>
          <w:rFonts w:hint="eastAsia" w:ascii="宋体" w:hAnsi="宋体" w:cs="宋体"/>
          <w:bCs/>
          <w:color w:val="000000" w:themeColor="text1"/>
          <w:sz w:val="24"/>
          <w:szCs w:val="24"/>
        </w:rPr>
        <w:t>。投标有效期比规定短的将被视为非响应性投标而予以拒绝。</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17.2</w:t>
      </w:r>
      <w:r>
        <w:rPr>
          <w:rFonts w:hint="eastAsia" w:ascii="宋体" w:hAnsi="宋体" w:cs="宋体"/>
          <w:bCs/>
          <w:color w:val="000000" w:themeColor="text1"/>
          <w:sz w:val="24"/>
          <w:szCs w:val="24"/>
        </w:rPr>
        <w:t xml:space="preserve"> 在特殊情况下，</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于原投标有效期满之前，可向投标人提出延长投标有效期的要求。这种要求与答复均应采用书面形式。投标人可以拒绝</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的这一要求而放弃投标</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同意延长投标有效期的投标人既不能要求也不允许修改其投标文件。</w:t>
      </w:r>
      <w:r>
        <w:rPr>
          <w:rFonts w:hint="eastAsia" w:ascii="宋体" w:hAnsi="宋体" w:cs="宋体"/>
          <w:color w:val="000000" w:themeColor="text1"/>
          <w:sz w:val="24"/>
          <w:szCs w:val="24"/>
        </w:rPr>
        <w:t>受投标有效期约束的所有权利与义务均延长至新的有效期</w:t>
      </w:r>
      <w:r>
        <w:rPr>
          <w:rFonts w:hint="eastAsia" w:ascii="宋体" w:hAnsi="宋体" w:cs="宋体"/>
          <w:bCs/>
          <w:color w:val="000000" w:themeColor="text1"/>
          <w:sz w:val="24"/>
          <w:szCs w:val="24"/>
        </w:rPr>
        <w:t>。</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00" w:name="_Hlt26954852"/>
      <w:bookmarkEnd w:id="100"/>
      <w:bookmarkStart w:id="101" w:name="_Hlt26954739"/>
      <w:bookmarkEnd w:id="101"/>
      <w:bookmarkStart w:id="102" w:name="_Toc49090512"/>
      <w:bookmarkStart w:id="103" w:name="_Toc14577361"/>
      <w:r>
        <w:rPr>
          <w:rFonts w:hint="eastAsia" w:ascii="宋体" w:hAnsi="宋体" w:eastAsia="宋体" w:cs="宋体"/>
          <w:b w:val="0"/>
          <w:bCs w:val="0"/>
          <w:color w:val="000000" w:themeColor="text1"/>
          <w:sz w:val="24"/>
          <w:szCs w:val="24"/>
        </w:rPr>
        <w:t>18、投标文件份数和签署</w:t>
      </w:r>
      <w:bookmarkEnd w:id="102"/>
      <w:bookmarkEnd w:id="103"/>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18.1</w:t>
      </w:r>
      <w:r>
        <w:rPr>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18.2投标文件正本中，</w:t>
      </w:r>
      <w:r>
        <w:rPr>
          <w:rFonts w:hint="eastAsia" w:ascii="宋体" w:hAnsi="宋体" w:cs="宋体"/>
          <w:bCs/>
          <w:color w:val="000000" w:themeColor="text1"/>
          <w:sz w:val="24"/>
          <w:szCs w:val="24"/>
        </w:rPr>
        <w:t>招标文件要求必须提供原件的按照要求提供，文</w:t>
      </w:r>
      <w:r>
        <w:rPr>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18.3</w:t>
      </w:r>
      <w:r>
        <w:rPr>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5"/>
        <w:adjustRightInd w:val="0"/>
        <w:snapToGrid w:val="0"/>
        <w:spacing w:before="0" w:after="0" w:line="360" w:lineRule="auto"/>
        <w:ind w:firstLine="480" w:firstLineChars="200"/>
        <w:rPr>
          <w:rFonts w:ascii="宋体" w:hAnsi="宋体" w:cs="宋体"/>
          <w:color w:val="000000" w:themeColor="text1"/>
          <w:sz w:val="24"/>
          <w:szCs w:val="24"/>
        </w:rPr>
      </w:pPr>
      <w:bookmarkStart w:id="104" w:name="_Toc513029224"/>
      <w:bookmarkStart w:id="105" w:name="_Toc120614217"/>
      <w:bookmarkStart w:id="106" w:name="_Toc20823296"/>
      <w:bookmarkStart w:id="107" w:name="_Toc16938540"/>
      <w:r>
        <w:rPr>
          <w:rFonts w:hint="eastAsia" w:ascii="宋体" w:hAnsi="宋体" w:cs="宋体"/>
          <w:color w:val="000000" w:themeColor="text1"/>
          <w:sz w:val="24"/>
          <w:szCs w:val="24"/>
        </w:rPr>
        <w:t>四、投标文件的递交</w:t>
      </w:r>
      <w:bookmarkEnd w:id="104"/>
      <w:bookmarkEnd w:id="105"/>
      <w:bookmarkEnd w:id="106"/>
      <w:bookmarkEnd w:id="107"/>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08" w:name="_Toc16938541"/>
      <w:bookmarkStart w:id="109" w:name="_Toc462564084"/>
      <w:bookmarkStart w:id="110" w:name="_Toc20823297"/>
      <w:bookmarkStart w:id="111" w:name="_Toc513029225"/>
      <w:r>
        <w:rPr>
          <w:rFonts w:hint="eastAsia" w:ascii="宋体" w:hAnsi="宋体" w:eastAsia="宋体" w:cs="宋体"/>
          <w:b w:val="0"/>
          <w:bCs w:val="0"/>
          <w:color w:val="000000" w:themeColor="text1"/>
          <w:sz w:val="24"/>
          <w:szCs w:val="24"/>
        </w:rPr>
        <w:t>19、投标文件的密封和标记</w:t>
      </w:r>
      <w:bookmarkEnd w:id="108"/>
      <w:bookmarkEnd w:id="109"/>
      <w:bookmarkEnd w:id="110"/>
      <w:bookmarkEnd w:id="111"/>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19.1</w:t>
      </w:r>
      <w:r>
        <w:rPr>
          <w:rFonts w:hint="eastAsia" w:ascii="宋体" w:hAnsi="宋体" w:cs="宋体"/>
          <w:bCs/>
          <w:color w:val="000000" w:themeColor="text1"/>
          <w:sz w:val="24"/>
          <w:szCs w:val="24"/>
        </w:rPr>
        <w:t>投标人应将投标文件正本和所有副本密封，不论投标人中标与否，投标文件均不退回。</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w:t>
      </w:r>
      <w:r>
        <w:rPr>
          <w:rFonts w:hint="eastAsia" w:ascii="宋体" w:hAnsi="宋体" w:cs="宋体"/>
          <w:bCs/>
          <w:color w:val="000000" w:themeColor="text1"/>
          <w:sz w:val="24"/>
          <w:szCs w:val="24"/>
        </w:rPr>
        <w:t>密封的投标文件应。</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19.2.1 注明投标人名称，如因标注不清而产生的后果由投标人自负。按招标公告中注明的地址送。</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19.2.2  注明投标项目名称、标书编号及分包号。</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19.2.3</w:t>
      </w:r>
      <w:r>
        <w:rPr>
          <w:rFonts w:hint="eastAsia" w:ascii="宋体" w:hAnsi="宋体" w:cs="宋体"/>
          <w:bCs/>
          <w:color w:val="000000" w:themeColor="text1"/>
          <w:sz w:val="24"/>
          <w:szCs w:val="24"/>
        </w:rPr>
        <w:t xml:space="preserve">  未按要求密封和加写标记，</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对误投或过早启封概不负责。对由此造成提前开封的投标文件，</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将予以拒绝，作无效投标处理。</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12" w:name="_Toc513029226"/>
      <w:bookmarkStart w:id="113" w:name="_Toc16938542"/>
      <w:bookmarkStart w:id="114" w:name="_Toc20823298"/>
      <w:r>
        <w:rPr>
          <w:rFonts w:hint="eastAsia" w:ascii="宋体" w:hAnsi="宋体" w:eastAsia="宋体" w:cs="宋体"/>
          <w:b w:val="0"/>
          <w:bCs w:val="0"/>
          <w:color w:val="000000" w:themeColor="text1"/>
          <w:sz w:val="24"/>
          <w:szCs w:val="24"/>
        </w:rPr>
        <w:t>20、投标截止日期</w:t>
      </w:r>
      <w:bookmarkEnd w:id="112"/>
      <w:bookmarkEnd w:id="113"/>
      <w:bookmarkEnd w:id="114"/>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20.1采购人或采购代理机构</w:t>
      </w:r>
      <w:r>
        <w:rPr>
          <w:rFonts w:hint="eastAsia" w:ascii="宋体" w:hAnsi="宋体" w:cs="宋体"/>
          <w:bCs/>
          <w:color w:val="000000" w:themeColor="text1"/>
          <w:sz w:val="24"/>
          <w:szCs w:val="24"/>
        </w:rPr>
        <w:t>收到投标文件的时间不得迟于招标公告中规定的截止时间。</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20.2采购人或采购代理机构</w:t>
      </w:r>
      <w:r>
        <w:rPr>
          <w:rFonts w:hint="eastAsia" w:ascii="宋体" w:hAnsi="宋体" w:cs="宋体"/>
          <w:bCs/>
          <w:color w:val="000000" w:themeColor="text1"/>
          <w:sz w:val="24"/>
          <w:szCs w:val="24"/>
        </w:rPr>
        <w:t>有权通过修改招标文件酌情延长投标截止日期，在此情况下，投标人的所有权利和义务以及投标人受制的截止日期均应以延长后新的截止日期为准。</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15" w:name="_Toc20823299"/>
      <w:bookmarkStart w:id="116" w:name="_Toc513029227"/>
      <w:bookmarkStart w:id="117" w:name="_Toc16938543"/>
      <w:r>
        <w:rPr>
          <w:rFonts w:hint="eastAsia" w:ascii="宋体" w:hAnsi="宋体" w:eastAsia="宋体" w:cs="宋体"/>
          <w:b w:val="0"/>
          <w:bCs w:val="0"/>
          <w:color w:val="000000" w:themeColor="text1"/>
          <w:sz w:val="24"/>
          <w:szCs w:val="24"/>
        </w:rPr>
        <w:t>21、迟交的投标文件</w:t>
      </w:r>
      <w:bookmarkEnd w:id="115"/>
      <w:bookmarkEnd w:id="116"/>
      <w:bookmarkEnd w:id="117"/>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21.1采购人或采购代理机构</w:t>
      </w:r>
      <w:r>
        <w:rPr>
          <w:rFonts w:hint="eastAsia" w:ascii="宋体" w:hAnsi="宋体" w:cs="宋体"/>
          <w:bCs/>
          <w:color w:val="000000" w:themeColor="text1"/>
          <w:sz w:val="24"/>
          <w:szCs w:val="24"/>
        </w:rPr>
        <w:t>拒绝接收在其规定的投标截止时间后递交的任何投标文件。</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18" w:name="_Toc20823300"/>
      <w:bookmarkStart w:id="119" w:name="_Toc513029228"/>
      <w:bookmarkStart w:id="120" w:name="_Toc16938544"/>
      <w:r>
        <w:rPr>
          <w:rFonts w:hint="eastAsia" w:ascii="宋体" w:hAnsi="宋体" w:eastAsia="宋体" w:cs="宋体"/>
          <w:b w:val="0"/>
          <w:bCs w:val="0"/>
          <w:color w:val="000000" w:themeColor="text1"/>
          <w:sz w:val="24"/>
          <w:szCs w:val="24"/>
        </w:rPr>
        <w:t>22、投标文件的修改和撤回</w:t>
      </w:r>
      <w:bookmarkEnd w:id="118"/>
      <w:bookmarkEnd w:id="119"/>
      <w:bookmarkEnd w:id="120"/>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22.1</w:t>
      </w:r>
      <w:r>
        <w:rPr>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通知采购人或采购代理机构，修改或撤回其投标文件。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22.2</w:t>
      </w:r>
      <w:r>
        <w:rPr>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22.3</w:t>
      </w:r>
      <w:r>
        <w:rPr>
          <w:rFonts w:hint="eastAsia" w:ascii="宋体" w:hAnsi="宋体" w:cs="宋体"/>
          <w:bCs/>
          <w:color w:val="000000" w:themeColor="text1"/>
          <w:sz w:val="24"/>
          <w:szCs w:val="24"/>
        </w:rPr>
        <w:t>在投标截止时间之后，投标人不得对其投标文件作任何修改。</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22.4</w:t>
      </w:r>
      <w:r>
        <w:rPr>
          <w:rFonts w:hint="eastAsia" w:ascii="宋体" w:hAnsi="宋体" w:cs="宋体"/>
          <w:bCs/>
          <w:color w:val="000000" w:themeColor="text1"/>
          <w:sz w:val="24"/>
          <w:szCs w:val="24"/>
        </w:rPr>
        <w:t xml:space="preserve"> 在投标截止时间至招标文件中规定的投标有效期满之间的这段时间内，投标人不得撤回其投标。</w:t>
      </w:r>
    </w:p>
    <w:p>
      <w:pPr>
        <w:pStyle w:val="5"/>
        <w:adjustRightInd w:val="0"/>
        <w:snapToGrid w:val="0"/>
        <w:spacing w:before="0" w:after="0" w:line="360" w:lineRule="auto"/>
        <w:ind w:firstLine="480" w:firstLineChars="200"/>
        <w:rPr>
          <w:rFonts w:ascii="宋体" w:hAnsi="宋体" w:cs="宋体"/>
          <w:color w:val="000000" w:themeColor="text1"/>
          <w:sz w:val="24"/>
          <w:szCs w:val="24"/>
        </w:rPr>
      </w:pPr>
      <w:bookmarkStart w:id="121" w:name="_Toc20823301"/>
      <w:bookmarkStart w:id="122" w:name="_Toc120614218"/>
      <w:bookmarkStart w:id="123" w:name="_Toc16938545"/>
      <w:bookmarkStart w:id="124" w:name="_Toc513029229"/>
      <w:r>
        <w:rPr>
          <w:rFonts w:hint="eastAsia" w:ascii="宋体" w:hAnsi="宋体" w:cs="宋体"/>
          <w:color w:val="000000" w:themeColor="text1"/>
          <w:sz w:val="24"/>
          <w:szCs w:val="24"/>
        </w:rPr>
        <w:t>五、开标与评标</w:t>
      </w:r>
      <w:bookmarkEnd w:id="121"/>
      <w:bookmarkEnd w:id="122"/>
      <w:bookmarkEnd w:id="123"/>
      <w:bookmarkEnd w:id="124"/>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25" w:name="_Toc20823302"/>
      <w:bookmarkStart w:id="126" w:name="_Toc16938546"/>
      <w:bookmarkStart w:id="127" w:name="_Toc513029230"/>
      <w:r>
        <w:rPr>
          <w:rFonts w:hint="eastAsia" w:ascii="宋体" w:hAnsi="宋体" w:eastAsia="宋体" w:cs="宋体"/>
          <w:b w:val="0"/>
          <w:bCs w:val="0"/>
          <w:color w:val="000000" w:themeColor="text1"/>
          <w:sz w:val="24"/>
          <w:szCs w:val="24"/>
        </w:rPr>
        <w:t>23、开标</w:t>
      </w:r>
      <w:bookmarkEnd w:id="125"/>
      <w:bookmarkEnd w:id="126"/>
      <w:bookmarkEnd w:id="127"/>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23.1采购人或采购代理机构</w:t>
      </w:r>
      <w:r>
        <w:rPr>
          <w:rFonts w:hint="eastAsia" w:ascii="宋体" w:hAnsi="宋体" w:cs="宋体"/>
          <w:bCs/>
          <w:color w:val="000000" w:themeColor="text1"/>
          <w:sz w:val="24"/>
          <w:szCs w:val="24"/>
        </w:rPr>
        <w:t>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23.2</w:t>
      </w:r>
      <w:r>
        <w:rPr>
          <w:rFonts w:hint="eastAsia" w:ascii="宋体" w:hAnsi="宋体" w:cs="宋体"/>
          <w:color w:val="000000" w:themeColor="text1"/>
          <w:sz w:val="24"/>
          <w:szCs w:val="24"/>
        </w:rPr>
        <w:t>开标仪式由采购人或采购代理机构组织，采购人代表、公证员（必要时）、监管代表、投标人代表等参加。</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23.3</w:t>
      </w:r>
      <w:r>
        <w:rPr>
          <w:rFonts w:hint="eastAsia" w:ascii="宋体" w:hAnsi="宋体" w:cs="宋体"/>
          <w:bCs/>
          <w:color w:val="000000" w:themeColor="text1"/>
          <w:sz w:val="24"/>
          <w:szCs w:val="24"/>
        </w:rPr>
        <w:t>按照规定同意撤回的投标将不予开封。</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23.4 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23.5 采购人或采购代理机构将指定专人负责开标记录并存档备查。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23.6 投标人在报价时不允许采用选择性报价，否则将被视为无效投标。</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28" w:name="_Toc16938547"/>
      <w:bookmarkStart w:id="129" w:name="_Toc20823303"/>
      <w:bookmarkStart w:id="130" w:name="_Toc513029231"/>
      <w:r>
        <w:rPr>
          <w:rFonts w:hint="eastAsia" w:ascii="宋体" w:hAnsi="宋体" w:eastAsia="宋体" w:cs="宋体"/>
          <w:b w:val="0"/>
          <w:bCs w:val="0"/>
          <w:color w:val="000000" w:themeColor="text1"/>
          <w:sz w:val="24"/>
          <w:szCs w:val="24"/>
        </w:rPr>
        <w:t>24、资格审查</w:t>
      </w:r>
    </w:p>
    <w:p>
      <w:pPr>
        <w:widowControl/>
        <w:adjustRightInd w:val="0"/>
        <w:snapToGrid w:val="0"/>
        <w:spacing w:line="360" w:lineRule="auto"/>
        <w:ind w:firstLine="480" w:firstLineChars="200"/>
        <w:jc w:val="left"/>
        <w:textAlignment w:val="baseline"/>
        <w:rPr>
          <w:rFonts w:ascii="宋体" w:hAnsi="宋体" w:cs="宋体"/>
          <w:color w:val="000000" w:themeColor="text1"/>
          <w:sz w:val="24"/>
          <w:szCs w:val="24"/>
        </w:rPr>
      </w:pPr>
      <w:r>
        <w:rPr>
          <w:rFonts w:hint="eastAsia" w:ascii="宋体" w:hAnsi="宋体" w:cs="宋体"/>
          <w:color w:val="000000" w:themeColor="text1"/>
          <w:sz w:val="24"/>
          <w:szCs w:val="24"/>
        </w:rPr>
        <w:t>24.1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（财政部87号令第44条规定）</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25、评标委员会</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25.1资格审查通过后，采购人或采购代理机构将组织评标委员会（以下简称评委会）进行评标。</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25.2 评委会由采购人代表和有关技术、经济等方面的专家组成，且人员构成符合政府采购有关规定。</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25.3评委会独立工作，负责评审所有投标文件并确定中标侯选人。</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26、评标过程的保密与公正</w:t>
      </w:r>
    </w:p>
    <w:bookmarkEnd w:id="128"/>
    <w:bookmarkEnd w:id="129"/>
    <w:bookmarkEnd w:id="130"/>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26.1</w:t>
      </w:r>
      <w:r>
        <w:rPr>
          <w:rFonts w:hint="eastAsia" w:ascii="宋体" w:hAnsi="宋体" w:cs="宋体"/>
          <w:bCs/>
          <w:color w:val="000000" w:themeColor="text1"/>
          <w:sz w:val="24"/>
          <w:szCs w:val="24"/>
        </w:rPr>
        <w:t>公开开标后，直至签订合同之日止，凡是与审查、澄清、评价和比较投标的有关资料以及授标建议等，采购人、评委均不得向投标人或与评标无关的其他人员透露。</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26.2在评标过程中，投标人不得以任何行为影响评标过程，否则其投标文件将被作为无效投标文件。</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31" w:name="_Toc20823304"/>
      <w:bookmarkStart w:id="132" w:name="_Toc16938548"/>
      <w:bookmarkStart w:id="133" w:name="_Toc513029232"/>
      <w:r>
        <w:rPr>
          <w:rFonts w:hint="eastAsia" w:ascii="宋体" w:hAnsi="宋体" w:eastAsia="宋体" w:cs="宋体"/>
          <w:b w:val="0"/>
          <w:bCs w:val="0"/>
          <w:color w:val="000000" w:themeColor="text1"/>
          <w:sz w:val="24"/>
          <w:szCs w:val="24"/>
        </w:rPr>
        <w:t>27、投标的澄清</w:t>
      </w:r>
      <w:bookmarkEnd w:id="131"/>
      <w:bookmarkEnd w:id="132"/>
      <w:bookmarkEnd w:id="133"/>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27.3 接到评委会澄清要求的投标人如未按规定做出澄清，其风险由投标人自行承担。</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34" w:name="_Toc16938549"/>
      <w:bookmarkStart w:id="135" w:name="_Toc20823305"/>
      <w:bookmarkStart w:id="136" w:name="_Toc513029233"/>
      <w:r>
        <w:rPr>
          <w:rFonts w:hint="eastAsia" w:ascii="宋体" w:hAnsi="宋体" w:eastAsia="宋体" w:cs="宋体"/>
          <w:b w:val="0"/>
          <w:bCs w:val="0"/>
          <w:color w:val="000000" w:themeColor="text1"/>
          <w:sz w:val="24"/>
          <w:szCs w:val="24"/>
        </w:rPr>
        <w:t>28、对投标文件的审</w:t>
      </w:r>
      <w:bookmarkEnd w:id="134"/>
      <w:bookmarkEnd w:id="135"/>
      <w:bookmarkEnd w:id="136"/>
      <w:r>
        <w:rPr>
          <w:rFonts w:hint="eastAsia" w:ascii="宋体" w:hAnsi="宋体" w:eastAsia="宋体" w:cs="宋体"/>
          <w:b w:val="0"/>
          <w:bCs w:val="0"/>
          <w:color w:val="000000" w:themeColor="text1"/>
          <w:sz w:val="24"/>
          <w:szCs w:val="24"/>
        </w:rPr>
        <w:t>查</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28.1</w:t>
      </w:r>
      <w:r>
        <w:rPr>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rPr>
        <w:t>评委决定投标文件的响应性只根据投标文件本身的内容，而不寻求外部的证据。</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28.3</w:t>
      </w:r>
      <w:r>
        <w:rPr>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28.4</w:t>
      </w:r>
      <w:r>
        <w:rPr>
          <w:rFonts w:hint="eastAsia" w:ascii="宋体" w:hAnsi="宋体" w:cs="宋体"/>
          <w:bCs/>
          <w:color w:val="000000" w:themeColor="text1"/>
          <w:sz w:val="24"/>
          <w:szCs w:val="24"/>
        </w:rPr>
        <w:t>评委会将对确定为实质性响应的投标进行进一步审核，对投标文件中大小写金额不一致等问题的评审原则如下：</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28.5</w:t>
      </w:r>
      <w:r>
        <w:rPr>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28.6</w:t>
      </w:r>
      <w:r>
        <w:rPr>
          <w:rFonts w:hint="eastAsia" w:ascii="宋体" w:hAnsi="宋体" w:cs="宋体"/>
          <w:bCs/>
          <w:color w:val="000000" w:themeColor="text1"/>
          <w:sz w:val="24"/>
          <w:szCs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28.7评标委员会认为投标人的报价</w:t>
      </w:r>
      <w:r>
        <w:rPr>
          <w:rFonts w:hint="eastAsia" w:ascii="宋体" w:hAnsi="宋体" w:cs="宋体"/>
          <w:b/>
          <w:color w:val="000000" w:themeColor="text1"/>
          <w:sz w:val="24"/>
          <w:szCs w:val="24"/>
        </w:rPr>
        <w:t>明显偏离</w:t>
      </w:r>
      <w:r>
        <w:rPr>
          <w:rFonts w:hint="eastAsia" w:ascii="宋体" w:hAnsi="宋体" w:cs="宋体"/>
          <w:color w:val="000000" w:themeColor="text1"/>
          <w:sz w:val="24"/>
          <w:szCs w:val="24"/>
        </w:rPr>
        <w:t>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(87号令第60条)</w:t>
      </w:r>
    </w:p>
    <w:p>
      <w:pPr>
        <w:pStyle w:val="6"/>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37" w:name="_Toc20823306"/>
      <w:bookmarkStart w:id="138" w:name="_Toc16938550"/>
      <w:bookmarkStart w:id="139" w:name="_Toc513029234"/>
      <w:r>
        <w:rPr>
          <w:rFonts w:hint="eastAsia" w:ascii="宋体" w:hAnsi="宋体" w:eastAsia="宋体" w:cs="宋体"/>
          <w:b w:val="0"/>
          <w:bCs w:val="0"/>
          <w:color w:val="000000" w:themeColor="text1"/>
          <w:sz w:val="24"/>
          <w:szCs w:val="24"/>
        </w:rPr>
        <w:t>29、</w:t>
      </w:r>
      <w:bookmarkEnd w:id="137"/>
      <w:bookmarkEnd w:id="138"/>
      <w:bookmarkEnd w:id="139"/>
      <w:r>
        <w:rPr>
          <w:rFonts w:hint="eastAsia" w:ascii="宋体" w:hAnsi="宋体" w:eastAsia="宋体" w:cs="宋体"/>
          <w:b w:val="0"/>
          <w:bCs w:val="0"/>
          <w:color w:val="000000" w:themeColor="text1"/>
          <w:sz w:val="24"/>
          <w:szCs w:val="24"/>
        </w:rPr>
        <w:t>无效投标条款和废标条款</w:t>
      </w:r>
    </w:p>
    <w:p>
      <w:pPr>
        <w:adjustRightInd w:val="0"/>
        <w:snapToGrid w:val="0"/>
        <w:spacing w:line="360" w:lineRule="auto"/>
        <w:ind w:firstLine="480" w:firstLineChars="200"/>
        <w:rPr>
          <w:rFonts w:ascii="宋体" w:hAnsi="宋体" w:cs="宋体"/>
          <w:bCs/>
          <w:color w:val="000000" w:themeColor="text1"/>
          <w:sz w:val="24"/>
          <w:szCs w:val="24"/>
        </w:rPr>
      </w:pPr>
      <w:bookmarkStart w:id="140" w:name="_Toc513029235"/>
      <w:bookmarkStart w:id="141" w:name="_Toc20823307"/>
      <w:bookmarkStart w:id="142" w:name="_Toc16938551"/>
      <w:r>
        <w:rPr>
          <w:rFonts w:hint="eastAsia" w:ascii="宋体" w:hAnsi="宋体" w:cs="宋体"/>
          <w:bCs/>
          <w:color w:val="000000" w:themeColor="text1"/>
          <w:sz w:val="24"/>
          <w:szCs w:val="24"/>
        </w:rPr>
        <w:t>29.1无效投标条款</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29.1.1未按要求交纳投标保证金的。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29.1.2未按照招标文件规定要求密封、签署、盖章的。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29.1.3投标人在报价时采用选择性报价。</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29.1.4投标人不具备招标文件中规定资格要求的。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29.1.5投标人的报价超过了采购预算的。</w:t>
      </w:r>
    </w:p>
    <w:p>
      <w:pPr>
        <w:adjustRightInd w:val="0"/>
        <w:snapToGrid w:val="0"/>
        <w:spacing w:line="360" w:lineRule="auto"/>
        <w:ind w:firstLine="480" w:firstLineChars="200"/>
        <w:rPr>
          <w:rFonts w:ascii="宋体" w:hAnsi="宋体" w:cs="宋体"/>
          <w:bCs/>
          <w:i/>
          <w:color w:val="000000" w:themeColor="text1"/>
          <w:sz w:val="24"/>
          <w:szCs w:val="24"/>
          <w:u w:val="single"/>
        </w:rPr>
      </w:pPr>
      <w:r>
        <w:rPr>
          <w:rFonts w:hint="eastAsia" w:ascii="宋体" w:hAnsi="宋体" w:cs="宋体"/>
          <w:bCs/>
          <w:color w:val="000000" w:themeColor="text1"/>
          <w:sz w:val="24"/>
          <w:szCs w:val="24"/>
        </w:rPr>
        <w:t>29.1.6未通过符合性检查的。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29.1.7不符合招标文件中规定的其他实质性要求和条件的。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29.1.8 投标人串通投标。</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29.1.9其他法律、法规及本招标文件规定的属无效投标的情形。</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29.2废标条款：                                                                                                                                                                                                                                                                                                                                                                                                                                                                                                                                                                                                                                                                                                                                                                                                                                                                                                                                                                                                                                                                                                                                                                                                                                                                                                                                                                                                                                                                         </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29.2.1符合专业条件的供应商或者对招标文件作实质响应的供应商不足三家的。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29.2.2出现影响采购公正的违法、违规行为的。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29.2.3因重大变故，采购任务取消的。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29.2.4评标委员会认定招标文件存在歧义、 重大缺陷导致评审工作无法进行。</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 投标截止时间结束后参加投标的供应商不足三家的处理：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5"/>
        <w:adjustRightInd w:val="0"/>
        <w:snapToGrid w:val="0"/>
        <w:spacing w:before="0" w:after="0" w:line="360" w:lineRule="auto"/>
        <w:ind w:firstLine="480" w:firstLineChars="200"/>
        <w:rPr>
          <w:rFonts w:ascii="宋体" w:hAnsi="宋体" w:cs="宋体"/>
          <w:color w:val="000000" w:themeColor="text1"/>
          <w:sz w:val="24"/>
          <w:szCs w:val="24"/>
        </w:rPr>
      </w:pPr>
      <w:bookmarkStart w:id="143" w:name="_Toc120614219"/>
      <w:r>
        <w:rPr>
          <w:rFonts w:hint="eastAsia" w:ascii="宋体" w:hAnsi="宋体" w:cs="宋体"/>
          <w:color w:val="000000" w:themeColor="text1"/>
          <w:sz w:val="24"/>
          <w:szCs w:val="24"/>
        </w:rPr>
        <w:t>六、</w:t>
      </w:r>
      <w:bookmarkEnd w:id="140"/>
      <w:bookmarkEnd w:id="141"/>
      <w:bookmarkEnd w:id="142"/>
      <w:r>
        <w:rPr>
          <w:rFonts w:hint="eastAsia" w:ascii="宋体" w:hAnsi="宋体" w:cs="宋体"/>
          <w:color w:val="000000" w:themeColor="text1"/>
          <w:sz w:val="24"/>
          <w:szCs w:val="24"/>
        </w:rPr>
        <w:t>定标</w:t>
      </w:r>
      <w:bookmarkEnd w:id="143"/>
    </w:p>
    <w:p>
      <w:pPr>
        <w:pStyle w:val="6"/>
        <w:adjustRightInd w:val="0"/>
        <w:snapToGrid w:val="0"/>
        <w:spacing w:before="0" w:after="0" w:line="360" w:lineRule="auto"/>
        <w:ind w:firstLine="480" w:firstLineChars="200"/>
        <w:rPr>
          <w:rFonts w:ascii="宋体" w:hAnsi="宋体" w:eastAsia="宋体" w:cs="宋体"/>
          <w:b w:val="0"/>
          <w:color w:val="000000" w:themeColor="text1"/>
          <w:sz w:val="24"/>
          <w:szCs w:val="24"/>
        </w:rPr>
      </w:pPr>
      <w:bookmarkStart w:id="144" w:name="_Toc513029238"/>
      <w:bookmarkStart w:id="145" w:name="_Toc20823310"/>
      <w:bookmarkStart w:id="146" w:name="_Toc16938554"/>
      <w:r>
        <w:rPr>
          <w:rFonts w:hint="eastAsia" w:ascii="宋体" w:hAnsi="宋体" w:eastAsia="宋体" w:cs="宋体"/>
          <w:b w:val="0"/>
          <w:color w:val="000000" w:themeColor="text1"/>
          <w:sz w:val="24"/>
          <w:szCs w:val="24"/>
        </w:rPr>
        <w:t>30、</w:t>
      </w:r>
      <w:bookmarkEnd w:id="144"/>
      <w:r>
        <w:rPr>
          <w:rFonts w:hint="eastAsia" w:ascii="宋体" w:hAnsi="宋体" w:eastAsia="宋体" w:cs="宋体"/>
          <w:b w:val="0"/>
          <w:color w:val="000000" w:themeColor="text1"/>
          <w:sz w:val="24"/>
          <w:szCs w:val="24"/>
        </w:rPr>
        <w:t>确定</w:t>
      </w:r>
      <w:bookmarkEnd w:id="145"/>
      <w:bookmarkEnd w:id="146"/>
      <w:r>
        <w:rPr>
          <w:rFonts w:hint="eastAsia" w:ascii="宋体" w:hAnsi="宋体" w:eastAsia="宋体" w:cs="宋体"/>
          <w:b w:val="0"/>
          <w:color w:val="000000" w:themeColor="text1"/>
          <w:sz w:val="24"/>
          <w:szCs w:val="24"/>
        </w:rPr>
        <w:t>中标单位</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30.1评委会根据本招标文件规定评标方法与评标标准向采购人推荐出中标候选人。</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30.2 采购人应根据评委会推荐的中标候选人确定中标供应商。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30.3</w:t>
      </w:r>
      <w:r>
        <w:rPr>
          <w:rFonts w:hint="eastAsia" w:ascii="宋体" w:hAnsi="宋体" w:cs="宋体"/>
          <w:color w:val="000000" w:themeColor="text1"/>
          <w:sz w:val="24"/>
          <w:szCs w:val="24"/>
        </w:rPr>
        <w:t>采购人或采购代理机构将在</w:t>
      </w:r>
      <w:r>
        <w:rPr>
          <w:rFonts w:hint="eastAsia" w:ascii="宋体" w:hAnsi="宋体" w:cs="宋体"/>
          <w:bCs/>
          <w:color w:val="000000" w:themeColor="text1"/>
          <w:sz w:val="24"/>
          <w:szCs w:val="24"/>
        </w:rPr>
        <w:t>“盐城市政府采购网”和“盐城工业职业技术学院招标采购网”</w:t>
      </w:r>
      <w:r>
        <w:rPr>
          <w:rFonts w:hint="eastAsia" w:ascii="宋体" w:hAnsi="宋体" w:cs="宋体"/>
          <w:color w:val="000000" w:themeColor="text1"/>
          <w:sz w:val="24"/>
          <w:szCs w:val="24"/>
        </w:rPr>
        <w:t>发布中标公告，公告期限为1个工作日。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30.4若有充分证据证明，中标供应商出现下列情况之一的，一经查实，将被取消中标资格：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30.4.1提供虚假材料谋取中标的。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30.4.2向采购人、采购代理机构行贿或者提供其他不正当利益的。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30.4.3恶意竞争，投标总报价明显低于其自身合理成本且又无法提供证明的。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30.4.4属于本文件规定的无效条件，但在评标过程中又未被评委会发现的。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30.4.5与采购人或者其他供应商恶意串通的。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30.4.6采取不正当手段诋毁、排挤其他供应商的。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30.4.7不符合法律、法规的规定的。</w:t>
      </w:r>
      <w:bookmarkStart w:id="147" w:name="_Toc200451960"/>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30.5. </w:t>
      </w:r>
      <w:r>
        <w:rPr>
          <w:rFonts w:hint="eastAsia" w:ascii="宋体" w:hAnsi="宋体" w:cs="宋体"/>
          <w:color w:val="000000" w:themeColor="text1"/>
          <w:kern w:val="0"/>
          <w:sz w:val="24"/>
          <w:szCs w:val="24"/>
        </w:rPr>
        <w:t>有下列情形之一的，属于恶意串通：</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30.5.1</w:t>
      </w:r>
      <w:r>
        <w:rPr>
          <w:rFonts w:hint="eastAsia" w:ascii="宋体" w:hAnsi="宋体" w:cs="宋体"/>
          <w:color w:val="000000" w:themeColor="text1"/>
          <w:kern w:val="0"/>
          <w:sz w:val="24"/>
          <w:szCs w:val="24"/>
        </w:rPr>
        <w:t>供应商直接或者间接从采购人或者采购代理机构处获得其他供应商的相关情况并修改其投标文件。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30.5.2</w:t>
      </w:r>
      <w:r>
        <w:rPr>
          <w:rFonts w:hint="eastAsia" w:ascii="宋体" w:hAnsi="宋体" w:cs="宋体"/>
          <w:color w:val="000000" w:themeColor="text1"/>
          <w:kern w:val="0"/>
          <w:sz w:val="24"/>
          <w:szCs w:val="24"/>
        </w:rPr>
        <w:t>供应商按照采购人或者采购代理机构的授意撤换、修改投标文件。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30.5.3</w:t>
      </w:r>
      <w:r>
        <w:rPr>
          <w:rFonts w:hint="eastAsia" w:ascii="宋体" w:hAnsi="宋体" w:cs="宋体"/>
          <w:color w:val="000000" w:themeColor="text1"/>
          <w:kern w:val="0"/>
          <w:sz w:val="24"/>
          <w:szCs w:val="24"/>
        </w:rPr>
        <w:t>供应商之间协商报价、技术方案等投标文件的实质性内容。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30.5.4</w:t>
      </w:r>
      <w:r>
        <w:rPr>
          <w:rFonts w:hint="eastAsia" w:ascii="宋体" w:hAnsi="宋体" w:cs="宋体"/>
          <w:color w:val="000000" w:themeColor="text1"/>
          <w:kern w:val="0"/>
          <w:sz w:val="24"/>
          <w:szCs w:val="24"/>
        </w:rPr>
        <w:t>属于同一集团、协会、商会等组织成员的供应商按照该组织要求协同参加政府采购活动。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30.5.5</w:t>
      </w:r>
      <w:r>
        <w:rPr>
          <w:rFonts w:hint="eastAsia" w:ascii="宋体" w:hAnsi="宋体" w:cs="宋体"/>
          <w:color w:val="000000" w:themeColor="text1"/>
          <w:kern w:val="0"/>
          <w:sz w:val="24"/>
          <w:szCs w:val="24"/>
        </w:rPr>
        <w:t>供应商之间事先约定由某一特定供应商中标。</w:t>
      </w:r>
    </w:p>
    <w:p>
      <w:pPr>
        <w:adjustRightInd w:val="0"/>
        <w:snapToGrid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30.5.6</w:t>
      </w:r>
      <w:r>
        <w:rPr>
          <w:rFonts w:hint="eastAsia" w:ascii="宋体" w:hAnsi="宋体" w:cs="宋体"/>
          <w:color w:val="000000" w:themeColor="text1"/>
          <w:kern w:val="0"/>
          <w:sz w:val="24"/>
          <w:szCs w:val="24"/>
        </w:rPr>
        <w:t>供应商之间商定部分供应商放弃参加政府采购活动或者放弃中标。</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30.5.7</w:t>
      </w:r>
      <w:r>
        <w:rPr>
          <w:rFonts w:hint="eastAsia" w:ascii="宋体" w:hAnsi="宋体" w:cs="宋体"/>
          <w:color w:val="000000" w:themeColor="text1"/>
          <w:kern w:val="0"/>
          <w:sz w:val="24"/>
          <w:szCs w:val="24"/>
        </w:rPr>
        <w:t>供应商与采购人或者采购代理机构之间、供应商相互之间，为谋求特定供应商中标或者排斥其他供应商的其他串通行为。</w:t>
      </w:r>
    </w:p>
    <w:p>
      <w:pPr>
        <w:pStyle w:val="6"/>
        <w:adjustRightInd w:val="0"/>
        <w:snapToGrid w:val="0"/>
        <w:spacing w:before="0" w:after="0" w:line="360" w:lineRule="auto"/>
        <w:ind w:firstLine="480" w:firstLineChars="200"/>
        <w:rPr>
          <w:rFonts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31、质疑处理</w:t>
      </w:r>
      <w:bookmarkEnd w:id="147"/>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31.1.1</w:t>
      </w:r>
      <w:r>
        <w:rPr>
          <w:rFonts w:hint="eastAsia" w:ascii="宋体" w:hAnsi="宋体" w:cs="宋体"/>
          <w:color w:val="000000" w:themeColor="text1"/>
          <w:kern w:val="0"/>
          <w:sz w:val="24"/>
          <w:szCs w:val="24"/>
        </w:rPr>
        <w:t>对可以质疑的招标文件提出质疑的，为收到招标文件之日或者招标文件公告期限届满之日。</w:t>
      </w:r>
      <w:r>
        <w:rPr>
          <w:rFonts w:hint="eastAsia" w:ascii="宋体" w:hAnsi="宋体" w:cs="宋体"/>
          <w:color w:val="000000" w:themeColor="text1"/>
          <w:kern w:val="0"/>
          <w:sz w:val="24"/>
          <w:szCs w:val="24"/>
        </w:rPr>
        <w:br w:type="textWrapping"/>
      </w: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31.1.2</w:t>
      </w:r>
      <w:r>
        <w:rPr>
          <w:rFonts w:hint="eastAsia" w:ascii="宋体" w:hAnsi="宋体" w:cs="宋体"/>
          <w:color w:val="000000" w:themeColor="text1"/>
          <w:kern w:val="0"/>
          <w:sz w:val="24"/>
          <w:szCs w:val="24"/>
        </w:rPr>
        <w:t>对采购过程提出质疑的，为各采购程序环节结束之日。</w:t>
      </w:r>
      <w:r>
        <w:rPr>
          <w:rFonts w:hint="eastAsia" w:ascii="宋体" w:hAnsi="宋体" w:cs="宋体"/>
          <w:color w:val="000000" w:themeColor="text1"/>
          <w:kern w:val="0"/>
          <w:sz w:val="24"/>
          <w:szCs w:val="24"/>
        </w:rPr>
        <w:br w:type="textWrapping"/>
      </w: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31.1.3</w:t>
      </w:r>
      <w:r>
        <w:rPr>
          <w:rFonts w:hint="eastAsia" w:ascii="宋体" w:hAnsi="宋体" w:cs="宋体"/>
          <w:color w:val="000000" w:themeColor="text1"/>
          <w:kern w:val="0"/>
          <w:sz w:val="24"/>
          <w:szCs w:val="24"/>
        </w:rPr>
        <w:t>对中标结果提出质疑的，为中标结果公告期限届满之日。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31.2质疑必须以参加投标供应商法定代表人或授权委托人（被授权人）（投标文件中所确定的）原件送达的方式提交，未按上述要求提交的质疑函（含传真、电子邮件等），采购人或采购代理机构有权不予受理。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31.3未参加投标活动的供应商或在投标活动中自身权益未受到损害的供应商所提出的质疑不予受理。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31.4质疑函应当包括下列内容：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31.4.1质疑投标人的名称、地址、邮编、联系人、联系电话。</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31.4.2具体的质疑事项及明确的请求。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31.4.3认为自己合法权益受到损害或可能受到损害的相关证据材料。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31.4.4提起质疑的日期。</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6"/>
        <w:adjustRightInd w:val="0"/>
        <w:snapToGrid w:val="0"/>
        <w:spacing w:before="0" w:after="0" w:line="360" w:lineRule="auto"/>
        <w:ind w:firstLine="480" w:firstLineChars="200"/>
        <w:rPr>
          <w:rFonts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32、中标通知书</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32.l中标结果确定后，采购人或采购代理机构将向中标供应商发出中标通知书。</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32.2 中标供应商收到中标通知书后，应签字确认中标通知书已收到。若无回复，则公告后视同中标供应商已经知悉并同意接受。</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32.3中标通知书将是合同的一个组成部分。对采购人和中标供应商均具有法律效力。中标通知书发出后，采购人改变中标结果的，或者中标供应商放弃中标项目的，应当依法承担法律责任。</w:t>
      </w:r>
    </w:p>
    <w:p>
      <w:pPr>
        <w:pStyle w:val="5"/>
        <w:adjustRightInd w:val="0"/>
        <w:snapToGrid w:val="0"/>
        <w:spacing w:before="0" w:after="0" w:line="360" w:lineRule="auto"/>
        <w:ind w:firstLine="480" w:firstLineChars="200"/>
        <w:rPr>
          <w:rFonts w:ascii="宋体" w:hAnsi="宋体" w:cs="宋体"/>
          <w:color w:val="000000" w:themeColor="text1"/>
          <w:sz w:val="24"/>
          <w:szCs w:val="24"/>
        </w:rPr>
      </w:pPr>
      <w:bookmarkStart w:id="148" w:name="_Toc120614220"/>
      <w:bookmarkStart w:id="149" w:name="_Toc20823308"/>
      <w:bookmarkStart w:id="150" w:name="_Toc16938552"/>
      <w:bookmarkStart w:id="151" w:name="_Toc513029236"/>
      <w:r>
        <w:rPr>
          <w:rFonts w:hint="eastAsia" w:ascii="宋体" w:hAnsi="宋体" w:cs="宋体"/>
          <w:color w:val="000000" w:themeColor="text1"/>
          <w:sz w:val="24"/>
          <w:szCs w:val="24"/>
        </w:rPr>
        <w:t>七、合同</w:t>
      </w:r>
      <w:bookmarkEnd w:id="148"/>
      <w:r>
        <w:rPr>
          <w:rFonts w:hint="eastAsia" w:ascii="宋体" w:hAnsi="宋体" w:cs="宋体"/>
          <w:color w:val="000000" w:themeColor="text1"/>
          <w:sz w:val="24"/>
          <w:szCs w:val="24"/>
        </w:rPr>
        <w:t>签订相关事项</w:t>
      </w:r>
    </w:p>
    <w:bookmarkEnd w:id="149"/>
    <w:bookmarkEnd w:id="150"/>
    <w:bookmarkEnd w:id="151"/>
    <w:p>
      <w:pPr>
        <w:pStyle w:val="6"/>
        <w:adjustRightInd w:val="0"/>
        <w:snapToGrid w:val="0"/>
        <w:spacing w:before="0" w:after="0" w:line="360" w:lineRule="auto"/>
        <w:ind w:firstLine="480" w:firstLineChars="200"/>
        <w:rPr>
          <w:rFonts w:ascii="宋体" w:hAnsi="宋体" w:eastAsia="宋体" w:cs="宋体"/>
          <w:b w:val="0"/>
          <w:color w:val="000000" w:themeColor="text1"/>
          <w:sz w:val="24"/>
          <w:szCs w:val="24"/>
        </w:rPr>
      </w:pPr>
      <w:bookmarkStart w:id="152" w:name="_Toc20823309"/>
      <w:bookmarkStart w:id="153" w:name="_Toc16938553"/>
      <w:bookmarkStart w:id="154" w:name="_Toc513029237"/>
      <w:r>
        <w:rPr>
          <w:rFonts w:hint="eastAsia" w:ascii="宋体" w:hAnsi="宋体" w:eastAsia="宋体" w:cs="宋体"/>
          <w:b w:val="0"/>
          <w:color w:val="000000" w:themeColor="text1"/>
          <w:sz w:val="24"/>
          <w:szCs w:val="24"/>
        </w:rPr>
        <w:t>33. 签订合同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33.</w:t>
      </w:r>
      <w:r>
        <w:rPr>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33.2招标文件、中标供应商的投标文件及招标过程中有关澄清、承诺文件均应作为合同附件。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6"/>
        <w:adjustRightInd w:val="0"/>
        <w:snapToGrid w:val="0"/>
        <w:spacing w:before="0" w:after="0" w:line="360" w:lineRule="auto"/>
        <w:ind w:firstLine="480" w:firstLineChars="200"/>
        <w:rPr>
          <w:rFonts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34、货物和服务的追加、减少和添购。</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52"/>
    <w:bookmarkEnd w:id="153"/>
    <w:bookmarkEnd w:id="154"/>
    <w:p>
      <w:pPr>
        <w:tabs>
          <w:tab w:val="left" w:pos="900"/>
        </w:tabs>
        <w:adjustRightInd w:val="0"/>
        <w:snapToGrid w:val="0"/>
        <w:spacing w:line="360" w:lineRule="auto"/>
        <w:ind w:firstLine="480" w:firstLineChars="200"/>
        <w:rPr>
          <w:rFonts w:ascii="宋体" w:hAnsi="宋体" w:cs="宋体"/>
          <w:bCs/>
          <w:color w:val="000000" w:themeColor="text1"/>
          <w:sz w:val="24"/>
          <w:szCs w:val="24"/>
        </w:rPr>
      </w:pPr>
      <w:bookmarkStart w:id="155" w:name="_Toc20823314"/>
      <w:bookmarkStart w:id="156" w:name="_Toc479757207"/>
      <w:bookmarkStart w:id="157" w:name="_Toc120614221"/>
      <w:bookmarkStart w:id="158" w:name="_Toc16938558"/>
      <w:bookmarkStart w:id="159" w:name="_Toc513029242"/>
      <w:r>
        <w:rPr>
          <w:rFonts w:hint="eastAsia" w:ascii="宋体" w:hAnsi="宋体" w:cs="宋体"/>
          <w:bCs/>
          <w:color w:val="000000" w:themeColor="text1"/>
          <w:sz w:val="24"/>
          <w:szCs w:val="24"/>
        </w:rPr>
        <w:t>35、履约保证金</w:t>
      </w:r>
    </w:p>
    <w:p>
      <w:pPr>
        <w:tabs>
          <w:tab w:val="left" w:pos="900"/>
        </w:tabs>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color w:val="000000" w:themeColor="text1"/>
          <w:sz w:val="24"/>
        </w:rPr>
      </w:pPr>
    </w:p>
    <w:p>
      <w:pPr>
        <w:pStyle w:val="2"/>
        <w:rPr>
          <w:rFonts w:ascii="宋体" w:hAnsi="宋体" w:eastAsia="宋体" w:cs="宋体"/>
          <w:b/>
          <w:color w:val="000000" w:themeColor="text1"/>
          <w:sz w:val="44"/>
        </w:rPr>
      </w:pPr>
      <w:r>
        <w:rPr>
          <w:rFonts w:hint="eastAsia" w:ascii="宋体" w:hAnsi="宋体" w:eastAsia="宋体" w:cs="宋体"/>
          <w:b/>
          <w:color w:val="000000" w:themeColor="text1"/>
          <w:sz w:val="44"/>
        </w:rPr>
        <w:br w:type="page"/>
      </w:r>
      <w:r>
        <w:rPr>
          <w:rFonts w:hint="eastAsia" w:ascii="宋体" w:hAnsi="宋体" w:eastAsia="宋体" w:cs="宋体"/>
          <w:b/>
          <w:color w:val="000000" w:themeColor="text1"/>
          <w:sz w:val="44"/>
        </w:rPr>
        <w:t>第三章  合同条款及</w:t>
      </w:r>
      <w:bookmarkEnd w:id="155"/>
      <w:bookmarkEnd w:id="156"/>
      <w:bookmarkEnd w:id="157"/>
      <w:bookmarkEnd w:id="158"/>
      <w:bookmarkEnd w:id="159"/>
      <w:r>
        <w:rPr>
          <w:rFonts w:hint="eastAsia" w:ascii="宋体" w:hAnsi="宋体" w:eastAsia="宋体" w:cs="宋体"/>
          <w:b/>
          <w:color w:val="000000" w:themeColor="text1"/>
          <w:sz w:val="44"/>
        </w:rPr>
        <w:t>格式</w:t>
      </w:r>
    </w:p>
    <w:p>
      <w:pPr>
        <w:pStyle w:val="5"/>
        <w:spacing w:before="0" w:after="0" w:line="460" w:lineRule="exact"/>
        <w:jc w:val="center"/>
        <w:rPr>
          <w:rFonts w:ascii="宋体" w:hAnsi="宋体" w:cs="宋体"/>
          <w:color w:val="000000" w:themeColor="text1"/>
        </w:rPr>
      </w:pPr>
      <w:bookmarkStart w:id="160" w:name="_Toc513029243"/>
      <w:bookmarkStart w:id="161" w:name="_Toc16938559"/>
      <w:bookmarkStart w:id="162" w:name="_Toc20823315"/>
    </w:p>
    <w:bookmarkEnd w:id="160"/>
    <w:bookmarkEnd w:id="161"/>
    <w:bookmarkEnd w:id="162"/>
    <w:p>
      <w:pPr>
        <w:spacing w:line="440" w:lineRule="exact"/>
        <w:ind w:firstLine="480" w:firstLineChars="200"/>
        <w:rPr>
          <w:rFonts w:ascii="宋体" w:hAnsi="宋体" w:cs="宋体"/>
          <w:bCs/>
          <w:color w:val="000000" w:themeColor="text1"/>
          <w:sz w:val="24"/>
        </w:rPr>
      </w:pPr>
      <w:bookmarkStart w:id="163" w:name="_Hlt16619350"/>
      <w:bookmarkStart w:id="164" w:name="_Toc16938590"/>
      <w:bookmarkStart w:id="165" w:name="_Toc120614244"/>
      <w:bookmarkStart w:id="166" w:name="_Toc20823346"/>
      <w:bookmarkStart w:id="167" w:name="_Toc479757211"/>
      <w:bookmarkStart w:id="168" w:name="_Toc462564139"/>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440" w:firstLineChars="200"/>
        <w:jc w:val="center"/>
        <w:outlineLvl w:val="0"/>
        <w:rPr>
          <w:rFonts w:ascii="宋体" w:hAnsi="宋体" w:cs="宋体"/>
          <w:b/>
          <w:color w:val="000000" w:themeColor="text1"/>
          <w:sz w:val="22"/>
          <w:szCs w:val="16"/>
        </w:rPr>
      </w:pPr>
    </w:p>
    <w:p>
      <w:pPr>
        <w:snapToGrid w:val="0"/>
        <w:spacing w:line="440" w:lineRule="exact"/>
        <w:ind w:firstLine="600" w:firstLineChars="200"/>
        <w:jc w:val="center"/>
        <w:outlineLvl w:val="0"/>
        <w:rPr>
          <w:rFonts w:ascii="宋体" w:hAnsi="宋体" w:cs="宋体"/>
          <w:b/>
          <w:bCs/>
          <w:color w:val="000000" w:themeColor="text1"/>
          <w:sz w:val="30"/>
          <w:szCs w:val="20"/>
        </w:rPr>
      </w:pPr>
      <w:r>
        <w:rPr>
          <w:rFonts w:hint="eastAsia" w:ascii="宋体" w:hAnsi="宋体" w:cs="宋体"/>
          <w:b/>
          <w:color w:val="000000" w:themeColor="text1"/>
          <w:sz w:val="30"/>
        </w:rPr>
        <w:t>采购合同</w:t>
      </w:r>
    </w:p>
    <w:p>
      <w:pPr>
        <w:pStyle w:val="23"/>
        <w:adjustRightInd w:val="0"/>
        <w:snapToGrid w:val="0"/>
        <w:spacing w:line="360" w:lineRule="auto"/>
        <w:ind w:firstLine="480" w:firstLineChars="200"/>
        <w:jc w:val="left"/>
        <w:rPr>
          <w:rFonts w:hAnsi="宋体" w:cs="宋体"/>
          <w:color w:val="000000" w:themeColor="text1"/>
          <w:sz w:val="24"/>
          <w:szCs w:val="24"/>
        </w:rPr>
      </w:pPr>
      <w:r>
        <w:rPr>
          <w:rFonts w:hint="eastAsia" w:hAnsi="宋体" w:cs="宋体"/>
          <w:color w:val="000000" w:themeColor="text1"/>
          <w:sz w:val="24"/>
          <w:szCs w:val="24"/>
        </w:rPr>
        <w:t>项目名称：</w:t>
      </w:r>
      <w:r>
        <w:rPr>
          <w:rFonts w:hint="eastAsia" w:hAnsi="宋体" w:cs="宋体"/>
          <w:color w:val="000000" w:themeColor="text1"/>
          <w:sz w:val="24"/>
          <w:szCs w:val="24"/>
          <w:u w:val="single"/>
        </w:rPr>
        <w:t>盐城工业职业技术学院车辆租赁服务项目分包一/二</w:t>
      </w:r>
    </w:p>
    <w:p>
      <w:pPr>
        <w:pStyle w:val="23"/>
        <w:adjustRightInd w:val="0"/>
        <w:snapToGrid w:val="0"/>
        <w:spacing w:line="360" w:lineRule="auto"/>
        <w:ind w:firstLine="480" w:firstLineChars="200"/>
        <w:jc w:val="left"/>
        <w:rPr>
          <w:rFonts w:hAnsi="宋体" w:cs="宋体"/>
          <w:color w:val="000000" w:themeColor="text1"/>
          <w:sz w:val="24"/>
          <w:szCs w:val="24"/>
        </w:rPr>
      </w:pPr>
      <w:r>
        <w:rPr>
          <w:rFonts w:hint="eastAsia" w:hAnsi="宋体" w:cs="宋体"/>
          <w:color w:val="000000" w:themeColor="text1"/>
          <w:sz w:val="24"/>
          <w:szCs w:val="24"/>
        </w:rPr>
        <w:t>项目编号：</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甲方：</w:t>
      </w:r>
      <w:r>
        <w:rPr>
          <w:rFonts w:hint="eastAsia" w:hAnsi="宋体" w:cs="宋体"/>
          <w:color w:val="000000" w:themeColor="text1"/>
          <w:sz w:val="24"/>
          <w:szCs w:val="24"/>
          <w:u w:val="single"/>
        </w:rPr>
        <w:t>盐城工业职业技术学院</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乙方：</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color w:val="000000" w:themeColor="text1"/>
          <w:sz w:val="24"/>
          <w:szCs w:val="24"/>
          <w:u w:val="single"/>
        </w:rPr>
        <w:t>盐城工业职业技术学院车辆租赁服务项目分包一/二</w:t>
      </w:r>
      <w:r>
        <w:rPr>
          <w:rFonts w:hint="eastAsia" w:ascii="宋体" w:hAnsi="宋体" w:cs="宋体"/>
          <w:color w:val="000000" w:themeColor="text1"/>
          <w:sz w:val="24"/>
          <w:szCs w:val="24"/>
        </w:rPr>
        <w:t>公开招标的结果，签署本合同。</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一、项目内容</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1.1 项目名称：</w:t>
      </w:r>
      <w:r>
        <w:rPr>
          <w:rFonts w:hint="eastAsia" w:hAnsi="宋体" w:cs="宋体"/>
          <w:color w:val="000000" w:themeColor="text1"/>
          <w:sz w:val="24"/>
          <w:szCs w:val="24"/>
          <w:u w:val="single"/>
        </w:rPr>
        <w:t>盐城工业职业技术学院车辆租赁服务项目分包一/二</w:t>
      </w:r>
      <w:r>
        <w:rPr>
          <w:rFonts w:hint="eastAsia" w:hAnsi="宋体" w:cs="宋体"/>
          <w:color w:val="000000" w:themeColor="text1"/>
          <w:sz w:val="24"/>
          <w:szCs w:val="24"/>
        </w:rPr>
        <w:t>。</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1.2 型号规格及其他要求：</w:t>
      </w:r>
      <w:r>
        <w:rPr>
          <w:rFonts w:hint="eastAsia" w:hAnsi="宋体" w:cs="宋体"/>
          <w:color w:val="000000" w:themeColor="text1"/>
          <w:sz w:val="24"/>
          <w:szCs w:val="24"/>
          <w:u w:val="single"/>
        </w:rPr>
        <w:t>详按项目需求</w:t>
      </w:r>
      <w:r>
        <w:rPr>
          <w:rFonts w:hint="eastAsia" w:hAnsi="宋体" w:cs="宋体"/>
          <w:color w:val="000000" w:themeColor="text1"/>
          <w:sz w:val="24"/>
          <w:szCs w:val="24"/>
        </w:rPr>
        <w:t>。</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1.3 数量（单位）：</w:t>
      </w:r>
      <w:r>
        <w:rPr>
          <w:rFonts w:hint="eastAsia" w:hAnsi="宋体" w:cs="宋体"/>
          <w:color w:val="000000" w:themeColor="text1"/>
          <w:sz w:val="24"/>
          <w:szCs w:val="24"/>
          <w:u w:val="single"/>
        </w:rPr>
        <w:t>详按项目需求</w:t>
      </w:r>
      <w:r>
        <w:rPr>
          <w:rFonts w:hint="eastAsia" w:hAnsi="宋体" w:cs="宋体"/>
          <w:color w:val="000000" w:themeColor="text1"/>
          <w:sz w:val="24"/>
          <w:szCs w:val="24"/>
        </w:rPr>
        <w:t>。</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二、合同金额</w:t>
      </w:r>
    </w:p>
    <w:tbl>
      <w:tblPr>
        <w:tblStyle w:val="46"/>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288"/>
        <w:gridCol w:w="2114"/>
        <w:gridCol w:w="2296"/>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9168" w:type="dxa"/>
            <w:gridSpan w:val="5"/>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分包一</w:t>
            </w:r>
            <w:r>
              <w:rPr>
                <w:rFonts w:ascii="宋体" w:hAnsi="宋体" w:cs="宋体"/>
                <w:color w:val="000000" w:themeColor="text1"/>
                <w:sz w:val="24"/>
                <w:szCs w:val="24"/>
              </w:rPr>
              <w:t>：车辆租赁公司报价清单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243" w:type="dxa"/>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288" w:type="dxa"/>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车型品牌</w:t>
            </w:r>
          </w:p>
        </w:tc>
        <w:tc>
          <w:tcPr>
            <w:tcW w:w="2114" w:type="dxa"/>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座位数</w:t>
            </w:r>
          </w:p>
        </w:tc>
        <w:tc>
          <w:tcPr>
            <w:tcW w:w="2296" w:type="dxa"/>
            <w:vMerge w:val="restart"/>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车辆租金（元/天）</w:t>
            </w:r>
          </w:p>
        </w:tc>
        <w:tc>
          <w:tcPr>
            <w:tcW w:w="1227" w:type="dxa"/>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243" w:type="dxa"/>
            <w:vMerge w:val="continue"/>
            <w:noWrap/>
            <w:vAlign w:val="center"/>
          </w:tcPr>
          <w:p>
            <w:pPr>
              <w:jc w:val="center"/>
              <w:rPr>
                <w:rFonts w:ascii="宋体" w:hAnsi="宋体" w:cs="宋体"/>
                <w:color w:val="000000" w:themeColor="text1"/>
                <w:sz w:val="24"/>
                <w:szCs w:val="24"/>
              </w:rPr>
            </w:pPr>
          </w:p>
        </w:tc>
        <w:tc>
          <w:tcPr>
            <w:tcW w:w="2288" w:type="dxa"/>
            <w:vMerge w:val="continue"/>
            <w:noWrap/>
            <w:vAlign w:val="center"/>
          </w:tcPr>
          <w:p>
            <w:pPr>
              <w:jc w:val="center"/>
              <w:rPr>
                <w:rFonts w:ascii="宋体" w:hAnsi="宋体" w:cs="宋体"/>
                <w:color w:val="000000" w:themeColor="text1"/>
                <w:sz w:val="24"/>
                <w:szCs w:val="24"/>
              </w:rPr>
            </w:pPr>
          </w:p>
        </w:tc>
        <w:tc>
          <w:tcPr>
            <w:tcW w:w="2114" w:type="dxa"/>
            <w:vMerge w:val="continue"/>
            <w:noWrap/>
            <w:vAlign w:val="center"/>
          </w:tcPr>
          <w:p>
            <w:pPr>
              <w:jc w:val="center"/>
              <w:rPr>
                <w:rFonts w:ascii="宋体" w:hAnsi="宋体" w:cs="宋体"/>
                <w:color w:val="000000" w:themeColor="text1"/>
                <w:sz w:val="24"/>
                <w:szCs w:val="24"/>
              </w:rPr>
            </w:pPr>
          </w:p>
        </w:tc>
        <w:tc>
          <w:tcPr>
            <w:tcW w:w="2296" w:type="dxa"/>
            <w:vMerge w:val="continue"/>
            <w:vAlign w:val="center"/>
          </w:tcPr>
          <w:p>
            <w:pPr>
              <w:jc w:val="center"/>
              <w:rPr>
                <w:rFonts w:ascii="宋体" w:hAnsi="宋体" w:cs="宋体"/>
                <w:color w:val="000000" w:themeColor="text1"/>
                <w:sz w:val="24"/>
                <w:szCs w:val="24"/>
              </w:rPr>
            </w:pPr>
          </w:p>
        </w:tc>
        <w:tc>
          <w:tcPr>
            <w:tcW w:w="1227" w:type="dxa"/>
            <w:vMerge w:val="continue"/>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243" w:type="dxa"/>
            <w:vMerge w:val="continue"/>
            <w:vAlign w:val="center"/>
          </w:tcPr>
          <w:p>
            <w:pPr>
              <w:jc w:val="center"/>
              <w:rPr>
                <w:rFonts w:ascii="宋体" w:hAnsi="宋体" w:cs="宋体"/>
                <w:color w:val="000000" w:themeColor="text1"/>
                <w:sz w:val="24"/>
                <w:szCs w:val="24"/>
              </w:rPr>
            </w:pPr>
          </w:p>
        </w:tc>
        <w:tc>
          <w:tcPr>
            <w:tcW w:w="2288" w:type="dxa"/>
            <w:vMerge w:val="continue"/>
            <w:vAlign w:val="center"/>
          </w:tcPr>
          <w:p>
            <w:pPr>
              <w:jc w:val="center"/>
              <w:rPr>
                <w:rFonts w:ascii="宋体" w:hAnsi="宋体" w:cs="宋体"/>
                <w:color w:val="000000" w:themeColor="text1"/>
                <w:sz w:val="24"/>
                <w:szCs w:val="24"/>
              </w:rPr>
            </w:pPr>
          </w:p>
        </w:tc>
        <w:tc>
          <w:tcPr>
            <w:tcW w:w="2114" w:type="dxa"/>
            <w:vMerge w:val="continue"/>
            <w:vAlign w:val="center"/>
          </w:tcPr>
          <w:p>
            <w:pPr>
              <w:jc w:val="center"/>
              <w:rPr>
                <w:rFonts w:ascii="宋体" w:hAnsi="宋体" w:cs="宋体"/>
                <w:color w:val="000000" w:themeColor="text1"/>
                <w:sz w:val="24"/>
                <w:szCs w:val="24"/>
              </w:rPr>
            </w:pPr>
          </w:p>
        </w:tc>
        <w:tc>
          <w:tcPr>
            <w:tcW w:w="2296" w:type="dxa"/>
            <w:vMerge w:val="continue"/>
            <w:vAlign w:val="center"/>
          </w:tcPr>
          <w:p>
            <w:pPr>
              <w:jc w:val="center"/>
              <w:rPr>
                <w:rFonts w:ascii="宋体" w:hAnsi="宋体" w:cs="宋体"/>
                <w:color w:val="000000" w:themeColor="text1"/>
                <w:sz w:val="24"/>
                <w:szCs w:val="24"/>
              </w:rPr>
            </w:pPr>
          </w:p>
        </w:tc>
        <w:tc>
          <w:tcPr>
            <w:tcW w:w="1227" w:type="dxa"/>
            <w:vMerge w:val="continue"/>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2288" w:type="dxa"/>
            <w:noWrap/>
            <w:vAlign w:val="center"/>
          </w:tcPr>
          <w:p>
            <w:pPr>
              <w:jc w:val="center"/>
              <w:rPr>
                <w:rFonts w:ascii="宋体" w:hAnsi="宋体" w:cs="宋体"/>
                <w:color w:val="000000" w:themeColor="text1"/>
                <w:sz w:val="24"/>
                <w:szCs w:val="24"/>
              </w:rPr>
            </w:pPr>
          </w:p>
        </w:tc>
        <w:tc>
          <w:tcPr>
            <w:tcW w:w="211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2296" w:type="dxa"/>
            <w:noWrap/>
            <w:vAlign w:val="center"/>
          </w:tcPr>
          <w:p>
            <w:pPr>
              <w:jc w:val="center"/>
              <w:rPr>
                <w:rFonts w:ascii="宋体" w:hAnsi="宋体" w:cs="宋体"/>
                <w:color w:val="000000" w:themeColor="text1"/>
                <w:sz w:val="24"/>
                <w:szCs w:val="24"/>
              </w:rPr>
            </w:pPr>
          </w:p>
        </w:tc>
        <w:tc>
          <w:tcPr>
            <w:tcW w:w="1227" w:type="dxa"/>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124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2288" w:type="dxa"/>
            <w:noWrap/>
            <w:vAlign w:val="center"/>
          </w:tcPr>
          <w:p>
            <w:pPr>
              <w:jc w:val="center"/>
              <w:rPr>
                <w:rFonts w:ascii="宋体" w:hAnsi="宋体" w:cs="宋体"/>
                <w:color w:val="000000" w:themeColor="text1"/>
                <w:sz w:val="24"/>
                <w:szCs w:val="24"/>
              </w:rPr>
            </w:pPr>
          </w:p>
        </w:tc>
        <w:tc>
          <w:tcPr>
            <w:tcW w:w="211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2296" w:type="dxa"/>
            <w:noWrap/>
            <w:vAlign w:val="center"/>
          </w:tcPr>
          <w:p>
            <w:pPr>
              <w:jc w:val="center"/>
              <w:rPr>
                <w:rFonts w:ascii="宋体" w:hAnsi="宋体" w:cs="宋体"/>
                <w:color w:val="000000" w:themeColor="text1"/>
                <w:sz w:val="24"/>
                <w:szCs w:val="24"/>
              </w:rPr>
            </w:pPr>
          </w:p>
        </w:tc>
        <w:tc>
          <w:tcPr>
            <w:tcW w:w="1227" w:type="dxa"/>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2288" w:type="dxa"/>
            <w:noWrap/>
            <w:vAlign w:val="center"/>
          </w:tcPr>
          <w:p>
            <w:pPr>
              <w:jc w:val="center"/>
              <w:rPr>
                <w:rFonts w:ascii="宋体" w:hAnsi="宋体" w:cs="宋体"/>
                <w:color w:val="000000" w:themeColor="text1"/>
                <w:sz w:val="24"/>
                <w:szCs w:val="24"/>
              </w:rPr>
            </w:pPr>
          </w:p>
        </w:tc>
        <w:tc>
          <w:tcPr>
            <w:tcW w:w="211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9～15</w:t>
            </w:r>
          </w:p>
        </w:tc>
        <w:tc>
          <w:tcPr>
            <w:tcW w:w="2296" w:type="dxa"/>
            <w:noWrap/>
            <w:vAlign w:val="center"/>
          </w:tcPr>
          <w:p>
            <w:pPr>
              <w:jc w:val="center"/>
              <w:rPr>
                <w:rFonts w:ascii="宋体" w:hAnsi="宋体" w:cs="宋体"/>
                <w:color w:val="000000" w:themeColor="text1"/>
                <w:sz w:val="24"/>
                <w:szCs w:val="24"/>
              </w:rPr>
            </w:pPr>
          </w:p>
        </w:tc>
        <w:tc>
          <w:tcPr>
            <w:tcW w:w="1227" w:type="dxa"/>
            <w:noWrap/>
            <w:vAlign w:val="center"/>
          </w:tcPr>
          <w:p>
            <w:pPr>
              <w:jc w:val="center"/>
              <w:rPr>
                <w:rFonts w:ascii="宋体" w:hAnsi="宋体" w:cs="宋体"/>
                <w:color w:val="000000" w:themeColor="text1"/>
                <w:sz w:val="24"/>
                <w:szCs w:val="24"/>
              </w:rPr>
            </w:pPr>
          </w:p>
        </w:tc>
      </w:tr>
    </w:tbl>
    <w:p>
      <w:pPr>
        <w:pStyle w:val="23"/>
        <w:adjustRightInd w:val="0"/>
        <w:snapToGrid w:val="0"/>
        <w:spacing w:line="360" w:lineRule="auto"/>
        <w:ind w:firstLine="480" w:firstLineChars="200"/>
        <w:rPr>
          <w:rFonts w:hAnsi="宋体" w:cs="宋体"/>
          <w:b/>
          <w:color w:val="000000" w:themeColor="text1"/>
          <w:sz w:val="24"/>
          <w:szCs w:val="24"/>
        </w:rPr>
      </w:pPr>
    </w:p>
    <w:tbl>
      <w:tblPr>
        <w:tblStyle w:val="46"/>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303"/>
        <w:gridCol w:w="2169"/>
        <w:gridCol w:w="2248"/>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9168" w:type="dxa"/>
            <w:gridSpan w:val="5"/>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分包二</w:t>
            </w:r>
            <w:r>
              <w:rPr>
                <w:rFonts w:ascii="宋体" w:hAnsi="宋体" w:cs="宋体"/>
                <w:color w:val="000000" w:themeColor="text1"/>
                <w:sz w:val="24"/>
                <w:szCs w:val="24"/>
              </w:rPr>
              <w:t>：车辆租赁公司报价清单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260" w:type="dxa"/>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303" w:type="dxa"/>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车型品牌</w:t>
            </w:r>
          </w:p>
        </w:tc>
        <w:tc>
          <w:tcPr>
            <w:tcW w:w="2169" w:type="dxa"/>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座位数</w:t>
            </w:r>
          </w:p>
        </w:tc>
        <w:tc>
          <w:tcPr>
            <w:tcW w:w="2248" w:type="dxa"/>
            <w:vMerge w:val="restart"/>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车辆租金（元/天）</w:t>
            </w:r>
          </w:p>
        </w:tc>
        <w:tc>
          <w:tcPr>
            <w:tcW w:w="1188" w:type="dxa"/>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260" w:type="dxa"/>
            <w:vMerge w:val="continue"/>
            <w:vAlign w:val="center"/>
          </w:tcPr>
          <w:p>
            <w:pPr>
              <w:jc w:val="center"/>
              <w:rPr>
                <w:rFonts w:ascii="宋体" w:hAnsi="宋体" w:cs="宋体"/>
                <w:color w:val="000000" w:themeColor="text1"/>
                <w:sz w:val="24"/>
                <w:szCs w:val="24"/>
              </w:rPr>
            </w:pPr>
          </w:p>
        </w:tc>
        <w:tc>
          <w:tcPr>
            <w:tcW w:w="2303" w:type="dxa"/>
            <w:vMerge w:val="continue"/>
            <w:vAlign w:val="center"/>
          </w:tcPr>
          <w:p>
            <w:pPr>
              <w:jc w:val="center"/>
              <w:rPr>
                <w:rFonts w:ascii="宋体" w:hAnsi="宋体" w:cs="宋体"/>
                <w:color w:val="000000" w:themeColor="text1"/>
                <w:sz w:val="24"/>
                <w:szCs w:val="24"/>
              </w:rPr>
            </w:pPr>
          </w:p>
        </w:tc>
        <w:tc>
          <w:tcPr>
            <w:tcW w:w="2169" w:type="dxa"/>
            <w:vMerge w:val="continue"/>
            <w:vAlign w:val="center"/>
          </w:tcPr>
          <w:p>
            <w:pPr>
              <w:jc w:val="center"/>
              <w:rPr>
                <w:rFonts w:ascii="宋体" w:hAnsi="宋体" w:cs="宋体"/>
                <w:color w:val="000000" w:themeColor="text1"/>
                <w:sz w:val="24"/>
                <w:szCs w:val="24"/>
              </w:rPr>
            </w:pPr>
          </w:p>
        </w:tc>
        <w:tc>
          <w:tcPr>
            <w:tcW w:w="2248" w:type="dxa"/>
            <w:vMerge w:val="continue"/>
            <w:vAlign w:val="center"/>
          </w:tcPr>
          <w:p>
            <w:pPr>
              <w:jc w:val="center"/>
              <w:rPr>
                <w:rFonts w:ascii="宋体" w:hAnsi="宋体" w:cs="宋体"/>
                <w:color w:val="000000" w:themeColor="text1"/>
                <w:sz w:val="24"/>
                <w:szCs w:val="24"/>
              </w:rPr>
            </w:pPr>
          </w:p>
        </w:tc>
        <w:tc>
          <w:tcPr>
            <w:tcW w:w="1188" w:type="dxa"/>
            <w:vMerge w:val="continue"/>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260"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230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考斯特等</w:t>
            </w:r>
          </w:p>
        </w:tc>
        <w:tc>
          <w:tcPr>
            <w:tcW w:w="216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19～21</w:t>
            </w:r>
          </w:p>
        </w:tc>
        <w:tc>
          <w:tcPr>
            <w:tcW w:w="2248" w:type="dxa"/>
            <w:noWrap/>
            <w:vAlign w:val="center"/>
          </w:tcPr>
          <w:p>
            <w:pPr>
              <w:jc w:val="center"/>
              <w:rPr>
                <w:rFonts w:ascii="宋体" w:hAnsi="宋体" w:cs="宋体"/>
                <w:color w:val="000000" w:themeColor="text1"/>
                <w:sz w:val="24"/>
                <w:szCs w:val="24"/>
              </w:rPr>
            </w:pPr>
          </w:p>
        </w:tc>
        <w:tc>
          <w:tcPr>
            <w:tcW w:w="1188" w:type="dxa"/>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260"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230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金龙、宇通等</w:t>
            </w:r>
          </w:p>
        </w:tc>
        <w:tc>
          <w:tcPr>
            <w:tcW w:w="216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35～39</w:t>
            </w:r>
          </w:p>
        </w:tc>
        <w:tc>
          <w:tcPr>
            <w:tcW w:w="2248" w:type="dxa"/>
            <w:noWrap/>
            <w:vAlign w:val="center"/>
          </w:tcPr>
          <w:p>
            <w:pPr>
              <w:jc w:val="center"/>
              <w:rPr>
                <w:rFonts w:ascii="宋体" w:hAnsi="宋体" w:cs="宋体"/>
                <w:color w:val="000000" w:themeColor="text1"/>
                <w:sz w:val="24"/>
                <w:szCs w:val="24"/>
              </w:rPr>
            </w:pPr>
          </w:p>
        </w:tc>
        <w:tc>
          <w:tcPr>
            <w:tcW w:w="1188" w:type="dxa"/>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60"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230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金龙、宇通等</w:t>
            </w:r>
          </w:p>
        </w:tc>
        <w:tc>
          <w:tcPr>
            <w:tcW w:w="216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45～55</w:t>
            </w:r>
          </w:p>
        </w:tc>
        <w:tc>
          <w:tcPr>
            <w:tcW w:w="2248" w:type="dxa"/>
            <w:noWrap/>
            <w:vAlign w:val="center"/>
          </w:tcPr>
          <w:p>
            <w:pPr>
              <w:jc w:val="center"/>
              <w:rPr>
                <w:rFonts w:ascii="宋体" w:hAnsi="宋体" w:cs="宋体"/>
                <w:color w:val="000000" w:themeColor="text1"/>
                <w:sz w:val="24"/>
                <w:szCs w:val="24"/>
              </w:rPr>
            </w:pPr>
          </w:p>
        </w:tc>
        <w:tc>
          <w:tcPr>
            <w:tcW w:w="1188" w:type="dxa"/>
            <w:noWrap/>
            <w:vAlign w:val="center"/>
          </w:tcPr>
          <w:p>
            <w:pPr>
              <w:jc w:val="center"/>
              <w:rPr>
                <w:rFonts w:ascii="宋体" w:hAnsi="宋体" w:cs="宋体"/>
                <w:color w:val="000000" w:themeColor="text1"/>
                <w:sz w:val="24"/>
                <w:szCs w:val="24"/>
              </w:rPr>
            </w:pPr>
          </w:p>
        </w:tc>
      </w:tr>
    </w:tbl>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注：1、上述价格是满足甲方使用车辆需要的所有费用。乙方已充分考虑为满足招标业务用车需求内容所必须的直接和间接成本、油（电、气）费、</w:t>
      </w:r>
      <w:r>
        <w:rPr>
          <w:rFonts w:hint="eastAsia" w:ascii="宋体" w:hAnsi="宋体" w:cs="宋体"/>
          <w:color w:val="000000" w:themeColor="text1"/>
          <w:sz w:val="24"/>
        </w:rPr>
        <w:t>驾驶员全额工资（含福利、社保等，不含出车补贴）</w:t>
      </w:r>
      <w:r>
        <w:rPr>
          <w:rFonts w:hint="eastAsia" w:ascii="宋体" w:hAnsi="宋体" w:cs="宋体"/>
          <w:color w:val="000000" w:themeColor="text1"/>
          <w:sz w:val="24"/>
          <w:szCs w:val="24"/>
        </w:rPr>
        <w:t>、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2、市外基础里程数外距离与时间同时计价，互不矛盾，按实结算。</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3、短途租赁服务来回接送不限趟数，如遇特殊情况经双方协商收取租赁费。</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三、技术资料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3.1乙方应按招标文件规定及甲方要求的时间向甲方提供使用货物（根据甲方要求需要租赁的车辆，余同）和服务的有关技术资料。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3.2 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四、知识产权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4.1乙方应保证甲方在使用、接受本合同货物和服务或其任何一部分时不受第三方提出侵犯其专利权、版权、商标权和工业设计权等知识产权的起诉。一旦出现侵权，由乙方负全部责任。</w:t>
      </w:r>
    </w:p>
    <w:p>
      <w:pPr>
        <w:pStyle w:val="23"/>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b/>
          <w:color w:val="000000" w:themeColor="text1"/>
          <w:sz w:val="24"/>
          <w:szCs w:val="24"/>
        </w:rPr>
        <w:t>五、产权担保</w:t>
      </w:r>
    </w:p>
    <w:p>
      <w:pPr>
        <w:pStyle w:val="23"/>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color w:val="000000" w:themeColor="text1"/>
          <w:sz w:val="24"/>
          <w:szCs w:val="24"/>
        </w:rPr>
        <w:t>5.1 乙方保证所提供的货物</w:t>
      </w:r>
      <w:r>
        <w:rPr>
          <w:rFonts w:hint="eastAsia" w:hAnsi="宋体" w:cs="宋体"/>
          <w:bCs/>
          <w:color w:val="000000" w:themeColor="text1"/>
          <w:sz w:val="24"/>
          <w:szCs w:val="24"/>
        </w:rPr>
        <w:t>和服务</w:t>
      </w:r>
      <w:r>
        <w:rPr>
          <w:rFonts w:hint="eastAsia" w:hAnsi="宋体" w:cs="宋体"/>
          <w:color w:val="000000" w:themeColor="text1"/>
          <w:sz w:val="24"/>
          <w:szCs w:val="24"/>
        </w:rPr>
        <w:t>的所有权完全属于乙方且无任何抵押、查封等产权瑕疵。</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六、履约保证金</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6.1本项目不设履约保证金。</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，应由乙方直接供应，不得转让他人供应；</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7.2 除非得到甲方的书面同意，乙方不得部分分包给他人供应。</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7.3如有转让和未经甲方同意的分包行为，甲方有权给予终止合同。</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b/>
          <w:color w:val="000000" w:themeColor="text1"/>
          <w:sz w:val="24"/>
          <w:szCs w:val="24"/>
        </w:rPr>
        <w:t>八、质保期（服务期）</w:t>
      </w:r>
    </w:p>
    <w:p>
      <w:pPr>
        <w:pStyle w:val="23"/>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color w:val="000000" w:themeColor="text1"/>
          <w:sz w:val="24"/>
          <w:szCs w:val="24"/>
        </w:rPr>
        <w:t xml:space="preserve">8.1 </w:t>
      </w:r>
      <w:r>
        <w:rPr>
          <w:rFonts w:hint="eastAsia" w:hAnsi="宋体" w:cs="宋体"/>
          <w:color w:val="000000" w:themeColor="text1"/>
          <w:sz w:val="24"/>
          <w:szCs w:val="24"/>
          <w:u w:val="single"/>
        </w:rPr>
        <w:t>暂定一年,服务期满后经综合考核合格根据甲方的需要可续签一年车辆租赁服务合同，</w:t>
      </w:r>
      <w:r>
        <w:rPr>
          <w:rFonts w:hAnsi="宋体" w:cs="宋体"/>
          <w:color w:val="000000" w:themeColor="text1"/>
          <w:sz w:val="24"/>
          <w:szCs w:val="24"/>
          <w:u w:val="single"/>
        </w:rPr>
        <w:t>仅限续签一次。</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九、交货期、交货方式及交货地点</w:t>
      </w:r>
    </w:p>
    <w:p>
      <w:pPr>
        <w:pStyle w:val="23"/>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color w:val="000000" w:themeColor="text1"/>
          <w:sz w:val="24"/>
          <w:szCs w:val="24"/>
        </w:rPr>
        <w:t>9.1 合同签订：</w:t>
      </w:r>
      <w:r>
        <w:rPr>
          <w:rFonts w:hint="eastAsia" w:hAnsi="宋体" w:cs="宋体"/>
          <w:color w:val="000000" w:themeColor="text1"/>
          <w:sz w:val="24"/>
          <w:szCs w:val="24"/>
          <w:u w:val="single"/>
        </w:rPr>
        <w:t>乙方自收到中标通知书之日起7个工作日内签订合同，具体合同内容签订时详细洽谈，但不得违背招标文件要求及乙方的投标承诺。</w:t>
      </w:r>
    </w:p>
    <w:p>
      <w:pPr>
        <w:pStyle w:val="23"/>
        <w:adjustRightInd w:val="0"/>
        <w:snapToGrid w:val="0"/>
        <w:spacing w:line="360" w:lineRule="auto"/>
        <w:ind w:firstLine="480" w:firstLineChars="200"/>
        <w:rPr>
          <w:rFonts w:hAnsi="宋体" w:cs="宋体"/>
          <w:bCs/>
          <w:color w:val="000000" w:themeColor="text1"/>
          <w:sz w:val="24"/>
          <w:szCs w:val="24"/>
        </w:rPr>
      </w:pPr>
      <w:r>
        <w:rPr>
          <w:rFonts w:hint="eastAsia" w:hAnsi="宋体" w:cs="宋体"/>
          <w:bCs/>
          <w:color w:val="000000" w:themeColor="text1"/>
          <w:sz w:val="24"/>
          <w:szCs w:val="24"/>
        </w:rPr>
        <w:t xml:space="preserve">9.2 </w:t>
      </w:r>
      <w:r>
        <w:rPr>
          <w:rFonts w:hint="eastAsia" w:hAnsi="宋体" w:cs="宋体"/>
          <w:color w:val="000000" w:themeColor="text1"/>
          <w:sz w:val="24"/>
          <w:szCs w:val="24"/>
          <w:u w:val="single"/>
        </w:rPr>
        <w:t>甲方需要用车服务时须根据甲方要求及时提供服务，一般自甲方通知之时起2小时内响应并到指定地点，收费起始时间、收费起始里程数均从到达甲方指定地点、用车人员上车确认后起算，用车结束后由用车人员现场签署当次用车记录，逾期签署的均不作为结算依据。</w:t>
      </w:r>
    </w:p>
    <w:p>
      <w:pPr>
        <w:pStyle w:val="23"/>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bCs/>
          <w:color w:val="000000" w:themeColor="text1"/>
          <w:sz w:val="24"/>
          <w:szCs w:val="24"/>
        </w:rPr>
        <w:t>9.3 地点：</w:t>
      </w:r>
      <w:r>
        <w:rPr>
          <w:rFonts w:hint="eastAsia" w:hAnsi="宋体" w:cs="宋体"/>
          <w:color w:val="000000" w:themeColor="text1"/>
          <w:sz w:val="24"/>
          <w:szCs w:val="24"/>
          <w:u w:val="single"/>
        </w:rPr>
        <w:t>盐城工业职业技术学院业务用车部门指定地点。</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十、货款支付</w:t>
      </w:r>
    </w:p>
    <w:p>
      <w:pPr>
        <w:adjustRightInd w:val="0"/>
        <w:snapToGrid w:val="0"/>
        <w:spacing w:line="360" w:lineRule="auto"/>
        <w:ind w:firstLine="480" w:firstLineChars="200"/>
        <w:rPr>
          <w:rFonts w:ascii="宋体" w:hAnsi="宋体" w:cs="宋体"/>
          <w:color w:val="000000" w:themeColor="text1"/>
          <w:sz w:val="24"/>
          <w:szCs w:val="24"/>
          <w:u w:val="single"/>
        </w:rPr>
      </w:pPr>
      <w:r>
        <w:rPr>
          <w:rFonts w:hint="eastAsia" w:ascii="宋体" w:hAnsi="宋体" w:cs="宋体"/>
          <w:color w:val="000000" w:themeColor="text1"/>
          <w:sz w:val="24"/>
          <w:szCs w:val="24"/>
        </w:rPr>
        <w:t>10.1 付款方式：</w:t>
      </w:r>
      <w:r>
        <w:rPr>
          <w:rFonts w:hint="eastAsia" w:ascii="宋体" w:hAnsi="宋体" w:cs="宋体"/>
          <w:color w:val="000000" w:themeColor="text1"/>
          <w:sz w:val="24"/>
          <w:szCs w:val="24"/>
          <w:u w:val="single"/>
        </w:rPr>
        <w:t>本项目车辆租赁费用按次或分批结算，具体根据甲方要求执行。结算时按甲方实际使用数量（甲方保留与中标单位共同协调租车费用的权利，乙方提供经甲方确认的租车费用结算清单）结合乙方中标单价结算，乙方在甲方支付前须提供有效合法的等额增值税专用发票</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b/>
          <w:color w:val="000000" w:themeColor="text1"/>
          <w:sz w:val="24"/>
          <w:szCs w:val="24"/>
        </w:rPr>
        <w:t>十一、税费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11.1本合同执行中相关的一切税费均由乙方负担。</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b/>
          <w:color w:val="000000" w:themeColor="text1"/>
          <w:sz w:val="24"/>
          <w:szCs w:val="24"/>
        </w:rPr>
        <w:t>十二、质量保证及售后服务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 乙方应按招标文件规定的货物性能、技术要求、质量标准向甲方提供货物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 乙方提供的货物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⑵退货处理：乙方应退还甲方支付的合同款，同时应承担该货物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的直接费用（运输、保险、检验、货款利息及银行手续费等）。</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 在质保期内，乙方应对货物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出现的质量及安全问题负责处理解决并承担一切费用。</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十三、验收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13.1 每次车辆租赁服务结束后，须经甲方相关部门人员确认并签署书面回执（载明用车起止日期及时间、行驶公里数、用车部门及用车人、本次应计费用等），作为结算依据。乘坐人员有权对服务提出评价意见，甲方将视乙方履约及服务情况在后期需要车辆租赁服务时进行选择的权利。</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十四、违约责任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14.2在学校遇外事等重大公务接待时，甲方有权指定租赁车辆、车型，且租车费用不变，若乙方不能提供累计满3次的，甲方有权终止合同。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14.3乙方未经甲方相关租赁人员许可擅自变更驾驶人员、取消预约、服务不到位或未按约定时间提供租赁服务,上述情况累计满3次，甲方有权终止合同。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乙方所提供的货物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型号、规格、技术参数、质量不符合合同规定、招标文件规定标准以及投标承诺的，甲方有权拒收该货物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十五、不可抗力事件处理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不可抗力事件延续120天以上，双方应通过友好协商，确定是否继续履行合同。</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十六、诉讼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双方在执行合同中所发生的一切争议，应通过协商解决。如协商不成，可向合同签订地法院起诉，合同签订地在此约定为盐城市。</w:t>
      </w:r>
    </w:p>
    <w:p>
      <w:pPr>
        <w:pStyle w:val="23"/>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十七、合同生效及其它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17.2本合同未尽事宜，遵照《合同法》有关条文执行。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17.3 本合同正本一式二份，副本一式六份，具有同等法律效力。</w:t>
      </w:r>
    </w:p>
    <w:p>
      <w:pPr>
        <w:pStyle w:val="23"/>
        <w:adjustRightInd w:val="0"/>
        <w:snapToGrid w:val="0"/>
        <w:spacing w:line="360" w:lineRule="auto"/>
        <w:ind w:firstLine="480" w:firstLineChars="200"/>
        <w:rPr>
          <w:rFonts w:hAnsi="宋体" w:cs="宋体"/>
          <w:color w:val="000000" w:themeColor="text1"/>
          <w:sz w:val="24"/>
          <w:szCs w:val="24"/>
        </w:rPr>
      </w:pPr>
    </w:p>
    <w:p>
      <w:pPr>
        <w:pStyle w:val="23"/>
        <w:adjustRightInd w:val="0"/>
        <w:snapToGrid w:val="0"/>
        <w:spacing w:line="360" w:lineRule="auto"/>
        <w:ind w:firstLine="720" w:firstLineChars="300"/>
        <w:rPr>
          <w:rFonts w:hAnsi="宋体" w:cs="宋体"/>
          <w:color w:val="000000" w:themeColor="text1"/>
          <w:sz w:val="24"/>
          <w:szCs w:val="24"/>
        </w:rPr>
      </w:pPr>
      <w:r>
        <w:rPr>
          <w:rFonts w:hint="eastAsia" w:hAnsi="宋体" w:cs="宋体"/>
          <w:color w:val="000000" w:themeColor="text1"/>
          <w:sz w:val="24"/>
          <w:szCs w:val="24"/>
        </w:rPr>
        <w:t xml:space="preserve">甲方：                                   乙方： </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地址：                                   地址： </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法定代表人或授权代表：                   法定代表人或授权代表：</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采购单位负责人：</w:t>
      </w:r>
    </w:p>
    <w:p>
      <w:pPr>
        <w:pStyle w:val="23"/>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联系电话：                               联系电话：</w:t>
      </w:r>
    </w:p>
    <w:p>
      <w:pPr>
        <w:pStyle w:val="23"/>
        <w:adjustRightInd w:val="0"/>
        <w:snapToGrid w:val="0"/>
        <w:spacing w:line="360" w:lineRule="auto"/>
        <w:rPr>
          <w:rFonts w:hAnsi="宋体" w:cs="宋体"/>
          <w:color w:val="000000" w:themeColor="text1"/>
          <w:sz w:val="24"/>
          <w:szCs w:val="24"/>
        </w:rPr>
      </w:pPr>
      <w:r>
        <w:rPr>
          <w:rFonts w:hint="eastAsia" w:hAnsi="宋体" w:cs="宋体"/>
          <w:color w:val="000000" w:themeColor="text1"/>
          <w:sz w:val="24"/>
          <w:szCs w:val="24"/>
        </w:rPr>
        <w:t xml:space="preserve">                                          签订日期：      年  月  日</w:t>
      </w:r>
    </w:p>
    <w:p>
      <w:pPr>
        <w:pStyle w:val="2"/>
        <w:rPr>
          <w:rFonts w:ascii="宋体" w:hAnsi="宋体" w:eastAsia="宋体" w:cs="宋体"/>
          <w:bCs/>
          <w:color w:val="000000" w:themeColor="text1"/>
          <w:sz w:val="44"/>
        </w:rPr>
      </w:pPr>
      <w:r>
        <w:rPr>
          <w:rFonts w:hint="eastAsia" w:ascii="宋体" w:hAnsi="宋体" w:eastAsia="宋体" w:cs="宋体"/>
          <w:b/>
          <w:color w:val="000000" w:themeColor="text1"/>
          <w:sz w:val="44"/>
        </w:rPr>
        <w:br w:type="page"/>
      </w:r>
      <w:r>
        <w:rPr>
          <w:rFonts w:hint="eastAsia" w:ascii="宋体" w:hAnsi="宋体" w:eastAsia="宋体" w:cs="宋体"/>
          <w:b/>
          <w:color w:val="000000" w:themeColor="text1"/>
          <w:sz w:val="44"/>
        </w:rPr>
        <w:t>第</w:t>
      </w:r>
      <w:bookmarkEnd w:id="163"/>
      <w:r>
        <w:rPr>
          <w:rFonts w:hint="eastAsia" w:ascii="宋体" w:hAnsi="宋体" w:eastAsia="宋体" w:cs="宋体"/>
          <w:b/>
          <w:color w:val="000000" w:themeColor="text1"/>
          <w:sz w:val="44"/>
        </w:rPr>
        <w:t>四章 项目需求</w:t>
      </w:r>
      <w:bookmarkEnd w:id="164"/>
      <w:bookmarkEnd w:id="165"/>
      <w:bookmarkEnd w:id="166"/>
    </w:p>
    <w:p>
      <w:pPr>
        <w:spacing w:line="220" w:lineRule="atLeast"/>
        <w:jc w:val="center"/>
        <w:rPr>
          <w:rFonts w:ascii="宋体" w:hAnsi="宋体" w:cs="宋体"/>
          <w:color w:val="000000" w:themeColor="text1"/>
          <w:sz w:val="24"/>
          <w:szCs w:val="24"/>
        </w:rPr>
      </w:pPr>
      <w:bookmarkStart w:id="169" w:name="_Toc49090575"/>
      <w:bookmarkStart w:id="170" w:name="_Toc26554093"/>
      <w:bookmarkStart w:id="171" w:name="_Toc120614281"/>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一、项目综合说明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1、项目名称：盐城工业职业技术学院车辆租赁服务项目</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2、服务地点：盐城工业职业技术学院业务用车部门指定地点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3、招标范围及招标内容：盐城工业职业技术学院车辆租赁服务，详细业务用车需求以招标文件清单和招标人要求为准。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4、本次招标共分为 2 个分包，具体划分如下：</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分包一：15座及以下车辆（5座含司机小车、7座含司机商务车、9～15座含司机商务车）,拟确定中标供应商：3-5家。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分包二：15座以上车辆（一般是19～21座含司机小型客车、35～39座含司机中型客车、45～55 座含司机大型客车）,拟确定中标供应商：2-3家。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投标人可同时参加上述两个分包的投标且可同时入围两个分包。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5、服务期：暂定一年,服务期满后经综合考核合格根据招标人的需要可续签一年车辆租赁服务合同，仅限续签一次。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二、投标报价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1、投标人对不同车型的出租车辆每项只能提出一个不变的价格，各投标人根据自身实力和具体情况自主报价。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2、投标报价表中的填写应以小写金额和以元为单位。</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3、中标人中标后，中标单价原则上不再调整，采购人保留协调中标单位统一价格的权利，用车业务量按实结算。</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4、投标报价应是满足招标人使用车辆需要的所有费用。投标人应充分考虑为满足招标业务用车需求内容所必须的直接和间接成本、油（电、气）费、</w:t>
      </w:r>
      <w:r>
        <w:rPr>
          <w:rFonts w:hint="eastAsia" w:ascii="宋体" w:hAnsi="宋体" w:cs="宋体"/>
          <w:color w:val="000000" w:themeColor="text1"/>
          <w:sz w:val="24"/>
        </w:rPr>
        <w:t>驾驶员全额工资（含福利、社保等，不含出车补贴）</w:t>
      </w:r>
      <w:r>
        <w:rPr>
          <w:rFonts w:hint="eastAsia" w:ascii="宋体" w:hAnsi="宋体" w:cs="宋体"/>
          <w:color w:val="000000" w:themeColor="text1"/>
          <w:sz w:val="24"/>
          <w:szCs w:val="24"/>
        </w:rPr>
        <w:t>、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招标人不另行增加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5、本次招标各定点租车供应商报价均不能高于其在盐城市市本级行政事业单位公车租赁的报价。</w:t>
      </w:r>
    </w:p>
    <w:p>
      <w:pPr>
        <w:pStyle w:val="71"/>
        <w:adjustRightInd w:val="0"/>
        <w:snapToGrid w:val="0"/>
        <w:spacing w:line="360" w:lineRule="auto"/>
        <w:rPr>
          <w:rFonts w:ascii="宋体" w:hAnsi="宋体" w:cs="宋体"/>
          <w:color w:val="000000" w:themeColor="text1"/>
          <w:sz w:val="24"/>
          <w:szCs w:val="24"/>
        </w:rPr>
      </w:pPr>
      <w:r>
        <w:rPr>
          <w:rFonts w:hint="eastAsia" w:ascii="宋体" w:hAnsi="宋体" w:cs="宋体"/>
          <w:color w:val="000000" w:themeColor="text1"/>
          <w:w w:val="95"/>
          <w:sz w:val="24"/>
          <w:szCs w:val="24"/>
        </w:rPr>
        <w:t>三、</w:t>
      </w:r>
      <w:r>
        <w:rPr>
          <w:rFonts w:hint="eastAsia" w:ascii="宋体" w:hAnsi="宋体" w:cs="宋体"/>
          <w:color w:val="000000" w:themeColor="text1"/>
          <w:sz w:val="24"/>
          <w:szCs w:val="24"/>
        </w:rPr>
        <w:t>窗体顶端</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三、其他要求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1、在学校遇外事等重大公务接待时，有权指定租赁车辆、车型，且租车费用不变，若定点单位不能提供累计满3次的，学校有权终止合同。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2、定点单位未经学校相关租赁人员许可擅自变更驾驶人员、取消预约、服务不到位或未按约定时间提供租赁服务,上述情况累计满3次，学校有权终止合同。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3、车辆配置要求：配置先进的安全装置；全部座椅安装安全带；车辆维护、技术管理规定要求明确；人员聘用及培训规范完善。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4、根据自身情况，在基本服务质量要求外，必须承诺卫生保洁、服务创新、服务质量标准化、应急方案、服务监督和重大活动服务保障等工作。</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5、车辆要求：车辆符合安全国家标准，取得有效期内的机动车检验合格证明，并已经在公安机关交通管理部协理注册登记；具有客车营运资质；承诺所提供服务的车辆保险必须是汽车租赁性质险种。</w:t>
      </w:r>
    </w:p>
    <w:p>
      <w:pPr>
        <w:spacing w:line="440" w:lineRule="exact"/>
        <w:ind w:firstLine="480" w:firstLineChars="200"/>
        <w:rPr>
          <w:rFonts w:ascii="宋体" w:hAnsi="宋体" w:cs="宋体"/>
          <w:color w:val="000000" w:themeColor="text1"/>
          <w:sz w:val="24"/>
          <w:szCs w:val="24"/>
        </w:rPr>
      </w:pPr>
    </w:p>
    <w:p>
      <w:pPr>
        <w:pStyle w:val="23"/>
        <w:snapToGrid w:val="0"/>
        <w:spacing w:line="440" w:lineRule="exact"/>
        <w:ind w:firstLine="880" w:firstLineChars="200"/>
        <w:jc w:val="left"/>
        <w:rPr>
          <w:rFonts w:hAnsi="宋体" w:cs="宋体"/>
          <w:b/>
          <w:bCs/>
          <w:color w:val="000000" w:themeColor="text1"/>
          <w:sz w:val="44"/>
        </w:rPr>
      </w:pPr>
    </w:p>
    <w:p>
      <w:pPr>
        <w:pStyle w:val="23"/>
        <w:snapToGrid w:val="0"/>
        <w:spacing w:line="440" w:lineRule="exact"/>
        <w:jc w:val="center"/>
        <w:rPr>
          <w:rFonts w:hAnsi="宋体" w:cs="宋体"/>
          <w:bCs/>
          <w:color w:val="000000" w:themeColor="text1"/>
          <w:sz w:val="44"/>
        </w:rPr>
      </w:pPr>
      <w:r>
        <w:rPr>
          <w:rFonts w:hint="eastAsia" w:hAnsi="宋体" w:cs="宋体"/>
          <w:b/>
          <w:bCs/>
          <w:color w:val="000000" w:themeColor="text1"/>
          <w:sz w:val="44"/>
        </w:rPr>
        <w:br w:type="page"/>
      </w:r>
      <w:r>
        <w:rPr>
          <w:rFonts w:hint="eastAsia" w:hAnsi="宋体" w:cs="宋体"/>
          <w:b/>
          <w:bCs/>
          <w:color w:val="000000" w:themeColor="text1"/>
          <w:sz w:val="44"/>
        </w:rPr>
        <w:t>第五章评标方法与评标标准</w:t>
      </w:r>
    </w:p>
    <w:p>
      <w:pPr>
        <w:rPr>
          <w:rFonts w:ascii="宋体" w:hAnsi="宋体" w:cs="宋体"/>
          <w:color w:val="000000" w:themeColor="text1"/>
        </w:rPr>
      </w:pPr>
    </w:p>
    <w:p>
      <w:pPr>
        <w:adjustRightInd w:val="0"/>
        <w:snapToGrid w:val="0"/>
        <w:spacing w:line="360" w:lineRule="auto"/>
        <w:rPr>
          <w:rFonts w:ascii="宋体" w:hAnsi="宋体" w:cs="宋体"/>
          <w:b/>
          <w:bCs/>
          <w:color w:val="000000" w:themeColor="text1"/>
          <w:sz w:val="24"/>
          <w:szCs w:val="24"/>
        </w:rPr>
      </w:pPr>
      <w:r>
        <w:rPr>
          <w:rFonts w:hint="eastAsia" w:ascii="宋体" w:hAnsi="宋体" w:cs="宋体"/>
          <w:b/>
          <w:bCs/>
          <w:color w:val="000000" w:themeColor="text1"/>
          <w:sz w:val="24"/>
          <w:szCs w:val="24"/>
        </w:rPr>
        <w:t>一、评标方法与定标原则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的，评标结果按评审后得分由高到低顺序排列。得分相同的，按投标报价由低到高顺序排列。得分且投标报价相同的并列。投标文件满足招标文件全部实质性要求，每个分包由评标委员会按评审因素的量化指标评审得分由高到低推荐3-5名投标人为中标候选人。招标人在每次需要车辆租赁服务时，根据实际需要从中标的定点单位中择优选择。</w:t>
      </w:r>
    </w:p>
    <w:p>
      <w:pPr>
        <w:adjustRightInd w:val="0"/>
        <w:snapToGrid w:val="0"/>
        <w:spacing w:line="360" w:lineRule="auto"/>
        <w:rPr>
          <w:rFonts w:ascii="宋体" w:hAnsi="宋体" w:cs="宋体"/>
          <w:b/>
          <w:bCs/>
          <w:color w:val="000000" w:themeColor="text1"/>
          <w:sz w:val="24"/>
          <w:szCs w:val="24"/>
        </w:rPr>
      </w:pPr>
      <w:r>
        <w:rPr>
          <w:rFonts w:hint="eastAsia" w:ascii="宋体" w:hAnsi="宋体" w:cs="宋体"/>
          <w:b/>
          <w:bCs/>
          <w:color w:val="000000" w:themeColor="text1"/>
          <w:sz w:val="24"/>
          <w:szCs w:val="24"/>
        </w:rPr>
        <w:t>二、评标标准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本项目评分总分值为100分。</w:t>
      </w:r>
    </w:p>
    <w:p>
      <w:pPr>
        <w:pStyle w:val="39"/>
        <w:tabs>
          <w:tab w:val="left" w:pos="720"/>
          <w:tab w:val="clear" w:pos="916"/>
        </w:tabs>
        <w:adjustRightInd w:val="0"/>
        <w:snapToGrid w:val="0"/>
        <w:spacing w:line="360" w:lineRule="auto"/>
        <w:ind w:firstLine="480" w:firstLineChars="200"/>
        <w:rPr>
          <w:rFonts w:ascii="宋体" w:hAnsi="宋体" w:eastAsia="宋体" w:cs="宋体"/>
          <w:b/>
          <w:color w:val="000000" w:themeColor="text1"/>
          <w:kern w:val="2"/>
          <w:sz w:val="24"/>
          <w:szCs w:val="24"/>
        </w:rPr>
      </w:pPr>
      <w:r>
        <w:rPr>
          <w:rFonts w:hint="eastAsia" w:ascii="宋体" w:hAnsi="宋体" w:eastAsia="宋体" w:cs="宋体"/>
          <w:b/>
          <w:color w:val="000000" w:themeColor="text1"/>
          <w:kern w:val="2"/>
          <w:sz w:val="24"/>
          <w:szCs w:val="24"/>
        </w:rPr>
        <w:t>具体标准</w:t>
      </w:r>
    </w:p>
    <w:tbl>
      <w:tblPr>
        <w:tblStyle w:val="45"/>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200"/>
        <w:gridCol w:w="780"/>
        <w:gridCol w:w="5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0" w:type="dxa"/>
            <w:shd w:val="clear" w:color="auto" w:fill="auto"/>
            <w:tcMar>
              <w:top w:w="80" w:type="dxa"/>
              <w:left w:w="80" w:type="dxa"/>
              <w:bottom w:w="80" w:type="dxa"/>
              <w:right w:w="80" w:type="dxa"/>
            </w:tcMar>
            <w:vAlign w:val="center"/>
          </w:tcPr>
          <w:p>
            <w:pPr>
              <w:jc w:val="center"/>
              <w:rPr>
                <w:rFonts w:ascii="宋体" w:hAnsi="宋体" w:cs="宋体"/>
                <w:b/>
                <w:color w:val="000000" w:themeColor="text1"/>
              </w:rPr>
            </w:pPr>
            <w:r>
              <w:rPr>
                <w:rFonts w:hint="eastAsia" w:ascii="宋体" w:hAnsi="宋体" w:cs="宋体"/>
                <w:b/>
                <w:color w:val="000000" w:themeColor="text1"/>
                <w:lang w:val="zh-TW" w:eastAsia="zh-TW"/>
              </w:rPr>
              <w:t>类别</w:t>
            </w:r>
          </w:p>
        </w:tc>
        <w:tc>
          <w:tcPr>
            <w:tcW w:w="1200" w:type="dxa"/>
            <w:shd w:val="clear" w:color="auto" w:fill="auto"/>
            <w:tcMar>
              <w:top w:w="80" w:type="dxa"/>
              <w:left w:w="80" w:type="dxa"/>
              <w:bottom w:w="80" w:type="dxa"/>
              <w:right w:w="80" w:type="dxa"/>
            </w:tcMar>
            <w:vAlign w:val="center"/>
          </w:tcPr>
          <w:p>
            <w:pPr>
              <w:jc w:val="center"/>
              <w:rPr>
                <w:rFonts w:ascii="宋体" w:hAnsi="宋体" w:cs="宋体"/>
                <w:b/>
                <w:color w:val="000000" w:themeColor="text1"/>
              </w:rPr>
            </w:pPr>
            <w:r>
              <w:rPr>
                <w:rFonts w:hint="eastAsia" w:ascii="宋体" w:hAnsi="宋体" w:cs="宋体"/>
                <w:b/>
                <w:color w:val="000000" w:themeColor="text1"/>
                <w:lang w:val="zh-TW" w:eastAsia="zh-TW"/>
              </w:rPr>
              <w:t>评分内容</w:t>
            </w:r>
          </w:p>
        </w:tc>
        <w:tc>
          <w:tcPr>
            <w:tcW w:w="780" w:type="dxa"/>
            <w:shd w:val="clear" w:color="auto" w:fill="auto"/>
            <w:tcMar>
              <w:top w:w="80" w:type="dxa"/>
              <w:left w:w="80" w:type="dxa"/>
              <w:bottom w:w="80" w:type="dxa"/>
              <w:right w:w="80" w:type="dxa"/>
            </w:tcMar>
            <w:vAlign w:val="center"/>
          </w:tcPr>
          <w:p>
            <w:pPr>
              <w:jc w:val="center"/>
              <w:rPr>
                <w:rFonts w:ascii="宋体" w:hAnsi="宋体" w:cs="宋体"/>
                <w:b/>
                <w:color w:val="000000" w:themeColor="text1"/>
              </w:rPr>
            </w:pPr>
            <w:r>
              <w:rPr>
                <w:rFonts w:hint="eastAsia" w:ascii="宋体" w:hAnsi="宋体" w:cs="宋体"/>
                <w:b/>
                <w:color w:val="000000" w:themeColor="text1"/>
              </w:rPr>
              <w:t>分值</w:t>
            </w:r>
          </w:p>
        </w:tc>
        <w:tc>
          <w:tcPr>
            <w:tcW w:w="5952" w:type="dxa"/>
            <w:shd w:val="clear" w:color="auto" w:fill="auto"/>
          </w:tcPr>
          <w:p>
            <w:pPr>
              <w:jc w:val="center"/>
              <w:rPr>
                <w:rFonts w:ascii="宋体" w:hAnsi="宋体" w:cs="宋体"/>
                <w:b/>
                <w:color w:val="000000" w:themeColor="text1"/>
                <w:lang w:val="zh-TW" w:eastAsia="zh-TW"/>
              </w:rPr>
            </w:pPr>
            <w:r>
              <w:rPr>
                <w:rFonts w:hint="eastAsia" w:ascii="宋体" w:hAnsi="宋体" w:cs="宋体"/>
                <w:b/>
                <w:color w:val="000000" w:themeColor="text1"/>
                <w:lang w:val="zh-TW" w:eastAsia="zh-TW"/>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技术分</w:t>
            </w:r>
          </w:p>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w:t>
            </w:r>
            <w:r>
              <w:rPr>
                <w:rFonts w:ascii="宋体" w:hAnsi="宋体" w:cs="宋体"/>
                <w:color w:val="000000" w:themeColor="text1"/>
              </w:rPr>
              <w:t>10</w:t>
            </w:r>
            <w:r>
              <w:rPr>
                <w:rFonts w:hint="eastAsia" w:ascii="宋体" w:hAnsi="宋体" w:cs="宋体"/>
                <w:color w:val="000000" w:themeColor="text1"/>
                <w:lang w:val="zh-TW" w:eastAsia="zh-TW"/>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服务承诺</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rPr>
            </w:pPr>
            <w:r>
              <w:rPr>
                <w:rFonts w:ascii="宋体" w:hAnsi="宋体" w:cs="宋体"/>
                <w:color w:val="000000" w:themeColor="text1"/>
              </w:rPr>
              <w:t>10</w:t>
            </w:r>
          </w:p>
        </w:tc>
        <w:tc>
          <w:tcPr>
            <w:tcW w:w="5952" w:type="dxa"/>
            <w:shd w:val="clear" w:color="auto" w:fill="auto"/>
            <w:vAlign w:val="center"/>
          </w:tcPr>
          <w:p>
            <w:pPr>
              <w:ind w:firstLine="420" w:firstLineChars="200"/>
              <w:rPr>
                <w:rFonts w:ascii="宋体" w:hAnsi="宋体" w:cs="宋体"/>
                <w:color w:val="000000" w:themeColor="text1"/>
                <w:lang w:val="zh-TW" w:eastAsia="zh-TW"/>
              </w:rPr>
            </w:pPr>
            <w:r>
              <w:rPr>
                <w:rFonts w:hint="eastAsia" w:ascii="宋体" w:hAnsi="宋体" w:cs="宋体"/>
                <w:color w:val="000000" w:themeColor="text1"/>
              </w:rPr>
              <w:t>评标委员会根据项目需求对各投标人针对本项目编制的</w:t>
            </w:r>
            <w:r>
              <w:rPr>
                <w:rFonts w:hint="eastAsia" w:ascii="宋体" w:hAnsi="宋体" w:cs="宋体"/>
                <w:color w:val="000000" w:themeColor="text1"/>
                <w:lang w:val="zh-TW" w:eastAsia="zh-TW"/>
              </w:rPr>
              <w:t>服务承诺</w:t>
            </w:r>
            <w:r>
              <w:rPr>
                <w:rFonts w:hint="eastAsia" w:ascii="宋体" w:hAnsi="宋体" w:cs="宋体"/>
                <w:color w:val="000000" w:themeColor="text1"/>
              </w:rPr>
              <w:t>进行综合评审打分，打分区间7</w:t>
            </w:r>
            <w:r>
              <w:rPr>
                <w:rFonts w:hint="eastAsia" w:ascii="宋体" w:hAnsi="宋体" w:cs="宋体"/>
                <w:color w:val="000000" w:themeColor="text1"/>
                <w:lang w:val="zh-TW" w:eastAsia="zh-TW"/>
              </w:rPr>
              <w:t>～</w:t>
            </w:r>
            <w:r>
              <w:rPr>
                <w:rFonts w:ascii="宋体" w:hAnsi="宋体" w:cs="宋体"/>
                <w:color w:val="000000" w:themeColor="text1"/>
              </w:rPr>
              <w:t>10</w:t>
            </w:r>
            <w:r>
              <w:rPr>
                <w:rFonts w:hint="eastAsia" w:ascii="宋体" w:hAnsi="宋体" w:cs="宋体"/>
                <w:color w:val="000000" w:themeColor="text1"/>
              </w:rPr>
              <w:t>分</w:t>
            </w:r>
            <w:r>
              <w:rPr>
                <w:rFonts w:hint="eastAsia" w:ascii="宋体" w:hAnsi="宋体" w:cs="宋体"/>
                <w:color w:val="000000" w:themeColor="text1"/>
                <w:lang w:val="zh-TW" w:eastAsia="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0" w:type="dxa"/>
            <w:vMerge w:val="restart"/>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CN" w:eastAsia="zh-TW"/>
              </w:rPr>
              <w:t>商务分</w:t>
            </w:r>
          </w:p>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w:t>
            </w:r>
            <w:r>
              <w:rPr>
                <w:rFonts w:hint="eastAsia" w:ascii="宋体" w:hAnsi="宋体" w:cs="宋体"/>
                <w:color w:val="000000" w:themeColor="text1"/>
              </w:rPr>
              <w:t>4</w:t>
            </w:r>
            <w:r>
              <w:rPr>
                <w:rFonts w:ascii="宋体" w:hAnsi="宋体" w:cs="宋体"/>
                <w:color w:val="000000" w:themeColor="text1"/>
              </w:rPr>
              <w:t>0</w:t>
            </w:r>
            <w:r>
              <w:rPr>
                <w:rFonts w:hint="eastAsia" w:ascii="宋体" w:hAnsi="宋体" w:cs="宋体"/>
                <w:color w:val="000000" w:themeColor="text1"/>
                <w:lang w:val="zh-TW" w:eastAsia="zh-TW"/>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业绩信誉</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rPr>
            </w:pPr>
            <w:r>
              <w:rPr>
                <w:rFonts w:hint="eastAsia" w:ascii="宋体" w:hAnsi="宋体" w:cs="宋体"/>
                <w:color w:val="000000" w:themeColor="text1"/>
              </w:rPr>
              <w:t>10</w:t>
            </w:r>
          </w:p>
        </w:tc>
        <w:tc>
          <w:tcPr>
            <w:tcW w:w="5952" w:type="dxa"/>
            <w:shd w:val="clear" w:color="auto" w:fill="auto"/>
            <w:vAlign w:val="center"/>
          </w:tcPr>
          <w:p>
            <w:pPr>
              <w:ind w:firstLine="420" w:firstLineChars="200"/>
              <w:rPr>
                <w:rFonts w:ascii="宋体" w:hAnsi="宋体" w:cs="宋体"/>
                <w:color w:val="000000" w:themeColor="text1"/>
                <w:lang w:val="zh-TW" w:eastAsia="zh-TW"/>
              </w:rPr>
            </w:pPr>
            <w:r>
              <w:rPr>
                <w:rFonts w:hint="eastAsia" w:ascii="宋体" w:hAnsi="宋体" w:cs="宋体"/>
                <w:color w:val="000000" w:themeColor="text1"/>
                <w:lang w:val="zh-TW" w:eastAsia="zh-TW"/>
              </w:rPr>
              <w:t>投标人在近三年</w:t>
            </w:r>
            <w:r>
              <w:rPr>
                <w:rFonts w:hint="eastAsia" w:ascii="宋体" w:hAnsi="宋体" w:cs="宋体"/>
                <w:color w:val="000000" w:themeColor="text1"/>
                <w:lang w:val="zh-TW"/>
              </w:rPr>
              <w:t>（2018-2020年）</w:t>
            </w:r>
            <w:r>
              <w:rPr>
                <w:rFonts w:hint="eastAsia" w:ascii="宋体" w:hAnsi="宋体" w:cs="宋体"/>
                <w:color w:val="000000" w:themeColor="text1"/>
                <w:lang w:val="zh-TW" w:eastAsia="zh-TW"/>
              </w:rPr>
              <w:t>内经营过其他类似项目：每份合同得业绩分</w:t>
            </w:r>
            <w:r>
              <w:rPr>
                <w:rFonts w:hint="eastAsia" w:ascii="宋体" w:hAnsi="宋体" w:cs="宋体"/>
                <w:color w:val="000000" w:themeColor="text1"/>
              </w:rPr>
              <w:t>1</w:t>
            </w:r>
            <w:r>
              <w:rPr>
                <w:rFonts w:hint="eastAsia" w:ascii="宋体" w:hAnsi="宋体" w:cs="宋体"/>
                <w:color w:val="000000" w:themeColor="text1"/>
                <w:lang w:val="zh-TW" w:eastAsia="zh-TW"/>
              </w:rPr>
              <w:t>分，加满</w:t>
            </w:r>
            <w:r>
              <w:rPr>
                <w:rFonts w:hint="eastAsia" w:ascii="宋体" w:hAnsi="宋体" w:cs="宋体"/>
                <w:color w:val="000000" w:themeColor="text1"/>
              </w:rPr>
              <w:t>10</w:t>
            </w:r>
            <w:r>
              <w:rPr>
                <w:rFonts w:hint="eastAsia" w:ascii="宋体" w:hAnsi="宋体" w:cs="宋体"/>
                <w:color w:val="000000" w:themeColor="text1"/>
                <w:lang w:val="zh-TW" w:eastAsia="zh-TW"/>
              </w:rPr>
              <w:t>分为止。</w:t>
            </w:r>
            <w:r>
              <w:rPr>
                <w:rFonts w:hint="eastAsia" w:ascii="宋体" w:hAnsi="宋体" w:cs="宋体"/>
                <w:color w:val="000000" w:themeColor="text1"/>
                <w:lang w:val="zh-TW"/>
              </w:rPr>
              <w:t>投标文件中</w:t>
            </w:r>
            <w:r>
              <w:rPr>
                <w:rFonts w:hint="eastAsia" w:ascii="宋体" w:hAnsi="宋体" w:cs="宋体"/>
                <w:color w:val="000000" w:themeColor="text1"/>
                <w:lang w:val="zh-TW" w:eastAsia="zh-TW"/>
              </w:rPr>
              <w:t>须提供相关证明材料（与其他类似项目单位签订的正式合同复印件</w:t>
            </w:r>
            <w:r>
              <w:rPr>
                <w:rFonts w:hint="eastAsia" w:ascii="宋体" w:hAnsi="宋体" w:cs="宋体"/>
                <w:color w:val="000000" w:themeColor="text1"/>
                <w:lang w:val="zh-TW"/>
              </w:rPr>
              <w:t>加盖投标人公章</w:t>
            </w:r>
            <w:r>
              <w:rPr>
                <w:rFonts w:hint="eastAsia" w:ascii="宋体" w:hAnsi="宋体" w:cs="宋体"/>
                <w:color w:val="000000" w:themeColor="text1"/>
                <w:lang w:val="zh-TW" w:eastAsia="zh-TW"/>
              </w:rPr>
              <w:t>，原件携带备查）。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0" w:type="dxa"/>
            <w:vMerge w:val="continue"/>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综合实力</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rPr>
            </w:pPr>
            <w:r>
              <w:rPr>
                <w:rFonts w:hint="eastAsia" w:ascii="宋体" w:hAnsi="宋体" w:cs="宋体"/>
                <w:color w:val="000000" w:themeColor="text1"/>
              </w:rPr>
              <w:t>30</w:t>
            </w:r>
          </w:p>
        </w:tc>
        <w:tc>
          <w:tcPr>
            <w:tcW w:w="5952" w:type="dxa"/>
            <w:shd w:val="clear" w:color="auto" w:fill="auto"/>
            <w:vAlign w:val="center"/>
          </w:tcPr>
          <w:p>
            <w:pPr>
              <w:rPr>
                <w:rFonts w:ascii="宋体" w:hAnsi="宋体" w:cs="宋体"/>
                <w:b/>
                <w:bCs/>
                <w:color w:val="000000" w:themeColor="text1"/>
              </w:rPr>
            </w:pPr>
            <w:r>
              <w:rPr>
                <w:rFonts w:hint="eastAsia" w:ascii="宋体" w:hAnsi="宋体" w:cs="宋体"/>
                <w:b/>
                <w:bCs/>
                <w:color w:val="000000" w:themeColor="text1"/>
              </w:rPr>
              <w:t>1.车辆</w:t>
            </w:r>
            <w:r>
              <w:rPr>
                <w:rFonts w:ascii="宋体" w:hAnsi="宋体" w:cs="宋体"/>
                <w:b/>
                <w:bCs/>
                <w:color w:val="000000" w:themeColor="text1"/>
              </w:rPr>
              <w:t>公司性质</w:t>
            </w:r>
            <w:r>
              <w:rPr>
                <w:rFonts w:hint="eastAsia" w:ascii="宋体" w:hAnsi="宋体" w:cs="宋体"/>
                <w:b/>
                <w:bCs/>
                <w:color w:val="000000" w:themeColor="text1"/>
              </w:rPr>
              <w:t>（5分）：</w:t>
            </w:r>
          </w:p>
          <w:p>
            <w:pPr>
              <w:ind w:firstLine="420" w:firstLineChars="200"/>
              <w:rPr>
                <w:rFonts w:ascii="宋体" w:hAnsi="宋体" w:cs="宋体"/>
                <w:b/>
                <w:bCs/>
                <w:color w:val="000000" w:themeColor="text1"/>
              </w:rPr>
            </w:pPr>
            <w:r>
              <w:rPr>
                <w:rFonts w:hint="eastAsia" w:ascii="宋体" w:hAnsi="宋体" w:cs="宋体"/>
                <w:bCs/>
                <w:color w:val="000000" w:themeColor="text1"/>
              </w:rPr>
              <w:t>公司是</w:t>
            </w:r>
            <w:r>
              <w:rPr>
                <w:rFonts w:ascii="宋体" w:hAnsi="宋体" w:cs="宋体"/>
                <w:bCs/>
                <w:color w:val="000000" w:themeColor="text1"/>
              </w:rPr>
              <w:t>专营车辆租赁</w:t>
            </w:r>
            <w:r>
              <w:rPr>
                <w:rFonts w:hint="eastAsia" w:ascii="宋体" w:hAnsi="宋体" w:cs="宋体"/>
                <w:bCs/>
                <w:color w:val="000000" w:themeColor="text1"/>
              </w:rPr>
              <w:t>的</w:t>
            </w:r>
            <w:r>
              <w:rPr>
                <w:rFonts w:ascii="宋体" w:hAnsi="宋体" w:cs="宋体"/>
                <w:bCs/>
                <w:color w:val="000000" w:themeColor="text1"/>
              </w:rPr>
              <w:t>公司加</w:t>
            </w:r>
            <w:r>
              <w:rPr>
                <w:rFonts w:hint="eastAsia" w:ascii="宋体" w:hAnsi="宋体" w:cs="宋体"/>
                <w:bCs/>
                <w:color w:val="000000" w:themeColor="text1"/>
              </w:rPr>
              <w:t>5分（例如</w:t>
            </w:r>
            <w:r>
              <w:rPr>
                <w:rFonts w:ascii="宋体" w:hAnsi="宋体" w:cs="宋体"/>
                <w:bCs/>
                <w:color w:val="000000" w:themeColor="text1"/>
              </w:rPr>
              <w:t>神州租车、</w:t>
            </w:r>
            <w:r>
              <w:rPr>
                <w:rFonts w:hint="eastAsia" w:ascii="宋体" w:hAnsi="宋体" w:cs="宋体"/>
                <w:bCs/>
                <w:color w:val="000000" w:themeColor="text1"/>
              </w:rPr>
              <w:t>XX</w:t>
            </w:r>
            <w:r>
              <w:rPr>
                <w:rFonts w:ascii="宋体" w:hAnsi="宋体" w:cs="宋体"/>
                <w:bCs/>
                <w:color w:val="000000" w:themeColor="text1"/>
              </w:rPr>
              <w:t>汽车租赁公司</w:t>
            </w:r>
            <w:r>
              <w:rPr>
                <w:rFonts w:hint="eastAsia" w:ascii="宋体" w:hAnsi="宋体" w:cs="宋体"/>
                <w:bCs/>
                <w:color w:val="000000" w:themeColor="text1"/>
              </w:rPr>
              <w:t>）</w:t>
            </w:r>
            <w:r>
              <w:rPr>
                <w:rFonts w:ascii="宋体" w:hAnsi="宋体" w:cs="宋体"/>
                <w:bCs/>
                <w:color w:val="000000" w:themeColor="text1"/>
              </w:rPr>
              <w:t>，其他含有租赁服务项目的加3</w:t>
            </w:r>
            <w:r>
              <w:rPr>
                <w:rFonts w:hint="eastAsia" w:ascii="宋体" w:hAnsi="宋体" w:cs="宋体"/>
                <w:bCs/>
                <w:color w:val="000000" w:themeColor="text1"/>
              </w:rPr>
              <w:t>分（例如</w:t>
            </w:r>
            <w:r>
              <w:rPr>
                <w:rFonts w:ascii="宋体" w:hAnsi="宋体" w:cs="宋体"/>
                <w:bCs/>
                <w:color w:val="000000" w:themeColor="text1"/>
              </w:rPr>
              <w:t>XXX公司，经营项目中有多种，其中包含汽车租赁</w:t>
            </w:r>
            <w:r>
              <w:rPr>
                <w:rFonts w:hint="eastAsia" w:ascii="宋体" w:hAnsi="宋体" w:cs="宋体"/>
                <w:bCs/>
                <w:color w:val="000000" w:themeColor="text1"/>
              </w:rPr>
              <w:t>服务</w:t>
            </w:r>
            <w:r>
              <w:rPr>
                <w:rFonts w:ascii="宋体" w:hAnsi="宋体" w:cs="宋体"/>
                <w:bCs/>
                <w:color w:val="000000" w:themeColor="text1"/>
              </w:rPr>
              <w:t>的</w:t>
            </w:r>
            <w:r>
              <w:rPr>
                <w:rFonts w:hint="eastAsia" w:ascii="宋体" w:hAnsi="宋体" w:cs="宋体"/>
                <w:bCs/>
                <w:color w:val="000000" w:themeColor="text1"/>
              </w:rPr>
              <w:t>）</w:t>
            </w:r>
            <w:r>
              <w:rPr>
                <w:rFonts w:ascii="宋体" w:hAnsi="宋体" w:cs="宋体"/>
                <w:bCs/>
                <w:color w:val="000000" w:themeColor="text1"/>
              </w:rPr>
              <w:t>。</w:t>
            </w:r>
          </w:p>
          <w:p>
            <w:pPr>
              <w:rPr>
                <w:rFonts w:ascii="宋体" w:hAnsi="宋体" w:cs="宋体"/>
                <w:b/>
                <w:bCs/>
                <w:color w:val="000000" w:themeColor="text1"/>
              </w:rPr>
            </w:pPr>
            <w:r>
              <w:rPr>
                <w:rFonts w:ascii="宋体" w:hAnsi="宋体" w:cs="宋体"/>
                <w:b/>
                <w:bCs/>
                <w:color w:val="000000" w:themeColor="text1"/>
              </w:rPr>
              <w:t>2.</w:t>
            </w:r>
            <w:r>
              <w:rPr>
                <w:rFonts w:hint="eastAsia" w:ascii="宋体" w:hAnsi="宋体" w:cs="宋体"/>
                <w:b/>
                <w:bCs/>
                <w:color w:val="000000" w:themeColor="text1"/>
                <w:lang w:val="zh-TW" w:eastAsia="zh-TW"/>
              </w:rPr>
              <w:t>投标人车辆数量</w:t>
            </w:r>
            <w:r>
              <w:rPr>
                <w:rFonts w:hint="eastAsia" w:ascii="宋体" w:hAnsi="宋体" w:cs="宋体"/>
                <w:b/>
                <w:bCs/>
                <w:color w:val="000000" w:themeColor="text1"/>
              </w:rPr>
              <w:t>（5分）：</w:t>
            </w:r>
          </w:p>
          <w:p>
            <w:pPr>
              <w:ind w:firstLine="420" w:firstLineChars="200"/>
              <w:rPr>
                <w:rFonts w:ascii="宋体" w:hAnsi="宋体" w:cs="宋体"/>
                <w:color w:val="000000" w:themeColor="text1"/>
              </w:rPr>
            </w:pPr>
            <w:r>
              <w:rPr>
                <w:rFonts w:hint="eastAsia" w:ascii="宋体" w:hAnsi="宋体" w:cs="宋体"/>
                <w:color w:val="000000" w:themeColor="text1"/>
              </w:rPr>
              <w:t>将所有投标人在投标文件中提供的承诺用于本项目出车任务且符合资格条件中要求的车辆数量合计（必须</w:t>
            </w:r>
            <w:r>
              <w:rPr>
                <w:rFonts w:ascii="宋体" w:hAnsi="宋体" w:cs="宋体"/>
                <w:color w:val="000000" w:themeColor="text1"/>
              </w:rPr>
              <w:t>是注册在本公司</w:t>
            </w:r>
            <w:r>
              <w:rPr>
                <w:rFonts w:hint="eastAsia" w:ascii="宋体" w:hAnsi="宋体" w:cs="宋体"/>
                <w:color w:val="000000" w:themeColor="text1"/>
              </w:rPr>
              <w:t>或公司</w:t>
            </w:r>
            <w:r>
              <w:rPr>
                <w:rFonts w:ascii="宋体" w:hAnsi="宋体" w:cs="宋体"/>
                <w:color w:val="000000" w:themeColor="text1"/>
              </w:rPr>
              <w:t>法人名下的车辆</w:t>
            </w:r>
            <w:r>
              <w:rPr>
                <w:rFonts w:hint="eastAsia" w:ascii="宋体" w:hAnsi="宋体" w:cs="宋体"/>
                <w:color w:val="000000" w:themeColor="text1"/>
              </w:rPr>
              <w:t>）：第1得5分，后序</w:t>
            </w:r>
            <w:r>
              <w:rPr>
                <w:rFonts w:ascii="宋体" w:hAnsi="宋体" w:cs="宋体"/>
                <w:color w:val="000000" w:themeColor="text1"/>
              </w:rPr>
              <w:t>按照（</w:t>
            </w:r>
            <w:r>
              <w:rPr>
                <w:rFonts w:hint="eastAsia" w:ascii="宋体" w:hAnsi="宋体" w:cs="宋体"/>
                <w:color w:val="000000" w:themeColor="text1"/>
              </w:rPr>
              <w:t>公司</w:t>
            </w:r>
            <w:r>
              <w:rPr>
                <w:rFonts w:ascii="宋体" w:hAnsi="宋体" w:cs="宋体"/>
                <w:color w:val="000000" w:themeColor="text1"/>
              </w:rPr>
              <w:t>车辆数</w:t>
            </w:r>
            <w:r>
              <w:rPr>
                <w:rFonts w:hint="eastAsia" w:ascii="宋体" w:hAnsi="宋体" w:cs="宋体"/>
                <w:color w:val="000000" w:themeColor="text1"/>
              </w:rPr>
              <w:t>/第一名</w:t>
            </w:r>
            <w:r>
              <w:rPr>
                <w:rFonts w:ascii="宋体" w:hAnsi="宋体" w:cs="宋体"/>
                <w:color w:val="000000" w:themeColor="text1"/>
              </w:rPr>
              <w:t>公司车辆数量）</w:t>
            </w:r>
            <w:r>
              <w:rPr>
                <w:rFonts w:hint="eastAsia" w:ascii="宋体" w:hAnsi="宋体" w:cs="宋体"/>
                <w:color w:val="000000" w:themeColor="text1"/>
              </w:rPr>
              <w:t>*5得分。</w:t>
            </w:r>
          </w:p>
          <w:p>
            <w:pPr>
              <w:rPr>
                <w:rFonts w:ascii="宋体" w:hAnsi="宋体" w:cs="宋体"/>
                <w:b/>
                <w:bCs/>
                <w:color w:val="000000" w:themeColor="text1"/>
                <w:lang w:val="zh-TW"/>
              </w:rPr>
            </w:pPr>
            <w:r>
              <w:rPr>
                <w:rFonts w:ascii="宋体" w:hAnsi="宋体" w:cs="宋体"/>
                <w:b/>
                <w:bCs/>
                <w:color w:val="000000" w:themeColor="text1"/>
              </w:rPr>
              <w:t>3.</w:t>
            </w:r>
            <w:r>
              <w:rPr>
                <w:rFonts w:hint="eastAsia" w:ascii="宋体" w:hAnsi="宋体" w:cs="宋体"/>
                <w:b/>
                <w:bCs/>
                <w:color w:val="000000" w:themeColor="text1"/>
                <w:lang w:val="zh-TW" w:eastAsia="zh-TW"/>
              </w:rPr>
              <w:t>车辆首次登记日期及车况</w:t>
            </w:r>
            <w:r>
              <w:rPr>
                <w:rFonts w:hint="eastAsia" w:ascii="宋体" w:hAnsi="宋体" w:cs="宋体"/>
                <w:b/>
                <w:bCs/>
                <w:color w:val="000000" w:themeColor="text1"/>
                <w:lang w:val="zh-TW"/>
              </w:rPr>
              <w:t>（</w:t>
            </w:r>
            <w:r>
              <w:rPr>
                <w:rFonts w:hint="eastAsia" w:ascii="宋体" w:hAnsi="宋体" w:cs="宋体"/>
                <w:b/>
                <w:bCs/>
                <w:color w:val="000000" w:themeColor="text1"/>
              </w:rPr>
              <w:t>10分</w:t>
            </w:r>
            <w:r>
              <w:rPr>
                <w:rFonts w:hint="eastAsia" w:ascii="宋体" w:hAnsi="宋体" w:cs="宋体"/>
                <w:b/>
                <w:bCs/>
                <w:color w:val="000000" w:themeColor="text1"/>
                <w:lang w:val="zh-TW"/>
              </w:rPr>
              <w:t>）：</w:t>
            </w:r>
          </w:p>
          <w:p>
            <w:pPr>
              <w:ind w:firstLine="420" w:firstLineChars="200"/>
              <w:rPr>
                <w:rFonts w:ascii="宋体" w:hAnsi="宋体" w:cs="宋体"/>
                <w:color w:val="000000" w:themeColor="text1"/>
                <w:lang w:val="zh-TW" w:eastAsia="zh-TW"/>
              </w:rPr>
            </w:pPr>
            <w:r>
              <w:rPr>
                <w:rFonts w:hint="eastAsia" w:ascii="宋体" w:hAnsi="宋体" w:cs="宋体"/>
                <w:bCs/>
                <w:color w:val="000000" w:themeColor="text1"/>
                <w:lang w:val="zh-TW"/>
              </w:rPr>
              <w:t>所有投标人在投标文件中提供的承诺用于本项目出车任务且符合资格条件中要求的车辆购置</w:t>
            </w:r>
            <w:r>
              <w:rPr>
                <w:rFonts w:ascii="宋体" w:hAnsi="宋体" w:cs="宋体"/>
                <w:bCs/>
                <w:color w:val="000000" w:themeColor="text1"/>
                <w:lang w:val="zh-TW"/>
              </w:rPr>
              <w:t>日期</w:t>
            </w:r>
            <w:r>
              <w:rPr>
                <w:rFonts w:hint="eastAsia" w:ascii="宋体" w:hAnsi="宋体" w:cs="宋体"/>
                <w:bCs/>
                <w:color w:val="000000" w:themeColor="text1"/>
                <w:lang w:val="zh-TW"/>
              </w:rPr>
              <w:t>（必须是注册在本公司或公司法人或股东(须提供工商注册信息)名下的车辆</w:t>
            </w:r>
            <w:r>
              <w:rPr>
                <w:rFonts w:hint="eastAsia" w:ascii="宋体" w:hAnsi="宋体" w:cs="宋体"/>
                <w:b/>
                <w:bCs/>
                <w:color w:val="000000" w:themeColor="text1"/>
                <w:lang w:val="zh-TW"/>
              </w:rPr>
              <w:t>）</w:t>
            </w:r>
            <w:r>
              <w:rPr>
                <w:rFonts w:hint="eastAsia" w:ascii="宋体" w:hAnsi="宋体" w:cs="宋体"/>
                <w:color w:val="000000" w:themeColor="text1"/>
              </w:rPr>
              <w:t>：2021、2</w:t>
            </w:r>
            <w:r>
              <w:rPr>
                <w:rFonts w:ascii="宋体" w:hAnsi="宋体" w:cs="宋体"/>
                <w:color w:val="000000" w:themeColor="text1"/>
              </w:rPr>
              <w:t>0</w:t>
            </w:r>
            <w:r>
              <w:rPr>
                <w:rFonts w:hint="eastAsia" w:ascii="宋体" w:hAnsi="宋体" w:cs="宋体"/>
                <w:color w:val="000000" w:themeColor="text1"/>
              </w:rPr>
              <w:t>20年</w:t>
            </w:r>
            <w:r>
              <w:rPr>
                <w:rFonts w:ascii="宋体" w:hAnsi="宋体" w:cs="宋体"/>
                <w:color w:val="000000" w:themeColor="text1"/>
              </w:rPr>
              <w:t>购置车辆</w:t>
            </w:r>
            <w:r>
              <w:rPr>
                <w:rFonts w:hint="eastAsia" w:ascii="宋体" w:hAnsi="宋体" w:cs="宋体"/>
                <w:color w:val="000000" w:themeColor="text1"/>
              </w:rPr>
              <w:t>每</w:t>
            </w:r>
            <w:r>
              <w:rPr>
                <w:rFonts w:ascii="宋体" w:hAnsi="宋体" w:cs="宋体"/>
                <w:color w:val="000000" w:themeColor="text1"/>
              </w:rPr>
              <w:t>辆加</w:t>
            </w:r>
            <w:r>
              <w:rPr>
                <w:rFonts w:hint="eastAsia" w:ascii="宋体" w:hAnsi="宋体" w:cs="宋体"/>
                <w:color w:val="000000" w:themeColor="text1"/>
              </w:rPr>
              <w:t>2分</w:t>
            </w:r>
            <w:r>
              <w:rPr>
                <w:rFonts w:ascii="宋体" w:hAnsi="宋体" w:cs="宋体"/>
                <w:color w:val="000000" w:themeColor="text1"/>
              </w:rPr>
              <w:t>，20</w:t>
            </w:r>
            <w:r>
              <w:rPr>
                <w:rFonts w:hint="eastAsia" w:ascii="宋体" w:hAnsi="宋体" w:cs="宋体"/>
                <w:color w:val="000000" w:themeColor="text1"/>
              </w:rPr>
              <w:t>19</w:t>
            </w:r>
            <w:r>
              <w:rPr>
                <w:rFonts w:ascii="宋体" w:hAnsi="宋体" w:cs="宋体"/>
                <w:color w:val="000000" w:themeColor="text1"/>
              </w:rPr>
              <w:t>购置每辆加</w:t>
            </w:r>
            <w:r>
              <w:rPr>
                <w:rFonts w:hint="eastAsia" w:ascii="宋体" w:hAnsi="宋体" w:cs="宋体"/>
                <w:color w:val="000000" w:themeColor="text1"/>
              </w:rPr>
              <w:t>1.5分</w:t>
            </w:r>
            <w:r>
              <w:rPr>
                <w:rFonts w:ascii="宋体" w:hAnsi="宋体" w:cs="宋体"/>
                <w:color w:val="000000" w:themeColor="text1"/>
              </w:rPr>
              <w:t>，</w:t>
            </w:r>
            <w:r>
              <w:rPr>
                <w:rFonts w:hint="eastAsia" w:ascii="宋体" w:hAnsi="宋体" w:cs="宋体"/>
                <w:color w:val="000000" w:themeColor="text1"/>
              </w:rPr>
              <w:t>2018年1分</w:t>
            </w:r>
            <w:r>
              <w:rPr>
                <w:rFonts w:ascii="宋体" w:hAnsi="宋体" w:cs="宋体"/>
                <w:color w:val="000000" w:themeColor="text1"/>
              </w:rPr>
              <w:t>，</w:t>
            </w:r>
            <w:r>
              <w:rPr>
                <w:rFonts w:hint="eastAsia" w:ascii="宋体" w:hAnsi="宋体" w:cs="宋体"/>
                <w:color w:val="000000" w:themeColor="text1"/>
              </w:rPr>
              <w:t>2017年0.5分，2016年</w:t>
            </w:r>
            <w:r>
              <w:rPr>
                <w:rFonts w:ascii="宋体" w:hAnsi="宋体" w:cs="宋体"/>
                <w:color w:val="000000" w:themeColor="text1"/>
              </w:rPr>
              <w:t>得</w:t>
            </w:r>
            <w:r>
              <w:rPr>
                <w:rFonts w:hint="eastAsia" w:ascii="宋体" w:hAnsi="宋体" w:cs="宋体"/>
                <w:color w:val="000000" w:themeColor="text1"/>
              </w:rPr>
              <w:t>0.3分</w:t>
            </w:r>
            <w:r>
              <w:rPr>
                <w:rFonts w:ascii="宋体" w:hAnsi="宋体" w:cs="宋体"/>
                <w:color w:val="000000" w:themeColor="text1"/>
              </w:rPr>
              <w:t>，</w:t>
            </w:r>
            <w:r>
              <w:rPr>
                <w:rFonts w:hint="eastAsia" w:ascii="宋体" w:hAnsi="宋体" w:cs="宋体"/>
                <w:color w:val="000000" w:themeColor="text1"/>
              </w:rPr>
              <w:t>2016年以前的不得分，最高</w:t>
            </w:r>
            <w:r>
              <w:rPr>
                <w:rFonts w:ascii="宋体" w:hAnsi="宋体" w:cs="宋体"/>
                <w:color w:val="000000" w:themeColor="text1"/>
              </w:rPr>
              <w:t>分</w:t>
            </w:r>
            <w:r>
              <w:rPr>
                <w:rFonts w:hint="eastAsia" w:ascii="宋体" w:hAnsi="宋体" w:cs="宋体"/>
                <w:color w:val="000000" w:themeColor="text1"/>
              </w:rPr>
              <w:t>10分</w:t>
            </w:r>
            <w:r>
              <w:rPr>
                <w:rFonts w:ascii="宋体" w:hAnsi="宋体" w:cs="宋体"/>
                <w:color w:val="000000" w:themeColor="text1"/>
              </w:rPr>
              <w:t>。</w:t>
            </w:r>
          </w:p>
          <w:p>
            <w:pPr>
              <w:rPr>
                <w:rFonts w:ascii="宋体" w:hAnsi="宋体" w:cs="宋体"/>
                <w:b/>
                <w:bCs/>
                <w:color w:val="000000" w:themeColor="text1"/>
              </w:rPr>
            </w:pPr>
            <w:r>
              <w:rPr>
                <w:rFonts w:hint="eastAsia" w:ascii="宋体" w:hAnsi="宋体" w:cs="宋体"/>
                <w:b/>
                <w:bCs/>
                <w:color w:val="000000" w:themeColor="text1"/>
              </w:rPr>
              <w:t>4.</w:t>
            </w:r>
            <w:r>
              <w:rPr>
                <w:rFonts w:ascii="宋体" w:hAnsi="宋体" w:cs="宋体"/>
                <w:b/>
                <w:bCs/>
                <w:color w:val="000000" w:themeColor="text1"/>
              </w:rPr>
              <w:t>交税凭证</w:t>
            </w:r>
            <w:r>
              <w:rPr>
                <w:rFonts w:hint="eastAsia" w:ascii="宋体" w:hAnsi="宋体" w:cs="宋体"/>
                <w:b/>
                <w:bCs/>
                <w:color w:val="000000" w:themeColor="text1"/>
              </w:rPr>
              <w:t>（5分）：</w:t>
            </w:r>
          </w:p>
          <w:p>
            <w:pPr>
              <w:ind w:firstLine="420" w:firstLineChars="200"/>
              <w:rPr>
                <w:rFonts w:ascii="宋体" w:hAnsi="宋体" w:cs="宋体"/>
                <w:bCs/>
                <w:color w:val="000000" w:themeColor="text1"/>
              </w:rPr>
            </w:pPr>
            <w:r>
              <w:rPr>
                <w:rFonts w:hint="eastAsia" w:ascii="宋体" w:hAnsi="宋体" w:cs="宋体"/>
                <w:bCs/>
                <w:color w:val="000000" w:themeColor="text1"/>
              </w:rPr>
              <w:t>按照2020年度缴费</w:t>
            </w:r>
            <w:r>
              <w:rPr>
                <w:rFonts w:ascii="宋体" w:hAnsi="宋体" w:cs="宋体"/>
                <w:bCs/>
                <w:color w:val="000000" w:themeColor="text1"/>
              </w:rPr>
              <w:t>金额从高到底排序，第</w:t>
            </w:r>
            <w:r>
              <w:rPr>
                <w:rFonts w:hint="eastAsia" w:ascii="宋体" w:hAnsi="宋体" w:cs="宋体"/>
                <w:bCs/>
                <w:color w:val="000000" w:themeColor="text1"/>
              </w:rPr>
              <w:t>1名5分</w:t>
            </w:r>
            <w:r>
              <w:rPr>
                <w:rFonts w:ascii="宋体" w:hAnsi="宋体" w:cs="宋体"/>
                <w:bCs/>
                <w:color w:val="000000" w:themeColor="text1"/>
              </w:rPr>
              <w:t>，</w:t>
            </w:r>
            <w:r>
              <w:rPr>
                <w:rFonts w:hint="eastAsia" w:ascii="宋体" w:hAnsi="宋体" w:cs="宋体"/>
                <w:bCs/>
                <w:color w:val="000000" w:themeColor="text1"/>
              </w:rPr>
              <w:t>第2名4.5分</w:t>
            </w:r>
            <w:r>
              <w:rPr>
                <w:rFonts w:ascii="宋体" w:hAnsi="宋体" w:cs="宋体"/>
                <w:bCs/>
                <w:color w:val="000000" w:themeColor="text1"/>
              </w:rPr>
              <w:t>，</w:t>
            </w:r>
            <w:r>
              <w:rPr>
                <w:rFonts w:hint="eastAsia" w:ascii="宋体" w:hAnsi="宋体" w:cs="宋体"/>
                <w:bCs/>
                <w:color w:val="000000" w:themeColor="text1"/>
              </w:rPr>
              <w:t>依次排序</w:t>
            </w:r>
            <w:r>
              <w:rPr>
                <w:rFonts w:ascii="宋体" w:hAnsi="宋体" w:cs="宋体"/>
                <w:bCs/>
                <w:color w:val="000000" w:themeColor="text1"/>
              </w:rPr>
              <w:t>，得分依次减</w:t>
            </w:r>
            <w:r>
              <w:rPr>
                <w:rFonts w:hint="eastAsia" w:ascii="宋体" w:hAnsi="宋体" w:cs="宋体"/>
                <w:bCs/>
                <w:color w:val="000000" w:themeColor="text1"/>
              </w:rPr>
              <w:t>0.5分，最低</w:t>
            </w:r>
            <w:r>
              <w:rPr>
                <w:rFonts w:ascii="宋体" w:hAnsi="宋体" w:cs="宋体"/>
                <w:bCs/>
                <w:color w:val="000000" w:themeColor="text1"/>
              </w:rPr>
              <w:t>得分</w:t>
            </w:r>
            <w:r>
              <w:rPr>
                <w:rFonts w:hint="eastAsia" w:ascii="宋体" w:hAnsi="宋体" w:cs="宋体"/>
                <w:bCs/>
                <w:color w:val="000000" w:themeColor="text1"/>
              </w:rPr>
              <w:t>0.5分</w:t>
            </w:r>
            <w:r>
              <w:rPr>
                <w:rFonts w:ascii="宋体" w:hAnsi="宋体" w:cs="宋体"/>
                <w:bCs/>
                <w:color w:val="000000" w:themeColor="text1"/>
              </w:rPr>
              <w:t>。</w:t>
            </w:r>
          </w:p>
          <w:p>
            <w:pPr>
              <w:rPr>
                <w:rFonts w:ascii="宋体" w:hAnsi="宋体" w:cs="宋体"/>
                <w:b/>
                <w:bCs/>
                <w:color w:val="000000" w:themeColor="text1"/>
                <w:lang w:val="zh-TW"/>
              </w:rPr>
            </w:pPr>
            <w:r>
              <w:rPr>
                <w:rFonts w:ascii="宋体" w:hAnsi="宋体" w:cs="宋体"/>
                <w:b/>
                <w:bCs/>
                <w:color w:val="000000" w:themeColor="text1"/>
              </w:rPr>
              <w:t>5.</w:t>
            </w:r>
            <w:r>
              <w:rPr>
                <w:rFonts w:hint="eastAsia" w:ascii="宋体" w:hAnsi="宋体" w:cs="宋体"/>
                <w:b/>
                <w:bCs/>
                <w:color w:val="000000" w:themeColor="text1"/>
                <w:lang w:val="zh-TW" w:eastAsia="zh-TW"/>
              </w:rPr>
              <w:t>驾驶员年龄及驾龄</w:t>
            </w:r>
            <w:r>
              <w:rPr>
                <w:rFonts w:hint="eastAsia" w:ascii="宋体" w:hAnsi="宋体" w:cs="宋体"/>
                <w:b/>
                <w:bCs/>
                <w:color w:val="000000" w:themeColor="text1"/>
                <w:lang w:val="zh-TW"/>
              </w:rPr>
              <w:t>（</w:t>
            </w:r>
            <w:r>
              <w:rPr>
                <w:rFonts w:hint="eastAsia" w:ascii="宋体" w:hAnsi="宋体" w:cs="宋体"/>
                <w:b/>
                <w:bCs/>
                <w:color w:val="000000" w:themeColor="text1"/>
              </w:rPr>
              <w:t>5分</w:t>
            </w:r>
            <w:r>
              <w:rPr>
                <w:rFonts w:hint="eastAsia" w:ascii="宋体" w:hAnsi="宋体" w:cs="宋体"/>
                <w:b/>
                <w:bCs/>
                <w:color w:val="000000" w:themeColor="text1"/>
                <w:lang w:val="zh-TW"/>
              </w:rPr>
              <w:t>）：</w:t>
            </w:r>
          </w:p>
          <w:p>
            <w:pPr>
              <w:ind w:firstLine="420" w:firstLineChars="200"/>
              <w:rPr>
                <w:rFonts w:ascii="宋体" w:hAnsi="宋体" w:cs="宋体"/>
                <w:color w:val="000000" w:themeColor="text1"/>
              </w:rPr>
            </w:pPr>
            <w:r>
              <w:rPr>
                <w:rFonts w:hint="eastAsia" w:ascii="宋体" w:hAnsi="宋体" w:cs="宋体"/>
                <w:color w:val="000000" w:themeColor="text1"/>
              </w:rPr>
              <w:t>将所有投标人在投标文件中提供的承诺用于本项目出车任务的驾驶员的年龄</w:t>
            </w:r>
            <w:r>
              <w:rPr>
                <w:rFonts w:ascii="宋体" w:hAnsi="宋体" w:cs="宋体"/>
                <w:color w:val="000000" w:themeColor="text1"/>
              </w:rPr>
              <w:t>必须在20</w:t>
            </w:r>
            <w:r>
              <w:rPr>
                <w:rFonts w:hint="eastAsia" w:ascii="宋体" w:hAnsi="宋体" w:cs="宋体"/>
                <w:color w:val="000000" w:themeColor="text1"/>
              </w:rPr>
              <w:t>周岁</w:t>
            </w:r>
            <w:r>
              <w:rPr>
                <w:rFonts w:ascii="宋体" w:hAnsi="宋体" w:cs="宋体"/>
                <w:color w:val="000000" w:themeColor="text1"/>
              </w:rPr>
              <w:t>-55</w:t>
            </w:r>
            <w:r>
              <w:rPr>
                <w:rFonts w:hint="eastAsia" w:ascii="宋体" w:hAnsi="宋体" w:cs="宋体"/>
                <w:color w:val="000000" w:themeColor="text1"/>
              </w:rPr>
              <w:t>周岁</w:t>
            </w:r>
            <w:r>
              <w:rPr>
                <w:rFonts w:ascii="宋体" w:hAnsi="宋体" w:cs="宋体"/>
                <w:color w:val="000000" w:themeColor="text1"/>
              </w:rPr>
              <w:t>之间</w:t>
            </w:r>
            <w:r>
              <w:rPr>
                <w:rFonts w:hint="eastAsia" w:ascii="宋体" w:hAnsi="宋体" w:cs="宋体"/>
                <w:color w:val="000000" w:themeColor="text1"/>
              </w:rPr>
              <w:t>，驾龄在</w:t>
            </w:r>
            <w:r>
              <w:rPr>
                <w:rFonts w:ascii="宋体" w:hAnsi="宋体" w:cs="宋体"/>
                <w:color w:val="000000" w:themeColor="text1"/>
              </w:rPr>
              <w:t>20-30</w:t>
            </w:r>
            <w:r>
              <w:rPr>
                <w:rFonts w:hint="eastAsia" w:ascii="宋体" w:hAnsi="宋体" w:cs="宋体"/>
                <w:color w:val="000000" w:themeColor="text1"/>
              </w:rPr>
              <w:t>（不</w:t>
            </w:r>
            <w:r>
              <w:rPr>
                <w:rFonts w:ascii="宋体" w:hAnsi="宋体" w:cs="宋体"/>
                <w:color w:val="000000" w:themeColor="text1"/>
              </w:rPr>
              <w:t>含20</w:t>
            </w:r>
            <w:r>
              <w:rPr>
                <w:rFonts w:hint="eastAsia" w:ascii="宋体" w:hAnsi="宋体" w:cs="宋体"/>
                <w:color w:val="000000" w:themeColor="text1"/>
              </w:rPr>
              <w:t>，</w:t>
            </w:r>
            <w:r>
              <w:rPr>
                <w:rFonts w:ascii="宋体" w:hAnsi="宋体" w:cs="宋体"/>
                <w:color w:val="000000" w:themeColor="text1"/>
              </w:rPr>
              <w:t>含</w:t>
            </w:r>
            <w:r>
              <w:rPr>
                <w:rFonts w:hint="eastAsia" w:ascii="宋体" w:hAnsi="宋体" w:cs="宋体"/>
                <w:color w:val="000000" w:themeColor="text1"/>
              </w:rPr>
              <w:t>30）年</w:t>
            </w:r>
            <w:r>
              <w:rPr>
                <w:rFonts w:ascii="宋体" w:hAnsi="宋体" w:cs="宋体"/>
                <w:color w:val="000000" w:themeColor="text1"/>
              </w:rPr>
              <w:t>之间的</w:t>
            </w:r>
            <w:r>
              <w:rPr>
                <w:rFonts w:hint="eastAsia" w:ascii="宋体" w:hAnsi="宋体" w:cs="宋体"/>
                <w:color w:val="000000" w:themeColor="text1"/>
              </w:rPr>
              <w:t>每1个</w:t>
            </w:r>
            <w:r>
              <w:rPr>
                <w:rFonts w:ascii="宋体" w:hAnsi="宋体" w:cs="宋体"/>
                <w:color w:val="000000" w:themeColor="text1"/>
              </w:rPr>
              <w:t>加</w:t>
            </w:r>
            <w:r>
              <w:rPr>
                <w:rFonts w:hint="eastAsia" w:ascii="宋体" w:hAnsi="宋体" w:cs="宋体"/>
                <w:color w:val="000000" w:themeColor="text1"/>
              </w:rPr>
              <w:t>1分；驾龄在</w:t>
            </w:r>
            <w:r>
              <w:rPr>
                <w:rFonts w:ascii="宋体" w:hAnsi="宋体" w:cs="宋体"/>
                <w:color w:val="000000" w:themeColor="text1"/>
              </w:rPr>
              <w:t>10-20</w:t>
            </w:r>
            <w:r>
              <w:rPr>
                <w:rFonts w:hint="eastAsia" w:ascii="宋体" w:hAnsi="宋体" w:cs="宋体"/>
                <w:color w:val="000000" w:themeColor="text1"/>
              </w:rPr>
              <w:t>（不</w:t>
            </w:r>
            <w:r>
              <w:rPr>
                <w:rFonts w:ascii="宋体" w:hAnsi="宋体" w:cs="宋体"/>
                <w:color w:val="000000" w:themeColor="text1"/>
              </w:rPr>
              <w:t>含10</w:t>
            </w:r>
            <w:r>
              <w:rPr>
                <w:rFonts w:hint="eastAsia" w:ascii="宋体" w:hAnsi="宋体" w:cs="宋体"/>
                <w:color w:val="000000" w:themeColor="text1"/>
              </w:rPr>
              <w:t>，</w:t>
            </w:r>
            <w:r>
              <w:rPr>
                <w:rFonts w:ascii="宋体" w:hAnsi="宋体" w:cs="宋体"/>
                <w:color w:val="000000" w:themeColor="text1"/>
              </w:rPr>
              <w:t>含20</w:t>
            </w:r>
            <w:r>
              <w:rPr>
                <w:rFonts w:hint="eastAsia" w:ascii="宋体" w:hAnsi="宋体" w:cs="宋体"/>
                <w:color w:val="000000" w:themeColor="text1"/>
              </w:rPr>
              <w:t>）年</w:t>
            </w:r>
            <w:r>
              <w:rPr>
                <w:rFonts w:ascii="宋体" w:hAnsi="宋体" w:cs="宋体"/>
                <w:color w:val="000000" w:themeColor="text1"/>
              </w:rPr>
              <w:t>之间的</w:t>
            </w:r>
            <w:r>
              <w:rPr>
                <w:rFonts w:hint="eastAsia" w:ascii="宋体" w:hAnsi="宋体" w:cs="宋体"/>
                <w:color w:val="000000" w:themeColor="text1"/>
              </w:rPr>
              <w:t>每1个</w:t>
            </w:r>
            <w:r>
              <w:rPr>
                <w:rFonts w:ascii="宋体" w:hAnsi="宋体" w:cs="宋体"/>
                <w:color w:val="000000" w:themeColor="text1"/>
              </w:rPr>
              <w:t>加0.</w:t>
            </w:r>
            <w:r>
              <w:rPr>
                <w:rFonts w:hint="eastAsia" w:ascii="宋体" w:hAnsi="宋体" w:cs="宋体"/>
                <w:color w:val="000000" w:themeColor="text1"/>
              </w:rPr>
              <w:t>5分；驾龄在</w:t>
            </w:r>
            <w:r>
              <w:rPr>
                <w:rFonts w:ascii="宋体" w:hAnsi="宋体" w:cs="宋体"/>
                <w:color w:val="000000" w:themeColor="text1"/>
              </w:rPr>
              <w:t>5-10</w:t>
            </w:r>
            <w:r>
              <w:rPr>
                <w:rFonts w:hint="eastAsia" w:ascii="宋体" w:hAnsi="宋体" w:cs="宋体"/>
                <w:color w:val="000000" w:themeColor="text1"/>
              </w:rPr>
              <w:t>（不</w:t>
            </w:r>
            <w:r>
              <w:rPr>
                <w:rFonts w:ascii="宋体" w:hAnsi="宋体" w:cs="宋体"/>
                <w:color w:val="000000" w:themeColor="text1"/>
              </w:rPr>
              <w:t>含5</w:t>
            </w:r>
            <w:r>
              <w:rPr>
                <w:rFonts w:hint="eastAsia" w:ascii="宋体" w:hAnsi="宋体" w:cs="宋体"/>
                <w:color w:val="000000" w:themeColor="text1"/>
              </w:rPr>
              <w:t>，</w:t>
            </w:r>
            <w:r>
              <w:rPr>
                <w:rFonts w:ascii="宋体" w:hAnsi="宋体" w:cs="宋体"/>
                <w:color w:val="000000" w:themeColor="text1"/>
              </w:rPr>
              <w:t>含10</w:t>
            </w:r>
            <w:r>
              <w:rPr>
                <w:rFonts w:hint="eastAsia" w:ascii="宋体" w:hAnsi="宋体" w:cs="宋体"/>
                <w:color w:val="000000" w:themeColor="text1"/>
              </w:rPr>
              <w:t>）年</w:t>
            </w:r>
            <w:r>
              <w:rPr>
                <w:rFonts w:ascii="宋体" w:hAnsi="宋体" w:cs="宋体"/>
                <w:color w:val="000000" w:themeColor="text1"/>
              </w:rPr>
              <w:t>之间的</w:t>
            </w:r>
            <w:r>
              <w:rPr>
                <w:rFonts w:hint="eastAsia" w:ascii="宋体" w:hAnsi="宋体" w:cs="宋体"/>
                <w:color w:val="000000" w:themeColor="text1"/>
              </w:rPr>
              <w:t>每1个</w:t>
            </w:r>
            <w:r>
              <w:rPr>
                <w:rFonts w:ascii="宋体" w:hAnsi="宋体" w:cs="宋体"/>
                <w:color w:val="000000" w:themeColor="text1"/>
              </w:rPr>
              <w:t>加0.</w:t>
            </w:r>
            <w:r>
              <w:rPr>
                <w:rFonts w:hint="eastAsia" w:ascii="宋体" w:hAnsi="宋体" w:cs="宋体"/>
                <w:color w:val="000000" w:themeColor="text1"/>
              </w:rPr>
              <w:t>2分；驾龄在</w:t>
            </w:r>
            <w:r>
              <w:rPr>
                <w:rFonts w:ascii="宋体" w:hAnsi="宋体" w:cs="宋体"/>
                <w:color w:val="000000" w:themeColor="text1"/>
              </w:rPr>
              <w:t>5</w:t>
            </w:r>
            <w:r>
              <w:rPr>
                <w:rFonts w:hint="eastAsia" w:ascii="宋体" w:hAnsi="宋体" w:cs="宋体"/>
                <w:color w:val="000000" w:themeColor="text1"/>
              </w:rPr>
              <w:t>年</w:t>
            </w:r>
            <w:r>
              <w:rPr>
                <w:rFonts w:ascii="宋体" w:hAnsi="宋体" w:cs="宋体"/>
                <w:color w:val="000000" w:themeColor="text1"/>
              </w:rPr>
              <w:t>及以下的每</w:t>
            </w:r>
            <w:r>
              <w:rPr>
                <w:rFonts w:hint="eastAsia" w:ascii="宋体" w:hAnsi="宋体" w:cs="宋体"/>
                <w:color w:val="000000" w:themeColor="text1"/>
              </w:rPr>
              <w:t>1个</w:t>
            </w:r>
            <w:r>
              <w:rPr>
                <w:rFonts w:ascii="宋体" w:hAnsi="宋体" w:cs="宋体"/>
                <w:color w:val="000000" w:themeColor="text1"/>
              </w:rPr>
              <w:t>加</w:t>
            </w:r>
            <w:r>
              <w:rPr>
                <w:rFonts w:hint="eastAsia" w:ascii="宋体" w:hAnsi="宋体" w:cs="宋体"/>
                <w:color w:val="000000" w:themeColor="text1"/>
              </w:rPr>
              <w:t>0.1分</w:t>
            </w:r>
            <w:r>
              <w:rPr>
                <w:rFonts w:ascii="宋体" w:hAnsi="宋体" w:cs="宋体"/>
                <w:color w:val="000000" w:themeColor="text1"/>
              </w:rPr>
              <w:t>。加满</w:t>
            </w:r>
            <w:r>
              <w:rPr>
                <w:rFonts w:hint="eastAsia" w:ascii="宋体" w:hAnsi="宋体" w:cs="宋体"/>
                <w:color w:val="000000" w:themeColor="text1"/>
              </w:rPr>
              <w:t>5分</w:t>
            </w:r>
            <w:r>
              <w:rPr>
                <w:rFonts w:ascii="宋体" w:hAnsi="宋体" w:cs="宋体"/>
                <w:color w:val="000000" w:themeColor="text1"/>
              </w:rPr>
              <w:t>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0" w:type="dxa"/>
            <w:tcBorders>
              <w:top w:val="single" w:color="auto" w:sz="4" w:space="0"/>
            </w:tcBorders>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价格分</w:t>
            </w:r>
          </w:p>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w:t>
            </w:r>
            <w:r>
              <w:rPr>
                <w:rFonts w:hint="eastAsia" w:ascii="宋体" w:hAnsi="宋体" w:cs="宋体"/>
                <w:color w:val="000000" w:themeColor="text1"/>
              </w:rPr>
              <w:t>5</w:t>
            </w:r>
            <w:r>
              <w:rPr>
                <w:rFonts w:ascii="宋体" w:hAnsi="宋体" w:cs="宋体"/>
                <w:color w:val="000000" w:themeColor="text1"/>
              </w:rPr>
              <w:t>0</w:t>
            </w:r>
            <w:r>
              <w:rPr>
                <w:rFonts w:hint="eastAsia" w:ascii="宋体" w:hAnsi="宋体" w:cs="宋体"/>
                <w:color w:val="000000" w:themeColor="text1"/>
                <w:lang w:val="zh-TW" w:eastAsia="zh-TW"/>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rPr>
            </w:pPr>
            <w:r>
              <w:rPr>
                <w:rFonts w:hint="eastAsia" w:ascii="宋体" w:hAnsi="宋体" w:cs="宋体"/>
                <w:color w:val="000000" w:themeColor="text1"/>
                <w:lang w:val="zh-TW"/>
              </w:rPr>
              <w:t>投标报价</w:t>
            </w:r>
          </w:p>
        </w:tc>
        <w:tc>
          <w:tcPr>
            <w:tcW w:w="780" w:type="dxa"/>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5</w:t>
            </w:r>
            <w:r>
              <w:rPr>
                <w:rFonts w:ascii="宋体" w:hAnsi="宋体" w:cs="宋体"/>
                <w:color w:val="000000" w:themeColor="text1"/>
              </w:rPr>
              <w:t>0</w:t>
            </w:r>
          </w:p>
        </w:tc>
        <w:tc>
          <w:tcPr>
            <w:tcW w:w="5952" w:type="dxa"/>
            <w:shd w:val="clear" w:color="auto" w:fill="auto"/>
            <w:vAlign w:val="center"/>
          </w:tcPr>
          <w:p>
            <w:pPr>
              <w:spacing w:line="340" w:lineRule="exact"/>
              <w:rPr>
                <w:rFonts w:ascii="宋体" w:hAnsi="宋体" w:cs="宋体"/>
                <w:color w:val="000000" w:themeColor="text1"/>
              </w:rPr>
            </w:pPr>
            <w:r>
              <w:rPr>
                <w:rFonts w:hint="eastAsia" w:ascii="宋体" w:hAnsi="宋体" w:cs="宋体"/>
                <w:color w:val="000000" w:themeColor="text1"/>
              </w:rPr>
              <w:t>以有效投标人的投标报价的算术平均值为 A 值 （若 7≤有效投标文件&lt;10 家时，去掉其中的一个最高价和一个最低价后取算术平均值为 A；若有效投标文件≥10 家时，去掉其中的二个最高价和二个最低价后取算术平均值为 A）。</w:t>
            </w:r>
          </w:p>
          <w:p>
            <w:pPr>
              <w:spacing w:line="340" w:lineRule="exact"/>
              <w:rPr>
                <w:rFonts w:ascii="宋体" w:hAnsi="宋体" w:cs="宋体"/>
                <w:color w:val="000000" w:themeColor="text1"/>
              </w:rPr>
            </w:pPr>
            <w:r>
              <w:rPr>
                <w:rFonts w:hint="eastAsia" w:ascii="宋体" w:hAnsi="宋体" w:cs="宋体"/>
                <w:color w:val="000000" w:themeColor="text1"/>
              </w:rPr>
              <w:t>评标基准价 =A×K，K 值在各分包开标前由投标人推选的代表随机抽取确定，K值的取值范围为: 95%、96%、97%、98%。</w:t>
            </w:r>
          </w:p>
          <w:p>
            <w:pPr>
              <w:spacing w:line="340" w:lineRule="exact"/>
              <w:rPr>
                <w:rFonts w:ascii="宋体" w:hAnsi="宋体" w:cs="宋体"/>
                <w:color w:val="000000" w:themeColor="text1"/>
              </w:rPr>
            </w:pPr>
            <w:r>
              <w:rPr>
                <w:rFonts w:hint="eastAsia" w:ascii="宋体" w:hAnsi="宋体" w:cs="宋体"/>
                <w:color w:val="000000" w:themeColor="text1"/>
              </w:rPr>
              <w:t>a.有效投标人的投标报价与评标基准价相等的，得满分 50 分。</w:t>
            </w:r>
          </w:p>
          <w:p>
            <w:pPr>
              <w:spacing w:line="340" w:lineRule="exact"/>
              <w:rPr>
                <w:rFonts w:ascii="宋体" w:hAnsi="宋体" w:cs="宋体"/>
                <w:color w:val="000000" w:themeColor="text1"/>
              </w:rPr>
            </w:pPr>
            <w:r>
              <w:rPr>
                <w:rFonts w:hint="eastAsia" w:ascii="宋体" w:hAnsi="宋体" w:cs="宋体"/>
                <w:color w:val="000000" w:themeColor="text1"/>
              </w:rPr>
              <w:t>b.有效投标人的投标报价高于评标基准价的，比评标基准价每高 1%，扣减 0.3 分，从50 分起扣，扣完为止，不足 1％按插入法计算。</w:t>
            </w:r>
          </w:p>
          <w:p>
            <w:pPr>
              <w:spacing w:line="340" w:lineRule="exact"/>
              <w:rPr>
                <w:rFonts w:ascii="宋体" w:hAnsi="宋体" w:cs="宋体"/>
                <w:color w:val="000000" w:themeColor="text1"/>
              </w:rPr>
            </w:pPr>
            <w:r>
              <w:rPr>
                <w:rFonts w:hint="eastAsia" w:ascii="宋体" w:hAnsi="宋体" w:cs="宋体"/>
                <w:color w:val="000000" w:themeColor="text1"/>
              </w:rPr>
              <w:t>c.有效投标人的投标报价低于评标基准价的，比评标基准价每低 1%，扣减 0.2 分，从 50 分起扣，扣完为止，不足 1％按插入法计算。</w:t>
            </w:r>
          </w:p>
          <w:p>
            <w:pPr>
              <w:spacing w:line="340" w:lineRule="exact"/>
              <w:ind w:firstLine="420" w:firstLineChars="200"/>
              <w:rPr>
                <w:rFonts w:ascii="宋体" w:hAnsi="宋体" w:cs="宋体"/>
                <w:color w:val="000000" w:themeColor="text1"/>
              </w:rPr>
            </w:pPr>
            <w:r>
              <w:rPr>
                <w:rFonts w:hint="eastAsia" w:ascii="宋体" w:hAnsi="宋体" w:cs="宋体"/>
                <w:color w:val="000000" w:themeColor="text1"/>
              </w:rPr>
              <w:t>各项统计、评分结果均按四舍五入方法精确到小数点后二位。</w:t>
            </w:r>
          </w:p>
          <w:p>
            <w:pPr>
              <w:ind w:firstLine="420" w:firstLineChars="200"/>
              <w:rPr>
                <w:rFonts w:ascii="宋体" w:hAnsi="宋体" w:cs="宋体"/>
                <w:color w:val="000000" w:themeColor="text1"/>
              </w:rPr>
            </w:pPr>
            <w:r>
              <w:rPr>
                <w:rFonts w:hint="eastAsia" w:ascii="宋体" w:hAnsi="宋体" w:cs="宋体"/>
                <w:color w:val="000000" w:themeColor="text1"/>
              </w:rPr>
              <w:t>各分包不同座位车辆租赁报价得分分别计算，最终得分为各项得分平均值。</w:t>
            </w:r>
          </w:p>
          <w:p>
            <w:pPr>
              <w:ind w:firstLine="420" w:firstLineChars="200"/>
              <w:rPr>
                <w:rFonts w:ascii="宋体" w:hAnsi="宋体" w:cs="宋体"/>
                <w:color w:val="000000" w:themeColor="text1"/>
              </w:rPr>
            </w:pPr>
            <w:r>
              <w:rPr>
                <w:rFonts w:ascii="宋体" w:hAnsi="宋体" w:cs="宋体"/>
                <w:color w:val="000000" w:themeColor="text1"/>
              </w:rPr>
              <w:t>为方便计分，同批次座位数量的不同品牌车辆，只能有一个报价</w:t>
            </w:r>
            <w:r>
              <w:rPr>
                <w:rFonts w:hint="eastAsia" w:ascii="宋体" w:hAnsi="宋体" w:cs="宋体"/>
                <w:color w:val="000000" w:themeColor="text1"/>
              </w:rPr>
              <w:t>，如出现多个报价 ，评委将有权选择对投标人不利的报价计算。</w:t>
            </w:r>
          </w:p>
          <w:p>
            <w:pPr>
              <w:ind w:firstLine="420" w:firstLineChars="200"/>
              <w:rPr>
                <w:rFonts w:ascii="宋体" w:hAnsi="宋体" w:cs="宋体"/>
                <w:color w:val="000000" w:themeColor="text1"/>
                <w:lang w:val="zh-TW"/>
              </w:rPr>
            </w:pPr>
            <w:r>
              <w:rPr>
                <w:rFonts w:hint="eastAsia" w:ascii="宋体" w:hAnsi="宋体" w:cs="宋体"/>
                <w:color w:val="000000" w:themeColor="text1"/>
              </w:rPr>
              <w:t>说明：上述的评标基准价不因评标后招投标当事人质疑、投诉、复议以及其它任何情形而改变（计算错误除外）</w:t>
            </w:r>
            <w:r>
              <w:rPr>
                <w:rFonts w:hint="eastAsia" w:ascii="宋体" w:hAnsi="宋体" w:cs="宋体"/>
                <w:color w:val="000000" w:themeColor="text1"/>
                <w:lang w:val="zh-TW" w:eastAsia="zh-TW"/>
              </w:rPr>
              <w:t>：</w:t>
            </w:r>
          </w:p>
          <w:p>
            <w:pPr>
              <w:ind w:firstLine="420" w:firstLineChars="200"/>
              <w:rPr>
                <w:rFonts w:ascii="宋体" w:hAnsi="宋体" w:cs="宋体"/>
                <w:color w:val="000000" w:themeColor="text1"/>
                <w:lang w:val="zh-TW"/>
              </w:rPr>
            </w:pPr>
          </w:p>
        </w:tc>
      </w:tr>
    </w:tbl>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说明： </w:t>
      </w:r>
    </w:p>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1、若供应商提供虚假资料，一经查实取消其中标候选人资格，并向相关主管部门汇报。</w:t>
      </w:r>
    </w:p>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2、中标单位不得转包、分包，如果发现有转包、分包情况，则取消其中标候选人资格，并向相关主管部门汇报。</w:t>
      </w:r>
    </w:p>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w:t>
      </w:r>
      <w:r>
        <w:rPr>
          <w:rFonts w:ascii="宋体" w:hAnsi="宋体" w:cs="宋体"/>
          <w:bCs/>
          <w:color w:val="000000" w:themeColor="text1"/>
          <w:sz w:val="24"/>
          <w:szCs w:val="24"/>
        </w:rPr>
        <w:t>为方便计分，同批次座位数量的车辆，只能有一个报价</w:t>
      </w:r>
      <w:r>
        <w:rPr>
          <w:rFonts w:hint="eastAsia" w:ascii="宋体" w:hAnsi="宋体" w:cs="宋体"/>
          <w:bCs/>
          <w:color w:val="000000" w:themeColor="text1"/>
          <w:sz w:val="24"/>
          <w:szCs w:val="24"/>
        </w:rPr>
        <w:t>，如出现多个报价 ，评委将有权选择对投标人不利的报价计算。</w:t>
      </w: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br w:type="page"/>
      </w:r>
    </w:p>
    <w:p>
      <w:pPr>
        <w:pStyle w:val="2"/>
        <w:rPr>
          <w:rFonts w:ascii="宋体" w:hAnsi="宋体" w:eastAsia="宋体" w:cs="宋体"/>
          <w:bCs/>
          <w:color w:val="000000" w:themeColor="text1"/>
          <w:sz w:val="44"/>
        </w:rPr>
      </w:pPr>
      <w:r>
        <w:rPr>
          <w:rFonts w:hint="eastAsia" w:ascii="宋体" w:hAnsi="宋体" w:eastAsia="宋体" w:cs="宋体"/>
          <w:bCs/>
          <w:color w:val="000000" w:themeColor="text1"/>
          <w:sz w:val="44"/>
        </w:rPr>
        <w:t>第六章  投标</w:t>
      </w:r>
      <w:bookmarkEnd w:id="169"/>
      <w:bookmarkEnd w:id="170"/>
      <w:bookmarkEnd w:id="171"/>
      <w:r>
        <w:rPr>
          <w:rFonts w:hint="eastAsia" w:ascii="宋体" w:hAnsi="宋体" w:eastAsia="宋体" w:cs="宋体"/>
          <w:bCs/>
          <w:color w:val="000000" w:themeColor="text1"/>
          <w:sz w:val="44"/>
        </w:rPr>
        <w:t xml:space="preserve">文件格式 </w:t>
      </w:r>
    </w:p>
    <w:p>
      <w:pPr>
        <w:jc w:val="right"/>
        <w:rPr>
          <w:rFonts w:ascii="宋体" w:hAnsi="宋体" w:cs="宋体"/>
          <w:b/>
          <w:color w:val="000000" w:themeColor="text1"/>
          <w:sz w:val="36"/>
        </w:rPr>
      </w:pPr>
      <w:bookmarkStart w:id="172" w:name="_Hlt26671244"/>
      <w:bookmarkEnd w:id="172"/>
      <w:bookmarkStart w:id="173" w:name="_Hlt26955039"/>
      <w:bookmarkEnd w:id="173"/>
      <w:bookmarkStart w:id="174" w:name="_Toc26554094"/>
      <w:bookmarkStart w:id="175" w:name="_Toc49090576"/>
      <w:bookmarkStart w:id="176" w:name="_Toc120614282"/>
    </w:p>
    <w:p>
      <w:pPr>
        <w:jc w:val="right"/>
        <w:rPr>
          <w:rFonts w:ascii="宋体" w:hAnsi="宋体" w:cs="宋体"/>
          <w:b/>
          <w:color w:val="000000" w:themeColor="text1"/>
          <w:sz w:val="72"/>
        </w:rPr>
      </w:pPr>
      <w:r>
        <w:rPr>
          <w:rFonts w:hint="eastAsia" w:ascii="宋体" w:hAnsi="宋体" w:cs="宋体"/>
          <w:b/>
          <w:color w:val="000000" w:themeColor="text1"/>
          <w:sz w:val="36"/>
        </w:rPr>
        <w:t>（正或副本）</w:t>
      </w:r>
    </w:p>
    <w:p>
      <w:pPr>
        <w:jc w:val="center"/>
        <w:rPr>
          <w:rFonts w:ascii="宋体" w:hAnsi="宋体" w:cs="宋体"/>
          <w:b/>
          <w:color w:val="000000" w:themeColor="text1"/>
          <w:sz w:val="72"/>
        </w:rPr>
      </w:pPr>
    </w:p>
    <w:p>
      <w:pPr>
        <w:jc w:val="center"/>
        <w:rPr>
          <w:rFonts w:ascii="宋体" w:hAnsi="宋体" w:cs="宋体"/>
          <w:b/>
          <w:color w:val="000000" w:themeColor="text1"/>
          <w:sz w:val="72"/>
        </w:rPr>
      </w:pPr>
      <w:r>
        <w:rPr>
          <w:rFonts w:hint="eastAsia" w:ascii="宋体" w:hAnsi="宋体" w:cs="宋体"/>
          <w:b/>
          <w:color w:val="000000" w:themeColor="text1"/>
          <w:sz w:val="72"/>
        </w:rPr>
        <w:t>投  标  文  件</w:t>
      </w:r>
    </w:p>
    <w:p>
      <w:pPr>
        <w:ind w:firstLine="1080" w:firstLineChars="300"/>
        <w:jc w:val="center"/>
        <w:rPr>
          <w:rFonts w:ascii="宋体" w:hAnsi="宋体" w:cs="宋体"/>
          <w:b/>
          <w:color w:val="000000" w:themeColor="text1"/>
          <w:sz w:val="36"/>
        </w:rPr>
      </w:pPr>
    </w:p>
    <w:p>
      <w:pPr>
        <w:jc w:val="center"/>
        <w:rPr>
          <w:rFonts w:ascii="宋体" w:hAnsi="宋体" w:cs="宋体"/>
          <w:b/>
          <w:color w:val="000000" w:themeColor="text1"/>
          <w:sz w:val="32"/>
          <w:szCs w:val="32"/>
        </w:rPr>
      </w:pPr>
      <w:r>
        <w:rPr>
          <w:rFonts w:hint="eastAsia" w:ascii="宋体" w:hAnsi="宋体" w:cs="宋体"/>
          <w:b/>
          <w:color w:val="000000" w:themeColor="text1"/>
          <w:sz w:val="32"/>
          <w:szCs w:val="32"/>
        </w:rPr>
        <w:t>（分包）</w:t>
      </w: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ind w:firstLine="1080" w:firstLineChars="300"/>
        <w:rPr>
          <w:rFonts w:ascii="宋体" w:hAnsi="宋体" w:cs="宋体"/>
          <w:b/>
          <w:color w:val="000000" w:themeColor="text1"/>
          <w:sz w:val="36"/>
        </w:rPr>
      </w:pPr>
      <w:r>
        <w:rPr>
          <w:rFonts w:hint="eastAsia" w:ascii="宋体" w:hAnsi="宋体" w:cs="宋体"/>
          <w:b/>
          <w:color w:val="000000" w:themeColor="text1"/>
          <w:sz w:val="36"/>
        </w:rPr>
        <w:t>项 目 名 称：</w:t>
      </w:r>
    </w:p>
    <w:p>
      <w:pPr>
        <w:ind w:firstLine="1080" w:firstLineChars="300"/>
        <w:rPr>
          <w:rFonts w:ascii="宋体" w:hAnsi="宋体" w:cs="宋体"/>
          <w:b/>
          <w:color w:val="000000" w:themeColor="text1"/>
          <w:sz w:val="36"/>
          <w:u w:val="single"/>
        </w:rPr>
      </w:pPr>
      <w:r>
        <w:rPr>
          <w:rFonts w:hint="eastAsia" w:ascii="宋体" w:hAnsi="宋体" w:cs="宋体"/>
          <w:b/>
          <w:color w:val="000000" w:themeColor="text1"/>
          <w:sz w:val="36"/>
        </w:rPr>
        <w:t>招 标 编 号：</w:t>
      </w:r>
    </w:p>
    <w:p>
      <w:pPr>
        <w:rPr>
          <w:rFonts w:ascii="宋体" w:hAnsi="宋体" w:cs="宋体"/>
          <w:b/>
          <w:color w:val="000000" w:themeColor="text1"/>
          <w:sz w:val="36"/>
          <w:u w:val="single"/>
        </w:rPr>
      </w:pPr>
      <w:r>
        <w:rPr>
          <w:rFonts w:hint="eastAsia" w:ascii="宋体" w:hAnsi="宋体" w:cs="宋体"/>
          <w:b/>
          <w:color w:val="000000" w:themeColor="text1"/>
          <w:sz w:val="36"/>
        </w:rPr>
        <w:t xml:space="preserve">      投标人名称 ：</w:t>
      </w:r>
    </w:p>
    <w:p>
      <w:pPr>
        <w:rPr>
          <w:rFonts w:ascii="宋体" w:hAnsi="宋体" w:cs="宋体"/>
          <w:b/>
          <w:color w:val="000000" w:themeColor="text1"/>
          <w:sz w:val="36"/>
        </w:rPr>
      </w:pPr>
      <w:r>
        <w:rPr>
          <w:rFonts w:hint="eastAsia" w:ascii="宋体" w:hAnsi="宋体" w:cs="宋体"/>
          <w:b/>
          <w:color w:val="000000" w:themeColor="text1"/>
          <w:sz w:val="36"/>
        </w:rPr>
        <w:t xml:space="preserve">      日      期 ：</w:t>
      </w:r>
    </w:p>
    <w:p>
      <w:pPr>
        <w:spacing w:line="440" w:lineRule="exact"/>
        <w:jc w:val="center"/>
        <w:rPr>
          <w:rFonts w:ascii="宋体" w:hAnsi="宋体" w:cs="宋体"/>
          <w:b/>
          <w:bCs/>
          <w:color w:val="000000" w:themeColor="text1"/>
          <w:sz w:val="32"/>
          <w:szCs w:val="32"/>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jc w:val="center"/>
        <w:rPr>
          <w:rFonts w:ascii="宋体" w:hAnsi="宋体" w:cs="宋体"/>
          <w:b/>
          <w:color w:val="000000" w:themeColor="text1"/>
          <w:sz w:val="30"/>
          <w:szCs w:val="30"/>
        </w:rPr>
      </w:pPr>
      <w:r>
        <w:rPr>
          <w:rFonts w:hint="eastAsia" w:ascii="宋体" w:hAns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61"/>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61"/>
              <w:shd w:val="clear" w:color="auto" w:fill="FFFFFF"/>
              <w:spacing w:line="265" w:lineRule="atLeast"/>
              <w:ind w:left="420"/>
              <w:jc w:val="both"/>
              <w:rPr>
                <w:rFonts w:ascii="宋体" w:hAnsi="宋体" w:cs="宋体"/>
                <w:b/>
                <w:color w:val="000000" w:themeColor="text1"/>
                <w:lang w:eastAsia="zh-CN"/>
              </w:rPr>
            </w:pPr>
          </w:p>
        </w:tc>
        <w:tc>
          <w:tcPr>
            <w:tcW w:w="3570" w:type="dxa"/>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61"/>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61"/>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61"/>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61"/>
              <w:shd w:val="clear" w:color="auto" w:fill="FFFFFF"/>
              <w:spacing w:line="265" w:lineRule="atLeast"/>
              <w:ind w:left="420"/>
              <w:rPr>
                <w:rFonts w:ascii="宋体" w:hAnsi="宋体" w:cs="宋体"/>
                <w:b/>
                <w:bCs/>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61"/>
              <w:shd w:val="clear" w:color="auto" w:fill="FFFFFF"/>
              <w:spacing w:line="265" w:lineRule="atLeast"/>
              <w:ind w:left="420"/>
              <w:rPr>
                <w:rFonts w:ascii="宋体" w:hAnsi="宋体" w:cs="宋体"/>
                <w:b/>
                <w:bCs/>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61"/>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61"/>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61"/>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tcPr>
          <w:p>
            <w:pPr>
              <w:rPr>
                <w:rFonts w:ascii="宋体" w:hAnsi="宋体" w:cs="宋体"/>
                <w:color w:val="000000" w:themeColor="text1"/>
              </w:rPr>
            </w:pPr>
          </w:p>
        </w:tc>
      </w:tr>
    </w:tbl>
    <w:p>
      <w:pPr>
        <w:rPr>
          <w:rFonts w:ascii="宋体" w:hAnsi="宋体" w:cs="宋体"/>
          <w:color w:val="000000" w:themeColor="text1"/>
        </w:rPr>
      </w:pPr>
    </w:p>
    <w:p>
      <w:pPr>
        <w:ind w:firstLine="1080" w:firstLineChars="300"/>
        <w:jc w:val="center"/>
        <w:rPr>
          <w:rFonts w:ascii="宋体" w:hAnsi="宋体" w:cs="宋体"/>
          <w:b/>
          <w:bCs/>
          <w:color w:val="000000" w:themeColor="text1"/>
          <w:sz w:val="32"/>
          <w:szCs w:val="32"/>
        </w:rPr>
      </w:pPr>
      <w:r>
        <w:rPr>
          <w:rFonts w:hint="eastAsia" w:ascii="宋体" w:hAnsi="宋体" w:cs="宋体"/>
          <w:b/>
          <w:color w:val="000000" w:themeColor="text1"/>
          <w:sz w:val="36"/>
          <w:u w:val="single"/>
        </w:rPr>
        <w:br w:type="page"/>
      </w:r>
      <w:r>
        <w:rPr>
          <w:rFonts w:hint="eastAsia" w:ascii="宋体" w:hAnsi="宋体" w:cs="宋体"/>
          <w:b/>
          <w:bCs/>
          <w:color w:val="000000" w:themeColor="text1"/>
          <w:sz w:val="32"/>
          <w:szCs w:val="32"/>
        </w:rPr>
        <w:t>投标主要文件目录</w:t>
      </w:r>
    </w:p>
    <w:p>
      <w:pPr>
        <w:spacing w:line="440" w:lineRule="exact"/>
        <w:jc w:val="center"/>
        <w:rPr>
          <w:rFonts w:ascii="宋体" w:hAnsi="宋体" w:cs="宋体"/>
          <w:b/>
          <w:bCs/>
          <w:color w:val="000000" w:themeColor="text1"/>
          <w:sz w:val="32"/>
          <w:szCs w:val="32"/>
        </w:rPr>
      </w:pPr>
    </w:p>
    <w:p>
      <w:pPr>
        <w:ind w:firstLine="480" w:firstLineChars="200"/>
        <w:rPr>
          <w:rFonts w:ascii="宋体" w:hAnsi="宋体" w:cs="宋体"/>
          <w:color w:val="000000" w:themeColor="text1"/>
          <w:sz w:val="24"/>
        </w:rPr>
      </w:pPr>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p>
    <w:p>
      <w:pPr>
        <w:ind w:firstLine="480" w:firstLineChars="200"/>
        <w:rPr>
          <w:rFonts w:ascii="宋体" w:hAnsi="宋体" w:cs="宋体"/>
          <w:color w:val="000000" w:themeColor="text1"/>
          <w:sz w:val="24"/>
        </w:rPr>
      </w:pPr>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p>
    <w:p>
      <w:pPr>
        <w:ind w:firstLine="480" w:firstLineChars="200"/>
        <w:rPr>
          <w:rFonts w:ascii="宋体" w:hAnsi="宋体" w:cs="宋体"/>
          <w:bCs/>
          <w:color w:val="000000" w:themeColor="text1"/>
          <w:sz w:val="24"/>
        </w:rPr>
      </w:pPr>
      <w:r>
        <w:rPr>
          <w:rFonts w:hint="eastAsia" w:ascii="宋体" w:hAnsi="宋体" w:cs="宋体"/>
          <w:color w:val="000000" w:themeColor="text1"/>
          <w:sz w:val="24"/>
        </w:rPr>
        <w:t>三、符合性检查响应对照表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四、投标函</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六、投标配置与分项报价表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七</w:t>
      </w:r>
      <w:r>
        <w:rPr>
          <w:rFonts w:hint="eastAsia" w:ascii="宋体" w:hAnsi="宋体" w:cs="宋体"/>
          <w:color w:val="000000" w:themeColor="text1"/>
          <w:sz w:val="24"/>
          <w:szCs w:val="24"/>
        </w:rPr>
        <w:t>、</w:t>
      </w:r>
      <w:r>
        <w:rPr>
          <w:rFonts w:hint="eastAsia" w:ascii="宋体" w:hAnsi="宋体" w:cs="宋体"/>
          <w:color w:val="000000" w:themeColor="text1"/>
          <w:sz w:val="24"/>
        </w:rPr>
        <w:t>商务条款响应及偏离表</w:t>
      </w:r>
    </w:p>
    <w:p>
      <w:pPr>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八、技术方案、服务承诺等</w:t>
      </w: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napToGrid w:val="0"/>
        <w:spacing w:before="50" w:after="50"/>
        <w:jc w:val="center"/>
        <w:rPr>
          <w:rFonts w:ascii="宋体" w:hAnsi="宋体" w:cs="宋体"/>
          <w:b/>
          <w:bCs/>
          <w:color w:val="000000" w:themeColor="text1"/>
          <w:sz w:val="32"/>
          <w:szCs w:val="32"/>
        </w:rPr>
      </w:pPr>
      <w:r>
        <w:rPr>
          <w:rFonts w:hint="eastAsia" w:ascii="宋体" w:hAnsi="宋体" w:cs="宋体"/>
          <w:color w:val="000000" w:themeColor="text1"/>
          <w:sz w:val="24"/>
        </w:rPr>
        <w:br w:type="page"/>
      </w:r>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p>
    <w:p>
      <w:pPr>
        <w:snapToGrid w:val="0"/>
        <w:spacing w:before="50" w:after="50"/>
        <w:rPr>
          <w:rFonts w:ascii="宋体" w:hAnsi="宋体" w:cs="宋体"/>
          <w:i/>
          <w:color w:val="000000" w:themeColor="text1"/>
          <w:szCs w:val="24"/>
          <w:u w:val="single"/>
        </w:rPr>
      </w:pPr>
    </w:p>
    <w:p>
      <w:pPr>
        <w:snapToGrid w:val="0"/>
        <w:spacing w:before="50" w:after="5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上一年度财务状况报告（复印件，成立不满一年不需提供）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具备履行合同所必需的设备和专业技术能力证明材料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4"/>
        <w:adjustRightInd w:val="0"/>
        <w:snapToGrid w:val="0"/>
        <w:spacing w:line="360" w:lineRule="auto"/>
        <w:rPr>
          <w:rFonts w:ascii="宋体" w:hAnsi="宋体" w:cs="宋体"/>
          <w:color w:val="000000" w:themeColor="text1"/>
          <w:sz w:val="24"/>
          <w:szCs w:val="24"/>
        </w:rPr>
      </w:pPr>
    </w:p>
    <w:p>
      <w:pPr>
        <w:pStyle w:val="4"/>
        <w:adjustRightInd w:val="0"/>
        <w:snapToGrid w:val="0"/>
        <w:spacing w:line="360" w:lineRule="auto"/>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4"/>
        <w:spacing w:line="0" w:lineRule="atLeast"/>
        <w:rPr>
          <w:rFonts w:ascii="宋体" w:hAnsi="宋体" w:cs="宋体"/>
          <w:color w:val="000000" w:themeColor="text1"/>
          <w:sz w:val="24"/>
          <w:szCs w:val="24"/>
        </w:rPr>
      </w:pPr>
    </w:p>
    <w:p>
      <w:pPr>
        <w:pStyle w:val="5"/>
        <w:jc w:val="center"/>
        <w:rPr>
          <w:rFonts w:ascii="宋体" w:hAnsi="宋体" w:cs="宋体"/>
          <w:b w:val="0"/>
          <w:bCs w:val="0"/>
          <w:color w:val="000000" w:themeColor="text1"/>
          <w:sz w:val="30"/>
          <w:szCs w:val="30"/>
        </w:rPr>
      </w:pPr>
      <w:r>
        <w:rPr>
          <w:rFonts w:hint="eastAsia" w:ascii="宋体" w:hAnsi="宋体" w:cs="宋体"/>
          <w:color w:val="000000" w:themeColor="text1"/>
          <w:sz w:val="24"/>
          <w:szCs w:val="24"/>
        </w:rPr>
        <w:t>具备履行合同所必需的设备和专业技术能力的书面声明</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主要设备有：</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主要专业技术能力有：</w:t>
      </w:r>
    </w:p>
    <w:p>
      <w:pPr>
        <w:spacing w:line="460" w:lineRule="exact"/>
        <w:ind w:firstLine="492"/>
        <w:rPr>
          <w:rFonts w:ascii="宋体" w:hAnsi="宋体" w:cs="宋体"/>
          <w:bCs/>
          <w:color w:val="000000" w:themeColor="text1"/>
          <w:sz w:val="24"/>
        </w:rPr>
      </w:pPr>
    </w:p>
    <w:p>
      <w:pPr>
        <w:spacing w:line="460" w:lineRule="exact"/>
        <w:ind w:firstLine="492"/>
        <w:rPr>
          <w:rFonts w:ascii="宋体" w:hAnsi="宋体" w:cs="宋体"/>
          <w:bCs/>
          <w:color w:val="000000" w:themeColor="text1"/>
          <w:sz w:val="24"/>
        </w:rPr>
      </w:pPr>
    </w:p>
    <w:p>
      <w:pPr>
        <w:spacing w:line="460" w:lineRule="exact"/>
        <w:ind w:firstLine="492"/>
        <w:rPr>
          <w:rFonts w:ascii="宋体" w:hAnsi="宋体" w:cs="宋体"/>
          <w:bCs/>
          <w:color w:val="000000" w:themeColor="text1"/>
          <w:sz w:val="24"/>
        </w:rPr>
      </w:pP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供应商名称（公章）：</w:t>
      </w: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日期：年月日</w:t>
      </w:r>
    </w:p>
    <w:p>
      <w:pPr>
        <w:pStyle w:val="5"/>
        <w:jc w:val="center"/>
        <w:rPr>
          <w:rFonts w:ascii="宋体" w:hAnsi="宋体" w:cs="宋体"/>
          <w:color w:val="000000" w:themeColor="text1"/>
          <w:sz w:val="24"/>
          <w:szCs w:val="24"/>
        </w:rPr>
      </w:pPr>
      <w:r>
        <w:rPr>
          <w:rFonts w:hint="eastAsia" w:ascii="宋体" w:hAnsi="宋体" w:cs="宋体"/>
          <w:color w:val="000000" w:themeColor="text1"/>
        </w:rPr>
        <w:br w:type="page"/>
      </w:r>
      <w:r>
        <w:rPr>
          <w:rFonts w:hint="eastAsia" w:ascii="宋体" w:hAnsi="宋体" w:cs="宋体"/>
          <w:color w:val="000000" w:themeColor="text1"/>
          <w:sz w:val="24"/>
          <w:szCs w:val="24"/>
        </w:rPr>
        <w:t>参加政府采购活动前 3 年内在经营活动中没有重大违法记录的书面声明</w:t>
      </w:r>
    </w:p>
    <w:p>
      <w:pPr>
        <w:spacing w:line="460" w:lineRule="exact"/>
        <w:rPr>
          <w:rFonts w:ascii="宋体" w:hAnsi="宋体" w:cs="宋体"/>
          <w:b/>
          <w:bCs/>
          <w:color w:val="000000" w:themeColor="text1"/>
          <w:sz w:val="44"/>
          <w:szCs w:val="44"/>
        </w:rPr>
      </w:pPr>
    </w:p>
    <w:p>
      <w:pPr>
        <w:spacing w:line="460" w:lineRule="exact"/>
        <w:rPr>
          <w:rFonts w:ascii="宋体" w:hAnsi="宋体" w:cs="宋体"/>
          <w:b/>
          <w:bCs/>
          <w:color w:val="000000" w:themeColor="text1"/>
          <w:sz w:val="44"/>
          <w:szCs w:val="44"/>
        </w:rPr>
      </w:pPr>
      <w:r>
        <w:rPr>
          <w:rFonts w:hint="eastAsia" w:ascii="宋体" w:hAnsi="宋体" w:cs="宋体"/>
          <w:b/>
          <w:bCs/>
          <w:color w:val="000000" w:themeColor="text1"/>
          <w:sz w:val="44"/>
          <w:szCs w:val="44"/>
        </w:rPr>
        <w:t xml:space="preserve">                   声  明</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供应商名称（公章）：</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授权代表签字：</w:t>
      </w:r>
      <w:r>
        <w:rPr>
          <w:rFonts w:hint="eastAsia" w:ascii="宋体" w:hAnsi="宋体" w:cs="宋体"/>
          <w:bCs/>
          <w:color w:val="000000" w:themeColor="text1"/>
          <w:sz w:val="24"/>
          <w:u w:val="single"/>
        </w:rPr>
        <w:t>______________</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日期：</w:t>
      </w:r>
      <w:r>
        <w:rPr>
          <w:rFonts w:hint="eastAsia" w:ascii="宋体" w:hAnsi="宋体" w:cs="宋体"/>
          <w:bCs/>
          <w:color w:val="000000" w:themeColor="text1"/>
          <w:sz w:val="24"/>
          <w:u w:val="single"/>
        </w:rPr>
        <w:t>______</w:t>
      </w:r>
      <w:r>
        <w:rPr>
          <w:rFonts w:hint="eastAsia" w:ascii="宋体" w:hAnsi="宋体" w:cs="宋体"/>
          <w:bCs/>
          <w:color w:val="000000" w:themeColor="text1"/>
          <w:sz w:val="24"/>
        </w:rPr>
        <w:t>年</w:t>
      </w:r>
      <w:r>
        <w:rPr>
          <w:rFonts w:hint="eastAsia" w:ascii="宋体" w:hAnsi="宋体" w:cs="宋体"/>
          <w:bCs/>
          <w:color w:val="000000" w:themeColor="text1"/>
          <w:sz w:val="24"/>
          <w:u w:val="single"/>
        </w:rPr>
        <w:t>______</w:t>
      </w:r>
      <w:r>
        <w:rPr>
          <w:rFonts w:hint="eastAsia" w:ascii="宋体" w:hAnsi="宋体" w:cs="宋体"/>
          <w:bCs/>
          <w:color w:val="000000" w:themeColor="text1"/>
          <w:sz w:val="24"/>
        </w:rPr>
        <w:t>月</w:t>
      </w:r>
      <w:r>
        <w:rPr>
          <w:rFonts w:hint="eastAsia" w:ascii="宋体" w:hAnsi="宋体" w:cs="宋体"/>
          <w:bCs/>
          <w:color w:val="000000" w:themeColor="text1"/>
          <w:sz w:val="24"/>
          <w:u w:val="single"/>
        </w:rPr>
        <w:t>______</w:t>
      </w:r>
      <w:r>
        <w:rPr>
          <w:rFonts w:hint="eastAsia" w:ascii="宋体" w:hAnsi="宋体" w:cs="宋体"/>
          <w:bCs/>
          <w:color w:val="000000" w:themeColor="text1"/>
          <w:sz w:val="24"/>
        </w:rPr>
        <w:t>日</w:t>
      </w: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widowControl/>
        <w:jc w:val="left"/>
        <w:rPr>
          <w:rFonts w:ascii="宋体" w:hAnsi="宋体" w:cs="宋体"/>
          <w:bCs/>
          <w:color w:val="000000" w:themeColor="text1"/>
          <w:sz w:val="24"/>
        </w:rPr>
      </w:pPr>
      <w:r>
        <w:rPr>
          <w:rFonts w:ascii="宋体" w:hAnsi="宋体" w:cs="宋体"/>
          <w:bCs/>
          <w:color w:val="000000" w:themeColor="text1"/>
          <w:sz w:val="24"/>
        </w:rPr>
        <w:br w:type="page"/>
      </w:r>
    </w:p>
    <w:p>
      <w:pPr>
        <w:spacing w:line="460" w:lineRule="exact"/>
        <w:rPr>
          <w:rFonts w:ascii="宋体" w:hAnsi="宋体" w:cs="宋体"/>
          <w:bCs/>
          <w:color w:val="000000" w:themeColor="text1"/>
          <w:sz w:val="24"/>
        </w:rPr>
      </w:pPr>
    </w:p>
    <w:p>
      <w:pPr>
        <w:pStyle w:val="5"/>
        <w:jc w:val="center"/>
        <w:rPr>
          <w:rFonts w:ascii="宋体" w:hAnsi="宋体" w:cs="宋体"/>
          <w:color w:val="000000" w:themeColor="text1"/>
          <w:sz w:val="24"/>
          <w:szCs w:val="24"/>
        </w:rPr>
      </w:pPr>
      <w:r>
        <w:rPr>
          <w:rFonts w:hint="eastAsia" w:ascii="宋体" w:hAnsi="宋体" w:cs="宋体"/>
          <w:color w:val="000000" w:themeColor="text1"/>
          <w:sz w:val="24"/>
          <w:szCs w:val="24"/>
        </w:rPr>
        <w:t>法人授权书</w:t>
      </w:r>
    </w:p>
    <w:p>
      <w:pPr>
        <w:pStyle w:val="8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color w:val="000000" w:themeColor="text1"/>
          <w:sz w:val="24"/>
          <w:szCs w:val="24"/>
          <w:u w:val="single"/>
          <w:lang w:eastAsia="zh-CN"/>
        </w:rPr>
        <w:t>2020-054W-</w:t>
      </w:r>
      <w:r>
        <w:rPr>
          <w:rFonts w:hint="eastAsia" w:ascii="宋体" w:hAnsi="宋体" w:cs="宋体"/>
          <w:color w:val="000000" w:themeColor="text1"/>
          <w:sz w:val="24"/>
          <w:szCs w:val="24"/>
          <w:u w:val="single"/>
          <w:lang w:val="en-US" w:eastAsia="zh-CN"/>
        </w:rPr>
        <w:t>2</w:t>
      </w:r>
      <w:r>
        <w:rPr>
          <w:rFonts w:hint="eastAsia" w:ascii="宋体" w:hAnsi="宋体" w:cs="宋体"/>
          <w:color w:val="000000" w:themeColor="text1"/>
          <w:sz w:val="24"/>
          <w:szCs w:val="24"/>
        </w:rPr>
        <w:t>号项目采购活动的合法代理人，以本公司名义全权处理一切与该项目采购有关的事务。</w:t>
      </w:r>
    </w:p>
    <w:p>
      <w:pPr>
        <w:pStyle w:val="8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8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86"/>
        <w:ind w:firstLine="0" w:firstLineChars="0"/>
        <w:rPr>
          <w:rFonts w:ascii="宋体" w:hAnsi="宋体" w:cs="宋体"/>
          <w:color w:val="000000" w:themeColor="text1"/>
          <w:sz w:val="24"/>
          <w:szCs w:val="24"/>
        </w:rPr>
      </w:pPr>
    </w:p>
    <w:p>
      <w:pPr>
        <w:pStyle w:val="8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6"/>
        <w:ind w:firstLine="480"/>
        <w:rPr>
          <w:rFonts w:ascii="宋体" w:hAnsi="宋体" w:cs="宋体"/>
          <w:color w:val="000000" w:themeColor="text1"/>
          <w:sz w:val="24"/>
          <w:szCs w:val="24"/>
        </w:rPr>
      </w:pPr>
    </w:p>
    <w:p>
      <w:pPr>
        <w:pStyle w:val="8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8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6"/>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8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5"/>
        <w:rPr>
          <w:rFonts w:ascii="宋体" w:hAnsi="宋体" w:cs="宋体"/>
          <w:color w:val="000000" w:themeColor="text1"/>
        </w:rPr>
      </w:pPr>
      <w:bookmarkStart w:id="177" w:name="_Hlt26955070"/>
      <w:bookmarkEnd w:id="177"/>
      <w:bookmarkStart w:id="178" w:name="_格式3__银行出具的资信证明"/>
      <w:bookmarkEnd w:id="178"/>
      <w:bookmarkStart w:id="179" w:name="_Hlt26671380"/>
      <w:bookmarkEnd w:id="179"/>
    </w:p>
    <w:p>
      <w:pPr>
        <w:pStyle w:val="4"/>
        <w:rPr>
          <w:rFonts w:ascii="宋体" w:hAnsi="宋体" w:cs="宋体"/>
          <w:color w:val="000000" w:themeColor="text1"/>
        </w:rPr>
      </w:pPr>
    </w:p>
    <w:p>
      <w:pPr>
        <w:pStyle w:val="4"/>
        <w:rPr>
          <w:rFonts w:ascii="宋体" w:hAnsi="宋体" w:cs="宋体"/>
          <w:color w:val="000000" w:themeColor="text1"/>
        </w:rPr>
      </w:pPr>
    </w:p>
    <w:p>
      <w:pPr>
        <w:pStyle w:val="4"/>
        <w:rPr>
          <w:rFonts w:ascii="宋体" w:hAnsi="宋体" w:cs="宋体"/>
          <w:color w:val="000000" w:themeColor="text1"/>
        </w:rPr>
      </w:pPr>
    </w:p>
    <w:p>
      <w:pPr>
        <w:pStyle w:val="4"/>
        <w:rPr>
          <w:rFonts w:ascii="宋体" w:hAnsi="宋体" w:cs="宋体"/>
          <w:color w:val="000000" w:themeColor="text1"/>
        </w:rPr>
      </w:pPr>
    </w:p>
    <w:p>
      <w:pPr>
        <w:pStyle w:val="4"/>
        <w:rPr>
          <w:rFonts w:ascii="宋体" w:hAnsi="宋体" w:cs="宋体"/>
          <w:color w:val="000000" w:themeColor="text1"/>
        </w:rPr>
      </w:pPr>
    </w:p>
    <w:p>
      <w:pPr>
        <w:pStyle w:val="4"/>
        <w:rPr>
          <w:rFonts w:ascii="宋体" w:hAnsi="宋体" w:cs="宋体"/>
          <w:color w:val="000000" w:themeColor="text1"/>
        </w:rPr>
      </w:pPr>
    </w:p>
    <w:p>
      <w:pPr>
        <w:pStyle w:val="4"/>
        <w:rPr>
          <w:rFonts w:ascii="宋体" w:hAnsi="宋体" w:cs="宋体"/>
          <w:color w:val="000000" w:themeColor="text1"/>
        </w:rPr>
      </w:pPr>
    </w:p>
    <w:p>
      <w:pPr>
        <w:pStyle w:val="4"/>
        <w:rPr>
          <w:rFonts w:ascii="宋体" w:hAnsi="宋体" w:cs="宋体"/>
          <w:color w:val="000000" w:themeColor="text1"/>
        </w:rPr>
      </w:pPr>
    </w:p>
    <w:p>
      <w:pPr>
        <w:pStyle w:val="4"/>
        <w:rPr>
          <w:rFonts w:ascii="宋体" w:hAnsi="宋体" w:cs="宋体"/>
          <w:color w:val="000000" w:themeColor="text1"/>
        </w:rPr>
      </w:pPr>
    </w:p>
    <w:p>
      <w:pPr>
        <w:pStyle w:val="4"/>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napToGrid w:val="0"/>
        <w:spacing w:before="50" w:after="50"/>
        <w:jc w:val="center"/>
        <w:rPr>
          <w:rFonts w:ascii="宋体" w:hAnsi="宋体" w:cs="宋体"/>
          <w:color w:val="000000" w:themeColor="text1"/>
          <w:sz w:val="32"/>
          <w:szCs w:val="32"/>
        </w:rPr>
      </w:pPr>
      <w:r>
        <w:rPr>
          <w:rFonts w:hint="eastAsia" w:ascii="宋体" w:hAnsi="宋体" w:cs="宋体"/>
          <w:b/>
          <w:color w:val="000000" w:themeColor="text1"/>
          <w:sz w:val="32"/>
          <w:szCs w:val="32"/>
        </w:rPr>
        <w:br w:type="page"/>
      </w:r>
      <w:r>
        <w:rPr>
          <w:rFonts w:hint="eastAsia" w:ascii="宋体" w:hAnsi="宋体" w:cs="宋体"/>
          <w:color w:val="000000" w:themeColor="text1"/>
          <w:sz w:val="32"/>
          <w:szCs w:val="32"/>
        </w:rPr>
        <w:t>二、资格性审查响应对照表（格式）</w:t>
      </w:r>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rPr>
            </w:pPr>
            <w:r>
              <w:rPr>
                <w:rFonts w:hint="eastAsia" w:ascii="宋体" w:hAnsi="宋体" w:cs="宋体"/>
                <w:b/>
                <w:color w:val="000000" w:themeColor="text1"/>
              </w:rPr>
              <w:t>1</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b/>
                <w:color w:val="000000" w:themeColor="text1"/>
              </w:rPr>
            </w:pPr>
          </w:p>
        </w:tc>
        <w:tc>
          <w:tcPr>
            <w:tcW w:w="1785" w:type="dxa"/>
            <w:vAlign w:val="center"/>
          </w:tcPr>
          <w:p>
            <w:pP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2</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3</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4</w:t>
            </w:r>
          </w:p>
        </w:tc>
        <w:tc>
          <w:tcPr>
            <w:tcW w:w="5447" w:type="dxa"/>
            <w:vAlign w:val="center"/>
          </w:tcPr>
          <w:p>
            <w:pPr>
              <w:spacing w:line="360" w:lineRule="auto"/>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5</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6</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7</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bookmarkEnd w:id="174"/>
    <w:bookmarkEnd w:id="175"/>
    <w:bookmarkEnd w:id="176"/>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三、符合性检查响应对照表（格式）</w:t>
      </w:r>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rPr>
            </w:pPr>
            <w:r>
              <w:rPr>
                <w:rFonts w:hint="eastAsia" w:ascii="宋体" w:hAnsi="宋体" w:cs="宋体"/>
                <w:b/>
                <w:color w:val="000000" w:themeColor="text1"/>
              </w:rPr>
              <w:t>1</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b/>
                <w:color w:val="000000" w:themeColor="text1"/>
              </w:rPr>
            </w:pPr>
          </w:p>
        </w:tc>
        <w:tc>
          <w:tcPr>
            <w:tcW w:w="1785" w:type="dxa"/>
            <w:vAlign w:val="center"/>
          </w:tcPr>
          <w:p>
            <w:pP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2</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3</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4</w:t>
            </w:r>
          </w:p>
        </w:tc>
        <w:tc>
          <w:tcPr>
            <w:tcW w:w="5447" w:type="dxa"/>
            <w:vAlign w:val="center"/>
          </w:tcPr>
          <w:p>
            <w:pPr>
              <w:spacing w:line="360" w:lineRule="auto"/>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5</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6</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7</w:t>
            </w:r>
          </w:p>
        </w:tc>
        <w:tc>
          <w:tcPr>
            <w:tcW w:w="5447" w:type="dxa"/>
            <w:vAlign w:val="center"/>
          </w:tcPr>
          <w:p>
            <w:pPr>
              <w:snapToGrid w:val="0"/>
              <w:spacing w:line="590" w:lineRule="atLeast"/>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24"/>
          <w:szCs w:val="24"/>
        </w:rPr>
      </w:pPr>
      <w:bookmarkStart w:id="180" w:name="_Toc120614284"/>
    </w:p>
    <w:p>
      <w:pPr>
        <w:pStyle w:val="53"/>
        <w:rPr>
          <w:color w:val="000000" w:themeColor="text1"/>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四、投标函（格式）</w:t>
      </w:r>
    </w:p>
    <w:p>
      <w:pPr>
        <w:pStyle w:val="70"/>
        <w:spacing w:before="0" w:after="0" w:line="420" w:lineRule="exact"/>
        <w:ind w:firstLine="0"/>
        <w:rPr>
          <w:rFonts w:ascii="宋体" w:hAnsi="宋体" w:cs="宋体"/>
          <w:color w:val="000000" w:themeColor="text1"/>
          <w:kern w:val="2"/>
          <w:szCs w:val="21"/>
        </w:rPr>
      </w:pPr>
      <w:r>
        <w:rPr>
          <w:rFonts w:hint="eastAsia" w:ascii="宋体" w:hAnsi="宋体" w:cs="宋体"/>
          <w:color w:val="000000" w:themeColor="text1"/>
          <w:kern w:val="2"/>
          <w:szCs w:val="21"/>
        </w:rPr>
        <w:t>致：</w:t>
      </w:r>
      <w:r>
        <w:rPr>
          <w:rFonts w:hint="eastAsia" w:ascii="宋体" w:hAnsi="宋体" w:cs="宋体"/>
          <w:color w:val="000000" w:themeColor="text1"/>
          <w:kern w:val="2"/>
          <w:szCs w:val="21"/>
          <w:u w:val="single"/>
        </w:rPr>
        <w:t>盐城工业职业技术学院</w:t>
      </w:r>
    </w:p>
    <w:p>
      <w:pPr>
        <w:pStyle w:val="70"/>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根据贵方的 </w:t>
      </w:r>
      <w:r>
        <w:rPr>
          <w:rFonts w:hint="eastAsia" w:ascii="宋体" w:hAnsi="宋体" w:cs="宋体"/>
          <w:color w:val="000000" w:themeColor="text1"/>
          <w:kern w:val="2"/>
          <w:szCs w:val="21"/>
          <w:u w:val="single"/>
          <w:lang w:eastAsia="zh-CN"/>
        </w:rPr>
        <w:t>2020-054W-</w:t>
      </w:r>
      <w:r>
        <w:rPr>
          <w:rFonts w:hint="eastAsia" w:ascii="宋体" w:hAnsi="宋体" w:cs="宋体"/>
          <w:color w:val="000000" w:themeColor="text1"/>
          <w:kern w:val="2"/>
          <w:szCs w:val="21"/>
          <w:u w:val="single"/>
          <w:lang w:val="en-US" w:eastAsia="zh-CN"/>
        </w:rPr>
        <w:t>2</w:t>
      </w:r>
      <w:r>
        <w:rPr>
          <w:rFonts w:hint="eastAsia" w:ascii="宋体" w:hAnsi="宋体" w:cs="宋体"/>
          <w:color w:val="000000" w:themeColor="text1"/>
          <w:kern w:val="2"/>
          <w:szCs w:val="21"/>
        </w:rPr>
        <w:t>号招标文件，正式授权下述签字人_________________(姓名)代表我方______________（投标人的名称），全权处理本次项目投标的有关事宜。</w:t>
      </w:r>
    </w:p>
    <w:p>
      <w:pPr>
        <w:pStyle w:val="70"/>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据此函，__________签字人兹宣布同意如下：</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1.按招标文件规定的各项要求，向买方提供所需货物与服务。</w:t>
      </w:r>
    </w:p>
    <w:p>
      <w:pPr>
        <w:pStyle w:val="70"/>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2.我们完全理解贵方不一定将合同授予最低报价的投标人。</w:t>
      </w:r>
    </w:p>
    <w:p>
      <w:pPr>
        <w:pStyle w:val="70"/>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4.我们同意从规定的开标日期起遵循本投标文件，并在规定的投标有效期期满之前均具有约束力。</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70"/>
        <w:spacing w:before="0" w:after="0" w:line="420" w:lineRule="exact"/>
        <w:ind w:left="425" w:firstLine="0"/>
        <w:rPr>
          <w:rFonts w:ascii="宋体" w:hAnsi="宋体" w:cs="宋体"/>
          <w:color w:val="000000" w:themeColor="text1"/>
          <w:kern w:val="2"/>
          <w:szCs w:val="21"/>
        </w:rPr>
      </w:pPr>
      <w:r>
        <w:rPr>
          <w:rFonts w:hint="eastAsia" w:ascii="宋体" w:hAnsi="宋体" w:cs="宋体"/>
          <w:color w:val="000000" w:themeColor="text1"/>
          <w:kern w:val="2"/>
          <w:szCs w:val="21"/>
        </w:rPr>
        <w:t>8.与本投标有关的正式通讯地址为：</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地          址：</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邮          编：</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电          话：</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传          真：</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投标人开户行：</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账户： </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投标人授权代表姓名（签字）： </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投标人名称（公章）： </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日           期：_____年____月____日</w:t>
      </w:r>
    </w:p>
    <w:p>
      <w:pPr>
        <w:snapToGrid w:val="0"/>
        <w:spacing w:before="50" w:afterLines="50"/>
        <w:jc w:val="left"/>
        <w:rPr>
          <w:rFonts w:ascii="宋体" w:hAnsi="宋体" w:cs="宋体"/>
          <w:color w:val="000000" w:themeColor="text1"/>
          <w:sz w:val="24"/>
          <w:szCs w:val="20"/>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widowControl/>
        <w:jc w:val="left"/>
        <w:rPr>
          <w:rFonts w:ascii="宋体" w:hAnsi="宋体" w:cs="宋体"/>
          <w:color w:val="000000" w:themeColor="text1"/>
          <w:sz w:val="32"/>
          <w:szCs w:val="32"/>
        </w:rPr>
      </w:pPr>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五、开标一览表（格式）</w:t>
      </w:r>
    </w:p>
    <w:p>
      <w:pPr>
        <w:snapToGrid w:val="0"/>
        <w:spacing w:before="50" w:after="50"/>
        <w:jc w:val="center"/>
        <w:rPr>
          <w:rFonts w:ascii="宋体" w:hAnsi="宋体" w:cs="宋体"/>
          <w:color w:val="000000" w:themeColor="text1"/>
          <w:sz w:val="32"/>
          <w:szCs w:val="32"/>
        </w:rPr>
      </w:pPr>
    </w:p>
    <w:tbl>
      <w:tblPr>
        <w:tblStyle w:val="45"/>
        <w:tblW w:w="90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2700" w:type="dxa"/>
            <w:vAlign w:val="center"/>
          </w:tcPr>
          <w:p>
            <w:pPr>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项 目 编 号</w:t>
            </w:r>
          </w:p>
        </w:tc>
        <w:tc>
          <w:tcPr>
            <w:tcW w:w="6307" w:type="dxa"/>
            <w:vAlign w:val="center"/>
          </w:tcPr>
          <w:p>
            <w:pPr>
              <w:pStyle w:val="3"/>
              <w:spacing w:line="240" w:lineRule="auto"/>
              <w:jc w:val="both"/>
              <w:rPr>
                <w:rFonts w:hint="default" w:ascii="宋体" w:hAnsi="宋体" w:eastAsia="宋体" w:cs="宋体"/>
                <w:color w:val="000000" w:themeColor="text1"/>
                <w:sz w:val="28"/>
                <w:szCs w:val="28"/>
                <w:u w:val="single"/>
                <w:lang w:val="en-US" w:eastAsia="zh-CN"/>
              </w:rPr>
            </w:pPr>
            <w:r>
              <w:rPr>
                <w:rFonts w:hint="eastAsia" w:ascii="宋体" w:hAnsi="宋体" w:eastAsia="宋体" w:cs="宋体"/>
                <w:color w:val="000000" w:themeColor="text1"/>
                <w:sz w:val="24"/>
                <w:szCs w:val="24"/>
                <w:lang w:eastAsia="zh-CN"/>
              </w:rPr>
              <w:t>2020-054W-</w:t>
            </w:r>
            <w:r>
              <w:rPr>
                <w:rFonts w:hint="eastAsia" w:ascii="宋体" w:hAnsi="宋体" w:eastAsia="宋体" w:cs="宋体"/>
                <w:color w:val="000000" w:themeColor="text1"/>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2700" w:type="dxa"/>
            <w:vAlign w:val="center"/>
          </w:tcPr>
          <w:p>
            <w:pPr>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项 目 名 称</w:t>
            </w:r>
          </w:p>
        </w:tc>
        <w:tc>
          <w:tcPr>
            <w:tcW w:w="6307" w:type="dxa"/>
            <w:vAlign w:val="center"/>
          </w:tcPr>
          <w:p>
            <w:pPr>
              <w:pStyle w:val="3"/>
              <w:spacing w:line="24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盐城工业职业技术学院车辆租赁服务项目</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val="en-US" w:eastAsia="zh-CN"/>
              </w:rPr>
              <w:t>二次</w:t>
            </w:r>
            <w:r>
              <w:rPr>
                <w:rFonts w:hint="eastAsia" w:ascii="宋体" w:hAnsi="宋体" w:eastAsia="宋体" w:cs="宋体"/>
                <w:color w:val="000000" w:themeColor="text1"/>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jc w:val="center"/>
        </w:trPr>
        <w:tc>
          <w:tcPr>
            <w:tcW w:w="9007" w:type="dxa"/>
            <w:gridSpan w:val="2"/>
            <w:vAlign w:val="center"/>
          </w:tcPr>
          <w:p>
            <w:pPr>
              <w:jc w:val="left"/>
              <w:rPr>
                <w:rFonts w:ascii="宋体" w:hAnsi="宋体" w:cs="宋体"/>
                <w:color w:val="000000" w:themeColor="text1"/>
                <w:sz w:val="24"/>
              </w:rPr>
            </w:pPr>
            <w:r>
              <w:rPr>
                <w:rFonts w:hint="eastAsia" w:ascii="宋体" w:hAnsi="宋体" w:cs="宋体"/>
                <w:b/>
                <w:bCs/>
                <w:color w:val="000000" w:themeColor="text1"/>
                <w:sz w:val="24"/>
                <w:szCs w:val="24"/>
              </w:rPr>
              <w:t>项目投标报价：详见投标产品配置及分项报价表。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9007" w:type="dxa"/>
            <w:gridSpan w:val="2"/>
            <w:vAlign w:val="center"/>
          </w:tcPr>
          <w:p>
            <w:pPr>
              <w:rPr>
                <w:rFonts w:ascii="宋体" w:hAnsi="宋体" w:cs="宋体"/>
                <w:b/>
                <w:bCs/>
                <w:color w:val="000000" w:themeColor="text1"/>
                <w:szCs w:val="28"/>
              </w:rPr>
            </w:pPr>
            <w:r>
              <w:rPr>
                <w:rFonts w:hint="eastAsia" w:ascii="宋体" w:hAnsi="宋体" w:cs="宋体"/>
                <w:b/>
                <w:bCs/>
                <w:color w:val="000000" w:themeColor="text1"/>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ascii="宋体" w:hAnsi="宋体" w:cs="宋体"/>
                <w:b/>
                <w:bCs/>
                <w:color w:val="000000" w:themeColor="text1"/>
                <w:szCs w:val="28"/>
              </w:rPr>
            </w:pPr>
            <w:r>
              <w:rPr>
                <w:rFonts w:hint="eastAsia" w:ascii="宋体" w:hAnsi="宋体" w:cs="宋体"/>
                <w:b/>
                <w:bCs/>
                <w:color w:val="000000" w:themeColor="text1"/>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9007" w:type="dxa"/>
            <w:gridSpan w:val="2"/>
            <w:vAlign w:val="center"/>
          </w:tcPr>
          <w:p>
            <w:pPr>
              <w:rPr>
                <w:rFonts w:ascii="宋体" w:hAnsi="宋体" w:cs="宋体"/>
                <w:color w:val="000000" w:themeColor="text1"/>
                <w:szCs w:val="28"/>
              </w:rPr>
            </w:pPr>
            <w:r>
              <w:rPr>
                <w:rFonts w:hint="eastAsia" w:ascii="宋体" w:hAnsi="宋体" w:cs="宋体"/>
                <w:b/>
                <w:bCs/>
                <w:color w:val="000000" w:themeColor="text1"/>
                <w:szCs w:val="28"/>
              </w:rPr>
              <w:t>保证金形式：</w:t>
            </w:r>
          </w:p>
        </w:tc>
      </w:tr>
    </w:tbl>
    <w:p>
      <w:pPr>
        <w:rPr>
          <w:rFonts w:ascii="宋体" w:hAnsi="宋体" w:cs="宋体"/>
          <w:color w:val="000000" w:themeColor="text1"/>
          <w:sz w:val="24"/>
        </w:rPr>
      </w:pPr>
      <w:r>
        <w:rPr>
          <w:rFonts w:hint="eastAsia" w:ascii="宋体" w:hAnsi="宋体" w:cs="宋体"/>
          <w:color w:val="000000" w:themeColor="text1"/>
          <w:sz w:val="24"/>
        </w:rPr>
        <w:t>填写说明：</w:t>
      </w:r>
    </w:p>
    <w:p>
      <w:pPr>
        <w:ind w:firstLine="480" w:firstLineChars="200"/>
        <w:rPr>
          <w:rFonts w:ascii="宋体" w:hAnsi="宋体" w:cs="宋体"/>
          <w:color w:val="000000" w:themeColor="text1"/>
          <w:sz w:val="24"/>
        </w:rPr>
      </w:pPr>
      <w:r>
        <w:rPr>
          <w:rFonts w:hint="eastAsia" w:ascii="宋体" w:hAnsi="宋体" w:cs="宋体"/>
          <w:color w:val="000000" w:themeColor="text1"/>
          <w:sz w:val="24"/>
        </w:rPr>
        <w:t>1、开标一览表不得填报选择性报价，否则将作为无效投标。</w:t>
      </w:r>
    </w:p>
    <w:p>
      <w:pPr>
        <w:ind w:firstLine="480" w:firstLineChars="200"/>
        <w:rPr>
          <w:rFonts w:ascii="宋体" w:hAnsi="宋体" w:cs="宋体"/>
          <w:color w:val="000000" w:themeColor="text1"/>
          <w:sz w:val="24"/>
        </w:rPr>
      </w:pPr>
      <w:r>
        <w:rPr>
          <w:rFonts w:hint="eastAsia" w:ascii="宋体" w:hAnsi="宋体" w:cs="宋体"/>
          <w:color w:val="000000" w:themeColor="text1"/>
          <w:sz w:val="24"/>
        </w:rPr>
        <w:t>2、开标一览表中报价与投标分项明细报价表中不符时，以开标一览表为准。</w:t>
      </w:r>
    </w:p>
    <w:p>
      <w:pPr>
        <w:rPr>
          <w:rFonts w:ascii="宋体" w:hAnsi="宋体" w:cs="宋体"/>
          <w:color w:val="000000" w:themeColor="text1"/>
          <w:sz w:val="24"/>
        </w:rPr>
      </w:pPr>
    </w:p>
    <w:p>
      <w:pPr>
        <w:ind w:firstLine="480"/>
        <w:rPr>
          <w:rFonts w:ascii="宋体" w:hAnsi="宋体" w:cs="宋体"/>
          <w:color w:val="000000" w:themeColor="text1"/>
          <w:sz w:val="24"/>
        </w:rPr>
      </w:pPr>
    </w:p>
    <w:p>
      <w:pPr>
        <w:ind w:firstLine="480"/>
        <w:jc w:val="right"/>
        <w:rPr>
          <w:rFonts w:ascii="宋体" w:hAns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hAnsi="宋体" w:cs="宋体"/>
          <w:color w:val="000000" w:themeColor="text1"/>
          <w:sz w:val="24"/>
        </w:rPr>
      </w:pPr>
      <w:r>
        <w:rPr>
          <w:rFonts w:hint="eastAsia" w:ascii="宋体" w:hAnsi="宋体" w:cs="宋体"/>
          <w:color w:val="000000" w:themeColor="text1"/>
          <w:sz w:val="24"/>
        </w:rPr>
        <w:t xml:space="preserve">                                              日期：    年  月   日</w:t>
      </w: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jc w:val="center"/>
        <w:rPr>
          <w:rFonts w:ascii="宋体" w:hAnsi="宋体" w:cs="宋体"/>
          <w:b/>
          <w:bCs/>
          <w:color w:val="000000" w:themeColor="text1"/>
          <w:sz w:val="32"/>
          <w:szCs w:val="32"/>
        </w:rPr>
      </w:pPr>
    </w:p>
    <w:p>
      <w:pPr>
        <w:snapToGrid w:val="0"/>
        <w:spacing w:before="50" w:after="50"/>
        <w:jc w:val="center"/>
        <w:rPr>
          <w:rFonts w:ascii="宋体" w:hAnsi="宋体" w:cs="宋体"/>
          <w:b/>
          <w:bCs/>
          <w:color w:val="000000" w:themeColor="text1"/>
          <w:sz w:val="32"/>
          <w:szCs w:val="32"/>
        </w:rPr>
      </w:pPr>
    </w:p>
    <w:p>
      <w:pPr>
        <w:snapToGrid w:val="0"/>
        <w:spacing w:before="50" w:after="50"/>
        <w:jc w:val="center"/>
        <w:rPr>
          <w:rFonts w:ascii="宋体" w:hAnsi="宋体" w:cs="宋体"/>
          <w:b/>
          <w:bCs/>
          <w:color w:val="000000" w:themeColor="text1"/>
          <w:sz w:val="32"/>
          <w:szCs w:val="32"/>
        </w:rPr>
      </w:pPr>
    </w:p>
    <w:p>
      <w:pPr>
        <w:snapToGrid w:val="0"/>
        <w:spacing w:before="50" w:after="50"/>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六、投标产品配置及分项报价表</w:t>
      </w:r>
    </w:p>
    <w:p>
      <w:pPr>
        <w:pStyle w:val="44"/>
        <w:rPr>
          <w:color w:val="000000" w:themeColor="text1"/>
        </w:rPr>
      </w:pPr>
    </w:p>
    <w:tbl>
      <w:tblPr>
        <w:tblStyle w:val="46"/>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16"/>
        <w:gridCol w:w="1681"/>
        <w:gridCol w:w="1843"/>
        <w:gridCol w:w="1822"/>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9168" w:type="dxa"/>
            <w:gridSpan w:val="6"/>
            <w:noWrap/>
            <w:vAlign w:val="center"/>
          </w:tcPr>
          <w:p>
            <w:pPr>
              <w:pStyle w:val="44"/>
              <w:jc w:val="center"/>
              <w:rPr>
                <w:color w:val="000000" w:themeColor="text1"/>
              </w:rPr>
            </w:pPr>
            <w:r>
              <w:rPr>
                <w:rFonts w:hint="eastAsia"/>
                <w:color w:val="000000" w:themeColor="text1"/>
              </w:rPr>
              <w:t>分包</w:t>
            </w:r>
            <w:r>
              <w:rPr>
                <w:color w:val="000000" w:themeColor="text1"/>
              </w:rPr>
              <w:t>一：车辆租赁公司报价清单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08" w:type="dxa"/>
            <w:vMerge w:val="restart"/>
            <w:noWrap/>
            <w:vAlign w:val="center"/>
          </w:tcPr>
          <w:p>
            <w:pPr>
              <w:pStyle w:val="44"/>
              <w:ind w:firstLine="0" w:firstLineChars="0"/>
              <w:jc w:val="center"/>
              <w:rPr>
                <w:color w:val="000000" w:themeColor="text1"/>
              </w:rPr>
            </w:pPr>
            <w:r>
              <w:rPr>
                <w:rFonts w:hint="eastAsia"/>
                <w:color w:val="000000" w:themeColor="text1"/>
              </w:rPr>
              <w:t>序号</w:t>
            </w:r>
          </w:p>
        </w:tc>
        <w:tc>
          <w:tcPr>
            <w:tcW w:w="1816" w:type="dxa"/>
            <w:vMerge w:val="restart"/>
            <w:noWrap/>
            <w:vAlign w:val="center"/>
          </w:tcPr>
          <w:p>
            <w:pPr>
              <w:pStyle w:val="44"/>
              <w:ind w:firstLine="0" w:firstLineChars="0"/>
              <w:jc w:val="center"/>
              <w:rPr>
                <w:color w:val="000000" w:themeColor="text1"/>
              </w:rPr>
            </w:pPr>
            <w:r>
              <w:rPr>
                <w:rFonts w:hint="eastAsia"/>
                <w:color w:val="000000" w:themeColor="text1"/>
              </w:rPr>
              <w:t>车型品牌</w:t>
            </w:r>
          </w:p>
        </w:tc>
        <w:tc>
          <w:tcPr>
            <w:tcW w:w="1681" w:type="dxa"/>
            <w:vMerge w:val="restart"/>
            <w:noWrap/>
            <w:vAlign w:val="center"/>
          </w:tcPr>
          <w:p>
            <w:pPr>
              <w:pStyle w:val="44"/>
              <w:ind w:firstLine="0" w:firstLineChars="0"/>
              <w:jc w:val="center"/>
              <w:rPr>
                <w:color w:val="000000" w:themeColor="text1"/>
              </w:rPr>
            </w:pPr>
            <w:r>
              <w:rPr>
                <w:rFonts w:hint="eastAsia"/>
                <w:color w:val="000000" w:themeColor="text1"/>
              </w:rPr>
              <w:t>座位数</w:t>
            </w:r>
          </w:p>
        </w:tc>
        <w:tc>
          <w:tcPr>
            <w:tcW w:w="1843" w:type="dxa"/>
            <w:vMerge w:val="restart"/>
            <w:vAlign w:val="center"/>
          </w:tcPr>
          <w:p>
            <w:pPr>
              <w:pStyle w:val="44"/>
              <w:ind w:firstLine="0" w:firstLineChars="0"/>
              <w:jc w:val="center"/>
              <w:rPr>
                <w:color w:val="000000" w:themeColor="text1"/>
              </w:rPr>
            </w:pPr>
            <w:r>
              <w:rPr>
                <w:rFonts w:hint="eastAsia"/>
                <w:color w:val="000000" w:themeColor="text1"/>
              </w:rPr>
              <w:t>油费（元/公里）</w:t>
            </w:r>
          </w:p>
        </w:tc>
        <w:tc>
          <w:tcPr>
            <w:tcW w:w="1822" w:type="dxa"/>
            <w:vMerge w:val="restart"/>
            <w:vAlign w:val="center"/>
          </w:tcPr>
          <w:p>
            <w:pPr>
              <w:pStyle w:val="44"/>
              <w:ind w:firstLine="0" w:firstLineChars="0"/>
              <w:jc w:val="center"/>
              <w:rPr>
                <w:color w:val="000000" w:themeColor="text1"/>
              </w:rPr>
            </w:pPr>
            <w:r>
              <w:rPr>
                <w:rFonts w:hint="eastAsia"/>
                <w:color w:val="000000" w:themeColor="text1"/>
              </w:rPr>
              <w:t>车辆租金（元/天）</w:t>
            </w:r>
          </w:p>
        </w:tc>
        <w:tc>
          <w:tcPr>
            <w:tcW w:w="998" w:type="dxa"/>
            <w:vMerge w:val="restart"/>
            <w:noWrap/>
            <w:vAlign w:val="center"/>
          </w:tcPr>
          <w:p>
            <w:pPr>
              <w:pStyle w:val="44"/>
              <w:ind w:firstLine="0" w:firstLineChars="0"/>
              <w:jc w:val="center"/>
              <w:rPr>
                <w:color w:val="000000" w:themeColor="text1"/>
              </w:rPr>
            </w:pPr>
            <w:r>
              <w:rPr>
                <w:rFonts w:hint="eastAsia"/>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8" w:type="dxa"/>
            <w:vMerge w:val="continue"/>
            <w:noWrap/>
            <w:vAlign w:val="center"/>
          </w:tcPr>
          <w:p>
            <w:pPr>
              <w:pStyle w:val="44"/>
              <w:jc w:val="center"/>
              <w:rPr>
                <w:color w:val="000000" w:themeColor="text1"/>
              </w:rPr>
            </w:pPr>
          </w:p>
        </w:tc>
        <w:tc>
          <w:tcPr>
            <w:tcW w:w="1816" w:type="dxa"/>
            <w:vMerge w:val="continue"/>
            <w:noWrap/>
            <w:vAlign w:val="center"/>
          </w:tcPr>
          <w:p>
            <w:pPr>
              <w:pStyle w:val="44"/>
              <w:jc w:val="center"/>
              <w:rPr>
                <w:color w:val="000000" w:themeColor="text1"/>
              </w:rPr>
            </w:pPr>
          </w:p>
        </w:tc>
        <w:tc>
          <w:tcPr>
            <w:tcW w:w="1681" w:type="dxa"/>
            <w:vMerge w:val="continue"/>
            <w:noWrap/>
            <w:vAlign w:val="center"/>
          </w:tcPr>
          <w:p>
            <w:pPr>
              <w:pStyle w:val="44"/>
              <w:jc w:val="center"/>
              <w:rPr>
                <w:color w:val="000000" w:themeColor="text1"/>
              </w:rPr>
            </w:pPr>
          </w:p>
        </w:tc>
        <w:tc>
          <w:tcPr>
            <w:tcW w:w="1843" w:type="dxa"/>
            <w:vMerge w:val="continue"/>
            <w:vAlign w:val="center"/>
          </w:tcPr>
          <w:p>
            <w:pPr>
              <w:pStyle w:val="44"/>
              <w:jc w:val="center"/>
              <w:rPr>
                <w:color w:val="000000" w:themeColor="text1"/>
              </w:rPr>
            </w:pPr>
          </w:p>
        </w:tc>
        <w:tc>
          <w:tcPr>
            <w:tcW w:w="1822" w:type="dxa"/>
            <w:vMerge w:val="continue"/>
            <w:vAlign w:val="center"/>
          </w:tcPr>
          <w:p>
            <w:pPr>
              <w:pStyle w:val="44"/>
              <w:jc w:val="center"/>
              <w:rPr>
                <w:color w:val="000000" w:themeColor="text1"/>
              </w:rPr>
            </w:pPr>
          </w:p>
        </w:tc>
        <w:tc>
          <w:tcPr>
            <w:tcW w:w="998" w:type="dxa"/>
            <w:vMerge w:val="continue"/>
            <w:noWrap/>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008" w:type="dxa"/>
            <w:vMerge w:val="continue"/>
            <w:vAlign w:val="center"/>
          </w:tcPr>
          <w:p>
            <w:pPr>
              <w:pStyle w:val="44"/>
              <w:jc w:val="center"/>
              <w:rPr>
                <w:color w:val="000000" w:themeColor="text1"/>
              </w:rPr>
            </w:pPr>
          </w:p>
        </w:tc>
        <w:tc>
          <w:tcPr>
            <w:tcW w:w="1816" w:type="dxa"/>
            <w:vMerge w:val="continue"/>
            <w:vAlign w:val="center"/>
          </w:tcPr>
          <w:p>
            <w:pPr>
              <w:pStyle w:val="44"/>
              <w:jc w:val="center"/>
              <w:rPr>
                <w:color w:val="000000" w:themeColor="text1"/>
              </w:rPr>
            </w:pPr>
          </w:p>
        </w:tc>
        <w:tc>
          <w:tcPr>
            <w:tcW w:w="1681" w:type="dxa"/>
            <w:vMerge w:val="continue"/>
            <w:vAlign w:val="center"/>
          </w:tcPr>
          <w:p>
            <w:pPr>
              <w:pStyle w:val="44"/>
              <w:jc w:val="center"/>
              <w:rPr>
                <w:color w:val="000000" w:themeColor="text1"/>
              </w:rPr>
            </w:pPr>
          </w:p>
        </w:tc>
        <w:tc>
          <w:tcPr>
            <w:tcW w:w="1843" w:type="dxa"/>
            <w:vMerge w:val="continue"/>
            <w:vAlign w:val="center"/>
          </w:tcPr>
          <w:p>
            <w:pPr>
              <w:pStyle w:val="44"/>
              <w:jc w:val="center"/>
              <w:rPr>
                <w:color w:val="000000" w:themeColor="text1"/>
              </w:rPr>
            </w:pPr>
          </w:p>
        </w:tc>
        <w:tc>
          <w:tcPr>
            <w:tcW w:w="1822" w:type="dxa"/>
            <w:vMerge w:val="continue"/>
            <w:vAlign w:val="center"/>
          </w:tcPr>
          <w:p>
            <w:pPr>
              <w:pStyle w:val="44"/>
              <w:jc w:val="center"/>
              <w:rPr>
                <w:color w:val="000000" w:themeColor="text1"/>
              </w:rPr>
            </w:pPr>
          </w:p>
        </w:tc>
        <w:tc>
          <w:tcPr>
            <w:tcW w:w="998" w:type="dxa"/>
            <w:vMerge w:val="continue"/>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8" w:type="dxa"/>
            <w:noWrap/>
            <w:vAlign w:val="center"/>
          </w:tcPr>
          <w:p>
            <w:pPr>
              <w:pStyle w:val="44"/>
              <w:ind w:firstLine="0" w:firstLineChars="0"/>
              <w:jc w:val="center"/>
              <w:rPr>
                <w:color w:val="000000" w:themeColor="text1"/>
              </w:rPr>
            </w:pPr>
            <w:r>
              <w:rPr>
                <w:rFonts w:hint="eastAsia"/>
                <w:color w:val="000000" w:themeColor="text1"/>
              </w:rPr>
              <w:t>1</w:t>
            </w:r>
          </w:p>
        </w:tc>
        <w:tc>
          <w:tcPr>
            <w:tcW w:w="1816" w:type="dxa"/>
            <w:noWrap/>
            <w:vAlign w:val="center"/>
          </w:tcPr>
          <w:p>
            <w:pPr>
              <w:pStyle w:val="44"/>
              <w:jc w:val="center"/>
              <w:rPr>
                <w:color w:val="000000" w:themeColor="text1"/>
              </w:rPr>
            </w:pPr>
          </w:p>
        </w:tc>
        <w:tc>
          <w:tcPr>
            <w:tcW w:w="1681" w:type="dxa"/>
            <w:noWrap/>
            <w:vAlign w:val="center"/>
          </w:tcPr>
          <w:p>
            <w:pPr>
              <w:pStyle w:val="44"/>
              <w:ind w:firstLine="0" w:firstLineChars="0"/>
              <w:jc w:val="center"/>
              <w:rPr>
                <w:color w:val="000000" w:themeColor="text1"/>
              </w:rPr>
            </w:pPr>
            <w:r>
              <w:rPr>
                <w:rFonts w:hint="eastAsia"/>
                <w:color w:val="000000" w:themeColor="text1"/>
              </w:rPr>
              <w:t>5</w:t>
            </w:r>
          </w:p>
        </w:tc>
        <w:tc>
          <w:tcPr>
            <w:tcW w:w="1843" w:type="dxa"/>
            <w:noWrap/>
            <w:vAlign w:val="center"/>
          </w:tcPr>
          <w:p>
            <w:pPr>
              <w:pStyle w:val="44"/>
              <w:ind w:firstLine="0" w:firstLineChars="0"/>
              <w:jc w:val="center"/>
              <w:rPr>
                <w:color w:val="000000" w:themeColor="text1"/>
              </w:rPr>
            </w:pPr>
            <w:r>
              <w:rPr>
                <w:rFonts w:hint="eastAsia"/>
                <w:color w:val="000000" w:themeColor="text1"/>
              </w:rPr>
              <w:t>0.8</w:t>
            </w:r>
          </w:p>
        </w:tc>
        <w:tc>
          <w:tcPr>
            <w:tcW w:w="1822" w:type="dxa"/>
            <w:noWrap/>
            <w:vAlign w:val="center"/>
          </w:tcPr>
          <w:p>
            <w:pPr>
              <w:pStyle w:val="44"/>
              <w:jc w:val="center"/>
              <w:rPr>
                <w:color w:val="000000" w:themeColor="text1"/>
              </w:rPr>
            </w:pPr>
          </w:p>
        </w:tc>
        <w:tc>
          <w:tcPr>
            <w:tcW w:w="998" w:type="dxa"/>
            <w:noWrap/>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8" w:type="dxa"/>
            <w:noWrap/>
            <w:vAlign w:val="center"/>
          </w:tcPr>
          <w:p>
            <w:pPr>
              <w:pStyle w:val="44"/>
              <w:ind w:firstLine="0" w:firstLineChars="0"/>
              <w:jc w:val="center"/>
              <w:rPr>
                <w:color w:val="000000" w:themeColor="text1"/>
              </w:rPr>
            </w:pPr>
            <w:r>
              <w:rPr>
                <w:rFonts w:hint="eastAsia"/>
                <w:color w:val="000000" w:themeColor="text1"/>
              </w:rPr>
              <w:t>2</w:t>
            </w:r>
          </w:p>
        </w:tc>
        <w:tc>
          <w:tcPr>
            <w:tcW w:w="1816" w:type="dxa"/>
            <w:noWrap/>
            <w:vAlign w:val="center"/>
          </w:tcPr>
          <w:p>
            <w:pPr>
              <w:pStyle w:val="44"/>
              <w:jc w:val="center"/>
              <w:rPr>
                <w:color w:val="000000" w:themeColor="text1"/>
              </w:rPr>
            </w:pPr>
          </w:p>
        </w:tc>
        <w:tc>
          <w:tcPr>
            <w:tcW w:w="1681" w:type="dxa"/>
            <w:noWrap/>
            <w:vAlign w:val="center"/>
          </w:tcPr>
          <w:p>
            <w:pPr>
              <w:pStyle w:val="44"/>
              <w:ind w:firstLine="0" w:firstLineChars="0"/>
              <w:jc w:val="center"/>
              <w:rPr>
                <w:color w:val="000000" w:themeColor="text1"/>
              </w:rPr>
            </w:pPr>
            <w:r>
              <w:rPr>
                <w:rFonts w:hint="eastAsia"/>
                <w:color w:val="000000" w:themeColor="text1"/>
              </w:rPr>
              <w:t>7</w:t>
            </w:r>
          </w:p>
        </w:tc>
        <w:tc>
          <w:tcPr>
            <w:tcW w:w="1843" w:type="dxa"/>
            <w:noWrap/>
            <w:vAlign w:val="center"/>
          </w:tcPr>
          <w:p>
            <w:pPr>
              <w:pStyle w:val="44"/>
              <w:ind w:firstLine="0" w:firstLineChars="0"/>
              <w:jc w:val="center"/>
              <w:rPr>
                <w:color w:val="000000" w:themeColor="text1"/>
              </w:rPr>
            </w:pPr>
            <w:r>
              <w:rPr>
                <w:rFonts w:hint="eastAsia"/>
                <w:color w:val="000000" w:themeColor="text1"/>
              </w:rPr>
              <w:t>1.0</w:t>
            </w:r>
          </w:p>
        </w:tc>
        <w:tc>
          <w:tcPr>
            <w:tcW w:w="1822" w:type="dxa"/>
            <w:noWrap/>
            <w:vAlign w:val="center"/>
          </w:tcPr>
          <w:p>
            <w:pPr>
              <w:pStyle w:val="44"/>
              <w:jc w:val="center"/>
              <w:rPr>
                <w:color w:val="000000" w:themeColor="text1"/>
              </w:rPr>
            </w:pPr>
          </w:p>
        </w:tc>
        <w:tc>
          <w:tcPr>
            <w:tcW w:w="998" w:type="dxa"/>
            <w:noWrap/>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08" w:type="dxa"/>
            <w:noWrap/>
            <w:vAlign w:val="center"/>
          </w:tcPr>
          <w:p>
            <w:pPr>
              <w:pStyle w:val="44"/>
              <w:ind w:firstLine="0" w:firstLineChars="0"/>
              <w:jc w:val="center"/>
              <w:rPr>
                <w:color w:val="000000" w:themeColor="text1"/>
              </w:rPr>
            </w:pPr>
            <w:r>
              <w:rPr>
                <w:rFonts w:hint="eastAsia"/>
                <w:color w:val="000000" w:themeColor="text1"/>
              </w:rPr>
              <w:t>3</w:t>
            </w:r>
          </w:p>
        </w:tc>
        <w:tc>
          <w:tcPr>
            <w:tcW w:w="1816" w:type="dxa"/>
            <w:noWrap/>
            <w:vAlign w:val="center"/>
          </w:tcPr>
          <w:p>
            <w:pPr>
              <w:pStyle w:val="44"/>
              <w:jc w:val="center"/>
              <w:rPr>
                <w:color w:val="000000" w:themeColor="text1"/>
              </w:rPr>
            </w:pPr>
          </w:p>
        </w:tc>
        <w:tc>
          <w:tcPr>
            <w:tcW w:w="1681" w:type="dxa"/>
            <w:noWrap/>
            <w:vAlign w:val="center"/>
          </w:tcPr>
          <w:p>
            <w:pPr>
              <w:pStyle w:val="44"/>
              <w:ind w:firstLine="0" w:firstLineChars="0"/>
              <w:jc w:val="center"/>
              <w:rPr>
                <w:color w:val="000000" w:themeColor="text1"/>
              </w:rPr>
            </w:pPr>
            <w:r>
              <w:rPr>
                <w:rFonts w:hint="eastAsia"/>
                <w:color w:val="000000" w:themeColor="text1"/>
              </w:rPr>
              <w:t>9～15</w:t>
            </w:r>
          </w:p>
        </w:tc>
        <w:tc>
          <w:tcPr>
            <w:tcW w:w="1843" w:type="dxa"/>
            <w:noWrap/>
            <w:vAlign w:val="center"/>
          </w:tcPr>
          <w:p>
            <w:pPr>
              <w:pStyle w:val="44"/>
              <w:ind w:firstLine="0" w:firstLineChars="0"/>
              <w:jc w:val="center"/>
              <w:rPr>
                <w:color w:val="000000" w:themeColor="text1"/>
              </w:rPr>
            </w:pPr>
            <w:r>
              <w:rPr>
                <w:rFonts w:hint="eastAsia"/>
                <w:color w:val="000000" w:themeColor="text1"/>
              </w:rPr>
              <w:t>1.2</w:t>
            </w:r>
          </w:p>
        </w:tc>
        <w:tc>
          <w:tcPr>
            <w:tcW w:w="1822" w:type="dxa"/>
            <w:noWrap/>
            <w:vAlign w:val="center"/>
          </w:tcPr>
          <w:p>
            <w:pPr>
              <w:pStyle w:val="44"/>
              <w:jc w:val="center"/>
              <w:rPr>
                <w:color w:val="000000" w:themeColor="text1"/>
              </w:rPr>
            </w:pPr>
          </w:p>
        </w:tc>
        <w:tc>
          <w:tcPr>
            <w:tcW w:w="998" w:type="dxa"/>
            <w:noWrap/>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9168" w:type="dxa"/>
            <w:gridSpan w:val="6"/>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color w:val="000000" w:themeColor="text1"/>
              </w:rPr>
            </w:pPr>
            <w:r>
              <w:rPr>
                <w:rFonts w:hint="eastAsia"/>
                <w:color w:val="000000" w:themeColor="text1"/>
              </w:rPr>
              <w:t>1、投标单位报价不得高于最高</w:t>
            </w:r>
            <w:r>
              <w:rPr>
                <w:color w:val="000000" w:themeColor="text1"/>
              </w:rPr>
              <w:t>限价</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color w:val="000000" w:themeColor="text1"/>
              </w:rPr>
            </w:pPr>
            <w:r>
              <w:rPr>
                <w:rFonts w:hint="eastAsia"/>
                <w:color w:val="000000" w:themeColor="text1"/>
              </w:rPr>
              <w:t>2、司机住宿及餐费按实际发生为准（若由用车单位支付则结算时不包括这项费用）</w:t>
            </w:r>
          </w:p>
          <w:p>
            <w:pPr>
              <w:pStyle w:val="4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b/>
                <w:bCs/>
                <w:color w:val="000000" w:themeColor="text1"/>
              </w:rPr>
            </w:pPr>
            <w:r>
              <w:rPr>
                <w:rFonts w:hint="eastAsia"/>
                <w:b/>
                <w:bCs/>
                <w:color w:val="000000" w:themeColor="text1"/>
              </w:rPr>
              <w:t>报价时需填写车型（可多填）</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color w:val="000000" w:themeColor="text1"/>
              </w:rPr>
            </w:pPr>
            <w:r>
              <w:rPr>
                <w:rFonts w:hint="eastAsia" w:ascii="宋体" w:hAnsi="宋体" w:cs="宋体"/>
                <w:color w:val="000000" w:themeColor="text1"/>
              </w:rPr>
              <w:t>3、</w:t>
            </w:r>
            <w:r>
              <w:rPr>
                <w:rFonts w:ascii="宋体" w:hAnsi="宋体" w:cs="宋体"/>
                <w:color w:val="000000" w:themeColor="text1"/>
              </w:rPr>
              <w:t>为方便计分，同批次座位数量的车辆，只能有一个报价</w:t>
            </w:r>
            <w:r>
              <w:rPr>
                <w:rFonts w:hint="eastAsia" w:ascii="宋体" w:hAnsi="宋体" w:cs="宋体"/>
                <w:color w:val="000000" w:themeColor="text1"/>
              </w:rPr>
              <w:t>，如出现多个报价 ，评委将有权选择对投标人不利的报价计算。</w:t>
            </w:r>
          </w:p>
        </w:tc>
      </w:tr>
    </w:tbl>
    <w:p>
      <w:pPr>
        <w:adjustRightInd w:val="0"/>
        <w:snapToGrid w:val="0"/>
        <w:spacing w:line="360" w:lineRule="auto"/>
        <w:ind w:firstLine="480" w:firstLineChars="200"/>
        <w:rPr>
          <w:rFonts w:ascii="宋体" w:hAnsi="宋体" w:cs="宋体"/>
          <w:color w:val="000000" w:themeColor="text1"/>
          <w:sz w:val="24"/>
        </w:rPr>
      </w:pP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注：1、上述价格是满足甲方使用车辆需要的所有费用。乙方已充分考虑为满足招标业务用车需求内容所必须的直接和间接成本、油（电、气）费、驾驶员全额工资（含福利、社保等，不含出车补贴）、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2、市外基础里程数外距离与时间同时计价，互不矛盾，按实结算。</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3、短途租赁服务来回接送不限趟数，如遇特殊情况经双方协商收取租赁费。</w:t>
      </w:r>
    </w:p>
    <w:p>
      <w:pPr>
        <w:widowControl/>
        <w:spacing w:line="360" w:lineRule="exact"/>
        <w:jc w:val="left"/>
        <w:rPr>
          <w:rFonts w:ascii="宋体" w:hAnsi="宋体" w:cs="宋体"/>
          <w:color w:val="000000" w:themeColor="text1"/>
          <w:kern w:val="0"/>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spacing w:line="314" w:lineRule="exact"/>
        <w:rPr>
          <w:rFonts w:ascii="宋体" w:hAnsi="宋体" w:cs="宋体"/>
          <w:color w:val="000000" w:themeColor="text1"/>
        </w:rPr>
      </w:pPr>
    </w:p>
    <w:p>
      <w:pPr>
        <w:jc w:val="center"/>
        <w:rPr>
          <w:rFonts w:ascii="宋体" w:hAnsi="宋体" w:cs="宋体"/>
          <w:color w:val="000000" w:themeColor="text1"/>
          <w:sz w:val="32"/>
          <w:szCs w:val="32"/>
        </w:rPr>
      </w:pPr>
      <w:r>
        <w:rPr>
          <w:rFonts w:hint="eastAsia" w:ascii="宋体" w:hAnsi="宋体" w:cs="宋体"/>
          <w:color w:val="000000" w:themeColor="text1"/>
          <w:sz w:val="24"/>
          <w:szCs w:val="24"/>
        </w:rPr>
        <w:t>法定代表人或授权代表签字或盖章：</w:t>
      </w:r>
    </w:p>
    <w:p>
      <w:pPr>
        <w:spacing w:line="320" w:lineRule="exact"/>
        <w:ind w:right="4"/>
        <w:rPr>
          <w:rFonts w:ascii="宋体" w:hAnsi="宋体" w:cs="宋体"/>
          <w:color w:val="000000" w:themeColor="text1"/>
          <w:sz w:val="28"/>
        </w:rPr>
      </w:pPr>
    </w:p>
    <w:p>
      <w:pPr>
        <w:jc w:val="center"/>
        <w:rPr>
          <w:rFonts w:ascii="宋体" w:hAnsi="宋体" w:cs="宋体"/>
          <w:color w:val="000000" w:themeColor="text1"/>
          <w:sz w:val="24"/>
          <w:szCs w:val="24"/>
        </w:rPr>
        <w:sectPr>
          <w:headerReference r:id="rId3" w:type="default"/>
          <w:footerReference r:id="rId4" w:type="default"/>
          <w:pgSz w:w="11906" w:h="16838"/>
          <w:pgMar w:top="1418" w:right="1366" w:bottom="1418" w:left="1588" w:header="851" w:footer="907" w:gutter="0"/>
          <w:pgNumType w:fmt="decimalFullWidth"/>
          <w:cols w:space="720" w:num="1"/>
          <w:docGrid w:type="linesAndChars" w:linePitch="290" w:charSpace="0"/>
        </w:sectPr>
      </w:pPr>
      <w:r>
        <w:rPr>
          <w:rFonts w:hint="eastAsia" w:ascii="宋体" w:hAnsi="宋体" w:cs="宋体"/>
          <w:color w:val="000000" w:themeColor="text1"/>
          <w:sz w:val="24"/>
          <w:szCs w:val="24"/>
        </w:rPr>
        <w:t>日期：</w:t>
      </w:r>
    </w:p>
    <w:p>
      <w:pPr>
        <w:pStyle w:val="23"/>
        <w:adjustRightInd w:val="0"/>
        <w:snapToGrid w:val="0"/>
        <w:spacing w:line="360" w:lineRule="auto"/>
        <w:ind w:firstLine="480" w:firstLineChars="200"/>
        <w:rPr>
          <w:rFonts w:hAnsi="宋体" w:cs="宋体"/>
          <w:b/>
          <w:color w:val="000000" w:themeColor="text1"/>
          <w:sz w:val="24"/>
          <w:szCs w:val="24"/>
        </w:rPr>
      </w:pPr>
    </w:p>
    <w:tbl>
      <w:tblPr>
        <w:tblStyle w:val="46"/>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806"/>
        <w:gridCol w:w="1676"/>
        <w:gridCol w:w="1833"/>
        <w:gridCol w:w="1811"/>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168" w:type="dxa"/>
            <w:gridSpan w:val="6"/>
            <w:noWrap/>
            <w:vAlign w:val="center"/>
          </w:tcPr>
          <w:p>
            <w:pPr>
              <w:pStyle w:val="44"/>
              <w:jc w:val="center"/>
              <w:rPr>
                <w:color w:val="000000" w:themeColor="text1"/>
              </w:rPr>
            </w:pPr>
            <w:r>
              <w:rPr>
                <w:rFonts w:hint="eastAsia"/>
                <w:color w:val="000000" w:themeColor="text1"/>
              </w:rPr>
              <w:t>分包二</w:t>
            </w:r>
            <w:r>
              <w:rPr>
                <w:color w:val="000000" w:themeColor="text1"/>
              </w:rPr>
              <w:t>：车辆租赁公司报价清单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025" w:type="dxa"/>
            <w:vMerge w:val="restart"/>
            <w:noWrap/>
            <w:vAlign w:val="center"/>
          </w:tcPr>
          <w:p>
            <w:pPr>
              <w:pStyle w:val="44"/>
              <w:ind w:firstLine="0" w:firstLineChars="0"/>
              <w:jc w:val="center"/>
              <w:rPr>
                <w:color w:val="000000" w:themeColor="text1"/>
              </w:rPr>
            </w:pPr>
            <w:r>
              <w:rPr>
                <w:rFonts w:hint="eastAsia"/>
                <w:color w:val="000000" w:themeColor="text1"/>
              </w:rPr>
              <w:t>序号</w:t>
            </w:r>
          </w:p>
        </w:tc>
        <w:tc>
          <w:tcPr>
            <w:tcW w:w="1806" w:type="dxa"/>
            <w:vMerge w:val="restart"/>
            <w:noWrap/>
            <w:vAlign w:val="center"/>
          </w:tcPr>
          <w:p>
            <w:pPr>
              <w:pStyle w:val="44"/>
              <w:ind w:firstLine="0" w:firstLineChars="0"/>
              <w:jc w:val="center"/>
              <w:rPr>
                <w:color w:val="000000" w:themeColor="text1"/>
              </w:rPr>
            </w:pPr>
            <w:r>
              <w:rPr>
                <w:rFonts w:hint="eastAsia"/>
                <w:color w:val="000000" w:themeColor="text1"/>
              </w:rPr>
              <w:t>车型品牌</w:t>
            </w:r>
          </w:p>
        </w:tc>
        <w:tc>
          <w:tcPr>
            <w:tcW w:w="1676" w:type="dxa"/>
            <w:vMerge w:val="restart"/>
            <w:noWrap/>
            <w:vAlign w:val="center"/>
          </w:tcPr>
          <w:p>
            <w:pPr>
              <w:pStyle w:val="44"/>
              <w:ind w:firstLine="0" w:firstLineChars="0"/>
              <w:jc w:val="center"/>
              <w:rPr>
                <w:color w:val="000000" w:themeColor="text1"/>
              </w:rPr>
            </w:pPr>
            <w:r>
              <w:rPr>
                <w:rFonts w:hint="eastAsia"/>
                <w:color w:val="000000" w:themeColor="text1"/>
              </w:rPr>
              <w:t>座位数</w:t>
            </w:r>
          </w:p>
        </w:tc>
        <w:tc>
          <w:tcPr>
            <w:tcW w:w="1833" w:type="dxa"/>
            <w:vMerge w:val="restart"/>
            <w:vAlign w:val="center"/>
          </w:tcPr>
          <w:p>
            <w:pPr>
              <w:pStyle w:val="44"/>
              <w:ind w:firstLine="0" w:firstLineChars="0"/>
              <w:jc w:val="center"/>
              <w:rPr>
                <w:color w:val="000000" w:themeColor="text1"/>
              </w:rPr>
            </w:pPr>
            <w:r>
              <w:rPr>
                <w:rFonts w:hint="eastAsia"/>
                <w:color w:val="000000" w:themeColor="text1"/>
              </w:rPr>
              <w:t>油费（元/公里）</w:t>
            </w:r>
          </w:p>
        </w:tc>
        <w:tc>
          <w:tcPr>
            <w:tcW w:w="1811" w:type="dxa"/>
            <w:vMerge w:val="restart"/>
            <w:vAlign w:val="center"/>
          </w:tcPr>
          <w:p>
            <w:pPr>
              <w:pStyle w:val="44"/>
              <w:ind w:firstLine="0" w:firstLineChars="0"/>
              <w:jc w:val="center"/>
              <w:rPr>
                <w:color w:val="000000" w:themeColor="text1"/>
              </w:rPr>
            </w:pPr>
            <w:r>
              <w:rPr>
                <w:rFonts w:hint="eastAsia"/>
                <w:color w:val="000000" w:themeColor="text1"/>
              </w:rPr>
              <w:t>车辆租金（元/天）</w:t>
            </w:r>
          </w:p>
        </w:tc>
        <w:tc>
          <w:tcPr>
            <w:tcW w:w="1017" w:type="dxa"/>
            <w:vMerge w:val="restart"/>
            <w:noWrap/>
            <w:vAlign w:val="center"/>
          </w:tcPr>
          <w:p>
            <w:pPr>
              <w:pStyle w:val="44"/>
              <w:ind w:firstLine="0" w:firstLineChars="0"/>
              <w:jc w:val="center"/>
              <w:rPr>
                <w:color w:val="000000" w:themeColor="text1"/>
              </w:rPr>
            </w:pPr>
            <w:r>
              <w:rPr>
                <w:rFonts w:hint="eastAsia"/>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5" w:type="dxa"/>
            <w:vMerge w:val="continue"/>
            <w:noWrap/>
            <w:vAlign w:val="center"/>
          </w:tcPr>
          <w:p>
            <w:pPr>
              <w:pStyle w:val="44"/>
              <w:jc w:val="center"/>
              <w:rPr>
                <w:color w:val="000000" w:themeColor="text1"/>
              </w:rPr>
            </w:pPr>
          </w:p>
        </w:tc>
        <w:tc>
          <w:tcPr>
            <w:tcW w:w="1806" w:type="dxa"/>
            <w:vMerge w:val="continue"/>
            <w:noWrap/>
            <w:vAlign w:val="center"/>
          </w:tcPr>
          <w:p>
            <w:pPr>
              <w:pStyle w:val="44"/>
              <w:jc w:val="center"/>
              <w:rPr>
                <w:color w:val="000000" w:themeColor="text1"/>
              </w:rPr>
            </w:pPr>
          </w:p>
        </w:tc>
        <w:tc>
          <w:tcPr>
            <w:tcW w:w="1676" w:type="dxa"/>
            <w:vMerge w:val="continue"/>
            <w:noWrap/>
            <w:vAlign w:val="center"/>
          </w:tcPr>
          <w:p>
            <w:pPr>
              <w:pStyle w:val="44"/>
              <w:jc w:val="center"/>
              <w:rPr>
                <w:color w:val="000000" w:themeColor="text1"/>
              </w:rPr>
            </w:pPr>
          </w:p>
        </w:tc>
        <w:tc>
          <w:tcPr>
            <w:tcW w:w="1833" w:type="dxa"/>
            <w:vMerge w:val="continue"/>
            <w:vAlign w:val="center"/>
          </w:tcPr>
          <w:p>
            <w:pPr>
              <w:pStyle w:val="44"/>
              <w:jc w:val="center"/>
              <w:rPr>
                <w:color w:val="000000" w:themeColor="text1"/>
              </w:rPr>
            </w:pPr>
          </w:p>
        </w:tc>
        <w:tc>
          <w:tcPr>
            <w:tcW w:w="1811" w:type="dxa"/>
            <w:vMerge w:val="continue"/>
            <w:vAlign w:val="center"/>
          </w:tcPr>
          <w:p>
            <w:pPr>
              <w:pStyle w:val="44"/>
              <w:jc w:val="center"/>
              <w:rPr>
                <w:color w:val="000000" w:themeColor="text1"/>
              </w:rPr>
            </w:pPr>
          </w:p>
        </w:tc>
        <w:tc>
          <w:tcPr>
            <w:tcW w:w="1017" w:type="dxa"/>
            <w:vMerge w:val="continue"/>
            <w:noWrap/>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025" w:type="dxa"/>
            <w:vMerge w:val="continue"/>
            <w:vAlign w:val="center"/>
          </w:tcPr>
          <w:p>
            <w:pPr>
              <w:pStyle w:val="44"/>
              <w:jc w:val="center"/>
              <w:rPr>
                <w:color w:val="000000" w:themeColor="text1"/>
              </w:rPr>
            </w:pPr>
          </w:p>
        </w:tc>
        <w:tc>
          <w:tcPr>
            <w:tcW w:w="1806" w:type="dxa"/>
            <w:vMerge w:val="continue"/>
            <w:vAlign w:val="center"/>
          </w:tcPr>
          <w:p>
            <w:pPr>
              <w:pStyle w:val="44"/>
              <w:jc w:val="center"/>
              <w:rPr>
                <w:color w:val="000000" w:themeColor="text1"/>
              </w:rPr>
            </w:pPr>
          </w:p>
        </w:tc>
        <w:tc>
          <w:tcPr>
            <w:tcW w:w="1676" w:type="dxa"/>
            <w:vMerge w:val="continue"/>
            <w:vAlign w:val="center"/>
          </w:tcPr>
          <w:p>
            <w:pPr>
              <w:pStyle w:val="44"/>
              <w:jc w:val="center"/>
              <w:rPr>
                <w:color w:val="000000" w:themeColor="text1"/>
              </w:rPr>
            </w:pPr>
          </w:p>
        </w:tc>
        <w:tc>
          <w:tcPr>
            <w:tcW w:w="1833" w:type="dxa"/>
            <w:vMerge w:val="continue"/>
            <w:vAlign w:val="center"/>
          </w:tcPr>
          <w:p>
            <w:pPr>
              <w:pStyle w:val="44"/>
              <w:jc w:val="center"/>
              <w:rPr>
                <w:color w:val="000000" w:themeColor="text1"/>
              </w:rPr>
            </w:pPr>
          </w:p>
        </w:tc>
        <w:tc>
          <w:tcPr>
            <w:tcW w:w="1811" w:type="dxa"/>
            <w:vMerge w:val="continue"/>
            <w:vAlign w:val="center"/>
          </w:tcPr>
          <w:p>
            <w:pPr>
              <w:pStyle w:val="44"/>
              <w:jc w:val="center"/>
              <w:rPr>
                <w:color w:val="000000" w:themeColor="text1"/>
              </w:rPr>
            </w:pPr>
          </w:p>
        </w:tc>
        <w:tc>
          <w:tcPr>
            <w:tcW w:w="1017" w:type="dxa"/>
            <w:vMerge w:val="continue"/>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5" w:type="dxa"/>
            <w:noWrap/>
            <w:vAlign w:val="center"/>
          </w:tcPr>
          <w:p>
            <w:pPr>
              <w:pStyle w:val="44"/>
              <w:ind w:firstLine="0" w:firstLineChars="0"/>
              <w:jc w:val="center"/>
              <w:rPr>
                <w:color w:val="000000" w:themeColor="text1"/>
              </w:rPr>
            </w:pPr>
            <w:r>
              <w:rPr>
                <w:rFonts w:hint="eastAsia"/>
                <w:color w:val="000000" w:themeColor="text1"/>
              </w:rPr>
              <w:t>1</w:t>
            </w:r>
          </w:p>
        </w:tc>
        <w:tc>
          <w:tcPr>
            <w:tcW w:w="1806" w:type="dxa"/>
            <w:noWrap/>
            <w:vAlign w:val="center"/>
          </w:tcPr>
          <w:p>
            <w:pPr>
              <w:jc w:val="center"/>
            </w:pPr>
            <w:r>
              <w:rPr>
                <w:rFonts w:hint="eastAsia"/>
              </w:rPr>
              <w:t>考斯特等</w:t>
            </w:r>
          </w:p>
        </w:tc>
        <w:tc>
          <w:tcPr>
            <w:tcW w:w="1676" w:type="dxa"/>
            <w:noWrap/>
            <w:vAlign w:val="center"/>
          </w:tcPr>
          <w:p>
            <w:pPr>
              <w:jc w:val="center"/>
            </w:pPr>
            <w:r>
              <w:rPr>
                <w:rFonts w:hint="eastAsia"/>
              </w:rPr>
              <w:t>19～21</w:t>
            </w:r>
          </w:p>
        </w:tc>
        <w:tc>
          <w:tcPr>
            <w:tcW w:w="1833"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/公里</w:t>
            </w:r>
          </w:p>
        </w:tc>
        <w:tc>
          <w:tcPr>
            <w:tcW w:w="1811" w:type="dxa"/>
            <w:noWrap/>
            <w:vAlign w:val="center"/>
          </w:tcPr>
          <w:p>
            <w:pPr>
              <w:pStyle w:val="44"/>
              <w:jc w:val="center"/>
              <w:rPr>
                <w:color w:val="000000" w:themeColor="text1"/>
              </w:rPr>
            </w:pPr>
          </w:p>
        </w:tc>
        <w:tc>
          <w:tcPr>
            <w:tcW w:w="1017" w:type="dxa"/>
            <w:noWrap/>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5" w:type="dxa"/>
            <w:noWrap/>
            <w:vAlign w:val="center"/>
          </w:tcPr>
          <w:p>
            <w:pPr>
              <w:pStyle w:val="44"/>
              <w:ind w:firstLine="0" w:firstLineChars="0"/>
              <w:jc w:val="center"/>
              <w:rPr>
                <w:color w:val="000000" w:themeColor="text1"/>
              </w:rPr>
            </w:pPr>
            <w:r>
              <w:rPr>
                <w:rFonts w:hint="eastAsia"/>
                <w:color w:val="000000" w:themeColor="text1"/>
              </w:rPr>
              <w:t>2</w:t>
            </w:r>
          </w:p>
        </w:tc>
        <w:tc>
          <w:tcPr>
            <w:tcW w:w="1806" w:type="dxa"/>
            <w:noWrap/>
            <w:vAlign w:val="center"/>
          </w:tcPr>
          <w:p>
            <w:pPr>
              <w:jc w:val="center"/>
            </w:pPr>
            <w:r>
              <w:rPr>
                <w:rFonts w:hint="eastAsia"/>
              </w:rPr>
              <w:t>金龙、宇通等</w:t>
            </w:r>
          </w:p>
        </w:tc>
        <w:tc>
          <w:tcPr>
            <w:tcW w:w="1676" w:type="dxa"/>
            <w:noWrap/>
            <w:vAlign w:val="center"/>
          </w:tcPr>
          <w:p>
            <w:pPr>
              <w:jc w:val="center"/>
            </w:pPr>
            <w:r>
              <w:rPr>
                <w:rFonts w:hint="eastAsia"/>
              </w:rPr>
              <w:t>35～39</w:t>
            </w:r>
          </w:p>
        </w:tc>
        <w:tc>
          <w:tcPr>
            <w:tcW w:w="1833"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1.4/公里</w:t>
            </w:r>
          </w:p>
        </w:tc>
        <w:tc>
          <w:tcPr>
            <w:tcW w:w="1811" w:type="dxa"/>
            <w:noWrap/>
            <w:vAlign w:val="center"/>
          </w:tcPr>
          <w:p>
            <w:pPr>
              <w:pStyle w:val="44"/>
              <w:jc w:val="center"/>
              <w:rPr>
                <w:color w:val="000000" w:themeColor="text1"/>
              </w:rPr>
            </w:pPr>
          </w:p>
        </w:tc>
        <w:tc>
          <w:tcPr>
            <w:tcW w:w="1017" w:type="dxa"/>
            <w:noWrap/>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5" w:type="dxa"/>
            <w:noWrap/>
            <w:vAlign w:val="center"/>
          </w:tcPr>
          <w:p>
            <w:pPr>
              <w:pStyle w:val="44"/>
              <w:ind w:firstLine="0" w:firstLineChars="0"/>
              <w:jc w:val="center"/>
              <w:rPr>
                <w:color w:val="000000" w:themeColor="text1"/>
              </w:rPr>
            </w:pPr>
            <w:r>
              <w:rPr>
                <w:rFonts w:hint="eastAsia"/>
                <w:color w:val="000000" w:themeColor="text1"/>
              </w:rPr>
              <w:t>3</w:t>
            </w:r>
          </w:p>
        </w:tc>
        <w:tc>
          <w:tcPr>
            <w:tcW w:w="1806" w:type="dxa"/>
            <w:noWrap/>
            <w:vAlign w:val="center"/>
          </w:tcPr>
          <w:p>
            <w:pPr>
              <w:jc w:val="center"/>
            </w:pPr>
            <w:r>
              <w:rPr>
                <w:rFonts w:hint="eastAsia"/>
              </w:rPr>
              <w:t>金龙、宇通等</w:t>
            </w:r>
          </w:p>
        </w:tc>
        <w:tc>
          <w:tcPr>
            <w:tcW w:w="1676" w:type="dxa"/>
            <w:noWrap/>
            <w:vAlign w:val="center"/>
          </w:tcPr>
          <w:p>
            <w:pPr>
              <w:jc w:val="center"/>
            </w:pPr>
            <w:r>
              <w:rPr>
                <w:rFonts w:hint="eastAsia"/>
              </w:rPr>
              <w:t>45～55</w:t>
            </w:r>
          </w:p>
        </w:tc>
        <w:tc>
          <w:tcPr>
            <w:tcW w:w="1833"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/公里</w:t>
            </w:r>
          </w:p>
        </w:tc>
        <w:tc>
          <w:tcPr>
            <w:tcW w:w="1811" w:type="dxa"/>
            <w:noWrap/>
            <w:vAlign w:val="center"/>
          </w:tcPr>
          <w:p>
            <w:pPr>
              <w:pStyle w:val="44"/>
              <w:jc w:val="center"/>
              <w:rPr>
                <w:color w:val="000000" w:themeColor="text1"/>
              </w:rPr>
            </w:pPr>
          </w:p>
        </w:tc>
        <w:tc>
          <w:tcPr>
            <w:tcW w:w="1017" w:type="dxa"/>
            <w:noWrap/>
            <w:vAlign w:val="center"/>
          </w:tcPr>
          <w:p>
            <w:pPr>
              <w:pStyle w:val="44"/>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9168" w:type="dxa"/>
            <w:gridSpan w:val="6"/>
            <w:noWrap/>
            <w:vAlign w:val="center"/>
          </w:tcPr>
          <w:p>
            <w:pPr>
              <w:rPr>
                <w:color w:val="000000" w:themeColor="text1"/>
              </w:rPr>
            </w:pPr>
            <w:r>
              <w:rPr>
                <w:rFonts w:hint="eastAsia"/>
                <w:color w:val="000000" w:themeColor="text1"/>
              </w:rPr>
              <w:t>1、投标单位报价不得高于最高</w:t>
            </w:r>
            <w:r>
              <w:rPr>
                <w:color w:val="000000" w:themeColor="text1"/>
              </w:rPr>
              <w:t>限价</w:t>
            </w:r>
          </w:p>
          <w:p>
            <w:pPr>
              <w:rPr>
                <w:color w:val="000000" w:themeColor="text1"/>
              </w:rPr>
            </w:pPr>
            <w:r>
              <w:rPr>
                <w:rFonts w:hint="eastAsia"/>
                <w:color w:val="000000" w:themeColor="text1"/>
              </w:rPr>
              <w:t>2、司机住宿及餐费按实际发生为准（若由用车单位支付则结算时不包括这项费用）</w:t>
            </w:r>
          </w:p>
          <w:p>
            <w:pPr>
              <w:pStyle w:val="44"/>
              <w:ind w:firstLine="0" w:firstLineChars="0"/>
              <w:rPr>
                <w:b/>
                <w:bCs/>
                <w:color w:val="000000" w:themeColor="text1"/>
              </w:rPr>
            </w:pPr>
            <w:r>
              <w:rPr>
                <w:rFonts w:hint="eastAsia"/>
                <w:b/>
                <w:bCs/>
                <w:color w:val="000000" w:themeColor="text1"/>
              </w:rPr>
              <w:t>报价时需填写车型（可多填）</w:t>
            </w:r>
          </w:p>
          <w:p>
            <w:pPr>
              <w:rPr>
                <w:color w:val="000000" w:themeColor="text1"/>
              </w:rPr>
            </w:pPr>
            <w:r>
              <w:rPr>
                <w:rFonts w:hint="eastAsia" w:ascii="宋体" w:hAnsi="宋体" w:cs="宋体"/>
                <w:color w:val="000000" w:themeColor="text1"/>
              </w:rPr>
              <w:t>3、</w:t>
            </w:r>
            <w:r>
              <w:rPr>
                <w:rFonts w:ascii="宋体" w:hAnsi="宋体" w:cs="宋体"/>
                <w:color w:val="000000" w:themeColor="text1"/>
              </w:rPr>
              <w:t>为方便计分，同批次座位数量的车辆，只能有一个报价</w:t>
            </w:r>
            <w:r>
              <w:rPr>
                <w:rFonts w:hint="eastAsia" w:ascii="宋体" w:hAnsi="宋体" w:cs="宋体"/>
                <w:color w:val="000000" w:themeColor="text1"/>
              </w:rPr>
              <w:t>，如出现多个报价 ，评委将有权选择对投标人不利的报价计算。</w:t>
            </w:r>
          </w:p>
        </w:tc>
      </w:tr>
    </w:tbl>
    <w:p>
      <w:pPr>
        <w:adjustRightInd w:val="0"/>
        <w:snapToGrid w:val="0"/>
        <w:spacing w:line="360" w:lineRule="auto"/>
        <w:ind w:firstLine="480" w:firstLineChars="200"/>
        <w:rPr>
          <w:rFonts w:ascii="宋体" w:hAnsi="宋体" w:cs="宋体"/>
          <w:color w:val="000000" w:themeColor="text1"/>
          <w:sz w:val="24"/>
        </w:rPr>
      </w:pP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注：1、上述价格是满足甲方使用车辆需要的所有费用。乙方已充分考虑为满足招标业务用车需求内容所必须的直接和间接成本、油（电、气）费、驾驶员全额工资（含福利、社保等，不含出车补贴）、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2、市外基础里程数外距离与时间同时计价，互不矛盾，按实结算。</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3、短途租赁服务来回接送不限趟数，如遇特殊情况经双方协商收取租赁费。</w:t>
      </w:r>
    </w:p>
    <w:p>
      <w:pPr>
        <w:widowControl/>
        <w:spacing w:line="360" w:lineRule="exact"/>
        <w:jc w:val="left"/>
        <w:rPr>
          <w:rFonts w:ascii="宋体" w:hAnsi="宋体" w:cs="宋体"/>
          <w:color w:val="000000" w:themeColor="text1"/>
          <w:kern w:val="0"/>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spacing w:line="314" w:lineRule="exact"/>
        <w:rPr>
          <w:rFonts w:ascii="宋体" w:hAnsi="宋体" w:cs="宋体"/>
          <w:color w:val="000000" w:themeColor="text1"/>
        </w:rPr>
      </w:pPr>
    </w:p>
    <w:p>
      <w:pPr>
        <w:jc w:val="center"/>
        <w:rPr>
          <w:rFonts w:ascii="宋体" w:hAnsi="宋体" w:cs="宋体"/>
          <w:color w:val="000000" w:themeColor="text1"/>
          <w:sz w:val="32"/>
          <w:szCs w:val="32"/>
        </w:rPr>
      </w:pPr>
      <w:r>
        <w:rPr>
          <w:rFonts w:hint="eastAsia" w:ascii="宋体" w:hAnsi="宋体" w:cs="宋体"/>
          <w:color w:val="000000" w:themeColor="text1"/>
          <w:sz w:val="24"/>
          <w:szCs w:val="24"/>
        </w:rPr>
        <w:t>法定代表人或授权代表签字或盖章：</w:t>
      </w:r>
    </w:p>
    <w:p>
      <w:pPr>
        <w:spacing w:line="320" w:lineRule="exact"/>
        <w:ind w:right="4"/>
        <w:rPr>
          <w:rFonts w:ascii="宋体" w:hAnsi="宋体" w:cs="宋体"/>
          <w:color w:val="000000" w:themeColor="text1"/>
          <w:sz w:val="28"/>
        </w:rPr>
      </w:pPr>
    </w:p>
    <w:p>
      <w:pPr>
        <w:jc w:val="center"/>
        <w:rPr>
          <w:rFonts w:ascii="宋体" w:hAnsi="宋体" w:cs="宋体"/>
          <w:color w:val="000000" w:themeColor="text1"/>
          <w:sz w:val="24"/>
          <w:szCs w:val="24"/>
        </w:rPr>
        <w:sectPr>
          <w:headerReference r:id="rId5" w:type="default"/>
          <w:footerReference r:id="rId6" w:type="default"/>
          <w:pgSz w:w="11906" w:h="16838"/>
          <w:pgMar w:top="1418" w:right="1366" w:bottom="1418" w:left="1588" w:header="851" w:footer="907" w:gutter="0"/>
          <w:pgNumType w:fmt="decimalFullWidth"/>
          <w:cols w:space="720" w:num="1"/>
          <w:docGrid w:type="linesAndChars" w:linePitch="290" w:charSpace="0"/>
        </w:sectPr>
      </w:pPr>
      <w:r>
        <w:rPr>
          <w:rFonts w:hint="eastAsia" w:ascii="宋体" w:hAnsi="宋体" w:cs="宋体"/>
          <w:color w:val="000000" w:themeColor="text1"/>
          <w:sz w:val="24"/>
          <w:szCs w:val="24"/>
        </w:rPr>
        <w:t>日期：</w:t>
      </w:r>
    </w:p>
    <w:p>
      <w:pPr>
        <w:spacing w:line="320" w:lineRule="exact"/>
        <w:ind w:right="4"/>
        <w:jc w:val="center"/>
        <w:rPr>
          <w:rFonts w:ascii="宋体" w:hAnsi="宋体" w:cs="宋体"/>
          <w:color w:val="000000" w:themeColor="text1"/>
        </w:rPr>
      </w:pPr>
      <w:r>
        <w:rPr>
          <w:rFonts w:hint="eastAsia" w:ascii="宋体" w:hAnsi="宋体" w:cs="宋体"/>
          <w:color w:val="000000" w:themeColor="text1"/>
          <w:sz w:val="28"/>
        </w:rPr>
        <w:t>车辆信息表</w:t>
      </w:r>
    </w:p>
    <w:tbl>
      <w:tblPr>
        <w:tblStyle w:val="45"/>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970"/>
        <w:gridCol w:w="1107"/>
        <w:gridCol w:w="1235"/>
        <w:gridCol w:w="1454"/>
        <w:gridCol w:w="1419"/>
        <w:gridCol w:w="1315"/>
        <w:gridCol w:w="1351"/>
        <w:gridCol w:w="1534"/>
        <w:gridCol w:w="12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1588" w:type="dxa"/>
            <w:tcBorders>
              <w:right w:val="single" w:color="auto" w:sz="4" w:space="0"/>
            </w:tcBorders>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品牌、车型</w:t>
            </w:r>
          </w:p>
        </w:tc>
        <w:tc>
          <w:tcPr>
            <w:tcW w:w="970" w:type="dxa"/>
            <w:tcBorders>
              <w:left w:val="single" w:color="auto" w:sz="4" w:space="0"/>
            </w:tcBorders>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颜色</w:t>
            </w:r>
          </w:p>
        </w:tc>
        <w:tc>
          <w:tcPr>
            <w:tcW w:w="1107"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排量</w:t>
            </w:r>
          </w:p>
        </w:tc>
        <w:tc>
          <w:tcPr>
            <w:tcW w:w="1235"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车牌号</w:t>
            </w:r>
          </w:p>
        </w:tc>
        <w:tc>
          <w:tcPr>
            <w:tcW w:w="1454"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购买时间（</w:t>
            </w:r>
            <w:r>
              <w:rPr>
                <w:rFonts w:hint="eastAsia" w:ascii="宋体" w:hAnsi="宋体" w:cs="宋体"/>
                <w:b/>
                <w:bCs/>
                <w:color w:val="000000" w:themeColor="text1"/>
                <w:lang w:val="zh-TW" w:eastAsia="zh-TW"/>
              </w:rPr>
              <w:t>车辆登记日期</w:t>
            </w:r>
            <w:r>
              <w:rPr>
                <w:rFonts w:hint="eastAsia" w:ascii="宋体" w:hAnsi="宋体" w:cs="宋体"/>
                <w:b/>
                <w:color w:val="000000" w:themeColor="text1"/>
                <w:sz w:val="24"/>
              </w:rPr>
              <w:t>）</w:t>
            </w:r>
          </w:p>
        </w:tc>
        <w:tc>
          <w:tcPr>
            <w:tcW w:w="1419"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车辆来源</w:t>
            </w:r>
          </w:p>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（是否自有）</w:t>
            </w:r>
          </w:p>
        </w:tc>
        <w:tc>
          <w:tcPr>
            <w:tcW w:w="1315"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车辆保险</w:t>
            </w:r>
          </w:p>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购买情况</w:t>
            </w:r>
          </w:p>
        </w:tc>
        <w:tc>
          <w:tcPr>
            <w:tcW w:w="1351"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价格（元）</w:t>
            </w:r>
          </w:p>
        </w:tc>
        <w:tc>
          <w:tcPr>
            <w:tcW w:w="1534"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里程数（km）</w:t>
            </w:r>
          </w:p>
        </w:tc>
        <w:tc>
          <w:tcPr>
            <w:tcW w:w="1238" w:type="dxa"/>
            <w:vAlign w:val="center"/>
          </w:tcPr>
          <w:p>
            <w:pPr>
              <w:spacing w:line="274" w:lineRule="exact"/>
              <w:ind w:left="340"/>
              <w:rPr>
                <w:rFonts w:ascii="宋体" w:hAnsi="宋体" w:cs="宋体"/>
                <w:b/>
                <w:color w:val="000000" w:themeColor="text1"/>
                <w:sz w:val="24"/>
              </w:rPr>
            </w:pPr>
            <w:r>
              <w:rPr>
                <w:rFonts w:hint="eastAsia" w:ascii="宋体" w:hAnsi="宋体" w:cs="宋体"/>
                <w:b/>
                <w:color w:val="000000" w:themeColor="text1"/>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274" w:lineRule="exact"/>
              <w:jc w:val="center"/>
              <w:rPr>
                <w:rFonts w:ascii="宋体" w:hAnsi="宋体" w:cs="宋体"/>
                <w:color w:val="000000" w:themeColor="text1"/>
                <w:sz w:val="24"/>
              </w:rPr>
            </w:pPr>
          </w:p>
        </w:tc>
        <w:tc>
          <w:tcPr>
            <w:tcW w:w="1315" w:type="dxa"/>
            <w:vAlign w:val="center"/>
          </w:tcPr>
          <w:p>
            <w:pPr>
              <w:spacing w:line="274" w:lineRule="exact"/>
              <w:jc w:val="center"/>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ascii="宋体" w:hAnsi="宋体" w:cs="宋体"/>
                <w:color w:val="000000" w:themeColor="text1"/>
              </w:rPr>
            </w:pPr>
            <w:r>
              <w:rPr>
                <w:rFonts w:hint="eastAsia" w:ascii="宋体" w:hAnsi="宋体" w:cs="宋体"/>
                <w:color w:val="000000" w:themeColor="text1"/>
                <w:lang w:val="zh-TW"/>
              </w:rPr>
              <w:t>上述所有</w:t>
            </w:r>
            <w:r>
              <w:rPr>
                <w:rFonts w:hint="eastAsia" w:ascii="宋体" w:hAnsi="宋体" w:cs="宋体"/>
                <w:color w:val="000000" w:themeColor="text1"/>
              </w:rPr>
              <w:t>车辆数量合计，单位：辆</w:t>
            </w:r>
          </w:p>
        </w:tc>
        <w:tc>
          <w:tcPr>
            <w:tcW w:w="2885" w:type="dxa"/>
            <w:gridSpan w:val="2"/>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ascii="宋体" w:hAnsi="宋体" w:cs="宋体"/>
                <w:color w:val="000000" w:themeColor="text1"/>
              </w:rPr>
            </w:pPr>
            <w:r>
              <w:rPr>
                <w:rFonts w:hint="eastAsia" w:ascii="宋体" w:hAnsi="宋体" w:cs="宋体"/>
                <w:color w:val="000000" w:themeColor="text1"/>
                <w:lang w:val="zh-TW"/>
              </w:rPr>
              <w:t>上述所有车辆</w:t>
            </w:r>
            <w:r>
              <w:rPr>
                <w:rFonts w:hint="eastAsia" w:ascii="宋体" w:hAnsi="宋体" w:cs="宋体"/>
                <w:color w:val="000000" w:themeColor="text1"/>
                <w:lang w:val="zh-TW" w:eastAsia="zh-TW"/>
              </w:rPr>
              <w:t>车</w:t>
            </w:r>
            <w:r>
              <w:rPr>
                <w:rFonts w:hint="eastAsia" w:ascii="宋体" w:hAnsi="宋体" w:cs="宋体"/>
                <w:color w:val="000000" w:themeColor="text1"/>
                <w:lang w:val="zh-TW"/>
              </w:rPr>
              <w:t>龄合计（每辆车从其</w:t>
            </w:r>
            <w:r>
              <w:rPr>
                <w:rFonts w:hint="eastAsia" w:ascii="宋体" w:hAnsi="宋体" w:cs="宋体"/>
                <w:color w:val="000000" w:themeColor="text1"/>
                <w:lang w:val="zh-TW" w:eastAsia="zh-TW"/>
              </w:rPr>
              <w:t>车辆登记日期</w:t>
            </w:r>
            <w:r>
              <w:rPr>
                <w:rFonts w:hint="eastAsia" w:ascii="宋体" w:hAnsi="宋体" w:cs="宋体"/>
                <w:color w:val="000000" w:themeColor="text1"/>
                <w:lang w:val="zh-TW"/>
              </w:rPr>
              <w:t>之日起至投标截止日计算），单位：天</w:t>
            </w:r>
          </w:p>
        </w:tc>
        <w:tc>
          <w:tcPr>
            <w:tcW w:w="2885" w:type="dxa"/>
            <w:gridSpan w:val="2"/>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bl>
    <w:p>
      <w:pPr>
        <w:spacing w:line="148" w:lineRule="exact"/>
        <w:rPr>
          <w:rFonts w:ascii="宋体" w:hAnsi="宋体" w:cs="宋体"/>
          <w:color w:val="000000" w:themeColor="text1"/>
          <w:sz w:val="20"/>
          <w:szCs w:val="20"/>
        </w:rPr>
      </w:pPr>
    </w:p>
    <w:p>
      <w:pPr>
        <w:spacing w:line="274" w:lineRule="exact"/>
        <w:ind w:left="360"/>
        <w:rPr>
          <w:rFonts w:ascii="宋体" w:hAnsi="宋体" w:cs="宋体"/>
          <w:color w:val="000000" w:themeColor="text1"/>
          <w:sz w:val="24"/>
        </w:rPr>
      </w:pPr>
      <w:r>
        <w:rPr>
          <w:rFonts w:hint="eastAsia" w:ascii="宋体" w:hAnsi="宋体" w:cs="宋体"/>
          <w:color w:val="000000" w:themeColor="text1"/>
          <w:sz w:val="24"/>
        </w:rPr>
        <w:t>注：信息表中提供的车辆必须是承担出车任务的车辆。</w:t>
      </w:r>
    </w:p>
    <w:p>
      <w:pPr>
        <w:spacing w:line="300" w:lineRule="exact"/>
        <w:rPr>
          <w:rFonts w:ascii="宋体" w:hAnsi="宋体" w:cs="宋体"/>
          <w:color w:val="000000" w:themeColor="text1"/>
          <w:sz w:val="24"/>
          <w:szCs w:val="24"/>
        </w:rPr>
      </w:pPr>
      <w:r>
        <w:rPr>
          <w:rFonts w:hint="eastAsia" w:ascii="宋体" w:hAnsi="宋体" w:cs="宋体"/>
          <w:bCs/>
          <w:color w:val="000000" w:themeColor="text1"/>
          <w:sz w:val="24"/>
        </w:rPr>
        <w:t>供应商名称（公章）：</w:t>
      </w:r>
    </w:p>
    <w:p>
      <w:pPr>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法定代表人（签章）：</w:t>
      </w:r>
    </w:p>
    <w:p>
      <w:pPr>
        <w:tabs>
          <w:tab w:val="left" w:pos="6460"/>
          <w:tab w:val="left" w:pos="7300"/>
          <w:tab w:val="left" w:pos="8140"/>
        </w:tabs>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日期：</w:t>
      </w:r>
      <w:r>
        <w:rPr>
          <w:rFonts w:hint="eastAsia" w:ascii="宋体" w:hAnsi="宋体" w:cs="宋体"/>
          <w:color w:val="000000" w:themeColor="text1"/>
          <w:sz w:val="24"/>
          <w:szCs w:val="24"/>
        </w:rPr>
        <w:tab/>
      </w:r>
      <w:r>
        <w:rPr>
          <w:rFonts w:hint="eastAsia" w:ascii="宋体" w:hAnsi="宋体" w:cs="宋体"/>
          <w:color w:val="000000" w:themeColor="text1"/>
          <w:sz w:val="24"/>
          <w:szCs w:val="24"/>
        </w:rPr>
        <w:t>年</w:t>
      </w:r>
      <w:r>
        <w:rPr>
          <w:rFonts w:hint="eastAsia" w:ascii="宋体" w:hAnsi="宋体" w:cs="宋体"/>
          <w:color w:val="000000" w:themeColor="text1"/>
          <w:sz w:val="24"/>
          <w:szCs w:val="24"/>
        </w:rPr>
        <w:tab/>
      </w:r>
      <w:r>
        <w:rPr>
          <w:rFonts w:hint="eastAsia" w:ascii="宋体" w:hAnsi="宋体" w:cs="宋体"/>
          <w:color w:val="000000" w:themeColor="text1"/>
          <w:sz w:val="24"/>
          <w:szCs w:val="24"/>
        </w:rPr>
        <w:t>月</w:t>
      </w:r>
      <w:r>
        <w:rPr>
          <w:rFonts w:hint="eastAsia" w:ascii="宋体" w:hAnsi="宋体" w:cs="宋体"/>
          <w:color w:val="000000" w:themeColor="text1"/>
          <w:sz w:val="24"/>
          <w:szCs w:val="24"/>
        </w:rPr>
        <w:tab/>
      </w:r>
      <w:r>
        <w:rPr>
          <w:rFonts w:hint="eastAsia" w:ascii="宋体" w:hAnsi="宋体" w:cs="宋体"/>
          <w:color w:val="000000" w:themeColor="text1"/>
          <w:sz w:val="24"/>
          <w:szCs w:val="24"/>
        </w:rPr>
        <w:t>日</w:t>
      </w:r>
    </w:p>
    <w:p>
      <w:pPr>
        <w:snapToGrid w:val="0"/>
        <w:spacing w:line="300" w:lineRule="exact"/>
        <w:jc w:val="center"/>
        <w:rPr>
          <w:rFonts w:ascii="宋体" w:hAnsi="宋体" w:cs="宋体"/>
          <w:color w:val="000000" w:themeColor="text1"/>
          <w:sz w:val="32"/>
          <w:szCs w:val="32"/>
        </w:rPr>
        <w:sectPr>
          <w:pgSz w:w="16838" w:h="11906" w:orient="landscape"/>
          <w:pgMar w:top="1587" w:right="1418" w:bottom="1366" w:left="1418" w:header="851" w:footer="907" w:gutter="0"/>
          <w:pgNumType w:fmt="decimalFullWidth"/>
          <w:cols w:space="720" w:num="1"/>
          <w:docGrid w:type="linesAndChars" w:linePitch="298" w:charSpace="0"/>
        </w:sectPr>
      </w:pPr>
    </w:p>
    <w:p>
      <w:pPr>
        <w:spacing w:line="320" w:lineRule="exact"/>
        <w:ind w:right="4"/>
        <w:jc w:val="center"/>
        <w:rPr>
          <w:rFonts w:ascii="宋体" w:hAnsi="宋体" w:cs="宋体"/>
          <w:color w:val="000000" w:themeColor="text1"/>
        </w:rPr>
      </w:pPr>
      <w:r>
        <w:rPr>
          <w:rFonts w:hint="eastAsia" w:ascii="宋体" w:hAnsi="宋体" w:cs="宋体"/>
          <w:color w:val="000000" w:themeColor="text1"/>
          <w:sz w:val="28"/>
        </w:rPr>
        <w:t>驾驶员信息表</w:t>
      </w:r>
    </w:p>
    <w:tbl>
      <w:tblPr>
        <w:tblStyle w:val="45"/>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1062"/>
        <w:gridCol w:w="1015"/>
        <w:gridCol w:w="1543"/>
        <w:gridCol w:w="1517"/>
        <w:gridCol w:w="1216"/>
        <w:gridCol w:w="1850"/>
        <w:gridCol w:w="1284"/>
        <w:gridCol w:w="1233"/>
        <w:gridCol w:w="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1588" w:type="dxa"/>
            <w:tcBorders>
              <w:right w:val="single" w:color="auto" w:sz="4" w:space="0"/>
            </w:tcBorders>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姓名</w:t>
            </w:r>
          </w:p>
        </w:tc>
        <w:tc>
          <w:tcPr>
            <w:tcW w:w="1062" w:type="dxa"/>
            <w:tcBorders>
              <w:left w:val="single" w:color="auto" w:sz="4" w:space="0"/>
            </w:tcBorders>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性别</w:t>
            </w:r>
          </w:p>
        </w:tc>
        <w:tc>
          <w:tcPr>
            <w:tcW w:w="1015"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准驾车型</w:t>
            </w:r>
          </w:p>
        </w:tc>
        <w:tc>
          <w:tcPr>
            <w:tcW w:w="1543"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拟驾驶本项目何种车型</w:t>
            </w:r>
          </w:p>
        </w:tc>
        <w:tc>
          <w:tcPr>
            <w:tcW w:w="1517"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是否为投标人</w:t>
            </w:r>
          </w:p>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自有员工</w:t>
            </w:r>
          </w:p>
        </w:tc>
        <w:tc>
          <w:tcPr>
            <w:tcW w:w="1216"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是否已购买社保</w:t>
            </w:r>
          </w:p>
        </w:tc>
        <w:tc>
          <w:tcPr>
            <w:tcW w:w="1850"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近3年是否生交通违法行为记录</w:t>
            </w:r>
          </w:p>
        </w:tc>
        <w:tc>
          <w:tcPr>
            <w:tcW w:w="1284"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年龄</w:t>
            </w:r>
          </w:p>
        </w:tc>
        <w:tc>
          <w:tcPr>
            <w:tcW w:w="1233"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驾龄</w:t>
            </w:r>
          </w:p>
        </w:tc>
        <w:tc>
          <w:tcPr>
            <w:tcW w:w="903"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274" w:lineRule="exact"/>
              <w:jc w:val="center"/>
              <w:rPr>
                <w:rFonts w:ascii="宋体" w:hAnsi="宋体" w:cs="宋体"/>
                <w:color w:val="000000" w:themeColor="text1"/>
                <w:sz w:val="24"/>
              </w:rPr>
            </w:pPr>
          </w:p>
        </w:tc>
        <w:tc>
          <w:tcPr>
            <w:tcW w:w="1015" w:type="dxa"/>
            <w:vAlign w:val="center"/>
          </w:tcPr>
          <w:p>
            <w:pPr>
              <w:spacing w:line="274" w:lineRule="exact"/>
              <w:jc w:val="center"/>
              <w:rPr>
                <w:rFonts w:ascii="宋体" w:hAnsi="宋体" w:cs="宋体"/>
                <w:color w:val="000000" w:themeColor="text1"/>
                <w:sz w:val="24"/>
              </w:rPr>
            </w:pPr>
          </w:p>
        </w:tc>
        <w:tc>
          <w:tcPr>
            <w:tcW w:w="1543" w:type="dxa"/>
            <w:vAlign w:val="center"/>
          </w:tcPr>
          <w:p>
            <w:pPr>
              <w:spacing w:line="274" w:lineRule="exact"/>
              <w:jc w:val="center"/>
              <w:rPr>
                <w:rFonts w:ascii="宋体" w:hAnsi="宋体" w:cs="宋体"/>
                <w:color w:val="000000" w:themeColor="text1"/>
                <w:sz w:val="24"/>
              </w:rPr>
            </w:pPr>
          </w:p>
        </w:tc>
        <w:tc>
          <w:tcPr>
            <w:tcW w:w="1517" w:type="dxa"/>
            <w:vAlign w:val="center"/>
          </w:tcPr>
          <w:p>
            <w:pPr>
              <w:spacing w:line="274" w:lineRule="exact"/>
              <w:jc w:val="center"/>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tcBorders>
              <w:right w:val="single" w:color="auto" w:sz="4" w:space="0"/>
            </w:tcBorders>
            <w:vAlign w:val="center"/>
          </w:tcPr>
          <w:p>
            <w:pPr>
              <w:spacing w:line="0" w:lineRule="atLeast"/>
              <w:rPr>
                <w:rFonts w:ascii="宋体" w:hAnsi="宋体" w:cs="宋体"/>
                <w:color w:val="000000" w:themeColor="text1"/>
                <w:sz w:val="24"/>
              </w:rPr>
            </w:pPr>
          </w:p>
        </w:tc>
        <w:tc>
          <w:tcPr>
            <w:tcW w:w="1850" w:type="dxa"/>
            <w:tcBorders>
              <w:left w:val="single" w:color="auto" w:sz="4" w:space="0"/>
            </w:tcBorders>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8553" w:type="dxa"/>
            <w:gridSpan w:val="7"/>
            <w:tcBorders>
              <w:right w:val="single" w:color="auto" w:sz="4" w:space="0"/>
            </w:tcBorders>
            <w:vAlign w:val="center"/>
          </w:tcPr>
          <w:p>
            <w:pPr>
              <w:spacing w:line="0" w:lineRule="atLeast"/>
              <w:jc w:val="center"/>
              <w:rPr>
                <w:rFonts w:ascii="宋体" w:hAnsi="宋体" w:cs="宋体"/>
                <w:color w:val="000000" w:themeColor="text1"/>
                <w:sz w:val="24"/>
              </w:rPr>
            </w:pPr>
            <w:r>
              <w:rPr>
                <w:rFonts w:hint="eastAsia" w:ascii="宋体" w:hAnsi="宋体" w:cs="宋体"/>
                <w:color w:val="000000" w:themeColor="text1"/>
                <w:sz w:val="24"/>
              </w:rPr>
              <w:t>上述所有驾驶员驾龄合计</w:t>
            </w:r>
          </w:p>
        </w:tc>
        <w:tc>
          <w:tcPr>
            <w:tcW w:w="4367" w:type="dxa"/>
            <w:gridSpan w:val="3"/>
            <w:tcBorders>
              <w:left w:val="single" w:color="auto" w:sz="4" w:space="0"/>
            </w:tcBorders>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bl>
    <w:p>
      <w:pPr>
        <w:spacing w:line="148" w:lineRule="exact"/>
        <w:rPr>
          <w:rFonts w:ascii="宋体" w:hAnsi="宋体" w:cs="宋体"/>
          <w:color w:val="000000" w:themeColor="text1"/>
          <w:sz w:val="20"/>
          <w:szCs w:val="20"/>
        </w:rPr>
      </w:pPr>
    </w:p>
    <w:p>
      <w:pPr>
        <w:spacing w:line="274" w:lineRule="exact"/>
        <w:ind w:left="360"/>
        <w:rPr>
          <w:rFonts w:ascii="宋体" w:hAnsi="宋体" w:cs="宋体"/>
          <w:color w:val="000000" w:themeColor="text1"/>
          <w:sz w:val="24"/>
        </w:rPr>
      </w:pPr>
      <w:r>
        <w:rPr>
          <w:rFonts w:hint="eastAsia" w:ascii="宋体" w:hAnsi="宋体" w:cs="宋体"/>
          <w:color w:val="000000" w:themeColor="text1"/>
          <w:sz w:val="24"/>
        </w:rPr>
        <w:t>注：信息表中提供的驾驶员必须是承担出车任务的司机，且不得随意更换。</w:t>
      </w:r>
    </w:p>
    <w:p>
      <w:pPr>
        <w:spacing w:line="207" w:lineRule="exact"/>
        <w:rPr>
          <w:rFonts w:ascii="宋体" w:hAnsi="宋体" w:cs="宋体"/>
          <w:color w:val="000000" w:themeColor="text1"/>
        </w:rPr>
      </w:pPr>
    </w:p>
    <w:p>
      <w:pPr>
        <w:spacing w:line="300" w:lineRule="exact"/>
        <w:rPr>
          <w:rFonts w:ascii="宋体" w:hAnsi="宋体" w:cs="宋体"/>
          <w:color w:val="000000" w:themeColor="text1"/>
          <w:sz w:val="24"/>
          <w:szCs w:val="24"/>
        </w:rPr>
      </w:pPr>
      <w:r>
        <w:rPr>
          <w:rFonts w:hint="eastAsia" w:ascii="宋体" w:hAnsi="宋体" w:cs="宋体"/>
          <w:bCs/>
          <w:color w:val="000000" w:themeColor="text1"/>
          <w:sz w:val="24"/>
        </w:rPr>
        <w:t>供应商名称（公章）：</w:t>
      </w:r>
    </w:p>
    <w:p>
      <w:pPr>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法定代表人（签章）：</w:t>
      </w:r>
    </w:p>
    <w:p>
      <w:pPr>
        <w:tabs>
          <w:tab w:val="left" w:pos="6460"/>
          <w:tab w:val="left" w:pos="7300"/>
          <w:tab w:val="left" w:pos="8140"/>
        </w:tabs>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日期：</w:t>
      </w:r>
      <w:r>
        <w:rPr>
          <w:rFonts w:hint="eastAsia" w:ascii="宋体" w:hAnsi="宋体" w:cs="宋体"/>
          <w:color w:val="000000" w:themeColor="text1"/>
          <w:sz w:val="24"/>
          <w:szCs w:val="24"/>
        </w:rPr>
        <w:tab/>
      </w:r>
      <w:r>
        <w:rPr>
          <w:rFonts w:hint="eastAsia" w:ascii="宋体" w:hAnsi="宋体" w:cs="宋体"/>
          <w:color w:val="000000" w:themeColor="text1"/>
          <w:sz w:val="24"/>
          <w:szCs w:val="24"/>
        </w:rPr>
        <w:t>年</w:t>
      </w:r>
      <w:r>
        <w:rPr>
          <w:rFonts w:hint="eastAsia" w:ascii="宋体" w:hAnsi="宋体" w:cs="宋体"/>
          <w:color w:val="000000" w:themeColor="text1"/>
          <w:sz w:val="24"/>
          <w:szCs w:val="24"/>
        </w:rPr>
        <w:tab/>
      </w:r>
      <w:r>
        <w:rPr>
          <w:rFonts w:hint="eastAsia" w:ascii="宋体" w:hAnsi="宋体" w:cs="宋体"/>
          <w:color w:val="000000" w:themeColor="text1"/>
          <w:sz w:val="24"/>
          <w:szCs w:val="24"/>
        </w:rPr>
        <w:t>月</w:t>
      </w:r>
      <w:r>
        <w:rPr>
          <w:rFonts w:hint="eastAsia" w:ascii="宋体" w:hAnsi="宋体" w:cs="宋体"/>
          <w:color w:val="000000" w:themeColor="text1"/>
          <w:sz w:val="24"/>
          <w:szCs w:val="24"/>
        </w:rPr>
        <w:tab/>
      </w:r>
      <w:r>
        <w:rPr>
          <w:rFonts w:hint="eastAsia" w:ascii="宋体" w:hAnsi="宋体" w:cs="宋体"/>
          <w:color w:val="000000" w:themeColor="text1"/>
          <w:sz w:val="24"/>
          <w:szCs w:val="24"/>
        </w:rPr>
        <w:t>日</w:t>
      </w:r>
    </w:p>
    <w:p>
      <w:pPr>
        <w:snapToGrid w:val="0"/>
        <w:spacing w:line="300" w:lineRule="exact"/>
        <w:jc w:val="center"/>
        <w:rPr>
          <w:rFonts w:ascii="宋体" w:hAnsi="宋体" w:cs="宋体"/>
          <w:color w:val="000000" w:themeColor="text1"/>
          <w:sz w:val="32"/>
          <w:szCs w:val="32"/>
        </w:rPr>
        <w:sectPr>
          <w:pgSz w:w="16838" w:h="11906" w:orient="landscape"/>
          <w:pgMar w:top="1587" w:right="1418" w:bottom="1366" w:left="1418" w:header="851" w:footer="907" w:gutter="0"/>
          <w:pgNumType w:fmt="decimalFullWidth"/>
          <w:cols w:space="720" w:num="1"/>
          <w:docGrid w:type="linesAndChars" w:linePitch="298" w:charSpace="0"/>
        </w:sect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七、</w:t>
      </w:r>
      <w:bookmarkEnd w:id="180"/>
      <w:r>
        <w:rPr>
          <w:rFonts w:hint="eastAsia" w:ascii="宋体" w:hAnsi="宋体" w:cs="宋体"/>
          <w:color w:val="000000" w:themeColor="text1"/>
          <w:sz w:val="32"/>
          <w:szCs w:val="32"/>
        </w:rPr>
        <w:t>商务条款响应及偏离表（如有）</w:t>
      </w:r>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服务期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用车响应时间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用车地点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备品备件等要求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tabs>
          <w:tab w:val="left" w:pos="6460"/>
          <w:tab w:val="left" w:pos="7300"/>
          <w:tab w:val="left" w:pos="8140"/>
        </w:tabs>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日期：   年   月   日</w:t>
      </w:r>
    </w:p>
    <w:p>
      <w:pPr>
        <w:pStyle w:val="44"/>
        <w:ind w:firstLine="0" w:firstLineChars="0"/>
        <w:rPr>
          <w:color w:val="000000" w:themeColor="text1"/>
        </w:rPr>
      </w:pPr>
    </w:p>
    <w:p>
      <w:pPr>
        <w:pStyle w:val="3"/>
        <w:rPr>
          <w:rFonts w:ascii="宋体" w:hAnsi="宋体" w:eastAsia="宋体" w:cs="宋体"/>
          <w:b w:val="0"/>
          <w:bCs w:val="0"/>
          <w:color w:val="000000" w:themeColor="text1"/>
          <w:sz w:val="24"/>
          <w:szCs w:val="21"/>
        </w:rPr>
      </w:pPr>
    </w:p>
    <w:p>
      <w:pPr>
        <w:pStyle w:val="4"/>
        <w:rPr>
          <w:rFonts w:ascii="宋体" w:hAnsi="宋体" w:cs="宋体"/>
          <w:color w:val="000000" w:themeColor="text1"/>
        </w:rPr>
      </w:pPr>
    </w:p>
    <w:p>
      <w:pPr>
        <w:spacing w:line="480" w:lineRule="auto"/>
        <w:rPr>
          <w:rFonts w:ascii="宋体" w:hAnsi="宋体" w:cs="宋体"/>
          <w:color w:val="000000" w:themeColor="text1"/>
          <w:sz w:val="30"/>
        </w:rPr>
      </w:pPr>
      <w:bookmarkStart w:id="181" w:name="_Hlt26671343"/>
      <w:bookmarkEnd w:id="181"/>
      <w:bookmarkStart w:id="182" w:name="_Hlt26671374"/>
      <w:bookmarkEnd w:id="182"/>
      <w:bookmarkStart w:id="183" w:name="_Hlt26782999"/>
      <w:bookmarkEnd w:id="183"/>
      <w:bookmarkStart w:id="184" w:name="_Hlt26580838"/>
      <w:bookmarkEnd w:id="184"/>
      <w:bookmarkStart w:id="185" w:name="_Hlt26609391"/>
      <w:bookmarkEnd w:id="185"/>
      <w:bookmarkStart w:id="186" w:name="_Hlt26955064"/>
      <w:bookmarkEnd w:id="186"/>
      <w:bookmarkStart w:id="187" w:name="_Hlt26671372"/>
      <w:bookmarkEnd w:id="187"/>
      <w:bookmarkStart w:id="188" w:name="_Hlt26609389"/>
      <w:bookmarkEnd w:id="188"/>
      <w:bookmarkStart w:id="189" w:name="_Hlt26955066"/>
      <w:bookmarkEnd w:id="189"/>
      <w:bookmarkStart w:id="190" w:name="_Hlt24879081"/>
      <w:bookmarkEnd w:id="190"/>
      <w:bookmarkStart w:id="191" w:name="_Hlt26955056"/>
      <w:bookmarkEnd w:id="191"/>
      <w:bookmarkStart w:id="192" w:name="_Toc462564146"/>
    </w:p>
    <w:p>
      <w:pPr>
        <w:pStyle w:val="44"/>
        <w:ind w:firstLine="600"/>
        <w:rPr>
          <w:rFonts w:cs="宋体"/>
          <w:color w:val="000000" w:themeColor="text1"/>
          <w:sz w:val="30"/>
        </w:rPr>
      </w:pPr>
    </w:p>
    <w:p>
      <w:pPr>
        <w:pStyle w:val="44"/>
        <w:ind w:firstLine="600"/>
        <w:rPr>
          <w:rFonts w:cs="宋体"/>
          <w:color w:val="000000" w:themeColor="text1"/>
          <w:sz w:val="30"/>
        </w:rPr>
      </w:pPr>
    </w:p>
    <w:p>
      <w:pPr>
        <w:pStyle w:val="4"/>
        <w:ind w:firstLine="0"/>
        <w:rPr>
          <w:rFonts w:ascii="宋体" w:hAnsi="宋体" w:cs="宋体"/>
          <w:color w:val="000000" w:themeColor="text1"/>
          <w:sz w:val="24"/>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八、技术方案、服务承诺等</w:t>
      </w:r>
      <w:bookmarkEnd w:id="167"/>
      <w:bookmarkEnd w:id="168"/>
      <w:bookmarkEnd w:id="192"/>
      <w:bookmarkStart w:id="193" w:name="_格式2__法定代表人授权书"/>
      <w:bookmarkEnd w:id="193"/>
    </w:p>
    <w:sectPr>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２８</w:t>
    </w:r>
    <w:r>
      <w:rPr>
        <w:rFonts w:ascii="宋体" w:hAnsi="宋体"/>
      </w:rPr>
      <w:fldChar w:fldCharType="end"/>
    </w:r>
  </w:p>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４６</w:t>
    </w:r>
    <w:r>
      <w:rPr>
        <w:rFonts w:ascii="宋体" w:hAnsi="宋体"/>
      </w:rPr>
      <w:fldChar w:fldCharType="end"/>
    </w:r>
  </w:p>
  <w:p>
    <w:pPr>
      <w:pStyle w:val="28"/>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color w:val="FF0000"/>
        <w:spacing w:val="40"/>
        <w:sz w:val="21"/>
        <w:szCs w:val="21"/>
      </w:rPr>
    </w:pPr>
    <w:r>
      <w:rPr>
        <w:rFonts w:hint="eastAsia" w:eastAsia="隶书"/>
        <w:color w:val="000000"/>
        <w:spacing w:val="40"/>
        <w:sz w:val="21"/>
        <w:szCs w:val="21"/>
      </w:rPr>
      <w:t>盐城工业职业技术学院车辆租赁服务项目</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color w:val="FF0000"/>
        <w:spacing w:val="40"/>
        <w:sz w:val="21"/>
        <w:szCs w:val="21"/>
      </w:rPr>
    </w:pPr>
    <w:r>
      <w:rPr>
        <w:rFonts w:hint="eastAsia" w:eastAsia="隶书"/>
        <w:color w:val="000000"/>
        <w:spacing w:val="40"/>
        <w:sz w:val="21"/>
        <w:szCs w:val="21"/>
      </w:rPr>
      <w:t>盐城工业职业技术学院公务用车定点租赁服务项目</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90"/>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9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257C"/>
    <w:rsid w:val="00003DC7"/>
    <w:rsid w:val="00004AED"/>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128"/>
    <w:rsid w:val="00031E43"/>
    <w:rsid w:val="000333D7"/>
    <w:rsid w:val="00033D8D"/>
    <w:rsid w:val="00036863"/>
    <w:rsid w:val="00037990"/>
    <w:rsid w:val="000434F6"/>
    <w:rsid w:val="000440A4"/>
    <w:rsid w:val="00045D22"/>
    <w:rsid w:val="00046B9E"/>
    <w:rsid w:val="0005114D"/>
    <w:rsid w:val="0005153E"/>
    <w:rsid w:val="000544A7"/>
    <w:rsid w:val="0005513D"/>
    <w:rsid w:val="00055BC4"/>
    <w:rsid w:val="000564F6"/>
    <w:rsid w:val="00056AE9"/>
    <w:rsid w:val="00057ADA"/>
    <w:rsid w:val="000605BB"/>
    <w:rsid w:val="0006121F"/>
    <w:rsid w:val="00062851"/>
    <w:rsid w:val="00062C51"/>
    <w:rsid w:val="00062EE7"/>
    <w:rsid w:val="0006657E"/>
    <w:rsid w:val="00066E0B"/>
    <w:rsid w:val="0007132E"/>
    <w:rsid w:val="00071631"/>
    <w:rsid w:val="00072A72"/>
    <w:rsid w:val="00073884"/>
    <w:rsid w:val="00073CD4"/>
    <w:rsid w:val="00076A17"/>
    <w:rsid w:val="000824BA"/>
    <w:rsid w:val="0008265D"/>
    <w:rsid w:val="00082C5C"/>
    <w:rsid w:val="00082F11"/>
    <w:rsid w:val="000833E7"/>
    <w:rsid w:val="0008366C"/>
    <w:rsid w:val="000837A2"/>
    <w:rsid w:val="00084B83"/>
    <w:rsid w:val="00085AAC"/>
    <w:rsid w:val="00087FC3"/>
    <w:rsid w:val="0009034C"/>
    <w:rsid w:val="00090BB5"/>
    <w:rsid w:val="000939A7"/>
    <w:rsid w:val="00094732"/>
    <w:rsid w:val="00094CD5"/>
    <w:rsid w:val="00095042"/>
    <w:rsid w:val="000956B3"/>
    <w:rsid w:val="00096A17"/>
    <w:rsid w:val="000A2569"/>
    <w:rsid w:val="000A2DEC"/>
    <w:rsid w:val="000A2FC6"/>
    <w:rsid w:val="000A381D"/>
    <w:rsid w:val="000A41F7"/>
    <w:rsid w:val="000A5684"/>
    <w:rsid w:val="000A5C24"/>
    <w:rsid w:val="000B1517"/>
    <w:rsid w:val="000B4987"/>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E77F1"/>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209A8"/>
    <w:rsid w:val="00120B27"/>
    <w:rsid w:val="001216F8"/>
    <w:rsid w:val="0012291E"/>
    <w:rsid w:val="0012335D"/>
    <w:rsid w:val="00126079"/>
    <w:rsid w:val="00126928"/>
    <w:rsid w:val="00127CC7"/>
    <w:rsid w:val="00130AE1"/>
    <w:rsid w:val="00130E0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1BC8"/>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3D79"/>
    <w:rsid w:val="001A5BDF"/>
    <w:rsid w:val="001B2DEF"/>
    <w:rsid w:val="001B5050"/>
    <w:rsid w:val="001B7E61"/>
    <w:rsid w:val="001C03AA"/>
    <w:rsid w:val="001C14B1"/>
    <w:rsid w:val="001C373D"/>
    <w:rsid w:val="001C5C56"/>
    <w:rsid w:val="001C5F27"/>
    <w:rsid w:val="001C6BCC"/>
    <w:rsid w:val="001D01DB"/>
    <w:rsid w:val="001D1657"/>
    <w:rsid w:val="001D4A32"/>
    <w:rsid w:val="001D6B89"/>
    <w:rsid w:val="001D6E74"/>
    <w:rsid w:val="001E13DE"/>
    <w:rsid w:val="001E1981"/>
    <w:rsid w:val="001E2637"/>
    <w:rsid w:val="001E45B5"/>
    <w:rsid w:val="001E61A6"/>
    <w:rsid w:val="001E7A14"/>
    <w:rsid w:val="001F07E3"/>
    <w:rsid w:val="001F110F"/>
    <w:rsid w:val="001F15A6"/>
    <w:rsid w:val="001F1B38"/>
    <w:rsid w:val="001F1F9E"/>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0D7D"/>
    <w:rsid w:val="0022233B"/>
    <w:rsid w:val="002227C7"/>
    <w:rsid w:val="00223B19"/>
    <w:rsid w:val="00224736"/>
    <w:rsid w:val="002250B4"/>
    <w:rsid w:val="00225AFD"/>
    <w:rsid w:val="00226A97"/>
    <w:rsid w:val="00230D01"/>
    <w:rsid w:val="00233012"/>
    <w:rsid w:val="002330E9"/>
    <w:rsid w:val="00234032"/>
    <w:rsid w:val="002340C8"/>
    <w:rsid w:val="0023784A"/>
    <w:rsid w:val="00243056"/>
    <w:rsid w:val="0024324A"/>
    <w:rsid w:val="0024354B"/>
    <w:rsid w:val="002440FD"/>
    <w:rsid w:val="00244357"/>
    <w:rsid w:val="00244756"/>
    <w:rsid w:val="00244C9A"/>
    <w:rsid w:val="00244FFE"/>
    <w:rsid w:val="00247653"/>
    <w:rsid w:val="0025045D"/>
    <w:rsid w:val="00254FD3"/>
    <w:rsid w:val="00255FBA"/>
    <w:rsid w:val="002561D3"/>
    <w:rsid w:val="00256269"/>
    <w:rsid w:val="00260723"/>
    <w:rsid w:val="002607A3"/>
    <w:rsid w:val="00260BB7"/>
    <w:rsid w:val="00262FF0"/>
    <w:rsid w:val="002664E2"/>
    <w:rsid w:val="00266DDA"/>
    <w:rsid w:val="0027038C"/>
    <w:rsid w:val="002716FB"/>
    <w:rsid w:val="0027505D"/>
    <w:rsid w:val="00281581"/>
    <w:rsid w:val="00281895"/>
    <w:rsid w:val="0028335D"/>
    <w:rsid w:val="00285C1D"/>
    <w:rsid w:val="00287A8C"/>
    <w:rsid w:val="00287E9A"/>
    <w:rsid w:val="00290A64"/>
    <w:rsid w:val="002910ED"/>
    <w:rsid w:val="002916A6"/>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5D6"/>
    <w:rsid w:val="002B7C5D"/>
    <w:rsid w:val="002C14F9"/>
    <w:rsid w:val="002C427A"/>
    <w:rsid w:val="002C57E1"/>
    <w:rsid w:val="002C5A53"/>
    <w:rsid w:val="002C5DC3"/>
    <w:rsid w:val="002C639D"/>
    <w:rsid w:val="002D2B63"/>
    <w:rsid w:val="002D2BA8"/>
    <w:rsid w:val="002D2D7E"/>
    <w:rsid w:val="002D2EC2"/>
    <w:rsid w:val="002D337A"/>
    <w:rsid w:val="002D337E"/>
    <w:rsid w:val="002D49D4"/>
    <w:rsid w:val="002D4ABD"/>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7B9"/>
    <w:rsid w:val="003029C6"/>
    <w:rsid w:val="0030300C"/>
    <w:rsid w:val="00303B22"/>
    <w:rsid w:val="003052EE"/>
    <w:rsid w:val="00305902"/>
    <w:rsid w:val="0030792E"/>
    <w:rsid w:val="00307D8B"/>
    <w:rsid w:val="003100C5"/>
    <w:rsid w:val="003102E4"/>
    <w:rsid w:val="00311404"/>
    <w:rsid w:val="003118BA"/>
    <w:rsid w:val="00311F7A"/>
    <w:rsid w:val="00314A50"/>
    <w:rsid w:val="00314CE0"/>
    <w:rsid w:val="003161E0"/>
    <w:rsid w:val="00320AF9"/>
    <w:rsid w:val="0032284B"/>
    <w:rsid w:val="00322C31"/>
    <w:rsid w:val="003235E4"/>
    <w:rsid w:val="0032383B"/>
    <w:rsid w:val="00324629"/>
    <w:rsid w:val="00324942"/>
    <w:rsid w:val="00325F10"/>
    <w:rsid w:val="0033180A"/>
    <w:rsid w:val="00332BD1"/>
    <w:rsid w:val="00335ED9"/>
    <w:rsid w:val="00340404"/>
    <w:rsid w:val="00341B1F"/>
    <w:rsid w:val="00342232"/>
    <w:rsid w:val="00342F58"/>
    <w:rsid w:val="00344A42"/>
    <w:rsid w:val="00345847"/>
    <w:rsid w:val="00345904"/>
    <w:rsid w:val="00346DB2"/>
    <w:rsid w:val="00351E99"/>
    <w:rsid w:val="00352805"/>
    <w:rsid w:val="00352E10"/>
    <w:rsid w:val="00360A69"/>
    <w:rsid w:val="00361414"/>
    <w:rsid w:val="003630EB"/>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119"/>
    <w:rsid w:val="003A454B"/>
    <w:rsid w:val="003A4D66"/>
    <w:rsid w:val="003A4E67"/>
    <w:rsid w:val="003A5ED9"/>
    <w:rsid w:val="003A72E5"/>
    <w:rsid w:val="003B2917"/>
    <w:rsid w:val="003B367D"/>
    <w:rsid w:val="003B3E7D"/>
    <w:rsid w:val="003B559E"/>
    <w:rsid w:val="003B59D9"/>
    <w:rsid w:val="003B5D45"/>
    <w:rsid w:val="003B6952"/>
    <w:rsid w:val="003C10DD"/>
    <w:rsid w:val="003C1190"/>
    <w:rsid w:val="003C1289"/>
    <w:rsid w:val="003C1A92"/>
    <w:rsid w:val="003C3300"/>
    <w:rsid w:val="003C3481"/>
    <w:rsid w:val="003C3791"/>
    <w:rsid w:val="003C422D"/>
    <w:rsid w:val="003C5ABF"/>
    <w:rsid w:val="003C66FB"/>
    <w:rsid w:val="003C69D7"/>
    <w:rsid w:val="003C7AE5"/>
    <w:rsid w:val="003D10D2"/>
    <w:rsid w:val="003D137A"/>
    <w:rsid w:val="003D1E45"/>
    <w:rsid w:val="003D2006"/>
    <w:rsid w:val="003D300E"/>
    <w:rsid w:val="003D318E"/>
    <w:rsid w:val="003D430B"/>
    <w:rsid w:val="003D58A5"/>
    <w:rsid w:val="003D647D"/>
    <w:rsid w:val="003D6930"/>
    <w:rsid w:val="003D6DC4"/>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3F5CB3"/>
    <w:rsid w:val="004007DB"/>
    <w:rsid w:val="00400C8B"/>
    <w:rsid w:val="004024F1"/>
    <w:rsid w:val="00403EE9"/>
    <w:rsid w:val="004043A2"/>
    <w:rsid w:val="00405121"/>
    <w:rsid w:val="00405BB6"/>
    <w:rsid w:val="0041079B"/>
    <w:rsid w:val="00410D40"/>
    <w:rsid w:val="00411141"/>
    <w:rsid w:val="00412922"/>
    <w:rsid w:val="00412A51"/>
    <w:rsid w:val="00414707"/>
    <w:rsid w:val="00414E62"/>
    <w:rsid w:val="00416102"/>
    <w:rsid w:val="00416891"/>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1C5A"/>
    <w:rsid w:val="00433227"/>
    <w:rsid w:val="00434521"/>
    <w:rsid w:val="00435338"/>
    <w:rsid w:val="00435C59"/>
    <w:rsid w:val="0043640B"/>
    <w:rsid w:val="00436A23"/>
    <w:rsid w:val="00437A7F"/>
    <w:rsid w:val="0044077A"/>
    <w:rsid w:val="00440C79"/>
    <w:rsid w:val="00441801"/>
    <w:rsid w:val="00441954"/>
    <w:rsid w:val="00441A24"/>
    <w:rsid w:val="00442C53"/>
    <w:rsid w:val="0044338F"/>
    <w:rsid w:val="00443946"/>
    <w:rsid w:val="00444AAB"/>
    <w:rsid w:val="00445268"/>
    <w:rsid w:val="00445A89"/>
    <w:rsid w:val="00446354"/>
    <w:rsid w:val="004467D3"/>
    <w:rsid w:val="00451F45"/>
    <w:rsid w:val="00452065"/>
    <w:rsid w:val="004541C8"/>
    <w:rsid w:val="0045494F"/>
    <w:rsid w:val="00455782"/>
    <w:rsid w:val="00455EB6"/>
    <w:rsid w:val="0046057B"/>
    <w:rsid w:val="00461749"/>
    <w:rsid w:val="0046208D"/>
    <w:rsid w:val="00462769"/>
    <w:rsid w:val="00470615"/>
    <w:rsid w:val="0047092B"/>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031"/>
    <w:rsid w:val="00494B59"/>
    <w:rsid w:val="00494C4F"/>
    <w:rsid w:val="004956DB"/>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0510"/>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CE0"/>
    <w:rsid w:val="00500D41"/>
    <w:rsid w:val="00502660"/>
    <w:rsid w:val="00502AAE"/>
    <w:rsid w:val="00503685"/>
    <w:rsid w:val="005046FA"/>
    <w:rsid w:val="00504FB2"/>
    <w:rsid w:val="00505733"/>
    <w:rsid w:val="00506B42"/>
    <w:rsid w:val="005118AB"/>
    <w:rsid w:val="00511FA2"/>
    <w:rsid w:val="00512034"/>
    <w:rsid w:val="005142D5"/>
    <w:rsid w:val="00514D3A"/>
    <w:rsid w:val="00514F73"/>
    <w:rsid w:val="005150D2"/>
    <w:rsid w:val="005177C2"/>
    <w:rsid w:val="00522015"/>
    <w:rsid w:val="0052445F"/>
    <w:rsid w:val="00524A9B"/>
    <w:rsid w:val="0052530D"/>
    <w:rsid w:val="00526D0B"/>
    <w:rsid w:val="00527C3A"/>
    <w:rsid w:val="00532ED5"/>
    <w:rsid w:val="00533FB8"/>
    <w:rsid w:val="005340AF"/>
    <w:rsid w:val="005361E9"/>
    <w:rsid w:val="0054082E"/>
    <w:rsid w:val="0054132B"/>
    <w:rsid w:val="00541D5A"/>
    <w:rsid w:val="00542A4C"/>
    <w:rsid w:val="00542B57"/>
    <w:rsid w:val="005448F9"/>
    <w:rsid w:val="00544FDE"/>
    <w:rsid w:val="0054527E"/>
    <w:rsid w:val="00545730"/>
    <w:rsid w:val="00545C97"/>
    <w:rsid w:val="00546111"/>
    <w:rsid w:val="0054631A"/>
    <w:rsid w:val="005474A7"/>
    <w:rsid w:val="00551078"/>
    <w:rsid w:val="005528D7"/>
    <w:rsid w:val="0055319A"/>
    <w:rsid w:val="00553A93"/>
    <w:rsid w:val="00553E41"/>
    <w:rsid w:val="005540DE"/>
    <w:rsid w:val="00556ACF"/>
    <w:rsid w:val="00557A2E"/>
    <w:rsid w:val="005619A4"/>
    <w:rsid w:val="00563148"/>
    <w:rsid w:val="00564925"/>
    <w:rsid w:val="00565404"/>
    <w:rsid w:val="005704A3"/>
    <w:rsid w:val="00570DA0"/>
    <w:rsid w:val="00572AAC"/>
    <w:rsid w:val="00576136"/>
    <w:rsid w:val="005764D5"/>
    <w:rsid w:val="005765A1"/>
    <w:rsid w:val="00576A34"/>
    <w:rsid w:val="00577E62"/>
    <w:rsid w:val="0058049C"/>
    <w:rsid w:val="00580792"/>
    <w:rsid w:val="0058113B"/>
    <w:rsid w:val="00581334"/>
    <w:rsid w:val="00581514"/>
    <w:rsid w:val="00582386"/>
    <w:rsid w:val="00582A77"/>
    <w:rsid w:val="00582F7C"/>
    <w:rsid w:val="00583B02"/>
    <w:rsid w:val="00585B72"/>
    <w:rsid w:val="00585E2F"/>
    <w:rsid w:val="005876B4"/>
    <w:rsid w:val="00592963"/>
    <w:rsid w:val="005930B9"/>
    <w:rsid w:val="0059357B"/>
    <w:rsid w:val="00595052"/>
    <w:rsid w:val="00595D0B"/>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0A9"/>
    <w:rsid w:val="005D6A86"/>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06516"/>
    <w:rsid w:val="00610966"/>
    <w:rsid w:val="00611A6B"/>
    <w:rsid w:val="00611B75"/>
    <w:rsid w:val="00612785"/>
    <w:rsid w:val="00612A03"/>
    <w:rsid w:val="00615124"/>
    <w:rsid w:val="006156EA"/>
    <w:rsid w:val="006173D7"/>
    <w:rsid w:val="00617A49"/>
    <w:rsid w:val="00617E8B"/>
    <w:rsid w:val="0062000B"/>
    <w:rsid w:val="0062123C"/>
    <w:rsid w:val="00622C47"/>
    <w:rsid w:val="00624146"/>
    <w:rsid w:val="00624406"/>
    <w:rsid w:val="006245D8"/>
    <w:rsid w:val="0062494A"/>
    <w:rsid w:val="006253F1"/>
    <w:rsid w:val="006264B1"/>
    <w:rsid w:val="00630DAC"/>
    <w:rsid w:val="00630E1C"/>
    <w:rsid w:val="006319BA"/>
    <w:rsid w:val="00634D95"/>
    <w:rsid w:val="00634DE4"/>
    <w:rsid w:val="00635980"/>
    <w:rsid w:val="00635F47"/>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08A2"/>
    <w:rsid w:val="006A40D6"/>
    <w:rsid w:val="006A46FB"/>
    <w:rsid w:val="006A6A8C"/>
    <w:rsid w:val="006B01D5"/>
    <w:rsid w:val="006B0BFF"/>
    <w:rsid w:val="006B1F13"/>
    <w:rsid w:val="006B21C1"/>
    <w:rsid w:val="006B31B9"/>
    <w:rsid w:val="006B3B1B"/>
    <w:rsid w:val="006B60FB"/>
    <w:rsid w:val="006C2552"/>
    <w:rsid w:val="006C3351"/>
    <w:rsid w:val="006C3AAD"/>
    <w:rsid w:val="006C4BEC"/>
    <w:rsid w:val="006C665C"/>
    <w:rsid w:val="006C6A72"/>
    <w:rsid w:val="006D253D"/>
    <w:rsid w:val="006D3461"/>
    <w:rsid w:val="006D3599"/>
    <w:rsid w:val="006D4BF1"/>
    <w:rsid w:val="006D5CEE"/>
    <w:rsid w:val="006D6E90"/>
    <w:rsid w:val="006E04C0"/>
    <w:rsid w:val="006E1F31"/>
    <w:rsid w:val="006E288A"/>
    <w:rsid w:val="006E4B96"/>
    <w:rsid w:val="006E4D62"/>
    <w:rsid w:val="006F11BC"/>
    <w:rsid w:val="006F18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8BE"/>
    <w:rsid w:val="00734AAC"/>
    <w:rsid w:val="00736BC1"/>
    <w:rsid w:val="0073782C"/>
    <w:rsid w:val="00737840"/>
    <w:rsid w:val="0074062F"/>
    <w:rsid w:val="007406CA"/>
    <w:rsid w:val="00740D6F"/>
    <w:rsid w:val="00740F5D"/>
    <w:rsid w:val="00741C57"/>
    <w:rsid w:val="007421D6"/>
    <w:rsid w:val="0074243F"/>
    <w:rsid w:val="00742A78"/>
    <w:rsid w:val="00742BBF"/>
    <w:rsid w:val="00743BDA"/>
    <w:rsid w:val="00744352"/>
    <w:rsid w:val="0074612B"/>
    <w:rsid w:val="00747EEB"/>
    <w:rsid w:val="007526D9"/>
    <w:rsid w:val="00752C37"/>
    <w:rsid w:val="0075377D"/>
    <w:rsid w:val="007544E5"/>
    <w:rsid w:val="0075607C"/>
    <w:rsid w:val="007565CD"/>
    <w:rsid w:val="00761B03"/>
    <w:rsid w:val="00761DE9"/>
    <w:rsid w:val="00762D54"/>
    <w:rsid w:val="00762E7D"/>
    <w:rsid w:val="007656B3"/>
    <w:rsid w:val="00766122"/>
    <w:rsid w:val="00766753"/>
    <w:rsid w:val="00766F33"/>
    <w:rsid w:val="00767BF4"/>
    <w:rsid w:val="0077182E"/>
    <w:rsid w:val="007729B6"/>
    <w:rsid w:val="00772AF3"/>
    <w:rsid w:val="007750C7"/>
    <w:rsid w:val="0077516D"/>
    <w:rsid w:val="007753AC"/>
    <w:rsid w:val="00775AB0"/>
    <w:rsid w:val="0078081B"/>
    <w:rsid w:val="00781D05"/>
    <w:rsid w:val="00783A8D"/>
    <w:rsid w:val="00784C9B"/>
    <w:rsid w:val="007854A7"/>
    <w:rsid w:val="00785824"/>
    <w:rsid w:val="00785C62"/>
    <w:rsid w:val="00785CA4"/>
    <w:rsid w:val="00785E00"/>
    <w:rsid w:val="0078681D"/>
    <w:rsid w:val="00787557"/>
    <w:rsid w:val="00790456"/>
    <w:rsid w:val="00791200"/>
    <w:rsid w:val="00792334"/>
    <w:rsid w:val="007926F2"/>
    <w:rsid w:val="0079372E"/>
    <w:rsid w:val="007937B2"/>
    <w:rsid w:val="00794746"/>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5784"/>
    <w:rsid w:val="007C6419"/>
    <w:rsid w:val="007C6BFD"/>
    <w:rsid w:val="007D0549"/>
    <w:rsid w:val="007D2B49"/>
    <w:rsid w:val="007D3AC4"/>
    <w:rsid w:val="007D3C93"/>
    <w:rsid w:val="007D57D4"/>
    <w:rsid w:val="007D7B4A"/>
    <w:rsid w:val="007D7F35"/>
    <w:rsid w:val="007E086A"/>
    <w:rsid w:val="007E0DC0"/>
    <w:rsid w:val="007E13A4"/>
    <w:rsid w:val="007E15B4"/>
    <w:rsid w:val="007E4057"/>
    <w:rsid w:val="007E4FD4"/>
    <w:rsid w:val="007E5F65"/>
    <w:rsid w:val="007F015D"/>
    <w:rsid w:val="007F0661"/>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2E5E"/>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0FB1"/>
    <w:rsid w:val="00831C73"/>
    <w:rsid w:val="00831ED5"/>
    <w:rsid w:val="0083559D"/>
    <w:rsid w:val="00835DA2"/>
    <w:rsid w:val="00836173"/>
    <w:rsid w:val="00836F4D"/>
    <w:rsid w:val="00841AB6"/>
    <w:rsid w:val="008441DE"/>
    <w:rsid w:val="00844726"/>
    <w:rsid w:val="00844D3B"/>
    <w:rsid w:val="008473C8"/>
    <w:rsid w:val="00852DCA"/>
    <w:rsid w:val="00852FB8"/>
    <w:rsid w:val="00853651"/>
    <w:rsid w:val="00856B7C"/>
    <w:rsid w:val="008571C5"/>
    <w:rsid w:val="00860414"/>
    <w:rsid w:val="008618CB"/>
    <w:rsid w:val="00864C4D"/>
    <w:rsid w:val="008654C3"/>
    <w:rsid w:val="00865952"/>
    <w:rsid w:val="00866542"/>
    <w:rsid w:val="00867C09"/>
    <w:rsid w:val="00871945"/>
    <w:rsid w:val="00871A21"/>
    <w:rsid w:val="00872EBF"/>
    <w:rsid w:val="00872F61"/>
    <w:rsid w:val="00873179"/>
    <w:rsid w:val="00873C3E"/>
    <w:rsid w:val="008745B9"/>
    <w:rsid w:val="008746B5"/>
    <w:rsid w:val="008753E1"/>
    <w:rsid w:val="00875B73"/>
    <w:rsid w:val="0087790A"/>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2845"/>
    <w:rsid w:val="008A397D"/>
    <w:rsid w:val="008A51F4"/>
    <w:rsid w:val="008A63E4"/>
    <w:rsid w:val="008A65F1"/>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3C1B"/>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3D0A"/>
    <w:rsid w:val="00904BE6"/>
    <w:rsid w:val="009076A7"/>
    <w:rsid w:val="0091369E"/>
    <w:rsid w:val="00914E35"/>
    <w:rsid w:val="009170C0"/>
    <w:rsid w:val="00917CFF"/>
    <w:rsid w:val="009205DA"/>
    <w:rsid w:val="00921367"/>
    <w:rsid w:val="00922D59"/>
    <w:rsid w:val="009231B3"/>
    <w:rsid w:val="0092395E"/>
    <w:rsid w:val="00924023"/>
    <w:rsid w:val="00926B02"/>
    <w:rsid w:val="00927349"/>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010"/>
    <w:rsid w:val="0095318A"/>
    <w:rsid w:val="00953603"/>
    <w:rsid w:val="00953D4F"/>
    <w:rsid w:val="00953D99"/>
    <w:rsid w:val="00953F22"/>
    <w:rsid w:val="009540B3"/>
    <w:rsid w:val="009611DC"/>
    <w:rsid w:val="009614B9"/>
    <w:rsid w:val="00961B5B"/>
    <w:rsid w:val="00961C6D"/>
    <w:rsid w:val="009625BD"/>
    <w:rsid w:val="009657AC"/>
    <w:rsid w:val="00965AB4"/>
    <w:rsid w:val="0096790A"/>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6F7E"/>
    <w:rsid w:val="0099727E"/>
    <w:rsid w:val="009A058E"/>
    <w:rsid w:val="009A12C4"/>
    <w:rsid w:val="009A2BA3"/>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1289"/>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5E1"/>
    <w:rsid w:val="00A13AED"/>
    <w:rsid w:val="00A13D69"/>
    <w:rsid w:val="00A16F24"/>
    <w:rsid w:val="00A17096"/>
    <w:rsid w:val="00A17215"/>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35DA1"/>
    <w:rsid w:val="00A42456"/>
    <w:rsid w:val="00A438FE"/>
    <w:rsid w:val="00A4415C"/>
    <w:rsid w:val="00A46EE5"/>
    <w:rsid w:val="00A515A5"/>
    <w:rsid w:val="00A51940"/>
    <w:rsid w:val="00A5420C"/>
    <w:rsid w:val="00A545B6"/>
    <w:rsid w:val="00A55DAE"/>
    <w:rsid w:val="00A5773C"/>
    <w:rsid w:val="00A57A14"/>
    <w:rsid w:val="00A60B81"/>
    <w:rsid w:val="00A62720"/>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09B7"/>
    <w:rsid w:val="00A8123C"/>
    <w:rsid w:val="00A813A5"/>
    <w:rsid w:val="00A81744"/>
    <w:rsid w:val="00A81A14"/>
    <w:rsid w:val="00A8483F"/>
    <w:rsid w:val="00A85BFF"/>
    <w:rsid w:val="00A90378"/>
    <w:rsid w:val="00A911C5"/>
    <w:rsid w:val="00A92DAF"/>
    <w:rsid w:val="00A932DB"/>
    <w:rsid w:val="00A967A2"/>
    <w:rsid w:val="00A97664"/>
    <w:rsid w:val="00AA1E45"/>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0E5C"/>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B01B10"/>
    <w:rsid w:val="00B02AB0"/>
    <w:rsid w:val="00B04E8A"/>
    <w:rsid w:val="00B10B2B"/>
    <w:rsid w:val="00B148CE"/>
    <w:rsid w:val="00B16832"/>
    <w:rsid w:val="00B1690D"/>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22F"/>
    <w:rsid w:val="00B31CB8"/>
    <w:rsid w:val="00B31F85"/>
    <w:rsid w:val="00B3408E"/>
    <w:rsid w:val="00B34EB2"/>
    <w:rsid w:val="00B35352"/>
    <w:rsid w:val="00B35DF2"/>
    <w:rsid w:val="00B35EE6"/>
    <w:rsid w:val="00B36FE3"/>
    <w:rsid w:val="00B37C3B"/>
    <w:rsid w:val="00B423E7"/>
    <w:rsid w:val="00B42595"/>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3A7A"/>
    <w:rsid w:val="00B849FF"/>
    <w:rsid w:val="00B86B36"/>
    <w:rsid w:val="00B90992"/>
    <w:rsid w:val="00B9156A"/>
    <w:rsid w:val="00B928F9"/>
    <w:rsid w:val="00B937C3"/>
    <w:rsid w:val="00B938DC"/>
    <w:rsid w:val="00B93F55"/>
    <w:rsid w:val="00B94BE0"/>
    <w:rsid w:val="00B95B1F"/>
    <w:rsid w:val="00B968AA"/>
    <w:rsid w:val="00BA03E1"/>
    <w:rsid w:val="00BA23E5"/>
    <w:rsid w:val="00BA2B14"/>
    <w:rsid w:val="00BA34C2"/>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17F74"/>
    <w:rsid w:val="00C209FA"/>
    <w:rsid w:val="00C2182D"/>
    <w:rsid w:val="00C21933"/>
    <w:rsid w:val="00C2244B"/>
    <w:rsid w:val="00C22796"/>
    <w:rsid w:val="00C22CFD"/>
    <w:rsid w:val="00C233A4"/>
    <w:rsid w:val="00C24AAA"/>
    <w:rsid w:val="00C26D1F"/>
    <w:rsid w:val="00C302D0"/>
    <w:rsid w:val="00C3032B"/>
    <w:rsid w:val="00C30F62"/>
    <w:rsid w:val="00C319A5"/>
    <w:rsid w:val="00C34AAA"/>
    <w:rsid w:val="00C376B5"/>
    <w:rsid w:val="00C4009F"/>
    <w:rsid w:val="00C4103C"/>
    <w:rsid w:val="00C42A82"/>
    <w:rsid w:val="00C42B1B"/>
    <w:rsid w:val="00C439B6"/>
    <w:rsid w:val="00C46772"/>
    <w:rsid w:val="00C47053"/>
    <w:rsid w:val="00C47119"/>
    <w:rsid w:val="00C5319A"/>
    <w:rsid w:val="00C53413"/>
    <w:rsid w:val="00C539E6"/>
    <w:rsid w:val="00C56C1A"/>
    <w:rsid w:val="00C57D5C"/>
    <w:rsid w:val="00C57DB4"/>
    <w:rsid w:val="00C60405"/>
    <w:rsid w:val="00C60B35"/>
    <w:rsid w:val="00C60ECA"/>
    <w:rsid w:val="00C61CB3"/>
    <w:rsid w:val="00C61D8C"/>
    <w:rsid w:val="00C6304B"/>
    <w:rsid w:val="00C65365"/>
    <w:rsid w:val="00C65D18"/>
    <w:rsid w:val="00C7129C"/>
    <w:rsid w:val="00C722C8"/>
    <w:rsid w:val="00C72368"/>
    <w:rsid w:val="00C7246A"/>
    <w:rsid w:val="00C72E71"/>
    <w:rsid w:val="00C73A3A"/>
    <w:rsid w:val="00C74005"/>
    <w:rsid w:val="00C74501"/>
    <w:rsid w:val="00C7629C"/>
    <w:rsid w:val="00C772E5"/>
    <w:rsid w:val="00C777BF"/>
    <w:rsid w:val="00C80152"/>
    <w:rsid w:val="00C8169D"/>
    <w:rsid w:val="00C83570"/>
    <w:rsid w:val="00C8617E"/>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2FF2"/>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2C0"/>
    <w:rsid w:val="00CD182E"/>
    <w:rsid w:val="00CD3A22"/>
    <w:rsid w:val="00CD4DF5"/>
    <w:rsid w:val="00CD5F79"/>
    <w:rsid w:val="00CE0001"/>
    <w:rsid w:val="00CE036D"/>
    <w:rsid w:val="00CE22B8"/>
    <w:rsid w:val="00CE3068"/>
    <w:rsid w:val="00CE3A72"/>
    <w:rsid w:val="00CE54C2"/>
    <w:rsid w:val="00CE6435"/>
    <w:rsid w:val="00CE7462"/>
    <w:rsid w:val="00CF21D5"/>
    <w:rsid w:val="00CF2417"/>
    <w:rsid w:val="00CF2921"/>
    <w:rsid w:val="00CF3162"/>
    <w:rsid w:val="00CF3CB8"/>
    <w:rsid w:val="00CF3D91"/>
    <w:rsid w:val="00D006A5"/>
    <w:rsid w:val="00D00AF5"/>
    <w:rsid w:val="00D0129A"/>
    <w:rsid w:val="00D021FC"/>
    <w:rsid w:val="00D05012"/>
    <w:rsid w:val="00D05D2E"/>
    <w:rsid w:val="00D0629A"/>
    <w:rsid w:val="00D07080"/>
    <w:rsid w:val="00D07106"/>
    <w:rsid w:val="00D1055E"/>
    <w:rsid w:val="00D11CAB"/>
    <w:rsid w:val="00D13FFA"/>
    <w:rsid w:val="00D17568"/>
    <w:rsid w:val="00D20E60"/>
    <w:rsid w:val="00D23157"/>
    <w:rsid w:val="00D23991"/>
    <w:rsid w:val="00D23ADD"/>
    <w:rsid w:val="00D24774"/>
    <w:rsid w:val="00D25267"/>
    <w:rsid w:val="00D25334"/>
    <w:rsid w:val="00D25B15"/>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094"/>
    <w:rsid w:val="00D5645B"/>
    <w:rsid w:val="00D61D9A"/>
    <w:rsid w:val="00D62312"/>
    <w:rsid w:val="00D66E21"/>
    <w:rsid w:val="00D67595"/>
    <w:rsid w:val="00D679B9"/>
    <w:rsid w:val="00D679E6"/>
    <w:rsid w:val="00D724E9"/>
    <w:rsid w:val="00D7540F"/>
    <w:rsid w:val="00D76F78"/>
    <w:rsid w:val="00D77F56"/>
    <w:rsid w:val="00D809A7"/>
    <w:rsid w:val="00D80EAB"/>
    <w:rsid w:val="00D816E0"/>
    <w:rsid w:val="00D81A5D"/>
    <w:rsid w:val="00D83307"/>
    <w:rsid w:val="00D83E03"/>
    <w:rsid w:val="00D8437D"/>
    <w:rsid w:val="00D853EA"/>
    <w:rsid w:val="00D8631C"/>
    <w:rsid w:val="00D86C36"/>
    <w:rsid w:val="00D86F2D"/>
    <w:rsid w:val="00D87782"/>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4FDA"/>
    <w:rsid w:val="00DB708C"/>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04F0"/>
    <w:rsid w:val="00DF1AF8"/>
    <w:rsid w:val="00DF1F97"/>
    <w:rsid w:val="00DF208C"/>
    <w:rsid w:val="00DF237D"/>
    <w:rsid w:val="00DF260A"/>
    <w:rsid w:val="00DF2D03"/>
    <w:rsid w:val="00DF3A76"/>
    <w:rsid w:val="00DF62FA"/>
    <w:rsid w:val="00DF76C7"/>
    <w:rsid w:val="00E00769"/>
    <w:rsid w:val="00E010B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3B37"/>
    <w:rsid w:val="00E25CEE"/>
    <w:rsid w:val="00E2632E"/>
    <w:rsid w:val="00E26579"/>
    <w:rsid w:val="00E30739"/>
    <w:rsid w:val="00E31978"/>
    <w:rsid w:val="00E32A02"/>
    <w:rsid w:val="00E32A85"/>
    <w:rsid w:val="00E32EBE"/>
    <w:rsid w:val="00E3491B"/>
    <w:rsid w:val="00E36DBF"/>
    <w:rsid w:val="00E37549"/>
    <w:rsid w:val="00E40AEB"/>
    <w:rsid w:val="00E41D2A"/>
    <w:rsid w:val="00E42F35"/>
    <w:rsid w:val="00E4480C"/>
    <w:rsid w:val="00E4542F"/>
    <w:rsid w:val="00E45622"/>
    <w:rsid w:val="00E51BC3"/>
    <w:rsid w:val="00E54972"/>
    <w:rsid w:val="00E55D96"/>
    <w:rsid w:val="00E56672"/>
    <w:rsid w:val="00E568F2"/>
    <w:rsid w:val="00E570D7"/>
    <w:rsid w:val="00E608D4"/>
    <w:rsid w:val="00E616DC"/>
    <w:rsid w:val="00E61ECC"/>
    <w:rsid w:val="00E6218F"/>
    <w:rsid w:val="00E644DA"/>
    <w:rsid w:val="00E64F4B"/>
    <w:rsid w:val="00E6792B"/>
    <w:rsid w:val="00E71425"/>
    <w:rsid w:val="00E71F88"/>
    <w:rsid w:val="00E729DC"/>
    <w:rsid w:val="00E752BF"/>
    <w:rsid w:val="00E75FA0"/>
    <w:rsid w:val="00E772E6"/>
    <w:rsid w:val="00E77EE6"/>
    <w:rsid w:val="00E80C7D"/>
    <w:rsid w:val="00E81490"/>
    <w:rsid w:val="00E816BF"/>
    <w:rsid w:val="00E82551"/>
    <w:rsid w:val="00E847CA"/>
    <w:rsid w:val="00E84A4E"/>
    <w:rsid w:val="00E8533E"/>
    <w:rsid w:val="00E86A98"/>
    <w:rsid w:val="00E87E68"/>
    <w:rsid w:val="00E87E93"/>
    <w:rsid w:val="00E87F9C"/>
    <w:rsid w:val="00E911A8"/>
    <w:rsid w:val="00E91295"/>
    <w:rsid w:val="00E91AD5"/>
    <w:rsid w:val="00E93252"/>
    <w:rsid w:val="00E95320"/>
    <w:rsid w:val="00E9538C"/>
    <w:rsid w:val="00EA08D7"/>
    <w:rsid w:val="00EA1A9D"/>
    <w:rsid w:val="00EA2217"/>
    <w:rsid w:val="00EA2767"/>
    <w:rsid w:val="00EA56B7"/>
    <w:rsid w:val="00EA5D39"/>
    <w:rsid w:val="00EA6298"/>
    <w:rsid w:val="00EA768F"/>
    <w:rsid w:val="00EB1143"/>
    <w:rsid w:val="00EB12B3"/>
    <w:rsid w:val="00EB323A"/>
    <w:rsid w:val="00EB4180"/>
    <w:rsid w:val="00EB52B6"/>
    <w:rsid w:val="00EB52D2"/>
    <w:rsid w:val="00EB721A"/>
    <w:rsid w:val="00EC1B66"/>
    <w:rsid w:val="00EC2DC6"/>
    <w:rsid w:val="00EC5930"/>
    <w:rsid w:val="00EC6508"/>
    <w:rsid w:val="00EC689A"/>
    <w:rsid w:val="00EC77F3"/>
    <w:rsid w:val="00ED0855"/>
    <w:rsid w:val="00ED10BC"/>
    <w:rsid w:val="00ED1115"/>
    <w:rsid w:val="00ED1EA3"/>
    <w:rsid w:val="00ED2B34"/>
    <w:rsid w:val="00ED2C25"/>
    <w:rsid w:val="00ED45F2"/>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37"/>
    <w:rsid w:val="00F037A1"/>
    <w:rsid w:val="00F03D0B"/>
    <w:rsid w:val="00F04417"/>
    <w:rsid w:val="00F05385"/>
    <w:rsid w:val="00F053AC"/>
    <w:rsid w:val="00F07DBB"/>
    <w:rsid w:val="00F110C3"/>
    <w:rsid w:val="00F118A3"/>
    <w:rsid w:val="00F12C7A"/>
    <w:rsid w:val="00F12F80"/>
    <w:rsid w:val="00F12FCD"/>
    <w:rsid w:val="00F1323F"/>
    <w:rsid w:val="00F14FC9"/>
    <w:rsid w:val="00F161E6"/>
    <w:rsid w:val="00F16330"/>
    <w:rsid w:val="00F167F2"/>
    <w:rsid w:val="00F17771"/>
    <w:rsid w:val="00F20956"/>
    <w:rsid w:val="00F20D5E"/>
    <w:rsid w:val="00F23819"/>
    <w:rsid w:val="00F23A7D"/>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5AB9"/>
    <w:rsid w:val="00F676FE"/>
    <w:rsid w:val="00F67E04"/>
    <w:rsid w:val="00F7258A"/>
    <w:rsid w:val="00F72D18"/>
    <w:rsid w:val="00F73F6F"/>
    <w:rsid w:val="00F7451A"/>
    <w:rsid w:val="00F74655"/>
    <w:rsid w:val="00F75623"/>
    <w:rsid w:val="00F810CE"/>
    <w:rsid w:val="00F817D4"/>
    <w:rsid w:val="00F82B31"/>
    <w:rsid w:val="00F84762"/>
    <w:rsid w:val="00F85996"/>
    <w:rsid w:val="00F85C3B"/>
    <w:rsid w:val="00F85F08"/>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4F4"/>
    <w:rsid w:val="00FA4460"/>
    <w:rsid w:val="00FA4EB4"/>
    <w:rsid w:val="00FA603E"/>
    <w:rsid w:val="00FA6239"/>
    <w:rsid w:val="00FA6763"/>
    <w:rsid w:val="00FA6A26"/>
    <w:rsid w:val="00FA6E1E"/>
    <w:rsid w:val="00FA7DEC"/>
    <w:rsid w:val="00FB02C7"/>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34FC"/>
    <w:rsid w:val="00FD4524"/>
    <w:rsid w:val="00FD5B41"/>
    <w:rsid w:val="00FD5F29"/>
    <w:rsid w:val="00FD6025"/>
    <w:rsid w:val="00FD6A38"/>
    <w:rsid w:val="00FD70E7"/>
    <w:rsid w:val="00FD79C4"/>
    <w:rsid w:val="00FE15C7"/>
    <w:rsid w:val="00FE2596"/>
    <w:rsid w:val="00FE363F"/>
    <w:rsid w:val="00FE47BC"/>
    <w:rsid w:val="00FE4CD7"/>
    <w:rsid w:val="00FE4E51"/>
    <w:rsid w:val="00FE4F71"/>
    <w:rsid w:val="00FE543B"/>
    <w:rsid w:val="00FE7B37"/>
    <w:rsid w:val="00FF15C6"/>
    <w:rsid w:val="00FF1BC1"/>
    <w:rsid w:val="00FF2264"/>
    <w:rsid w:val="00FF2980"/>
    <w:rsid w:val="00FF4E6C"/>
    <w:rsid w:val="00FF6EF0"/>
    <w:rsid w:val="00FF77E8"/>
    <w:rsid w:val="01070223"/>
    <w:rsid w:val="01A06577"/>
    <w:rsid w:val="01DE7452"/>
    <w:rsid w:val="01E357ED"/>
    <w:rsid w:val="01E76016"/>
    <w:rsid w:val="02050097"/>
    <w:rsid w:val="022B28F6"/>
    <w:rsid w:val="023422F4"/>
    <w:rsid w:val="023A2AF7"/>
    <w:rsid w:val="02657A95"/>
    <w:rsid w:val="028033F5"/>
    <w:rsid w:val="02B61836"/>
    <w:rsid w:val="02D75674"/>
    <w:rsid w:val="03061670"/>
    <w:rsid w:val="033752FB"/>
    <w:rsid w:val="03681095"/>
    <w:rsid w:val="03A70968"/>
    <w:rsid w:val="03C6434A"/>
    <w:rsid w:val="0466526C"/>
    <w:rsid w:val="046A2F2A"/>
    <w:rsid w:val="048242F0"/>
    <w:rsid w:val="04AA4610"/>
    <w:rsid w:val="05026963"/>
    <w:rsid w:val="058F3BA2"/>
    <w:rsid w:val="05955AD6"/>
    <w:rsid w:val="05E15F75"/>
    <w:rsid w:val="05F248A5"/>
    <w:rsid w:val="05FB1C69"/>
    <w:rsid w:val="061750C9"/>
    <w:rsid w:val="06660F9E"/>
    <w:rsid w:val="06772EB3"/>
    <w:rsid w:val="069245BC"/>
    <w:rsid w:val="0770126C"/>
    <w:rsid w:val="077C5B46"/>
    <w:rsid w:val="07896D1A"/>
    <w:rsid w:val="078C5A74"/>
    <w:rsid w:val="07A720F1"/>
    <w:rsid w:val="07B77FD5"/>
    <w:rsid w:val="07DF12C2"/>
    <w:rsid w:val="07F55388"/>
    <w:rsid w:val="081A6099"/>
    <w:rsid w:val="081B329A"/>
    <w:rsid w:val="081C087D"/>
    <w:rsid w:val="081D0D4B"/>
    <w:rsid w:val="083E12E4"/>
    <w:rsid w:val="084A0D06"/>
    <w:rsid w:val="085870CF"/>
    <w:rsid w:val="086276B6"/>
    <w:rsid w:val="08A66DB8"/>
    <w:rsid w:val="08AE4042"/>
    <w:rsid w:val="08CD7189"/>
    <w:rsid w:val="08E902E0"/>
    <w:rsid w:val="08EA0C53"/>
    <w:rsid w:val="09373CEE"/>
    <w:rsid w:val="093B4C79"/>
    <w:rsid w:val="09845320"/>
    <w:rsid w:val="09B2348A"/>
    <w:rsid w:val="09B557FE"/>
    <w:rsid w:val="09D05775"/>
    <w:rsid w:val="09F71A9A"/>
    <w:rsid w:val="0A7F08FC"/>
    <w:rsid w:val="0ABD6A6C"/>
    <w:rsid w:val="0ACD10BA"/>
    <w:rsid w:val="0AD25B65"/>
    <w:rsid w:val="0B005B84"/>
    <w:rsid w:val="0B0D13AD"/>
    <w:rsid w:val="0B406C73"/>
    <w:rsid w:val="0B9572F0"/>
    <w:rsid w:val="0BC2301B"/>
    <w:rsid w:val="0BDF6787"/>
    <w:rsid w:val="0BE649AF"/>
    <w:rsid w:val="0BE9438B"/>
    <w:rsid w:val="0BEF5DCD"/>
    <w:rsid w:val="0C571998"/>
    <w:rsid w:val="0C8D2811"/>
    <w:rsid w:val="0CA43634"/>
    <w:rsid w:val="0CA57742"/>
    <w:rsid w:val="0CBD61E5"/>
    <w:rsid w:val="0D1E2B98"/>
    <w:rsid w:val="0D392285"/>
    <w:rsid w:val="0DBA5A38"/>
    <w:rsid w:val="0E164BA2"/>
    <w:rsid w:val="0E353CC2"/>
    <w:rsid w:val="0E5A0CA2"/>
    <w:rsid w:val="0E5B63C0"/>
    <w:rsid w:val="0E5D6B54"/>
    <w:rsid w:val="0EA15E6B"/>
    <w:rsid w:val="0EA55529"/>
    <w:rsid w:val="0EBE3E75"/>
    <w:rsid w:val="0EE1162A"/>
    <w:rsid w:val="0F0F58D5"/>
    <w:rsid w:val="0F1D5CF6"/>
    <w:rsid w:val="0F4027CF"/>
    <w:rsid w:val="0F4124F0"/>
    <w:rsid w:val="0F4A11AE"/>
    <w:rsid w:val="0F6654C2"/>
    <w:rsid w:val="0F7E04B7"/>
    <w:rsid w:val="0F85589D"/>
    <w:rsid w:val="0F9D62C2"/>
    <w:rsid w:val="0FA27AC6"/>
    <w:rsid w:val="0FC36169"/>
    <w:rsid w:val="104800FF"/>
    <w:rsid w:val="1068030F"/>
    <w:rsid w:val="107F4ECE"/>
    <w:rsid w:val="10950A26"/>
    <w:rsid w:val="10994E74"/>
    <w:rsid w:val="10F63E27"/>
    <w:rsid w:val="11523049"/>
    <w:rsid w:val="11552AF0"/>
    <w:rsid w:val="115B6A6A"/>
    <w:rsid w:val="116C18AE"/>
    <w:rsid w:val="11820C75"/>
    <w:rsid w:val="11D46CD6"/>
    <w:rsid w:val="11EC6CB7"/>
    <w:rsid w:val="11EE0AA9"/>
    <w:rsid w:val="121E0170"/>
    <w:rsid w:val="12411297"/>
    <w:rsid w:val="129656E5"/>
    <w:rsid w:val="12BF2529"/>
    <w:rsid w:val="12EE08B9"/>
    <w:rsid w:val="1335289F"/>
    <w:rsid w:val="1348751E"/>
    <w:rsid w:val="13493969"/>
    <w:rsid w:val="1350244E"/>
    <w:rsid w:val="13511C3F"/>
    <w:rsid w:val="136E563B"/>
    <w:rsid w:val="13853ACA"/>
    <w:rsid w:val="13AB4140"/>
    <w:rsid w:val="13FA0D00"/>
    <w:rsid w:val="140C2E58"/>
    <w:rsid w:val="143C3942"/>
    <w:rsid w:val="146576FF"/>
    <w:rsid w:val="14953F46"/>
    <w:rsid w:val="14D44C45"/>
    <w:rsid w:val="15290896"/>
    <w:rsid w:val="153C71D4"/>
    <w:rsid w:val="155322FE"/>
    <w:rsid w:val="157210B5"/>
    <w:rsid w:val="15991134"/>
    <w:rsid w:val="159C7D85"/>
    <w:rsid w:val="15AF2C63"/>
    <w:rsid w:val="15BE38A8"/>
    <w:rsid w:val="15D77212"/>
    <w:rsid w:val="15E019EC"/>
    <w:rsid w:val="16041520"/>
    <w:rsid w:val="16071F04"/>
    <w:rsid w:val="160750D7"/>
    <w:rsid w:val="16AF081C"/>
    <w:rsid w:val="16B74A02"/>
    <w:rsid w:val="16BB777F"/>
    <w:rsid w:val="16E116CB"/>
    <w:rsid w:val="17100EA0"/>
    <w:rsid w:val="17157493"/>
    <w:rsid w:val="174710BA"/>
    <w:rsid w:val="178E3DB2"/>
    <w:rsid w:val="17A8246A"/>
    <w:rsid w:val="17AE3491"/>
    <w:rsid w:val="17CC7169"/>
    <w:rsid w:val="17F34B63"/>
    <w:rsid w:val="17FC21A7"/>
    <w:rsid w:val="181333F0"/>
    <w:rsid w:val="182D2D90"/>
    <w:rsid w:val="183E7FF2"/>
    <w:rsid w:val="18531701"/>
    <w:rsid w:val="185B3346"/>
    <w:rsid w:val="18A44222"/>
    <w:rsid w:val="18CF2B5E"/>
    <w:rsid w:val="18DB155A"/>
    <w:rsid w:val="193C6538"/>
    <w:rsid w:val="19745520"/>
    <w:rsid w:val="19754B0A"/>
    <w:rsid w:val="198D1E3B"/>
    <w:rsid w:val="19A96BBA"/>
    <w:rsid w:val="1A2C25A2"/>
    <w:rsid w:val="1A457ECA"/>
    <w:rsid w:val="1A5F4868"/>
    <w:rsid w:val="1A6E1B0B"/>
    <w:rsid w:val="1AE32517"/>
    <w:rsid w:val="1B1D61C5"/>
    <w:rsid w:val="1B5C74FF"/>
    <w:rsid w:val="1B923D78"/>
    <w:rsid w:val="1BE16592"/>
    <w:rsid w:val="1C287D46"/>
    <w:rsid w:val="1C6D3723"/>
    <w:rsid w:val="1CC73B32"/>
    <w:rsid w:val="1CE35B3D"/>
    <w:rsid w:val="1D2C04B3"/>
    <w:rsid w:val="1D4A3F81"/>
    <w:rsid w:val="1D506DF7"/>
    <w:rsid w:val="1D6046DD"/>
    <w:rsid w:val="1D6F5499"/>
    <w:rsid w:val="1D870ED1"/>
    <w:rsid w:val="1D99601C"/>
    <w:rsid w:val="1DEE15FC"/>
    <w:rsid w:val="1E016EDB"/>
    <w:rsid w:val="1E116642"/>
    <w:rsid w:val="1E334216"/>
    <w:rsid w:val="1E5661F4"/>
    <w:rsid w:val="1E6132AA"/>
    <w:rsid w:val="1E960512"/>
    <w:rsid w:val="1EB1724C"/>
    <w:rsid w:val="1EB94430"/>
    <w:rsid w:val="1ED02002"/>
    <w:rsid w:val="1EF35FB7"/>
    <w:rsid w:val="1EFE60AD"/>
    <w:rsid w:val="1F397219"/>
    <w:rsid w:val="1F462E24"/>
    <w:rsid w:val="1F4829E7"/>
    <w:rsid w:val="1F565BBC"/>
    <w:rsid w:val="1F9D76A4"/>
    <w:rsid w:val="1F9E2262"/>
    <w:rsid w:val="1FB13BE8"/>
    <w:rsid w:val="1FBC3642"/>
    <w:rsid w:val="1FD05CAE"/>
    <w:rsid w:val="1FFB49F1"/>
    <w:rsid w:val="200D1765"/>
    <w:rsid w:val="201868CF"/>
    <w:rsid w:val="202E3A91"/>
    <w:rsid w:val="204B1EED"/>
    <w:rsid w:val="208E350F"/>
    <w:rsid w:val="20B129D8"/>
    <w:rsid w:val="20F66096"/>
    <w:rsid w:val="210B10AB"/>
    <w:rsid w:val="211B3BFC"/>
    <w:rsid w:val="219F038C"/>
    <w:rsid w:val="21A316E9"/>
    <w:rsid w:val="21C70C5A"/>
    <w:rsid w:val="223F09BC"/>
    <w:rsid w:val="225B4DA9"/>
    <w:rsid w:val="22770A9C"/>
    <w:rsid w:val="229822B9"/>
    <w:rsid w:val="22A25E43"/>
    <w:rsid w:val="22BA634B"/>
    <w:rsid w:val="22D407F3"/>
    <w:rsid w:val="22DB350C"/>
    <w:rsid w:val="22E60187"/>
    <w:rsid w:val="23701643"/>
    <w:rsid w:val="23D75184"/>
    <w:rsid w:val="23F84444"/>
    <w:rsid w:val="240D6209"/>
    <w:rsid w:val="24186A7E"/>
    <w:rsid w:val="243608F4"/>
    <w:rsid w:val="24823DD8"/>
    <w:rsid w:val="25122AA5"/>
    <w:rsid w:val="258331EF"/>
    <w:rsid w:val="259A0796"/>
    <w:rsid w:val="259E42F4"/>
    <w:rsid w:val="25A33FC6"/>
    <w:rsid w:val="25A96C5A"/>
    <w:rsid w:val="25B4355D"/>
    <w:rsid w:val="2626039D"/>
    <w:rsid w:val="263443D4"/>
    <w:rsid w:val="26487C5D"/>
    <w:rsid w:val="26523E4C"/>
    <w:rsid w:val="26616E4B"/>
    <w:rsid w:val="26672C96"/>
    <w:rsid w:val="26782463"/>
    <w:rsid w:val="268E3040"/>
    <w:rsid w:val="269E138F"/>
    <w:rsid w:val="26E0436F"/>
    <w:rsid w:val="26E04F08"/>
    <w:rsid w:val="26E76F3A"/>
    <w:rsid w:val="27113B2B"/>
    <w:rsid w:val="27681675"/>
    <w:rsid w:val="27AB1867"/>
    <w:rsid w:val="28237988"/>
    <w:rsid w:val="28CE0E04"/>
    <w:rsid w:val="290B5302"/>
    <w:rsid w:val="292F0EBE"/>
    <w:rsid w:val="293F4359"/>
    <w:rsid w:val="294B60C7"/>
    <w:rsid w:val="29FB4A97"/>
    <w:rsid w:val="2A5B1C4F"/>
    <w:rsid w:val="2A6B79C6"/>
    <w:rsid w:val="2A8E0150"/>
    <w:rsid w:val="2AC65998"/>
    <w:rsid w:val="2B3D64A8"/>
    <w:rsid w:val="2B881716"/>
    <w:rsid w:val="2B8A2DE8"/>
    <w:rsid w:val="2BA0092B"/>
    <w:rsid w:val="2BAE54D0"/>
    <w:rsid w:val="2BC220C8"/>
    <w:rsid w:val="2C354664"/>
    <w:rsid w:val="2CB86E7B"/>
    <w:rsid w:val="2CCF2E39"/>
    <w:rsid w:val="2CED0357"/>
    <w:rsid w:val="2CFD4C45"/>
    <w:rsid w:val="2D0E29C3"/>
    <w:rsid w:val="2D153425"/>
    <w:rsid w:val="2D1F4B26"/>
    <w:rsid w:val="2D3128BE"/>
    <w:rsid w:val="2DAA2EF0"/>
    <w:rsid w:val="2DBD5DD2"/>
    <w:rsid w:val="2DC44B8C"/>
    <w:rsid w:val="2DCA7228"/>
    <w:rsid w:val="2DD84E6F"/>
    <w:rsid w:val="2DEA4E74"/>
    <w:rsid w:val="2E154E22"/>
    <w:rsid w:val="2E3C7840"/>
    <w:rsid w:val="2EB1329C"/>
    <w:rsid w:val="2ED84217"/>
    <w:rsid w:val="2F025ABF"/>
    <w:rsid w:val="2F1F0BAA"/>
    <w:rsid w:val="2F416318"/>
    <w:rsid w:val="2FB00721"/>
    <w:rsid w:val="2FDC4B70"/>
    <w:rsid w:val="2FF23210"/>
    <w:rsid w:val="2FFE6C84"/>
    <w:rsid w:val="302C31E8"/>
    <w:rsid w:val="303E4D69"/>
    <w:rsid w:val="305F3457"/>
    <w:rsid w:val="30DB6887"/>
    <w:rsid w:val="30EA3721"/>
    <w:rsid w:val="31291E66"/>
    <w:rsid w:val="31500079"/>
    <w:rsid w:val="319114C3"/>
    <w:rsid w:val="3192149E"/>
    <w:rsid w:val="31DE5683"/>
    <w:rsid w:val="32202D80"/>
    <w:rsid w:val="32872DFA"/>
    <w:rsid w:val="32FC29B7"/>
    <w:rsid w:val="33057C0C"/>
    <w:rsid w:val="33165D24"/>
    <w:rsid w:val="336F27D5"/>
    <w:rsid w:val="33AF653A"/>
    <w:rsid w:val="33CB05B2"/>
    <w:rsid w:val="340D1C05"/>
    <w:rsid w:val="34D00C79"/>
    <w:rsid w:val="34E756CE"/>
    <w:rsid w:val="34F7603D"/>
    <w:rsid w:val="355E7A29"/>
    <w:rsid w:val="35703310"/>
    <w:rsid w:val="35D41F3B"/>
    <w:rsid w:val="35D65C1E"/>
    <w:rsid w:val="361A09A4"/>
    <w:rsid w:val="364D39AB"/>
    <w:rsid w:val="36521905"/>
    <w:rsid w:val="3661552B"/>
    <w:rsid w:val="367D246A"/>
    <w:rsid w:val="368F6C62"/>
    <w:rsid w:val="36905433"/>
    <w:rsid w:val="36D839EB"/>
    <w:rsid w:val="36E7490B"/>
    <w:rsid w:val="36EC6244"/>
    <w:rsid w:val="36FC4DF3"/>
    <w:rsid w:val="385F61AC"/>
    <w:rsid w:val="38674A31"/>
    <w:rsid w:val="38942FB7"/>
    <w:rsid w:val="392312A1"/>
    <w:rsid w:val="39272511"/>
    <w:rsid w:val="39464FDB"/>
    <w:rsid w:val="39643681"/>
    <w:rsid w:val="39F06F05"/>
    <w:rsid w:val="39F62A98"/>
    <w:rsid w:val="3A7A1891"/>
    <w:rsid w:val="3AB26431"/>
    <w:rsid w:val="3ACA7E21"/>
    <w:rsid w:val="3ACB0DCC"/>
    <w:rsid w:val="3B076AB0"/>
    <w:rsid w:val="3B476B01"/>
    <w:rsid w:val="3B5F2914"/>
    <w:rsid w:val="3B8514B4"/>
    <w:rsid w:val="3BA24709"/>
    <w:rsid w:val="3BBA4057"/>
    <w:rsid w:val="3C3E3297"/>
    <w:rsid w:val="3C4C05E5"/>
    <w:rsid w:val="3C5979F5"/>
    <w:rsid w:val="3C9E3496"/>
    <w:rsid w:val="3CAD377A"/>
    <w:rsid w:val="3CAE155A"/>
    <w:rsid w:val="3CDC7EDA"/>
    <w:rsid w:val="3CE82FBB"/>
    <w:rsid w:val="3D0E0CD9"/>
    <w:rsid w:val="3D1312E1"/>
    <w:rsid w:val="3D290871"/>
    <w:rsid w:val="3D3A635D"/>
    <w:rsid w:val="3D3B078D"/>
    <w:rsid w:val="3D5A5C6C"/>
    <w:rsid w:val="3D817311"/>
    <w:rsid w:val="3D911C6C"/>
    <w:rsid w:val="3D987AFE"/>
    <w:rsid w:val="3E006AF5"/>
    <w:rsid w:val="3E486B35"/>
    <w:rsid w:val="3EA2029B"/>
    <w:rsid w:val="3EA30B73"/>
    <w:rsid w:val="3EAF1433"/>
    <w:rsid w:val="3EC91EA5"/>
    <w:rsid w:val="3EDA2746"/>
    <w:rsid w:val="3EF56989"/>
    <w:rsid w:val="3F097360"/>
    <w:rsid w:val="3F101C11"/>
    <w:rsid w:val="3F2477C6"/>
    <w:rsid w:val="3F260BA3"/>
    <w:rsid w:val="3F41748F"/>
    <w:rsid w:val="3F7D562B"/>
    <w:rsid w:val="3FA423B4"/>
    <w:rsid w:val="3FA95E49"/>
    <w:rsid w:val="3FBE716A"/>
    <w:rsid w:val="3FCC0384"/>
    <w:rsid w:val="3FCC5C39"/>
    <w:rsid w:val="3FD93283"/>
    <w:rsid w:val="3FFF56A6"/>
    <w:rsid w:val="400820E4"/>
    <w:rsid w:val="407D46DF"/>
    <w:rsid w:val="40E4537D"/>
    <w:rsid w:val="40F5521D"/>
    <w:rsid w:val="412313AB"/>
    <w:rsid w:val="41EA2EA4"/>
    <w:rsid w:val="42017C3F"/>
    <w:rsid w:val="42192006"/>
    <w:rsid w:val="422713C5"/>
    <w:rsid w:val="42621025"/>
    <w:rsid w:val="42905195"/>
    <w:rsid w:val="42910027"/>
    <w:rsid w:val="42F929D3"/>
    <w:rsid w:val="43391A42"/>
    <w:rsid w:val="43510C12"/>
    <w:rsid w:val="43597A08"/>
    <w:rsid w:val="43CF10BB"/>
    <w:rsid w:val="43F2268A"/>
    <w:rsid w:val="44252A5A"/>
    <w:rsid w:val="442F03C7"/>
    <w:rsid w:val="44A7662B"/>
    <w:rsid w:val="44A85AC4"/>
    <w:rsid w:val="44AF5BC5"/>
    <w:rsid w:val="44E31966"/>
    <w:rsid w:val="45151F74"/>
    <w:rsid w:val="4554082E"/>
    <w:rsid w:val="45633C56"/>
    <w:rsid w:val="45902882"/>
    <w:rsid w:val="45996CD6"/>
    <w:rsid w:val="45B30514"/>
    <w:rsid w:val="45B70603"/>
    <w:rsid w:val="45B71DFD"/>
    <w:rsid w:val="45C546EB"/>
    <w:rsid w:val="45CB2529"/>
    <w:rsid w:val="45EB106F"/>
    <w:rsid w:val="465C08FF"/>
    <w:rsid w:val="466356B9"/>
    <w:rsid w:val="466812F2"/>
    <w:rsid w:val="467A48B1"/>
    <w:rsid w:val="4686149D"/>
    <w:rsid w:val="46A613C5"/>
    <w:rsid w:val="46BB32C7"/>
    <w:rsid w:val="46FB4C24"/>
    <w:rsid w:val="47112C8D"/>
    <w:rsid w:val="48291064"/>
    <w:rsid w:val="483917D8"/>
    <w:rsid w:val="48570137"/>
    <w:rsid w:val="48734E60"/>
    <w:rsid w:val="4876409E"/>
    <w:rsid w:val="48B94B24"/>
    <w:rsid w:val="48C46D65"/>
    <w:rsid w:val="48C554EB"/>
    <w:rsid w:val="48E8606A"/>
    <w:rsid w:val="48EB508C"/>
    <w:rsid w:val="490E4F92"/>
    <w:rsid w:val="49183F48"/>
    <w:rsid w:val="492B2941"/>
    <w:rsid w:val="49466568"/>
    <w:rsid w:val="496D7A4E"/>
    <w:rsid w:val="499E288A"/>
    <w:rsid w:val="49DE0487"/>
    <w:rsid w:val="49E2218F"/>
    <w:rsid w:val="49FA6334"/>
    <w:rsid w:val="4A1F3294"/>
    <w:rsid w:val="4A4F18DF"/>
    <w:rsid w:val="4AA36517"/>
    <w:rsid w:val="4AB255E9"/>
    <w:rsid w:val="4ABD25D0"/>
    <w:rsid w:val="4AC56866"/>
    <w:rsid w:val="4B283252"/>
    <w:rsid w:val="4B84142F"/>
    <w:rsid w:val="4B8514E2"/>
    <w:rsid w:val="4BA22ACB"/>
    <w:rsid w:val="4BA52B65"/>
    <w:rsid w:val="4C1A7690"/>
    <w:rsid w:val="4C31669B"/>
    <w:rsid w:val="4C3F4467"/>
    <w:rsid w:val="4C6C08BA"/>
    <w:rsid w:val="4CA131F5"/>
    <w:rsid w:val="4CA415D7"/>
    <w:rsid w:val="4CEC0D31"/>
    <w:rsid w:val="4D2A2FD9"/>
    <w:rsid w:val="4D2B154F"/>
    <w:rsid w:val="4D4648C0"/>
    <w:rsid w:val="4D49627C"/>
    <w:rsid w:val="4D4A5F1A"/>
    <w:rsid w:val="4D5C163E"/>
    <w:rsid w:val="4D7F6591"/>
    <w:rsid w:val="4DB13B51"/>
    <w:rsid w:val="4DC30D7F"/>
    <w:rsid w:val="4E462C6F"/>
    <w:rsid w:val="4E581414"/>
    <w:rsid w:val="4EB24E91"/>
    <w:rsid w:val="4ECE65EA"/>
    <w:rsid w:val="4EDF4F6A"/>
    <w:rsid w:val="4EFB4B59"/>
    <w:rsid w:val="4F5805B7"/>
    <w:rsid w:val="4F6C5211"/>
    <w:rsid w:val="4F6F67F4"/>
    <w:rsid w:val="4F7A1B38"/>
    <w:rsid w:val="4FA56852"/>
    <w:rsid w:val="4FCC2A78"/>
    <w:rsid w:val="4FE76125"/>
    <w:rsid w:val="5002488F"/>
    <w:rsid w:val="500268DC"/>
    <w:rsid w:val="500962C6"/>
    <w:rsid w:val="500E112C"/>
    <w:rsid w:val="5026307A"/>
    <w:rsid w:val="50400B7F"/>
    <w:rsid w:val="50924E1C"/>
    <w:rsid w:val="514E4729"/>
    <w:rsid w:val="51582AB0"/>
    <w:rsid w:val="51A702D0"/>
    <w:rsid w:val="51B35D06"/>
    <w:rsid w:val="51D83AE4"/>
    <w:rsid w:val="52120754"/>
    <w:rsid w:val="522E1916"/>
    <w:rsid w:val="523772A8"/>
    <w:rsid w:val="524169B6"/>
    <w:rsid w:val="524258E9"/>
    <w:rsid w:val="52487ECD"/>
    <w:rsid w:val="530B6CB2"/>
    <w:rsid w:val="533C4101"/>
    <w:rsid w:val="53406D6E"/>
    <w:rsid w:val="5360758D"/>
    <w:rsid w:val="53723D18"/>
    <w:rsid w:val="53877E97"/>
    <w:rsid w:val="53C2519D"/>
    <w:rsid w:val="54363BEE"/>
    <w:rsid w:val="54654E07"/>
    <w:rsid w:val="5486420B"/>
    <w:rsid w:val="549827E2"/>
    <w:rsid w:val="54BD51F7"/>
    <w:rsid w:val="54FA272C"/>
    <w:rsid w:val="550A48E5"/>
    <w:rsid w:val="55396B9B"/>
    <w:rsid w:val="55543506"/>
    <w:rsid w:val="56515404"/>
    <w:rsid w:val="56605C35"/>
    <w:rsid w:val="572802DD"/>
    <w:rsid w:val="578B3C2B"/>
    <w:rsid w:val="57FE7364"/>
    <w:rsid w:val="57FF7D4B"/>
    <w:rsid w:val="580E1A66"/>
    <w:rsid w:val="5846248E"/>
    <w:rsid w:val="584A3BF9"/>
    <w:rsid w:val="58650F6B"/>
    <w:rsid w:val="58AF4978"/>
    <w:rsid w:val="58CF7237"/>
    <w:rsid w:val="58EA2FA4"/>
    <w:rsid w:val="58F50E83"/>
    <w:rsid w:val="58FB731D"/>
    <w:rsid w:val="59AD2397"/>
    <w:rsid w:val="59C22C12"/>
    <w:rsid w:val="5A187F0A"/>
    <w:rsid w:val="5A627D8A"/>
    <w:rsid w:val="5AA97D7D"/>
    <w:rsid w:val="5B024512"/>
    <w:rsid w:val="5B3062C5"/>
    <w:rsid w:val="5B3A47D4"/>
    <w:rsid w:val="5B440500"/>
    <w:rsid w:val="5B626144"/>
    <w:rsid w:val="5B655B99"/>
    <w:rsid w:val="5B763374"/>
    <w:rsid w:val="5B773734"/>
    <w:rsid w:val="5BAB0056"/>
    <w:rsid w:val="5BE171E1"/>
    <w:rsid w:val="5C573F3D"/>
    <w:rsid w:val="5C661B84"/>
    <w:rsid w:val="5C70661C"/>
    <w:rsid w:val="5C7448D6"/>
    <w:rsid w:val="5CA4615D"/>
    <w:rsid w:val="5CCD0D34"/>
    <w:rsid w:val="5CF640CA"/>
    <w:rsid w:val="5D460362"/>
    <w:rsid w:val="5D514C12"/>
    <w:rsid w:val="5D852B35"/>
    <w:rsid w:val="5D8732F4"/>
    <w:rsid w:val="5D8929B3"/>
    <w:rsid w:val="5D8C4431"/>
    <w:rsid w:val="5D93623F"/>
    <w:rsid w:val="5D957B73"/>
    <w:rsid w:val="5DD008A1"/>
    <w:rsid w:val="5E11008B"/>
    <w:rsid w:val="5E455347"/>
    <w:rsid w:val="5E624DD7"/>
    <w:rsid w:val="5E8218FA"/>
    <w:rsid w:val="5EB231F5"/>
    <w:rsid w:val="5ECE5715"/>
    <w:rsid w:val="5ECF64BA"/>
    <w:rsid w:val="5F5D3543"/>
    <w:rsid w:val="5F73086A"/>
    <w:rsid w:val="5FA27960"/>
    <w:rsid w:val="5FA60BAF"/>
    <w:rsid w:val="5FAD33D6"/>
    <w:rsid w:val="5FCE7813"/>
    <w:rsid w:val="5FD52B2C"/>
    <w:rsid w:val="5FFD2E68"/>
    <w:rsid w:val="60291D7E"/>
    <w:rsid w:val="605900B6"/>
    <w:rsid w:val="608C273A"/>
    <w:rsid w:val="60A04BFF"/>
    <w:rsid w:val="60AC4576"/>
    <w:rsid w:val="60C335BA"/>
    <w:rsid w:val="60DA6FF4"/>
    <w:rsid w:val="61655EB7"/>
    <w:rsid w:val="6177269B"/>
    <w:rsid w:val="617C508E"/>
    <w:rsid w:val="617F0F7C"/>
    <w:rsid w:val="61D53AEE"/>
    <w:rsid w:val="61DE1FAF"/>
    <w:rsid w:val="62135799"/>
    <w:rsid w:val="62234375"/>
    <w:rsid w:val="62314E3D"/>
    <w:rsid w:val="623B1F80"/>
    <w:rsid w:val="623B42F5"/>
    <w:rsid w:val="62524694"/>
    <w:rsid w:val="62EE3654"/>
    <w:rsid w:val="632051E2"/>
    <w:rsid w:val="63317491"/>
    <w:rsid w:val="635E498B"/>
    <w:rsid w:val="6364675C"/>
    <w:rsid w:val="638E750B"/>
    <w:rsid w:val="63A1523E"/>
    <w:rsid w:val="63D050DA"/>
    <w:rsid w:val="63D941DC"/>
    <w:rsid w:val="63F31E60"/>
    <w:rsid w:val="63FD3FB1"/>
    <w:rsid w:val="640338E0"/>
    <w:rsid w:val="642433C4"/>
    <w:rsid w:val="643B2B31"/>
    <w:rsid w:val="645F6EEC"/>
    <w:rsid w:val="64623054"/>
    <w:rsid w:val="646F071B"/>
    <w:rsid w:val="64700E61"/>
    <w:rsid w:val="647C14E7"/>
    <w:rsid w:val="64863263"/>
    <w:rsid w:val="64935CAB"/>
    <w:rsid w:val="649E579A"/>
    <w:rsid w:val="64A46032"/>
    <w:rsid w:val="64B06E62"/>
    <w:rsid w:val="64F94665"/>
    <w:rsid w:val="650E334D"/>
    <w:rsid w:val="663A11D7"/>
    <w:rsid w:val="66606CAD"/>
    <w:rsid w:val="66694B58"/>
    <w:rsid w:val="668B50DD"/>
    <w:rsid w:val="669310D7"/>
    <w:rsid w:val="66997535"/>
    <w:rsid w:val="66C45729"/>
    <w:rsid w:val="6733170B"/>
    <w:rsid w:val="674A2776"/>
    <w:rsid w:val="67561F2B"/>
    <w:rsid w:val="67624F68"/>
    <w:rsid w:val="67795979"/>
    <w:rsid w:val="67DA6F1C"/>
    <w:rsid w:val="6844124A"/>
    <w:rsid w:val="686337F9"/>
    <w:rsid w:val="68A3188E"/>
    <w:rsid w:val="68BD0E18"/>
    <w:rsid w:val="68F02834"/>
    <w:rsid w:val="69345338"/>
    <w:rsid w:val="6956543A"/>
    <w:rsid w:val="695D2F54"/>
    <w:rsid w:val="698E46F4"/>
    <w:rsid w:val="69BD1C8C"/>
    <w:rsid w:val="69C72D52"/>
    <w:rsid w:val="6A0C3B38"/>
    <w:rsid w:val="6A793CD7"/>
    <w:rsid w:val="6AA50098"/>
    <w:rsid w:val="6AD55AE0"/>
    <w:rsid w:val="6B8A0AAD"/>
    <w:rsid w:val="6B96440A"/>
    <w:rsid w:val="6BB221DE"/>
    <w:rsid w:val="6C772531"/>
    <w:rsid w:val="6CC61C13"/>
    <w:rsid w:val="6CDB474E"/>
    <w:rsid w:val="6D230A30"/>
    <w:rsid w:val="6D363682"/>
    <w:rsid w:val="6DC517B8"/>
    <w:rsid w:val="6DC7653D"/>
    <w:rsid w:val="6E0A636E"/>
    <w:rsid w:val="6E1663AA"/>
    <w:rsid w:val="6E261C64"/>
    <w:rsid w:val="6E274297"/>
    <w:rsid w:val="6E4106CF"/>
    <w:rsid w:val="6E5A7C3E"/>
    <w:rsid w:val="6EA046A8"/>
    <w:rsid w:val="6EFA1DB6"/>
    <w:rsid w:val="6F0C6001"/>
    <w:rsid w:val="6F230DE9"/>
    <w:rsid w:val="6F30445F"/>
    <w:rsid w:val="6F3B4B1F"/>
    <w:rsid w:val="6F5638F2"/>
    <w:rsid w:val="6FAD27B0"/>
    <w:rsid w:val="6FED7A2D"/>
    <w:rsid w:val="6FFD49BF"/>
    <w:rsid w:val="70003E3E"/>
    <w:rsid w:val="704008C4"/>
    <w:rsid w:val="70701FDE"/>
    <w:rsid w:val="70792788"/>
    <w:rsid w:val="70C47682"/>
    <w:rsid w:val="70FC6045"/>
    <w:rsid w:val="71021DBB"/>
    <w:rsid w:val="714C4DCA"/>
    <w:rsid w:val="715C0C89"/>
    <w:rsid w:val="718B1D61"/>
    <w:rsid w:val="71970E78"/>
    <w:rsid w:val="71E1607F"/>
    <w:rsid w:val="729D0A6D"/>
    <w:rsid w:val="72C71337"/>
    <w:rsid w:val="73305E0C"/>
    <w:rsid w:val="738F1F88"/>
    <w:rsid w:val="73955D54"/>
    <w:rsid w:val="73B90EB9"/>
    <w:rsid w:val="74134A7B"/>
    <w:rsid w:val="74250B23"/>
    <w:rsid w:val="74680933"/>
    <w:rsid w:val="749F5CDF"/>
    <w:rsid w:val="75570744"/>
    <w:rsid w:val="75895B64"/>
    <w:rsid w:val="75D46457"/>
    <w:rsid w:val="75F356B0"/>
    <w:rsid w:val="760E2D28"/>
    <w:rsid w:val="76120084"/>
    <w:rsid w:val="76126182"/>
    <w:rsid w:val="76AB4427"/>
    <w:rsid w:val="76F95125"/>
    <w:rsid w:val="77875EF6"/>
    <w:rsid w:val="77C336BC"/>
    <w:rsid w:val="77E06C17"/>
    <w:rsid w:val="77F82812"/>
    <w:rsid w:val="78195789"/>
    <w:rsid w:val="78460CD0"/>
    <w:rsid w:val="787D7437"/>
    <w:rsid w:val="788733A8"/>
    <w:rsid w:val="788E0390"/>
    <w:rsid w:val="789C18DD"/>
    <w:rsid w:val="79611315"/>
    <w:rsid w:val="798433D3"/>
    <w:rsid w:val="79844062"/>
    <w:rsid w:val="79C21D69"/>
    <w:rsid w:val="79C81A99"/>
    <w:rsid w:val="79EF41E0"/>
    <w:rsid w:val="79FA523C"/>
    <w:rsid w:val="7A2D653B"/>
    <w:rsid w:val="7A5F254E"/>
    <w:rsid w:val="7A71796A"/>
    <w:rsid w:val="7AE96D1B"/>
    <w:rsid w:val="7B2177FF"/>
    <w:rsid w:val="7B29334C"/>
    <w:rsid w:val="7B691D31"/>
    <w:rsid w:val="7BA81E01"/>
    <w:rsid w:val="7BA83E35"/>
    <w:rsid w:val="7BBA5467"/>
    <w:rsid w:val="7BBC2C69"/>
    <w:rsid w:val="7BC63834"/>
    <w:rsid w:val="7C1F2AC5"/>
    <w:rsid w:val="7CC6252B"/>
    <w:rsid w:val="7D351F2C"/>
    <w:rsid w:val="7D382212"/>
    <w:rsid w:val="7D3C4B6E"/>
    <w:rsid w:val="7D84660C"/>
    <w:rsid w:val="7D8A0E2F"/>
    <w:rsid w:val="7DD45885"/>
    <w:rsid w:val="7DE70BA0"/>
    <w:rsid w:val="7DEC7576"/>
    <w:rsid w:val="7E3257B0"/>
    <w:rsid w:val="7E575B25"/>
    <w:rsid w:val="7E6934AB"/>
    <w:rsid w:val="7E8C3098"/>
    <w:rsid w:val="7ED915D8"/>
    <w:rsid w:val="7EDC6643"/>
    <w:rsid w:val="7EF9722E"/>
    <w:rsid w:val="7F035473"/>
    <w:rsid w:val="7FB37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qFormat="1" w:uiPriority="99"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56"/>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unhideWhenUsed/>
    <w:qFormat/>
    <w:uiPriority w:val="99"/>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64"/>
    <w:qFormat/>
    <w:uiPriority w:val="0"/>
    <w:rPr>
      <w:rFonts w:ascii="宋体" w:hAnsi="Courier New"/>
    </w:rPr>
  </w:style>
  <w:style w:type="paragraph" w:styleId="24">
    <w:name w:val="toc 8"/>
    <w:basedOn w:val="1"/>
    <w:next w:val="1"/>
    <w:semiHidden/>
    <w:qFormat/>
    <w:uiPriority w:val="0"/>
    <w:pPr>
      <w:ind w:left="1470"/>
      <w:jc w:val="left"/>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cs="Arial"/>
      <w:sz w:val="32"/>
      <w:szCs w:val="32"/>
    </w:rPr>
  </w:style>
  <w:style w:type="paragraph" w:styleId="27">
    <w:name w:val="Balloon Text"/>
    <w:basedOn w:val="1"/>
    <w:semiHidden/>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18"/>
    </w:rPr>
  </w:style>
  <w:style w:type="paragraph" w:styleId="29">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style>
  <w:style w:type="paragraph" w:styleId="32">
    <w:name w:val="List"/>
    <w:basedOn w:val="1"/>
    <w:qFormat/>
    <w:uiPriority w:val="0"/>
    <w:pPr>
      <w:ind w:left="200" w:hanging="200" w:hangingChars="200"/>
    </w:pPr>
  </w:style>
  <w:style w:type="paragraph" w:styleId="33">
    <w:name w:val="toc 6"/>
    <w:basedOn w:val="1"/>
    <w:next w:val="1"/>
    <w:semiHidden/>
    <w:qFormat/>
    <w:uiPriority w:val="0"/>
    <w:pPr>
      <w:ind w:left="1050"/>
      <w:jc w:val="left"/>
    </w:pPr>
  </w:style>
  <w:style w:type="paragraph" w:styleId="34">
    <w:name w:val="Body Text Indent 3"/>
    <w:basedOn w:val="1"/>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style>
  <w:style w:type="paragraph" w:styleId="36">
    <w:name w:val="toc 2"/>
    <w:basedOn w:val="1"/>
    <w:next w:val="1"/>
    <w:semiHidden/>
    <w:qFormat/>
    <w:uiPriority w:val="0"/>
    <w:pPr>
      <w:ind w:left="210"/>
      <w:jc w:val="left"/>
    </w:pPr>
    <w:rPr>
      <w:smallCaps/>
      <w:szCs w:val="24"/>
    </w:rPr>
  </w:style>
  <w:style w:type="paragraph" w:styleId="37">
    <w:name w:val="toc 9"/>
    <w:basedOn w:val="1"/>
    <w:next w:val="1"/>
    <w:semiHidden/>
    <w:qFormat/>
    <w:uiPriority w:val="0"/>
    <w:pPr>
      <w:ind w:left="1680"/>
      <w:jc w:val="left"/>
    </w:pPr>
  </w:style>
  <w:style w:type="paragraph" w:styleId="38">
    <w:name w:val="Body Text 2"/>
    <w:basedOn w:val="1"/>
    <w:qFormat/>
    <w:uiPriority w:val="0"/>
    <w:pPr>
      <w:widowControl/>
      <w:jc w:val="center"/>
    </w:pPr>
    <w:rPr>
      <w:rFonts w:ascii="楷体_GB2312" w:eastAsia="楷体_GB2312"/>
      <w:sz w:val="28"/>
      <w:szCs w:val="28"/>
    </w:rPr>
  </w:style>
  <w:style w:type="paragraph" w:styleId="39">
    <w:name w:val="HTML Preformatted"/>
    <w:basedOn w:val="1"/>
    <w:link w:val="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rFonts w:ascii="仿宋_GB2312" w:eastAsia="仿宋_GB2312" w:cs="仿宋_GB2312"/>
      <w:color w:val="7A4EA7"/>
      <w:u w:val="none"/>
    </w:rPr>
  </w:style>
  <w:style w:type="character" w:styleId="51">
    <w:name w:val="Hyperlink"/>
    <w:qFormat/>
    <w:uiPriority w:val="0"/>
    <w:rPr>
      <w:rFonts w:hint="eastAsia" w:ascii="仿宋_GB2312" w:eastAsia="仿宋_GB2312" w:cs="仿宋_GB2312"/>
      <w:color w:val="7A4EA7"/>
      <w:u w:val="none"/>
    </w:rPr>
  </w:style>
  <w:style w:type="character" w:styleId="52">
    <w:name w:val="annotation reference"/>
    <w:semiHidden/>
    <w:qFormat/>
    <w:uiPriority w:val="0"/>
    <w:rPr>
      <w:sz w:val="21"/>
      <w:szCs w:val="21"/>
    </w:rPr>
  </w:style>
  <w:style w:type="paragraph" w:customStyle="1" w:styleId="5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4">
    <w:name w:val="标题 4 Char"/>
    <w:link w:val="6"/>
    <w:qFormat/>
    <w:uiPriority w:val="0"/>
    <w:rPr>
      <w:rFonts w:ascii="Arial" w:hAnsi="Arial" w:eastAsia="黑体" w:cs="Arial"/>
      <w:b/>
      <w:bCs/>
      <w:kern w:val="2"/>
      <w:sz w:val="28"/>
      <w:szCs w:val="28"/>
    </w:rPr>
  </w:style>
  <w:style w:type="character" w:customStyle="1" w:styleId="55">
    <w:name w:val="HTML 预设格式 Char1"/>
    <w:qFormat/>
    <w:uiPriority w:val="0"/>
    <w:rPr>
      <w:rFonts w:ascii="Courier New" w:hAnsi="Courier New" w:cs="Courier New"/>
      <w:kern w:val="2"/>
    </w:rPr>
  </w:style>
  <w:style w:type="character" w:customStyle="1" w:styleId="56">
    <w:name w:val="正文缩进 Char"/>
    <w:link w:val="4"/>
    <w:qFormat/>
    <w:uiPriority w:val="0"/>
    <w:rPr>
      <w:kern w:val="2"/>
      <w:sz w:val="21"/>
      <w:szCs w:val="21"/>
    </w:rPr>
  </w:style>
  <w:style w:type="character" w:customStyle="1" w:styleId="57">
    <w:name w:val="二级目录 Char"/>
    <w:link w:val="58"/>
    <w:qFormat/>
    <w:uiPriority w:val="0"/>
    <w:rPr>
      <w:rFonts w:ascii="Times New Roman" w:hAnsi="Times New Roman" w:eastAsia="宋体" w:cs="Times New Roman"/>
      <w:b/>
      <w:kern w:val="2"/>
      <w:sz w:val="30"/>
      <w:szCs w:val="28"/>
    </w:rPr>
  </w:style>
  <w:style w:type="paragraph" w:customStyle="1" w:styleId="58">
    <w:name w:val="二级目录"/>
    <w:next w:val="1"/>
    <w:link w:val="57"/>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9">
    <w:name w:val="页眉 Char"/>
    <w:link w:val="29"/>
    <w:qFormat/>
    <w:uiPriority w:val="99"/>
    <w:rPr>
      <w:kern w:val="2"/>
      <w:sz w:val="18"/>
      <w:szCs w:val="18"/>
    </w:rPr>
  </w:style>
  <w:style w:type="character" w:customStyle="1" w:styleId="60">
    <w:name w:val="列出段落 Char"/>
    <w:link w:val="61"/>
    <w:qFormat/>
    <w:locked/>
    <w:uiPriority w:val="0"/>
    <w:rPr>
      <w:rFonts w:ascii="Calibri" w:hAnsi="Calibri"/>
      <w:sz w:val="24"/>
      <w:szCs w:val="24"/>
      <w:lang w:eastAsia="en-US" w:bidi="en-US"/>
    </w:rPr>
  </w:style>
  <w:style w:type="paragraph" w:customStyle="1" w:styleId="61">
    <w:name w:val="列出段落1"/>
    <w:basedOn w:val="1"/>
    <w:link w:val="60"/>
    <w:qFormat/>
    <w:uiPriority w:val="0"/>
    <w:pPr>
      <w:widowControl/>
      <w:ind w:left="720"/>
      <w:contextualSpacing/>
      <w:jc w:val="left"/>
    </w:pPr>
    <w:rPr>
      <w:rFonts w:ascii="Calibri" w:hAnsi="Calibri"/>
      <w:kern w:val="0"/>
      <w:sz w:val="24"/>
      <w:szCs w:val="24"/>
      <w:lang w:eastAsia="en-US" w:bidi="en-US"/>
    </w:rPr>
  </w:style>
  <w:style w:type="character" w:customStyle="1" w:styleId="62">
    <w:name w:val="font5 Char"/>
    <w:qFormat/>
    <w:uiPriority w:val="0"/>
    <w:rPr>
      <w:rFonts w:ascii="宋体" w:hAnsi="宋体" w:eastAsia="宋体"/>
      <w:sz w:val="28"/>
      <w:szCs w:val="28"/>
      <w:lang w:val="en-US" w:eastAsia="zh-CN" w:bidi="ar-SA"/>
    </w:rPr>
  </w:style>
  <w:style w:type="character" w:customStyle="1" w:styleId="63">
    <w:name w:val="apple-converted-space"/>
    <w:qFormat/>
    <w:uiPriority w:val="0"/>
  </w:style>
  <w:style w:type="character" w:customStyle="1" w:styleId="64">
    <w:name w:val="纯文本 Char"/>
    <w:link w:val="23"/>
    <w:qFormat/>
    <w:uiPriority w:val="0"/>
    <w:rPr>
      <w:rFonts w:ascii="宋体" w:hAnsi="Courier New" w:cs="Courier New"/>
      <w:kern w:val="2"/>
      <w:sz w:val="21"/>
      <w:szCs w:val="21"/>
    </w:rPr>
  </w:style>
  <w:style w:type="character" w:customStyle="1" w:styleId="65">
    <w:name w:val="HTML 预设格式 Char"/>
    <w:link w:val="39"/>
    <w:qFormat/>
    <w:uiPriority w:val="0"/>
    <w:rPr>
      <w:rFonts w:ascii="黑体" w:hAnsi="Courier New" w:eastAsia="黑体"/>
    </w:rPr>
  </w:style>
  <w:style w:type="character" w:customStyle="1" w:styleId="66">
    <w:name w:val="font21"/>
    <w:qFormat/>
    <w:uiPriority w:val="0"/>
    <w:rPr>
      <w:rFonts w:hint="eastAsia" w:ascii="宋体" w:hAnsi="宋体" w:eastAsia="宋体" w:cs="宋体"/>
      <w:b/>
      <w:color w:val="000000"/>
      <w:sz w:val="24"/>
      <w:szCs w:val="24"/>
      <w:u w:val="none"/>
    </w:rPr>
  </w:style>
  <w:style w:type="character" w:customStyle="1" w:styleId="67">
    <w:name w:val="font81"/>
    <w:qFormat/>
    <w:uiPriority w:val="0"/>
    <w:rPr>
      <w:rFonts w:hint="eastAsia" w:ascii="宋体" w:hAnsi="宋体" w:eastAsia="宋体" w:cs="宋体"/>
      <w:b/>
      <w:color w:val="000000"/>
      <w:sz w:val="24"/>
      <w:szCs w:val="24"/>
      <w:u w:val="single"/>
    </w:rPr>
  </w:style>
  <w:style w:type="character" w:customStyle="1" w:styleId="68">
    <w:name w:val="标题 3 Char"/>
    <w:link w:val="5"/>
    <w:qFormat/>
    <w:uiPriority w:val="0"/>
    <w:rPr>
      <w:rFonts w:eastAsia="宋体"/>
      <w:b/>
      <w:bCs/>
      <w:kern w:val="2"/>
      <w:sz w:val="32"/>
      <w:szCs w:val="32"/>
      <w:lang w:val="en-US" w:eastAsia="zh-CN" w:bidi="ar-SA"/>
    </w:rPr>
  </w:style>
  <w:style w:type="paragraph" w:customStyle="1" w:styleId="69">
    <w:name w:val="Body Text(ch)"/>
    <w:basedOn w:val="1"/>
    <w:next w:val="17"/>
    <w:qFormat/>
    <w:uiPriority w:val="0"/>
    <w:pPr>
      <w:spacing w:after="120"/>
    </w:pPr>
    <w:rPr>
      <w:rFonts w:ascii="宋体" w:hAnsi="Arial"/>
      <w:bCs/>
      <w:iCs/>
      <w:szCs w:val="24"/>
    </w:rPr>
  </w:style>
  <w:style w:type="paragraph" w:customStyle="1" w:styleId="7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1">
    <w:name w:val="z-窗体顶端1"/>
    <w:basedOn w:val="1"/>
    <w:next w:val="1"/>
    <w:qFormat/>
    <w:uiPriority w:val="0"/>
    <w:pPr>
      <w:pBdr>
        <w:bottom w:val="single" w:color="auto" w:sz="6" w:space="1"/>
      </w:pBdr>
      <w:jc w:val="center"/>
    </w:pPr>
    <w:rPr>
      <w:rFonts w:ascii="Arial"/>
      <w:vanish/>
      <w:sz w:val="16"/>
    </w:rPr>
  </w:style>
  <w:style w:type="paragraph" w:customStyle="1" w:styleId="7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6">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1">
    <w:name w:val="Char"/>
    <w:basedOn w:val="14"/>
    <w:qFormat/>
    <w:uiPriority w:val="0"/>
    <w:rPr>
      <w:rFonts w:ascii="Tahoma" w:hAnsi="Tahoma"/>
      <w:sz w:val="24"/>
      <w:szCs w:val="24"/>
    </w:rPr>
  </w:style>
  <w:style w:type="paragraph" w:customStyle="1" w:styleId="82">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4">
    <w:name w:val="table_1stline"/>
    <w:basedOn w:val="1"/>
    <w:qFormat/>
    <w:uiPriority w:val="0"/>
    <w:pPr>
      <w:widowControl/>
      <w:spacing w:before="120"/>
      <w:jc w:val="left"/>
    </w:pPr>
    <w:rPr>
      <w:bCs/>
      <w:kern w:val="0"/>
      <w:sz w:val="20"/>
      <w:szCs w:val="20"/>
      <w:lang w:val="de-DE" w:eastAsia="de-DE"/>
    </w:rPr>
  </w:style>
  <w:style w:type="paragraph" w:customStyle="1" w:styleId="85">
    <w:name w:val="Char Char Char Char"/>
    <w:basedOn w:val="14"/>
    <w:qFormat/>
    <w:uiPriority w:val="0"/>
    <w:pPr>
      <w:adjustRightInd w:val="0"/>
      <w:snapToGrid w:val="0"/>
      <w:spacing w:line="360" w:lineRule="auto"/>
    </w:pPr>
    <w:rPr>
      <w:rFonts w:ascii="Tahoma" w:hAnsi="Tahoma"/>
      <w:sz w:val="24"/>
      <w:szCs w:val="24"/>
    </w:rPr>
  </w:style>
  <w:style w:type="paragraph" w:customStyle="1" w:styleId="86">
    <w:name w:val="Char1"/>
    <w:basedOn w:val="1"/>
    <w:qFormat/>
    <w:uiPriority w:val="0"/>
    <w:pPr>
      <w:tabs>
        <w:tab w:val="left" w:pos="360"/>
      </w:tabs>
      <w:ind w:firstLine="200" w:firstLineChars="200"/>
    </w:pPr>
    <w:rPr>
      <w:sz w:val="28"/>
      <w:szCs w:val="30"/>
    </w:rPr>
  </w:style>
  <w:style w:type="paragraph" w:customStyle="1" w:styleId="87">
    <w:name w:val="4"/>
    <w:basedOn w:val="1"/>
    <w:next w:val="34"/>
    <w:qFormat/>
    <w:uiPriority w:val="0"/>
    <w:pPr>
      <w:spacing w:line="360" w:lineRule="auto"/>
      <w:ind w:firstLine="420"/>
    </w:pPr>
    <w:rPr>
      <w:color w:val="FF0000"/>
      <w:sz w:val="24"/>
      <w:szCs w:val="24"/>
    </w:rPr>
  </w:style>
  <w:style w:type="paragraph" w:customStyle="1" w:styleId="8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9">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0">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1">
    <w:name w:val="Char Char Char Char1"/>
    <w:basedOn w:val="14"/>
    <w:qFormat/>
    <w:uiPriority w:val="0"/>
    <w:pPr>
      <w:adjustRightInd w:val="0"/>
      <w:snapToGrid w:val="0"/>
      <w:spacing w:line="360" w:lineRule="auto"/>
    </w:pPr>
    <w:rPr>
      <w:rFonts w:ascii="Tahoma" w:hAnsi="Tahoma"/>
      <w:sz w:val="24"/>
      <w:szCs w:val="24"/>
    </w:rPr>
  </w:style>
  <w:style w:type="paragraph" w:customStyle="1" w:styleId="92">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3">
    <w:name w:val="table_lines"/>
    <w:basedOn w:val="1"/>
    <w:qFormat/>
    <w:uiPriority w:val="0"/>
    <w:pPr>
      <w:widowControl/>
      <w:jc w:val="left"/>
    </w:pPr>
    <w:rPr>
      <w:kern w:val="0"/>
      <w:sz w:val="20"/>
      <w:szCs w:val="20"/>
      <w:lang w:val="de-DE" w:eastAsia="de-DE"/>
    </w:rPr>
  </w:style>
  <w:style w:type="paragraph" w:customStyle="1" w:styleId="94">
    <w:name w:val="Char Char Char Char Char Char Char Char Char Char"/>
    <w:basedOn w:val="1"/>
    <w:qFormat/>
    <w:uiPriority w:val="0"/>
    <w:pPr>
      <w:adjustRightInd w:val="0"/>
      <w:spacing w:line="360" w:lineRule="auto"/>
    </w:pPr>
    <w:rPr>
      <w:kern w:val="0"/>
      <w:sz w:val="24"/>
      <w:szCs w:val="20"/>
    </w:rPr>
  </w:style>
  <w:style w:type="paragraph" w:customStyle="1" w:styleId="95">
    <w:name w:val="z-窗体底端1"/>
    <w:basedOn w:val="1"/>
    <w:next w:val="1"/>
    <w:qFormat/>
    <w:uiPriority w:val="0"/>
    <w:pPr>
      <w:pBdr>
        <w:top w:val="single" w:color="auto" w:sz="6" w:space="1"/>
      </w:pBdr>
      <w:jc w:val="center"/>
    </w:pPr>
    <w:rPr>
      <w:rFonts w:ascii="Arial"/>
      <w:vanish/>
      <w:sz w:val="16"/>
    </w:rPr>
  </w:style>
  <w:style w:type="paragraph" w:customStyle="1" w:styleId="9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8">
    <w:name w:val="样式1"/>
    <w:basedOn w:val="1"/>
    <w:qFormat/>
    <w:uiPriority w:val="0"/>
    <w:pPr>
      <w:numPr>
        <w:ilvl w:val="0"/>
        <w:numId w:val="3"/>
      </w:numPr>
      <w:adjustRightInd w:val="0"/>
      <w:textAlignment w:val="baseline"/>
    </w:pPr>
    <w:rPr>
      <w:rFonts w:ascii="宋体" w:hAnsi="宋体"/>
      <w:kern w:val="0"/>
    </w:rPr>
  </w:style>
  <w:style w:type="paragraph" w:styleId="99">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46</Pages>
  <Words>3731</Words>
  <Characters>21273</Characters>
  <Lines>177</Lines>
  <Paragraphs>49</Paragraphs>
  <TotalTime>6</TotalTime>
  <ScaleCrop>false</ScaleCrop>
  <LinksUpToDate>false</LinksUpToDate>
  <CharactersWithSpaces>24955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2021-01-22T08:19:00Z</dcterms:created>
  <dc:creator>政府采购中心</dc:creator>
  <cp:lastModifiedBy>hp3</cp:lastModifiedBy>
  <cp:lastPrinted>2020-12-10T00:31:00Z</cp:lastPrinted>
  <dcterms:modified xsi:type="dcterms:W3CDTF">2021-01-24T06:45:02Z</dcterms:modified>
  <dc:title>江苏卫生信息系统业务软件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