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项目编号：2019-044S</w:t>
      </w: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szCs w:val="36"/>
        </w:rPr>
      </w:pPr>
      <w:r>
        <w:rPr>
          <w:rFonts w:hint="eastAsia" w:ascii="宋体" w:hAnsi="宋体" w:cs="宋体"/>
          <w:b/>
          <w:sz w:val="36"/>
          <w:szCs w:val="36"/>
        </w:rPr>
        <w:t>项目名称：盐城工业职业技术学院药学院-药品生产技术专业群药品生产GMP虚拟实训仿真平台项目</w:t>
      </w: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江苏双清工程造价咨询有限公司</w:t>
      </w:r>
    </w:p>
    <w:p>
      <w:pPr>
        <w:jc w:val="center"/>
        <w:rPr>
          <w:rFonts w:ascii="宋体" w:hAnsi="宋体" w:cs="宋体"/>
          <w:sz w:val="36"/>
          <w:szCs w:val="36"/>
        </w:rPr>
      </w:pPr>
      <w:r>
        <w:rPr>
          <w:rFonts w:hint="eastAsia" w:ascii="宋体" w:hAnsi="宋体" w:cs="宋体"/>
          <w:sz w:val="36"/>
          <w:szCs w:val="36"/>
        </w:rPr>
        <w:t>2019年1</w:t>
      </w:r>
      <w:r>
        <w:rPr>
          <w:rFonts w:hint="eastAsia" w:ascii="宋体" w:hAnsi="宋体" w:cs="宋体"/>
          <w:sz w:val="36"/>
          <w:szCs w:val="36"/>
          <w:lang w:val="en-US" w:eastAsia="zh-CN"/>
        </w:rPr>
        <w:t>2</w:t>
      </w:r>
      <w:r>
        <w:rPr>
          <w:rFonts w:hint="eastAsia" w:ascii="宋体" w:hAnsi="宋体" w:cs="宋体"/>
          <w:sz w:val="36"/>
          <w:szCs w:val="36"/>
        </w:rPr>
        <w:t>月</w:t>
      </w:r>
      <w:r>
        <w:rPr>
          <w:rFonts w:hint="eastAsia" w:ascii="宋体" w:hAnsi="宋体" w:cs="宋体"/>
          <w:sz w:val="36"/>
          <w:szCs w:val="36"/>
          <w:lang w:val="en-US" w:eastAsia="zh-CN"/>
        </w:rPr>
        <w:t>16</w:t>
      </w:r>
      <w:r>
        <w:rPr>
          <w:rFonts w:hint="eastAsia" w:ascii="宋体" w:hAnsi="宋体" w:cs="宋体"/>
          <w:sz w:val="36"/>
          <w:szCs w:val="36"/>
        </w:rPr>
        <w:t>日</w:t>
      </w:r>
    </w:p>
    <w:p>
      <w:pPr>
        <w:spacing w:line="480" w:lineRule="auto"/>
        <w:jc w:val="center"/>
        <w:outlineLvl w:val="0"/>
        <w:rPr>
          <w:rFonts w:ascii="宋体" w:hAnsi="宋体" w:cs="宋体"/>
        </w:rPr>
      </w:pPr>
      <w:r>
        <w:rPr>
          <w:rFonts w:hint="eastAsia" w:ascii="宋体" w:hAnsi="宋体" w:cs="宋体"/>
        </w:rPr>
        <w:br w:type="page"/>
      </w:r>
      <w:bookmarkStart w:id="0" w:name="_Toc120614210"/>
      <w:bookmarkStart w:id="1" w:name="_Toc513029200"/>
      <w:bookmarkStart w:id="2" w:name="_Toc16938516"/>
      <w:bookmarkStart w:id="3" w:name="_Toc523127445"/>
      <w:bookmarkStart w:id="4" w:name="_Toc479757206"/>
      <w:bookmarkStart w:id="5" w:name="_Toc20823272"/>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1"/>
        </w:numPr>
        <w:spacing w:line="480" w:lineRule="auto"/>
        <w:outlineLvl w:val="0"/>
        <w:rPr>
          <w:rFonts w:ascii="宋体" w:hAnsi="宋体" w:cs="宋体"/>
          <w:sz w:val="36"/>
        </w:rPr>
      </w:pPr>
      <w:r>
        <w:rPr>
          <w:rFonts w:hint="eastAsia" w:ascii="宋体" w:hAnsi="宋体" w:cs="宋体"/>
          <w:sz w:val="36"/>
        </w:rPr>
        <w:t>项目需求……………………………………</w:t>
      </w:r>
    </w:p>
    <w:p>
      <w:pPr>
        <w:numPr>
          <w:ilvl w:val="0"/>
          <w:numId w:val="1"/>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hAnsi="宋体" w:cs="宋体"/>
          <w:sz w:val="36"/>
        </w:rPr>
      </w:pPr>
      <w:r>
        <w:rPr>
          <w:rFonts w:hint="eastAsia" w:ascii="宋体" w:hAnsi="宋体" w:cs="宋体"/>
          <w:sz w:val="36"/>
        </w:rPr>
        <w:t>投标文件格式………………………………</w:t>
      </w:r>
    </w:p>
    <w:p>
      <w:pPr>
        <w:pStyle w:val="2"/>
        <w:rPr>
          <w:rFonts w:ascii="宋体" w:hAnsi="宋体" w:eastAsia="宋体" w:cs="宋体"/>
          <w:bCs/>
          <w:sz w:val="44"/>
        </w:rPr>
      </w:pPr>
    </w:p>
    <w:p>
      <w:pPr>
        <w:pStyle w:val="2"/>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rPr>
          <w:rFonts w:ascii="宋体" w:hAnsi="宋体" w:eastAsia="宋体" w:cs="宋体"/>
          <w:bCs/>
          <w:sz w:val="44"/>
          <w:szCs w:val="44"/>
        </w:rPr>
      </w:pPr>
      <w:r>
        <w:rPr>
          <w:rFonts w:hint="eastAsia" w:ascii="宋体" w:hAnsi="宋体" w:eastAsia="宋体" w:cs="宋体"/>
          <w:sz w:val="44"/>
          <w:szCs w:val="44"/>
        </w:rPr>
        <w:br w:type="page"/>
      </w:r>
      <w:r>
        <w:rPr>
          <w:rFonts w:hint="eastAsia" w:ascii="宋体" w:hAnsi="宋体" w:eastAsia="宋体" w:cs="宋体"/>
          <w:sz w:val="44"/>
          <w:szCs w:val="44"/>
        </w:rPr>
        <w:t xml:space="preserve">第一章  </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ascii="宋体" w:hAnsi="宋体" w:cs="宋体"/>
          <w:sz w:val="24"/>
        </w:rPr>
      </w:pPr>
      <w:r>
        <w:rPr>
          <w:rFonts w:hint="eastAsia" w:ascii="宋体" w:hAnsi="宋体" w:cs="宋体"/>
          <w:sz w:val="24"/>
        </w:rPr>
        <w:t>根据盐城工业职业技术学院下达的采购计划，江苏双清工程造价咨询有限公司受盐城工业职业技术学院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的委托，决定就其所需的盐城工业职业技术学院药学院-药品生产技术专业群药品生产GMP虚拟实训仿真平台项目进行公开招标采购，现欢迎符合相关条件的合格供应商投标。</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ascii="宋体" w:hAnsi="宋体" w:cs="宋体"/>
          <w:sz w:val="24"/>
        </w:rPr>
      </w:pPr>
      <w:r>
        <w:rPr>
          <w:rFonts w:hint="eastAsia" w:ascii="宋体" w:hAnsi="宋体" w:cs="宋体"/>
          <w:sz w:val="24"/>
        </w:rPr>
        <w:t>项目名称：盐城工业职业技术学院药学院-药品生产技术专业群药品生产GMP虚拟实训仿真平台项目</w:t>
      </w:r>
    </w:p>
    <w:p>
      <w:pPr>
        <w:tabs>
          <w:tab w:val="left" w:pos="900"/>
        </w:tabs>
        <w:spacing w:line="500" w:lineRule="exact"/>
        <w:ind w:firstLine="480" w:firstLineChars="200"/>
        <w:rPr>
          <w:rFonts w:ascii="宋体" w:hAnsi="宋体" w:cs="宋体"/>
          <w:sz w:val="24"/>
        </w:rPr>
      </w:pPr>
      <w:r>
        <w:rPr>
          <w:rFonts w:hint="eastAsia" w:ascii="宋体" w:hAnsi="宋体" w:cs="宋体"/>
          <w:sz w:val="24"/>
        </w:rPr>
        <w:t>标书编号：2019-044S</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ascii="宋体" w:hAnsi="宋体" w:cs="宋体"/>
          <w:sz w:val="24"/>
        </w:rPr>
      </w:pPr>
      <w:r>
        <w:rPr>
          <w:rFonts w:hint="eastAsia" w:ascii="宋体" w:hAnsi="宋体" w:cs="宋体"/>
          <w:sz w:val="24"/>
        </w:rPr>
        <w:t>盐城工业职业技术学院药学院-药品生产技术专业群药品生产GMP虚拟实训仿真平台项目的研究开发、采购、安装、调试、培训、验收、维护、售前及售后等伴随服务，详情见招标文件项目需求部分，招标人保留适当变更的权利。</w:t>
      </w:r>
    </w:p>
    <w:p>
      <w:pPr>
        <w:tabs>
          <w:tab w:val="left" w:pos="900"/>
        </w:tabs>
        <w:spacing w:line="500" w:lineRule="exact"/>
        <w:ind w:firstLine="480" w:firstLineChars="200"/>
        <w:rPr>
          <w:rFonts w:ascii="宋体" w:hAnsi="宋体" w:cs="宋体"/>
          <w:sz w:val="24"/>
        </w:rPr>
      </w:pPr>
      <w:r>
        <w:rPr>
          <w:rFonts w:hint="eastAsia" w:ascii="宋体" w:hAnsi="宋体" w:cs="宋体"/>
          <w:sz w:val="24"/>
        </w:rPr>
        <w:t>预算价：25万元。投标人的投标报价不得超过预算价。</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三、供应商资格要求</w:t>
      </w:r>
    </w:p>
    <w:p>
      <w:pPr>
        <w:tabs>
          <w:tab w:val="left" w:pos="900"/>
        </w:tabs>
        <w:spacing w:line="500" w:lineRule="exact"/>
        <w:ind w:firstLine="480" w:firstLineChars="200"/>
        <w:rPr>
          <w:rFonts w:ascii="宋体" w:hAns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ascii="宋体" w:hAnsi="宋体" w:cs="宋体"/>
          <w:sz w:val="24"/>
        </w:rPr>
      </w:pPr>
      <w:r>
        <w:rPr>
          <w:rFonts w:hint="eastAsia" w:ascii="宋体" w:hAnsi="宋体" w:cs="宋体"/>
          <w:sz w:val="24"/>
        </w:rPr>
        <w:t>1、法人或者其他组织的营业执照等证明文件，自然人的身份证明；</w:t>
      </w:r>
    </w:p>
    <w:p>
      <w:pPr>
        <w:snapToGrid w:val="0"/>
        <w:spacing w:line="500" w:lineRule="exact"/>
        <w:ind w:firstLine="480" w:firstLineChars="200"/>
        <w:rPr>
          <w:rFonts w:ascii="宋体" w:hAnsi="宋体" w:cs="宋体"/>
          <w:sz w:val="24"/>
        </w:rPr>
      </w:pPr>
      <w:r>
        <w:rPr>
          <w:rFonts w:hint="eastAsia" w:ascii="宋体" w:hAnsi="宋体" w:cs="宋体"/>
          <w:sz w:val="24"/>
        </w:rPr>
        <w:t>2、上一年度的财务报表（成立不满一年不需提供）；</w:t>
      </w:r>
    </w:p>
    <w:p>
      <w:pPr>
        <w:snapToGrid w:val="0"/>
        <w:spacing w:line="500" w:lineRule="exact"/>
        <w:ind w:firstLine="480" w:firstLineChars="200"/>
        <w:rPr>
          <w:rFonts w:ascii="宋体" w:hAnsi="宋体" w:cs="宋体"/>
          <w:sz w:val="24"/>
        </w:rPr>
      </w:pPr>
      <w:r>
        <w:rPr>
          <w:rFonts w:hint="eastAsia" w:ascii="宋体" w:hAnsi="宋体" w:cs="宋体"/>
          <w:sz w:val="24"/>
        </w:rPr>
        <w:t>3、依法缴纳税收和社会保障资金的相关材料；</w:t>
      </w:r>
    </w:p>
    <w:p>
      <w:pPr>
        <w:snapToGrid w:val="0"/>
        <w:spacing w:line="500" w:lineRule="exact"/>
        <w:ind w:firstLine="480" w:firstLineChars="200"/>
        <w:rPr>
          <w:rFonts w:ascii="宋体" w:hAnsi="宋体" w:cs="宋体"/>
          <w:sz w:val="24"/>
        </w:rPr>
      </w:pPr>
      <w:r>
        <w:rPr>
          <w:rFonts w:hint="eastAsia" w:ascii="宋体" w:hAnsi="宋体" w:cs="宋体"/>
          <w:sz w:val="24"/>
        </w:rPr>
        <w:t>4、具备履行合同所必需的设备和专业技术能力的书面声明；</w:t>
      </w:r>
    </w:p>
    <w:p>
      <w:pPr>
        <w:snapToGrid w:val="0"/>
        <w:spacing w:line="500" w:lineRule="exact"/>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ascii="宋体" w:hAns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ascii="宋体" w:hAnsi="宋体" w:cs="宋体"/>
          <w:bCs/>
          <w:sz w:val="24"/>
        </w:rPr>
      </w:pPr>
      <w:r>
        <w:rPr>
          <w:rFonts w:hint="eastAsia" w:ascii="宋体" w:hAnsi="宋体" w:cs="宋体"/>
          <w:sz w:val="24"/>
        </w:rPr>
        <w:t>1、未</w:t>
      </w:r>
      <w:r>
        <w:rPr>
          <w:rFonts w:hint="eastAsia" w:ascii="宋体" w:hAnsi="宋体" w:cs="宋体"/>
          <w:bCs/>
          <w:sz w:val="24"/>
        </w:rPr>
        <w:t xml:space="preserve">被“信用中国”网站（www.creditchina.gov.cn）列入失信被执行人、重大税收违法案件当事人名单、政府采购严重失信行为记录名单。  </w:t>
      </w:r>
    </w:p>
    <w:p>
      <w:pPr>
        <w:spacing w:line="500" w:lineRule="exact"/>
        <w:ind w:firstLine="480" w:firstLineChars="200"/>
        <w:rPr>
          <w:rFonts w:ascii="宋体" w:hAns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ascii="宋体" w:hAns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并在投标文件截止时间三天前按要求送达或邮件回复（邮箱号码：</w:t>
      </w:r>
      <w:r>
        <w:fldChar w:fldCharType="begin"/>
      </w:r>
      <w:r>
        <w:instrText xml:space="preserve"> HYPERLINK "mailto:310920981@qq.com" </w:instrText>
      </w:r>
      <w:r>
        <w:fldChar w:fldCharType="separate"/>
      </w:r>
      <w:r>
        <w:rPr>
          <w:rStyle w:val="50"/>
          <w:rFonts w:hint="default" w:ascii="宋体" w:hAnsi="宋体" w:eastAsia="宋体" w:cs="宋体"/>
          <w:sz w:val="24"/>
        </w:rPr>
        <w:t>310920981@qq.com</w:t>
      </w:r>
      <w:r>
        <w:rPr>
          <w:rStyle w:val="50"/>
          <w:rFonts w:hint="default" w:ascii="宋体" w:hAnsi="宋体" w:eastAsia="宋体" w:cs="宋体"/>
          <w:sz w:val="24"/>
        </w:rPr>
        <w:fldChar w:fldCharType="end"/>
      </w:r>
      <w:r>
        <w:rPr>
          <w:rFonts w:hint="eastAsia" w:ascii="宋体" w:hAnsi="宋体" w:cs="宋体"/>
          <w:sz w:val="24"/>
        </w:rPr>
        <w:t>）。</w:t>
      </w:r>
    </w:p>
    <w:p>
      <w:pPr>
        <w:tabs>
          <w:tab w:val="left" w:pos="900"/>
        </w:tabs>
        <w:spacing w:line="500" w:lineRule="exact"/>
        <w:ind w:firstLine="480" w:firstLineChars="200"/>
        <w:rPr>
          <w:rFonts w:ascii="宋体" w:hAns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投标文件接收时间：20</w:t>
      </w:r>
      <w:r>
        <w:rPr>
          <w:rFonts w:hint="eastAsia" w:ascii="宋体" w:hAnsi="宋体" w:cs="宋体"/>
          <w:sz w:val="24"/>
          <w:lang w:val="en-US" w:eastAsia="zh-CN"/>
        </w:rPr>
        <w:t>20</w:t>
      </w:r>
      <w:r>
        <w:rPr>
          <w:rFonts w:hint="eastAsia" w:ascii="宋体" w:hAnsi="宋体" w:cs="宋体"/>
          <w:sz w:val="24"/>
        </w:rPr>
        <w:t>年1月</w:t>
      </w:r>
      <w:r>
        <w:rPr>
          <w:rFonts w:hint="eastAsia" w:ascii="宋体" w:hAnsi="宋体" w:cs="宋体"/>
          <w:sz w:val="24"/>
          <w:lang w:val="en-US" w:eastAsia="zh-CN"/>
        </w:rPr>
        <w:t>7</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：30时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投标文件接收截止时间：20</w:t>
      </w:r>
      <w:r>
        <w:rPr>
          <w:rFonts w:hint="eastAsia" w:ascii="宋体" w:hAnsi="宋体" w:cs="宋体"/>
          <w:sz w:val="24"/>
          <w:lang w:val="en-US" w:eastAsia="zh-CN"/>
        </w:rPr>
        <w:t>20</w:t>
      </w:r>
      <w:r>
        <w:rPr>
          <w:rFonts w:hint="eastAsia" w:ascii="宋体" w:hAnsi="宋体" w:cs="宋体"/>
          <w:sz w:val="24"/>
        </w:rPr>
        <w:t>年1月</w:t>
      </w:r>
      <w:r>
        <w:rPr>
          <w:rFonts w:hint="eastAsia" w:ascii="宋体" w:hAnsi="宋体" w:cs="宋体"/>
          <w:sz w:val="24"/>
          <w:lang w:val="en-US" w:eastAsia="zh-CN"/>
        </w:rPr>
        <w:t>7</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投标文件接收地点：盐城工业职业技术学院（盐城市解放南路285号）后勤服务中心四楼开标室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六、开标有关信息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开标时间：20</w:t>
      </w:r>
      <w:r>
        <w:rPr>
          <w:rFonts w:hint="eastAsia" w:ascii="宋体" w:hAnsi="宋体" w:cs="宋体"/>
          <w:sz w:val="24"/>
          <w:lang w:val="en-US" w:eastAsia="zh-CN"/>
        </w:rPr>
        <w:t>20</w:t>
      </w:r>
      <w:r>
        <w:rPr>
          <w:rFonts w:hint="eastAsia" w:ascii="宋体" w:hAnsi="宋体" w:cs="宋体"/>
          <w:sz w:val="24"/>
        </w:rPr>
        <w:t>年1月</w:t>
      </w:r>
      <w:r>
        <w:rPr>
          <w:rFonts w:hint="eastAsia" w:ascii="宋体" w:hAnsi="宋体" w:cs="宋体"/>
          <w:sz w:val="24"/>
          <w:lang w:val="en-US" w:eastAsia="zh-CN"/>
        </w:rPr>
        <w:t>7</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开标地点：盐城工业职业技术学院（盐城市解放南路285号）后勤服务中心四楼开标室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ascii="宋体" w:hAnsi="宋体" w:cs="宋体"/>
          <w:sz w:val="24"/>
        </w:rPr>
      </w:pPr>
      <w:r>
        <w:rPr>
          <w:rFonts w:hint="eastAsia" w:ascii="宋体" w:hAnsi="宋体" w:cs="宋体"/>
          <w:sz w:val="24"/>
        </w:rPr>
        <w:t>（一）采购人项目联系人：申老师，联系电话：13770072136；</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采购人地址：盐城工业职业技术学院后勤服务中心四楼405室；</w:t>
      </w:r>
    </w:p>
    <w:p>
      <w:pPr>
        <w:tabs>
          <w:tab w:val="left" w:pos="900"/>
        </w:tabs>
        <w:spacing w:line="50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pacing w:line="500" w:lineRule="exact"/>
        <w:ind w:firstLine="482" w:firstLineChars="200"/>
        <w:rPr>
          <w:rFonts w:ascii="宋体" w:hAnsi="宋体" w:cs="宋体"/>
          <w:b/>
          <w:sz w:val="24"/>
        </w:rPr>
      </w:pPr>
      <w:r>
        <w:rPr>
          <w:rFonts w:hint="eastAsia" w:ascii="宋体" w:hAnsi="宋体" w:cs="宋体"/>
          <w:b/>
          <w:sz w:val="24"/>
        </w:rPr>
        <w:t>八、投标文件制作份数要求</w:t>
      </w:r>
    </w:p>
    <w:p>
      <w:pPr>
        <w:spacing w:line="500" w:lineRule="exact"/>
        <w:ind w:firstLine="480" w:firstLineChars="200"/>
        <w:rPr>
          <w:rFonts w:ascii="宋体" w:hAnsi="宋体" w:cs="宋体"/>
          <w:sz w:val="24"/>
        </w:rPr>
      </w:pPr>
      <w:r>
        <w:rPr>
          <w:rFonts w:hint="eastAsia" w:ascii="宋体" w:hAnsi="宋体" w:cs="宋体"/>
          <w:sz w:val="24"/>
        </w:rPr>
        <w:t>正本份数：1份，副本份数：2份。</w:t>
      </w:r>
    </w:p>
    <w:p>
      <w:pPr>
        <w:spacing w:line="500" w:lineRule="exact"/>
        <w:ind w:firstLine="482" w:firstLineChars="200"/>
        <w:rPr>
          <w:rFonts w:ascii="宋体" w:hAns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ascii="宋体" w:hAns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伍仟元整</w:t>
      </w:r>
      <w:r>
        <w:rPr>
          <w:rFonts w:hint="eastAsia" w:ascii="宋体" w:hAnsi="宋体" w:cs="宋体"/>
          <w:sz w:val="24"/>
        </w:rPr>
        <w:t>，投标保证金必须在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hAnsi="宋体" w:cs="宋体"/>
          <w:kern w:val="0"/>
          <w:sz w:val="24"/>
        </w:rPr>
      </w:pPr>
    </w:p>
    <w:p>
      <w:pPr>
        <w:spacing w:line="500" w:lineRule="exact"/>
        <w:ind w:firstLine="480" w:firstLineChars="200"/>
        <w:outlineLvl w:val="1"/>
        <w:rPr>
          <w:rFonts w:ascii="宋体" w:hAnsi="宋体" w:cs="宋体"/>
          <w:kern w:val="0"/>
          <w:sz w:val="24"/>
        </w:rPr>
      </w:pPr>
    </w:p>
    <w:p>
      <w:pPr>
        <w:spacing w:line="500" w:lineRule="exact"/>
        <w:ind w:firstLine="480" w:firstLineChars="200"/>
        <w:rPr>
          <w:rFonts w:ascii="宋体" w:hAnsi="宋体" w:cs="宋体"/>
          <w:sz w:val="24"/>
        </w:rPr>
      </w:pPr>
    </w:p>
    <w:p>
      <w:pPr>
        <w:spacing w:line="500" w:lineRule="exact"/>
        <w:ind w:firstLine="480" w:firstLineChars="200"/>
        <w:jc w:val="right"/>
        <w:rPr>
          <w:rFonts w:ascii="宋体" w:hAnsi="宋体" w:cs="宋体"/>
          <w:sz w:val="24"/>
        </w:rPr>
      </w:pPr>
      <w:r>
        <w:rPr>
          <w:rFonts w:hint="eastAsia" w:ascii="宋体" w:hAnsi="宋体" w:cs="宋体"/>
          <w:sz w:val="24"/>
          <w:szCs w:val="24"/>
        </w:rPr>
        <w:t xml:space="preserve">                                        盐城工业职业技术学院</w:t>
      </w:r>
    </w:p>
    <w:p>
      <w:pPr>
        <w:spacing w:line="500" w:lineRule="exact"/>
        <w:ind w:firstLine="480" w:firstLineChars="200"/>
        <w:jc w:val="right"/>
        <w:rPr>
          <w:rFonts w:ascii="宋体" w:hAnsi="宋体" w:cs="宋体"/>
          <w:sz w:val="24"/>
        </w:rPr>
      </w:pPr>
      <w:r>
        <w:rPr>
          <w:rFonts w:hint="eastAsia" w:ascii="宋体" w:hAnsi="宋体" w:cs="宋体"/>
          <w:sz w:val="24"/>
          <w:szCs w:val="24"/>
        </w:rPr>
        <w:t>江苏双清工程造价咨询有限公司</w:t>
      </w:r>
    </w:p>
    <w:p>
      <w:pPr>
        <w:spacing w:line="500" w:lineRule="exact"/>
        <w:ind w:firstLine="480" w:firstLineChars="200"/>
        <w:jc w:val="right"/>
        <w:rPr>
          <w:rFonts w:ascii="宋体" w:hAnsi="宋体" w:cs="宋体"/>
          <w:sz w:val="24"/>
        </w:rPr>
      </w:pPr>
      <w:r>
        <w:rPr>
          <w:rFonts w:hint="eastAsia" w:ascii="宋体" w:hAnsi="宋体" w:cs="宋体"/>
          <w:sz w:val="24"/>
        </w:rPr>
        <w:t>2019年1</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p>
    <w:p>
      <w:pPr>
        <w:jc w:val="center"/>
        <w:rPr>
          <w:rFonts w:ascii="宋体" w:hAnsi="宋体" w:cs="宋体"/>
        </w:rPr>
      </w:pPr>
      <w:bookmarkStart w:id="6" w:name="_Toc120614211"/>
      <w:r>
        <w:rPr>
          <w:rFonts w:hint="eastAsia" w:ascii="宋体" w:hAnsi="宋体" w:cs="宋体"/>
        </w:rPr>
        <w:br w:type="page"/>
      </w:r>
    </w:p>
    <w:p>
      <w:pPr>
        <w:pStyle w:val="3"/>
        <w:spacing w:line="240" w:lineRule="auto"/>
        <w:rPr>
          <w:rFonts w:ascii="宋体" w:hAnsi="宋体" w:eastAsia="宋体" w:cs="宋体"/>
          <w:b w:val="0"/>
          <w:bCs w:val="0"/>
        </w:rPr>
      </w:pPr>
      <w:r>
        <w:rPr>
          <w:rFonts w:hint="eastAsia" w:ascii="宋体" w:hAnsi="宋体" w:eastAsia="宋体" w:cs="宋体"/>
        </w:rPr>
        <w:t xml:space="preserve">第二章  </w:t>
      </w:r>
      <w:bookmarkEnd w:id="1"/>
      <w:bookmarkEnd w:id="2"/>
      <w:bookmarkEnd w:id="3"/>
      <w:bookmarkEnd w:id="4"/>
      <w:bookmarkEnd w:id="5"/>
      <w:bookmarkEnd w:id="6"/>
      <w:bookmarkStart w:id="7" w:name="_Toc16938518"/>
      <w:bookmarkStart w:id="8" w:name="_Toc120614213"/>
      <w:bookmarkStart w:id="9" w:name="_Toc513029202"/>
      <w:bookmarkStart w:id="10" w:name="_Toc20823274"/>
      <w:r>
        <w:rPr>
          <w:rFonts w:hint="eastAsia" w:ascii="宋体" w:hAnsi="宋体" w:eastAsia="宋体" w:cs="宋体"/>
        </w:rPr>
        <w:t>投标人须知</w:t>
      </w:r>
      <w:bookmarkEnd w:id="7"/>
      <w:bookmarkEnd w:id="8"/>
      <w:bookmarkEnd w:id="9"/>
      <w:bookmarkEnd w:id="10"/>
    </w:p>
    <w:p>
      <w:pPr>
        <w:pStyle w:val="4"/>
        <w:spacing w:before="0" w:after="0" w:line="440" w:lineRule="exact"/>
        <w:ind w:firstLine="643" w:firstLineChars="200"/>
        <w:rPr>
          <w:rFonts w:ascii="宋体" w:hAnsi="宋体" w:cs="宋体"/>
        </w:rPr>
      </w:pPr>
      <w:bookmarkStart w:id="11" w:name="_Toc120614214"/>
      <w:bookmarkStart w:id="12" w:name="_Toc513029203"/>
      <w:bookmarkStart w:id="13" w:name="_Toc16938519"/>
      <w:bookmarkStart w:id="14" w:name="_Toc20823275"/>
      <w:r>
        <w:rPr>
          <w:rFonts w:hint="eastAsia" w:ascii="宋体" w:hAnsi="宋体" w:cs="宋体"/>
        </w:rPr>
        <w:t>一、总则</w:t>
      </w:r>
      <w:bookmarkEnd w:id="11"/>
      <w:bookmarkEnd w:id="12"/>
      <w:bookmarkEnd w:id="13"/>
      <w:bookmarkEnd w:id="14"/>
    </w:p>
    <w:p>
      <w:pPr>
        <w:pStyle w:val="5"/>
        <w:spacing w:before="0" w:after="0" w:line="440" w:lineRule="exact"/>
        <w:ind w:firstLine="560" w:firstLineChars="200"/>
        <w:rPr>
          <w:rFonts w:ascii="宋体" w:hAnsi="宋体" w:eastAsia="宋体" w:cs="宋体"/>
          <w:b w:val="0"/>
          <w:bCs w:val="0"/>
        </w:rPr>
      </w:pPr>
      <w:bookmarkStart w:id="15" w:name="_Hlt16619475"/>
      <w:bookmarkEnd w:id="15"/>
      <w:bookmarkStart w:id="16" w:name="_Toc458694821"/>
      <w:bookmarkStart w:id="17" w:name="_Toc513029204"/>
      <w:bookmarkStart w:id="18" w:name="_Toc20823276"/>
      <w:bookmarkStart w:id="19" w:name="_Toc16938520"/>
      <w:r>
        <w:rPr>
          <w:rFonts w:hint="eastAsia"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pPr>
        <w:pStyle w:val="5"/>
        <w:spacing w:before="0" w:after="0" w:line="440" w:lineRule="exact"/>
        <w:ind w:firstLine="560" w:firstLineChars="200"/>
        <w:rPr>
          <w:rFonts w:ascii="宋体" w:hAnsi="宋体" w:eastAsia="宋体" w:cs="宋体"/>
          <w:b w:val="0"/>
          <w:bCs w:val="0"/>
        </w:rPr>
      </w:pPr>
      <w:bookmarkStart w:id="20" w:name="_Toc513029205"/>
      <w:bookmarkStart w:id="21" w:name="_Toc16938521"/>
      <w:bookmarkStart w:id="22" w:name="_Toc20823277"/>
      <w:r>
        <w:rPr>
          <w:rFonts w:hint="eastAsia" w:ascii="宋体" w:hAnsi="宋体" w:eastAsia="宋体" w:cs="宋体"/>
          <w:b w:val="0"/>
          <w:bCs w:val="0"/>
        </w:rPr>
        <w:t>2、合格的投标人</w:t>
      </w:r>
      <w:bookmarkEnd w:id="20"/>
      <w:bookmarkEnd w:id="21"/>
      <w:bookmarkEnd w:id="22"/>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5"/>
        <w:spacing w:before="0" w:after="0" w:line="440" w:lineRule="exact"/>
        <w:ind w:firstLine="560" w:firstLineChars="200"/>
        <w:rPr>
          <w:rFonts w:ascii="宋体" w:hAnsi="宋体" w:eastAsia="宋体" w:cs="宋体"/>
          <w:b w:val="0"/>
          <w:bCs w:val="0"/>
        </w:rPr>
      </w:pPr>
      <w:bookmarkStart w:id="23" w:name="_Toc16938522"/>
      <w:bookmarkStart w:id="24" w:name="_Toc20823278"/>
      <w:bookmarkStart w:id="25" w:name="_Toc513029206"/>
      <w:r>
        <w:rPr>
          <w:rFonts w:hint="eastAsia" w:ascii="宋体" w:hAnsi="宋体" w:eastAsia="宋体" w:cs="宋体"/>
          <w:b w:val="0"/>
          <w:bCs w:val="0"/>
        </w:rPr>
        <w:t>3、适用法律</w:t>
      </w:r>
      <w:bookmarkEnd w:id="23"/>
      <w:bookmarkEnd w:id="24"/>
      <w:bookmarkEnd w:id="25"/>
    </w:p>
    <w:p>
      <w:pPr>
        <w:spacing w:line="44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pPr>
        <w:pStyle w:val="5"/>
        <w:spacing w:before="0" w:after="0" w:line="440" w:lineRule="exact"/>
        <w:ind w:firstLine="560" w:firstLineChars="200"/>
        <w:rPr>
          <w:rFonts w:ascii="宋体" w:hAnsi="宋体" w:eastAsia="宋体" w:cs="宋体"/>
          <w:b w:val="0"/>
          <w:bCs w:val="0"/>
        </w:rPr>
      </w:pPr>
      <w:bookmarkStart w:id="26" w:name="_Toc513029207"/>
      <w:bookmarkStart w:id="27" w:name="_Toc20823279"/>
      <w:bookmarkStart w:id="28" w:name="_Toc16938523"/>
      <w:bookmarkStart w:id="29" w:name="_Toc462564067"/>
      <w:r>
        <w:rPr>
          <w:rFonts w:hint="eastAsia" w:ascii="宋体" w:hAnsi="宋体" w:eastAsia="宋体" w:cs="宋体"/>
          <w:b w:val="0"/>
          <w:bCs w:val="0"/>
        </w:rPr>
        <w:t>4、投标费用</w:t>
      </w:r>
      <w:bookmarkEnd w:id="26"/>
      <w:bookmarkEnd w:id="27"/>
      <w:bookmarkEnd w:id="28"/>
      <w:bookmarkEnd w:id="29"/>
    </w:p>
    <w:p>
      <w:pPr>
        <w:spacing w:line="44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rPr>
      </w:pPr>
      <w:r>
        <w:rPr>
          <w:rFonts w:hint="eastAsia" w:ascii="宋体" w:hAnsi="宋体" w:cs="宋体"/>
          <w:sz w:val="24"/>
        </w:rPr>
        <w:t>4.2本项目中标人与采购人签订合同前，须向采购代理机构支付招标代理服务费，收费标准按中标价的1.5%×42%计取（如低于3000元的直接按30</w:t>
      </w:r>
      <w:r>
        <w:rPr>
          <w:rFonts w:hint="eastAsia" w:ascii="宋体" w:hAnsi="宋体" w:cs="宋体"/>
          <w:sz w:val="24"/>
          <w:lang w:val="en-US" w:eastAsia="zh-CN"/>
        </w:rPr>
        <w:t>0</w:t>
      </w:r>
      <w:r>
        <w:rPr>
          <w:rFonts w:hint="eastAsia" w:ascii="宋体" w:hAnsi="宋体" w:cs="宋体"/>
          <w:sz w:val="24"/>
        </w:rPr>
        <w:t>0元计取）；上述费用由各投标人在投标时自行综合考虑分摊含进投标报价中，且不得单列。</w:t>
      </w:r>
    </w:p>
    <w:p>
      <w:pPr>
        <w:pStyle w:val="5"/>
        <w:spacing w:before="0" w:after="0" w:line="440" w:lineRule="exact"/>
        <w:ind w:firstLine="602" w:firstLineChars="200"/>
        <w:rPr>
          <w:rFonts w:ascii="宋体" w:hAnsi="宋体" w:eastAsia="宋体" w:cs="宋体"/>
          <w:b w:val="0"/>
          <w:bCs w:val="0"/>
        </w:rPr>
      </w:pPr>
      <w:r>
        <w:rPr>
          <w:rFonts w:hint="eastAsia" w:ascii="宋体" w:hAnsi="宋体" w:eastAsia="宋体" w:cs="宋体"/>
          <w:sz w:val="30"/>
        </w:rPr>
        <w:t>5、</w:t>
      </w:r>
      <w:r>
        <w:rPr>
          <w:rFonts w:hint="eastAsia" w:ascii="宋体" w:hAnsi="宋体" w:eastAsia="宋体" w:cs="宋体"/>
          <w:b w:val="0"/>
          <w:bCs w:val="0"/>
        </w:rPr>
        <w:t>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4"/>
        <w:spacing w:before="0" w:after="0" w:line="440" w:lineRule="exact"/>
        <w:ind w:firstLine="643" w:firstLineChars="200"/>
        <w:rPr>
          <w:rFonts w:ascii="宋体" w:hAnsi="宋体" w:cs="宋体"/>
        </w:rPr>
      </w:pPr>
      <w:bookmarkStart w:id="30" w:name="_Toc20823281"/>
      <w:bookmarkStart w:id="31" w:name="_Toc120614215"/>
      <w:bookmarkStart w:id="32" w:name="_Toc513029209"/>
      <w:bookmarkStart w:id="33" w:name="_Toc16938525"/>
      <w:r>
        <w:rPr>
          <w:rFonts w:hint="eastAsia" w:ascii="宋体" w:hAnsi="宋体" w:cs="宋体"/>
        </w:rPr>
        <w:t>二、招标文件</w:t>
      </w:r>
      <w:bookmarkEnd w:id="30"/>
      <w:bookmarkEnd w:id="31"/>
      <w:bookmarkEnd w:id="32"/>
      <w:bookmarkEnd w:id="33"/>
    </w:p>
    <w:p>
      <w:pPr>
        <w:pStyle w:val="5"/>
        <w:spacing w:before="0" w:after="0" w:line="440" w:lineRule="exact"/>
        <w:ind w:firstLine="560" w:firstLineChars="200"/>
        <w:rPr>
          <w:rFonts w:ascii="宋体" w:hAnsi="宋体" w:eastAsia="宋体" w:cs="宋体"/>
          <w:b w:val="0"/>
          <w:bCs w:val="0"/>
        </w:rPr>
      </w:pPr>
      <w:bookmarkStart w:id="34" w:name="_Toc20823282"/>
      <w:bookmarkStart w:id="35" w:name="_Toc16938526"/>
      <w:bookmarkStart w:id="36" w:name="_Toc513029210"/>
      <w:r>
        <w:rPr>
          <w:rFonts w:hint="eastAsia" w:ascii="宋体" w:hAnsi="宋体" w:eastAsia="宋体" w:cs="宋体"/>
          <w:b w:val="0"/>
          <w:bCs w:val="0"/>
        </w:rPr>
        <w:t>7、招标文件构成</w:t>
      </w:r>
      <w:bookmarkEnd w:id="34"/>
      <w:bookmarkEnd w:id="35"/>
      <w:bookmarkEnd w:id="36"/>
    </w:p>
    <w:p>
      <w:pPr>
        <w:spacing w:line="440" w:lineRule="exact"/>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ascii="宋体" w:hAnsi="宋体" w:cs="宋体"/>
          <w:sz w:val="24"/>
        </w:rPr>
      </w:pPr>
      <w:r>
        <w:rPr>
          <w:rFonts w:hint="eastAsia" w:ascii="宋体" w:hAnsi="宋体" w:cs="宋体"/>
          <w:bCs/>
          <w:sz w:val="24"/>
        </w:rPr>
        <w:t>7.2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440" w:lineRule="exact"/>
        <w:ind w:firstLine="560" w:firstLineChars="200"/>
        <w:rPr>
          <w:rFonts w:ascii="宋体" w:hAnsi="宋体" w:eastAsia="宋体" w:cs="宋体"/>
          <w:b w:val="0"/>
          <w:bCs w:val="0"/>
        </w:rPr>
      </w:pPr>
      <w:bookmarkStart w:id="37" w:name="_Toc16938527"/>
      <w:bookmarkStart w:id="38" w:name="_Toc20823283"/>
      <w:bookmarkStart w:id="39" w:name="_Toc513029211"/>
      <w:bookmarkStart w:id="40" w:name="_Toc462564070"/>
      <w:r>
        <w:rPr>
          <w:rFonts w:hint="eastAsia" w:ascii="宋体" w:hAnsi="宋体" w:eastAsia="宋体" w:cs="宋体"/>
          <w:b w:val="0"/>
          <w:bCs w:val="0"/>
        </w:rPr>
        <w:t>8、招标文件的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ascii="宋体" w:hAnsi="宋体" w:cs="宋体"/>
          <w:sz w:val="24"/>
          <w:szCs w:val="24"/>
        </w:rPr>
      </w:pPr>
      <w:r>
        <w:rPr>
          <w:rFonts w:hint="eastAsia" w:ascii="宋体" w:hAnsi="宋体" w:cs="宋体"/>
          <w:bCs/>
          <w:sz w:val="24"/>
        </w:rPr>
        <w:t>8.1</w:t>
      </w:r>
      <w:r>
        <w:rPr>
          <w:rFonts w:hint="eastAsia" w:ascii="宋体" w:hAnsi="宋体" w:cs="宋体"/>
          <w:sz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5"/>
        <w:spacing w:before="0" w:after="0" w:line="440" w:lineRule="exact"/>
        <w:ind w:firstLine="560" w:firstLineChars="200"/>
        <w:rPr>
          <w:rFonts w:ascii="宋体" w:hAnsi="宋体" w:eastAsia="宋体" w:cs="宋体"/>
          <w:b w:val="0"/>
          <w:bCs w:val="0"/>
        </w:rPr>
      </w:pPr>
      <w:bookmarkStart w:id="41" w:name="_Toc20823284"/>
      <w:bookmarkStart w:id="42" w:name="_Toc513029212"/>
      <w:bookmarkStart w:id="43" w:name="_Toc16938528"/>
      <w:bookmarkStart w:id="44" w:name="_Toc462564071"/>
      <w:r>
        <w:rPr>
          <w:rFonts w:hint="eastAsia" w:ascii="宋体" w:hAnsi="宋体" w:eastAsia="宋体" w:cs="宋体"/>
          <w:b w:val="0"/>
          <w:bCs w:val="0"/>
        </w:rPr>
        <w:t>9、招标文件的修改</w:t>
      </w:r>
      <w:bookmarkEnd w:id="41"/>
      <w:bookmarkEnd w:id="42"/>
      <w:bookmarkEnd w:id="43"/>
      <w:bookmarkEnd w:id="44"/>
    </w:p>
    <w:p>
      <w:pPr>
        <w:spacing w:line="440" w:lineRule="exact"/>
        <w:ind w:firstLine="480" w:firstLineChars="200"/>
        <w:rPr>
          <w:rFonts w:ascii="宋体" w:hAnsi="宋体" w:cs="宋体"/>
          <w:sz w:val="24"/>
        </w:rPr>
      </w:pPr>
      <w:r>
        <w:rPr>
          <w:rFonts w:hint="eastAsia" w:ascii="宋体" w:hAnsi="宋体" w:cs="宋体"/>
          <w:bCs/>
          <w:sz w:val="24"/>
        </w:rPr>
        <w:t>9.1</w:t>
      </w:r>
      <w:r>
        <w:rPr>
          <w:rFonts w:hint="eastAsia" w:ascii="宋体" w:hAnsi="宋体" w:cs="宋体"/>
          <w:sz w:val="24"/>
        </w:rPr>
        <w:t xml:space="preserve"> 在投标截止时间三天前，采购人或采购代理机构可以对招标文件进行修改。</w:t>
      </w:r>
    </w:p>
    <w:p>
      <w:pPr>
        <w:spacing w:line="440" w:lineRule="exact"/>
        <w:ind w:firstLine="480" w:firstLineChars="200"/>
        <w:rPr>
          <w:rFonts w:ascii="宋体" w:hAnsi="宋体" w:cs="宋体"/>
          <w:sz w:val="28"/>
        </w:rPr>
      </w:pPr>
      <w:r>
        <w:rPr>
          <w:rFonts w:hint="eastAsia"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ascii="宋体" w:hAnsi="宋体" w:cs="宋体"/>
          <w:sz w:val="24"/>
        </w:rPr>
      </w:pPr>
      <w:r>
        <w:rPr>
          <w:rFonts w:hint="eastAsia"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4"/>
        <w:spacing w:before="0" w:after="0" w:line="440" w:lineRule="exact"/>
        <w:ind w:firstLine="643" w:firstLineChars="200"/>
        <w:rPr>
          <w:rFonts w:ascii="宋体" w:hAnsi="宋体" w:cs="宋体"/>
        </w:rPr>
      </w:pPr>
      <w:bookmarkStart w:id="45" w:name="_Toc513029213"/>
      <w:bookmarkStart w:id="46" w:name="_Toc462564072"/>
      <w:bookmarkStart w:id="47" w:name="_Toc20823285"/>
      <w:bookmarkStart w:id="48" w:name="_Toc120614216"/>
      <w:bookmarkStart w:id="49" w:name="_Toc16938529"/>
      <w:r>
        <w:rPr>
          <w:rFonts w:hint="eastAsia" w:ascii="宋体" w:hAnsi="宋体" w:cs="宋体"/>
        </w:rPr>
        <w:t>三、投标文件的编制</w:t>
      </w:r>
      <w:bookmarkEnd w:id="45"/>
      <w:bookmarkEnd w:id="46"/>
      <w:bookmarkEnd w:id="47"/>
      <w:bookmarkEnd w:id="48"/>
      <w:bookmarkEnd w:id="49"/>
    </w:p>
    <w:p>
      <w:pPr>
        <w:pStyle w:val="5"/>
        <w:spacing w:before="0" w:after="0" w:line="440" w:lineRule="exact"/>
        <w:ind w:firstLine="560" w:firstLineChars="200"/>
        <w:rPr>
          <w:rFonts w:ascii="宋体" w:hAnsi="宋体" w:eastAsia="宋体" w:cs="宋体"/>
          <w:bCs w:val="0"/>
        </w:rPr>
      </w:pPr>
      <w:bookmarkStart w:id="50" w:name="_Toc16938530"/>
      <w:bookmarkStart w:id="51" w:name="_Toc462564073"/>
      <w:bookmarkStart w:id="52" w:name="_Toc513029214"/>
      <w:bookmarkStart w:id="53" w:name="_Toc20823286"/>
      <w:r>
        <w:rPr>
          <w:rFonts w:hint="eastAsia" w:ascii="宋体" w:hAnsi="宋体" w:eastAsia="宋体" w:cs="宋体"/>
          <w:b w:val="0"/>
          <w:bCs w:val="0"/>
        </w:rPr>
        <w:t>10、投标文件的语言及度量衡单位</w:t>
      </w:r>
      <w:bookmarkEnd w:id="50"/>
      <w:bookmarkEnd w:id="51"/>
      <w:bookmarkEnd w:id="52"/>
      <w:bookmarkEnd w:id="53"/>
    </w:p>
    <w:p>
      <w:pPr>
        <w:spacing w:line="440" w:lineRule="exact"/>
        <w:ind w:firstLine="480" w:firstLineChars="200"/>
        <w:rPr>
          <w:rFonts w:ascii="宋体" w:hAnsi="宋体" w:cs="宋体"/>
          <w:sz w:val="24"/>
        </w:rPr>
      </w:pPr>
      <w:r>
        <w:rPr>
          <w:rFonts w:hint="eastAsia" w:ascii="宋体" w:hAnsi="宋体" w:cs="宋体"/>
          <w:bCs/>
          <w:sz w:val="24"/>
        </w:rPr>
        <w:t>10.1</w:t>
      </w:r>
      <w:r>
        <w:rPr>
          <w:rFonts w:hint="eastAsia" w:ascii="宋体" w:hAnsi="宋体" w:cs="宋体"/>
          <w:sz w:val="24"/>
        </w:rPr>
        <w:t xml:space="preserve"> 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bCs/>
          <w:sz w:val="24"/>
        </w:rPr>
        <w:t>10.2</w:t>
      </w:r>
      <w:r>
        <w:rPr>
          <w:rFonts w:hint="eastAsia" w:ascii="宋体" w:hAnsi="宋体" w:cs="宋体"/>
          <w:sz w:val="24"/>
        </w:rPr>
        <w:t xml:space="preserve"> 除技术性能另有规定外，投标文件所使用的度量衡单位，均须采用国家法定计量单位。</w:t>
      </w:r>
    </w:p>
    <w:p>
      <w:pPr>
        <w:pStyle w:val="5"/>
        <w:spacing w:before="0" w:after="0" w:line="440" w:lineRule="exact"/>
        <w:ind w:firstLine="560" w:firstLineChars="200"/>
        <w:rPr>
          <w:rFonts w:ascii="宋体" w:hAnsi="宋体" w:eastAsia="宋体" w:cs="宋体"/>
          <w:b w:val="0"/>
          <w:bCs w:val="0"/>
        </w:rPr>
      </w:pPr>
      <w:bookmarkStart w:id="54" w:name="_Toc16938531"/>
      <w:bookmarkStart w:id="55" w:name="_Toc20823287"/>
      <w:bookmarkStart w:id="56" w:name="_Toc462564074"/>
      <w:bookmarkStart w:id="57" w:name="_Toc513029215"/>
      <w:r>
        <w:rPr>
          <w:rFonts w:hint="eastAsia" w:ascii="宋体" w:hAnsi="宋体" w:eastAsia="宋体" w:cs="宋体"/>
          <w:b w:val="0"/>
          <w:bCs w:val="0"/>
        </w:rPr>
        <w:t>11、投标文件构成</w:t>
      </w:r>
      <w:bookmarkEnd w:id="54"/>
      <w:bookmarkEnd w:id="55"/>
      <w:bookmarkEnd w:id="56"/>
      <w:bookmarkEnd w:id="57"/>
    </w:p>
    <w:p>
      <w:pPr>
        <w:spacing w:line="440" w:lineRule="exact"/>
        <w:ind w:firstLine="480" w:firstLineChars="200"/>
        <w:rPr>
          <w:rFonts w:ascii="宋体" w:hAnsi="宋体" w:cs="宋体"/>
          <w:sz w:val="24"/>
        </w:rPr>
      </w:pPr>
      <w:r>
        <w:rPr>
          <w:rFonts w:hint="eastAsia" w:ascii="宋体" w:hAnsi="宋体" w:cs="宋体"/>
          <w:bCs/>
          <w:sz w:val="24"/>
        </w:rPr>
        <w:t>11.1</w:t>
      </w:r>
      <w:r>
        <w:rPr>
          <w:rFonts w:hint="eastAsia" w:ascii="宋体" w:hAnsi="宋体" w:cs="宋体"/>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sz w:val="24"/>
        </w:rPr>
      </w:pPr>
      <w:r>
        <w:rPr>
          <w:rFonts w:hint="eastAsia" w:ascii="宋体" w:hAnsi="宋体" w:cs="宋体"/>
          <w:sz w:val="24"/>
        </w:rPr>
        <w:t>11.2投标人应将投标文件按顺序装订成册，并编制投标文件资料目录。</w:t>
      </w:r>
    </w:p>
    <w:p>
      <w:pPr>
        <w:pStyle w:val="5"/>
        <w:spacing w:before="0" w:after="0" w:line="440" w:lineRule="exact"/>
        <w:ind w:firstLine="560" w:firstLineChars="200"/>
        <w:rPr>
          <w:rFonts w:ascii="宋体" w:hAnsi="宋体" w:eastAsia="宋体" w:cs="宋体"/>
          <w:b w:val="0"/>
          <w:bCs w:val="0"/>
        </w:rPr>
      </w:pPr>
      <w:bookmarkStart w:id="58" w:name="_Hlt26954838"/>
      <w:bookmarkEnd w:id="58"/>
      <w:bookmarkStart w:id="59" w:name="_Hlt26670360"/>
      <w:bookmarkEnd w:id="59"/>
      <w:bookmarkStart w:id="60" w:name="_Hlt26668975"/>
      <w:bookmarkEnd w:id="60"/>
      <w:bookmarkStart w:id="61" w:name="_Toc14577357"/>
      <w:bookmarkStart w:id="62" w:name="_Toc513029219"/>
      <w:bookmarkStart w:id="63" w:name="_Toc49090509"/>
      <w:bookmarkStart w:id="64" w:name="_Toc49090507"/>
      <w:bookmarkStart w:id="65" w:name="_Toc513029216"/>
      <w:bookmarkStart w:id="66" w:name="_Toc14577354"/>
      <w:r>
        <w:rPr>
          <w:rFonts w:hint="eastAsia" w:ascii="宋体" w:hAnsi="宋体" w:eastAsia="宋体" w:cs="宋体"/>
          <w:b w:val="0"/>
          <w:bCs w:val="0"/>
        </w:rPr>
        <w:t>12、证明投标人资格及符合招标文件规定的文件</w:t>
      </w:r>
      <w:bookmarkEnd w:id="61"/>
      <w:bookmarkEnd w:id="62"/>
      <w:bookmarkEnd w:id="63"/>
    </w:p>
    <w:p>
      <w:pPr>
        <w:spacing w:line="440" w:lineRule="exact"/>
        <w:ind w:firstLine="480" w:firstLineChars="200"/>
        <w:rPr>
          <w:rFonts w:ascii="宋体" w:hAnsi="宋体" w:cs="宋体"/>
          <w:sz w:val="24"/>
        </w:rPr>
      </w:pPr>
      <w:r>
        <w:rPr>
          <w:rFonts w:hint="eastAsia"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ascii="宋体" w:hAnsi="宋体" w:cs="宋体"/>
          <w:sz w:val="24"/>
        </w:rPr>
      </w:pPr>
      <w:r>
        <w:rPr>
          <w:rFonts w:hint="eastAsia" w:ascii="宋体" w:hAnsi="宋体" w:cs="宋体"/>
          <w:sz w:val="24"/>
        </w:rPr>
        <w:t>12.2投标人应提交证明其有资格参加投标和中标后有能力独立履行合同的文件。</w:t>
      </w:r>
    </w:p>
    <w:p>
      <w:pPr>
        <w:spacing w:line="440" w:lineRule="exact"/>
        <w:ind w:firstLine="480" w:firstLineChars="200"/>
        <w:rPr>
          <w:rFonts w:ascii="宋体" w:hAnsi="宋体" w:cs="宋体"/>
          <w:sz w:val="24"/>
        </w:rPr>
      </w:pPr>
      <w:r>
        <w:rPr>
          <w:rFonts w:hint="eastAsia" w:ascii="宋体" w:hAnsi="宋体" w:cs="宋体"/>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5"/>
        <w:spacing w:before="0" w:after="0" w:line="440" w:lineRule="exact"/>
        <w:ind w:firstLine="560" w:firstLineChars="200"/>
        <w:rPr>
          <w:rFonts w:ascii="宋体" w:hAnsi="宋体" w:eastAsia="宋体" w:cs="宋体"/>
          <w:b w:val="0"/>
          <w:bCs w:val="0"/>
        </w:rPr>
      </w:pPr>
      <w:bookmarkStart w:id="68" w:name="_Toc14577355"/>
      <w:bookmarkStart w:id="69" w:name="_Toc49090508"/>
      <w:r>
        <w:rPr>
          <w:rFonts w:hint="eastAsia" w:ascii="宋体" w:hAnsi="宋体" w:eastAsia="宋体" w:cs="宋体"/>
          <w:b w:val="0"/>
          <w:bCs w:val="0"/>
        </w:rPr>
        <w:t>13、供货一览表和投标配置与分项报价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ascii="宋体" w:hAnsi="宋体" w:cs="宋体"/>
          <w:bCs/>
          <w:sz w:val="24"/>
        </w:rPr>
      </w:pPr>
      <w:r>
        <w:rPr>
          <w:rFonts w:hint="eastAsia" w:ascii="宋体" w:hAnsi="宋体" w:cs="宋体"/>
          <w:bCs/>
          <w:sz w:val="24"/>
        </w:rPr>
        <w:t>13.1</w:t>
      </w:r>
      <w:r>
        <w:rPr>
          <w:rFonts w:hint="eastAsia" w:ascii="宋体" w:hAnsi="宋体" w:cs="宋体"/>
          <w:sz w:val="24"/>
        </w:rPr>
        <w:t xml:space="preserve"> 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rPr>
      </w:pPr>
      <w:r>
        <w:rPr>
          <w:rFonts w:hint="eastAsia" w:ascii="宋体" w:hAnsi="宋体" w:cs="宋体"/>
          <w:bCs/>
          <w:sz w:val="24"/>
        </w:rPr>
        <w:t>13.2</w:t>
      </w:r>
      <w:r>
        <w:rPr>
          <w:rFonts w:hint="eastAsia" w:ascii="宋体" w:hAnsi="宋体" w:cs="宋体"/>
          <w:sz w:val="24"/>
        </w:rPr>
        <w:t xml:space="preserve"> 标的物</w:t>
      </w:r>
    </w:p>
    <w:p>
      <w:pPr>
        <w:spacing w:line="440" w:lineRule="exact"/>
        <w:ind w:firstLine="480" w:firstLineChars="200"/>
        <w:rPr>
          <w:rFonts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ascii="宋体" w:hAnsi="宋体" w:cs="宋体"/>
          <w:bCs/>
          <w:sz w:val="24"/>
        </w:rPr>
      </w:pPr>
      <w:r>
        <w:rPr>
          <w:rFonts w:hint="eastAsia" w:ascii="宋体" w:hAnsi="宋体" w:cs="宋体"/>
          <w:sz w:val="24"/>
        </w:rPr>
        <w:t>13.3</w:t>
      </w:r>
      <w:r>
        <w:rPr>
          <w:rFonts w:hint="eastAsia" w:ascii="宋体" w:hAnsi="宋体" w:cs="宋体"/>
          <w:bCs/>
          <w:sz w:val="24"/>
        </w:rPr>
        <w:t>有关费用处理</w:t>
      </w:r>
    </w:p>
    <w:p>
      <w:pPr>
        <w:spacing w:line="440" w:lineRule="exact"/>
        <w:ind w:firstLine="480" w:firstLineChars="200"/>
        <w:rPr>
          <w:rFonts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rPr>
      </w:pPr>
      <w:r>
        <w:rPr>
          <w:rFonts w:hint="eastAsia" w:ascii="宋体" w:hAnsi="宋体" w:cs="宋体"/>
          <w:sz w:val="24"/>
        </w:rPr>
        <w:t>13.4</w:t>
      </w:r>
      <w:r>
        <w:rPr>
          <w:rFonts w:hint="eastAsia" w:ascii="宋体" w:hAnsi="宋体" w:cs="宋体"/>
          <w:bCs/>
          <w:sz w:val="24"/>
        </w:rPr>
        <w:t>其它费用处理</w:t>
      </w:r>
    </w:p>
    <w:p>
      <w:pPr>
        <w:spacing w:line="440" w:lineRule="exact"/>
        <w:ind w:firstLine="480" w:firstLineChars="200"/>
        <w:rPr>
          <w:rFonts w:ascii="宋体" w:hAns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ascii="宋体" w:hAnsi="宋体" w:cs="宋体"/>
          <w:bCs/>
          <w:sz w:val="24"/>
        </w:rPr>
      </w:pPr>
      <w:r>
        <w:rPr>
          <w:rFonts w:hint="eastAsia" w:ascii="宋体" w:hAnsi="宋体" w:cs="宋体"/>
          <w:sz w:val="24"/>
        </w:rPr>
        <w:t>13.5</w:t>
      </w:r>
      <w:r>
        <w:rPr>
          <w:rFonts w:hint="eastAsia" w:ascii="宋体" w:hAnsi="宋体" w:cs="宋体"/>
          <w:bCs/>
          <w:sz w:val="24"/>
        </w:rPr>
        <w:t>投标货币</w:t>
      </w:r>
    </w:p>
    <w:p>
      <w:pPr>
        <w:spacing w:line="440" w:lineRule="exact"/>
        <w:ind w:firstLine="480" w:firstLineChars="200"/>
        <w:rPr>
          <w:rFonts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ascii="宋体" w:hAnsi="宋体" w:cs="宋体"/>
          <w:sz w:val="24"/>
        </w:rPr>
      </w:pPr>
      <w:r>
        <w:rPr>
          <w:rFonts w:hint="eastAsia" w:ascii="宋体" w:hAnsi="宋体" w:cs="宋体"/>
          <w:sz w:val="24"/>
        </w:rPr>
        <w:t>13.6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40" w:lineRule="exact"/>
        <w:ind w:firstLine="480" w:firstLineChars="200"/>
        <w:rPr>
          <w:rFonts w:ascii="宋体" w:hAnsi="宋体" w:cs="宋体"/>
          <w:bCs/>
          <w:sz w:val="24"/>
        </w:rPr>
      </w:pPr>
      <w:bookmarkStart w:id="73" w:name="_Hlt26954842"/>
      <w:bookmarkEnd w:id="73"/>
      <w:bookmarkStart w:id="74" w:name="_Hlt26670403"/>
      <w:bookmarkEnd w:id="74"/>
      <w:bookmarkStart w:id="75" w:name="_Hlt26954844"/>
      <w:bookmarkEnd w:id="75"/>
      <w:bookmarkStart w:id="76" w:name="_Hlt26668983"/>
      <w:bookmarkEnd w:id="76"/>
      <w:bookmarkStart w:id="77" w:name="_Hlt26670425"/>
      <w:bookmarkEnd w:id="7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bookmarkStart w:id="78" w:name="_Hlt26670486"/>
      <w:bookmarkEnd w:id="78"/>
      <w:bookmarkStart w:id="79" w:name="_Hlt26954846"/>
      <w:bookmarkEnd w:id="79"/>
      <w:bookmarkStart w:id="80" w:name="_Hlt26670482"/>
      <w:bookmarkEnd w:id="80"/>
      <w:bookmarkStart w:id="81" w:name="_Hlt26954731"/>
      <w:bookmarkEnd w:id="81"/>
      <w:bookmarkStart w:id="82" w:name="_Hlt26954848"/>
      <w:bookmarkEnd w:id="82"/>
    </w:p>
    <w:p>
      <w:pPr>
        <w:spacing w:line="440" w:lineRule="exact"/>
        <w:ind w:firstLine="560" w:firstLineChars="200"/>
        <w:rPr>
          <w:rFonts w:ascii="宋体" w:hAnsi="宋体" w:cs="宋体"/>
          <w:bCs/>
          <w:sz w:val="24"/>
        </w:rPr>
      </w:pPr>
      <w:r>
        <w:rPr>
          <w:rFonts w:hint="eastAsia"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bCs/>
          <w:sz w:val="24"/>
          <w:lang w:val="zh-CN"/>
        </w:rPr>
        <w:t>14.1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sz w:val="24"/>
          <w:lang w:val="zh-CN"/>
        </w:rPr>
      </w:pPr>
      <w:r>
        <w:rPr>
          <w:rFonts w:hint="eastAsia" w:ascii="宋体" w:hAnsi="宋体" w:cs="宋体"/>
          <w:bCs/>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sz w:val="24"/>
          <w:lang w:val="zh-CN"/>
        </w:rPr>
      </w:pPr>
      <w:r>
        <w:rPr>
          <w:rFonts w:hint="eastAsia" w:ascii="宋体" w:hAnsi="宋体" w:cs="宋体"/>
          <w:bCs/>
          <w:sz w:val="24"/>
          <w:szCs w:val="24"/>
        </w:rPr>
        <w:t>15、1投标人的服务承诺应按不低于招标文件中商务要求的标准。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5"/>
        <w:spacing w:before="0" w:after="0" w:line="440" w:lineRule="exact"/>
        <w:ind w:firstLine="560" w:firstLineChars="200"/>
        <w:rPr>
          <w:rFonts w:ascii="宋体" w:hAnsi="宋体" w:eastAsia="宋体" w:cs="宋体"/>
          <w:b w:val="0"/>
          <w:bCs w:val="0"/>
        </w:rPr>
      </w:pPr>
      <w:bookmarkStart w:id="83" w:name="_Toc49090510"/>
      <w:bookmarkStart w:id="84" w:name="_Toc14577359"/>
      <w:r>
        <w:rPr>
          <w:rFonts w:hint="eastAsia" w:ascii="宋体" w:hAnsi="宋体" w:eastAsia="宋体" w:cs="宋体"/>
          <w:b w:val="0"/>
          <w:bCs w:val="0"/>
        </w:rPr>
        <w:t>16、投标函和开标一览表</w:t>
      </w:r>
    </w:p>
    <w:p>
      <w:pPr>
        <w:spacing w:line="440" w:lineRule="exact"/>
        <w:ind w:firstLine="480" w:firstLineChars="200"/>
        <w:rPr>
          <w:rFonts w:ascii="宋体" w:hAnsi="宋体" w:cs="宋体"/>
          <w:sz w:val="24"/>
        </w:rPr>
      </w:pPr>
      <w:r>
        <w:rPr>
          <w:rFonts w:hint="eastAsia" w:ascii="宋体" w:hAnsi="宋体" w:cs="宋体"/>
          <w:bCs/>
          <w:sz w:val="24"/>
        </w:rPr>
        <w:t>16.1</w:t>
      </w:r>
      <w:r>
        <w:rPr>
          <w:rFonts w:hint="eastAsia" w:ascii="宋体" w:hAnsi="宋体" w:cs="宋体"/>
          <w:sz w:val="24"/>
        </w:rPr>
        <w:t xml:space="preserve"> 投标人应按照招标文件中提供的格式完整、正确填写投标函、开标一览表。</w:t>
      </w:r>
    </w:p>
    <w:p>
      <w:pPr>
        <w:spacing w:line="440" w:lineRule="exact"/>
        <w:ind w:firstLine="480" w:firstLineChars="200"/>
        <w:rPr>
          <w:rFonts w:ascii="宋体" w:hAnsi="宋体" w:cs="宋体"/>
          <w:sz w:val="24"/>
        </w:rPr>
      </w:pPr>
      <w:r>
        <w:rPr>
          <w:rFonts w:hint="eastAsia" w:ascii="宋体" w:hAnsi="宋体" w:cs="宋体"/>
          <w:bCs/>
          <w:sz w:val="24"/>
        </w:rPr>
        <w:t>16.2开标一览表中的价格应与投标文件中投标配置与分项报价表中的价格一致，如不一致，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17、投标保证金</w:t>
      </w:r>
      <w:bookmarkEnd w:id="83"/>
      <w:bookmarkEnd w:id="84"/>
    </w:p>
    <w:p>
      <w:pPr>
        <w:spacing w:line="440" w:lineRule="exact"/>
        <w:ind w:firstLine="480" w:firstLineChars="200"/>
        <w:rPr>
          <w:rFonts w:ascii="宋体" w:hAnsi="宋体" w:cs="宋体"/>
          <w:bCs/>
          <w:sz w:val="24"/>
        </w:rPr>
      </w:pPr>
      <w:r>
        <w:rPr>
          <w:rFonts w:hint="eastAsia" w:ascii="宋体" w:hAnsi="宋体" w:cs="宋体"/>
          <w:sz w:val="24"/>
        </w:rPr>
        <w:t>17.1</w:t>
      </w:r>
      <w:r>
        <w:rPr>
          <w:rFonts w:hint="eastAsia" w:ascii="宋体" w:hAnsi="宋体" w:cs="宋体"/>
          <w:bCs/>
          <w:sz w:val="24"/>
        </w:rPr>
        <w:t xml:space="preserve"> 投标人提交的投标保证金必须在投标截止时间前送达，并作为其投标的组成部分。</w:t>
      </w:r>
    </w:p>
    <w:p>
      <w:pPr>
        <w:spacing w:line="440" w:lineRule="exact"/>
        <w:ind w:firstLine="480" w:firstLineChars="200"/>
        <w:rPr>
          <w:rFonts w:ascii="宋体" w:hAnsi="宋体" w:cs="宋体"/>
          <w:bCs/>
          <w:sz w:val="24"/>
          <w:szCs w:val="24"/>
        </w:rPr>
      </w:pPr>
      <w:r>
        <w:rPr>
          <w:rFonts w:hint="eastAsia"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ascii="宋体" w:hAnsi="宋体" w:cs="宋体"/>
          <w:sz w:val="24"/>
        </w:rPr>
      </w:pPr>
      <w:r>
        <w:rPr>
          <w:rFonts w:hint="eastAsia" w:ascii="宋体" w:hAnsi="宋体" w:cs="宋体"/>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sz w:val="24"/>
        </w:rPr>
      </w:pPr>
      <w:r>
        <w:rPr>
          <w:rFonts w:hint="eastAsia" w:ascii="宋体" w:hAnsi="宋体" w:cs="宋体"/>
          <w:bCs/>
          <w:sz w:val="24"/>
        </w:rPr>
        <w:t>未中标的投标人的投标保证金，将在中标通知书发出之日起5个工作内退还，不计利息。</w:t>
      </w:r>
    </w:p>
    <w:p>
      <w:pPr>
        <w:spacing w:line="440" w:lineRule="exact"/>
        <w:ind w:firstLine="480" w:firstLineChars="200"/>
        <w:rPr>
          <w:rFonts w:ascii="宋体" w:hAnsi="宋体" w:cs="宋体"/>
          <w:bCs/>
          <w:sz w:val="24"/>
        </w:rPr>
      </w:pPr>
      <w:r>
        <w:rPr>
          <w:rFonts w:hint="eastAsia" w:ascii="宋体" w:hAnsi="宋体" w:cs="宋体"/>
          <w:sz w:val="24"/>
        </w:rPr>
        <w:t>17.4</w:t>
      </w:r>
      <w:r>
        <w:rPr>
          <w:rFonts w:hint="eastAsia" w:ascii="宋体" w:hAnsi="宋体" w:cs="宋体"/>
          <w:bCs/>
          <w:sz w:val="24"/>
        </w:rPr>
        <w:t>签订合同时，中标人须向采购人交纳履约保证金,于合同履行后无息退还。</w:t>
      </w:r>
    </w:p>
    <w:p>
      <w:pPr>
        <w:spacing w:line="440" w:lineRule="exact"/>
        <w:ind w:firstLine="482" w:firstLineChars="200"/>
        <w:rPr>
          <w:rFonts w:ascii="宋体" w:hAnsi="宋体" w:cs="宋体"/>
          <w:b/>
          <w:bCs/>
          <w:sz w:val="24"/>
        </w:rPr>
      </w:pPr>
      <w:r>
        <w:rPr>
          <w:rFonts w:hint="eastAsia" w:ascii="宋体" w:hAnsi="宋体" w:cs="宋体"/>
          <w:b/>
          <w:sz w:val="24"/>
        </w:rPr>
        <w:t>17.5</w:t>
      </w:r>
      <w:r>
        <w:rPr>
          <w:rFonts w:hint="eastAsia" w:ascii="宋体" w:hAnsi="宋体" w:cs="宋体"/>
          <w:b/>
          <w:bCs/>
          <w:sz w:val="24"/>
        </w:rPr>
        <w:t xml:space="preserve"> 下列任何情况发生时，投标保证金将不予退还：</w:t>
      </w:r>
    </w:p>
    <w:p>
      <w:pPr>
        <w:spacing w:line="440" w:lineRule="exact"/>
        <w:ind w:firstLine="480" w:firstLineChars="200"/>
        <w:rPr>
          <w:rFonts w:ascii="宋体" w:hAnsi="宋体" w:cs="宋体"/>
          <w:bCs/>
          <w:sz w:val="24"/>
        </w:rPr>
      </w:pPr>
      <w:r>
        <w:rPr>
          <w:rFonts w:hint="eastAsia" w:ascii="宋体" w:hAnsi="宋体" w:cs="宋体"/>
          <w:bCs/>
          <w:sz w:val="24"/>
        </w:rPr>
        <w:t>（1）投标人在投标有效期内撤回其投标；</w:t>
      </w:r>
    </w:p>
    <w:p>
      <w:pPr>
        <w:spacing w:line="440" w:lineRule="exact"/>
        <w:ind w:firstLine="480" w:firstLineChars="200"/>
        <w:rPr>
          <w:rFonts w:ascii="宋体" w:hAnsi="宋体" w:cs="宋体"/>
          <w:bCs/>
          <w:sz w:val="24"/>
        </w:rPr>
      </w:pPr>
      <w:r>
        <w:rPr>
          <w:rFonts w:hint="eastAsia" w:ascii="宋体" w:hAnsi="宋体" w:cs="宋体"/>
          <w:bCs/>
          <w:sz w:val="24"/>
        </w:rPr>
        <w:t>（2）投标人提供的有关资料、资格证明文件被确认是不真实的；</w:t>
      </w:r>
    </w:p>
    <w:p>
      <w:pPr>
        <w:spacing w:line="440" w:lineRule="exact"/>
        <w:ind w:firstLine="480" w:firstLineChars="200"/>
        <w:rPr>
          <w:rFonts w:ascii="宋体" w:hAnsi="宋体" w:cs="宋体"/>
          <w:sz w:val="24"/>
          <w:szCs w:val="24"/>
        </w:rPr>
      </w:pPr>
      <w:r>
        <w:rPr>
          <w:rFonts w:hint="eastAsia" w:ascii="宋体" w:hAnsi="宋体" w:cs="宋体"/>
          <w:sz w:val="24"/>
          <w:szCs w:val="24"/>
        </w:rPr>
        <w:t>（3） 投标人之间被证实有串通（统一哄抬价格）、欺诈行为；</w:t>
      </w:r>
    </w:p>
    <w:p>
      <w:pPr>
        <w:spacing w:line="440" w:lineRule="exact"/>
        <w:ind w:firstLine="480" w:firstLineChars="200"/>
        <w:rPr>
          <w:rFonts w:ascii="宋体" w:hAnsi="宋体" w:cs="宋体"/>
          <w:sz w:val="24"/>
          <w:szCs w:val="24"/>
        </w:rPr>
      </w:pPr>
      <w:r>
        <w:rPr>
          <w:rFonts w:hint="eastAsia" w:ascii="宋体" w:hAnsi="宋体" w:cs="宋体"/>
          <w:sz w:val="24"/>
          <w:szCs w:val="24"/>
        </w:rPr>
        <w:t>（4） 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5"/>
        <w:spacing w:before="0" w:after="0" w:line="440" w:lineRule="exact"/>
        <w:ind w:firstLine="560" w:firstLineChars="200"/>
        <w:rPr>
          <w:rFonts w:ascii="宋体" w:hAnsi="宋体" w:eastAsia="宋体" w:cs="宋体"/>
          <w:b w:val="0"/>
          <w:bCs w:val="0"/>
        </w:rPr>
      </w:pPr>
      <w:bookmarkStart w:id="85" w:name="_Hlt26954734"/>
      <w:bookmarkEnd w:id="85"/>
      <w:bookmarkStart w:id="86" w:name="_Hlt26670489"/>
      <w:bookmarkEnd w:id="86"/>
      <w:bookmarkStart w:id="87" w:name="_Hlt26954850"/>
      <w:bookmarkEnd w:id="87"/>
      <w:bookmarkStart w:id="88" w:name="_Toc14577360"/>
      <w:bookmarkStart w:id="89" w:name="_Toc49090511"/>
      <w:r>
        <w:rPr>
          <w:rFonts w:hint="eastAsia" w:ascii="宋体" w:hAnsi="宋体" w:eastAsia="宋体" w:cs="宋体"/>
          <w:b w:val="0"/>
          <w:bCs w:val="0"/>
        </w:rPr>
        <w:t>18、投标有效期</w:t>
      </w:r>
      <w:bookmarkEnd w:id="88"/>
      <w:bookmarkEnd w:id="89"/>
    </w:p>
    <w:p>
      <w:pPr>
        <w:spacing w:line="440" w:lineRule="exact"/>
        <w:ind w:firstLine="480" w:firstLineChars="200"/>
        <w:rPr>
          <w:rFonts w:ascii="宋体" w:hAnsi="宋体" w:cs="宋体"/>
          <w:bCs/>
          <w:sz w:val="24"/>
        </w:rPr>
      </w:pPr>
      <w:r>
        <w:rPr>
          <w:rFonts w:hint="eastAsia" w:ascii="宋体" w:hAnsi="宋体" w:cs="宋体"/>
          <w:sz w:val="24"/>
        </w:rPr>
        <w:t>18.1</w:t>
      </w:r>
      <w:r>
        <w:rPr>
          <w:rFonts w:hint="eastAsia" w:ascii="宋体" w:hAnsi="宋体" w:cs="宋体"/>
          <w:bCs/>
          <w:sz w:val="24"/>
        </w:rPr>
        <w:t xml:space="preserve"> 投标有效期为规定的开标之日后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pPr>
        <w:spacing w:line="440" w:lineRule="exact"/>
        <w:ind w:firstLine="480" w:firstLineChars="200"/>
        <w:rPr>
          <w:rFonts w:ascii="宋体" w:hAnsi="宋体" w:cs="宋体"/>
          <w:bCs/>
          <w:sz w:val="24"/>
        </w:rPr>
      </w:pPr>
      <w:r>
        <w:rPr>
          <w:rFonts w:hint="eastAsia" w:ascii="宋体" w:hAnsi="宋体" w:cs="宋体"/>
          <w:sz w:val="24"/>
        </w:rPr>
        <w:t>18.2</w:t>
      </w:r>
      <w:r>
        <w:rPr>
          <w:rFonts w:hint="eastAsia" w:ascii="宋体" w:hAnsi="宋体" w:cs="宋体"/>
          <w:bCs/>
          <w:sz w:val="24"/>
        </w:rPr>
        <w:t xml:space="preserve"> 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5"/>
        <w:spacing w:before="0" w:after="0" w:line="440" w:lineRule="exact"/>
        <w:ind w:firstLine="560" w:firstLineChars="200"/>
        <w:rPr>
          <w:rFonts w:ascii="宋体" w:hAnsi="宋体" w:eastAsia="宋体" w:cs="宋体"/>
          <w:b w:val="0"/>
          <w:bCs w:val="0"/>
        </w:rPr>
      </w:pPr>
      <w:bookmarkStart w:id="90" w:name="_Hlt26954739"/>
      <w:bookmarkEnd w:id="90"/>
      <w:bookmarkStart w:id="91" w:name="_Hlt26954852"/>
      <w:bookmarkEnd w:id="91"/>
      <w:bookmarkStart w:id="92" w:name="_Toc14577361"/>
      <w:bookmarkStart w:id="93" w:name="_Toc49090512"/>
      <w:r>
        <w:rPr>
          <w:rFonts w:hint="eastAsia" w:ascii="宋体" w:hAnsi="宋体" w:eastAsia="宋体" w:cs="宋体"/>
          <w:b w:val="0"/>
          <w:bCs w:val="0"/>
        </w:rPr>
        <w:t>19、投标文件份数和签署</w:t>
      </w:r>
      <w:bookmarkEnd w:id="92"/>
      <w:bookmarkEnd w:id="93"/>
    </w:p>
    <w:p>
      <w:pPr>
        <w:spacing w:line="440" w:lineRule="exact"/>
        <w:ind w:firstLine="480" w:firstLineChars="200"/>
        <w:rPr>
          <w:rFonts w:ascii="宋体" w:hAnsi="宋体" w:cs="宋体"/>
          <w:bCs/>
          <w:sz w:val="24"/>
        </w:rPr>
      </w:pPr>
      <w:r>
        <w:rPr>
          <w:rFonts w:hint="eastAsia" w:ascii="宋体" w:hAnsi="宋体" w:cs="宋体"/>
          <w:sz w:val="24"/>
        </w:rPr>
        <w:t>19.1</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rPr>
      </w:pPr>
      <w:r>
        <w:rPr>
          <w:rFonts w:hint="eastAsia" w:ascii="宋体" w:hAnsi="宋体" w:cs="宋体"/>
          <w:sz w:val="24"/>
        </w:rPr>
        <w:t>19.2投标文件正本中，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rPr>
      </w:pPr>
      <w:r>
        <w:rPr>
          <w:rFonts w:hint="eastAsia" w:ascii="宋体" w:hAnsi="宋体" w:cs="宋体"/>
          <w:sz w:val="24"/>
        </w:rPr>
        <w:t>19.3</w:t>
      </w:r>
      <w:r>
        <w:rPr>
          <w:rFonts w:hint="eastAsia" w:ascii="宋体" w:hAnsi="宋体" w:cs="宋体"/>
          <w:bCs/>
          <w:sz w:val="24"/>
        </w:rPr>
        <w:t xml:space="preserve"> 除投标人对错处做必要修改外，投标文件不得行间插字、涂改或增删。如有修改错漏处，必须由投标文件签署人签字或盖章。</w:t>
      </w:r>
    </w:p>
    <w:p>
      <w:pPr>
        <w:pStyle w:val="4"/>
        <w:spacing w:before="0" w:after="0" w:line="440" w:lineRule="exact"/>
        <w:ind w:firstLine="643" w:firstLineChars="200"/>
        <w:rPr>
          <w:rFonts w:ascii="宋体" w:hAnsi="宋体" w:cs="宋体"/>
        </w:rPr>
      </w:pPr>
      <w:bookmarkStart w:id="94" w:name="_Toc513029224"/>
      <w:bookmarkStart w:id="95" w:name="_Toc120614217"/>
      <w:bookmarkStart w:id="96" w:name="_Toc20823296"/>
      <w:bookmarkStart w:id="97" w:name="_Toc16938540"/>
      <w:r>
        <w:rPr>
          <w:rFonts w:hint="eastAsia" w:ascii="宋体" w:hAnsi="宋体" w:cs="宋体"/>
        </w:rPr>
        <w:t>四、投标文件的递交</w:t>
      </w:r>
      <w:bookmarkEnd w:id="94"/>
      <w:bookmarkEnd w:id="95"/>
      <w:bookmarkEnd w:id="96"/>
      <w:bookmarkEnd w:id="97"/>
    </w:p>
    <w:p>
      <w:pPr>
        <w:pStyle w:val="5"/>
        <w:spacing w:before="0" w:after="0" w:line="440" w:lineRule="exact"/>
        <w:ind w:firstLine="560" w:firstLineChars="200"/>
        <w:rPr>
          <w:rFonts w:ascii="宋体" w:hAnsi="宋体" w:eastAsia="宋体" w:cs="宋体"/>
          <w:b w:val="0"/>
          <w:bCs w:val="0"/>
        </w:rPr>
      </w:pPr>
      <w:bookmarkStart w:id="98" w:name="_Toc462564084"/>
      <w:bookmarkStart w:id="99" w:name="_Toc20823297"/>
      <w:bookmarkStart w:id="100" w:name="_Toc16938541"/>
      <w:bookmarkStart w:id="101" w:name="_Toc513029225"/>
      <w:r>
        <w:rPr>
          <w:rFonts w:hint="eastAsia" w:ascii="宋体" w:hAnsi="宋体" w:eastAsia="宋体" w:cs="宋体"/>
          <w:b w:val="0"/>
          <w:bCs w:val="0"/>
        </w:rPr>
        <w:t>20、投标文件的密封和标记</w:t>
      </w:r>
      <w:bookmarkEnd w:id="98"/>
      <w:bookmarkEnd w:id="99"/>
      <w:bookmarkEnd w:id="100"/>
      <w:bookmarkEnd w:id="101"/>
    </w:p>
    <w:p>
      <w:pPr>
        <w:spacing w:line="440" w:lineRule="exact"/>
        <w:ind w:firstLine="480" w:firstLineChars="200"/>
        <w:rPr>
          <w:rFonts w:ascii="宋体" w:hAnsi="宋体" w:cs="宋体"/>
          <w:bCs/>
          <w:sz w:val="24"/>
        </w:rPr>
      </w:pPr>
      <w:r>
        <w:rPr>
          <w:rFonts w:hint="eastAsia"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ascii="宋体" w:hAnsi="宋体" w:cs="宋体"/>
          <w:bCs/>
          <w:sz w:val="24"/>
        </w:rPr>
      </w:pPr>
      <w:r>
        <w:rPr>
          <w:rFonts w:hint="eastAsia" w:ascii="宋体" w:hAnsi="宋体" w:cs="宋体"/>
          <w:sz w:val="24"/>
        </w:rPr>
        <w:t>20.2</w:t>
      </w:r>
      <w:r>
        <w:rPr>
          <w:rFonts w:hint="eastAsia" w:ascii="宋体" w:hAnsi="宋体" w:cs="宋体"/>
          <w:bCs/>
          <w:sz w:val="24"/>
        </w:rPr>
        <w:t xml:space="preserve"> 密封的投标文件应：</w:t>
      </w:r>
    </w:p>
    <w:p>
      <w:pPr>
        <w:spacing w:line="440" w:lineRule="exact"/>
        <w:ind w:firstLine="480" w:firstLineChars="200"/>
        <w:rPr>
          <w:rFonts w:ascii="宋体" w:hAnsi="宋体" w:cs="宋体"/>
          <w:bCs/>
          <w:sz w:val="24"/>
        </w:rPr>
      </w:pPr>
      <w:r>
        <w:rPr>
          <w:rFonts w:hint="eastAsia" w:ascii="宋体" w:hAnsi="宋体" w:cs="宋体"/>
          <w:bCs/>
          <w:sz w:val="24"/>
        </w:rPr>
        <w:t>20.2.1 注明投标人名称，如因标注不清而产生的后果由投标人自负。按招标公告中注明的地址送达；</w:t>
      </w:r>
    </w:p>
    <w:p>
      <w:pPr>
        <w:spacing w:line="440" w:lineRule="exact"/>
        <w:ind w:firstLine="480" w:firstLineChars="200"/>
        <w:rPr>
          <w:rFonts w:ascii="宋体" w:hAnsi="宋体" w:cs="宋体"/>
          <w:bCs/>
          <w:sz w:val="24"/>
        </w:rPr>
      </w:pPr>
      <w:r>
        <w:rPr>
          <w:rFonts w:hint="eastAsia" w:ascii="宋体" w:hAnsi="宋体" w:cs="宋体"/>
          <w:bCs/>
          <w:sz w:val="24"/>
        </w:rPr>
        <w:t>20.2.2  注明投标项目名称、标书编号及分包号（如有）。</w:t>
      </w:r>
    </w:p>
    <w:p>
      <w:pPr>
        <w:spacing w:line="440" w:lineRule="exact"/>
        <w:ind w:firstLine="480" w:firstLineChars="200"/>
        <w:rPr>
          <w:rFonts w:ascii="宋体" w:hAnsi="宋体" w:cs="宋体"/>
          <w:bCs/>
          <w:sz w:val="24"/>
        </w:rPr>
      </w:pPr>
      <w:r>
        <w:rPr>
          <w:rFonts w:hint="eastAsia" w:ascii="宋体" w:hAnsi="宋体" w:cs="宋体"/>
          <w:sz w:val="24"/>
        </w:rPr>
        <w:t>20.2.3</w:t>
      </w:r>
      <w:r>
        <w:rPr>
          <w:rFonts w:hint="eastAsia" w:ascii="宋体" w:hAnsi="宋体" w:cs="宋体"/>
          <w:bCs/>
          <w:sz w:val="24"/>
        </w:rPr>
        <w:t xml:space="preserve">  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5"/>
        <w:spacing w:before="0" w:after="0" w:line="440" w:lineRule="exact"/>
        <w:ind w:firstLine="560" w:firstLineChars="200"/>
        <w:rPr>
          <w:rFonts w:ascii="宋体" w:hAnsi="宋体" w:eastAsia="宋体" w:cs="宋体"/>
          <w:b w:val="0"/>
          <w:bCs w:val="0"/>
        </w:rPr>
      </w:pPr>
      <w:bookmarkStart w:id="102" w:name="_Toc16938542"/>
      <w:bookmarkStart w:id="103" w:name="_Toc20823298"/>
      <w:bookmarkStart w:id="104" w:name="_Toc513029226"/>
      <w:r>
        <w:rPr>
          <w:rFonts w:hint="eastAsia" w:ascii="宋体" w:hAnsi="宋体" w:eastAsia="宋体" w:cs="宋体"/>
          <w:b w:val="0"/>
          <w:bCs w:val="0"/>
        </w:rPr>
        <w:t>21、投标截止日期</w:t>
      </w:r>
      <w:bookmarkEnd w:id="102"/>
      <w:bookmarkEnd w:id="103"/>
      <w:bookmarkEnd w:id="104"/>
    </w:p>
    <w:p>
      <w:pPr>
        <w:spacing w:line="440" w:lineRule="exact"/>
        <w:ind w:firstLine="480" w:firstLineChars="200"/>
        <w:rPr>
          <w:rFonts w:ascii="宋体" w:hAnsi="宋体" w:cs="宋体"/>
          <w:bCs/>
          <w:sz w:val="24"/>
        </w:rPr>
      </w:pPr>
      <w:r>
        <w:rPr>
          <w:rFonts w:hint="eastAsia" w:ascii="宋体" w:hAnsi="宋体" w:cs="宋体"/>
          <w:sz w:val="24"/>
        </w:rPr>
        <w:t>21.1采购人或采购代理机构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ascii="宋体" w:hAnsi="宋体" w:cs="宋体"/>
          <w:bCs/>
          <w:sz w:val="24"/>
        </w:rPr>
      </w:pPr>
      <w:r>
        <w:rPr>
          <w:rFonts w:hint="eastAsia" w:ascii="宋体" w:hAnsi="宋体" w:cs="宋体"/>
          <w:sz w:val="24"/>
        </w:rPr>
        <w:t>21.2采购人或采购代理机构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5"/>
        <w:spacing w:before="0" w:after="0" w:line="440" w:lineRule="exact"/>
        <w:ind w:firstLine="560" w:firstLineChars="200"/>
        <w:rPr>
          <w:rFonts w:ascii="宋体" w:hAnsi="宋体" w:eastAsia="宋体" w:cs="宋体"/>
          <w:b w:val="0"/>
          <w:bCs w:val="0"/>
        </w:rPr>
      </w:pPr>
      <w:bookmarkStart w:id="105" w:name="_Toc513029227"/>
      <w:bookmarkStart w:id="106" w:name="_Toc16938543"/>
      <w:bookmarkStart w:id="107" w:name="_Toc20823299"/>
      <w:r>
        <w:rPr>
          <w:rFonts w:hint="eastAsia" w:ascii="宋体" w:hAnsi="宋体" w:eastAsia="宋体" w:cs="宋体"/>
          <w:b w:val="0"/>
          <w:bCs w:val="0"/>
        </w:rPr>
        <w:t>22、迟交的投标文件</w:t>
      </w:r>
      <w:bookmarkEnd w:id="105"/>
      <w:bookmarkEnd w:id="106"/>
      <w:bookmarkEnd w:id="107"/>
    </w:p>
    <w:p>
      <w:pPr>
        <w:spacing w:line="440" w:lineRule="exact"/>
        <w:ind w:firstLine="480" w:firstLineChars="200"/>
        <w:rPr>
          <w:rFonts w:ascii="宋体" w:hAnsi="宋体" w:cs="宋体"/>
          <w:bCs/>
          <w:sz w:val="24"/>
        </w:rPr>
      </w:pPr>
      <w:r>
        <w:rPr>
          <w:rFonts w:hint="eastAsia" w:ascii="宋体" w:hAnsi="宋体" w:cs="宋体"/>
          <w:sz w:val="24"/>
        </w:rPr>
        <w:t>22.1采购人或采购代理机构</w:t>
      </w:r>
      <w:r>
        <w:rPr>
          <w:rFonts w:hint="eastAsia" w:ascii="宋体" w:hAnsi="宋体" w:cs="宋体"/>
          <w:bCs/>
          <w:sz w:val="24"/>
        </w:rPr>
        <w:t>拒绝接收在其规定的投标截止时间后递交的任何投标文件。</w:t>
      </w:r>
    </w:p>
    <w:p>
      <w:pPr>
        <w:pStyle w:val="5"/>
        <w:spacing w:before="0" w:after="0" w:line="440" w:lineRule="exact"/>
        <w:ind w:firstLine="560" w:firstLineChars="200"/>
        <w:rPr>
          <w:rFonts w:ascii="宋体" w:hAnsi="宋体" w:eastAsia="宋体" w:cs="宋体"/>
          <w:b w:val="0"/>
          <w:bCs w:val="0"/>
        </w:rPr>
      </w:pPr>
      <w:bookmarkStart w:id="108" w:name="_Toc16938544"/>
      <w:bookmarkStart w:id="109" w:name="_Toc513029228"/>
      <w:bookmarkStart w:id="110" w:name="_Toc20823300"/>
      <w:r>
        <w:rPr>
          <w:rFonts w:hint="eastAsia" w:ascii="宋体" w:hAnsi="宋体" w:eastAsia="宋体" w:cs="宋体"/>
          <w:b w:val="0"/>
          <w:bCs w:val="0"/>
        </w:rPr>
        <w:t>23、投标文件的修改和撤回</w:t>
      </w:r>
      <w:bookmarkEnd w:id="108"/>
      <w:bookmarkEnd w:id="109"/>
      <w:bookmarkEnd w:id="110"/>
    </w:p>
    <w:p>
      <w:pPr>
        <w:spacing w:line="440" w:lineRule="exact"/>
        <w:ind w:firstLine="480" w:firstLineChars="200"/>
        <w:rPr>
          <w:rFonts w:ascii="宋体" w:hAnsi="宋体" w:cs="宋体"/>
          <w:sz w:val="24"/>
          <w:szCs w:val="24"/>
        </w:rPr>
      </w:pPr>
      <w:r>
        <w:rPr>
          <w:rFonts w:hint="eastAsia" w:ascii="宋体" w:hAnsi="宋体" w:cs="宋体"/>
          <w:sz w:val="24"/>
        </w:rPr>
        <w:t>23.1</w:t>
      </w:r>
      <w:r>
        <w:rPr>
          <w:rFonts w:hint="eastAsia" w:ascii="宋体" w:hAnsi="宋体" w:cs="宋体"/>
          <w:bCs/>
          <w:sz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ascii="宋体" w:hAnsi="宋体" w:cs="宋体"/>
          <w:sz w:val="24"/>
          <w:szCs w:val="24"/>
        </w:rPr>
      </w:pPr>
      <w:r>
        <w:rPr>
          <w:rFonts w:hint="eastAsia" w:ascii="宋体" w:hAnsi="宋体" w:cs="宋体"/>
          <w:sz w:val="24"/>
        </w:rPr>
        <w:t>23.2</w:t>
      </w:r>
      <w:r>
        <w:rPr>
          <w:rFonts w:hint="eastAsia" w:ascii="宋体" w:hAnsi="宋体" w:cs="宋体"/>
          <w:bCs/>
          <w:sz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ascii="宋体" w:hAnsi="宋体" w:cs="宋体"/>
          <w:bCs/>
          <w:sz w:val="24"/>
        </w:rPr>
      </w:pPr>
      <w:r>
        <w:rPr>
          <w:rFonts w:hint="eastAsia" w:ascii="宋体" w:hAnsi="宋体" w:cs="宋体"/>
          <w:sz w:val="24"/>
        </w:rPr>
        <w:t>23.3</w:t>
      </w:r>
      <w:r>
        <w:rPr>
          <w:rFonts w:hint="eastAsia" w:ascii="宋体" w:hAnsi="宋体" w:cs="宋体"/>
          <w:bCs/>
          <w:sz w:val="24"/>
        </w:rPr>
        <w:t xml:space="preserve"> 在投标截止时间之后，投标人不得对其投标文件作任何修改。</w:t>
      </w:r>
    </w:p>
    <w:p>
      <w:pPr>
        <w:spacing w:line="440" w:lineRule="exact"/>
        <w:ind w:firstLine="480" w:firstLineChars="200"/>
        <w:rPr>
          <w:rFonts w:ascii="宋体" w:hAnsi="宋体" w:cs="宋体"/>
          <w:bCs/>
          <w:sz w:val="24"/>
        </w:rPr>
      </w:pPr>
      <w:r>
        <w:rPr>
          <w:rFonts w:hint="eastAsia" w:ascii="宋体" w:hAnsi="宋体" w:cs="宋体"/>
          <w:sz w:val="24"/>
        </w:rPr>
        <w:t>23.4</w:t>
      </w:r>
      <w:r>
        <w:rPr>
          <w:rFonts w:hint="eastAsia" w:ascii="宋体" w:hAnsi="宋体" w:cs="宋体"/>
          <w:bCs/>
          <w:sz w:val="24"/>
        </w:rPr>
        <w:t xml:space="preserve"> 在投标截止时间至招标文件中规定的投标有效期满之间的这段时间内，投标人不得撤回其投标，否则其投标保证金将不予退还。</w:t>
      </w:r>
    </w:p>
    <w:p>
      <w:pPr>
        <w:pStyle w:val="4"/>
        <w:spacing w:before="0" w:after="0" w:line="440" w:lineRule="exact"/>
        <w:ind w:firstLine="643" w:firstLineChars="200"/>
        <w:rPr>
          <w:rFonts w:ascii="宋体" w:hAnsi="宋体" w:cs="宋体"/>
        </w:rPr>
      </w:pPr>
      <w:bookmarkStart w:id="111" w:name="_Toc513029229"/>
      <w:bookmarkStart w:id="112" w:name="_Toc20823301"/>
      <w:bookmarkStart w:id="113" w:name="_Toc120614218"/>
      <w:bookmarkStart w:id="114" w:name="_Toc16938545"/>
      <w:r>
        <w:rPr>
          <w:rFonts w:hint="eastAsia" w:ascii="宋体" w:hAnsi="宋体" w:cs="宋体"/>
        </w:rPr>
        <w:t>五、开标与评标</w:t>
      </w:r>
      <w:bookmarkEnd w:id="111"/>
      <w:bookmarkEnd w:id="112"/>
      <w:bookmarkEnd w:id="113"/>
      <w:bookmarkEnd w:id="114"/>
    </w:p>
    <w:p>
      <w:pPr>
        <w:pStyle w:val="5"/>
        <w:spacing w:before="0" w:after="0" w:line="440" w:lineRule="exact"/>
        <w:ind w:firstLine="560" w:firstLineChars="200"/>
        <w:rPr>
          <w:rFonts w:ascii="宋体" w:hAnsi="宋体" w:eastAsia="宋体" w:cs="宋体"/>
          <w:b w:val="0"/>
          <w:bCs w:val="0"/>
        </w:rPr>
      </w:pPr>
      <w:bookmarkStart w:id="115" w:name="_Toc16938546"/>
      <w:bookmarkStart w:id="116" w:name="_Toc20823302"/>
      <w:bookmarkStart w:id="117" w:name="_Toc513029230"/>
      <w:r>
        <w:rPr>
          <w:rFonts w:hint="eastAsia" w:ascii="宋体" w:hAnsi="宋体" w:eastAsia="宋体" w:cs="宋体"/>
          <w:b w:val="0"/>
          <w:bCs w:val="0"/>
        </w:rPr>
        <w:t>24、开标</w:t>
      </w:r>
      <w:bookmarkEnd w:id="115"/>
      <w:bookmarkEnd w:id="116"/>
      <w:bookmarkEnd w:id="117"/>
    </w:p>
    <w:p>
      <w:pPr>
        <w:spacing w:line="440" w:lineRule="exact"/>
        <w:ind w:firstLine="480" w:firstLineChars="200"/>
        <w:rPr>
          <w:rFonts w:ascii="宋体" w:hAnsi="宋体" w:cs="宋体"/>
          <w:sz w:val="24"/>
          <w:szCs w:val="24"/>
        </w:rPr>
      </w:pPr>
      <w:r>
        <w:rPr>
          <w:rFonts w:hint="eastAsia" w:ascii="宋体" w:hAnsi="宋体" w:cs="宋体"/>
          <w:sz w:val="24"/>
        </w:rPr>
        <w:t>24.1采购人或采购代理机构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hAnsi="宋体" w:cs="宋体"/>
          <w:bCs/>
          <w:sz w:val="24"/>
        </w:rPr>
      </w:pPr>
      <w:r>
        <w:rPr>
          <w:rFonts w:hint="eastAsia" w:ascii="宋体" w:hAnsi="宋体" w:cs="宋体"/>
          <w:sz w:val="24"/>
        </w:rPr>
        <w:t>24.3</w:t>
      </w:r>
      <w:r>
        <w:rPr>
          <w:rFonts w:hint="eastAsia" w:ascii="宋体" w:hAnsi="宋体" w:cs="宋体"/>
          <w:bCs/>
          <w:sz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24.4 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24.5 采购人或采购代理机构将指定专人负责开标记录并存档备查。</w:t>
      </w:r>
    </w:p>
    <w:p>
      <w:pPr>
        <w:spacing w:line="440" w:lineRule="exact"/>
        <w:ind w:firstLine="480" w:firstLineChars="200"/>
        <w:rPr>
          <w:rFonts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5"/>
        <w:spacing w:before="0" w:after="0" w:line="440" w:lineRule="exact"/>
        <w:ind w:firstLine="560" w:firstLineChars="200"/>
        <w:rPr>
          <w:rFonts w:ascii="宋体" w:hAnsi="宋体" w:eastAsia="宋体" w:cs="宋体"/>
          <w:b w:val="0"/>
          <w:bCs w:val="0"/>
        </w:rPr>
      </w:pPr>
      <w:bookmarkStart w:id="118" w:name="_Toc16938547"/>
      <w:bookmarkStart w:id="119" w:name="_Toc513029231"/>
      <w:bookmarkStart w:id="120" w:name="_Toc20823303"/>
      <w:r>
        <w:rPr>
          <w:rFonts w:hint="eastAsia" w:ascii="宋体" w:hAnsi="宋体" w:eastAsia="宋体" w:cs="宋体"/>
          <w:b w:val="0"/>
          <w:bCs w:val="0"/>
        </w:rPr>
        <w:t>25、资格审查</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（财政部87号令第44条规定）</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合格投标人不足3家的，不得评标。</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26、评标委员会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26.1资格审查通过后，采购人或采购代理机构将组织评标委员会（以下简称评委会）进行评标。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26.2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26.3评委会独立工作，负责评审所有投标文件并确定中标候选人。</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27、评标过程的保密与公正</w:t>
      </w:r>
    </w:p>
    <w:bookmarkEnd w:id="118"/>
    <w:bookmarkEnd w:id="119"/>
    <w:bookmarkEnd w:id="120"/>
    <w:p>
      <w:pPr>
        <w:spacing w:line="440" w:lineRule="exact"/>
        <w:ind w:firstLine="480" w:firstLineChars="200"/>
        <w:rPr>
          <w:rFonts w:ascii="宋体" w:hAnsi="宋体" w:cs="宋体"/>
          <w:bCs/>
          <w:sz w:val="24"/>
        </w:rPr>
      </w:pPr>
      <w:r>
        <w:rPr>
          <w:rFonts w:hint="eastAsia"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5"/>
        <w:spacing w:before="0" w:after="0" w:line="440" w:lineRule="exact"/>
        <w:ind w:firstLine="560" w:firstLineChars="200"/>
        <w:rPr>
          <w:rFonts w:ascii="宋体" w:hAnsi="宋体" w:eastAsia="宋体" w:cs="宋体"/>
          <w:b w:val="0"/>
          <w:bCs w:val="0"/>
        </w:rPr>
      </w:pPr>
      <w:bookmarkStart w:id="121" w:name="_Toc20823304"/>
      <w:bookmarkStart w:id="122" w:name="_Toc16938548"/>
      <w:bookmarkStart w:id="123" w:name="_Toc513029232"/>
      <w:r>
        <w:rPr>
          <w:rFonts w:hint="eastAsia" w:ascii="宋体" w:hAnsi="宋体" w:eastAsia="宋体" w:cs="宋体"/>
          <w:b w:val="0"/>
          <w:bCs w:val="0"/>
        </w:rPr>
        <w:t>28、投标的澄清</w:t>
      </w:r>
      <w:bookmarkEnd w:id="121"/>
      <w:bookmarkEnd w:id="122"/>
      <w:bookmarkEnd w:id="123"/>
    </w:p>
    <w:p>
      <w:pPr>
        <w:spacing w:line="440" w:lineRule="exact"/>
        <w:ind w:firstLine="480" w:firstLineChars="200"/>
        <w:rPr>
          <w:rFonts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5"/>
        <w:spacing w:before="0" w:after="0" w:line="440" w:lineRule="exact"/>
        <w:ind w:firstLine="560" w:firstLineChars="200"/>
        <w:rPr>
          <w:rFonts w:ascii="宋体" w:hAnsi="宋体" w:eastAsia="宋体" w:cs="宋体"/>
          <w:b w:val="0"/>
          <w:bCs w:val="0"/>
        </w:rPr>
      </w:pPr>
      <w:bookmarkStart w:id="124" w:name="_Toc16938549"/>
      <w:bookmarkStart w:id="125" w:name="_Toc513029233"/>
      <w:bookmarkStart w:id="126" w:name="_Toc20823305"/>
      <w:r>
        <w:rPr>
          <w:rFonts w:hint="eastAsia" w:ascii="宋体" w:hAnsi="宋体" w:eastAsia="宋体" w:cs="宋体"/>
          <w:b w:val="0"/>
          <w:bCs w:val="0"/>
        </w:rPr>
        <w:t>29、对投标文件的审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ascii="宋体" w:hAnsi="宋体" w:cs="宋体"/>
          <w:bCs/>
          <w:sz w:val="24"/>
        </w:rPr>
      </w:pPr>
      <w:r>
        <w:rPr>
          <w:rFonts w:hint="eastAsia"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ascii="宋体" w:hAnsi="宋体" w:cs="宋体"/>
          <w:bCs/>
          <w:sz w:val="24"/>
        </w:rPr>
      </w:pPr>
      <w:r>
        <w:rPr>
          <w:rFonts w:hint="eastAsia"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rPr>
      </w:pPr>
      <w:r>
        <w:rPr>
          <w:rFonts w:hint="eastAsia"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ascii="宋体" w:hAns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hAnsi="宋体" w:cs="宋体"/>
          <w:bCs/>
          <w:sz w:val="24"/>
        </w:rPr>
      </w:pPr>
      <w:r>
        <w:rPr>
          <w:rFonts w:hint="eastAsia"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bCs/>
          <w:sz w:val="24"/>
        </w:rPr>
      </w:pPr>
      <w:r>
        <w:rPr>
          <w:rFonts w:hint="eastAsia" w:ascii="宋体" w:hAnsi="宋体" w:cs="宋体"/>
          <w:sz w:val="24"/>
        </w:rPr>
        <w:t>29.6</w:t>
      </w:r>
      <w:r>
        <w:rPr>
          <w:rFonts w:hint="eastAsia" w:ascii="宋体" w:hAnsi="宋体" w:cs="宋体"/>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hAnsi="宋体" w:cs="宋体"/>
          <w:sz w:val="24"/>
        </w:rPr>
      </w:pPr>
      <w:r>
        <w:rPr>
          <w:rFonts w:hint="eastAsia"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ascii="宋体" w:hAnsi="宋体" w:cs="宋体"/>
          <w:sz w:val="24"/>
        </w:rPr>
      </w:pPr>
      <w:r>
        <w:rPr>
          <w:rFonts w:hint="eastAsia" w:ascii="宋体" w:hAnsi="宋体" w:cs="宋体"/>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5"/>
        <w:spacing w:before="0" w:after="0" w:line="440" w:lineRule="exact"/>
        <w:ind w:firstLine="560" w:firstLineChars="200"/>
        <w:rPr>
          <w:rFonts w:ascii="宋体" w:hAnsi="宋体" w:eastAsia="宋体" w:cs="宋体"/>
          <w:b w:val="0"/>
          <w:bCs w:val="0"/>
        </w:rPr>
      </w:pPr>
      <w:bookmarkStart w:id="127" w:name="_Toc513029234"/>
      <w:bookmarkStart w:id="128" w:name="_Toc20823306"/>
      <w:bookmarkStart w:id="129" w:name="_Toc16938550"/>
      <w:r>
        <w:rPr>
          <w:rFonts w:hint="eastAsia" w:ascii="宋体" w:hAnsi="宋体" w:eastAsia="宋体" w:cs="宋体"/>
          <w:b w:val="0"/>
          <w:bCs w:val="0"/>
        </w:rPr>
        <w:t>30、</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ascii="宋体" w:hAnsi="宋体" w:cs="宋体"/>
          <w:bCs/>
          <w:sz w:val="24"/>
        </w:rPr>
      </w:pPr>
      <w:bookmarkStart w:id="130" w:name="_Toc16938551"/>
      <w:bookmarkStart w:id="131" w:name="_Toc20823307"/>
      <w:bookmarkStart w:id="132" w:name="_Toc513029235"/>
      <w:r>
        <w:rPr>
          <w:rFonts w:hint="eastAsia" w:ascii="宋体" w:hAnsi="宋体" w:cs="宋体"/>
          <w:bCs/>
          <w:sz w:val="24"/>
        </w:rPr>
        <w:t>30.1无效投标条款</w:t>
      </w:r>
    </w:p>
    <w:p>
      <w:pPr>
        <w:spacing w:line="440" w:lineRule="exact"/>
        <w:ind w:firstLine="480" w:firstLineChars="200"/>
        <w:rPr>
          <w:rFonts w:ascii="宋体" w:hAnsi="宋体" w:cs="宋体"/>
          <w:bCs/>
          <w:sz w:val="24"/>
        </w:rPr>
      </w:pPr>
      <w:r>
        <w:rPr>
          <w:rFonts w:hint="eastAsia" w:ascii="宋体" w:hAnsi="宋体" w:cs="宋体"/>
          <w:bCs/>
          <w:sz w:val="24"/>
        </w:rPr>
        <w:t>30.1.1未按要求交纳投标保证金的；</w:t>
      </w:r>
    </w:p>
    <w:p>
      <w:pPr>
        <w:spacing w:line="440" w:lineRule="exact"/>
        <w:ind w:firstLine="480" w:firstLineChars="200"/>
        <w:rPr>
          <w:rFonts w:ascii="宋体" w:hAnsi="宋体" w:cs="宋体"/>
          <w:bCs/>
          <w:sz w:val="24"/>
        </w:rPr>
      </w:pPr>
      <w:r>
        <w:rPr>
          <w:rFonts w:hint="eastAsia" w:ascii="宋体" w:hAnsi="宋体" w:cs="宋体"/>
          <w:bCs/>
          <w:sz w:val="24"/>
        </w:rPr>
        <w:t>30.1.2未按照招标文件规定要求密封、签署、盖章的；</w:t>
      </w:r>
    </w:p>
    <w:p>
      <w:pPr>
        <w:spacing w:line="440" w:lineRule="exact"/>
        <w:ind w:firstLine="480" w:firstLineChars="200"/>
        <w:rPr>
          <w:rFonts w:ascii="宋体" w:hAnsi="宋体" w:cs="宋体"/>
          <w:bCs/>
          <w:sz w:val="24"/>
        </w:rPr>
      </w:pPr>
      <w:r>
        <w:rPr>
          <w:rFonts w:hint="eastAsia" w:ascii="宋体" w:hAnsi="宋体" w:cs="宋体"/>
          <w:bCs/>
          <w:sz w:val="24"/>
        </w:rPr>
        <w:t>30.1.3投标人在报价时采用选择性报价；</w:t>
      </w:r>
    </w:p>
    <w:p>
      <w:pPr>
        <w:spacing w:line="440" w:lineRule="exact"/>
        <w:ind w:firstLine="480" w:firstLineChars="200"/>
        <w:rPr>
          <w:rFonts w:ascii="宋体" w:hAnsi="宋体" w:cs="宋体"/>
          <w:bCs/>
          <w:sz w:val="24"/>
        </w:rPr>
      </w:pPr>
      <w:r>
        <w:rPr>
          <w:rFonts w:hint="eastAsia" w:ascii="宋体" w:hAnsi="宋体" w:cs="宋体"/>
          <w:bCs/>
          <w:sz w:val="24"/>
        </w:rPr>
        <w:t>30.1.4投标人不具备招标文件中规定资格要求的；</w:t>
      </w:r>
    </w:p>
    <w:p>
      <w:pPr>
        <w:spacing w:line="440" w:lineRule="exact"/>
        <w:ind w:firstLine="480" w:firstLineChars="200"/>
        <w:rPr>
          <w:rFonts w:ascii="宋体" w:hAnsi="宋体" w:cs="宋体"/>
          <w:bCs/>
          <w:sz w:val="24"/>
        </w:rPr>
      </w:pPr>
      <w:r>
        <w:rPr>
          <w:rFonts w:hint="eastAsia" w:ascii="宋体" w:hAnsi="宋体" w:cs="宋体"/>
          <w:bCs/>
          <w:sz w:val="24"/>
        </w:rPr>
        <w:t>30.1.5投标人的报价超过了采购预算的；</w:t>
      </w:r>
    </w:p>
    <w:p>
      <w:pPr>
        <w:spacing w:line="440" w:lineRule="exact"/>
        <w:ind w:firstLine="480" w:firstLineChars="200"/>
        <w:rPr>
          <w:rFonts w:ascii="宋体" w:hAnsi="宋体" w:cs="宋体"/>
          <w:bCs/>
          <w:i/>
          <w:sz w:val="24"/>
          <w:u w:val="single"/>
        </w:rPr>
      </w:pPr>
      <w:r>
        <w:rPr>
          <w:rFonts w:hint="eastAsia" w:ascii="宋体" w:hAnsi="宋体" w:cs="宋体"/>
          <w:bCs/>
          <w:sz w:val="24"/>
        </w:rPr>
        <w:t>30.1.6未通过符合性检查的；</w:t>
      </w:r>
    </w:p>
    <w:p>
      <w:pPr>
        <w:spacing w:line="440" w:lineRule="exact"/>
        <w:ind w:firstLine="480" w:firstLineChars="200"/>
        <w:rPr>
          <w:rFonts w:ascii="宋体" w:hAnsi="宋体" w:cs="宋体"/>
          <w:bCs/>
          <w:sz w:val="24"/>
        </w:rPr>
      </w:pPr>
      <w:r>
        <w:rPr>
          <w:rFonts w:hint="eastAsia" w:ascii="宋体" w:hAnsi="宋体" w:cs="宋体"/>
          <w:bCs/>
          <w:sz w:val="24"/>
        </w:rPr>
        <w:t>30.1.7不符合招标文件中规定的其他实质性要求和条件的；</w:t>
      </w:r>
    </w:p>
    <w:p>
      <w:pPr>
        <w:spacing w:line="440" w:lineRule="exact"/>
        <w:ind w:firstLine="480" w:firstLineChars="200"/>
        <w:rPr>
          <w:rFonts w:ascii="宋体" w:hAnsi="宋体" w:cs="宋体"/>
          <w:bCs/>
          <w:sz w:val="24"/>
        </w:rPr>
      </w:pPr>
      <w:r>
        <w:rPr>
          <w:rFonts w:hint="eastAsia" w:ascii="宋体" w:hAnsi="宋体" w:cs="宋体"/>
          <w:bCs/>
          <w:sz w:val="24"/>
        </w:rPr>
        <w:t>30.1.8 投标人串通投标；</w:t>
      </w:r>
    </w:p>
    <w:p>
      <w:pPr>
        <w:spacing w:line="440" w:lineRule="exact"/>
        <w:ind w:firstLine="480" w:firstLineChars="200"/>
        <w:rPr>
          <w:rFonts w:ascii="宋体" w:hAnsi="宋体" w:cs="宋体"/>
          <w:bCs/>
          <w:sz w:val="24"/>
        </w:rPr>
      </w:pPr>
      <w:r>
        <w:rPr>
          <w:rFonts w:hint="eastAsia" w:ascii="宋体" w:hAnsi="宋体" w:cs="宋体"/>
          <w:bCs/>
          <w:sz w:val="24"/>
        </w:rPr>
        <w:t>30.1.9其他法律、法规及本招标文件规定的属无效投标的情形。</w:t>
      </w:r>
    </w:p>
    <w:p>
      <w:pPr>
        <w:spacing w:line="440" w:lineRule="exact"/>
        <w:ind w:firstLine="480" w:firstLineChars="200"/>
        <w:rPr>
          <w:rFonts w:ascii="宋体" w:hAnsi="宋体" w:cs="宋体"/>
          <w:bCs/>
          <w:sz w:val="24"/>
        </w:rPr>
      </w:pPr>
      <w:r>
        <w:rPr>
          <w:rFonts w:hint="eastAsia" w:ascii="宋体" w:hAnsi="宋体" w:cs="宋体"/>
          <w:bCs/>
          <w:sz w:val="24"/>
        </w:rPr>
        <w:t xml:space="preserve">30.2废标条款：                                                                                                                                                                                                                                                                                                                                                                                                                                                                                                                                                                                                                                                                                                                                                                                                                                                                                                                                                                                                                                                                                                                                                                                                                                                                                                                                                                                                                                                                         </w:t>
      </w:r>
    </w:p>
    <w:p>
      <w:pPr>
        <w:spacing w:line="440" w:lineRule="exact"/>
        <w:ind w:firstLine="480" w:firstLineChars="200"/>
        <w:rPr>
          <w:rFonts w:ascii="宋体" w:hAnsi="宋体" w:cs="宋体"/>
          <w:bCs/>
          <w:sz w:val="24"/>
        </w:rPr>
      </w:pPr>
      <w:r>
        <w:rPr>
          <w:rFonts w:hint="eastAsia" w:ascii="宋体" w:hAnsi="宋体" w:cs="宋体"/>
          <w:bCs/>
          <w:sz w:val="24"/>
        </w:rPr>
        <w:t>30.2.1符合专业条件的供应商或者对招标文件作实质响应的供应商不足三家的；</w:t>
      </w:r>
    </w:p>
    <w:p>
      <w:pPr>
        <w:spacing w:line="440" w:lineRule="exact"/>
        <w:ind w:firstLine="480" w:firstLineChars="200"/>
        <w:rPr>
          <w:rFonts w:ascii="宋体" w:hAnsi="宋体" w:cs="宋体"/>
          <w:bCs/>
          <w:sz w:val="24"/>
        </w:rPr>
      </w:pPr>
      <w:r>
        <w:rPr>
          <w:rFonts w:hint="eastAsia" w:ascii="宋体" w:hAnsi="宋体" w:cs="宋体"/>
          <w:bCs/>
          <w:sz w:val="24"/>
        </w:rPr>
        <w:t>30.2.2出现影响采购公正的违法、违规行为的；</w:t>
      </w:r>
    </w:p>
    <w:p>
      <w:pPr>
        <w:spacing w:line="440" w:lineRule="exact"/>
        <w:ind w:firstLine="480" w:firstLineChars="200"/>
        <w:rPr>
          <w:rFonts w:ascii="宋体" w:hAnsi="宋体" w:cs="宋体"/>
          <w:bCs/>
          <w:sz w:val="24"/>
        </w:rPr>
      </w:pPr>
      <w:r>
        <w:rPr>
          <w:rFonts w:hint="eastAsia" w:ascii="宋体" w:hAnsi="宋体" w:cs="宋体"/>
          <w:bCs/>
          <w:sz w:val="24"/>
        </w:rPr>
        <w:t>30.2.3因重大变故，采购任务取消的；</w:t>
      </w:r>
    </w:p>
    <w:p>
      <w:pPr>
        <w:spacing w:line="440" w:lineRule="exact"/>
        <w:ind w:firstLine="480" w:firstLineChars="200"/>
        <w:rPr>
          <w:rFonts w:ascii="宋体" w:hAnsi="宋体" w:cs="宋体"/>
          <w:bCs/>
          <w:sz w:val="24"/>
        </w:rPr>
      </w:pPr>
      <w:r>
        <w:rPr>
          <w:rFonts w:hint="eastAsia" w:ascii="宋体" w:hAnsi="宋体" w:cs="宋体"/>
          <w:bCs/>
          <w:sz w:val="24"/>
        </w:rPr>
        <w:t>30.2.4评标委员会认定招标文件存在歧义、 重大缺陷导致评审工作无法进行。</w:t>
      </w:r>
    </w:p>
    <w:p>
      <w:pPr>
        <w:spacing w:line="440" w:lineRule="exact"/>
        <w:ind w:firstLine="480" w:firstLineChars="200"/>
        <w:rPr>
          <w:rFonts w:ascii="宋体" w:hAnsi="宋体" w:cs="宋体"/>
          <w:bCs/>
          <w:sz w:val="24"/>
        </w:rPr>
      </w:pPr>
      <w:r>
        <w:rPr>
          <w:rFonts w:hint="eastAsia" w:ascii="宋体" w:hAnsi="宋体" w:cs="宋体"/>
          <w:bCs/>
          <w:sz w:val="24"/>
        </w:rPr>
        <w:t>30.3 投标截止时间结束后参加投标的供应商不足三家的处理：</w:t>
      </w:r>
    </w:p>
    <w:p>
      <w:pPr>
        <w:spacing w:line="440" w:lineRule="exact"/>
        <w:ind w:firstLine="480" w:firstLineChars="200"/>
        <w:rPr>
          <w:rFonts w:ascii="宋体" w:hAnsi="宋体" w:cs="宋体"/>
          <w:bCs/>
          <w:sz w:val="24"/>
        </w:rPr>
      </w:pPr>
      <w:r>
        <w:rPr>
          <w:rFonts w:hint="eastAsia" w:ascii="宋体" w:hAnsi="宋体" w:cs="宋体"/>
          <w:bCs/>
          <w:sz w:val="24"/>
        </w:rPr>
        <w:t>30.3.1如出现投标截止时间结束后参加投标的供应商或者在评标期间对招标文件做出实质响应的供应商不足三家情况，按财政部第八十七号令第四十三条的规定执行。</w:t>
      </w:r>
    </w:p>
    <w:p>
      <w:pPr>
        <w:pStyle w:val="4"/>
        <w:spacing w:before="0" w:after="0" w:line="440" w:lineRule="exact"/>
        <w:ind w:firstLine="643" w:firstLineChars="200"/>
        <w:rPr>
          <w:rFonts w:ascii="宋体" w:hAns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5"/>
        <w:spacing w:before="0" w:after="0" w:line="440" w:lineRule="exact"/>
        <w:ind w:firstLine="600" w:firstLineChars="200"/>
        <w:rPr>
          <w:rFonts w:ascii="宋体" w:hAnsi="宋体" w:eastAsia="宋体" w:cs="宋体"/>
          <w:b w:val="0"/>
          <w:sz w:val="30"/>
          <w:szCs w:val="30"/>
        </w:rPr>
      </w:pPr>
      <w:bookmarkStart w:id="134" w:name="_Toc513029238"/>
      <w:bookmarkStart w:id="135" w:name="_Toc20823310"/>
      <w:bookmarkStart w:id="136" w:name="_Toc16938554"/>
      <w:r>
        <w:rPr>
          <w:rFonts w:hint="eastAsia" w:ascii="宋体" w:hAnsi="宋体" w:eastAsia="宋体" w:cs="宋体"/>
          <w:b w:val="0"/>
          <w:sz w:val="30"/>
          <w:szCs w:val="30"/>
        </w:rPr>
        <w:t>31、</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ascii="宋体" w:hAnsi="宋体" w:cs="宋体"/>
          <w:bCs/>
          <w:sz w:val="24"/>
        </w:rPr>
      </w:pPr>
      <w:r>
        <w:rPr>
          <w:rFonts w:hint="eastAsia" w:ascii="宋体" w:hAnsi="宋体" w:cs="宋体"/>
          <w:bCs/>
          <w:sz w:val="24"/>
        </w:rPr>
        <w:t>31.1评委会根据本招标文件规定评标方法与评标标准向采购人推荐出中标候选人。</w:t>
      </w:r>
    </w:p>
    <w:p>
      <w:pPr>
        <w:spacing w:line="440" w:lineRule="exact"/>
        <w:ind w:firstLine="480" w:firstLineChars="200"/>
        <w:rPr>
          <w:rFonts w:ascii="宋体" w:hAnsi="宋体" w:cs="宋体"/>
          <w:bCs/>
          <w:sz w:val="24"/>
        </w:rPr>
      </w:pPr>
      <w:r>
        <w:rPr>
          <w:rFonts w:hint="eastAsia" w:ascii="宋体" w:hAnsi="宋体" w:cs="宋体"/>
          <w:bCs/>
          <w:sz w:val="24"/>
        </w:rPr>
        <w:t>31.2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31.4.2向采购人、采购代理机构行贿或者提供其他不正当利益的；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31.4.7不符合法律、法规的规定的。</w:t>
      </w:r>
      <w:bookmarkStart w:id="137"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32、质疑处理</w:t>
      </w:r>
      <w:bookmarkEnd w:id="137"/>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33、中标通知书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33.l中标结果确定后，采购人或采购代理机构将向中标供应商发出中标通知书。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4"/>
        <w:spacing w:before="0" w:after="0" w:line="440" w:lineRule="exact"/>
        <w:ind w:firstLine="643" w:firstLineChars="200"/>
        <w:rPr>
          <w:rFonts w:ascii="宋体" w:hAnsi="宋体" w:cs="宋体"/>
        </w:rPr>
      </w:pPr>
      <w:bookmarkStart w:id="138" w:name="_Toc120614220"/>
      <w:bookmarkStart w:id="139" w:name="_Toc20823308"/>
      <w:bookmarkStart w:id="140" w:name="_Toc513029236"/>
      <w:bookmarkStart w:id="141" w:name="_Toc16938552"/>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5"/>
        <w:spacing w:before="0" w:after="0" w:line="440" w:lineRule="exact"/>
        <w:ind w:firstLine="600" w:firstLineChars="200"/>
        <w:rPr>
          <w:rFonts w:ascii="宋体" w:hAnsi="宋体" w:eastAsia="宋体" w:cs="宋体"/>
          <w:b w:val="0"/>
          <w:sz w:val="30"/>
          <w:szCs w:val="30"/>
        </w:rPr>
      </w:pPr>
      <w:bookmarkStart w:id="142" w:name="_Toc16938553"/>
      <w:bookmarkStart w:id="143" w:name="_Toc20823309"/>
      <w:bookmarkStart w:id="144" w:name="_Toc513029237"/>
      <w:r>
        <w:rPr>
          <w:rFonts w:hint="eastAsia" w:ascii="宋体" w:hAnsi="宋体" w:eastAsia="宋体" w:cs="宋体"/>
          <w:b w:val="0"/>
          <w:sz w:val="30"/>
          <w:szCs w:val="30"/>
        </w:rPr>
        <w:t>34.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34.2招标文件、中标供应商的投标文件及招标过程中有关澄清、承诺文件均应作为合同附件。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35、货物和服务的追加、减少和添购。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hAnsi="宋体" w:cs="宋体"/>
          <w:bCs/>
          <w:sz w:val="30"/>
          <w:szCs w:val="30"/>
        </w:rPr>
      </w:pPr>
      <w:bookmarkStart w:id="145" w:name="_Toc20823314"/>
      <w:bookmarkStart w:id="146" w:name="_Toc120614221"/>
      <w:bookmarkStart w:id="147" w:name="_Toc513029242"/>
      <w:bookmarkStart w:id="148" w:name="_Toc16938558"/>
      <w:bookmarkStart w:id="149" w:name="_Toc479757207"/>
      <w:r>
        <w:rPr>
          <w:rFonts w:hint="eastAsia" w:ascii="宋体" w:hAnsi="宋体" w:cs="宋体"/>
          <w:bCs/>
          <w:sz w:val="30"/>
          <w:szCs w:val="30"/>
        </w:rPr>
        <w:t>36、履约保证金</w:t>
      </w:r>
    </w:p>
    <w:p>
      <w:pPr>
        <w:tabs>
          <w:tab w:val="left" w:pos="900"/>
        </w:tabs>
        <w:spacing w:line="440" w:lineRule="exact"/>
        <w:ind w:firstLine="480" w:firstLineChars="200"/>
        <w:rPr>
          <w:rFonts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sz w:val="24"/>
        </w:rPr>
      </w:pPr>
    </w:p>
    <w:p>
      <w:pPr>
        <w:pStyle w:val="2"/>
        <w:ind w:firstLine="1767" w:firstLineChars="400"/>
        <w:jc w:val="both"/>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145"/>
      <w:bookmarkEnd w:id="146"/>
      <w:bookmarkEnd w:id="147"/>
      <w:bookmarkEnd w:id="148"/>
      <w:bookmarkEnd w:id="149"/>
      <w:r>
        <w:rPr>
          <w:rFonts w:hint="eastAsia" w:ascii="宋体" w:hAnsi="宋体" w:eastAsia="宋体" w:cs="宋体"/>
          <w:b/>
          <w:sz w:val="44"/>
        </w:rPr>
        <w:t>格式</w:t>
      </w:r>
    </w:p>
    <w:p>
      <w:pPr>
        <w:pStyle w:val="4"/>
        <w:spacing w:before="0" w:after="0" w:line="460" w:lineRule="exact"/>
        <w:jc w:val="center"/>
        <w:rPr>
          <w:rFonts w:ascii="宋体" w:hAnsi="宋体" w:cs="宋体"/>
        </w:rPr>
      </w:pPr>
      <w:bookmarkStart w:id="150" w:name="_Toc513029243"/>
      <w:bookmarkStart w:id="151" w:name="_Toc16938559"/>
      <w:bookmarkStart w:id="152" w:name="_Toc20823315"/>
    </w:p>
    <w:bookmarkEnd w:id="150"/>
    <w:bookmarkEnd w:id="151"/>
    <w:bookmarkEnd w:id="152"/>
    <w:p>
      <w:pPr>
        <w:spacing w:line="440" w:lineRule="exact"/>
        <w:ind w:firstLine="480" w:firstLineChars="200"/>
        <w:rPr>
          <w:rFonts w:ascii="宋体" w:hAnsi="宋体" w:cs="宋体"/>
          <w:bCs/>
          <w:sz w:val="24"/>
        </w:rPr>
      </w:pPr>
      <w:bookmarkStart w:id="153" w:name="_Hlt16619350"/>
      <w:bookmarkStart w:id="154" w:name="_Toc20823346"/>
      <w:bookmarkStart w:id="155" w:name="_Toc120614244"/>
      <w:bookmarkStart w:id="156" w:name="_Toc16938590"/>
      <w:bookmarkStart w:id="157" w:name="_Toc462564139"/>
      <w:bookmarkStart w:id="158" w:name="_Toc479757211"/>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bCs/>
          <w:sz w:val="30"/>
          <w:szCs w:val="20"/>
        </w:rPr>
      </w:pPr>
      <w:r>
        <w:rPr>
          <w:rFonts w:hint="eastAsia" w:ascii="宋体" w:hAnsi="宋体" w:cs="宋体"/>
          <w:b/>
          <w:sz w:val="30"/>
        </w:rPr>
        <w:t>政府采购合同</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u w:val="single"/>
        </w:rPr>
        <w:t>盐城工业职业技术学院药学院-药品生产技术专业群药品生产GMP虚拟实训仿真平台项目</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项目编号：</w:t>
      </w:r>
      <w:r>
        <w:rPr>
          <w:rFonts w:hint="eastAsia" w:hAnsi="宋体" w:cs="宋体"/>
          <w:sz w:val="24"/>
          <w:u w:val="single"/>
        </w:rPr>
        <w:t>2019-044S</w:t>
      </w:r>
    </w:p>
    <w:p>
      <w:pPr>
        <w:pStyle w:val="22"/>
        <w:snapToGrid w:val="0"/>
        <w:spacing w:line="44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440" w:lineRule="exact"/>
        <w:ind w:firstLine="480" w:firstLineChars="200"/>
        <w:rPr>
          <w:rFonts w:hAnsi="宋体" w:cs="宋体"/>
          <w:sz w:val="24"/>
          <w:szCs w:val="24"/>
          <w:u w:val="single"/>
        </w:rPr>
      </w:pPr>
      <w:r>
        <w:rPr>
          <w:rFonts w:hint="eastAsia" w:hAnsi="宋体" w:cs="宋体"/>
          <w:sz w:val="24"/>
          <w:szCs w:val="24"/>
        </w:rPr>
        <w:t>乙方：（卖方）</w:t>
      </w:r>
    </w:p>
    <w:p>
      <w:pPr>
        <w:pStyle w:val="22"/>
        <w:snapToGrid w:val="0"/>
        <w:spacing w:line="440" w:lineRule="exact"/>
        <w:ind w:firstLine="480" w:firstLineChars="200"/>
        <w:jc w:val="left"/>
        <w:rPr>
          <w:rFonts w:hAnsi="宋体" w:cs="宋体"/>
          <w:b/>
          <w:sz w:val="24"/>
          <w:szCs w:val="24"/>
        </w:rPr>
      </w:pPr>
      <w:r>
        <w:rPr>
          <w:rFonts w:hint="eastAsia" w:hAnsi="宋体" w:cs="宋体"/>
          <w:sz w:val="24"/>
          <w:szCs w:val="24"/>
        </w:rPr>
        <w:t>甲、乙双方根据</w:t>
      </w:r>
      <w:r>
        <w:rPr>
          <w:rFonts w:hint="eastAsia" w:hAnsi="宋体" w:cs="宋体"/>
          <w:sz w:val="24"/>
          <w:u w:val="single"/>
        </w:rPr>
        <w:t>盐城工业职业技术学院药学院-药品生产技术专业群药品生产GMP虚拟实训仿真平台项目</w:t>
      </w:r>
      <w:r>
        <w:rPr>
          <w:rFonts w:hint="eastAsia" w:hAnsi="宋体" w:cs="宋体"/>
          <w:sz w:val="24"/>
          <w:szCs w:val="24"/>
        </w:rPr>
        <w:t>公开招标的结果，签署本合同。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一、项目内容</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1.1 项目名称：</w:t>
      </w:r>
      <w:r>
        <w:rPr>
          <w:rFonts w:hint="eastAsia" w:hAnsi="宋体" w:cs="宋体"/>
          <w:sz w:val="24"/>
          <w:u w:val="single"/>
        </w:rPr>
        <w:t>盐城工业职业技术学院药学院-药品生产技术专业群药品生产GMP虚拟实训仿真平台项目</w:t>
      </w:r>
      <w:r>
        <w:rPr>
          <w:rFonts w:hint="eastAsia" w:hAnsi="宋体" w:cs="宋体"/>
          <w:sz w:val="24"/>
          <w:szCs w:val="24"/>
        </w:rPr>
        <w:t>。</w:t>
      </w:r>
    </w:p>
    <w:p>
      <w:pPr>
        <w:pStyle w:val="22"/>
        <w:snapToGrid w:val="0"/>
        <w:spacing w:line="440" w:lineRule="exact"/>
        <w:ind w:firstLine="480" w:firstLineChars="200"/>
        <w:rPr>
          <w:rFonts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22"/>
        <w:snapToGrid w:val="0"/>
        <w:spacing w:line="440" w:lineRule="exact"/>
        <w:ind w:firstLine="480" w:firstLineChars="200"/>
        <w:rPr>
          <w:rFonts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二、合同金额</w:t>
      </w:r>
    </w:p>
    <w:p>
      <w:pPr>
        <w:pStyle w:val="22"/>
        <w:snapToGrid w:val="0"/>
        <w:spacing w:line="440" w:lineRule="exact"/>
        <w:ind w:firstLine="480" w:firstLineChars="200"/>
        <w:rPr>
          <w:rFonts w:hAnsi="宋体" w:cs="宋体"/>
          <w:sz w:val="24"/>
          <w:szCs w:val="24"/>
        </w:rPr>
      </w:pPr>
      <w:r>
        <w:rPr>
          <w:rFonts w:hint="eastAsia" w:hAnsi="宋体" w:cs="宋体"/>
          <w:sz w:val="24"/>
          <w:szCs w:val="24"/>
        </w:rPr>
        <w:t>2.1 本合同金额为（大写）：________元（_________元）人民币或其他币种。</w:t>
      </w:r>
    </w:p>
    <w:p>
      <w:pPr>
        <w:spacing w:line="440" w:lineRule="exact"/>
        <w:ind w:firstLine="480" w:firstLineChars="200"/>
        <w:rPr>
          <w:rFonts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三、技术资料</w:t>
      </w:r>
    </w:p>
    <w:p>
      <w:pPr>
        <w:spacing w:line="44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4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四、知识产权</w:t>
      </w:r>
    </w:p>
    <w:p>
      <w:pPr>
        <w:spacing w:line="44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2" w:firstLineChars="200"/>
        <w:rPr>
          <w:rFonts w:hAnsi="宋体" w:cs="宋体"/>
          <w:sz w:val="24"/>
          <w:szCs w:val="24"/>
          <w:u w:val="single"/>
        </w:rPr>
      </w:pPr>
      <w:r>
        <w:rPr>
          <w:rFonts w:hint="eastAsia" w:hAnsi="宋体" w:cs="宋体"/>
          <w:b/>
          <w:sz w:val="24"/>
          <w:szCs w:val="24"/>
        </w:rPr>
        <w:t>五、产权担保</w:t>
      </w:r>
    </w:p>
    <w:p>
      <w:pPr>
        <w:pStyle w:val="22"/>
        <w:snapToGrid w:val="0"/>
        <w:spacing w:line="440" w:lineRule="exact"/>
        <w:ind w:firstLine="480" w:firstLineChars="200"/>
        <w:rPr>
          <w:rFonts w:hAnsi="宋体" w:cs="宋体"/>
          <w:sz w:val="24"/>
          <w:szCs w:val="24"/>
          <w:u w:val="single"/>
        </w:rPr>
      </w:pPr>
      <w:r>
        <w:rPr>
          <w:rFonts w:hint="eastAsia" w:hAnsi="宋体" w:cs="宋体"/>
          <w:sz w:val="24"/>
          <w:szCs w:val="24"/>
        </w:rPr>
        <w:t>5.1 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六、履约保证金</w:t>
      </w:r>
    </w:p>
    <w:p>
      <w:pPr>
        <w:pStyle w:val="22"/>
        <w:snapToGrid w:val="0"/>
        <w:spacing w:line="440" w:lineRule="exact"/>
        <w:ind w:firstLine="480" w:firstLineChars="200"/>
        <w:rPr>
          <w:rFonts w:hAnsi="宋体" w:cs="宋体"/>
          <w:sz w:val="24"/>
          <w:szCs w:val="24"/>
        </w:rPr>
      </w:pPr>
      <w:r>
        <w:rPr>
          <w:rFonts w:hint="eastAsia" w:hAnsi="宋体" w:cs="宋体"/>
          <w:sz w:val="24"/>
          <w:szCs w:val="24"/>
        </w:rPr>
        <w:t>6.1乙方交纳人民币_________元作为本合同的履约保证金（合同金额的5%）。</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2"/>
        <w:snapToGrid w:val="0"/>
        <w:spacing w:line="440" w:lineRule="exact"/>
        <w:ind w:firstLine="482" w:firstLineChars="200"/>
        <w:rPr>
          <w:rFonts w:hAnsi="宋体" w:cs="宋体"/>
          <w:sz w:val="24"/>
          <w:szCs w:val="24"/>
        </w:rPr>
      </w:pPr>
      <w:r>
        <w:rPr>
          <w:rFonts w:hint="eastAsia" w:hAnsi="宋体" w:cs="宋体"/>
          <w:b/>
          <w:sz w:val="24"/>
          <w:szCs w:val="24"/>
        </w:rPr>
        <w:t>八、质保期</w:t>
      </w:r>
    </w:p>
    <w:p>
      <w:pPr>
        <w:pStyle w:val="22"/>
        <w:snapToGrid w:val="0"/>
        <w:spacing w:line="440" w:lineRule="exact"/>
        <w:ind w:firstLine="480" w:firstLineChars="200"/>
        <w:rPr>
          <w:rFonts w:hAnsi="宋体" w:cs="宋体"/>
          <w:color w:val="000000"/>
          <w:sz w:val="24"/>
          <w:szCs w:val="24"/>
        </w:rPr>
      </w:pPr>
      <w:r>
        <w:rPr>
          <w:rFonts w:hint="eastAsia" w:hAnsi="宋体" w:cs="宋体"/>
          <w:color w:val="000000"/>
          <w:sz w:val="24"/>
          <w:szCs w:val="24"/>
        </w:rPr>
        <w:t xml:space="preserve">8.1 </w:t>
      </w:r>
      <w:r>
        <w:rPr>
          <w:rFonts w:hint="eastAsia" w:hAnsi="宋体" w:cs="宋体"/>
          <w:color w:val="0000FF"/>
          <w:sz w:val="24"/>
          <w:szCs w:val="24"/>
          <w:u w:val="single"/>
        </w:rPr>
        <w:t>免费服务期限不少于3年</w:t>
      </w:r>
      <w:r>
        <w:rPr>
          <w:rFonts w:hint="eastAsia" w:hAnsi="宋体" w:cs="宋体"/>
          <w:color w:val="000000"/>
          <w:sz w:val="24"/>
          <w:szCs w:val="24"/>
        </w:rPr>
        <w:t>。</w:t>
      </w:r>
    </w:p>
    <w:p>
      <w:pPr>
        <w:pStyle w:val="22"/>
        <w:snapToGrid w:val="0"/>
        <w:spacing w:line="440" w:lineRule="exact"/>
        <w:ind w:firstLine="482" w:firstLineChars="200"/>
        <w:rPr>
          <w:rFonts w:hAnsi="宋体" w:cs="宋体"/>
          <w:b/>
          <w:color w:val="000000"/>
          <w:sz w:val="24"/>
          <w:szCs w:val="24"/>
        </w:rPr>
      </w:pPr>
      <w:r>
        <w:rPr>
          <w:rFonts w:hint="eastAsia" w:hAnsi="宋体" w:cs="宋体"/>
          <w:b/>
          <w:color w:val="000000"/>
          <w:sz w:val="24"/>
          <w:szCs w:val="24"/>
        </w:rPr>
        <w:t>九、交货期、交货方式及交货地点</w:t>
      </w:r>
    </w:p>
    <w:p>
      <w:pPr>
        <w:pStyle w:val="22"/>
        <w:snapToGrid w:val="0"/>
        <w:spacing w:line="440" w:lineRule="exact"/>
        <w:ind w:firstLine="480" w:firstLineChars="200"/>
        <w:rPr>
          <w:rFonts w:hAnsi="宋体" w:cs="宋体"/>
          <w:bCs/>
          <w:color w:val="000000"/>
          <w:sz w:val="24"/>
          <w:szCs w:val="24"/>
        </w:rPr>
      </w:pPr>
      <w:r>
        <w:rPr>
          <w:rFonts w:hint="eastAsia" w:hAnsi="宋体" w:cs="宋体"/>
          <w:bCs/>
          <w:color w:val="000000"/>
          <w:sz w:val="24"/>
          <w:szCs w:val="24"/>
        </w:rPr>
        <w:t>9.1 交货期：</w:t>
      </w:r>
      <w:r>
        <w:rPr>
          <w:rFonts w:hint="eastAsia" w:hAnsi="宋体" w:cs="宋体"/>
          <w:color w:val="0000FF"/>
          <w:sz w:val="24"/>
          <w:szCs w:val="24"/>
          <w:u w:val="single"/>
        </w:rPr>
        <w:t>合同签定后15日历天内完成安装调试，培训</w:t>
      </w:r>
      <w:r>
        <w:rPr>
          <w:rFonts w:hint="eastAsia" w:hAnsi="宋体" w:cs="宋体"/>
          <w:color w:val="0000FF"/>
          <w:sz w:val="24"/>
          <w:szCs w:val="24"/>
        </w:rPr>
        <w:t>。</w:t>
      </w:r>
    </w:p>
    <w:p>
      <w:pPr>
        <w:pStyle w:val="22"/>
        <w:snapToGrid w:val="0"/>
        <w:spacing w:line="440" w:lineRule="exact"/>
        <w:ind w:firstLine="480" w:firstLineChars="200"/>
        <w:rPr>
          <w:rFonts w:hAnsi="宋体" w:cs="宋体"/>
          <w:bCs/>
          <w:color w:val="000000"/>
          <w:sz w:val="24"/>
          <w:szCs w:val="24"/>
        </w:rPr>
      </w:pPr>
      <w:r>
        <w:rPr>
          <w:rFonts w:hint="eastAsia" w:hAnsi="宋体" w:cs="宋体"/>
          <w:bCs/>
          <w:color w:val="000000"/>
          <w:sz w:val="24"/>
          <w:szCs w:val="24"/>
        </w:rPr>
        <w:t>9.2 交货方式：</w:t>
      </w:r>
      <w:r>
        <w:rPr>
          <w:rFonts w:hint="eastAsia" w:hAnsi="宋体" w:cs="宋体"/>
          <w:color w:val="0000FF"/>
          <w:sz w:val="24"/>
          <w:szCs w:val="24"/>
          <w:u w:val="single"/>
        </w:rPr>
        <w:t>免费送货、免费安装、免费调试。按照合同指定交货地点，签收收货单</w:t>
      </w:r>
      <w:r>
        <w:rPr>
          <w:rFonts w:hint="eastAsia" w:ascii="仿宋" w:hAnsi="仿宋" w:eastAsia="仿宋" w:cs="宋体"/>
          <w:lang w:eastAsia="zh-TW"/>
        </w:rPr>
        <w:t>。</w:t>
      </w:r>
    </w:p>
    <w:p>
      <w:pPr>
        <w:pStyle w:val="22"/>
        <w:snapToGrid w:val="0"/>
        <w:spacing w:line="440" w:lineRule="exact"/>
        <w:ind w:firstLine="480" w:firstLineChars="200"/>
        <w:rPr>
          <w:rFonts w:hAnsi="宋体" w:cs="宋体"/>
          <w:color w:val="000000"/>
          <w:sz w:val="24"/>
          <w:szCs w:val="24"/>
          <w:u w:val="single"/>
        </w:rPr>
      </w:pPr>
      <w:r>
        <w:rPr>
          <w:rFonts w:hint="eastAsia" w:hAnsi="宋体" w:cs="宋体"/>
          <w:bCs/>
          <w:color w:val="000000"/>
          <w:sz w:val="24"/>
          <w:szCs w:val="24"/>
        </w:rPr>
        <w:t>9.3 交货地点：</w:t>
      </w:r>
      <w:r>
        <w:rPr>
          <w:rFonts w:hint="eastAsia" w:hAnsi="宋体" w:cs="宋体"/>
          <w:color w:val="000000"/>
          <w:sz w:val="24"/>
          <w:szCs w:val="24"/>
          <w:u w:val="single"/>
        </w:rPr>
        <w:t>盐城工业职业技术学院校内甲方指定地点</w:t>
      </w:r>
    </w:p>
    <w:p>
      <w:pPr>
        <w:pStyle w:val="22"/>
        <w:snapToGrid w:val="0"/>
        <w:spacing w:line="440" w:lineRule="exact"/>
        <w:ind w:firstLine="482" w:firstLineChars="200"/>
        <w:rPr>
          <w:rFonts w:hAnsi="宋体" w:cs="宋体"/>
          <w:b/>
          <w:color w:val="000000"/>
          <w:sz w:val="24"/>
          <w:szCs w:val="24"/>
        </w:rPr>
      </w:pPr>
      <w:r>
        <w:rPr>
          <w:rFonts w:hint="eastAsia" w:hAnsi="宋体" w:cs="宋体"/>
          <w:b/>
          <w:color w:val="000000"/>
          <w:sz w:val="24"/>
          <w:szCs w:val="24"/>
        </w:rPr>
        <w:t>十、货款支付</w:t>
      </w:r>
    </w:p>
    <w:p>
      <w:pPr>
        <w:snapToGrid w:val="0"/>
        <w:spacing w:line="440" w:lineRule="exact"/>
        <w:ind w:firstLine="480" w:firstLineChars="200"/>
        <w:rPr>
          <w:rFonts w:ascii="宋体" w:hAnsi="宋体" w:cs="宋体"/>
          <w:color w:val="0000FF"/>
          <w:sz w:val="24"/>
          <w:szCs w:val="24"/>
          <w:u w:val="single"/>
        </w:rPr>
      </w:pPr>
      <w:r>
        <w:rPr>
          <w:rFonts w:hint="eastAsia" w:ascii="宋体" w:hAnsi="宋体" w:cs="宋体"/>
          <w:sz w:val="24"/>
          <w:szCs w:val="24"/>
        </w:rPr>
        <w:t>10.1 付款方式：</w:t>
      </w:r>
      <w:r>
        <w:rPr>
          <w:rFonts w:hint="eastAsia" w:ascii="宋体" w:hAnsi="宋体" w:cs="宋体"/>
          <w:color w:val="0000FF"/>
          <w:sz w:val="24"/>
          <w:szCs w:val="24"/>
          <w:u w:val="single"/>
        </w:rPr>
        <w:t>项目整体安装调试、培训结束，经验收合格后凭合同、发票等凭证付总价的90%；余款一年后根据售后服务情况付总价的5%；质保期满后根据售后服务情况付总价的5%</w:t>
      </w:r>
      <w:r>
        <w:rPr>
          <w:rFonts w:hint="eastAsia" w:ascii="宋体" w:hAnsi="宋体" w:cs="宋体"/>
          <w:color w:val="0000FF"/>
          <w:sz w:val="24"/>
          <w:szCs w:val="24"/>
        </w:rPr>
        <w:t>。</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2"/>
        <w:snapToGrid w:val="0"/>
        <w:spacing w:line="440" w:lineRule="exact"/>
        <w:ind w:firstLine="482" w:firstLineChars="200"/>
        <w:rPr>
          <w:rFonts w:hAnsi="宋体" w:cs="宋体"/>
          <w:sz w:val="24"/>
          <w:szCs w:val="24"/>
        </w:rPr>
      </w:pPr>
      <w:r>
        <w:rPr>
          <w:rFonts w:hint="eastAsia" w:hAnsi="宋体" w:cs="宋体"/>
          <w:b/>
          <w:sz w:val="24"/>
          <w:szCs w:val="24"/>
        </w:rPr>
        <w:t>十二、质量保证及售后服务</w:t>
      </w:r>
    </w:p>
    <w:p>
      <w:pPr>
        <w:spacing w:line="440" w:lineRule="exact"/>
        <w:ind w:firstLine="480" w:firstLineChars="200"/>
        <w:rPr>
          <w:rFonts w:ascii="宋体" w:hAnsi="宋体" w:cs="宋体"/>
          <w:sz w:val="24"/>
          <w:szCs w:val="24"/>
        </w:rPr>
      </w:pPr>
      <w:r>
        <w:rPr>
          <w:rFonts w:hint="eastAsia" w:ascii="宋体" w:hAnsi="宋体" w:cs="宋体"/>
          <w:sz w:val="24"/>
          <w:szCs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sz w:val="24"/>
          <w:szCs w:val="24"/>
        </w:rPr>
        <w:t>12.2 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440" w:lineRule="exact"/>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spacing w:line="440" w:lineRule="exact"/>
        <w:ind w:firstLine="480" w:firstLineChars="200"/>
        <w:rPr>
          <w:rFonts w:ascii="宋体" w:hAnsi="宋体" w:cs="宋体"/>
          <w:sz w:val="24"/>
          <w:szCs w:val="24"/>
        </w:rPr>
      </w:pPr>
      <w:r>
        <w:rPr>
          <w:rFonts w:hint="eastAsia" w:ascii="宋体" w:hAnsi="宋体" w:cs="宋体"/>
          <w:sz w:val="24"/>
          <w:szCs w:val="24"/>
        </w:rPr>
        <w:t>⑵贬值处理：由甲乙双方合议定价。</w:t>
      </w:r>
    </w:p>
    <w:p>
      <w:pPr>
        <w:spacing w:line="440" w:lineRule="exact"/>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440" w:lineRule="exact"/>
        <w:ind w:firstLine="480" w:firstLineChars="200"/>
        <w:rPr>
          <w:rFonts w:ascii="宋体" w:hAnsi="宋体" w:cs="宋体"/>
          <w:sz w:val="24"/>
          <w:szCs w:val="24"/>
        </w:rPr>
      </w:pPr>
      <w:r>
        <w:rPr>
          <w:rFonts w:hint="eastAsia" w:ascii="宋体" w:hAnsi="宋体" w:cs="宋体"/>
          <w:sz w:val="24"/>
          <w:szCs w:val="24"/>
        </w:rPr>
        <w:t>12.3在质保期内，乙方应对货物</w:t>
      </w:r>
      <w:r>
        <w:rPr>
          <w:rFonts w:hint="eastAsia" w:ascii="宋体" w:hAnsi="宋体" w:cs="宋体"/>
          <w:bCs/>
          <w:sz w:val="24"/>
        </w:rPr>
        <w:t>和服务</w:t>
      </w:r>
      <w:r>
        <w:rPr>
          <w:rFonts w:hint="eastAsia" w:ascii="宋体" w:hAnsi="宋体" w:cs="宋体"/>
          <w:sz w:val="24"/>
          <w:szCs w:val="24"/>
        </w:rPr>
        <w:t>出现的质量及安全问题负责处理解决并承担一切费用。</w:t>
      </w:r>
    </w:p>
    <w:p>
      <w:pPr>
        <w:spacing w:line="440" w:lineRule="exact"/>
        <w:ind w:firstLine="480" w:firstLineChars="200"/>
        <w:rPr>
          <w:rFonts w:ascii="宋体" w:hAnsi="宋体" w:cs="宋体"/>
          <w:sz w:val="24"/>
          <w:szCs w:val="24"/>
        </w:rPr>
      </w:pPr>
      <w:r>
        <w:rPr>
          <w:rFonts w:hint="eastAsia" w:ascii="宋体" w:hAnsi="宋体" w:cs="宋体"/>
          <w:sz w:val="24"/>
          <w:szCs w:val="24"/>
        </w:rPr>
        <w:t>12.4乙方须向甲方免费提供培训服务，确保使用者完全会使用及操作为止。</w:t>
      </w:r>
    </w:p>
    <w:p>
      <w:pPr>
        <w:spacing w:line="440" w:lineRule="exact"/>
        <w:ind w:firstLine="480" w:firstLineChars="200"/>
        <w:rPr>
          <w:rFonts w:ascii="宋体" w:hAnsi="宋体" w:cs="宋体"/>
          <w:color w:val="0000FF"/>
          <w:sz w:val="24"/>
          <w:szCs w:val="24"/>
        </w:rPr>
      </w:pPr>
      <w:r>
        <w:rPr>
          <w:rFonts w:hint="eastAsia" w:ascii="宋体" w:hAnsi="宋体" w:cs="宋体"/>
          <w:color w:val="0000FF"/>
          <w:sz w:val="24"/>
          <w:szCs w:val="24"/>
        </w:rPr>
        <w:t>12.5乙方对根据合同提供的货物和服务实行免费安装、调试、维护，并负责终身维护维修。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p>
    <w:p>
      <w:pPr>
        <w:spacing w:line="440" w:lineRule="exact"/>
        <w:ind w:firstLine="480" w:firstLineChars="200"/>
        <w:rPr>
          <w:rFonts w:ascii="宋体" w:hAnsi="宋体" w:cs="宋体"/>
          <w:sz w:val="24"/>
          <w:szCs w:val="24"/>
        </w:rPr>
      </w:pPr>
      <w:r>
        <w:rPr>
          <w:rFonts w:hint="eastAsia" w:ascii="宋体" w:hAnsi="宋体" w:cs="宋体"/>
          <w:color w:val="0000FF"/>
          <w:sz w:val="24"/>
          <w:szCs w:val="24"/>
        </w:rPr>
        <w:t>12.6在服务期（或免费维护期）内，乙方在接到用户单位电话通知后，应在24小时之内响应。72小时内到达现场提供相应的服务。</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十三、调试和验收</w:t>
      </w:r>
    </w:p>
    <w:p>
      <w:pPr>
        <w:spacing w:line="440" w:lineRule="exact"/>
        <w:ind w:firstLine="480" w:firstLineChars="200"/>
        <w:rPr>
          <w:rFonts w:ascii="宋体" w:hAnsi="宋体" w:cs="宋体"/>
          <w:sz w:val="24"/>
          <w:szCs w:val="24"/>
        </w:rPr>
      </w:pPr>
      <w:r>
        <w:rPr>
          <w:rFonts w:hint="eastAsia" w:ascii="宋体" w:hAnsi="宋体" w:cs="宋体"/>
          <w:sz w:val="24"/>
          <w:szCs w:val="24"/>
        </w:rPr>
        <w:t>13.1 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宋体" w:hAnsi="宋体" w:cs="宋体"/>
          <w:sz w:val="24"/>
          <w:szCs w:val="24"/>
        </w:rPr>
      </w:pPr>
      <w:r>
        <w:rPr>
          <w:rFonts w:hint="eastAsia" w:ascii="宋体" w:hAnsi="宋体" w:cs="宋体"/>
          <w:sz w:val="24"/>
          <w:szCs w:val="24"/>
        </w:rPr>
        <w:t>13.2 乙方交付前应对产品作出全面检查和对验收文件进行整理，并列出清单，作为甲方验收和使用的技术条件依据，检验的结果应一并交甲方。</w:t>
      </w:r>
    </w:p>
    <w:p>
      <w:pPr>
        <w:spacing w:line="440" w:lineRule="exact"/>
        <w:ind w:firstLine="480" w:firstLineChars="200"/>
        <w:rPr>
          <w:rFonts w:ascii="宋体" w:hAnsi="宋体" w:cs="宋体"/>
          <w:sz w:val="24"/>
          <w:szCs w:val="24"/>
        </w:rPr>
      </w:pPr>
      <w:r>
        <w:rPr>
          <w:rFonts w:hint="eastAsia" w:ascii="宋体" w:hAnsi="宋体" w:cs="宋体"/>
          <w:sz w:val="24"/>
          <w:szCs w:val="24"/>
        </w:rPr>
        <w:t>13.3 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440" w:lineRule="exact"/>
        <w:ind w:firstLine="480" w:firstLineChars="200"/>
        <w:rPr>
          <w:rFonts w:ascii="宋体" w:hAnsi="宋体" w:cs="宋体"/>
          <w:sz w:val="24"/>
          <w:szCs w:val="24"/>
        </w:rPr>
      </w:pPr>
      <w:r>
        <w:rPr>
          <w:rFonts w:hint="eastAsia" w:ascii="宋体" w:hAnsi="宋体" w:cs="宋体"/>
          <w:sz w:val="24"/>
          <w:szCs w:val="24"/>
        </w:rPr>
        <w:t>13.4 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440" w:lineRule="exact"/>
        <w:ind w:firstLine="480" w:firstLineChars="200"/>
        <w:rPr>
          <w:rFonts w:ascii="宋体" w:hAnsi="宋体" w:cs="宋体"/>
          <w:sz w:val="24"/>
          <w:szCs w:val="24"/>
        </w:rPr>
      </w:pPr>
      <w:r>
        <w:rPr>
          <w:rFonts w:hint="eastAsia" w:ascii="宋体" w:hAnsi="宋体" w:cs="宋体"/>
          <w:sz w:val="24"/>
          <w:szCs w:val="24"/>
        </w:rPr>
        <w:t>13.5 验收时乙方必须在现场，验收完毕后作出验收结果报告；验收费用由甲乙双方协商解决。</w:t>
      </w:r>
    </w:p>
    <w:p>
      <w:pPr>
        <w:spacing w:line="440" w:lineRule="exact"/>
        <w:ind w:firstLine="480" w:firstLineChars="200"/>
        <w:rPr>
          <w:rFonts w:ascii="宋体" w:hAnsi="宋体" w:cs="宋体"/>
          <w:color w:val="0000FF"/>
          <w:sz w:val="24"/>
          <w:szCs w:val="24"/>
        </w:rPr>
      </w:pPr>
      <w:r>
        <w:rPr>
          <w:rFonts w:hint="eastAsia" w:ascii="宋体" w:hAnsi="宋体" w:cs="宋体"/>
          <w:color w:val="0000FF"/>
          <w:sz w:val="24"/>
          <w:szCs w:val="24"/>
        </w:rPr>
        <w:t>13.6技术人员现场安装调试，保证能满足技术要求，使用单位人员培训结束后预验收；试运行2周后正式验收。验收时中标方必须提供送货单、设备所附带的产品合格证、说明书、产品保修单等其它相关资料，交于使用方验收人员查验。若中标方不能提供相关材料，使用方有权拒绝验收及支付货款。若验收不合格由中标方重新换货安装，并承担因重新安装换货而支付的费用。免费换货期为安装验收完成后15个工作日。</w:t>
      </w:r>
    </w:p>
    <w:p>
      <w:pPr>
        <w:spacing w:line="440" w:lineRule="exact"/>
        <w:ind w:firstLine="482" w:firstLineChars="200"/>
        <w:rPr>
          <w:rFonts w:hAnsi="宋体" w:cs="宋体"/>
          <w:b/>
          <w:sz w:val="24"/>
          <w:szCs w:val="24"/>
        </w:rPr>
      </w:pPr>
      <w:r>
        <w:rPr>
          <w:rFonts w:hint="eastAsia" w:hAnsi="宋体" w:cs="宋体"/>
          <w:b/>
          <w:sz w:val="24"/>
          <w:szCs w:val="24"/>
        </w:rPr>
        <w:t>十四、货物包装、发运及运输</w:t>
      </w:r>
    </w:p>
    <w:p>
      <w:pPr>
        <w:spacing w:line="440" w:lineRule="exact"/>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spacing w:line="440" w:lineRule="exact"/>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spacing w:line="440" w:lineRule="exact"/>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spacing w:line="440" w:lineRule="exact"/>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440" w:lineRule="exact"/>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十五、违约责任</w:t>
      </w:r>
    </w:p>
    <w:p>
      <w:pPr>
        <w:spacing w:line="440" w:lineRule="exact"/>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440" w:lineRule="exact"/>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spacing w:line="440" w:lineRule="exact"/>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十六、不可抗力事件处理</w:t>
      </w:r>
    </w:p>
    <w:p>
      <w:pPr>
        <w:spacing w:line="440" w:lineRule="exact"/>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spacing w:line="440" w:lineRule="exact"/>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spacing w:line="440" w:lineRule="exact"/>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十七、诉讼</w:t>
      </w:r>
    </w:p>
    <w:p>
      <w:pPr>
        <w:spacing w:line="440" w:lineRule="exact"/>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十八、合同生效及其它</w:t>
      </w:r>
    </w:p>
    <w:p>
      <w:pPr>
        <w:spacing w:line="440" w:lineRule="exact"/>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spacing w:line="440" w:lineRule="exact"/>
        <w:ind w:firstLine="480" w:firstLineChars="200"/>
        <w:rPr>
          <w:rFonts w:ascii="宋体" w:hAnsi="宋体" w:cs="宋体"/>
          <w:sz w:val="24"/>
          <w:szCs w:val="24"/>
        </w:rPr>
      </w:pPr>
      <w:r>
        <w:rPr>
          <w:rFonts w:hint="eastAsia" w:ascii="宋体" w:hAnsi="宋体" w:cs="宋体"/>
          <w:sz w:val="24"/>
          <w:szCs w:val="24"/>
        </w:rPr>
        <w:t>18.2本合同未尽事宜，遵照《合同法》有关条文执行。</w:t>
      </w:r>
    </w:p>
    <w:p>
      <w:pPr>
        <w:spacing w:line="440" w:lineRule="exact"/>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22"/>
        <w:snapToGrid w:val="0"/>
        <w:spacing w:line="440" w:lineRule="exact"/>
        <w:ind w:firstLine="480" w:firstLineChars="200"/>
        <w:rPr>
          <w:rFonts w:hAnsi="宋体" w:cs="宋体"/>
          <w:sz w:val="24"/>
          <w:szCs w:val="24"/>
        </w:rPr>
      </w:pPr>
    </w:p>
    <w:p>
      <w:pPr>
        <w:pStyle w:val="22"/>
        <w:snapToGrid w:val="0"/>
        <w:spacing w:line="440" w:lineRule="exact"/>
        <w:ind w:firstLine="720" w:firstLineChars="300"/>
        <w:rPr>
          <w:rFonts w:hAnsi="宋体" w:cs="宋体"/>
          <w:sz w:val="24"/>
          <w:szCs w:val="24"/>
        </w:rPr>
      </w:pPr>
      <w:r>
        <w:rPr>
          <w:rFonts w:hint="eastAsia" w:hAnsi="宋体" w:cs="宋体"/>
          <w:sz w:val="24"/>
          <w:szCs w:val="24"/>
        </w:rPr>
        <w:t xml:space="preserve">甲方：                                   乙方： </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地址：                                   地址： </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采购单位负责人：</w:t>
      </w:r>
    </w:p>
    <w:p>
      <w:pPr>
        <w:pStyle w:val="22"/>
        <w:snapToGrid w:val="0"/>
        <w:spacing w:before="120" w:after="120" w:line="440" w:lineRule="exact"/>
        <w:rPr>
          <w:rFonts w:hAnsi="宋体" w:cs="宋体"/>
          <w:sz w:val="24"/>
          <w:szCs w:val="24"/>
        </w:rPr>
      </w:pPr>
    </w:p>
    <w:p>
      <w:pPr>
        <w:pStyle w:val="22"/>
        <w:snapToGrid w:val="0"/>
        <w:spacing w:before="120" w:after="120" w:line="440" w:lineRule="exact"/>
        <w:ind w:firstLine="600" w:firstLineChars="250"/>
        <w:rPr>
          <w:rFonts w:hAnsi="宋体" w:cs="宋体"/>
          <w:sz w:val="24"/>
          <w:szCs w:val="24"/>
        </w:rPr>
      </w:pPr>
      <w:r>
        <w:rPr>
          <w:rFonts w:hint="eastAsia" w:hAnsi="宋体" w:cs="宋体"/>
          <w:sz w:val="24"/>
          <w:szCs w:val="24"/>
        </w:rPr>
        <w:t xml:space="preserve"> 签订日期：      年  月  日</w:t>
      </w:r>
    </w:p>
    <w:p>
      <w:pPr>
        <w:pStyle w:val="2"/>
        <w:rPr>
          <w:rFonts w:ascii="宋体" w:hAnsi="宋体" w:eastAsia="宋体" w:cs="宋体"/>
          <w:b/>
          <w:sz w:val="44"/>
        </w:rPr>
      </w:pPr>
    </w:p>
    <w:p>
      <w:pPr>
        <w:pStyle w:val="2"/>
        <w:rPr>
          <w:rFonts w:ascii="宋体" w:hAnsi="宋体" w:eastAsia="宋体" w:cs="宋体"/>
          <w:bCs/>
          <w:sz w:val="44"/>
        </w:rPr>
      </w:pPr>
      <w:r>
        <w:rPr>
          <w:rFonts w:hint="eastAsia" w:ascii="宋体" w:hAnsi="宋体" w:eastAsia="宋体" w:cs="宋体"/>
          <w:b/>
          <w:sz w:val="30"/>
        </w:rPr>
        <w:br w:type="page"/>
      </w:r>
      <w:r>
        <w:rPr>
          <w:rFonts w:hint="eastAsia" w:ascii="宋体" w:hAnsi="宋体" w:eastAsia="宋体" w:cs="宋体"/>
          <w:b/>
          <w:sz w:val="44"/>
        </w:rPr>
        <w:t>第</w:t>
      </w:r>
      <w:bookmarkEnd w:id="153"/>
      <w:r>
        <w:rPr>
          <w:rFonts w:hint="eastAsia" w:ascii="宋体" w:hAnsi="宋体" w:eastAsia="宋体" w:cs="宋体"/>
          <w:b/>
          <w:sz w:val="44"/>
        </w:rPr>
        <w:t>四章 项目需求</w:t>
      </w:r>
      <w:bookmarkEnd w:id="154"/>
      <w:bookmarkEnd w:id="155"/>
      <w:bookmarkEnd w:id="156"/>
    </w:p>
    <w:p>
      <w:pPr>
        <w:pStyle w:val="39"/>
        <w:spacing w:before="0" w:beforeAutospacing="0" w:after="0" w:afterAutospacing="0" w:line="400" w:lineRule="exact"/>
        <w:ind w:firstLine="482" w:firstLineChars="200"/>
        <w:jc w:val="both"/>
        <w:rPr>
          <w:rFonts w:asciiTheme="majorEastAsia" w:hAnsiTheme="majorEastAsia" w:eastAsiaTheme="majorEastAsia"/>
          <w:bCs/>
          <w:color w:val="FF0000"/>
        </w:rPr>
      </w:pPr>
      <w:bookmarkStart w:id="159" w:name="_Toc120614281"/>
      <w:bookmarkStart w:id="160" w:name="_Toc26554093"/>
      <w:bookmarkStart w:id="161" w:name="_Toc49090575"/>
      <w:r>
        <w:rPr>
          <w:rFonts w:hint="eastAsia" w:asciiTheme="majorEastAsia" w:hAnsiTheme="majorEastAsia" w:eastAsiaTheme="majorEastAsia"/>
          <w:b/>
          <w:bCs/>
          <w:color w:val="FF0000"/>
        </w:rPr>
        <w:t>一、</w:t>
      </w:r>
      <w:r>
        <w:rPr>
          <w:rFonts w:hint="eastAsia" w:asciiTheme="majorEastAsia" w:hAnsiTheme="majorEastAsia" w:eastAsiaTheme="majorEastAsia"/>
          <w:bCs/>
          <w:color w:val="FF0000"/>
        </w:rPr>
        <w:t>★供货商投标前需根据项目实际需求做实地现场勘查，投标时需在投标文件中提供由招标人出具的现场勘查确认函原件，否则不作为中标候选人推荐。</w:t>
      </w:r>
    </w:p>
    <w:p>
      <w:pPr>
        <w:tabs>
          <w:tab w:val="left" w:pos="900"/>
        </w:tabs>
        <w:spacing w:line="500" w:lineRule="exact"/>
        <w:ind w:firstLine="480" w:firstLineChars="200"/>
        <w:rPr>
          <w:rFonts w:ascii="宋体" w:hAnsi="宋体" w:cs="宋体"/>
          <w:color w:val="FF0000"/>
          <w:sz w:val="24"/>
        </w:rPr>
      </w:pPr>
      <w:r>
        <w:rPr>
          <w:rFonts w:hint="eastAsia" w:ascii="宋体" w:hAnsi="宋体" w:cs="宋体"/>
          <w:color w:val="FF0000"/>
          <w:sz w:val="24"/>
        </w:rPr>
        <w:t>招标人项目联系人：申老师，联系电话：13770072136；</w:t>
      </w:r>
    </w:p>
    <w:p>
      <w:pPr>
        <w:pStyle w:val="39"/>
        <w:spacing w:before="0" w:beforeAutospacing="0" w:after="0" w:afterAutospacing="0" w:line="400" w:lineRule="exact"/>
        <w:ind w:firstLine="482" w:firstLineChars="200"/>
        <w:jc w:val="both"/>
        <w:rPr>
          <w:rFonts w:asciiTheme="majorEastAsia" w:hAnsiTheme="majorEastAsia" w:eastAsiaTheme="majorEastAsia"/>
          <w:b/>
          <w:bCs/>
          <w:color w:val="FF0000"/>
        </w:rPr>
      </w:pPr>
      <w:r>
        <w:rPr>
          <w:rFonts w:hint="eastAsia" w:asciiTheme="majorEastAsia" w:hAnsiTheme="majorEastAsia" w:eastAsiaTheme="majorEastAsia"/>
          <w:b/>
          <w:bCs/>
          <w:color w:val="FF0000"/>
        </w:rPr>
        <w:t>二、项目概况</w:t>
      </w:r>
    </w:p>
    <w:p>
      <w:pPr>
        <w:pStyle w:val="39"/>
        <w:spacing w:before="0" w:beforeAutospacing="0" w:after="0" w:afterAutospacing="0" w:line="400" w:lineRule="exact"/>
        <w:ind w:firstLine="480" w:firstLineChars="200"/>
        <w:jc w:val="both"/>
        <w:rPr>
          <w:rFonts w:asciiTheme="majorEastAsia" w:hAnsiTheme="majorEastAsia" w:eastAsiaTheme="majorEastAsia"/>
          <w:color w:val="FF0000"/>
          <w:kern w:val="2"/>
        </w:rPr>
      </w:pPr>
      <w:r>
        <w:rPr>
          <w:rFonts w:hint="eastAsia" w:asciiTheme="majorEastAsia" w:hAnsiTheme="majorEastAsia" w:eastAsiaTheme="majorEastAsia"/>
          <w:color w:val="FF0000"/>
          <w:kern w:val="2"/>
        </w:rPr>
        <w:t>1．项目用途、预期效果或要求</w:t>
      </w:r>
    </w:p>
    <w:p>
      <w:pPr>
        <w:pStyle w:val="39"/>
        <w:spacing w:before="0" w:beforeAutospacing="0" w:after="0" w:afterAutospacing="0" w:line="400" w:lineRule="exact"/>
        <w:ind w:firstLine="480" w:firstLineChars="200"/>
        <w:jc w:val="both"/>
        <w:rPr>
          <w:rFonts w:asciiTheme="majorEastAsia" w:hAnsiTheme="majorEastAsia" w:eastAsiaTheme="majorEastAsia"/>
          <w:color w:val="FF0000"/>
          <w:kern w:val="2"/>
        </w:rPr>
      </w:pPr>
      <w:r>
        <w:rPr>
          <w:rFonts w:hint="eastAsia" w:asciiTheme="majorEastAsia" w:hAnsiTheme="majorEastAsia" w:eastAsiaTheme="majorEastAsia"/>
          <w:color w:val="FF0000"/>
          <w:kern w:val="2"/>
        </w:rPr>
        <w:t>（1）项目用途：随着我国医药产业的快速发展，对于药物制剂从业人员的素质要求也日益提高，尤其是随着药品生产GMP认证的全面推行，国家要求高等职业教育必须大力加强实验实训、技能考核等多方面的内容，用人单位更是希望我们的毕业生掌握更多的GMP环境下的实践操作技能和专业知识。GMP生产必须的洁净度要求，以及设备、厂房、技术人员等条件的约束，药品生产厂家很难像其他行业的企业一样接待学校学员的参观和实习。而我校若自建模拟GMP车间，不仅投入大、场地有限，水、电、设备维护、实验物料等运行费用逐年增高，而且有限的教师也难以应付日益增加的学生数量，要保证实训课时和实训的效果，必须面对这些新的矛盾和挑战，改革创新。使用药品生产（GMP）虚拟仿真实验教学系统，包括口服固体制剂中19个岗位的仿真教学，不仅为教师提供了实习授课的良好工具，而且可以利用电脑教室让学生开展自主学习，将原来繁复的现场讲解、演示，委托给了计算机，利用电脑仿真具有的可重复性与自动引导性，加强了学生的学习效率，较大地扩展了学生的视野。同时，也可以在药品生产技术教育领域实现技能操作的仿真考核，使得直观、省时、高效率的观察到学生的实训效果成为可能，大大减小了教师的劳动强度，使教师可以面对更多的学生，提供更细致深入的知识传授和答疑解惑，提高了实训教学的效果。</w:t>
      </w:r>
    </w:p>
    <w:p>
      <w:pPr>
        <w:pStyle w:val="39"/>
        <w:spacing w:before="0" w:beforeAutospacing="0" w:after="0" w:afterAutospacing="0" w:line="400" w:lineRule="exact"/>
        <w:ind w:firstLine="480" w:firstLineChars="200"/>
        <w:jc w:val="both"/>
        <w:rPr>
          <w:rFonts w:asciiTheme="majorEastAsia" w:hAnsiTheme="majorEastAsia" w:eastAsiaTheme="majorEastAsia"/>
          <w:color w:val="FF0000"/>
          <w:kern w:val="2"/>
        </w:rPr>
      </w:pPr>
      <w:r>
        <w:rPr>
          <w:rFonts w:hint="eastAsia" w:asciiTheme="majorEastAsia" w:hAnsiTheme="majorEastAsia" w:eastAsiaTheme="majorEastAsia"/>
          <w:color w:val="FF0000"/>
          <w:kern w:val="2"/>
        </w:rPr>
        <w:t>药品生产GMP虚拟实训仿真平台是针对药学相关专业实践教学需求,研发的一款实训仿真软件,该平台的构建以药品生产实践操作为主线,将2010版药品生产管理规范(GMP)作为知识支持,采用C#.net、Framework4.0、Unity3D等技术，结合现代药物制剂生产工艺、药物制剂设备、岗位标准化操作（SOP）、药品生产过程质量控制以及车间管理等内容，使用游戏元素和模式，以严肃游戏的形式吸引学生参与进来，弥补教学脱离实际生产的弊端，提高用户对药品实际生产的认识和理解。</w:t>
      </w:r>
    </w:p>
    <w:p>
      <w:pPr>
        <w:pStyle w:val="39"/>
        <w:spacing w:before="0" w:beforeAutospacing="0" w:after="0" w:afterAutospacing="0" w:line="400" w:lineRule="exact"/>
        <w:ind w:firstLine="480" w:firstLineChars="200"/>
        <w:jc w:val="both"/>
        <w:rPr>
          <w:rFonts w:asciiTheme="majorEastAsia" w:hAnsiTheme="majorEastAsia" w:eastAsiaTheme="majorEastAsia"/>
          <w:color w:val="FF0000"/>
          <w:kern w:val="2"/>
        </w:rPr>
      </w:pPr>
      <w:r>
        <w:rPr>
          <w:rFonts w:hint="eastAsia" w:asciiTheme="majorEastAsia" w:hAnsiTheme="majorEastAsia" w:eastAsiaTheme="majorEastAsia"/>
          <w:color w:val="FF0000"/>
          <w:kern w:val="2"/>
        </w:rPr>
        <w:t>（2）预期效果：使用虚拟仿真技术手段，将现实生产车间通过三维虚拟化技术，变成可操作的实训课堂，结合文字、视频、动图等多种媒体向学生传递信息，使生涩难懂的知识变为生动有趣的模拟仿真场景，使教学形式变得丰富多样，增加学生学习的趣味性，能发挥学生在学习活动中的主观能动性，更有利于培养学生的独立工作能力，极大地调动学生的学习积极性。因此，在高校开展虚拟药学仿真实践教学，一方面能够解决教学中传统药学实验的一些难题和缺点，降低实验实践教学成本，另一方面有利于培养学生联系实际的能力，提高动手能力，增强创新意识，大大的提高了实践教学的质量。本项目（药品生产GMP虚拟实训仿真平台）的基础建设成本较低，效果较好。项目建成后能够扩展了药物制剂专业的实践教学范围，丰富了实践教学内容，进一步完善和提升了实践教学环境，对提高教学水平，优化实践教学体系，确保了教学资源的优质性和可持续性。</w:t>
      </w:r>
    </w:p>
    <w:p>
      <w:pPr>
        <w:pStyle w:val="39"/>
        <w:spacing w:before="0" w:beforeAutospacing="0" w:after="0" w:afterAutospacing="0" w:line="400" w:lineRule="exact"/>
        <w:ind w:firstLine="482" w:firstLineChars="200"/>
        <w:jc w:val="both"/>
        <w:rPr>
          <w:rFonts w:asciiTheme="majorEastAsia" w:hAnsiTheme="majorEastAsia" w:eastAsiaTheme="majorEastAsia"/>
          <w:color w:val="FF0000"/>
          <w:kern w:val="2"/>
        </w:rPr>
      </w:pPr>
      <w:r>
        <w:rPr>
          <w:rFonts w:hint="eastAsia" w:asciiTheme="majorEastAsia" w:hAnsiTheme="majorEastAsia" w:eastAsiaTheme="majorEastAsia"/>
          <w:b/>
          <w:color w:val="FF0000"/>
        </w:rPr>
        <w:t>三、项目具体技术要求</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（一）软件技术与功能</w:t>
      </w:r>
    </w:p>
    <w:p>
      <w:pPr>
        <w:pStyle w:val="70"/>
        <w:spacing w:line="400" w:lineRule="exact"/>
        <w:ind w:left="0" w:firstLine="482" w:firstLineChars="200"/>
        <w:jc w:val="both"/>
        <w:rPr>
          <w:rFonts w:cs="仿宋" w:asciiTheme="majorEastAsia" w:hAnsiTheme="majorEastAsia" w:eastAsiaTheme="majorEastAsia"/>
          <w:b/>
          <w:color w:val="FF0000"/>
          <w:lang w:eastAsia="zh-CN"/>
        </w:rPr>
      </w:pPr>
      <w:r>
        <w:rPr>
          <w:rFonts w:hint="eastAsia" w:cs="仿宋" w:asciiTheme="majorEastAsia" w:hAnsiTheme="majorEastAsia" w:eastAsiaTheme="majorEastAsia"/>
          <w:b/>
          <w:color w:val="FF0000"/>
          <w:lang w:eastAsia="zh-CN"/>
        </w:rPr>
        <w:t>1、平台技术：</w:t>
      </w:r>
    </w:p>
    <w:p>
      <w:pPr>
        <w:numPr>
          <w:ilvl w:val="0"/>
          <w:numId w:val="2"/>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服务器端通讯采用WPF技术。</w:t>
      </w:r>
    </w:p>
    <w:p>
      <w:pPr>
        <w:numPr>
          <w:ilvl w:val="0"/>
          <w:numId w:val="2"/>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客户端研发采用C#.net以 Framework 4.0框架开发。</w:t>
      </w:r>
    </w:p>
    <w:p>
      <w:pPr>
        <w:pStyle w:val="70"/>
        <w:spacing w:line="400" w:lineRule="exact"/>
        <w:ind w:left="0" w:firstLine="482" w:firstLineChars="200"/>
        <w:jc w:val="both"/>
        <w:rPr>
          <w:rFonts w:cs="仿宋" w:asciiTheme="majorEastAsia" w:hAnsiTheme="majorEastAsia" w:eastAsiaTheme="majorEastAsia"/>
          <w:b/>
          <w:color w:val="FF0000"/>
        </w:rPr>
      </w:pPr>
      <w:r>
        <w:rPr>
          <w:rFonts w:hint="eastAsia" w:cs="仿宋" w:asciiTheme="majorEastAsia" w:hAnsiTheme="majorEastAsia" w:eastAsiaTheme="majorEastAsia"/>
          <w:b/>
          <w:color w:val="FF0000"/>
        </w:rPr>
        <w:t>2、产品业务要求：</w:t>
      </w:r>
    </w:p>
    <w:p>
      <w:pPr>
        <w:numPr>
          <w:ilvl w:val="0"/>
          <w:numId w:val="3"/>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产品设计：依据2010版药品生产管理规范（GMP）设计。</w:t>
      </w:r>
    </w:p>
    <w:p>
      <w:pPr>
        <w:numPr>
          <w:ilvl w:val="0"/>
          <w:numId w:val="3"/>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产品原型：依据实际车间生产工艺构建虚拟实训生产车间。</w:t>
      </w:r>
    </w:p>
    <w:p>
      <w:pPr>
        <w:numPr>
          <w:ilvl w:val="0"/>
          <w:numId w:val="3"/>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任务手册：依据岗位SOP设计任务列表，共设置“领取文件”、“生产前检查”、“生产加工”、“清场检查”、“离开车间”等7个任务步骤。</w:t>
      </w:r>
    </w:p>
    <w:p>
      <w:pPr>
        <w:numPr>
          <w:ilvl w:val="0"/>
          <w:numId w:val="3"/>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角色瞬移：可在不同车间场景，瞬间移动角色，并使角色根据不同洁净区等级更换对应的洁净服；</w:t>
      </w:r>
    </w:p>
    <w:p>
      <w:pPr>
        <w:numPr>
          <w:ilvl w:val="0"/>
          <w:numId w:val="3"/>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服装要求：根据不同节洁净区级别设计对应的洁净服。</w:t>
      </w:r>
    </w:p>
    <w:p>
      <w:pPr>
        <w:pStyle w:val="70"/>
        <w:spacing w:line="400" w:lineRule="exact"/>
        <w:ind w:left="0" w:firstLine="482" w:firstLineChars="200"/>
        <w:jc w:val="both"/>
        <w:rPr>
          <w:rFonts w:cs="仿宋" w:asciiTheme="majorEastAsia" w:hAnsiTheme="majorEastAsia" w:eastAsiaTheme="majorEastAsia"/>
          <w:b/>
          <w:color w:val="FF0000"/>
        </w:rPr>
      </w:pPr>
      <w:r>
        <w:rPr>
          <w:rFonts w:hint="eastAsia" w:cs="仿宋" w:asciiTheme="majorEastAsia" w:hAnsiTheme="majorEastAsia" w:eastAsiaTheme="majorEastAsia"/>
          <w:b/>
          <w:color w:val="FF0000"/>
        </w:rPr>
        <w:t>3、虚拟仿真实训技术：</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模型制作：采用3dMax建模。</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动画制作：采用Neuron动作捕捉技术。</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场景构建：采用Unity3d 5.x游戏引擎。</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角色控制：键盘W、A、S、D与↑、↓、←、→可分别控制虚拟人物前进、后退、左转、右转；鼠标右键轻击地面，可引人物行走。</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视角控制：鼠标左键长按，可以控制视角360°旋转移动；鼠标右键长按，可以控制角色与视角同时360°旋转移动；</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岗位设置：根据用户选择设置虚拟仿真实训岗位。</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地图引导：圆形指南针罗盘设计，有E、S、W、N位置标注，可以实时转盘指南。可以放大、缩小生产车间地图，角色有清晰的标识标注，所有功能车间有名称标注，可匹配角色实时位置，任务位置有红色光圈引导功能。</w:t>
      </w:r>
    </w:p>
    <w:p>
      <w:pPr>
        <w:numPr>
          <w:ilvl w:val="0"/>
          <w:numId w:val="4"/>
        </w:numPr>
        <w:tabs>
          <w:tab w:val="left" w:pos="42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场景帮助：自动匹配当前岗位内容，包含“键盘操作”、“鼠标操作”、“岗位设备操作”等7个1080P像素高清帮助视频。</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（二）软件模块：知识点模块</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1、GMP基础讲解知识点部分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该知识点模块必须以图片和文字的形式进行介绍，包含以下内容在内的不少于10个模块、不少于100篇的讲解文件：</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GMP简介包含：GMP发展史、2010版GMP简介；</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厂房、设施与设备包含：厂址选择和厂区总体布局，洁净室的装饰施工；</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HVAC系统设计与管理包含：HVAC简介、空调机组、风管、洁净室URS（用户需求）；</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设备管理包含：制药设备材料简介、制药设备常用机构、压力容器、管件与阀门、设备的选择、设备保养维护与维修基础、设备的防污染措施、校准；</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人员管理包含：相关人员配备与基本素质要求、人员卫生管理；</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物料管理包含：物料供应商管理、物料标识、物料的入库与验收、制药车间的物料流转与控制、药品的包装材料标签与说明书管理；</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制药用水包含：制药用水概述、纯化水生产技术、注射用水生产技术、制药用水系统的日常在线监控间隙监控及取样分析</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制药企业的文件管理包含：药品生产文件的基本类型认知、文件的编制、制药企业文件的执行与管理、文件的修订与废除、文件管理系统的自检；</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生产管理包含：生产管理概述、生产系统的运行管理；</w:t>
      </w:r>
    </w:p>
    <w:p>
      <w:pPr>
        <w:numPr>
          <w:ilvl w:val="0"/>
          <w:numId w:val="5"/>
        </w:numPr>
        <w:tabs>
          <w:tab w:val="left" w:pos="1470"/>
        </w:tabs>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质量控制与保证包含：实验室管理、变更管理、风险管理。</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2、自学微课部分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该知识点模块必须以图片、文字、视频、三维设备模型相结合的形式进行介绍，包含以下岗位在内不少于22个岗位的工艺流程、岗位概述、设备介绍、生产记录文件。</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表1：自学微课岗位</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2292"/>
        <w:gridCol w:w="22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称量岗位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粉碎过筛岗位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制软材岗位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制浆岗位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切割制粒岗位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挤压制粒岗位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流化床制粒岗位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沸腾干燥岗位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烘箱干燥岗位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整粒岗位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总混岗位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压片岗位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包衣岗位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胶囊填充岗位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颗粒包装岗位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铝塑包装岗位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塑瓶包装岗位</w:t>
            </w:r>
          </w:p>
        </w:tc>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配液岗位</w:t>
            </w:r>
          </w:p>
        </w:tc>
        <w:tc>
          <w:tcPr>
            <w:tcW w:w="1250" w:type="pct"/>
            <w:tcBorders>
              <w:bottom w:val="single" w:color="auto" w:sz="4" w:space="0"/>
            </w:tcBorders>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洗瓶烘干岗位</w:t>
            </w:r>
          </w:p>
        </w:tc>
        <w:tc>
          <w:tcPr>
            <w:tcW w:w="1250" w:type="pct"/>
            <w:tcBorders>
              <w:bottom w:val="single" w:color="auto" w:sz="4" w:space="0"/>
            </w:tcBorders>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灌封岗位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灭菌岗位</w:t>
            </w:r>
          </w:p>
        </w:tc>
        <w:tc>
          <w:tcPr>
            <w:tcW w:w="1250" w:type="pct"/>
            <w:tcBorders>
              <w:right w:val="single" w:color="auto" w:sz="4" w:space="0"/>
            </w:tcBorders>
          </w:tcPr>
          <w:p>
            <w:pPr>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灯检岗位</w:t>
            </w:r>
          </w:p>
        </w:tc>
        <w:tc>
          <w:tcPr>
            <w:tcW w:w="1250" w:type="pct"/>
            <w:tcBorders>
              <w:top w:val="single" w:color="auto" w:sz="4" w:space="0"/>
              <w:left w:val="single" w:color="auto" w:sz="4" w:space="0"/>
              <w:bottom w:val="nil"/>
              <w:right w:val="nil"/>
            </w:tcBorders>
          </w:tcPr>
          <w:p>
            <w:pPr>
              <w:spacing w:line="400" w:lineRule="exact"/>
              <w:rPr>
                <w:rFonts w:cs="仿宋" w:asciiTheme="majorEastAsia" w:hAnsiTheme="majorEastAsia" w:eastAsiaTheme="majorEastAsia"/>
                <w:color w:val="FF0000"/>
                <w:sz w:val="24"/>
                <w:szCs w:val="24"/>
              </w:rPr>
            </w:pPr>
          </w:p>
        </w:tc>
        <w:tc>
          <w:tcPr>
            <w:tcW w:w="1250" w:type="pct"/>
            <w:tcBorders>
              <w:top w:val="single" w:color="auto" w:sz="4" w:space="0"/>
              <w:left w:val="nil"/>
              <w:bottom w:val="nil"/>
              <w:right w:val="nil"/>
            </w:tcBorders>
          </w:tcPr>
          <w:p>
            <w:pPr>
              <w:spacing w:line="400" w:lineRule="exact"/>
              <w:rPr>
                <w:rFonts w:cs="仿宋" w:asciiTheme="majorEastAsia" w:hAnsiTheme="majorEastAsia" w:eastAsiaTheme="majorEastAsia"/>
                <w:color w:val="FF0000"/>
                <w:sz w:val="24"/>
                <w:szCs w:val="24"/>
              </w:rPr>
            </w:pPr>
          </w:p>
        </w:tc>
      </w:tr>
    </w:tbl>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2.1知识点视频</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知识点视频必须采用三维动画表现形式，要求画面清晰，色调统一、协调。模型精准，光照自然，贴图真实，运动流畅，镜头应用合理，表现细腻，正确反映主题。</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需包含以下三维动画在内不少于26个的知识点视频：固体制剂生产车间介绍、领料岗位概述、称量配料岗位概述、粉碎岗位概述、过筛岗位概述、制浆岗位概述、制软材岗位概述、挤压制粒岗位概述、烘箱干燥岗位概述、搅拌切割制粒岗位概述、沸腾干燥岗位概述、流化床制粒岗位概述、整粒岗位概述、总混岗位概述、压片岗位概述、包衣岗位概述、硬胶囊填充岗位概述、料斗清洗岗位概述、铝塑包装岗位概述、塑瓶包装岗位概述、颗粒分装岗位概述、配液岗位概述、洗瓶烘干岗位概述、灌封岗位概述、灭菌岗位概述、灯检岗位概述。</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bCs/>
          <w:color w:val="FF0000"/>
          <w:sz w:val="24"/>
          <w:szCs w:val="24"/>
        </w:rPr>
        <w:t xml:space="preserve">★  </w:t>
      </w:r>
      <w:r>
        <w:rPr>
          <w:rFonts w:hint="eastAsia" w:cs="仿宋" w:asciiTheme="majorEastAsia" w:hAnsiTheme="majorEastAsia" w:eastAsiaTheme="majorEastAsia"/>
          <w:color w:val="FF0000"/>
          <w:sz w:val="24"/>
          <w:szCs w:val="24"/>
        </w:rPr>
        <w:t>其中“固体制剂生产车间介绍”视频内容需包含：</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rPr>
      </w:pPr>
      <w:r>
        <w:rPr>
          <w:rFonts w:hint="eastAsia" w:cs="仿宋" w:asciiTheme="majorEastAsia" w:hAnsiTheme="majorEastAsia" w:eastAsiaTheme="majorEastAsia"/>
          <w:color w:val="FF0000"/>
        </w:rPr>
        <w:t>固体制剂整体布局介绍</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空气净化系统、制药用水系统介绍</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人员进入洁净区（人流）介绍</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物料进出入生产区、物流按生产工序流转（物流）介绍</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该知识点视频时长不得短于7min。</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2.2三维设备模型展示</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展示的三维设备模型必须采用3d max建模，模型精致，细节清晰。能够展示相应设备功能部件，通过调节透明度，可以观察到设备内部结构。</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需包含以下三维设备模型在内不少于22个的模型展示：万能粉碎机、SZ系列高效旋振筛、制浆机、槽型混合机、摇摆挤压式制粒机、热风循环烘箱、高效混合制粒机、高效沸腾干燥机、流化床制粒机、提升整粒机、V型混合机、料斗混合机、GZPS系列全自动双出料高速压片机、无空高效包衣机、有孔高效包衣机、全自动胶囊填充机、铝塑包装机、塑瓶包装机、颗粒分装机、超声波安瓿洗瓶机、拉丝灌封机。</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3、设备工艺展示部分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该知识点模块必须采用动态flash的形式，将制粒、混合、干燥、粉碎、过筛、输送、整粒等设备的工艺原理进行展示。包含以下内容在内的不少于45个设备工艺展示：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制粒设备工艺展示有：JZL系列挤压造粒机、FL系列沸腾制粒机、YK系列摇摆颗粒机、湿法制粒机、冷却造粒机、融熔造粒机、旋转制粒机、XZL系列高效旋转颗粒机；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混合设备工艺展示有：CH系列槽形混合机、二维运动混合机、三维混合机、VI型强制搅拌混合机、V型混合机、W型混合机、高速混合机、螺带混合机、锥形双螺旋混合机等；</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干燥设备工艺展示有：GFG系列高效沸腾干燥机、沸腾床干燥机、振动流化床干燥机、压力喷雾干燥机、带式干燥机、多层带式干燥机、气流干燥机、隧道式烘干机、热风循环烘箱、旋转振动干燥机、方形真空干燥机、旋转闪蒸干燥机、真空耙式干燥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粉碎设备工艺展示有：GFSJ型高效粉碎机、CF型锤式粉碎机、CSJ型粗碎机、WF型吸尘式粉碎机、WF型万能粉碎机、WFJ型微粉机、FL型风冷式粉碎机；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过筛设备工艺展示有：ZS系列振荡筛、ZS系列高效筛粉机、ZSJ系列振动筛粉机、FTS系列旋转筛、ZS系列振动方形筛粉机；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输送设备工艺展示有：真空上料机、SSJ系列螺旋式粉粒输送机；</w:t>
      </w:r>
    </w:p>
    <w:p>
      <w:pPr>
        <w:numPr>
          <w:ilvl w:val="0"/>
          <w:numId w:val="7"/>
        </w:numPr>
        <w:spacing w:line="400" w:lineRule="exact"/>
        <w:ind w:left="0"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整粒设备工艺展示有：KZL系列快速整粒机。</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4、岗位标准操作规程部分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模块必须采用三维动画表现形式，对岗位生产的SOP（标准操作规程）进行系统讲解。要求画面清晰，色调统一、协调。模型精准，光照自然，贴图真实，运动流畅，镜头应用合理，表现细腻，正确反映主题。</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需包含以下三维动画在内不少于20个的知识点视频：生产前环境检查、领料岗位、称量配料岗位、粉碎岗位、过筛岗位、混合岗位、制浆岗位、制软材岗位、挤压制粒岗位、搅拌切割制粒岗位、流化床制粒岗位、烘箱干燥岗位、沸腾干燥岗位、整粒岗位、总混岗位、压片岗位、包衣岗位、硬胶囊填充岗位、内包装岗位、中间站岗位。知识点视频总时长不少于130min。</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bCs/>
          <w:color w:val="FF0000"/>
          <w:sz w:val="24"/>
          <w:szCs w:val="24"/>
        </w:rPr>
        <w:t xml:space="preserve">★  </w:t>
      </w:r>
      <w:r>
        <w:rPr>
          <w:rFonts w:hint="eastAsia" w:cs="仿宋" w:asciiTheme="majorEastAsia" w:hAnsiTheme="majorEastAsia" w:eastAsiaTheme="majorEastAsia"/>
          <w:color w:val="FF0000"/>
          <w:sz w:val="24"/>
          <w:szCs w:val="24"/>
        </w:rPr>
        <w:t>其中“压片岗位标准操作规程”视频内容需包含：</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岗位流程：生产前准备、生产操作及结束工作；</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设备介绍：包括吸尘器、除尘柜、物料桶、筛片机、压片机；</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工具介绍：包括消毒抹布、纯化水抹布、擦油布、清洁抹布、手轮、六角扳手、钥匙、撬棒、机油壶、油脂枪；</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冲模安装：包括冲模安装前准备，中模圈的安装，上冲的安装，下冲的安装，部件安装。</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该知识点视频时长不得短于20min。</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5、参考资料部分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该知识点模块必须以图片和文字的形式，对企业GMP管理文件进行讲解，包含以下内容在内的不少于26个模块、不少于2000篇的讲解文件：</w:t>
      </w:r>
    </w:p>
    <w:p>
      <w:pPr>
        <w:tabs>
          <w:tab w:val="left" w:pos="1470"/>
        </w:tabs>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表2：参考资料涵盖的26个模块</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2507"/>
        <w:gridCol w:w="188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厂本部</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管理标准（SMP）</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人员与机构</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标准操作规范（SOP）</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厂房与设施</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质量管理</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质量管理部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记录文件（SOR）</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清洁卫生管理标准</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设备管理</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生产部管理部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GMP软件系统目录</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技术开发部</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物料管理</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物料管理标准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工程部</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卫生管理</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验证管理文件</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生产车间</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质量管理</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动力车间</w:t>
            </w:r>
          </w:p>
        </w:tc>
        <w:tc>
          <w:tcPr>
            <w:tcW w:w="1073"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投诉与不良反应报告</w:t>
            </w:r>
          </w:p>
        </w:tc>
        <w:tc>
          <w:tcPr>
            <w:tcW w:w="1367" w:type="pct"/>
          </w:tcPr>
          <w:p>
            <w:pPr>
              <w:tabs>
                <w:tab w:val="left" w:pos="1470"/>
              </w:tabs>
              <w:spacing w:line="400" w:lineRule="exact"/>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自检</w:t>
            </w:r>
          </w:p>
        </w:tc>
        <w:tc>
          <w:tcPr>
            <w:tcW w:w="1025" w:type="pct"/>
          </w:tcPr>
          <w:p>
            <w:pPr>
              <w:tabs>
                <w:tab w:val="left" w:pos="1470"/>
              </w:tabs>
              <w:spacing w:line="400" w:lineRule="exact"/>
              <w:rPr>
                <w:rFonts w:cs="仿宋" w:asciiTheme="majorEastAsia" w:hAnsiTheme="majorEastAsia" w:eastAsiaTheme="majorEastAsia"/>
                <w:color w:val="FF0000"/>
                <w:sz w:val="24"/>
                <w:szCs w:val="24"/>
              </w:rPr>
            </w:pPr>
          </w:p>
        </w:tc>
        <w:tc>
          <w:tcPr>
            <w:tcW w:w="1073" w:type="pct"/>
          </w:tcPr>
          <w:p>
            <w:pPr>
              <w:tabs>
                <w:tab w:val="left" w:pos="1470"/>
              </w:tabs>
              <w:spacing w:line="400" w:lineRule="exact"/>
              <w:rPr>
                <w:rFonts w:cs="仿宋" w:asciiTheme="majorEastAsia" w:hAnsiTheme="majorEastAsia" w:eastAsiaTheme="majorEastAsia"/>
                <w:color w:val="FF0000"/>
                <w:sz w:val="24"/>
                <w:szCs w:val="24"/>
              </w:rPr>
            </w:pPr>
          </w:p>
        </w:tc>
      </w:tr>
    </w:tbl>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该模块需有“关键字”搜索排序功能，对超过2000篇的讲解文件进行搜索过滤、排序显示。</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（三）软件模块：仿真练习模块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仿真练习模块需包含以下内容：</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color w:val="FF0000"/>
          <w:sz w:val="24"/>
          <w:szCs w:val="24"/>
        </w:rPr>
        <w:t>口服固体制剂实训仿真模块：</w:t>
      </w:r>
      <w:bookmarkStart w:id="162" w:name="OLE_LINK3"/>
      <w:r>
        <w:rPr>
          <w:rFonts w:hint="eastAsia" w:cs="仿宋" w:asciiTheme="majorEastAsia" w:hAnsiTheme="majorEastAsia" w:eastAsiaTheme="majorEastAsia"/>
          <w:color w:val="FF0000"/>
          <w:sz w:val="24"/>
          <w:szCs w:val="24"/>
        </w:rPr>
        <w:t>称量岗位</w:t>
      </w:r>
      <w:bookmarkEnd w:id="162"/>
      <w:r>
        <w:rPr>
          <w:rFonts w:hint="eastAsia" w:cs="仿宋" w:asciiTheme="majorEastAsia" w:hAnsiTheme="majorEastAsia" w:eastAsiaTheme="majorEastAsia"/>
          <w:color w:val="FF0000"/>
          <w:sz w:val="24"/>
          <w:szCs w:val="24"/>
        </w:rPr>
        <w:t>、</w:t>
      </w:r>
      <w:bookmarkStart w:id="163" w:name="OLE_LINK30"/>
      <w:r>
        <w:rPr>
          <w:rFonts w:hint="eastAsia" w:cs="仿宋" w:asciiTheme="majorEastAsia" w:hAnsiTheme="majorEastAsia" w:eastAsiaTheme="majorEastAsia"/>
          <w:color w:val="FF0000"/>
          <w:sz w:val="24"/>
          <w:szCs w:val="24"/>
        </w:rPr>
        <w:t>粉碎过筛岗位</w:t>
      </w:r>
      <w:bookmarkEnd w:id="163"/>
      <w:r>
        <w:rPr>
          <w:rFonts w:hint="eastAsia" w:cs="仿宋" w:asciiTheme="majorEastAsia" w:hAnsiTheme="majorEastAsia" w:eastAsiaTheme="majorEastAsia"/>
          <w:color w:val="FF0000"/>
          <w:sz w:val="24"/>
          <w:szCs w:val="24"/>
        </w:rPr>
        <w:t>、</w:t>
      </w:r>
      <w:bookmarkStart w:id="164" w:name="OLE_LINK31"/>
      <w:r>
        <w:rPr>
          <w:rFonts w:hint="eastAsia" w:cs="仿宋" w:asciiTheme="majorEastAsia" w:hAnsiTheme="majorEastAsia" w:eastAsiaTheme="majorEastAsia"/>
          <w:color w:val="FF0000"/>
          <w:sz w:val="24"/>
          <w:szCs w:val="24"/>
        </w:rPr>
        <w:t>制软材岗位</w:t>
      </w:r>
      <w:bookmarkEnd w:id="164"/>
      <w:r>
        <w:rPr>
          <w:rFonts w:hint="eastAsia" w:cs="仿宋" w:asciiTheme="majorEastAsia" w:hAnsiTheme="majorEastAsia" w:eastAsiaTheme="majorEastAsia"/>
          <w:color w:val="FF0000"/>
          <w:sz w:val="24"/>
          <w:szCs w:val="24"/>
        </w:rPr>
        <w:t>、</w:t>
      </w:r>
      <w:bookmarkStart w:id="165" w:name="OLE_LINK32"/>
      <w:r>
        <w:rPr>
          <w:rFonts w:hint="eastAsia" w:cs="仿宋" w:asciiTheme="majorEastAsia" w:hAnsiTheme="majorEastAsia" w:eastAsiaTheme="majorEastAsia"/>
          <w:color w:val="FF0000"/>
          <w:sz w:val="24"/>
          <w:szCs w:val="24"/>
        </w:rPr>
        <w:t>制浆岗位</w:t>
      </w:r>
      <w:bookmarkEnd w:id="165"/>
      <w:r>
        <w:rPr>
          <w:rFonts w:hint="eastAsia" w:cs="仿宋" w:asciiTheme="majorEastAsia" w:hAnsiTheme="majorEastAsia" w:eastAsiaTheme="majorEastAsia"/>
          <w:color w:val="FF0000"/>
          <w:sz w:val="24"/>
          <w:szCs w:val="24"/>
        </w:rPr>
        <w:t>、</w:t>
      </w:r>
      <w:bookmarkStart w:id="166" w:name="OLE_LINK39"/>
      <w:r>
        <w:rPr>
          <w:rFonts w:hint="eastAsia" w:cs="仿宋" w:asciiTheme="majorEastAsia" w:hAnsiTheme="majorEastAsia" w:eastAsiaTheme="majorEastAsia"/>
          <w:color w:val="FF0000"/>
          <w:sz w:val="24"/>
          <w:szCs w:val="24"/>
        </w:rPr>
        <w:t>切割制粒岗位</w:t>
      </w:r>
      <w:bookmarkEnd w:id="166"/>
      <w:r>
        <w:rPr>
          <w:rFonts w:hint="eastAsia" w:cs="仿宋" w:asciiTheme="majorEastAsia" w:hAnsiTheme="majorEastAsia" w:eastAsiaTheme="majorEastAsia"/>
          <w:color w:val="FF0000"/>
          <w:sz w:val="24"/>
          <w:szCs w:val="24"/>
        </w:rPr>
        <w:t>、</w:t>
      </w:r>
      <w:bookmarkStart w:id="167" w:name="OLE_LINK44"/>
      <w:r>
        <w:rPr>
          <w:rFonts w:hint="eastAsia" w:cs="仿宋" w:asciiTheme="majorEastAsia" w:hAnsiTheme="majorEastAsia" w:eastAsiaTheme="majorEastAsia"/>
          <w:color w:val="FF0000"/>
          <w:sz w:val="24"/>
          <w:szCs w:val="24"/>
        </w:rPr>
        <w:t>挤压制粒岗位</w:t>
      </w:r>
      <w:bookmarkEnd w:id="167"/>
      <w:r>
        <w:rPr>
          <w:rFonts w:hint="eastAsia" w:cs="仿宋" w:asciiTheme="majorEastAsia" w:hAnsiTheme="majorEastAsia" w:eastAsiaTheme="majorEastAsia"/>
          <w:color w:val="FF0000"/>
          <w:sz w:val="24"/>
          <w:szCs w:val="24"/>
        </w:rPr>
        <w:t>、</w:t>
      </w:r>
      <w:bookmarkStart w:id="168" w:name="OLE_LINK49"/>
      <w:r>
        <w:rPr>
          <w:rFonts w:hint="eastAsia" w:cs="仿宋" w:asciiTheme="majorEastAsia" w:hAnsiTheme="majorEastAsia" w:eastAsiaTheme="majorEastAsia"/>
          <w:color w:val="FF0000"/>
          <w:sz w:val="24"/>
          <w:szCs w:val="24"/>
        </w:rPr>
        <w:t>流化床制粒岗位</w:t>
      </w:r>
      <w:bookmarkEnd w:id="168"/>
      <w:r>
        <w:rPr>
          <w:rFonts w:hint="eastAsia" w:cs="仿宋" w:asciiTheme="majorEastAsia" w:hAnsiTheme="majorEastAsia" w:eastAsiaTheme="majorEastAsia"/>
          <w:color w:val="FF0000"/>
          <w:sz w:val="24"/>
          <w:szCs w:val="24"/>
        </w:rPr>
        <w:t>、沸腾干燥岗位、</w:t>
      </w:r>
      <w:bookmarkStart w:id="169" w:name="OLE_LINK58"/>
      <w:r>
        <w:rPr>
          <w:rFonts w:hint="eastAsia" w:cs="仿宋" w:asciiTheme="majorEastAsia" w:hAnsiTheme="majorEastAsia" w:eastAsiaTheme="majorEastAsia"/>
          <w:color w:val="FF0000"/>
          <w:sz w:val="24"/>
          <w:szCs w:val="24"/>
        </w:rPr>
        <w:t>烘箱干燥岗位</w:t>
      </w:r>
      <w:bookmarkEnd w:id="169"/>
      <w:r>
        <w:rPr>
          <w:rFonts w:hint="eastAsia" w:cs="仿宋" w:asciiTheme="majorEastAsia" w:hAnsiTheme="majorEastAsia" w:eastAsiaTheme="majorEastAsia"/>
          <w:color w:val="FF0000"/>
          <w:sz w:val="24"/>
          <w:szCs w:val="24"/>
        </w:rPr>
        <w:t>、</w:t>
      </w:r>
      <w:bookmarkStart w:id="170" w:name="OLE_LINK60"/>
      <w:r>
        <w:rPr>
          <w:rFonts w:hint="eastAsia" w:cs="仿宋" w:asciiTheme="majorEastAsia" w:hAnsiTheme="majorEastAsia" w:eastAsiaTheme="majorEastAsia"/>
          <w:color w:val="FF0000"/>
          <w:sz w:val="24"/>
          <w:szCs w:val="24"/>
        </w:rPr>
        <w:t>干法制粒岗位、整粒岗位</w:t>
      </w:r>
      <w:bookmarkEnd w:id="170"/>
      <w:r>
        <w:rPr>
          <w:rFonts w:hint="eastAsia" w:cs="仿宋" w:asciiTheme="majorEastAsia" w:hAnsiTheme="majorEastAsia" w:eastAsiaTheme="majorEastAsia"/>
          <w:color w:val="FF0000"/>
          <w:sz w:val="24"/>
          <w:szCs w:val="24"/>
        </w:rPr>
        <w:t>、</w:t>
      </w:r>
      <w:bookmarkStart w:id="171" w:name="OLE_LINK61"/>
      <w:r>
        <w:rPr>
          <w:rFonts w:hint="eastAsia" w:cs="仿宋" w:asciiTheme="majorEastAsia" w:hAnsiTheme="majorEastAsia" w:eastAsiaTheme="majorEastAsia"/>
          <w:color w:val="FF0000"/>
          <w:sz w:val="24"/>
          <w:szCs w:val="24"/>
        </w:rPr>
        <w:t>总混岗位</w:t>
      </w:r>
      <w:bookmarkEnd w:id="171"/>
      <w:r>
        <w:rPr>
          <w:rFonts w:hint="eastAsia" w:cs="仿宋" w:asciiTheme="majorEastAsia" w:hAnsiTheme="majorEastAsia" w:eastAsiaTheme="majorEastAsia"/>
          <w:color w:val="FF0000"/>
          <w:sz w:val="24"/>
          <w:szCs w:val="24"/>
        </w:rPr>
        <w:t>、</w:t>
      </w:r>
      <w:bookmarkStart w:id="172" w:name="OLE_LINK62"/>
      <w:r>
        <w:rPr>
          <w:rFonts w:hint="eastAsia" w:cs="仿宋" w:asciiTheme="majorEastAsia" w:hAnsiTheme="majorEastAsia" w:eastAsiaTheme="majorEastAsia"/>
          <w:color w:val="FF0000"/>
          <w:sz w:val="24"/>
          <w:szCs w:val="24"/>
        </w:rPr>
        <w:t>压片岗位、包衣岗位、胶囊填充岗位、颗粒包装岗位、铝塑包装岗位、塑瓶包装岗位、中间站岗位、中控岗位</w:t>
      </w:r>
      <w:bookmarkEnd w:id="172"/>
      <w:r>
        <w:rPr>
          <w:rFonts w:hint="eastAsia" w:cs="仿宋" w:asciiTheme="majorEastAsia" w:hAnsiTheme="majorEastAsia" w:eastAsiaTheme="majorEastAsia"/>
          <w:color w:val="FF0000"/>
          <w:sz w:val="24"/>
          <w:szCs w:val="24"/>
        </w:rPr>
        <w:t>。</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color w:val="FF0000"/>
          <w:sz w:val="24"/>
          <w:szCs w:val="24"/>
        </w:rPr>
        <w:t>药品生产辅助实训仿真模块：</w:t>
      </w:r>
      <w:bookmarkStart w:id="173" w:name="OLE_LINK102"/>
      <w:r>
        <w:rPr>
          <w:rFonts w:hint="eastAsia" w:cs="仿宋" w:asciiTheme="majorEastAsia" w:hAnsiTheme="majorEastAsia" w:eastAsiaTheme="majorEastAsia"/>
          <w:color w:val="FF0000"/>
          <w:sz w:val="24"/>
          <w:szCs w:val="24"/>
        </w:rPr>
        <w:t>制药用水系统</w:t>
      </w:r>
      <w:bookmarkEnd w:id="173"/>
      <w:r>
        <w:rPr>
          <w:rFonts w:hint="eastAsia" w:cs="仿宋" w:asciiTheme="majorEastAsia" w:hAnsiTheme="majorEastAsia" w:eastAsiaTheme="majorEastAsia"/>
          <w:color w:val="FF0000"/>
          <w:sz w:val="24"/>
          <w:szCs w:val="24"/>
        </w:rPr>
        <w:t>、</w:t>
      </w:r>
      <w:bookmarkStart w:id="174" w:name="OLE_LINK104"/>
      <w:r>
        <w:rPr>
          <w:rFonts w:hint="eastAsia" w:cs="仿宋" w:asciiTheme="majorEastAsia" w:hAnsiTheme="majorEastAsia" w:eastAsiaTheme="majorEastAsia"/>
          <w:color w:val="FF0000"/>
          <w:sz w:val="24"/>
          <w:szCs w:val="24"/>
        </w:rPr>
        <w:t>空气净化系统</w:t>
      </w:r>
      <w:bookmarkEnd w:id="174"/>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各模块必须包含的功能要求见下：</w:t>
      </w:r>
    </w:p>
    <w:p>
      <w:pPr>
        <w:spacing w:line="400" w:lineRule="exact"/>
        <w:ind w:firstLine="413" w:firstLineChars="196"/>
        <w:rPr>
          <w:rFonts w:cs="仿宋" w:asciiTheme="majorEastAsia" w:hAnsiTheme="majorEastAsia" w:eastAsiaTheme="majorEastAsia"/>
          <w:b/>
          <w:color w:val="FF0000"/>
        </w:rPr>
      </w:pPr>
      <w:r>
        <w:rPr>
          <w:rFonts w:hint="eastAsia" w:cs="仿宋" w:asciiTheme="majorEastAsia" w:hAnsiTheme="majorEastAsia" w:eastAsiaTheme="majorEastAsia"/>
          <w:b/>
          <w:color w:val="FF0000"/>
        </w:rPr>
        <w:t>一）口服固体制剂实训仿真模块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1、称量岗位</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仿真任务包括：原辅料领取任务，领取并核对物料；配料称量任务，采用不同的设备对不同量的物料进行称量。</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设备仿真操作使用：SF-400电子天平、TCS-150电子磅秤。</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2、粉碎过筛岗位</w:t>
      </w:r>
    </w:p>
    <w:p>
      <w:pPr>
        <w:spacing w:line="400" w:lineRule="exact"/>
        <w:ind w:firstLine="480" w:firstLineChars="200"/>
        <w:rPr>
          <w:rFonts w:cs="仿宋" w:asciiTheme="majorEastAsia" w:hAnsiTheme="majorEastAsia" w:eastAsiaTheme="majorEastAsia"/>
          <w:color w:val="FF0000"/>
          <w:sz w:val="24"/>
          <w:szCs w:val="24"/>
        </w:rPr>
      </w:pPr>
      <w:bookmarkStart w:id="175" w:name="OLE_LINK36"/>
      <w:r>
        <w:rPr>
          <w:rFonts w:hint="eastAsia" w:cs="仿宋" w:asciiTheme="majorEastAsia" w:hAnsiTheme="majorEastAsia" w:eastAsiaTheme="majorEastAsia"/>
          <w:color w:val="FF0000"/>
          <w:sz w:val="24"/>
          <w:szCs w:val="24"/>
        </w:rPr>
        <w:t>仿真任务包括：</w:t>
      </w:r>
      <w:bookmarkEnd w:id="175"/>
      <w:bookmarkStart w:id="176" w:name="OLE_LINK37"/>
      <w:r>
        <w:rPr>
          <w:rFonts w:hint="eastAsia" w:cs="仿宋" w:asciiTheme="majorEastAsia" w:hAnsiTheme="majorEastAsia" w:eastAsiaTheme="majorEastAsia"/>
          <w:color w:val="FF0000"/>
          <w:sz w:val="24"/>
          <w:szCs w:val="24"/>
        </w:rPr>
        <w:t>领取文件、生产前检查、</w:t>
      </w:r>
      <w:r>
        <w:rPr>
          <w:rFonts w:hint="eastAsia" w:cs="仿宋" w:asciiTheme="majorEastAsia" w:hAnsiTheme="majorEastAsia" w:eastAsiaTheme="majorEastAsia"/>
          <w:bCs/>
          <w:color w:val="FF0000"/>
          <w:sz w:val="24"/>
          <w:szCs w:val="24"/>
        </w:rPr>
        <w:t>粉碎任务、过筛任务、粉碎机清洗、过筛机清洗、</w:t>
      </w:r>
      <w:r>
        <w:rPr>
          <w:rFonts w:hint="eastAsia" w:cs="仿宋" w:asciiTheme="majorEastAsia" w:hAnsiTheme="majorEastAsia" w:eastAsiaTheme="majorEastAsia"/>
          <w:color w:val="FF0000"/>
          <w:sz w:val="24"/>
          <w:szCs w:val="24"/>
        </w:rPr>
        <w:t>物料周转、岗位清场、清场检查、离开车间。</w:t>
      </w:r>
    </w:p>
    <w:bookmarkEnd w:id="176"/>
    <w:p>
      <w:pPr>
        <w:spacing w:line="400" w:lineRule="exact"/>
        <w:ind w:firstLine="480" w:firstLineChars="200"/>
        <w:rPr>
          <w:rFonts w:cs="仿宋" w:asciiTheme="majorEastAsia" w:hAnsiTheme="majorEastAsia" w:eastAsiaTheme="majorEastAsia"/>
          <w:bCs/>
          <w:color w:val="FF0000"/>
          <w:sz w:val="24"/>
          <w:szCs w:val="24"/>
        </w:rPr>
      </w:pPr>
      <w:r>
        <w:rPr>
          <w:rFonts w:hint="eastAsia" w:cs="仿宋" w:asciiTheme="majorEastAsia" w:hAnsiTheme="majorEastAsia" w:eastAsiaTheme="majorEastAsia"/>
          <w:bCs/>
          <w:color w:val="FF0000"/>
          <w:sz w:val="24"/>
          <w:szCs w:val="24"/>
        </w:rPr>
        <w:t>设备仿真操作使用：WF系列万能粉碎机、ZS系列高效振荡筛。</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3、制软材岗位</w:t>
      </w:r>
    </w:p>
    <w:p>
      <w:pPr>
        <w:spacing w:line="400" w:lineRule="exact"/>
        <w:ind w:firstLine="480" w:firstLineChars="200"/>
        <w:rPr>
          <w:rFonts w:cs="仿宋" w:asciiTheme="majorEastAsia" w:hAnsiTheme="majorEastAsia" w:eastAsiaTheme="majorEastAsia"/>
          <w:bCs/>
          <w:color w:val="FF0000"/>
          <w:sz w:val="24"/>
          <w:szCs w:val="24"/>
        </w:rPr>
      </w:pPr>
      <w:r>
        <w:rPr>
          <w:rFonts w:hint="eastAsia" w:cs="仿宋" w:asciiTheme="majorEastAsia" w:hAnsiTheme="majorEastAsia" w:eastAsiaTheme="majorEastAsia"/>
          <w:color w:val="FF0000"/>
          <w:sz w:val="24"/>
          <w:szCs w:val="24"/>
        </w:rPr>
        <w:t>仿真任务包括：领取文件、生产前检查、</w:t>
      </w:r>
      <w:bookmarkStart w:id="177" w:name="OLE_LINK42"/>
      <w:r>
        <w:rPr>
          <w:rFonts w:hint="eastAsia" w:cs="仿宋" w:asciiTheme="majorEastAsia" w:hAnsiTheme="majorEastAsia" w:eastAsiaTheme="majorEastAsia"/>
          <w:color w:val="FF0000"/>
          <w:sz w:val="24"/>
          <w:szCs w:val="24"/>
        </w:rPr>
        <w:t>领取物料</w:t>
      </w:r>
      <w:r>
        <w:rPr>
          <w:rFonts w:hint="eastAsia" w:cs="仿宋" w:asciiTheme="majorEastAsia" w:hAnsiTheme="majorEastAsia" w:eastAsiaTheme="majorEastAsia"/>
          <w:bCs/>
          <w:color w:val="FF0000"/>
          <w:sz w:val="24"/>
          <w:szCs w:val="24"/>
        </w:rPr>
        <w:t>、</w:t>
      </w:r>
      <w:bookmarkEnd w:id="177"/>
      <w:r>
        <w:rPr>
          <w:rFonts w:hint="eastAsia" w:cs="仿宋" w:asciiTheme="majorEastAsia" w:hAnsiTheme="majorEastAsia" w:eastAsiaTheme="majorEastAsia"/>
          <w:bCs/>
          <w:color w:val="FF0000"/>
          <w:sz w:val="24"/>
          <w:szCs w:val="24"/>
        </w:rPr>
        <w:t>制软材生产、</w:t>
      </w:r>
      <w:r>
        <w:rPr>
          <w:rFonts w:hint="eastAsia" w:cs="仿宋" w:asciiTheme="majorEastAsia" w:hAnsiTheme="majorEastAsia" w:eastAsiaTheme="majorEastAsia"/>
          <w:color w:val="FF0000"/>
          <w:sz w:val="24"/>
          <w:szCs w:val="24"/>
        </w:rPr>
        <w:t>物料周转、岗位清场、清场检查、离开车间。</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设备仿真操作使用：CH系列槽型混合机。</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4、制浆岗位</w:t>
      </w:r>
    </w:p>
    <w:p>
      <w:pPr>
        <w:spacing w:line="400" w:lineRule="exact"/>
        <w:ind w:firstLine="480" w:firstLineChars="200"/>
        <w:rPr>
          <w:rFonts w:cs="仿宋" w:asciiTheme="majorEastAsia" w:hAnsiTheme="majorEastAsia" w:eastAsiaTheme="majorEastAsia"/>
          <w:color w:val="FF0000"/>
          <w:sz w:val="24"/>
          <w:szCs w:val="24"/>
        </w:rPr>
      </w:pPr>
      <w:bookmarkStart w:id="178" w:name="OLE_LINK33"/>
      <w:bookmarkStart w:id="179" w:name="OLE_LINK40"/>
      <w:r>
        <w:rPr>
          <w:rFonts w:hint="eastAsia" w:cs="仿宋" w:asciiTheme="majorEastAsia" w:hAnsiTheme="majorEastAsia" w:eastAsiaTheme="majorEastAsia"/>
          <w:color w:val="FF0000"/>
          <w:sz w:val="24"/>
          <w:szCs w:val="24"/>
        </w:rPr>
        <w:t>仿真任务包括</w:t>
      </w:r>
      <w:bookmarkEnd w:id="178"/>
      <w:bookmarkStart w:id="180" w:name="OLE_LINK34"/>
      <w:r>
        <w:rPr>
          <w:rFonts w:hint="eastAsia" w:cs="仿宋" w:asciiTheme="majorEastAsia" w:hAnsiTheme="majorEastAsia" w:eastAsiaTheme="majorEastAsia"/>
          <w:color w:val="FF0000"/>
          <w:sz w:val="24"/>
          <w:szCs w:val="24"/>
        </w:rPr>
        <w:t>：</w:t>
      </w:r>
      <w:bookmarkEnd w:id="179"/>
      <w:bookmarkStart w:id="181" w:name="OLE_LINK41"/>
      <w:r>
        <w:rPr>
          <w:rFonts w:hint="eastAsia" w:cs="仿宋" w:asciiTheme="majorEastAsia" w:hAnsiTheme="majorEastAsia" w:eastAsiaTheme="majorEastAsia"/>
          <w:color w:val="FF0000"/>
          <w:sz w:val="24"/>
          <w:szCs w:val="24"/>
        </w:rPr>
        <w:t>领取文件、生产前检查、</w:t>
      </w:r>
      <w:bookmarkEnd w:id="180"/>
      <w:r>
        <w:rPr>
          <w:rFonts w:hint="eastAsia" w:cs="仿宋" w:asciiTheme="majorEastAsia" w:hAnsiTheme="majorEastAsia" w:eastAsiaTheme="majorEastAsia"/>
          <w:color w:val="FF0000"/>
          <w:sz w:val="24"/>
          <w:szCs w:val="24"/>
        </w:rPr>
        <w:t>领取物料</w:t>
      </w:r>
      <w:r>
        <w:rPr>
          <w:rFonts w:hint="eastAsia" w:cs="仿宋" w:asciiTheme="majorEastAsia" w:hAnsiTheme="majorEastAsia" w:eastAsiaTheme="majorEastAsia"/>
          <w:bCs/>
          <w:color w:val="FF0000"/>
          <w:sz w:val="24"/>
          <w:szCs w:val="24"/>
        </w:rPr>
        <w:t>、</w:t>
      </w:r>
      <w:r>
        <w:rPr>
          <w:rFonts w:hint="eastAsia" w:cs="仿宋" w:asciiTheme="majorEastAsia" w:hAnsiTheme="majorEastAsia" w:eastAsiaTheme="majorEastAsia"/>
          <w:color w:val="FF0000"/>
          <w:sz w:val="24"/>
          <w:szCs w:val="24"/>
        </w:rPr>
        <w:t>制浆操作、制浆锅清洗、</w:t>
      </w:r>
      <w:bookmarkStart w:id="182" w:name="OLE_LINK35"/>
      <w:r>
        <w:rPr>
          <w:rFonts w:hint="eastAsia" w:cs="仿宋" w:asciiTheme="majorEastAsia" w:hAnsiTheme="majorEastAsia" w:eastAsiaTheme="majorEastAsia"/>
          <w:color w:val="FF0000"/>
          <w:sz w:val="24"/>
          <w:szCs w:val="24"/>
        </w:rPr>
        <w:t>物料周转、岗位清场、清场检查、离开车间。</w:t>
      </w:r>
      <w:bookmarkEnd w:id="182"/>
    </w:p>
    <w:bookmarkEnd w:id="181"/>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bCs/>
          <w:color w:val="FF0000"/>
          <w:sz w:val="24"/>
          <w:szCs w:val="24"/>
        </w:rPr>
        <w:t xml:space="preserve">★  </w:t>
      </w:r>
      <w:r>
        <w:rPr>
          <w:rFonts w:hint="eastAsia" w:cs="仿宋" w:asciiTheme="majorEastAsia" w:hAnsiTheme="majorEastAsia" w:eastAsiaTheme="majorEastAsia"/>
          <w:color w:val="FF0000"/>
          <w:sz w:val="24"/>
          <w:szCs w:val="24"/>
        </w:rPr>
        <w:t>5、切割制粒岗位</w:t>
      </w:r>
    </w:p>
    <w:p>
      <w:pPr>
        <w:spacing w:line="400" w:lineRule="exact"/>
        <w:ind w:firstLine="480" w:firstLineChars="200"/>
        <w:rPr>
          <w:rFonts w:cs="仿宋" w:asciiTheme="majorEastAsia" w:hAnsiTheme="majorEastAsia" w:eastAsiaTheme="majorEastAsia"/>
          <w:color w:val="FF0000"/>
          <w:sz w:val="24"/>
          <w:szCs w:val="24"/>
        </w:rPr>
      </w:pPr>
      <w:bookmarkStart w:id="183" w:name="OLE_LINK45"/>
      <w:r>
        <w:rPr>
          <w:rFonts w:hint="eastAsia" w:cs="仿宋" w:asciiTheme="majorEastAsia" w:hAnsiTheme="majorEastAsia" w:eastAsiaTheme="majorEastAsia"/>
          <w:color w:val="FF0000"/>
          <w:sz w:val="24"/>
          <w:szCs w:val="24"/>
        </w:rPr>
        <w:t>仿真任务包括：</w:t>
      </w:r>
      <w:bookmarkEnd w:id="183"/>
      <w:bookmarkStart w:id="184" w:name="OLE_LINK46"/>
      <w:bookmarkStart w:id="185" w:name="OLE_LINK51"/>
      <w:r>
        <w:rPr>
          <w:rFonts w:hint="eastAsia" w:cs="仿宋" w:asciiTheme="majorEastAsia" w:hAnsiTheme="majorEastAsia" w:eastAsiaTheme="majorEastAsia"/>
          <w:color w:val="FF0000"/>
          <w:sz w:val="24"/>
          <w:szCs w:val="24"/>
        </w:rPr>
        <w:t>领取文件、生产前检查、</w:t>
      </w:r>
      <w:bookmarkEnd w:id="184"/>
      <w:r>
        <w:rPr>
          <w:rFonts w:hint="eastAsia" w:cs="仿宋" w:asciiTheme="majorEastAsia" w:hAnsiTheme="majorEastAsia" w:eastAsiaTheme="majorEastAsia"/>
          <w:color w:val="FF0000"/>
          <w:sz w:val="24"/>
          <w:szCs w:val="24"/>
        </w:rPr>
        <w:t>领取物料</w:t>
      </w:r>
      <w:r>
        <w:rPr>
          <w:rFonts w:hint="eastAsia" w:cs="仿宋" w:asciiTheme="majorEastAsia" w:hAnsiTheme="majorEastAsia" w:eastAsiaTheme="majorEastAsia"/>
          <w:bCs/>
          <w:color w:val="FF0000"/>
          <w:sz w:val="24"/>
          <w:szCs w:val="24"/>
        </w:rPr>
        <w:t>、</w:t>
      </w:r>
      <w:bookmarkEnd w:id="185"/>
      <w:r>
        <w:rPr>
          <w:rFonts w:hint="eastAsia" w:cs="仿宋" w:asciiTheme="majorEastAsia" w:hAnsiTheme="majorEastAsia" w:eastAsiaTheme="majorEastAsia"/>
          <w:bCs/>
          <w:color w:val="FF0000"/>
          <w:sz w:val="24"/>
          <w:szCs w:val="24"/>
        </w:rPr>
        <w:t>操作</w:t>
      </w:r>
      <w:r>
        <w:rPr>
          <w:rFonts w:hint="eastAsia" w:cs="仿宋" w:asciiTheme="majorEastAsia" w:hAnsiTheme="majorEastAsia" w:eastAsiaTheme="majorEastAsia"/>
          <w:color w:val="FF0000"/>
          <w:sz w:val="24"/>
          <w:szCs w:val="24"/>
        </w:rPr>
        <w:t>快速混合搅拌切割制粒机完成切割制粒任务、</w:t>
      </w:r>
      <w:bookmarkStart w:id="186" w:name="OLE_LINK47"/>
      <w:r>
        <w:rPr>
          <w:rFonts w:hint="eastAsia" w:cs="仿宋" w:asciiTheme="majorEastAsia" w:hAnsiTheme="majorEastAsia" w:eastAsiaTheme="majorEastAsia"/>
          <w:color w:val="FF0000"/>
          <w:sz w:val="24"/>
          <w:szCs w:val="24"/>
        </w:rPr>
        <w:t>物料周转、岗位清场、清场检查、离开车间。</w:t>
      </w:r>
      <w:bookmarkEnd w:id="186"/>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其中快速混合搅拌切割制粒机需包含：开机、停机、顶升、顶降、低速混合、高速混合、低速切割、高速切割、空运转、喷浆的仿真操作。</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Start w:id="187" w:name="OLE_LINK43"/>
      <w:r>
        <w:rPr>
          <w:rFonts w:hint="eastAsia" w:cs="仿宋" w:asciiTheme="majorEastAsia" w:hAnsiTheme="majorEastAsia" w:eastAsiaTheme="majorEastAsia"/>
          <w:color w:val="FF0000"/>
          <w:sz w:val="24"/>
          <w:szCs w:val="24"/>
        </w:rPr>
        <w:t>快速混合搅拌切割制粒机</w:t>
      </w:r>
      <w:bookmarkEnd w:id="187"/>
      <w:r>
        <w:rPr>
          <w:rFonts w:hint="eastAsia" w:cs="仿宋" w:asciiTheme="majorEastAsia" w:hAnsiTheme="majorEastAsia" w:eastAsiaTheme="majorEastAsia"/>
          <w:color w:val="FF0000"/>
          <w:sz w:val="24"/>
          <w:szCs w:val="24"/>
        </w:rPr>
        <w:t>。</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6、挤压制粒岗位</w:t>
      </w:r>
    </w:p>
    <w:p>
      <w:pPr>
        <w:spacing w:line="400" w:lineRule="exact"/>
        <w:ind w:firstLine="480" w:firstLineChars="200"/>
        <w:rPr>
          <w:rFonts w:cs="仿宋" w:asciiTheme="majorEastAsia" w:hAnsiTheme="majorEastAsia" w:eastAsiaTheme="majorEastAsia"/>
          <w:color w:val="FF0000"/>
          <w:sz w:val="24"/>
          <w:szCs w:val="24"/>
        </w:rPr>
      </w:pPr>
      <w:bookmarkStart w:id="188" w:name="OLE_LINK50"/>
      <w:r>
        <w:rPr>
          <w:rFonts w:hint="eastAsia" w:cs="仿宋" w:asciiTheme="majorEastAsia" w:hAnsiTheme="majorEastAsia" w:eastAsiaTheme="majorEastAsia"/>
          <w:color w:val="FF0000"/>
          <w:sz w:val="24"/>
          <w:szCs w:val="24"/>
        </w:rPr>
        <w:t>仿真任务包括：</w:t>
      </w:r>
      <w:bookmarkEnd w:id="188"/>
      <w:r>
        <w:rPr>
          <w:rFonts w:hint="eastAsia" w:cs="仿宋" w:asciiTheme="majorEastAsia" w:hAnsiTheme="majorEastAsia" w:eastAsiaTheme="majorEastAsia"/>
          <w:color w:val="FF0000"/>
          <w:sz w:val="24"/>
          <w:szCs w:val="24"/>
        </w:rPr>
        <w:t>领取文件、生产前检查、操作</w:t>
      </w:r>
      <w:r>
        <w:rPr>
          <w:rFonts w:hint="eastAsia" w:cs="仿宋" w:asciiTheme="majorEastAsia" w:hAnsiTheme="majorEastAsia" w:eastAsiaTheme="majorEastAsia"/>
          <w:bCs/>
          <w:color w:val="FF0000"/>
          <w:sz w:val="24"/>
          <w:szCs w:val="24"/>
        </w:rPr>
        <w:t>YK系列摇摆颗粒机完成挤压制粒任务、</w:t>
      </w:r>
      <w:bookmarkStart w:id="189" w:name="OLE_LINK52"/>
      <w:r>
        <w:rPr>
          <w:rFonts w:hint="eastAsia" w:cs="仿宋" w:asciiTheme="majorEastAsia" w:hAnsiTheme="majorEastAsia" w:eastAsiaTheme="majorEastAsia"/>
          <w:color w:val="FF0000"/>
          <w:sz w:val="24"/>
          <w:szCs w:val="24"/>
        </w:rPr>
        <w:t>物料周转、岗位清场、清场检查、离开车间。</w:t>
      </w:r>
    </w:p>
    <w:bookmarkEnd w:id="189"/>
    <w:p>
      <w:pPr>
        <w:spacing w:line="400" w:lineRule="exact"/>
        <w:ind w:firstLine="480" w:firstLineChars="200"/>
        <w:rPr>
          <w:rFonts w:cs="仿宋" w:asciiTheme="majorEastAsia" w:hAnsiTheme="majorEastAsia" w:eastAsiaTheme="majorEastAsia"/>
          <w:bCs/>
          <w:color w:val="FF0000"/>
          <w:sz w:val="24"/>
          <w:szCs w:val="24"/>
        </w:rPr>
      </w:pPr>
      <w:r>
        <w:rPr>
          <w:rFonts w:hint="eastAsia" w:cs="仿宋" w:asciiTheme="majorEastAsia" w:hAnsiTheme="majorEastAsia" w:eastAsiaTheme="majorEastAsia"/>
          <w:bCs/>
          <w:color w:val="FF0000"/>
          <w:sz w:val="24"/>
          <w:szCs w:val="24"/>
        </w:rPr>
        <w:t>设备仿真操作：</w:t>
      </w:r>
      <w:bookmarkStart w:id="190" w:name="OLE_LINK48"/>
      <w:r>
        <w:rPr>
          <w:rFonts w:hint="eastAsia" w:cs="仿宋" w:asciiTheme="majorEastAsia" w:hAnsiTheme="majorEastAsia" w:eastAsiaTheme="majorEastAsia"/>
          <w:bCs/>
          <w:color w:val="FF0000"/>
          <w:sz w:val="24"/>
          <w:szCs w:val="24"/>
        </w:rPr>
        <w:t>YK系列摇摆颗粒机</w:t>
      </w:r>
      <w:bookmarkEnd w:id="190"/>
      <w:r>
        <w:rPr>
          <w:rFonts w:hint="eastAsia" w:cs="仿宋" w:asciiTheme="majorEastAsia" w:hAnsiTheme="majorEastAsia" w:eastAsiaTheme="majorEastAsia"/>
          <w:bCs/>
          <w:color w:val="FF0000"/>
          <w:sz w:val="24"/>
          <w:szCs w:val="24"/>
        </w:rPr>
        <w:t>。</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bCs/>
          <w:color w:val="FF0000"/>
          <w:sz w:val="24"/>
          <w:szCs w:val="24"/>
        </w:rPr>
        <w:t xml:space="preserve">★  </w:t>
      </w:r>
      <w:r>
        <w:rPr>
          <w:rFonts w:hint="eastAsia" w:cs="仿宋" w:asciiTheme="majorEastAsia" w:hAnsiTheme="majorEastAsia" w:eastAsiaTheme="majorEastAsia"/>
          <w:color w:val="FF0000"/>
          <w:sz w:val="24"/>
          <w:szCs w:val="24"/>
        </w:rPr>
        <w:t>7、流化床制粒岗位</w:t>
      </w:r>
    </w:p>
    <w:p>
      <w:pPr>
        <w:spacing w:line="400" w:lineRule="exact"/>
        <w:ind w:firstLine="480" w:firstLineChars="200"/>
        <w:rPr>
          <w:rFonts w:cs="仿宋" w:asciiTheme="majorEastAsia" w:hAnsiTheme="majorEastAsia" w:eastAsiaTheme="majorEastAsia"/>
          <w:color w:val="FF0000"/>
          <w:sz w:val="24"/>
          <w:szCs w:val="24"/>
        </w:rPr>
      </w:pPr>
      <w:bookmarkStart w:id="191" w:name="OLE_LINK54"/>
      <w:r>
        <w:rPr>
          <w:rFonts w:hint="eastAsia" w:cs="仿宋" w:asciiTheme="majorEastAsia" w:hAnsiTheme="majorEastAsia" w:eastAsiaTheme="majorEastAsia"/>
          <w:color w:val="FF0000"/>
          <w:sz w:val="24"/>
          <w:szCs w:val="24"/>
        </w:rPr>
        <w:t>仿真任务包括：</w:t>
      </w:r>
      <w:bookmarkEnd w:id="191"/>
      <w:bookmarkStart w:id="192" w:name="OLE_LINK55"/>
      <w:r>
        <w:rPr>
          <w:rFonts w:hint="eastAsia" w:cs="仿宋" w:asciiTheme="majorEastAsia" w:hAnsiTheme="majorEastAsia" w:eastAsiaTheme="majorEastAsia"/>
          <w:color w:val="FF0000"/>
          <w:sz w:val="24"/>
          <w:szCs w:val="24"/>
        </w:rPr>
        <w:t>领取文件、生产前检查、</w:t>
      </w:r>
      <w:bookmarkEnd w:id="192"/>
      <w:r>
        <w:rPr>
          <w:rFonts w:hint="eastAsia" w:cs="仿宋" w:asciiTheme="majorEastAsia" w:hAnsiTheme="majorEastAsia" w:eastAsiaTheme="majorEastAsia"/>
          <w:color w:val="FF0000"/>
          <w:sz w:val="24"/>
          <w:szCs w:val="24"/>
        </w:rPr>
        <w:t>领取物料</w:t>
      </w:r>
      <w:r>
        <w:rPr>
          <w:rFonts w:hint="eastAsia" w:cs="仿宋" w:asciiTheme="majorEastAsia" w:hAnsiTheme="majorEastAsia" w:eastAsiaTheme="majorEastAsia"/>
          <w:bCs/>
          <w:color w:val="FF0000"/>
          <w:sz w:val="24"/>
          <w:szCs w:val="24"/>
        </w:rPr>
        <w:t>、操作LGL-200型</w:t>
      </w:r>
      <w:r>
        <w:rPr>
          <w:rFonts w:hint="eastAsia" w:cs="仿宋" w:asciiTheme="majorEastAsia" w:hAnsiTheme="majorEastAsia" w:eastAsiaTheme="majorEastAsia"/>
          <w:color w:val="FF0000"/>
          <w:sz w:val="24"/>
          <w:szCs w:val="24"/>
        </w:rPr>
        <w:t>流化床制粒干燥机物料完成流化床制粒任务、</w:t>
      </w:r>
      <w:bookmarkStart w:id="193" w:name="OLE_LINK56"/>
      <w:r>
        <w:rPr>
          <w:rFonts w:hint="eastAsia" w:cs="仿宋" w:asciiTheme="majorEastAsia" w:hAnsiTheme="majorEastAsia" w:eastAsiaTheme="majorEastAsia"/>
          <w:color w:val="FF0000"/>
          <w:sz w:val="24"/>
          <w:szCs w:val="24"/>
        </w:rPr>
        <w:t>物料交接、岗位清场、清场检查、离开车间。</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其中快速混合搅拌切割制粒机需包含：真空泵吸料、开机、关机、顶升、顶降、风机（开/关）、加热（开/关）、喷雾（开/关）、左清灰、右清灰的仿真操作。</w:t>
      </w:r>
    </w:p>
    <w:bookmarkEnd w:id="193"/>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Start w:id="194" w:name="OLE_LINK53"/>
      <w:r>
        <w:rPr>
          <w:rFonts w:hint="eastAsia" w:cs="仿宋" w:asciiTheme="majorEastAsia" w:hAnsiTheme="majorEastAsia" w:eastAsiaTheme="majorEastAsia"/>
          <w:bCs/>
          <w:color w:val="FF0000"/>
          <w:sz w:val="24"/>
          <w:szCs w:val="24"/>
        </w:rPr>
        <w:t>LGL-200型</w:t>
      </w:r>
      <w:r>
        <w:rPr>
          <w:rFonts w:hint="eastAsia" w:cs="仿宋" w:asciiTheme="majorEastAsia" w:hAnsiTheme="majorEastAsia" w:eastAsiaTheme="majorEastAsia"/>
          <w:color w:val="FF0000"/>
          <w:sz w:val="24"/>
          <w:szCs w:val="24"/>
        </w:rPr>
        <w:t>流化床制粒干燥机</w:t>
      </w:r>
      <w:bookmarkEnd w:id="194"/>
      <w:r>
        <w:rPr>
          <w:rFonts w:hint="eastAsia" w:cs="仿宋" w:asciiTheme="majorEastAsia" w:hAnsiTheme="majorEastAsia" w:eastAsiaTheme="majorEastAsia"/>
          <w:color w:val="FF0000"/>
          <w:sz w:val="24"/>
          <w:szCs w:val="24"/>
        </w:rPr>
        <w:t>。</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8、沸腾干燥岗位</w:t>
      </w:r>
    </w:p>
    <w:p>
      <w:pPr>
        <w:spacing w:line="400" w:lineRule="exact"/>
        <w:ind w:firstLine="480" w:firstLineChars="200"/>
        <w:rPr>
          <w:rFonts w:cs="仿宋" w:asciiTheme="majorEastAsia" w:hAnsiTheme="majorEastAsia" w:eastAsiaTheme="majorEastAsia"/>
          <w:color w:val="FF0000"/>
          <w:sz w:val="24"/>
          <w:szCs w:val="24"/>
        </w:rPr>
      </w:pPr>
      <w:bookmarkStart w:id="195" w:name="OLE_LINK68"/>
      <w:r>
        <w:rPr>
          <w:rFonts w:hint="eastAsia" w:cs="仿宋" w:asciiTheme="majorEastAsia" w:hAnsiTheme="majorEastAsia" w:eastAsiaTheme="majorEastAsia"/>
          <w:color w:val="FF0000"/>
          <w:sz w:val="24"/>
          <w:szCs w:val="24"/>
        </w:rPr>
        <w:t>仿真任务包括：</w:t>
      </w:r>
      <w:bookmarkEnd w:id="195"/>
      <w:bookmarkStart w:id="196" w:name="OLE_LINK69"/>
      <w:r>
        <w:rPr>
          <w:rFonts w:hint="eastAsia" w:cs="仿宋" w:asciiTheme="majorEastAsia" w:hAnsiTheme="majorEastAsia" w:eastAsiaTheme="majorEastAsia"/>
          <w:color w:val="FF0000"/>
          <w:sz w:val="24"/>
          <w:szCs w:val="24"/>
        </w:rPr>
        <w:t>领取文件、生产前检查、</w:t>
      </w:r>
      <w:bookmarkEnd w:id="196"/>
      <w:r>
        <w:rPr>
          <w:rFonts w:hint="eastAsia" w:cs="仿宋" w:asciiTheme="majorEastAsia" w:hAnsiTheme="majorEastAsia" w:eastAsiaTheme="majorEastAsia"/>
          <w:color w:val="FF0000"/>
          <w:sz w:val="24"/>
          <w:szCs w:val="24"/>
        </w:rPr>
        <w:t>操作GFG系列高效沸腾干燥机完成生产任务、物料交接</w:t>
      </w:r>
      <w:bookmarkStart w:id="197" w:name="OLE_LINK70"/>
      <w:r>
        <w:rPr>
          <w:rFonts w:hint="eastAsia" w:cs="仿宋" w:asciiTheme="majorEastAsia" w:hAnsiTheme="majorEastAsia" w:eastAsiaTheme="majorEastAsia"/>
          <w:color w:val="FF0000"/>
          <w:sz w:val="24"/>
          <w:szCs w:val="24"/>
        </w:rPr>
        <w:t>、岗位清场、清场检查、离开车间。</w:t>
      </w:r>
    </w:p>
    <w:bookmarkEnd w:id="197"/>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设备仿真操作：</w:t>
      </w:r>
      <w:bookmarkStart w:id="198" w:name="OLE_LINK57"/>
      <w:r>
        <w:rPr>
          <w:rFonts w:hint="eastAsia" w:cs="仿宋" w:asciiTheme="majorEastAsia" w:hAnsiTheme="majorEastAsia" w:eastAsiaTheme="majorEastAsia"/>
          <w:color w:val="FF0000"/>
          <w:sz w:val="24"/>
          <w:szCs w:val="24"/>
        </w:rPr>
        <w:t>GFG系列高效沸腾干燥机</w:t>
      </w:r>
      <w:bookmarkEnd w:id="198"/>
      <w:r>
        <w:rPr>
          <w:rFonts w:hint="eastAsia" w:cs="仿宋" w:asciiTheme="majorEastAsia" w:hAnsiTheme="majorEastAsia" w:eastAsiaTheme="majorEastAsia"/>
          <w:color w:val="FF0000"/>
          <w:sz w:val="24"/>
          <w:szCs w:val="24"/>
        </w:rPr>
        <w:t>。</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9、烘箱干燥岗位</w:t>
      </w:r>
    </w:p>
    <w:p>
      <w:pPr>
        <w:spacing w:line="400" w:lineRule="exact"/>
        <w:ind w:firstLine="480" w:firstLineChars="200"/>
        <w:rPr>
          <w:rFonts w:cs="仿宋" w:asciiTheme="majorEastAsia" w:hAnsiTheme="majorEastAsia" w:eastAsiaTheme="majorEastAsia"/>
          <w:color w:val="FF0000"/>
          <w:sz w:val="24"/>
          <w:szCs w:val="24"/>
        </w:rPr>
      </w:pPr>
      <w:bookmarkStart w:id="199" w:name="OLE_LINK72"/>
      <w:r>
        <w:rPr>
          <w:rFonts w:hint="eastAsia" w:cs="仿宋" w:asciiTheme="majorEastAsia" w:hAnsiTheme="majorEastAsia" w:eastAsiaTheme="majorEastAsia"/>
          <w:color w:val="FF0000"/>
          <w:sz w:val="24"/>
          <w:szCs w:val="24"/>
        </w:rPr>
        <w:t>仿真任务包括：</w:t>
      </w:r>
      <w:bookmarkEnd w:id="199"/>
      <w:bookmarkStart w:id="200" w:name="OLE_LINK73"/>
      <w:r>
        <w:rPr>
          <w:rFonts w:hint="eastAsia" w:cs="仿宋" w:asciiTheme="majorEastAsia" w:hAnsiTheme="majorEastAsia" w:eastAsiaTheme="majorEastAsia"/>
          <w:color w:val="FF0000"/>
          <w:sz w:val="24"/>
          <w:szCs w:val="24"/>
        </w:rPr>
        <w:t>领取文件、生产前检查、</w:t>
      </w:r>
      <w:bookmarkEnd w:id="200"/>
      <w:r>
        <w:rPr>
          <w:rFonts w:hint="eastAsia" w:cs="仿宋" w:asciiTheme="majorEastAsia" w:hAnsiTheme="majorEastAsia" w:eastAsiaTheme="majorEastAsia"/>
          <w:color w:val="FF0000"/>
          <w:sz w:val="24"/>
          <w:szCs w:val="24"/>
        </w:rPr>
        <w:t>操作热风循环烘箱完成生产任务、</w:t>
      </w:r>
      <w:bookmarkStart w:id="201" w:name="OLE_LINK75"/>
      <w:r>
        <w:rPr>
          <w:rFonts w:hint="eastAsia" w:cs="仿宋" w:asciiTheme="majorEastAsia" w:hAnsiTheme="majorEastAsia" w:eastAsiaTheme="majorEastAsia"/>
          <w:color w:val="FF0000"/>
          <w:sz w:val="24"/>
          <w:szCs w:val="24"/>
        </w:rPr>
        <w:t>物料周转、岗位清场、清场检查、离开车间。</w:t>
      </w:r>
    </w:p>
    <w:bookmarkEnd w:id="201"/>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设备仿真操作：</w:t>
      </w:r>
      <w:bookmarkStart w:id="202" w:name="OLE_LINK71"/>
      <w:r>
        <w:rPr>
          <w:rFonts w:hint="eastAsia" w:cs="仿宋" w:asciiTheme="majorEastAsia" w:hAnsiTheme="majorEastAsia" w:eastAsiaTheme="majorEastAsia"/>
          <w:color w:val="FF0000"/>
          <w:sz w:val="24"/>
          <w:szCs w:val="24"/>
        </w:rPr>
        <w:t>热风循环烘箱</w:t>
      </w:r>
      <w:bookmarkEnd w:id="202"/>
      <w:r>
        <w:rPr>
          <w:rFonts w:hint="eastAsia" w:cs="仿宋" w:asciiTheme="majorEastAsia" w:hAnsiTheme="majorEastAsia" w:eastAsiaTheme="majorEastAsia"/>
          <w:color w:val="FF0000"/>
          <w:sz w:val="24"/>
          <w:szCs w:val="24"/>
        </w:rPr>
        <w:t>。</w:t>
      </w:r>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整粒岗位</w:t>
      </w:r>
    </w:p>
    <w:p>
      <w:pPr>
        <w:spacing w:line="400" w:lineRule="exact"/>
        <w:ind w:firstLine="480" w:firstLineChars="200"/>
        <w:rPr>
          <w:rFonts w:cs="仿宋" w:asciiTheme="majorEastAsia" w:hAnsiTheme="majorEastAsia" w:eastAsiaTheme="majorEastAsia"/>
          <w:color w:val="FF0000"/>
          <w:sz w:val="24"/>
          <w:szCs w:val="24"/>
        </w:rPr>
      </w:pPr>
      <w:bookmarkStart w:id="203" w:name="OLE_LINK76"/>
      <w:r>
        <w:rPr>
          <w:rFonts w:hint="eastAsia" w:cs="仿宋" w:asciiTheme="majorEastAsia" w:hAnsiTheme="majorEastAsia" w:eastAsiaTheme="majorEastAsia"/>
          <w:color w:val="FF0000"/>
          <w:sz w:val="24"/>
          <w:szCs w:val="24"/>
        </w:rPr>
        <w:t>仿真任务包括：</w:t>
      </w:r>
      <w:bookmarkEnd w:id="203"/>
      <w:bookmarkStart w:id="204" w:name="OLE_LINK77"/>
      <w:r>
        <w:rPr>
          <w:rFonts w:hint="eastAsia" w:cs="仿宋" w:asciiTheme="majorEastAsia" w:hAnsiTheme="majorEastAsia" w:eastAsiaTheme="majorEastAsia"/>
          <w:color w:val="FF0000"/>
          <w:sz w:val="24"/>
          <w:szCs w:val="24"/>
        </w:rPr>
        <w:t>领取文件、生产前检查、</w:t>
      </w:r>
      <w:bookmarkEnd w:id="204"/>
      <w:r>
        <w:rPr>
          <w:rFonts w:hint="eastAsia" w:cs="仿宋" w:asciiTheme="majorEastAsia" w:hAnsiTheme="majorEastAsia" w:eastAsiaTheme="majorEastAsia"/>
          <w:color w:val="FF0000"/>
          <w:sz w:val="24"/>
          <w:szCs w:val="24"/>
        </w:rPr>
        <w:t>操作提升式快速整粒机完成生产任务、</w:t>
      </w:r>
      <w:bookmarkStart w:id="205" w:name="OLE_LINK79"/>
      <w:r>
        <w:rPr>
          <w:rFonts w:hint="eastAsia" w:cs="仿宋" w:asciiTheme="majorEastAsia" w:hAnsiTheme="majorEastAsia" w:eastAsiaTheme="majorEastAsia"/>
          <w:color w:val="FF0000"/>
          <w:sz w:val="24"/>
          <w:szCs w:val="24"/>
        </w:rPr>
        <w:t>物料周转、岗位清场、清场检查、离开车间。</w:t>
      </w:r>
    </w:p>
    <w:bookmarkEnd w:id="205"/>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设备仿真操作：</w:t>
      </w:r>
      <w:bookmarkStart w:id="206" w:name="OLE_LINK74"/>
      <w:r>
        <w:rPr>
          <w:rFonts w:hint="eastAsia" w:cs="仿宋" w:asciiTheme="majorEastAsia" w:hAnsiTheme="majorEastAsia" w:eastAsiaTheme="majorEastAsia"/>
          <w:color w:val="FF0000"/>
          <w:sz w:val="24"/>
          <w:szCs w:val="24"/>
        </w:rPr>
        <w:t>提升式快速整粒机</w:t>
      </w:r>
      <w:bookmarkEnd w:id="206"/>
      <w:r>
        <w:rPr>
          <w:rFonts w:hint="eastAsia" w:cs="仿宋" w:asciiTheme="majorEastAsia" w:hAnsiTheme="majorEastAsia" w:eastAsiaTheme="majorEastAsia"/>
          <w:color w:val="FF0000"/>
          <w:sz w:val="24"/>
          <w:szCs w:val="24"/>
        </w:rPr>
        <w:t>。</w:t>
      </w:r>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总混岗位</w:t>
      </w:r>
    </w:p>
    <w:p>
      <w:pPr>
        <w:spacing w:line="400" w:lineRule="exact"/>
        <w:ind w:firstLine="480" w:firstLineChars="200"/>
        <w:rPr>
          <w:rFonts w:cs="仿宋" w:asciiTheme="majorEastAsia" w:hAnsiTheme="majorEastAsia" w:eastAsiaTheme="majorEastAsia"/>
          <w:bCs/>
          <w:color w:val="FF0000"/>
          <w:sz w:val="24"/>
          <w:szCs w:val="24"/>
        </w:rPr>
      </w:pPr>
      <w:bookmarkStart w:id="207" w:name="OLE_LINK80"/>
      <w:bookmarkStart w:id="208" w:name="OLE_LINK63"/>
      <w:r>
        <w:rPr>
          <w:rFonts w:hint="eastAsia" w:cs="仿宋" w:asciiTheme="majorEastAsia" w:hAnsiTheme="majorEastAsia" w:eastAsiaTheme="majorEastAsia"/>
          <w:color w:val="FF0000"/>
          <w:sz w:val="24"/>
          <w:szCs w:val="24"/>
        </w:rPr>
        <w:t>仿真任务包括：</w:t>
      </w:r>
      <w:bookmarkEnd w:id="207"/>
      <w:bookmarkStart w:id="209" w:name="OLE_LINK81"/>
      <w:r>
        <w:rPr>
          <w:rFonts w:hint="eastAsia" w:cs="仿宋" w:asciiTheme="majorEastAsia" w:hAnsiTheme="majorEastAsia" w:eastAsiaTheme="majorEastAsia"/>
          <w:color w:val="FF0000"/>
          <w:sz w:val="24"/>
          <w:szCs w:val="24"/>
        </w:rPr>
        <w:t>领取文件、生产前检查、领取物料、</w:t>
      </w:r>
      <w:bookmarkEnd w:id="209"/>
      <w:r>
        <w:rPr>
          <w:rFonts w:hint="eastAsia" w:cs="仿宋" w:asciiTheme="majorEastAsia" w:hAnsiTheme="majorEastAsia" w:eastAsiaTheme="majorEastAsia"/>
          <w:color w:val="FF0000"/>
          <w:sz w:val="24"/>
          <w:szCs w:val="24"/>
        </w:rPr>
        <w:t>操作料斗混合机</w:t>
      </w:r>
      <w:bookmarkStart w:id="210" w:name="OLE_LINK83"/>
      <w:r>
        <w:rPr>
          <w:rFonts w:hint="eastAsia" w:cs="仿宋" w:asciiTheme="majorEastAsia" w:hAnsiTheme="majorEastAsia" w:eastAsiaTheme="majorEastAsia"/>
          <w:color w:val="FF0000"/>
          <w:sz w:val="24"/>
          <w:szCs w:val="24"/>
        </w:rPr>
        <w:t>完成生产任务、物料周转、岗位清场、清场检查、离开车间。</w:t>
      </w:r>
    </w:p>
    <w:bookmarkEnd w:id="210"/>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End w:id="208"/>
      <w:bookmarkStart w:id="211" w:name="OLE_LINK78"/>
      <w:r>
        <w:rPr>
          <w:rFonts w:hint="eastAsia" w:cs="仿宋" w:asciiTheme="majorEastAsia" w:hAnsiTheme="majorEastAsia" w:eastAsiaTheme="majorEastAsia"/>
          <w:color w:val="FF0000"/>
          <w:sz w:val="24"/>
          <w:szCs w:val="24"/>
        </w:rPr>
        <w:t>料斗混合机</w:t>
      </w:r>
      <w:bookmarkEnd w:id="211"/>
      <w:r>
        <w:rPr>
          <w:rFonts w:hint="eastAsia" w:cs="仿宋" w:asciiTheme="majorEastAsia" w:hAnsiTheme="majorEastAsia" w:eastAsiaTheme="majorEastAsia"/>
          <w:color w:val="FF0000"/>
          <w:sz w:val="24"/>
          <w:szCs w:val="24"/>
        </w:rPr>
        <w:t>。</w:t>
      </w:r>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压片岗位</w:t>
      </w:r>
    </w:p>
    <w:p>
      <w:pPr>
        <w:spacing w:line="400" w:lineRule="exact"/>
        <w:ind w:firstLine="480" w:firstLineChars="200"/>
        <w:rPr>
          <w:rFonts w:cs="仿宋" w:asciiTheme="majorEastAsia" w:hAnsiTheme="majorEastAsia" w:eastAsiaTheme="majorEastAsia"/>
          <w:color w:val="FF0000"/>
          <w:sz w:val="24"/>
          <w:szCs w:val="24"/>
        </w:rPr>
      </w:pPr>
      <w:bookmarkStart w:id="212" w:name="OLE_LINK84"/>
      <w:bookmarkStart w:id="213" w:name="OLE_LINK64"/>
      <w:r>
        <w:rPr>
          <w:rFonts w:hint="eastAsia" w:cs="仿宋" w:asciiTheme="majorEastAsia" w:hAnsiTheme="majorEastAsia" w:eastAsiaTheme="majorEastAsia"/>
          <w:color w:val="FF0000"/>
          <w:sz w:val="24"/>
          <w:szCs w:val="24"/>
        </w:rPr>
        <w:t>仿真任务包括：</w:t>
      </w:r>
      <w:bookmarkEnd w:id="212"/>
      <w:bookmarkStart w:id="214" w:name="OLE_LINK85"/>
      <w:r>
        <w:rPr>
          <w:rFonts w:hint="eastAsia" w:cs="仿宋" w:asciiTheme="majorEastAsia" w:hAnsiTheme="majorEastAsia" w:eastAsiaTheme="majorEastAsia"/>
          <w:color w:val="FF0000"/>
          <w:sz w:val="24"/>
          <w:szCs w:val="24"/>
        </w:rPr>
        <w:t>领取文件、生产前检查、领取物料、</w:t>
      </w:r>
      <w:bookmarkEnd w:id="214"/>
      <w:r>
        <w:rPr>
          <w:rFonts w:hint="eastAsia" w:cs="仿宋" w:asciiTheme="majorEastAsia" w:hAnsiTheme="majorEastAsia" w:eastAsiaTheme="majorEastAsia"/>
          <w:color w:val="FF0000"/>
          <w:sz w:val="24"/>
          <w:szCs w:val="24"/>
        </w:rPr>
        <w:t>操作ZP-35型高速旋转式压片机</w:t>
      </w:r>
      <w:bookmarkStart w:id="215" w:name="OLE_LINK87"/>
      <w:r>
        <w:rPr>
          <w:rFonts w:hint="eastAsia" w:cs="仿宋" w:asciiTheme="majorEastAsia" w:hAnsiTheme="majorEastAsia" w:eastAsiaTheme="majorEastAsia"/>
          <w:color w:val="FF0000"/>
          <w:sz w:val="24"/>
          <w:szCs w:val="24"/>
        </w:rPr>
        <w:t>完成生产任务、物料周转、岗位清场、清场检查、离开车间。</w:t>
      </w:r>
    </w:p>
    <w:bookmarkEnd w:id="215"/>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End w:id="213"/>
      <w:bookmarkStart w:id="216" w:name="OLE_LINK82"/>
      <w:r>
        <w:rPr>
          <w:rFonts w:hint="eastAsia" w:cs="仿宋" w:asciiTheme="majorEastAsia" w:hAnsiTheme="majorEastAsia" w:eastAsiaTheme="majorEastAsia"/>
          <w:color w:val="FF0000"/>
          <w:sz w:val="24"/>
          <w:szCs w:val="24"/>
        </w:rPr>
        <w:t>ZP-35型高速旋转式压片机</w:t>
      </w:r>
      <w:bookmarkEnd w:id="216"/>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包衣岗位</w:t>
      </w:r>
    </w:p>
    <w:p>
      <w:pPr>
        <w:spacing w:line="400" w:lineRule="exact"/>
        <w:ind w:firstLine="480" w:firstLineChars="200"/>
        <w:rPr>
          <w:rFonts w:cs="仿宋" w:asciiTheme="majorEastAsia" w:hAnsiTheme="majorEastAsia" w:eastAsiaTheme="majorEastAsia"/>
          <w:color w:val="FF0000"/>
          <w:sz w:val="24"/>
          <w:szCs w:val="24"/>
        </w:rPr>
      </w:pPr>
      <w:bookmarkStart w:id="217" w:name="OLE_LINK88"/>
      <w:bookmarkStart w:id="218" w:name="OLE_LINK65"/>
      <w:r>
        <w:rPr>
          <w:rFonts w:hint="eastAsia" w:cs="仿宋" w:asciiTheme="majorEastAsia" w:hAnsiTheme="majorEastAsia" w:eastAsiaTheme="majorEastAsia"/>
          <w:color w:val="FF0000"/>
          <w:sz w:val="24"/>
          <w:szCs w:val="24"/>
        </w:rPr>
        <w:t>仿真任务包括：领取文件、生产前检查、领取物料、</w:t>
      </w:r>
      <w:bookmarkEnd w:id="217"/>
      <w:bookmarkStart w:id="219" w:name="OLE_LINK90"/>
      <w:r>
        <w:rPr>
          <w:rFonts w:hint="eastAsia" w:cs="仿宋" w:asciiTheme="majorEastAsia" w:hAnsiTheme="majorEastAsia" w:eastAsiaTheme="majorEastAsia"/>
          <w:color w:val="FF0000"/>
          <w:sz w:val="24"/>
          <w:szCs w:val="24"/>
        </w:rPr>
        <w:t>操作</w:t>
      </w:r>
      <w:bookmarkEnd w:id="219"/>
      <w:r>
        <w:rPr>
          <w:rFonts w:hint="eastAsia" w:cs="仿宋" w:asciiTheme="majorEastAsia" w:hAnsiTheme="majorEastAsia" w:eastAsiaTheme="majorEastAsia"/>
          <w:color w:val="FF0000"/>
          <w:sz w:val="24"/>
          <w:szCs w:val="24"/>
        </w:rPr>
        <w:t>BG系列高效包衣机</w:t>
      </w:r>
      <w:bookmarkStart w:id="220" w:name="OLE_LINK91"/>
      <w:r>
        <w:rPr>
          <w:rFonts w:hint="eastAsia" w:cs="仿宋" w:asciiTheme="majorEastAsia" w:hAnsiTheme="majorEastAsia" w:eastAsiaTheme="majorEastAsia"/>
          <w:color w:val="FF0000"/>
          <w:sz w:val="24"/>
          <w:szCs w:val="24"/>
        </w:rPr>
        <w:t>完成生产任务、物料周转、岗位清场、清场检查、离开车间。</w:t>
      </w:r>
      <w:bookmarkEnd w:id="220"/>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End w:id="218"/>
      <w:bookmarkStart w:id="221" w:name="OLE_LINK86"/>
      <w:r>
        <w:rPr>
          <w:rFonts w:hint="eastAsia" w:cs="仿宋" w:asciiTheme="majorEastAsia" w:hAnsiTheme="majorEastAsia" w:eastAsiaTheme="majorEastAsia"/>
          <w:color w:val="FF0000"/>
          <w:sz w:val="24"/>
          <w:szCs w:val="24"/>
        </w:rPr>
        <w:t>BG系列高效包衣机</w:t>
      </w:r>
      <w:bookmarkEnd w:id="221"/>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胶囊填充岗位</w:t>
      </w:r>
    </w:p>
    <w:p>
      <w:pPr>
        <w:spacing w:line="400" w:lineRule="exact"/>
        <w:ind w:firstLine="480" w:firstLineChars="200"/>
        <w:rPr>
          <w:rFonts w:cs="仿宋" w:asciiTheme="majorEastAsia" w:hAnsiTheme="majorEastAsia" w:eastAsiaTheme="majorEastAsia"/>
          <w:bCs/>
          <w:color w:val="FF0000"/>
          <w:sz w:val="24"/>
          <w:szCs w:val="24"/>
        </w:rPr>
      </w:pPr>
      <w:bookmarkStart w:id="222" w:name="OLE_LINK92"/>
      <w:bookmarkStart w:id="223" w:name="OLE_LINK66"/>
      <w:r>
        <w:rPr>
          <w:rFonts w:hint="eastAsia" w:cs="仿宋" w:asciiTheme="majorEastAsia" w:hAnsiTheme="majorEastAsia" w:eastAsiaTheme="majorEastAsia"/>
          <w:color w:val="FF0000"/>
          <w:sz w:val="24"/>
          <w:szCs w:val="24"/>
        </w:rPr>
        <w:t>仿真任务包括：领取文件、生产前检查、领取物料、操作</w:t>
      </w:r>
      <w:bookmarkEnd w:id="222"/>
      <w:r>
        <w:rPr>
          <w:rFonts w:hint="eastAsia" w:cs="仿宋" w:asciiTheme="majorEastAsia" w:hAnsiTheme="majorEastAsia" w:eastAsiaTheme="majorEastAsia"/>
          <w:color w:val="FF0000"/>
          <w:sz w:val="24"/>
          <w:szCs w:val="24"/>
        </w:rPr>
        <w:t>NJP型全自动胶囊充填机</w:t>
      </w:r>
      <w:bookmarkStart w:id="224" w:name="OLE_LINK94"/>
      <w:r>
        <w:rPr>
          <w:rFonts w:hint="eastAsia" w:cs="仿宋" w:asciiTheme="majorEastAsia" w:hAnsiTheme="majorEastAsia" w:eastAsiaTheme="majorEastAsia"/>
          <w:color w:val="FF0000"/>
          <w:sz w:val="24"/>
          <w:szCs w:val="24"/>
        </w:rPr>
        <w:t>完成生产任务、物料周转、岗位清场、清场检查、离开车间。</w:t>
      </w:r>
    </w:p>
    <w:bookmarkEnd w:id="224"/>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End w:id="223"/>
      <w:bookmarkStart w:id="225" w:name="OLE_LINK89"/>
      <w:r>
        <w:rPr>
          <w:rFonts w:hint="eastAsia" w:cs="仿宋" w:asciiTheme="majorEastAsia" w:hAnsiTheme="majorEastAsia" w:eastAsiaTheme="majorEastAsia"/>
          <w:color w:val="FF0000"/>
          <w:sz w:val="24"/>
          <w:szCs w:val="24"/>
        </w:rPr>
        <w:t>NJP型全自动胶囊充填机</w:t>
      </w:r>
      <w:bookmarkEnd w:id="225"/>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颗粒包装岗位</w:t>
      </w:r>
    </w:p>
    <w:p>
      <w:pPr>
        <w:spacing w:line="400" w:lineRule="exact"/>
        <w:ind w:firstLine="480" w:firstLineChars="200"/>
        <w:rPr>
          <w:rFonts w:cs="仿宋" w:asciiTheme="majorEastAsia" w:hAnsiTheme="majorEastAsia" w:eastAsiaTheme="majorEastAsia"/>
          <w:color w:val="FF0000"/>
          <w:sz w:val="24"/>
          <w:szCs w:val="24"/>
        </w:rPr>
      </w:pPr>
      <w:bookmarkStart w:id="226" w:name="OLE_LINK95"/>
      <w:r>
        <w:rPr>
          <w:rFonts w:hint="eastAsia" w:cs="仿宋" w:asciiTheme="majorEastAsia" w:hAnsiTheme="majorEastAsia" w:eastAsiaTheme="majorEastAsia"/>
          <w:color w:val="FF0000"/>
          <w:sz w:val="24"/>
          <w:szCs w:val="24"/>
        </w:rPr>
        <w:t>仿真任务包括：领取文件、生产前检查、领取物料、</w:t>
      </w:r>
      <w:bookmarkEnd w:id="226"/>
      <w:bookmarkStart w:id="227" w:name="OLE_LINK96"/>
      <w:r>
        <w:rPr>
          <w:rFonts w:hint="eastAsia" w:cs="仿宋" w:asciiTheme="majorEastAsia" w:hAnsiTheme="majorEastAsia" w:eastAsiaTheme="majorEastAsia"/>
          <w:color w:val="FF0000"/>
          <w:sz w:val="24"/>
          <w:szCs w:val="24"/>
        </w:rPr>
        <w:t>操作</w:t>
      </w:r>
      <w:bookmarkEnd w:id="227"/>
      <w:r>
        <w:rPr>
          <w:rFonts w:hint="eastAsia" w:cs="仿宋" w:asciiTheme="majorEastAsia" w:hAnsiTheme="majorEastAsia" w:eastAsiaTheme="majorEastAsia"/>
          <w:color w:val="FF0000"/>
          <w:sz w:val="24"/>
          <w:szCs w:val="24"/>
        </w:rPr>
        <w:t>DXD-K80C 颗粒包装机完成生产任务、物料周转、</w:t>
      </w:r>
      <w:bookmarkStart w:id="228" w:name="OLE_LINK98"/>
      <w:r>
        <w:rPr>
          <w:rFonts w:hint="eastAsia" w:cs="仿宋" w:asciiTheme="majorEastAsia" w:hAnsiTheme="majorEastAsia" w:eastAsiaTheme="majorEastAsia"/>
          <w:color w:val="FF0000"/>
          <w:sz w:val="24"/>
          <w:szCs w:val="24"/>
        </w:rPr>
        <w:t>岗位清场、清场检查、离开车间。</w:t>
      </w:r>
    </w:p>
    <w:bookmarkEnd w:id="228"/>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设备仿真操作：</w:t>
      </w:r>
      <w:bookmarkStart w:id="229" w:name="OLE_LINK93"/>
      <w:r>
        <w:rPr>
          <w:rFonts w:hint="eastAsia" w:cs="仿宋" w:asciiTheme="majorEastAsia" w:hAnsiTheme="majorEastAsia" w:eastAsiaTheme="majorEastAsia"/>
          <w:color w:val="FF0000"/>
          <w:sz w:val="24"/>
          <w:szCs w:val="24"/>
        </w:rPr>
        <w:t>DXD-K80C 颗粒包装机</w:t>
      </w:r>
    </w:p>
    <w:bookmarkEnd w:id="229"/>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铝塑包装岗位</w:t>
      </w:r>
    </w:p>
    <w:p>
      <w:pPr>
        <w:spacing w:line="400" w:lineRule="exact"/>
        <w:ind w:firstLine="480" w:firstLineChars="200"/>
        <w:rPr>
          <w:rFonts w:cs="仿宋" w:asciiTheme="majorEastAsia" w:hAnsiTheme="majorEastAsia" w:eastAsiaTheme="majorEastAsia"/>
          <w:bCs/>
          <w:color w:val="FF0000"/>
          <w:sz w:val="24"/>
          <w:szCs w:val="24"/>
        </w:rPr>
      </w:pPr>
      <w:bookmarkStart w:id="230" w:name="OLE_LINK99"/>
      <w:bookmarkStart w:id="231" w:name="OLE_LINK67"/>
      <w:r>
        <w:rPr>
          <w:rFonts w:hint="eastAsia" w:cs="仿宋" w:asciiTheme="majorEastAsia" w:hAnsiTheme="majorEastAsia" w:eastAsiaTheme="majorEastAsia"/>
          <w:color w:val="FF0000"/>
          <w:sz w:val="24"/>
          <w:szCs w:val="24"/>
        </w:rPr>
        <w:t>仿真任务包括：</w:t>
      </w:r>
      <w:bookmarkEnd w:id="230"/>
      <w:bookmarkStart w:id="232" w:name="OLE_LINK100"/>
      <w:r>
        <w:rPr>
          <w:rFonts w:hint="eastAsia" w:cs="仿宋" w:asciiTheme="majorEastAsia" w:hAnsiTheme="majorEastAsia" w:eastAsiaTheme="majorEastAsia"/>
          <w:color w:val="FF0000"/>
          <w:sz w:val="24"/>
          <w:szCs w:val="24"/>
        </w:rPr>
        <w:t>领取文件、生产前检查、领取物料、生产加工、岗位清场、清场检查、离开车间。</w:t>
      </w:r>
    </w:p>
    <w:bookmarkEnd w:id="232"/>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Cs/>
          <w:color w:val="FF0000"/>
          <w:sz w:val="24"/>
          <w:szCs w:val="24"/>
        </w:rPr>
        <w:t>仿真操作设备：</w:t>
      </w:r>
      <w:bookmarkStart w:id="233" w:name="OLE_LINK97"/>
      <w:r>
        <w:rPr>
          <w:rFonts w:hint="eastAsia" w:cs="仿宋" w:asciiTheme="majorEastAsia" w:hAnsiTheme="majorEastAsia" w:eastAsiaTheme="majorEastAsia"/>
          <w:bCs/>
          <w:color w:val="FF0000"/>
          <w:sz w:val="24"/>
          <w:szCs w:val="24"/>
        </w:rPr>
        <w:t>理瓶机，数粒/数片灌装机，干燥剂投入机，压盖机，封口机，贴标机</w:t>
      </w:r>
      <w:bookmarkEnd w:id="233"/>
      <w:r>
        <w:rPr>
          <w:rFonts w:hint="eastAsia" w:cs="仿宋" w:asciiTheme="majorEastAsia" w:hAnsiTheme="majorEastAsia" w:eastAsiaTheme="majorEastAsia"/>
          <w:bCs/>
          <w:color w:val="FF0000"/>
          <w:sz w:val="24"/>
          <w:szCs w:val="24"/>
        </w:rPr>
        <w:t>。</w:t>
      </w:r>
    </w:p>
    <w:bookmarkEnd w:id="231"/>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塑瓶包装岗位</w:t>
      </w:r>
    </w:p>
    <w:p>
      <w:pPr>
        <w:spacing w:line="400" w:lineRule="exact"/>
        <w:ind w:firstLine="480" w:firstLineChars="200"/>
        <w:rPr>
          <w:rFonts w:cs="仿宋" w:asciiTheme="majorEastAsia" w:hAnsiTheme="majorEastAsia" w:eastAsiaTheme="majorEastAsia"/>
          <w:bCs/>
          <w:color w:val="FF0000"/>
          <w:sz w:val="24"/>
          <w:szCs w:val="24"/>
        </w:rPr>
      </w:pPr>
      <w:bookmarkStart w:id="234" w:name="OLE_LINK101"/>
      <w:r>
        <w:rPr>
          <w:rFonts w:hint="eastAsia" w:cs="仿宋" w:asciiTheme="majorEastAsia" w:hAnsiTheme="majorEastAsia" w:eastAsiaTheme="majorEastAsia"/>
          <w:color w:val="FF0000"/>
          <w:sz w:val="24"/>
          <w:szCs w:val="24"/>
        </w:rPr>
        <w:t>仿真任务包括：</w:t>
      </w:r>
      <w:bookmarkEnd w:id="234"/>
      <w:r>
        <w:rPr>
          <w:rFonts w:hint="eastAsia" w:cs="仿宋" w:asciiTheme="majorEastAsia" w:hAnsiTheme="majorEastAsia" w:eastAsiaTheme="majorEastAsia"/>
          <w:color w:val="FF0000"/>
          <w:sz w:val="24"/>
          <w:szCs w:val="24"/>
        </w:rPr>
        <w:t>领取文件、生产前检查、领取物料、生产加工、岗位清场、清场检查、离开车间。</w:t>
      </w:r>
    </w:p>
    <w:p>
      <w:pPr>
        <w:spacing w:line="400" w:lineRule="exact"/>
        <w:ind w:firstLine="480" w:firstLineChars="200"/>
        <w:rPr>
          <w:rFonts w:cs="仿宋" w:asciiTheme="majorEastAsia" w:hAnsiTheme="majorEastAsia" w:eastAsiaTheme="majorEastAsia"/>
          <w:bCs/>
          <w:color w:val="FF0000"/>
          <w:sz w:val="24"/>
          <w:szCs w:val="24"/>
        </w:rPr>
      </w:pPr>
      <w:r>
        <w:rPr>
          <w:rFonts w:hint="eastAsia" w:cs="仿宋" w:asciiTheme="majorEastAsia" w:hAnsiTheme="majorEastAsia" w:eastAsiaTheme="majorEastAsia"/>
          <w:bCs/>
          <w:color w:val="FF0000"/>
          <w:sz w:val="24"/>
          <w:szCs w:val="24"/>
        </w:rPr>
        <w:t>设备仿真操作：铝塑包装机，自动装盒机。</w:t>
      </w:r>
    </w:p>
    <w:p>
      <w:pPr>
        <w:numPr>
          <w:ilvl w:val="0"/>
          <w:numId w:val="8"/>
        </w:numPr>
        <w:spacing w:line="400" w:lineRule="exact"/>
        <w:ind w:firstLine="480" w:firstLineChars="200"/>
        <w:rPr>
          <w:rFonts w:cs="仿宋" w:asciiTheme="majorEastAsia" w:hAnsiTheme="majorEastAsia" w:eastAsiaTheme="majorEastAsia"/>
          <w:bCs/>
          <w:color w:val="FF0000"/>
          <w:sz w:val="24"/>
          <w:szCs w:val="24"/>
        </w:rPr>
      </w:pPr>
      <w:r>
        <w:rPr>
          <w:rFonts w:hint="eastAsia" w:cs="仿宋" w:asciiTheme="majorEastAsia" w:hAnsiTheme="majorEastAsia" w:eastAsiaTheme="majorEastAsia"/>
          <w:bCs/>
          <w:color w:val="FF0000"/>
          <w:sz w:val="24"/>
          <w:szCs w:val="24"/>
        </w:rPr>
        <w:t>中间站岗位</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仿真任务包括：物料进站、物料出站、填写相关文件。</w:t>
      </w:r>
    </w:p>
    <w:p>
      <w:pPr>
        <w:numPr>
          <w:ilvl w:val="0"/>
          <w:numId w:val="8"/>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中控岗位</w:t>
      </w:r>
    </w:p>
    <w:p>
      <w:pPr>
        <w:spacing w:line="400" w:lineRule="exact"/>
        <w:ind w:firstLine="480" w:firstLineChars="200"/>
        <w:rPr>
          <w:rFonts w:cs="仿宋" w:asciiTheme="majorEastAsia" w:hAnsiTheme="majorEastAsia" w:eastAsiaTheme="majorEastAsia"/>
          <w:color w:val="FF0000"/>
          <w:sz w:val="24"/>
          <w:szCs w:val="24"/>
        </w:rPr>
      </w:pPr>
      <w:bookmarkStart w:id="235" w:name="OLE_LINK103"/>
      <w:r>
        <w:rPr>
          <w:rFonts w:hint="eastAsia" w:cs="仿宋" w:asciiTheme="majorEastAsia" w:hAnsiTheme="majorEastAsia" w:eastAsiaTheme="majorEastAsia"/>
          <w:color w:val="FF0000"/>
          <w:sz w:val="24"/>
          <w:szCs w:val="24"/>
        </w:rPr>
        <w:t>仿真任务</w:t>
      </w:r>
      <w:bookmarkEnd w:id="235"/>
      <w:r>
        <w:rPr>
          <w:rFonts w:hint="eastAsia" w:cs="仿宋" w:asciiTheme="majorEastAsia" w:hAnsiTheme="majorEastAsia" w:eastAsiaTheme="majorEastAsia"/>
          <w:color w:val="FF0000"/>
          <w:sz w:val="24"/>
          <w:szCs w:val="24"/>
        </w:rPr>
        <w:t>包括：获取抽样工具、获取抽样物料、进行物料取样、水分测定仪检验样本、崩解仪检验样本。</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二）药品生产辅助实训仿真模块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1、制药用水系统</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仿真任务包括：领取文件、生产前检查、岗位生产、水质抽检、岗位清场、清场检查。</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其中岗位生产需包含：更换一级反渗透装置状态标志、更换EDI装置状态标志、纯化水制备操作、QA生产检查的仿真操作。</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2、空气净化系统</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该模块必须采用三维动画表现形式，要求画面清晰，色调统一、协调。模型精准，光照自然，贴图真实，运动流畅，镜头应用合理，表现细腻，正确反映主题。</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需包含以下三维动画在内不少于14个的功能段讲解视频：新风段、新回风混合段、初效过滤段、表冷段、加热段、加湿段、除湿段、风机段、消声段、杀菌段、中效过滤段、中间段、亚高效段、出风段。</w:t>
      </w:r>
    </w:p>
    <w:p>
      <w:pPr>
        <w:spacing w:line="400" w:lineRule="exact"/>
        <w:ind w:firstLine="482"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b/>
          <w:bCs/>
          <w:color w:val="FF0000"/>
          <w:sz w:val="24"/>
          <w:szCs w:val="24"/>
        </w:rPr>
        <w:t xml:space="preserve">★  </w:t>
      </w:r>
      <w:r>
        <w:rPr>
          <w:rFonts w:hint="eastAsia" w:cs="仿宋" w:asciiTheme="majorEastAsia" w:hAnsiTheme="majorEastAsia" w:eastAsiaTheme="majorEastAsia"/>
          <w:color w:val="FF0000"/>
          <w:sz w:val="24"/>
          <w:szCs w:val="24"/>
        </w:rPr>
        <w:t>其中“风机段”视频内容需包含：</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竖向、水平两种出风方向介绍</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lang w:eastAsia="zh-CN"/>
        </w:rPr>
      </w:pPr>
      <w:r>
        <w:rPr>
          <w:rFonts w:hint="eastAsia" w:cs="仿宋" w:asciiTheme="majorEastAsia" w:hAnsiTheme="majorEastAsia" w:eastAsiaTheme="majorEastAsia"/>
          <w:color w:val="FF0000"/>
          <w:lang w:eastAsia="zh-CN"/>
        </w:rPr>
        <w:t>风机部件展示：锥套、皮带轮、V型皮带、电机</w:t>
      </w:r>
    </w:p>
    <w:p>
      <w:pPr>
        <w:pStyle w:val="70"/>
        <w:widowControl w:val="0"/>
        <w:numPr>
          <w:ilvl w:val="0"/>
          <w:numId w:val="6"/>
        </w:numPr>
        <w:spacing w:line="400" w:lineRule="exact"/>
        <w:ind w:left="0" w:firstLine="480" w:firstLineChars="200"/>
        <w:contextualSpacing w:val="0"/>
        <w:jc w:val="both"/>
        <w:rPr>
          <w:rFonts w:cs="仿宋" w:asciiTheme="majorEastAsia" w:hAnsiTheme="majorEastAsia" w:eastAsiaTheme="majorEastAsia"/>
          <w:color w:val="FF0000"/>
        </w:rPr>
      </w:pPr>
      <w:r>
        <w:rPr>
          <w:rFonts w:hint="eastAsia" w:cs="仿宋" w:asciiTheme="majorEastAsia" w:hAnsiTheme="majorEastAsia" w:eastAsiaTheme="majorEastAsia"/>
          <w:color w:val="FF0000"/>
        </w:rPr>
        <w:t>风机段检修门介绍</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该知识点视频时长不得短于80s。</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三）场景要求</w:t>
      </w:r>
    </w:p>
    <w:p>
      <w:pPr>
        <w:numPr>
          <w:ilvl w:val="0"/>
          <w:numId w:val="9"/>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仿真场景中的生产加工任务模块有显示隐藏提示信息功能，提示生产设备的核心部件。</w:t>
      </w:r>
    </w:p>
    <w:p>
      <w:pPr>
        <w:numPr>
          <w:ilvl w:val="0"/>
          <w:numId w:val="9"/>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仿真场景中有闪烁的光圈作为任务提示点，并有相应的任务提示文字。</w:t>
      </w:r>
    </w:p>
    <w:p>
      <w:pPr>
        <w:numPr>
          <w:ilvl w:val="0"/>
          <w:numId w:val="9"/>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所有仿真任务符合GMP，有QA检查环节。</w:t>
      </w:r>
    </w:p>
    <w:p>
      <w:pPr>
        <w:numPr>
          <w:ilvl w:val="0"/>
          <w:numId w:val="9"/>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有岗位瞬移功能，用户可以通过岗位瞬移，跳转到生产车间的不同位置。</w:t>
      </w:r>
    </w:p>
    <w:p>
      <w:pPr>
        <w:numPr>
          <w:ilvl w:val="0"/>
          <w:numId w:val="9"/>
        </w:num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操作记录功能，自动记录用户的所有操作及判断错误的操作步骤。</w:t>
      </w:r>
    </w:p>
    <w:p>
      <w:pPr>
        <w:numPr>
          <w:ilvl w:val="0"/>
          <w:numId w:val="9"/>
        </w:numPr>
        <w:spacing w:line="400" w:lineRule="exact"/>
        <w:ind w:firstLine="480" w:firstLineChars="200"/>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color w:val="FF0000"/>
          <w:sz w:val="24"/>
          <w:szCs w:val="24"/>
        </w:rPr>
        <w:t>有文件列表功能，可显示当前岗位所需查看及填写的文件。</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（四）软件模块：仿真考核模块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按实训项目设置考核模块，便于考核模拟实训效果，功能包括：</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1、管理员登陆模块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1.1 用户管理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1.2 科目管理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1.3 考试管理</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2、考试模块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2.1 考试登陆：学生凭学号、姓名即可登陆进行考试。</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2.2 考试选择：考试可按监考考试、试卷名称进行选择。</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2.3 在线考试：文字考题、仿真考题，自动评分；完成的考题自动记录并变色提示，交卷时候全试卷自动检查，如有未答试题并对学生进行提示。</w:t>
      </w:r>
    </w:p>
    <w:p>
      <w:pPr>
        <w:spacing w:line="400" w:lineRule="exact"/>
        <w:ind w:firstLine="482" w:firstLineChars="200"/>
        <w:rPr>
          <w:rFonts w:cs="仿宋" w:asciiTheme="majorEastAsia" w:hAnsiTheme="majorEastAsia" w:eastAsiaTheme="majorEastAsia"/>
          <w:b/>
          <w:color w:val="FF0000"/>
          <w:sz w:val="24"/>
          <w:szCs w:val="24"/>
        </w:rPr>
      </w:pPr>
      <w:r>
        <w:rPr>
          <w:rFonts w:hint="eastAsia" w:cs="仿宋" w:asciiTheme="majorEastAsia" w:hAnsiTheme="majorEastAsia" w:eastAsiaTheme="majorEastAsia"/>
          <w:b/>
          <w:color w:val="FF0000"/>
          <w:sz w:val="24"/>
          <w:szCs w:val="24"/>
        </w:rPr>
        <w:t>3、教师登陆模块</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3.1 题库管理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3.1.1文字考题编辑：文字考题的增、删、改、查。</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3.1.2一览考题：文字考题的一览显示（序号、题目、题型、科目、知识点、答案、难度、出题人、出题时间）。</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3.1.3共享设置：不共享的状态下，题目只有出题人可以选用；共享的状态下，所有教师可以选用。</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3.1.4搜索功能：可按“科目”、“知识点标签”、“题型”、“难度”设置搜索条件，进行全题库查询。</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3.2试卷管理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3.2.1试卷编辑：试卷的增、删、改、查。</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3.2.2一览试卷：所有试卷的一览显示（序号、试卷名、组卷日期、组卷人）。</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3.2.3试卷组成：可由文字考题组成。</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3.2.4预览功能：可以预览完整试卷格式。</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3.3考试管理</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3.3.1一览考试：所有考试的一览显示（序号、试卷名、考试时间、出卷日期、出卷人、状态）。</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3.3.2考试时间：用户可自由控制考试持续时间，考试关闭后，考生将无法提交答卷。</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3.4历史数据3.4.1一览历史考试数据：所有历史进行过的考试一览显示（试卷、老师、开始时间、结束时间）</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3.4.2历史数据查询功能：可按“老师”、“试卷”、“考试时间”设置搜索条件，进行所有历史考试数据查询。</w:t>
      </w:r>
    </w:p>
    <w:p>
      <w:pPr>
        <w:spacing w:line="400" w:lineRule="exact"/>
        <w:ind w:firstLine="480" w:firstLineChars="200"/>
        <w:rPr>
          <w:rFonts w:cs="仿宋"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3.4.3数据分析图表：双击某条数据后，可见柱状、饼状分析图，并可以保存到用户电脑。</w:t>
      </w:r>
    </w:p>
    <w:p>
      <w:pPr>
        <w:pStyle w:val="22"/>
        <w:snapToGrid w:val="0"/>
        <w:spacing w:line="440" w:lineRule="exact"/>
        <w:jc w:val="center"/>
        <w:rPr>
          <w:rFonts w:hAnsi="宋体" w:cs="宋体"/>
          <w:bCs/>
          <w:sz w:val="44"/>
        </w:rPr>
      </w:pPr>
      <w:r>
        <w:rPr>
          <w:rFonts w:hint="eastAsia" w:hAnsi="宋体" w:cs="宋体"/>
          <w:b/>
          <w:bCs/>
          <w:sz w:val="44"/>
        </w:rPr>
        <w:br w:type="page"/>
      </w:r>
      <w:r>
        <w:rPr>
          <w:rFonts w:hint="eastAsia" w:hAnsi="宋体" w:cs="宋体"/>
          <w:b/>
          <w:bCs/>
          <w:sz w:val="44"/>
        </w:rPr>
        <w:t>第五章评标方法与评标标准</w:t>
      </w:r>
    </w:p>
    <w:p>
      <w:pPr>
        <w:rPr>
          <w:rFonts w:ascii="宋体" w:hAnsi="宋体" w:cs="宋体"/>
        </w:rPr>
      </w:pPr>
    </w:p>
    <w:p>
      <w:pPr>
        <w:snapToGrid w:val="0"/>
        <w:spacing w:line="360" w:lineRule="auto"/>
        <w:rPr>
          <w:rFonts w:ascii="宋体" w:hAnsi="宋体" w:cs="宋体"/>
          <w:b/>
          <w:bCs/>
          <w:sz w:val="24"/>
          <w:szCs w:val="24"/>
        </w:rPr>
      </w:pPr>
      <w:r>
        <w:rPr>
          <w:rFonts w:hint="eastAsia" w:ascii="宋体" w:hAnsi="宋体" w:cs="宋体"/>
          <w:b/>
          <w:bCs/>
          <w:sz w:val="24"/>
          <w:szCs w:val="24"/>
        </w:rPr>
        <w:t>一、评标方法与定标原则</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10"/>
        </w:numPr>
        <w:snapToGrid w:val="0"/>
        <w:spacing w:line="360" w:lineRule="auto"/>
        <w:rPr>
          <w:rFonts w:ascii="宋体" w:hAnsi="宋体" w:cs="宋体"/>
          <w:b/>
          <w:bCs/>
          <w:sz w:val="24"/>
          <w:szCs w:val="24"/>
        </w:rPr>
      </w:pPr>
      <w:r>
        <w:rPr>
          <w:rFonts w:hint="eastAsia" w:ascii="宋体" w:hAnsi="宋体" w:cs="宋体"/>
          <w:b/>
          <w:bCs/>
          <w:sz w:val="24"/>
          <w:szCs w:val="24"/>
        </w:rPr>
        <w:t>评标标准</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本项目评分总分值为100分。</w:t>
      </w:r>
    </w:p>
    <w:tbl>
      <w:tblPr>
        <w:tblStyle w:val="44"/>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59"/>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 w:type="dxa"/>
            <w:vAlign w:val="center"/>
          </w:tcPr>
          <w:p>
            <w:pPr>
              <w:jc w:val="center"/>
              <w:rPr>
                <w:rFonts w:cs="宋体" w:asciiTheme="majorEastAsia" w:hAnsiTheme="majorEastAsia" w:eastAsiaTheme="majorEastAsia"/>
                <w:b/>
                <w:color w:val="FF0000"/>
                <w:sz w:val="24"/>
                <w:szCs w:val="24"/>
              </w:rPr>
            </w:pPr>
            <w:r>
              <w:rPr>
                <w:rFonts w:hint="eastAsia" w:cs="宋体" w:asciiTheme="majorEastAsia" w:hAnsiTheme="majorEastAsia" w:eastAsiaTheme="majorEastAsia"/>
                <w:b/>
                <w:color w:val="FF0000"/>
                <w:sz w:val="24"/>
                <w:szCs w:val="24"/>
              </w:rPr>
              <w:t>序号</w:t>
            </w:r>
          </w:p>
        </w:tc>
        <w:tc>
          <w:tcPr>
            <w:tcW w:w="1559" w:type="dxa"/>
            <w:vAlign w:val="center"/>
          </w:tcPr>
          <w:p>
            <w:pPr>
              <w:jc w:val="center"/>
              <w:rPr>
                <w:rFonts w:cs="宋体" w:asciiTheme="majorEastAsia" w:hAnsiTheme="majorEastAsia" w:eastAsiaTheme="majorEastAsia"/>
                <w:b/>
                <w:color w:val="FF0000"/>
                <w:sz w:val="24"/>
                <w:szCs w:val="24"/>
              </w:rPr>
            </w:pPr>
            <w:r>
              <w:rPr>
                <w:rFonts w:hint="eastAsia" w:cs="宋体" w:asciiTheme="majorEastAsia" w:hAnsiTheme="majorEastAsia" w:eastAsiaTheme="majorEastAsia"/>
                <w:b/>
                <w:color w:val="FF0000"/>
                <w:sz w:val="24"/>
                <w:szCs w:val="24"/>
              </w:rPr>
              <w:t>评分因素</w:t>
            </w:r>
          </w:p>
        </w:tc>
        <w:tc>
          <w:tcPr>
            <w:tcW w:w="7379" w:type="dxa"/>
            <w:vAlign w:val="center"/>
          </w:tcPr>
          <w:p>
            <w:pPr>
              <w:jc w:val="center"/>
              <w:rPr>
                <w:rFonts w:cs="宋体" w:asciiTheme="majorEastAsia" w:hAnsiTheme="majorEastAsia" w:eastAsiaTheme="majorEastAsia"/>
                <w:b/>
                <w:color w:val="FF0000"/>
                <w:sz w:val="24"/>
                <w:szCs w:val="24"/>
              </w:rPr>
            </w:pPr>
            <w:r>
              <w:rPr>
                <w:rFonts w:hint="eastAsia" w:cs="宋体" w:asciiTheme="majorEastAsia" w:hAnsiTheme="majorEastAsia" w:eastAsiaTheme="majorEastAsia"/>
                <w:b/>
                <w:color w:val="FF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37" w:type="dxa"/>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1</w:t>
            </w:r>
          </w:p>
        </w:tc>
        <w:tc>
          <w:tcPr>
            <w:tcW w:w="1559" w:type="dxa"/>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价格分</w:t>
            </w:r>
          </w:p>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（60分）</w:t>
            </w:r>
          </w:p>
        </w:tc>
        <w:tc>
          <w:tcPr>
            <w:tcW w:w="7379" w:type="dxa"/>
            <w:vAlign w:val="center"/>
          </w:tcPr>
          <w:p>
            <w:pP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采用低价优先法计算，即满足招标文件要求且投标报价最低的投标报价为评标基准价，其价格为满分60分，其他投标人的报价统一按照下列公式计算：投标报价得分=(评标基准价/投标报价)×60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37" w:type="dxa"/>
            <w:vMerge w:val="restart"/>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2</w:t>
            </w:r>
          </w:p>
        </w:tc>
        <w:tc>
          <w:tcPr>
            <w:tcW w:w="1559" w:type="dxa"/>
            <w:vMerge w:val="restart"/>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技术部分</w:t>
            </w:r>
          </w:p>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（30分）</w:t>
            </w:r>
          </w:p>
        </w:tc>
        <w:tc>
          <w:tcPr>
            <w:tcW w:w="7379" w:type="dxa"/>
            <w:vAlign w:val="center"/>
          </w:tcPr>
          <w:p>
            <w:pPr>
              <w:rPr>
                <w:rFonts w:cs="宋体" w:asciiTheme="majorEastAsia" w:hAnsiTheme="majorEastAsia" w:eastAsiaTheme="majorEastAsia"/>
                <w:b/>
                <w:color w:val="FF0000"/>
                <w:sz w:val="24"/>
                <w:szCs w:val="24"/>
                <w:highlight w:val="none"/>
              </w:rPr>
            </w:pPr>
            <w:r>
              <w:rPr>
                <w:rFonts w:hint="eastAsia" w:cs="仿宋" w:asciiTheme="majorEastAsia" w:hAnsiTheme="majorEastAsia" w:eastAsiaTheme="majorEastAsia"/>
                <w:color w:val="FF0000"/>
                <w:sz w:val="24"/>
                <w:szCs w:val="24"/>
                <w:highlight w:val="none"/>
              </w:rPr>
              <w:t>（1）参数中非★号项每有一项负偏离或不能提供演示的扣1分，扣完为止。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37" w:type="dxa"/>
            <w:vMerge w:val="continue"/>
            <w:vAlign w:val="center"/>
          </w:tcPr>
          <w:p>
            <w:pPr>
              <w:jc w:val="center"/>
              <w:rPr>
                <w:rFonts w:cs="宋体" w:asciiTheme="majorEastAsia" w:hAnsiTheme="majorEastAsia" w:eastAsiaTheme="majorEastAsia"/>
                <w:color w:val="FF0000"/>
                <w:sz w:val="24"/>
                <w:szCs w:val="24"/>
              </w:rPr>
            </w:pPr>
          </w:p>
        </w:tc>
        <w:tc>
          <w:tcPr>
            <w:tcW w:w="1559" w:type="dxa"/>
            <w:vMerge w:val="continue"/>
            <w:vAlign w:val="center"/>
          </w:tcPr>
          <w:p>
            <w:pPr>
              <w:jc w:val="center"/>
              <w:rPr>
                <w:rFonts w:cs="宋体" w:asciiTheme="majorEastAsia" w:hAnsiTheme="majorEastAsia" w:eastAsiaTheme="majorEastAsia"/>
                <w:color w:val="FF0000"/>
                <w:sz w:val="24"/>
                <w:szCs w:val="24"/>
              </w:rPr>
            </w:pPr>
          </w:p>
        </w:tc>
        <w:tc>
          <w:tcPr>
            <w:tcW w:w="7379" w:type="dxa"/>
            <w:vAlign w:val="center"/>
          </w:tcPr>
          <w:p>
            <w:pPr>
              <w:pStyle w:val="39"/>
              <w:spacing w:before="0" w:beforeAutospacing="0" w:after="0" w:afterAutospacing="0"/>
              <w:rPr>
                <w:rFonts w:cs="仿宋" w:asciiTheme="majorEastAsia" w:hAnsiTheme="majorEastAsia" w:eastAsiaTheme="majorEastAsia"/>
                <w:color w:val="FF0000"/>
                <w:highlight w:val="none"/>
              </w:rPr>
            </w:pPr>
            <w:r>
              <w:rPr>
                <w:rFonts w:hint="eastAsia" w:cs="仿宋" w:asciiTheme="majorEastAsia" w:hAnsiTheme="majorEastAsia" w:eastAsiaTheme="majorEastAsia"/>
                <w:color w:val="FF0000"/>
                <w:highlight w:val="none"/>
              </w:rPr>
              <w:t>（2）参数中★号项每有一项负偏离或不能提供演示的扣3分，扣完为止。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Merge w:val="restart"/>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3</w:t>
            </w:r>
          </w:p>
        </w:tc>
        <w:tc>
          <w:tcPr>
            <w:tcW w:w="1559" w:type="dxa"/>
            <w:vMerge w:val="restart"/>
            <w:vAlign w:val="center"/>
          </w:tcPr>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商务部分</w:t>
            </w:r>
          </w:p>
          <w:p>
            <w:pPr>
              <w:jc w:val="center"/>
              <w:rPr>
                <w:rFonts w:cs="宋体" w:asciiTheme="majorEastAsia" w:hAnsiTheme="majorEastAsia" w:eastAsiaTheme="majorEastAsia"/>
                <w:color w:val="FF0000"/>
                <w:sz w:val="24"/>
                <w:szCs w:val="24"/>
              </w:rPr>
            </w:pPr>
            <w:r>
              <w:rPr>
                <w:rFonts w:hint="eastAsia" w:cs="宋体" w:asciiTheme="majorEastAsia" w:hAnsiTheme="majorEastAsia" w:eastAsiaTheme="majorEastAsia"/>
                <w:color w:val="FF0000"/>
                <w:sz w:val="24"/>
                <w:szCs w:val="24"/>
              </w:rPr>
              <w:t>（10分）</w:t>
            </w:r>
          </w:p>
        </w:tc>
        <w:tc>
          <w:tcPr>
            <w:tcW w:w="7379" w:type="dxa"/>
            <w:vAlign w:val="center"/>
          </w:tcPr>
          <w:p>
            <w:pPr>
              <w:adjustRightInd w:val="0"/>
              <w:snapToGrid w:val="0"/>
              <w:ind w:right="-10"/>
              <w:rPr>
                <w:rFonts w:cs="Arial" w:asciiTheme="majorEastAsia" w:hAnsiTheme="majorEastAsia" w:eastAsiaTheme="majorEastAsia"/>
                <w:color w:val="FF0000"/>
                <w:sz w:val="24"/>
                <w:szCs w:val="24"/>
                <w:lang w:val="zh-CN"/>
              </w:rPr>
            </w:pPr>
            <w:r>
              <w:rPr>
                <w:rFonts w:hint="eastAsia" w:cs="仿宋" w:asciiTheme="majorEastAsia" w:hAnsiTheme="majorEastAsia" w:eastAsiaTheme="majorEastAsia"/>
                <w:color w:val="FF0000"/>
                <w:sz w:val="24"/>
                <w:szCs w:val="24"/>
              </w:rPr>
              <w:t>（1）所投产品的软件制造商具有药学虚拟仿真相关的实用新型专利证书，每提供一个加1分，共6分。（提供证书复印件，原件备查）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Merge w:val="continue"/>
            <w:vAlign w:val="center"/>
          </w:tcPr>
          <w:p>
            <w:pPr>
              <w:rPr>
                <w:rFonts w:cs="宋体" w:asciiTheme="majorEastAsia" w:hAnsiTheme="majorEastAsia" w:eastAsiaTheme="majorEastAsia"/>
                <w:color w:val="FF0000"/>
                <w:sz w:val="24"/>
                <w:szCs w:val="24"/>
              </w:rPr>
            </w:pPr>
          </w:p>
        </w:tc>
        <w:tc>
          <w:tcPr>
            <w:tcW w:w="1559" w:type="dxa"/>
            <w:vMerge w:val="continue"/>
            <w:vAlign w:val="center"/>
          </w:tcPr>
          <w:p>
            <w:pPr>
              <w:widowControl/>
              <w:jc w:val="center"/>
              <w:rPr>
                <w:rFonts w:cs="宋体" w:asciiTheme="majorEastAsia" w:hAnsiTheme="majorEastAsia" w:eastAsiaTheme="majorEastAsia"/>
                <w:color w:val="FF0000"/>
                <w:sz w:val="24"/>
                <w:szCs w:val="24"/>
              </w:rPr>
            </w:pPr>
          </w:p>
        </w:tc>
        <w:tc>
          <w:tcPr>
            <w:tcW w:w="7379" w:type="dxa"/>
            <w:vAlign w:val="center"/>
          </w:tcPr>
          <w:p>
            <w:pPr>
              <w:widowControl/>
              <w:rPr>
                <w:rFonts w:cs="Arial"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（2）所投产品的软件制造商为双软企业加2分。（提供证书复印件，原件备查）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Merge w:val="continue"/>
            <w:vAlign w:val="center"/>
          </w:tcPr>
          <w:p>
            <w:pPr>
              <w:rPr>
                <w:rFonts w:cs="宋体" w:asciiTheme="majorEastAsia" w:hAnsiTheme="majorEastAsia" w:eastAsiaTheme="majorEastAsia"/>
                <w:color w:val="FF0000"/>
                <w:sz w:val="24"/>
                <w:szCs w:val="24"/>
              </w:rPr>
            </w:pPr>
          </w:p>
        </w:tc>
        <w:tc>
          <w:tcPr>
            <w:tcW w:w="1559" w:type="dxa"/>
            <w:vMerge w:val="continue"/>
            <w:vAlign w:val="center"/>
          </w:tcPr>
          <w:p>
            <w:pPr>
              <w:widowControl/>
              <w:jc w:val="center"/>
              <w:rPr>
                <w:rFonts w:cs="宋体" w:asciiTheme="majorEastAsia" w:hAnsiTheme="majorEastAsia" w:eastAsiaTheme="majorEastAsia"/>
                <w:color w:val="FF0000"/>
                <w:sz w:val="24"/>
                <w:szCs w:val="24"/>
              </w:rPr>
            </w:pPr>
          </w:p>
        </w:tc>
        <w:tc>
          <w:tcPr>
            <w:tcW w:w="7379" w:type="dxa"/>
            <w:vAlign w:val="center"/>
          </w:tcPr>
          <w:p>
            <w:pPr>
              <w:widowControl/>
              <w:rPr>
                <w:rFonts w:cs="宋体" w:asciiTheme="majorEastAsia" w:hAnsiTheme="majorEastAsia" w:eastAsiaTheme="majorEastAsia"/>
                <w:color w:val="FF0000"/>
                <w:sz w:val="24"/>
                <w:szCs w:val="24"/>
              </w:rPr>
            </w:pPr>
            <w:r>
              <w:rPr>
                <w:rFonts w:hint="eastAsia" w:cs="仿宋" w:asciiTheme="majorEastAsia" w:hAnsiTheme="majorEastAsia" w:eastAsiaTheme="majorEastAsia"/>
                <w:color w:val="FF0000"/>
                <w:sz w:val="24"/>
                <w:szCs w:val="24"/>
              </w:rPr>
              <w:t>（3）所投产品的软件制造商为高新技术企业加2分。（提供证书复印件，原件备查）</w:t>
            </w:r>
          </w:p>
        </w:tc>
      </w:tr>
    </w:tbl>
    <w:p>
      <w:pPr>
        <w:snapToGrid w:val="0"/>
        <w:spacing w:line="460" w:lineRule="exact"/>
        <w:rPr>
          <w:rFonts w:ascii="宋体" w:hAnsi="宋体" w:cs="宋体"/>
          <w:color w:val="000000"/>
          <w:szCs w:val="20"/>
        </w:rPr>
      </w:pPr>
      <w:r>
        <w:rPr>
          <w:rFonts w:hint="eastAsia" w:ascii="宋体" w:hAnsi="宋体" w:cs="宋体"/>
          <w:color w:val="000000"/>
          <w:szCs w:val="20"/>
        </w:rPr>
        <w:t xml:space="preserve">说明： </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1、若供应商提供虚假资料，一经查实取消其中标候选人资格，并向相关主管部门汇报。</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2、中标单位不得转包、分包，如果发现有转包、分包情况，则取消其中标候选人资格，并向相关主管部门汇报。</w:t>
      </w:r>
    </w:p>
    <w:p>
      <w:pPr>
        <w:snapToGrid w:val="0"/>
        <w:spacing w:line="460" w:lineRule="exact"/>
        <w:ind w:firstLine="420" w:firstLineChars="200"/>
        <w:rPr>
          <w:rFonts w:ascii="宋体" w:hAnsi="宋体" w:cs="宋体"/>
          <w:color w:val="FF0000"/>
          <w:szCs w:val="20"/>
        </w:rPr>
      </w:pPr>
      <w:r>
        <w:rPr>
          <w:rFonts w:hint="eastAsia" w:ascii="宋体" w:hAnsi="宋体" w:cs="宋体"/>
          <w:color w:val="FF0000"/>
          <w:szCs w:val="20"/>
        </w:rPr>
        <w:t>3、现场仅提供电源接口，其他演示设备、网络等均由各投标人自行准备。</w:t>
      </w:r>
    </w:p>
    <w:p>
      <w:pPr>
        <w:rPr>
          <w:rFonts w:ascii="宋体" w:hAnsi="宋体" w:cs="宋体"/>
        </w:rPr>
      </w:pPr>
      <w:r>
        <w:rPr>
          <w:rFonts w:hint="eastAsia" w:ascii="宋体" w:hAnsi="宋体" w:cs="宋体"/>
        </w:rPr>
        <w:br w:type="page"/>
      </w:r>
    </w:p>
    <w:p>
      <w:pPr>
        <w:pStyle w:val="2"/>
        <w:rPr>
          <w:rFonts w:ascii="宋体" w:hAnsi="宋体" w:eastAsia="宋体" w:cs="宋体"/>
          <w:bCs/>
          <w:sz w:val="44"/>
        </w:rPr>
      </w:pPr>
      <w:r>
        <w:rPr>
          <w:rFonts w:hint="eastAsia" w:ascii="宋体" w:hAnsi="宋体" w:eastAsia="宋体" w:cs="宋体"/>
          <w:bCs/>
          <w:sz w:val="44"/>
        </w:rPr>
        <w:t>第六章  投标</w:t>
      </w:r>
      <w:bookmarkEnd w:id="159"/>
      <w:bookmarkEnd w:id="160"/>
      <w:bookmarkEnd w:id="161"/>
      <w:r>
        <w:rPr>
          <w:rFonts w:hint="eastAsia" w:ascii="宋体" w:hAnsi="宋体" w:eastAsia="宋体" w:cs="宋体"/>
          <w:bCs/>
          <w:sz w:val="44"/>
        </w:rPr>
        <w:t xml:space="preserve">文件格式 </w:t>
      </w:r>
    </w:p>
    <w:p>
      <w:pPr>
        <w:jc w:val="right"/>
        <w:rPr>
          <w:rFonts w:ascii="宋体" w:hAnsi="宋体" w:cs="宋体"/>
          <w:b/>
          <w:sz w:val="36"/>
        </w:rPr>
      </w:pPr>
      <w:bookmarkStart w:id="236" w:name="_Hlt26955039"/>
      <w:bookmarkEnd w:id="236"/>
      <w:bookmarkStart w:id="237" w:name="_Hlt26671244"/>
      <w:bookmarkEnd w:id="237"/>
      <w:bookmarkStart w:id="238" w:name="_Toc26554094"/>
      <w:bookmarkStart w:id="239" w:name="_Toc49090576"/>
      <w:bookmarkStart w:id="240" w:name="_Toc120614282"/>
    </w:p>
    <w:p>
      <w:pPr>
        <w:jc w:val="right"/>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文  件</w:t>
      </w:r>
    </w:p>
    <w:p>
      <w:pPr>
        <w:ind w:firstLine="1084" w:firstLineChars="300"/>
        <w:jc w:val="center"/>
        <w:rPr>
          <w:rFonts w:ascii="宋体" w:hAnsi="宋体" w:cs="宋体"/>
          <w:b/>
          <w:sz w:val="36"/>
        </w:rPr>
      </w:pPr>
    </w:p>
    <w:p>
      <w:pPr>
        <w:jc w:val="center"/>
        <w:rPr>
          <w:rFonts w:ascii="宋体" w:hAnsi="宋体" w:cs="宋体"/>
          <w:b/>
          <w:color w:val="0000FF"/>
          <w:sz w:val="32"/>
          <w:szCs w:val="3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p>
    <w:p>
      <w:pPr>
        <w:ind w:firstLine="1084" w:firstLineChars="300"/>
        <w:rPr>
          <w:rFonts w:ascii="宋体" w:hAnsi="宋体" w:cs="宋体"/>
          <w:b/>
          <w:sz w:val="36"/>
          <w:u w:val="single"/>
        </w:rPr>
      </w:pPr>
      <w:r>
        <w:rPr>
          <w:rFonts w:hint="eastAsia" w:ascii="宋体" w:hAnsi="宋体" w:cs="宋体"/>
          <w:b/>
          <w:sz w:val="36"/>
        </w:rPr>
        <w:t>招 标 编 号：</w:t>
      </w: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3"/>
              <w:shd w:val="clear" w:color="auto" w:fill="FFFFFF"/>
              <w:spacing w:line="265" w:lineRule="atLeast"/>
              <w:ind w:left="420"/>
              <w:jc w:val="both"/>
              <w:rPr>
                <w:rFonts w:ascii="宋体" w:hAnsi="宋体" w:cs="宋体"/>
                <w:b/>
                <w:lang w:eastAsia="zh-CN"/>
              </w:rPr>
            </w:pPr>
          </w:p>
        </w:tc>
        <w:tc>
          <w:tcPr>
            <w:tcW w:w="3570" w:type="dxa"/>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5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53"/>
              <w:shd w:val="clear" w:color="auto" w:fill="FFFFFF"/>
              <w:spacing w:line="265" w:lineRule="atLeast"/>
              <w:ind w:left="0" w:firstLine="480" w:firstLineChars="200"/>
              <w:rPr>
                <w:rFonts w:ascii="宋体" w:hAnsi="宋体" w:cs="宋体"/>
                <w:szCs w:val="21"/>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3"/>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spacing w:line="560" w:lineRule="exact"/>
        <w:ind w:firstLine="480" w:firstLineChars="200"/>
        <w:rPr>
          <w:rFonts w:ascii="宋体" w:hAns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before="50" w:after="50"/>
        <w:rPr>
          <w:rFonts w:ascii="宋体" w:hAnsi="宋体" w:cs="宋体"/>
          <w:sz w:val="24"/>
          <w:szCs w:val="20"/>
        </w:rPr>
      </w:pPr>
      <w:r>
        <w:rPr>
          <w:rFonts w:hint="eastAsia" w:ascii="宋体" w:hAnsi="宋体" w:cs="宋体"/>
          <w:b/>
          <w:bCs/>
          <w:sz w:val="24"/>
        </w:rPr>
        <w:t>1、实质性资格证明文件目录</w:t>
      </w:r>
    </w:p>
    <w:p>
      <w:pPr>
        <w:snapToGrid w:val="0"/>
        <w:ind w:firstLine="480" w:firstLineChars="200"/>
        <w:rPr>
          <w:rFonts w:ascii="宋体" w:hAnsi="宋体" w:cs="宋体"/>
          <w:sz w:val="24"/>
        </w:rPr>
      </w:pPr>
      <w:r>
        <w:rPr>
          <w:rFonts w:hint="eastAsia" w:ascii="宋体" w:hAnsi="宋体" w:cs="宋体"/>
          <w:sz w:val="24"/>
        </w:rPr>
        <w:t>文件1  法人或者其他组织的营业执照等证明文件，自然人的身份证明（复印件）</w:t>
      </w:r>
    </w:p>
    <w:p>
      <w:pPr>
        <w:snapToGrid w:val="0"/>
        <w:ind w:firstLine="480" w:firstLineChars="200"/>
        <w:rPr>
          <w:rFonts w:ascii="宋体" w:hAnsi="宋体" w:cs="宋体"/>
          <w:sz w:val="24"/>
        </w:rPr>
      </w:pPr>
      <w:r>
        <w:rPr>
          <w:rFonts w:hint="eastAsia" w:ascii="宋体" w:hAnsi="宋体" w:cs="宋体"/>
          <w:sz w:val="24"/>
        </w:rPr>
        <w:t>文件2  上一年度财务状况报告（复印件，成立不满一年不需提供）</w:t>
      </w:r>
    </w:p>
    <w:p>
      <w:pPr>
        <w:snapToGrid w:val="0"/>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ind w:firstLine="480" w:firstLineChars="200"/>
        <w:rPr>
          <w:rFonts w:ascii="宋体" w:hAnsi="宋体" w:cs="宋体"/>
          <w:sz w:val="24"/>
        </w:rPr>
      </w:pPr>
      <w:r>
        <w:rPr>
          <w:rFonts w:hint="eastAsia" w:ascii="宋体" w:hAnsi="宋体" w:cs="宋体"/>
          <w:sz w:val="24"/>
        </w:rPr>
        <w:t>文件6 法人授权书</w:t>
      </w:r>
    </w:p>
    <w:p>
      <w:pPr>
        <w:snapToGrid w:val="0"/>
        <w:ind w:firstLine="480" w:firstLineChars="200"/>
        <w:rPr>
          <w:rFonts w:ascii="宋体" w:hAnsi="宋体" w:cs="宋体"/>
          <w:sz w:val="24"/>
        </w:rPr>
      </w:pPr>
      <w:r>
        <w:rPr>
          <w:rFonts w:hint="eastAsia" w:ascii="宋体" w:hAnsi="宋体" w:cs="宋体"/>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4"/>
        <w:jc w:val="center"/>
        <w:rPr>
          <w:rFonts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日期：______年</w:t>
      </w:r>
      <w:r>
        <w:rPr>
          <w:rFonts w:hint="eastAsia" w:ascii="宋体" w:hAnsi="宋体" w:cs="宋体"/>
          <w:bCs/>
          <w:sz w:val="24"/>
          <w:u w:val="single"/>
        </w:rPr>
        <w:t xml:space="preserve">    </w:t>
      </w:r>
      <w:r>
        <w:rPr>
          <w:rFonts w:hint="eastAsia" w:ascii="宋体" w:hAnsi="宋体" w:cs="宋体"/>
          <w:bCs/>
          <w:sz w:val="24"/>
        </w:rPr>
        <w:t xml:space="preserve">月 </w:t>
      </w:r>
      <w:r>
        <w:rPr>
          <w:rFonts w:hint="eastAsia" w:ascii="宋体" w:hAnsi="宋体" w:cs="宋体"/>
          <w:bCs/>
          <w:sz w:val="24"/>
          <w:u w:val="single"/>
        </w:rPr>
        <w:t xml:space="preserve">   </w:t>
      </w:r>
      <w:r>
        <w:rPr>
          <w:rFonts w:hint="eastAsia" w:ascii="宋体" w:hAnsi="宋体" w:cs="宋体"/>
          <w:bCs/>
          <w:sz w:val="24"/>
        </w:rPr>
        <w:t>日</w:t>
      </w:r>
    </w:p>
    <w:p>
      <w:pPr>
        <w:pStyle w:val="4"/>
        <w:jc w:val="center"/>
        <w:rPr>
          <w:rFonts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ascii="宋体" w:hAnsi="宋体" w:cs="宋体"/>
          <w:b/>
          <w:bCs/>
          <w:sz w:val="44"/>
          <w:szCs w:val="44"/>
        </w:rPr>
      </w:pPr>
    </w:p>
    <w:p>
      <w:pPr>
        <w:spacing w:line="460" w:lineRule="exact"/>
        <w:rPr>
          <w:rFonts w:ascii="宋体" w:hAnsi="宋体" w:cs="宋体"/>
          <w:b/>
          <w:bCs/>
          <w:sz w:val="44"/>
          <w:szCs w:val="44"/>
        </w:rPr>
      </w:pPr>
      <w:r>
        <w:rPr>
          <w:rFonts w:hint="eastAsia" w:ascii="宋体" w:hAnsi="宋体" w:cs="宋体"/>
          <w:b/>
          <w:bCs/>
          <w:sz w:val="44"/>
          <w:szCs w:val="44"/>
        </w:rPr>
        <w:t xml:space="preserve">                   声  明</w:t>
      </w:r>
    </w:p>
    <w:p>
      <w:pPr>
        <w:spacing w:line="460" w:lineRule="exact"/>
        <w:ind w:firstLine="480" w:firstLineChars="200"/>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ascii="宋体" w:hAnsi="宋体" w:cs="宋体"/>
          <w:bCs/>
          <w:sz w:val="24"/>
        </w:rPr>
      </w:pPr>
      <w:r>
        <w:rPr>
          <w:rFonts w:hint="eastAsia" w:ascii="宋体" w:hAnsi="宋体" w:cs="宋体"/>
          <w:bCs/>
          <w:sz w:val="24"/>
        </w:rPr>
        <w:t xml:space="preserve">                                      日期：______年</w:t>
      </w:r>
      <w:r>
        <w:rPr>
          <w:rFonts w:hint="eastAsia" w:ascii="宋体" w:hAnsi="宋体" w:cs="宋体"/>
          <w:bCs/>
          <w:sz w:val="24"/>
          <w:u w:val="single"/>
        </w:rPr>
        <w:t xml:space="preserve">    </w:t>
      </w:r>
      <w:r>
        <w:rPr>
          <w:rFonts w:hint="eastAsia" w:ascii="宋体" w:hAnsi="宋体" w:cs="宋体"/>
          <w:bCs/>
          <w:sz w:val="24"/>
        </w:rPr>
        <w:t xml:space="preserve">月 </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4"/>
        <w:jc w:val="center"/>
        <w:rPr>
          <w:rFonts w:ascii="宋体" w:hAnsi="宋体" w:cs="宋体"/>
          <w:sz w:val="24"/>
          <w:szCs w:val="24"/>
        </w:rPr>
      </w:pPr>
      <w:r>
        <w:rPr>
          <w:rFonts w:hint="eastAsia" w:ascii="宋体" w:hAnsi="宋体" w:cs="宋体"/>
          <w:sz w:val="24"/>
          <w:szCs w:val="24"/>
        </w:rPr>
        <w:t>法人授权书</w:t>
      </w:r>
    </w:p>
    <w:p>
      <w:pPr>
        <w:pStyle w:val="92"/>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bCs/>
          <w:sz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92"/>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92"/>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92"/>
        <w:ind w:firstLine="0" w:firstLineChars="0"/>
        <w:rPr>
          <w:rFonts w:ascii="宋体" w:hAnsi="宋体" w:cs="宋体"/>
          <w:sz w:val="24"/>
          <w:szCs w:val="24"/>
        </w:rPr>
      </w:pPr>
    </w:p>
    <w:p>
      <w:pPr>
        <w:pStyle w:val="92"/>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92"/>
        <w:ind w:firstLine="480"/>
        <w:rPr>
          <w:rFonts w:ascii="宋体" w:hAnsi="宋体" w:cs="宋体"/>
          <w:sz w:val="24"/>
          <w:szCs w:val="24"/>
        </w:rPr>
      </w:pPr>
    </w:p>
    <w:p>
      <w:pPr>
        <w:pStyle w:val="92"/>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92"/>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92"/>
        <w:ind w:firstLine="480"/>
        <w:rPr>
          <w:rFonts w:ascii="宋体" w:hAnsi="宋体" w:cs="宋体"/>
          <w:sz w:val="24"/>
          <w:szCs w:val="24"/>
          <w:u w:val="single"/>
        </w:rPr>
      </w:pPr>
      <w:r>
        <w:rPr>
          <w:rFonts w:hint="eastAsia" w:ascii="宋体" w:hAnsi="宋体" w:cs="宋体"/>
          <w:sz w:val="24"/>
          <w:szCs w:val="24"/>
        </w:rPr>
        <w:t xml:space="preserve">      地址：</w:t>
      </w:r>
    </w:p>
    <w:p>
      <w:pPr>
        <w:pStyle w:val="92"/>
        <w:ind w:firstLine="480"/>
        <w:rPr>
          <w:rFonts w:ascii="宋体" w:hAnsi="宋体" w:cs="宋体"/>
          <w:sz w:val="24"/>
          <w:szCs w:val="24"/>
        </w:rPr>
      </w:pPr>
      <w:r>
        <w:rPr>
          <w:rFonts w:hint="eastAsia" w:ascii="宋体" w:hAnsi="宋体" w:cs="宋体"/>
          <w:sz w:val="24"/>
          <w:szCs w:val="24"/>
        </w:rPr>
        <w:t xml:space="preserve">      日期：                    </w:t>
      </w:r>
    </w:p>
    <w:p>
      <w:pPr>
        <w:pStyle w:val="4"/>
        <w:rPr>
          <w:rFonts w:ascii="宋体" w:hAnsi="宋体" w:cs="宋体"/>
        </w:rPr>
      </w:pPr>
      <w:bookmarkStart w:id="241" w:name="_Hlt26955070"/>
      <w:bookmarkEnd w:id="241"/>
      <w:bookmarkStart w:id="242" w:name="_格式3__银行出具的资信证明"/>
      <w:bookmarkEnd w:id="242"/>
      <w:bookmarkStart w:id="243" w:name="_Hlt26671380"/>
      <w:bookmarkEnd w:id="243"/>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pacing w:line="440" w:lineRule="exact"/>
        <w:ind w:firstLine="480" w:firstLineChars="200"/>
        <w:rPr>
          <w:rFonts w:ascii="宋体" w:hAnsi="宋体" w:cs="宋体"/>
          <w:sz w:val="24"/>
        </w:rPr>
      </w:pPr>
    </w:p>
    <w:bookmarkEnd w:id="238"/>
    <w:bookmarkEnd w:id="239"/>
    <w:bookmarkEnd w:id="240"/>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24"/>
          <w:szCs w:val="24"/>
        </w:rPr>
      </w:pPr>
      <w:bookmarkStart w:id="244" w:name="_Toc120614284"/>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68"/>
        <w:spacing w:before="0" w:after="0" w:line="420" w:lineRule="exact"/>
        <w:ind w:firstLine="0"/>
        <w:rPr>
          <w:rFonts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根据贵方的</w:t>
      </w:r>
      <w:r>
        <w:rPr>
          <w:rFonts w:hint="eastAsia" w:ascii="宋体" w:hAnsi="宋体" w:cs="宋体"/>
          <w:kern w:val="2"/>
          <w:szCs w:val="21"/>
          <w:u w:val="single"/>
          <w:lang w:val="en-US" w:eastAsia="zh-CN"/>
        </w:rPr>
        <w:t xml:space="preserve">         </w:t>
      </w:r>
      <w:bookmarkStart w:id="259" w:name="_GoBack"/>
      <w:bookmarkEnd w:id="259"/>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68"/>
        <w:spacing w:before="0" w:after="0" w:line="420" w:lineRule="exact"/>
        <w:rPr>
          <w:rFonts w:ascii="宋体" w:hAnsi="宋体" w:cs="宋体"/>
          <w:kern w:val="2"/>
          <w:szCs w:val="21"/>
        </w:rPr>
      </w:pPr>
      <w:r>
        <w:rPr>
          <w:rFonts w:hint="eastAsia" w:ascii="宋体" w:hAnsi="宋体" w:cs="宋体"/>
          <w:kern w:val="2"/>
          <w:szCs w:val="21"/>
        </w:rPr>
        <w:t>1.按招标文件规定的各项要求，向买方提供所需货物与服务。</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68"/>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68"/>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68"/>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68"/>
        <w:spacing w:before="0" w:after="0" w:line="420" w:lineRule="exact"/>
        <w:rPr>
          <w:rFonts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68"/>
        <w:spacing w:before="0" w:after="0" w:line="420" w:lineRule="exact"/>
        <w:ind w:left="425" w:firstLine="0"/>
        <w:rPr>
          <w:rFonts w:ascii="宋体" w:hAnsi="宋体" w:cs="宋体"/>
          <w:kern w:val="2"/>
          <w:szCs w:val="21"/>
        </w:rPr>
      </w:pPr>
      <w:r>
        <w:rPr>
          <w:rFonts w:hint="eastAsia" w:ascii="宋体" w:hAnsi="宋体" w:cs="宋体"/>
          <w:kern w:val="2"/>
          <w:szCs w:val="21"/>
        </w:rPr>
        <w:t>8.与本投标有关的正式通讯地址为：</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五、开标一览表（格式）</w:t>
      </w:r>
    </w:p>
    <w:p>
      <w:pPr>
        <w:snapToGrid w:val="0"/>
        <w:spacing w:before="50" w:after="50"/>
        <w:jc w:val="center"/>
        <w:rPr>
          <w:rFonts w:ascii="宋体" w:hAnsi="宋体" w:cs="宋体"/>
          <w:sz w:val="32"/>
          <w:szCs w:val="32"/>
        </w:rPr>
      </w:pPr>
    </w:p>
    <w:tbl>
      <w:tblPr>
        <w:tblStyle w:val="4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6732" w:type="dxa"/>
            <w:vAlign w:val="center"/>
          </w:tcPr>
          <w:p>
            <w:pPr>
              <w:pStyle w:val="3"/>
              <w:jc w:val="both"/>
              <w:rPr>
                <w:rFonts w:ascii="宋体" w:hAnsi="宋体" w:eastAsia="宋体" w:cs="宋体"/>
                <w:sz w:val="28"/>
                <w:szCs w:val="28"/>
                <w:u w:val="single"/>
              </w:rPr>
            </w:pPr>
            <w:r>
              <w:rPr>
                <w:rFonts w:hint="eastAsia" w:ascii="宋体" w:hAnsi="宋体" w:eastAsia="宋体" w:cs="宋体"/>
                <w:sz w:val="28"/>
                <w:szCs w:val="28"/>
                <w:u w:val="single"/>
              </w:rPr>
              <w:t>2019-044S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6732" w:type="dxa"/>
            <w:vAlign w:val="center"/>
          </w:tcPr>
          <w:p>
            <w:pPr>
              <w:pStyle w:val="3"/>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432"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32"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11"/>
        </w:numPr>
        <w:rPr>
          <w:rFonts w:ascii="宋体" w:hAnsi="宋体" w:cs="宋体"/>
          <w:sz w:val="24"/>
        </w:rPr>
      </w:pPr>
      <w:r>
        <w:rPr>
          <w:rFonts w:hint="eastAsia" w:ascii="宋体" w:hAnsi="宋体" w:cs="宋体"/>
          <w:sz w:val="24"/>
        </w:rPr>
        <w:t>开标一览表不得填报选择性报价，否则将作为无效投标；</w:t>
      </w:r>
    </w:p>
    <w:p>
      <w:pPr>
        <w:numPr>
          <w:ilvl w:val="0"/>
          <w:numId w:val="11"/>
        </w:numPr>
        <w:rPr>
          <w:rFonts w:ascii="宋体" w:hAnsi="宋体" w:cs="宋体"/>
          <w:sz w:val="24"/>
        </w:rPr>
      </w:pPr>
      <w:r>
        <w:rPr>
          <w:rFonts w:hint="eastAsia" w:ascii="宋体" w:hAnsi="宋体" w:cs="宋体"/>
          <w:sz w:val="24"/>
        </w:rPr>
        <w:t>开标一览表中报价与投标分项明细报价表中不符时，以开标一览表为准。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日期：  年  月  日</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snapToGrid w:val="0"/>
        <w:spacing w:before="50" w:after="50"/>
        <w:jc w:val="center"/>
        <w:rPr>
          <w:rFonts w:ascii="宋体" w:hAnsi="宋体" w:cs="宋体"/>
          <w:sz w:val="32"/>
          <w:szCs w:val="32"/>
        </w:rPr>
        <w:sectPr>
          <w:headerReference r:id="rId3" w:type="default"/>
          <w:footerReference r:id="rId4" w:type="default"/>
          <w:footerReference r:id="rId5" w:type="even"/>
          <w:pgSz w:w="11906" w:h="16838"/>
          <w:pgMar w:top="1418" w:right="1588" w:bottom="1418" w:left="1365" w:header="851" w:footer="907" w:gutter="0"/>
          <w:pgNumType w:fmt="numberInDash"/>
          <w:cols w:space="720" w:num="1"/>
          <w:docGrid w:type="lines" w:linePitch="290" w:charSpace="0"/>
        </w:sectPr>
      </w:pPr>
    </w:p>
    <w:p>
      <w:pPr>
        <w:snapToGrid w:val="0"/>
        <w:spacing w:before="50" w:after="50"/>
        <w:jc w:val="center"/>
        <w:rPr>
          <w:rFonts w:ascii="宋体" w:hAnsi="宋体" w:cs="宋体"/>
          <w:sz w:val="32"/>
          <w:szCs w:val="32"/>
        </w:rPr>
      </w:pPr>
      <w:r>
        <w:rPr>
          <w:rFonts w:hint="eastAsia" w:ascii="宋体" w:hAnsi="宋体" w:cs="宋体"/>
          <w:sz w:val="32"/>
          <w:szCs w:val="32"/>
        </w:rPr>
        <w:t>六、投标分项报价表（格式）</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1</w:t>
            </w:r>
          </w:p>
        </w:tc>
        <w:tc>
          <w:tcPr>
            <w:tcW w:w="2369" w:type="dxa"/>
            <w:vAlign w:val="center"/>
          </w:tcPr>
          <w:p>
            <w:pPr>
              <w:jc w:val="center"/>
              <w:rPr>
                <w:rFonts w:ascii="宋体" w:hAnsi="宋体" w:cs="宋体"/>
                <w:sz w:val="24"/>
                <w:szCs w:val="24"/>
              </w:rPr>
            </w:pPr>
            <w:r>
              <w:rPr>
                <w:rFonts w:hint="eastAsia" w:ascii="宋体" w:hAnsi="宋体" w:cs="宋体"/>
                <w:sz w:val="24"/>
                <w:szCs w:val="24"/>
              </w:rPr>
              <w:t>2</w:t>
            </w:r>
          </w:p>
        </w:tc>
        <w:tc>
          <w:tcPr>
            <w:tcW w:w="1442" w:type="dxa"/>
            <w:vAlign w:val="center"/>
          </w:tcPr>
          <w:p>
            <w:pPr>
              <w:jc w:val="center"/>
              <w:rPr>
                <w:rFonts w:ascii="宋体" w:hAnsi="宋体" w:cs="宋体"/>
                <w:sz w:val="24"/>
                <w:szCs w:val="24"/>
              </w:rPr>
            </w:pPr>
            <w:r>
              <w:rPr>
                <w:rFonts w:hint="eastAsia" w:ascii="宋体" w:hAnsi="宋体" w:cs="宋体"/>
                <w:sz w:val="24"/>
                <w:szCs w:val="24"/>
              </w:rPr>
              <w:t>3</w:t>
            </w:r>
          </w:p>
        </w:tc>
        <w:tc>
          <w:tcPr>
            <w:tcW w:w="2781"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分项名称</w:t>
            </w:r>
          </w:p>
        </w:tc>
        <w:tc>
          <w:tcPr>
            <w:tcW w:w="2369" w:type="dxa"/>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tcPr>
          <w:p>
            <w:pPr>
              <w:rPr>
                <w:rFonts w:ascii="宋体" w:hAnsi="宋体" w:cs="宋体"/>
                <w:sz w:val="24"/>
                <w:szCs w:val="24"/>
              </w:rPr>
            </w:pP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法定代表人或授权代表签字：</w:t>
      </w:r>
    </w:p>
    <w:p>
      <w:pPr>
        <w:spacing w:line="360" w:lineRule="auto"/>
        <w:rPr>
          <w:rFonts w:ascii="宋体" w:hAnsi="宋体" w:cs="宋体"/>
          <w:color w:val="000000"/>
          <w:sz w:val="24"/>
        </w:rPr>
      </w:pPr>
      <w:r>
        <w:rPr>
          <w:rFonts w:hint="eastAsia" w:ascii="宋体" w:hAnsi="宋体" w:cs="宋体"/>
          <w:color w:val="000000"/>
          <w:sz w:val="24"/>
        </w:rPr>
        <w:t>1、此表可以根据需要自行增减行数。</w:t>
      </w: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sectPr>
          <w:pgSz w:w="11906" w:h="16838"/>
          <w:pgMar w:top="1418" w:right="1366" w:bottom="1418" w:left="1588" w:header="851" w:footer="907" w:gutter="0"/>
          <w:pgNumType w:fmt="decimalFullWidth"/>
          <w:cols w:space="720" w:num="1"/>
          <w:docGrid w:type="linesAndChars" w:linePitch="290" w:charSpace="0"/>
        </w:sectPr>
      </w:pPr>
    </w:p>
    <w:p>
      <w:pPr>
        <w:snapToGrid w:val="0"/>
        <w:spacing w:before="50" w:after="50"/>
        <w:jc w:val="center"/>
        <w:rPr>
          <w:rFonts w:ascii="宋体" w:hAnsi="宋体" w:cs="宋体"/>
          <w:sz w:val="32"/>
          <w:szCs w:val="32"/>
        </w:rPr>
      </w:pPr>
      <w:r>
        <w:rPr>
          <w:rFonts w:hint="eastAsia" w:ascii="宋体" w:hAnsi="宋体" w:cs="宋体"/>
          <w:sz w:val="32"/>
          <w:szCs w:val="32"/>
        </w:rPr>
        <w:t>七、技术参数响应及偏离表（如有）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vAlign w:val="center"/>
          </w:tcPr>
          <w:p>
            <w:pPr>
              <w:rPr>
                <w:rFonts w:ascii="宋体" w:hAnsi="宋体" w:cs="宋体"/>
                <w:sz w:val="24"/>
                <w:szCs w:val="24"/>
              </w:rPr>
            </w:pPr>
            <w:r>
              <w:rPr>
                <w:rFonts w:hint="eastAsia" w:ascii="宋体" w:hAnsi="宋体" w:cs="宋体"/>
                <w:sz w:val="24"/>
                <w:szCs w:val="24"/>
              </w:rPr>
              <w:t>招标要求</w:t>
            </w:r>
          </w:p>
        </w:tc>
        <w:tc>
          <w:tcPr>
            <w:tcW w:w="2852" w:type="dxa"/>
            <w:vAlign w:val="center"/>
          </w:tcPr>
          <w:p>
            <w:pPr>
              <w:rPr>
                <w:rFonts w:ascii="宋体" w:hAnsi="宋体" w:cs="宋体"/>
                <w:sz w:val="24"/>
                <w:szCs w:val="24"/>
              </w:rPr>
            </w:pPr>
            <w:r>
              <w:rPr>
                <w:rFonts w:hint="eastAsia" w:ascii="宋体" w:hAnsi="宋体" w:cs="宋体"/>
                <w:sz w:val="24"/>
                <w:szCs w:val="24"/>
              </w:rPr>
              <w:t>投标响应</w:t>
            </w:r>
          </w:p>
        </w:tc>
        <w:tc>
          <w:tcPr>
            <w:tcW w:w="1308" w:type="dxa"/>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ind w:firstLine="480" w:firstLineChars="200"/>
        <w:rPr>
          <w:rFonts w:ascii="宋体" w:hAnsi="宋体" w:cs="宋体"/>
          <w:sz w:val="24"/>
          <w:szCs w:val="24"/>
        </w:rPr>
      </w:pPr>
      <w:r>
        <w:rPr>
          <w:rFonts w:hint="eastAsia" w:ascii="宋体" w:hAnsi="宋体" w:cs="宋体"/>
          <w:sz w:val="24"/>
          <w:szCs w:val="24"/>
        </w:rPr>
        <w:t>2、行数不够，可自行添加。</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rPr>
          <w:rFonts w:ascii="宋体" w:hAnsi="宋体" w:cs="宋体"/>
          <w:sz w:val="32"/>
        </w:rPr>
      </w:pPr>
    </w:p>
    <w:bookmarkEnd w:id="244"/>
    <w:p>
      <w:pPr>
        <w:snapToGrid w:val="0"/>
        <w:spacing w:before="50" w:after="50"/>
        <w:jc w:val="center"/>
        <w:rPr>
          <w:rFonts w:ascii="宋体" w:hAnsi="宋体" w:cs="宋体"/>
          <w:sz w:val="32"/>
          <w:szCs w:val="32"/>
        </w:rPr>
      </w:pPr>
      <w:bookmarkStart w:id="245" w:name="_Hlt26955054"/>
      <w:bookmarkEnd w:id="245"/>
      <w:r>
        <w:rPr>
          <w:rFonts w:hint="eastAsia" w:ascii="宋体" w:hAnsi="宋体" w:cs="宋体"/>
          <w:sz w:val="32"/>
          <w:szCs w:val="32"/>
        </w:rPr>
        <w:t>八、商务条款响应及偏离表（如有）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3"/>
        <w:rPr>
          <w:rFonts w:ascii="宋体" w:hAnsi="宋体" w:eastAsia="宋体" w:cs="宋体"/>
          <w:b w:val="0"/>
          <w:bCs w:val="0"/>
          <w:sz w:val="24"/>
          <w:szCs w:val="21"/>
        </w:rPr>
      </w:pPr>
    </w:p>
    <w:p>
      <w:pPr>
        <w:pStyle w:val="7"/>
        <w:rPr>
          <w:rFonts w:ascii="宋体" w:hAnsi="宋体" w:cs="宋体"/>
        </w:rPr>
      </w:pPr>
    </w:p>
    <w:p>
      <w:pPr>
        <w:spacing w:line="480" w:lineRule="auto"/>
        <w:rPr>
          <w:rFonts w:ascii="宋体" w:hAnsi="宋体" w:cs="宋体"/>
          <w:sz w:val="30"/>
        </w:rPr>
      </w:pPr>
      <w:bookmarkStart w:id="246" w:name="_Hlt26580838"/>
      <w:bookmarkEnd w:id="246"/>
      <w:bookmarkStart w:id="247" w:name="_Hlt26782999"/>
      <w:bookmarkEnd w:id="247"/>
      <w:bookmarkStart w:id="248" w:name="_Hlt26671372"/>
      <w:bookmarkEnd w:id="248"/>
      <w:bookmarkStart w:id="249" w:name="_Hlt26955056"/>
      <w:bookmarkEnd w:id="249"/>
      <w:bookmarkStart w:id="250" w:name="_Hlt26955064"/>
      <w:bookmarkEnd w:id="250"/>
      <w:bookmarkStart w:id="251" w:name="_Hlt26671343"/>
      <w:bookmarkEnd w:id="251"/>
      <w:bookmarkStart w:id="252" w:name="_Hlt26609389"/>
      <w:bookmarkEnd w:id="252"/>
      <w:bookmarkStart w:id="253" w:name="_Hlt26955066"/>
      <w:bookmarkEnd w:id="253"/>
      <w:bookmarkStart w:id="254" w:name="_Hlt24879081"/>
      <w:bookmarkEnd w:id="254"/>
      <w:bookmarkStart w:id="255" w:name="_Hlt26671374"/>
      <w:bookmarkEnd w:id="255"/>
      <w:bookmarkStart w:id="256" w:name="_Hlt26609391"/>
      <w:bookmarkEnd w:id="256"/>
      <w:bookmarkStart w:id="257" w:name="_Toc462564146"/>
    </w:p>
    <w:p>
      <w:pPr>
        <w:pStyle w:val="7"/>
        <w:ind w:firstLine="0"/>
        <w:rPr>
          <w:rFonts w:ascii="宋体" w:hAnsi="宋体" w:cs="宋体"/>
          <w:sz w:val="24"/>
        </w:rPr>
      </w:pPr>
    </w:p>
    <w:p>
      <w:pPr>
        <w:snapToGrid w:val="0"/>
        <w:spacing w:before="50" w:after="50"/>
        <w:jc w:val="center"/>
        <w:rPr>
          <w:rFonts w:ascii="宋体" w:hAnsi="宋体" w:cs="宋体"/>
          <w:sz w:val="32"/>
          <w:szCs w:val="32"/>
        </w:rPr>
      </w:pPr>
      <w:r>
        <w:rPr>
          <w:rFonts w:hint="eastAsia" w:ascii="宋体" w:hAnsi="宋体" w:cs="宋体"/>
          <w:sz w:val="32"/>
          <w:szCs w:val="32"/>
        </w:rPr>
        <w:t>九、技术方案、服务承诺、培训承诺等</w:t>
      </w:r>
      <w:bookmarkEnd w:id="157"/>
      <w:bookmarkEnd w:id="158"/>
      <w:bookmarkEnd w:id="257"/>
      <w:bookmarkStart w:id="258" w:name="_格式2__法定代表人授权书"/>
      <w:bookmarkEnd w:id="258"/>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8612"/>
      <w:docPartObj>
        <w:docPartGallery w:val="AutoText"/>
      </w:docPartObj>
    </w:sdtPr>
    <w:sdtContent>
      <w:p>
        <w:pPr>
          <w:pStyle w:val="27"/>
          <w:jc w:val="center"/>
        </w:pPr>
        <w:r>
          <w:fldChar w:fldCharType="begin"/>
        </w:r>
        <w:r>
          <w:instrText xml:space="preserve"> PAGE   \* MERGEFORMAT </w:instrText>
        </w:r>
        <w:r>
          <w:fldChar w:fldCharType="separate"/>
        </w:r>
        <w:r>
          <w:rPr>
            <w:lang w:val="zh-CN"/>
          </w:rPr>
          <w:t>-</w:t>
        </w:r>
        <w:r>
          <w:t xml:space="preserve"> 33 -</w:t>
        </w:r>
        <w:r>
          <w:fldChar w:fldCharType="end"/>
        </w:r>
      </w:p>
    </w:sdtContent>
  </w:sdt>
  <w:p>
    <w:pPr>
      <w:pStyle w:val="27"/>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2019-044S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2E7B681B"/>
    <w:multiLevelType w:val="multilevel"/>
    <w:tmpl w:val="2E7B681B"/>
    <w:lvl w:ilvl="0" w:tentative="0">
      <w:start w:val="1"/>
      <w:numFmt w:val="decimal"/>
      <w:lvlText w:val="3.%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
    <w:nsid w:val="35F24911"/>
    <w:multiLevelType w:val="multilevel"/>
    <w:tmpl w:val="35F24911"/>
    <w:lvl w:ilvl="0" w:tentative="0">
      <w:start w:val="1"/>
      <w:numFmt w:val="decimal"/>
      <w:lvlText w:val="1.%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4860432A"/>
    <w:multiLevelType w:val="multilevel"/>
    <w:tmpl w:val="4860432A"/>
    <w:lvl w:ilvl="0" w:tentative="0">
      <w:start w:val="1"/>
      <w:numFmt w:val="decimal"/>
      <w:lvlText w:val="2.%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48BC2104"/>
    <w:multiLevelType w:val="multilevel"/>
    <w:tmpl w:val="48BC2104"/>
    <w:lvl w:ilvl="0" w:tentative="0">
      <w:start w:val="1"/>
      <w:numFmt w:val="decimal"/>
      <w:lvlText w:val="1.%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5">
    <w:nsid w:val="4A72D4EB"/>
    <w:multiLevelType w:val="singleLevel"/>
    <w:tmpl w:val="4A72D4EB"/>
    <w:lvl w:ilvl="0" w:tentative="0">
      <w:start w:val="2"/>
      <w:numFmt w:val="chineseCounting"/>
      <w:suff w:val="nothing"/>
      <w:lvlText w:val="%1、"/>
      <w:lvlJc w:val="left"/>
      <w:rPr>
        <w:rFonts w:hint="eastAsia"/>
      </w:rPr>
    </w:lvl>
  </w:abstractNum>
  <w:abstractNum w:abstractNumId="6">
    <w:nsid w:val="53FA624E"/>
    <w:multiLevelType w:val="multilevel"/>
    <w:tmpl w:val="53FA624E"/>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EB2ED7"/>
    <w:multiLevelType w:val="singleLevel"/>
    <w:tmpl w:val="57EB2ED7"/>
    <w:lvl w:ilvl="0" w:tentative="0">
      <w:start w:val="10"/>
      <w:numFmt w:val="decimal"/>
      <w:suff w:val="nothing"/>
      <w:lvlText w:val="%1、"/>
      <w:lvlJc w:val="left"/>
    </w:lvl>
  </w:abstractNum>
  <w:abstractNum w:abstractNumId="8">
    <w:nsid w:val="58AFEDAC"/>
    <w:multiLevelType w:val="singleLevel"/>
    <w:tmpl w:val="58AFEDAC"/>
    <w:lvl w:ilvl="0" w:tentative="0">
      <w:start w:val="1"/>
      <w:numFmt w:val="decimal"/>
      <w:suff w:val="nothing"/>
      <w:lvlText w:val="%1、"/>
      <w:lvlJc w:val="left"/>
      <w:rPr>
        <w:b w:val="0"/>
      </w:rPr>
    </w:lvl>
  </w:abstractNum>
  <w:abstractNum w:abstractNumId="9">
    <w:nsid w:val="5D596872"/>
    <w:multiLevelType w:val="multilevel"/>
    <w:tmpl w:val="5D59687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0"/>
  </w:num>
  <w:num w:numId="2">
    <w:abstractNumId w:val="2"/>
  </w:num>
  <w:num w:numId="3">
    <w:abstractNumId w:val="3"/>
  </w:num>
  <w:num w:numId="4">
    <w:abstractNumId w:val="1"/>
  </w:num>
  <w:num w:numId="5">
    <w:abstractNumId w:val="4"/>
  </w:num>
  <w:num w:numId="6">
    <w:abstractNumId w:val="9"/>
  </w:num>
  <w:num w:numId="7">
    <w:abstractNumId w:val="6"/>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778"/>
    <w:rsid w:val="00006B61"/>
    <w:rsid w:val="00006BCB"/>
    <w:rsid w:val="0001167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0CBC"/>
    <w:rsid w:val="000824BA"/>
    <w:rsid w:val="00082C5C"/>
    <w:rsid w:val="00082F11"/>
    <w:rsid w:val="000833E7"/>
    <w:rsid w:val="0008366C"/>
    <w:rsid w:val="000837A2"/>
    <w:rsid w:val="00084B83"/>
    <w:rsid w:val="00085845"/>
    <w:rsid w:val="00085AAC"/>
    <w:rsid w:val="00086D29"/>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3C44"/>
    <w:rsid w:val="00115161"/>
    <w:rsid w:val="0011543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F0D"/>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1ED4"/>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40D"/>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0AC2"/>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446"/>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570E"/>
    <w:rsid w:val="00876B84"/>
    <w:rsid w:val="00877BF5"/>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01B9"/>
    <w:rsid w:val="008C1804"/>
    <w:rsid w:val="008C207B"/>
    <w:rsid w:val="008C25C6"/>
    <w:rsid w:val="008C266E"/>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85F21"/>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638"/>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87D3E"/>
    <w:rsid w:val="00A90378"/>
    <w:rsid w:val="00A911C5"/>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A69C4"/>
    <w:rsid w:val="00BB0753"/>
    <w:rsid w:val="00BB1273"/>
    <w:rsid w:val="00BB18F2"/>
    <w:rsid w:val="00BB2C25"/>
    <w:rsid w:val="00BB3CAB"/>
    <w:rsid w:val="00BB3DBA"/>
    <w:rsid w:val="00BB43C6"/>
    <w:rsid w:val="00BB5422"/>
    <w:rsid w:val="00BB7602"/>
    <w:rsid w:val="00BC176B"/>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45C1"/>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2A8E"/>
    <w:rsid w:val="00D6464A"/>
    <w:rsid w:val="00D6649E"/>
    <w:rsid w:val="00D665AA"/>
    <w:rsid w:val="00D66E21"/>
    <w:rsid w:val="00D679B9"/>
    <w:rsid w:val="00D679E6"/>
    <w:rsid w:val="00D67E62"/>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5848"/>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40C"/>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0A076A"/>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413DF3"/>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CF4DB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472398"/>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31A0B"/>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E959C7"/>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61"/>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link w:val="99"/>
    <w:qFormat/>
    <w:uiPriority w:val="99"/>
    <w:pPr>
      <w:tabs>
        <w:tab w:val="center" w:pos="4153"/>
        <w:tab w:val="right" w:pos="8306"/>
      </w:tabs>
      <w:snapToGrid w:val="0"/>
      <w:jc w:val="left"/>
    </w:pPr>
    <w:rPr>
      <w:sz w:val="18"/>
      <w:szCs w:val="18"/>
    </w:rPr>
  </w:style>
  <w:style w:type="paragraph" w:styleId="28">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Hyperlink"/>
    <w:qFormat/>
    <w:uiPriority w:val="0"/>
    <w:rPr>
      <w:rFonts w:hint="eastAsia" w:ascii="仿宋_GB2312" w:eastAsia="仿宋_GB2312" w:cs="仿宋_GB2312"/>
      <w:color w:val="7A4EA7"/>
      <w:u w:val="none"/>
    </w:rPr>
  </w:style>
  <w:style w:type="character" w:styleId="51">
    <w:name w:val="annotation reference"/>
    <w:semiHidden/>
    <w:qFormat/>
    <w:uiPriority w:val="0"/>
    <w:rPr>
      <w:sz w:val="21"/>
      <w:szCs w:val="21"/>
    </w:rPr>
  </w:style>
  <w:style w:type="character" w:customStyle="1" w:styleId="52">
    <w:name w:val="列出段落 Char"/>
    <w:link w:val="53"/>
    <w:qFormat/>
    <w:locked/>
    <w:uiPriority w:val="0"/>
    <w:rPr>
      <w:rFonts w:ascii="Calibri" w:hAnsi="Calibri"/>
      <w:sz w:val="24"/>
      <w:szCs w:val="24"/>
      <w:lang w:eastAsia="en-US" w:bidi="en-US"/>
    </w:rPr>
  </w:style>
  <w:style w:type="paragraph" w:customStyle="1" w:styleId="53">
    <w:name w:val="列出段落1"/>
    <w:basedOn w:val="1"/>
    <w:link w:val="52"/>
    <w:qFormat/>
    <w:uiPriority w:val="0"/>
    <w:pPr>
      <w:widowControl/>
      <w:ind w:left="720"/>
      <w:contextualSpacing/>
      <w:jc w:val="left"/>
    </w:pPr>
    <w:rPr>
      <w:rFonts w:ascii="Calibri" w:hAnsi="Calibri"/>
      <w:kern w:val="0"/>
      <w:sz w:val="24"/>
      <w:szCs w:val="24"/>
      <w:lang w:eastAsia="en-US" w:bidi="en-US"/>
    </w:rPr>
  </w:style>
  <w:style w:type="character" w:customStyle="1" w:styleId="54">
    <w:name w:val="font21"/>
    <w:qFormat/>
    <w:uiPriority w:val="0"/>
    <w:rPr>
      <w:rFonts w:hint="eastAsia" w:ascii="宋体" w:hAnsi="宋体" w:eastAsia="宋体" w:cs="宋体"/>
      <w:b/>
      <w:color w:val="000000"/>
      <w:sz w:val="24"/>
      <w:szCs w:val="24"/>
      <w:u w:val="none"/>
    </w:rPr>
  </w:style>
  <w:style w:type="character" w:customStyle="1" w:styleId="55">
    <w:name w:val="apple-converted-space"/>
    <w:qFormat/>
    <w:uiPriority w:val="0"/>
  </w:style>
  <w:style w:type="character" w:customStyle="1" w:styleId="56">
    <w:name w:val="HTML 预设格式 Char1"/>
    <w:qFormat/>
    <w:uiPriority w:val="0"/>
    <w:rPr>
      <w:rFonts w:ascii="Courier New" w:hAnsi="Courier New" w:cs="Courier New"/>
      <w:kern w:val="2"/>
    </w:rPr>
  </w:style>
  <w:style w:type="character" w:customStyle="1" w:styleId="57">
    <w:name w:val="页眉 Char"/>
    <w:link w:val="28"/>
    <w:qFormat/>
    <w:uiPriority w:val="99"/>
    <w:rPr>
      <w:kern w:val="2"/>
      <w:sz w:val="18"/>
      <w:szCs w:val="18"/>
    </w:rPr>
  </w:style>
  <w:style w:type="character" w:customStyle="1" w:styleId="58">
    <w:name w:val="font81"/>
    <w:qFormat/>
    <w:uiPriority w:val="0"/>
    <w:rPr>
      <w:rFonts w:hint="eastAsia" w:ascii="宋体" w:hAnsi="宋体" w:eastAsia="宋体" w:cs="宋体"/>
      <w:b/>
      <w:color w:val="000000"/>
      <w:sz w:val="24"/>
      <w:szCs w:val="24"/>
      <w:u w:val="single"/>
    </w:rPr>
  </w:style>
  <w:style w:type="character" w:customStyle="1" w:styleId="59">
    <w:name w:val="二级目录 Char"/>
    <w:link w:val="60"/>
    <w:qFormat/>
    <w:uiPriority w:val="0"/>
    <w:rPr>
      <w:b/>
      <w:kern w:val="2"/>
      <w:sz w:val="30"/>
      <w:szCs w:val="28"/>
    </w:rPr>
  </w:style>
  <w:style w:type="paragraph" w:customStyle="1" w:styleId="60">
    <w:name w:val="二级目录"/>
    <w:next w:val="1"/>
    <w:link w:val="59"/>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1">
    <w:name w:val="纯文本 Char"/>
    <w:link w:val="22"/>
    <w:qFormat/>
    <w:uiPriority w:val="0"/>
    <w:rPr>
      <w:rFonts w:ascii="宋体" w:hAnsi="Courier New" w:cs="Courier New"/>
      <w:kern w:val="2"/>
      <w:sz w:val="21"/>
      <w:szCs w:val="21"/>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标题 3 Char"/>
    <w:link w:val="4"/>
    <w:qFormat/>
    <w:uiPriority w:val="0"/>
    <w:rPr>
      <w:rFonts w:eastAsia="宋体"/>
      <w:b/>
      <w:bCs/>
      <w:kern w:val="2"/>
      <w:sz w:val="32"/>
      <w:szCs w:val="32"/>
      <w:lang w:val="en-US" w:eastAsia="zh-CN" w:bidi="ar-SA"/>
    </w:rPr>
  </w:style>
  <w:style w:type="character" w:customStyle="1" w:styleId="64">
    <w:name w:val="标题 4 Char"/>
    <w:link w:val="5"/>
    <w:qFormat/>
    <w:uiPriority w:val="0"/>
    <w:rPr>
      <w:rFonts w:ascii="Arial" w:hAnsi="Arial" w:eastAsia="黑体" w:cs="Arial"/>
      <w:b/>
      <w:bCs/>
      <w:kern w:val="2"/>
      <w:sz w:val="28"/>
      <w:szCs w:val="28"/>
    </w:rPr>
  </w:style>
  <w:style w:type="character" w:customStyle="1" w:styleId="65">
    <w:name w:val="正文缩进 Char"/>
    <w:link w:val="7"/>
    <w:qFormat/>
    <w:uiPriority w:val="0"/>
    <w:rPr>
      <w:kern w:val="2"/>
      <w:sz w:val="21"/>
      <w:szCs w:val="21"/>
    </w:rPr>
  </w:style>
  <w:style w:type="character" w:customStyle="1" w:styleId="66">
    <w:name w:val="HTML 预设格式 Char"/>
    <w:link w:val="38"/>
    <w:qFormat/>
    <w:uiPriority w:val="0"/>
    <w:rPr>
      <w:rFonts w:ascii="黑体" w:hAnsi="Courier New" w:eastAsia="黑体"/>
    </w:rPr>
  </w:style>
  <w:style w:type="character" w:customStyle="1" w:styleId="67">
    <w:name w:val="fontstyle01"/>
    <w:qFormat/>
    <w:uiPriority w:val="0"/>
    <w:rPr>
      <w:rFonts w:hint="eastAsia" w:ascii="宋体" w:hAnsi="宋体" w:eastAsia="宋体"/>
      <w:color w:val="000000"/>
      <w:sz w:val="24"/>
      <w:szCs w:val="24"/>
    </w:rPr>
  </w:style>
  <w:style w:type="paragraph" w:customStyle="1" w:styleId="6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70">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7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2">
    <w:name w:val="Char Char Char Char"/>
    <w:basedOn w:val="14"/>
    <w:qFormat/>
    <w:uiPriority w:val="0"/>
    <w:pPr>
      <w:adjustRightInd w:val="0"/>
      <w:snapToGrid w:val="0"/>
      <w:spacing w:line="360" w:lineRule="auto"/>
    </w:pPr>
    <w:rPr>
      <w:rFonts w:ascii="Tahoma" w:hAnsi="Tahoma"/>
      <w:sz w:val="24"/>
      <w:szCs w:val="24"/>
    </w:rPr>
  </w:style>
  <w:style w:type="paragraph" w:customStyle="1" w:styleId="73">
    <w:name w:val="Body Text(ch)"/>
    <w:basedOn w:val="1"/>
    <w:next w:val="17"/>
    <w:qFormat/>
    <w:uiPriority w:val="0"/>
    <w:pPr>
      <w:spacing w:after="120"/>
    </w:pPr>
    <w:rPr>
      <w:rFonts w:ascii="宋体" w:hAnsi="Arial"/>
      <w:bCs/>
      <w:iCs/>
      <w:szCs w:val="24"/>
    </w:rPr>
  </w:style>
  <w:style w:type="paragraph" w:customStyle="1" w:styleId="7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样式1"/>
    <w:basedOn w:val="1"/>
    <w:uiPriority w:val="0"/>
    <w:pPr>
      <w:tabs>
        <w:tab w:val="left" w:pos="709"/>
      </w:tabs>
      <w:adjustRightInd w:val="0"/>
      <w:ind w:left="709" w:hanging="709"/>
      <w:textAlignment w:val="baseline"/>
    </w:pPr>
    <w:rPr>
      <w:rFonts w:ascii="宋体" w:hAnsi="宋体"/>
      <w:kern w:val="0"/>
    </w:rPr>
  </w:style>
  <w:style w:type="paragraph" w:customStyle="1" w:styleId="78">
    <w:name w:val="Char Char Char Char Char Char Char Char Char Char"/>
    <w:basedOn w:val="1"/>
    <w:qFormat/>
    <w:uiPriority w:val="0"/>
    <w:pPr>
      <w:adjustRightInd w:val="0"/>
      <w:spacing w:line="360" w:lineRule="auto"/>
    </w:pPr>
    <w:rPr>
      <w:kern w:val="0"/>
      <w:sz w:val="24"/>
      <w:szCs w:val="20"/>
    </w:rPr>
  </w:style>
  <w:style w:type="paragraph" w:customStyle="1" w:styleId="79">
    <w:name w:val="Char"/>
    <w:basedOn w:val="14"/>
    <w:qFormat/>
    <w:uiPriority w:val="0"/>
    <w:rPr>
      <w:rFonts w:ascii="Tahoma" w:hAnsi="Tahoma"/>
      <w:sz w:val="24"/>
      <w:szCs w:val="24"/>
    </w:rPr>
  </w:style>
  <w:style w:type="paragraph" w:customStyle="1" w:styleId="80">
    <w:name w:val="Char Char Char Char1"/>
    <w:basedOn w:val="14"/>
    <w:qFormat/>
    <w:uiPriority w:val="0"/>
    <w:pPr>
      <w:adjustRightInd w:val="0"/>
      <w:snapToGrid w:val="0"/>
      <w:spacing w:line="360" w:lineRule="auto"/>
    </w:pPr>
    <w:rPr>
      <w:rFonts w:ascii="Tahoma" w:hAnsi="Tahoma"/>
      <w:sz w:val="24"/>
      <w:szCs w:val="24"/>
    </w:rPr>
  </w:style>
  <w:style w:type="paragraph" w:customStyle="1" w:styleId="8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7">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Char1"/>
    <w:basedOn w:val="1"/>
    <w:qFormat/>
    <w:uiPriority w:val="0"/>
    <w:pPr>
      <w:tabs>
        <w:tab w:val="left" w:pos="360"/>
      </w:tabs>
      <w:ind w:firstLine="200" w:firstLineChars="200"/>
    </w:pPr>
    <w:rPr>
      <w:sz w:val="28"/>
      <w:szCs w:val="30"/>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table_1stline"/>
    <w:basedOn w:val="1"/>
    <w:uiPriority w:val="0"/>
    <w:pPr>
      <w:widowControl/>
      <w:spacing w:before="120"/>
      <w:jc w:val="left"/>
    </w:pPr>
    <w:rPr>
      <w:bCs/>
      <w:kern w:val="0"/>
      <w:sz w:val="20"/>
      <w:szCs w:val="20"/>
      <w:lang w:val="de-DE" w:eastAsia="de-DE"/>
    </w:rPr>
  </w:style>
  <w:style w:type="paragraph" w:customStyle="1" w:styleId="96">
    <w:name w:val="4"/>
    <w:basedOn w:val="1"/>
    <w:next w:val="33"/>
    <w:qFormat/>
    <w:uiPriority w:val="0"/>
    <w:pPr>
      <w:spacing w:line="360" w:lineRule="auto"/>
      <w:ind w:firstLine="420"/>
    </w:pPr>
    <w:rPr>
      <w:color w:val="FF0000"/>
      <w:sz w:val="24"/>
      <w:szCs w:val="24"/>
    </w:rPr>
  </w:style>
  <w:style w:type="paragraph" w:customStyle="1" w:styleId="9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8">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99">
    <w:name w:val="页脚 Char"/>
    <w:basedOn w:val="46"/>
    <w:link w:val="27"/>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48</Pages>
  <Words>4194</Words>
  <Characters>23911</Characters>
  <Lines>199</Lines>
  <Paragraphs>56</Paragraphs>
  <TotalTime>3</TotalTime>
  <ScaleCrop>false</ScaleCrop>
  <LinksUpToDate>false</LinksUpToDate>
  <CharactersWithSpaces>28049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2019-10-21T06:50:00Z</dcterms:created>
  <dc:creator>政府采购中心</dc:creator>
  <cp:lastModifiedBy>典当灵魂</cp:lastModifiedBy>
  <cp:lastPrinted>2018-05-08T01:37:00Z</cp:lastPrinted>
  <dcterms:modified xsi:type="dcterms:W3CDTF">2019-12-16T07:40:28Z</dcterms:modified>
  <dc:title>江苏卫生信息系统业务软件</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