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color w:val="000000" w:themeColor="text1"/>
          <w:sz w:val="36"/>
        </w:rPr>
      </w:pPr>
    </w:p>
    <w:p>
      <w:pPr>
        <w:rPr>
          <w:rFonts w:ascii="宋体" w:hAnsi="宋体" w:cs="宋体"/>
          <w:color w:val="000000" w:themeColor="text1"/>
          <w:sz w:val="36"/>
        </w:rPr>
      </w:pPr>
    </w:p>
    <w:p>
      <w:pPr>
        <w:rPr>
          <w:rFonts w:ascii="宋体" w:hAnsi="宋体" w:cs="宋体"/>
          <w:color w:val="000000" w:themeColor="text1"/>
          <w:sz w:val="36"/>
        </w:rPr>
      </w:pPr>
    </w:p>
    <w:p>
      <w:pPr>
        <w:rPr>
          <w:rFonts w:ascii="宋体" w:hAnsi="宋体" w:cs="宋体"/>
          <w:color w:val="000000" w:themeColor="text1"/>
          <w:sz w:val="36"/>
        </w:rPr>
      </w:pPr>
    </w:p>
    <w:p>
      <w:pPr>
        <w:rPr>
          <w:rFonts w:ascii="宋体" w:hAnsi="宋体" w:cs="宋体"/>
          <w:color w:val="000000" w:themeColor="text1"/>
          <w:sz w:val="36"/>
        </w:rPr>
      </w:pPr>
    </w:p>
    <w:p>
      <w:pPr>
        <w:jc w:val="center"/>
        <w:rPr>
          <w:rFonts w:ascii="宋体" w:hAnsi="宋体" w:cs="宋体"/>
          <w:b/>
          <w:color w:val="000000" w:themeColor="text1"/>
          <w:sz w:val="84"/>
        </w:rPr>
      </w:pPr>
      <w:r>
        <w:rPr>
          <w:rFonts w:hint="eastAsia" w:ascii="宋体" w:hAnsi="宋体" w:cs="宋体"/>
          <w:b/>
          <w:color w:val="000000" w:themeColor="text1"/>
          <w:sz w:val="84"/>
        </w:rPr>
        <w:t>招 标 文 件</w:t>
      </w:r>
    </w:p>
    <w:p>
      <w:pPr>
        <w:rPr>
          <w:rFonts w:ascii="宋体" w:hAnsi="宋体" w:cs="宋体"/>
          <w:b/>
          <w:color w:val="000000" w:themeColor="text1"/>
          <w:sz w:val="32"/>
        </w:rPr>
      </w:pP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ind w:firstLine="723" w:firstLineChars="200"/>
        <w:rPr>
          <w:rFonts w:ascii="宋体" w:hAnsi="宋体" w:cs="宋体"/>
          <w:b/>
          <w:color w:val="000000" w:themeColor="text1"/>
          <w:sz w:val="36"/>
        </w:rPr>
      </w:pPr>
      <w:r>
        <w:rPr>
          <w:rFonts w:hint="eastAsia" w:ascii="宋体" w:hAnsi="宋体" w:cs="宋体"/>
          <w:b/>
          <w:color w:val="000000" w:themeColor="text1"/>
          <w:sz w:val="36"/>
        </w:rPr>
        <w:t>项目编号：2022-0</w:t>
      </w:r>
      <w:r>
        <w:rPr>
          <w:rFonts w:hint="eastAsia" w:ascii="宋体" w:hAnsi="宋体" w:cs="宋体"/>
          <w:b/>
          <w:color w:val="000000" w:themeColor="text1"/>
          <w:sz w:val="36"/>
          <w:lang w:val="en-US" w:eastAsia="zh-CN"/>
        </w:rPr>
        <w:t>41</w:t>
      </w:r>
      <w:r>
        <w:rPr>
          <w:rFonts w:hint="eastAsia" w:ascii="宋体" w:hAnsi="宋体" w:cs="宋体"/>
          <w:b/>
          <w:color w:val="000000" w:themeColor="text1"/>
          <w:sz w:val="36"/>
        </w:rPr>
        <w:t>Q</w:t>
      </w:r>
    </w:p>
    <w:p>
      <w:pPr>
        <w:jc w:val="center"/>
        <w:rPr>
          <w:rFonts w:ascii="宋体" w:hAnsi="宋体" w:cs="宋体"/>
          <w:b/>
          <w:color w:val="000000" w:themeColor="text1"/>
          <w:sz w:val="32"/>
        </w:rPr>
      </w:pPr>
    </w:p>
    <w:p>
      <w:pPr>
        <w:ind w:left="2525" w:leftChars="342" w:hanging="1807" w:hangingChars="500"/>
        <w:rPr>
          <w:rFonts w:ascii="宋体" w:hAnsi="宋体" w:cs="宋体"/>
          <w:b/>
          <w:color w:val="000000" w:themeColor="text1"/>
          <w:sz w:val="36"/>
          <w:szCs w:val="36"/>
        </w:rPr>
      </w:pPr>
    </w:p>
    <w:p>
      <w:pPr>
        <w:ind w:left="2164" w:leftChars="342" w:hanging="1446" w:hangingChars="400"/>
        <w:rPr>
          <w:rFonts w:hint="eastAsia" w:ascii="宋体" w:hAnsi="宋体" w:eastAsia="宋体" w:cs="宋体"/>
          <w:b/>
          <w:color w:val="000000" w:themeColor="text1"/>
          <w:sz w:val="36"/>
          <w:szCs w:val="36"/>
          <w:lang w:eastAsia="zh-CN"/>
        </w:rPr>
      </w:pPr>
      <w:r>
        <w:rPr>
          <w:rFonts w:hint="eastAsia" w:ascii="宋体" w:hAnsi="宋体" w:cs="宋体"/>
          <w:b/>
          <w:color w:val="000000" w:themeColor="text1"/>
          <w:sz w:val="36"/>
          <w:szCs w:val="36"/>
        </w:rPr>
        <w:t>项目名称：</w:t>
      </w:r>
      <w:r>
        <w:rPr>
          <w:rFonts w:hint="eastAsia" w:ascii="宋体" w:hAnsi="宋体" w:cs="宋体"/>
          <w:b/>
          <w:color w:val="000000" w:themeColor="text1"/>
          <w:sz w:val="36"/>
          <w:szCs w:val="36"/>
          <w:lang w:eastAsia="zh-CN"/>
        </w:rPr>
        <w:t>盐城工业职业技术学院智慧工地VR认知软件</w:t>
      </w:r>
    </w:p>
    <w:p>
      <w:pPr>
        <w:ind w:firstLine="602" w:firstLineChars="200"/>
        <w:rPr>
          <w:rFonts w:ascii="宋体" w:hAnsi="宋体" w:cs="宋体"/>
          <w:b/>
          <w:color w:val="000000" w:themeColor="text1"/>
          <w:sz w:val="30"/>
          <w:szCs w:val="30"/>
        </w:rPr>
      </w:pP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
          <w:color w:val="000000" w:themeColor="text1"/>
          <w:sz w:val="32"/>
        </w:rPr>
      </w:pPr>
    </w:p>
    <w:p>
      <w:pPr>
        <w:spacing w:line="460" w:lineRule="exact"/>
        <w:ind w:firstLine="723" w:firstLineChars="200"/>
        <w:jc w:val="center"/>
        <w:rPr>
          <w:rFonts w:ascii="宋体" w:hAnsi="宋体" w:cs="宋体"/>
          <w:b/>
          <w:color w:val="000000" w:themeColor="text1"/>
          <w:sz w:val="36"/>
          <w:szCs w:val="36"/>
        </w:rPr>
      </w:pPr>
      <w:r>
        <w:rPr>
          <w:rFonts w:hint="eastAsia" w:ascii="宋体" w:hAnsi="宋体" w:cs="宋体"/>
          <w:b/>
          <w:color w:val="000000" w:themeColor="text1"/>
          <w:sz w:val="36"/>
          <w:szCs w:val="36"/>
        </w:rPr>
        <w:t>盐城工业职业技术学院</w:t>
      </w:r>
    </w:p>
    <w:p>
      <w:pPr>
        <w:spacing w:line="460" w:lineRule="exact"/>
        <w:ind w:firstLine="723" w:firstLineChars="200"/>
        <w:jc w:val="center"/>
        <w:rPr>
          <w:rFonts w:ascii="宋体" w:hAnsi="宋体" w:cs="宋体"/>
          <w:color w:val="000000" w:themeColor="text1"/>
        </w:rPr>
      </w:pPr>
      <w:r>
        <w:rPr>
          <w:rFonts w:hint="eastAsia" w:ascii="宋体" w:hAnsi="宋体" w:cs="宋体"/>
          <w:b/>
          <w:color w:val="000000" w:themeColor="text1"/>
          <w:sz w:val="36"/>
          <w:szCs w:val="36"/>
        </w:rPr>
        <w:t>江苏全盛工程造价事务所有限公司</w:t>
      </w:r>
    </w:p>
    <w:p>
      <w:pPr>
        <w:jc w:val="center"/>
        <w:rPr>
          <w:rFonts w:ascii="宋体" w:hAnsi="宋体" w:cs="宋体"/>
          <w:b/>
          <w:color w:val="000000" w:themeColor="text1"/>
          <w:sz w:val="36"/>
          <w:szCs w:val="36"/>
        </w:rPr>
      </w:pPr>
      <w:r>
        <w:rPr>
          <w:rFonts w:hint="eastAsia" w:ascii="宋体" w:hAnsi="宋体" w:cs="宋体"/>
          <w:b/>
          <w:color w:val="000000" w:themeColor="text1"/>
          <w:sz w:val="36"/>
          <w:szCs w:val="36"/>
        </w:rPr>
        <w:t xml:space="preserve"> 2022年</w:t>
      </w:r>
      <w:r>
        <w:rPr>
          <w:rFonts w:hint="eastAsia" w:ascii="宋体" w:hAnsi="宋体" w:cs="宋体"/>
          <w:b/>
          <w:color w:val="000000" w:themeColor="text1"/>
          <w:sz w:val="36"/>
          <w:szCs w:val="36"/>
          <w:lang w:val="en-US" w:eastAsia="zh-CN"/>
        </w:rPr>
        <w:t>11</w:t>
      </w:r>
      <w:r>
        <w:rPr>
          <w:rFonts w:hint="eastAsia" w:ascii="宋体" w:hAnsi="宋体" w:cs="宋体"/>
          <w:b/>
          <w:color w:val="000000" w:themeColor="text1"/>
          <w:sz w:val="36"/>
          <w:szCs w:val="36"/>
        </w:rPr>
        <w:t>月</w:t>
      </w:r>
      <w:r>
        <w:rPr>
          <w:rFonts w:hint="eastAsia" w:ascii="宋体" w:hAnsi="宋体" w:cs="宋体"/>
          <w:b/>
          <w:color w:val="000000" w:themeColor="text1"/>
          <w:sz w:val="36"/>
          <w:szCs w:val="36"/>
          <w:lang w:val="en-US" w:eastAsia="zh-CN"/>
        </w:rPr>
        <w:t>9</w:t>
      </w:r>
      <w:r>
        <w:rPr>
          <w:rFonts w:hint="eastAsia" w:ascii="宋体" w:hAnsi="宋体" w:cs="宋体"/>
          <w:b/>
          <w:color w:val="000000" w:themeColor="text1"/>
          <w:sz w:val="36"/>
          <w:szCs w:val="36"/>
        </w:rPr>
        <w:t>日</w:t>
      </w:r>
    </w:p>
    <w:p>
      <w:pPr>
        <w:spacing w:line="480" w:lineRule="auto"/>
        <w:jc w:val="center"/>
        <w:outlineLvl w:val="0"/>
        <w:rPr>
          <w:rFonts w:ascii="宋体" w:hAnsi="宋体" w:cs="宋体"/>
          <w:b/>
          <w:color w:val="000000" w:themeColor="text1"/>
          <w:sz w:val="44"/>
        </w:rPr>
        <w:sectPr>
          <w:headerReference r:id="rId3" w:type="default"/>
          <w:footerReference r:id="rId4" w:type="default"/>
          <w:footerReference r:id="rId5" w:type="even"/>
          <w:pgSz w:w="11906" w:h="16838"/>
          <w:pgMar w:top="1418" w:right="1417" w:bottom="1418" w:left="1417" w:header="851" w:footer="907" w:gutter="0"/>
          <w:pgNumType w:start="1"/>
          <w:cols w:space="720" w:num="1"/>
          <w:docGrid w:type="lines" w:linePitch="290" w:charSpace="0"/>
        </w:sectPr>
      </w:pPr>
      <w:bookmarkStart w:id="0" w:name="_Toc12283"/>
      <w:bookmarkStart w:id="1" w:name="_Toc120614210"/>
      <w:bookmarkStart w:id="2" w:name="_Toc523127445"/>
      <w:bookmarkStart w:id="3" w:name="_Toc479757206"/>
      <w:bookmarkStart w:id="4" w:name="_Toc513029200"/>
      <w:bookmarkStart w:id="5" w:name="_Toc20823272"/>
      <w:bookmarkStart w:id="6" w:name="_Toc16938516"/>
    </w:p>
    <w:p>
      <w:pPr>
        <w:spacing w:line="480" w:lineRule="auto"/>
        <w:jc w:val="center"/>
        <w:outlineLvl w:val="0"/>
        <w:rPr>
          <w:rFonts w:ascii="宋体" w:hAnsi="宋体" w:cs="宋体"/>
          <w:b/>
          <w:color w:val="000000" w:themeColor="text1"/>
          <w:sz w:val="44"/>
        </w:rPr>
      </w:pPr>
      <w:r>
        <w:rPr>
          <w:rFonts w:hint="eastAsia" w:ascii="宋体" w:hAnsi="宋体" w:cs="宋体"/>
          <w:b/>
          <w:color w:val="000000" w:themeColor="text1"/>
          <w:sz w:val="44"/>
        </w:rPr>
        <w:t>总  目  录</w:t>
      </w:r>
      <w:bookmarkEnd w:id="0"/>
    </w:p>
    <w:p>
      <w:pPr>
        <w:spacing w:line="480" w:lineRule="auto"/>
        <w:rPr>
          <w:rFonts w:ascii="宋体" w:hAnsi="宋体" w:cs="宋体"/>
          <w:b/>
          <w:color w:val="000000" w:themeColor="text1"/>
          <w:sz w:val="28"/>
        </w:rPr>
      </w:pPr>
    </w:p>
    <w:sdt>
      <w:sdtPr>
        <w:rPr>
          <w:rFonts w:hint="eastAsia" w:ascii="宋体" w:hAnsi="宋体" w:eastAsia="楷体_GB2312" w:cs="宋体"/>
          <w:color w:val="000000" w:themeColor="text1"/>
          <w:sz w:val="28"/>
          <w:szCs w:val="28"/>
        </w:rPr>
        <w:id w:val="147461667"/>
        <w:docPartObj>
          <w:docPartGallery w:val="Table of Contents"/>
          <w:docPartUnique/>
        </w:docPartObj>
      </w:sdtPr>
      <w:sdtEndPr>
        <w:rPr>
          <w:rFonts w:hint="eastAsia" w:ascii="宋体" w:hAnsi="宋体" w:eastAsia="楷体_GB2312" w:cs="宋体"/>
          <w:bCs/>
          <w:color w:val="000000" w:themeColor="text1"/>
          <w:sz w:val="28"/>
          <w:szCs w:val="28"/>
        </w:rPr>
      </w:sdtEndPr>
      <w:sdtContent>
        <w:p>
          <w:pPr>
            <w:jc w:val="center"/>
            <w:rPr>
              <w:rFonts w:ascii="宋体" w:hAnsi="宋体" w:cs="宋体"/>
              <w:color w:val="000000" w:themeColor="text1"/>
            </w:rPr>
          </w:pPr>
        </w:p>
        <w:p>
          <w:pPr>
            <w:pStyle w:val="120"/>
            <w:tabs>
              <w:tab w:val="right" w:leader="dot" w:pos="9072"/>
            </w:tabs>
            <w:rPr>
              <w:rFonts w:ascii="宋体" w:hAnsi="宋体" w:cs="宋体"/>
              <w:color w:val="000000" w:themeColor="text1"/>
            </w:rPr>
          </w:pPr>
          <w:r>
            <w:rPr>
              <w:rFonts w:hint="eastAsia" w:ascii="宋体" w:hAnsi="宋体" w:cs="宋体"/>
              <w:bCs/>
              <w:color w:val="000000" w:themeColor="text1"/>
              <w:sz w:val="44"/>
            </w:rPr>
            <w:fldChar w:fldCharType="begin"/>
          </w:r>
          <w:r>
            <w:rPr>
              <w:rFonts w:hint="eastAsia" w:ascii="宋体" w:hAnsi="宋体" w:cs="宋体"/>
              <w:bCs/>
              <w:color w:val="000000" w:themeColor="text1"/>
              <w:sz w:val="44"/>
            </w:rPr>
            <w:instrText xml:space="preserve">TOC \o "1-1" \h \u </w:instrText>
          </w:r>
          <w:r>
            <w:rPr>
              <w:rFonts w:hint="eastAsia" w:ascii="宋体" w:hAnsi="宋体" w:cs="宋体"/>
              <w:bCs/>
              <w:color w:val="000000" w:themeColor="text1"/>
              <w:sz w:val="44"/>
            </w:rPr>
            <w:fldChar w:fldCharType="separate"/>
          </w:r>
        </w:p>
        <w:p>
          <w:pPr>
            <w:pStyle w:val="120"/>
            <w:tabs>
              <w:tab w:val="right" w:leader="dot" w:pos="9072"/>
            </w:tabs>
            <w:spacing w:line="480" w:lineRule="auto"/>
            <w:rPr>
              <w:rFonts w:ascii="宋体" w:hAnsi="宋体" w:cs="宋体"/>
              <w:color w:val="000000" w:themeColor="text1"/>
              <w:sz w:val="36"/>
              <w:szCs w:val="36"/>
            </w:rPr>
          </w:pPr>
          <w:r>
            <w:fldChar w:fldCharType="begin"/>
          </w:r>
          <w:r>
            <w:instrText xml:space="preserve"> HYPERLINK \l "_Toc16364" </w:instrText>
          </w:r>
          <w:r>
            <w:fldChar w:fldCharType="separate"/>
          </w:r>
          <w:r>
            <w:rPr>
              <w:rFonts w:hint="eastAsia" w:ascii="宋体" w:hAnsi="宋体" w:cs="宋体"/>
              <w:b/>
              <w:color w:val="000000" w:themeColor="text1"/>
              <w:sz w:val="36"/>
              <w:szCs w:val="36"/>
            </w:rPr>
            <w:t>第一章</w:t>
          </w:r>
          <w:r>
            <w:rPr>
              <w:rFonts w:hint="eastAsia" w:ascii="宋体" w:hAnsi="宋体" w:cs="宋体"/>
              <w:bCs/>
              <w:color w:val="000000" w:themeColor="text1"/>
              <w:sz w:val="36"/>
              <w:szCs w:val="36"/>
            </w:rPr>
            <w:t xml:space="preserve">  招标公告</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_Toc16364 \h </w:instrText>
          </w:r>
          <w:r>
            <w:rPr>
              <w:rFonts w:hint="eastAsia" w:ascii="宋体" w:hAnsi="宋体" w:cs="宋体"/>
              <w:color w:val="000000" w:themeColor="text1"/>
              <w:sz w:val="36"/>
              <w:szCs w:val="36"/>
            </w:rPr>
            <w:fldChar w:fldCharType="separate"/>
          </w:r>
          <w:r>
            <w:rPr>
              <w:rFonts w:ascii="宋体" w:hAnsi="宋体" w:cs="宋体"/>
              <w:color w:val="000000" w:themeColor="text1"/>
              <w:sz w:val="36"/>
              <w:szCs w:val="36"/>
            </w:rPr>
            <w:t>1</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sz w:val="36"/>
              <w:szCs w:val="36"/>
            </w:rPr>
          </w:pPr>
          <w:r>
            <w:fldChar w:fldCharType="begin"/>
          </w:r>
          <w:r>
            <w:instrText xml:space="preserve"> HYPERLINK \l "_Toc8631" </w:instrText>
          </w:r>
          <w:r>
            <w:fldChar w:fldCharType="separate"/>
          </w:r>
          <w:r>
            <w:rPr>
              <w:rFonts w:hint="eastAsia" w:ascii="宋体" w:hAnsi="宋体" w:cs="宋体"/>
              <w:b/>
              <w:bCs/>
              <w:color w:val="000000" w:themeColor="text1"/>
              <w:sz w:val="36"/>
              <w:szCs w:val="36"/>
            </w:rPr>
            <w:t>第二章</w:t>
          </w:r>
          <w:r>
            <w:rPr>
              <w:rFonts w:hint="eastAsia" w:ascii="宋体" w:hAnsi="宋体" w:cs="宋体"/>
              <w:color w:val="000000" w:themeColor="text1"/>
              <w:sz w:val="36"/>
              <w:szCs w:val="36"/>
            </w:rPr>
            <w:t xml:space="preserve">  投标人须知</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_Toc8631 \h </w:instrText>
          </w:r>
          <w:r>
            <w:rPr>
              <w:rFonts w:hint="eastAsia" w:ascii="宋体" w:hAnsi="宋体" w:cs="宋体"/>
              <w:color w:val="000000" w:themeColor="text1"/>
              <w:sz w:val="36"/>
              <w:szCs w:val="36"/>
            </w:rPr>
            <w:fldChar w:fldCharType="separate"/>
          </w:r>
          <w:r>
            <w:rPr>
              <w:rFonts w:ascii="宋体" w:hAnsi="宋体" w:cs="宋体"/>
              <w:color w:val="000000" w:themeColor="text1"/>
              <w:sz w:val="36"/>
              <w:szCs w:val="36"/>
            </w:rPr>
            <w:t>5</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sz w:val="36"/>
              <w:szCs w:val="36"/>
            </w:rPr>
          </w:pPr>
          <w:r>
            <w:fldChar w:fldCharType="begin"/>
          </w:r>
          <w:r>
            <w:instrText xml:space="preserve"> HYPERLINK \l "_Toc602" </w:instrText>
          </w:r>
          <w:r>
            <w:fldChar w:fldCharType="separate"/>
          </w:r>
          <w:r>
            <w:rPr>
              <w:rFonts w:hint="eastAsia" w:ascii="宋体" w:hAnsi="宋体" w:cs="宋体"/>
              <w:b/>
              <w:bCs/>
              <w:color w:val="000000" w:themeColor="text1"/>
              <w:sz w:val="36"/>
              <w:szCs w:val="36"/>
            </w:rPr>
            <w:t>第三章</w:t>
          </w:r>
          <w:r>
            <w:rPr>
              <w:rFonts w:hint="eastAsia" w:ascii="宋体" w:hAnsi="宋体" w:cs="宋体"/>
              <w:color w:val="000000" w:themeColor="text1"/>
              <w:sz w:val="36"/>
              <w:szCs w:val="36"/>
            </w:rPr>
            <w:t xml:space="preserve">  合同条款及格式</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_Toc602 \h </w:instrText>
          </w:r>
          <w:r>
            <w:rPr>
              <w:rFonts w:hint="eastAsia" w:ascii="宋体" w:hAnsi="宋体" w:cs="宋体"/>
              <w:color w:val="000000" w:themeColor="text1"/>
              <w:sz w:val="36"/>
              <w:szCs w:val="36"/>
            </w:rPr>
            <w:fldChar w:fldCharType="separate"/>
          </w:r>
          <w:r>
            <w:rPr>
              <w:rFonts w:ascii="宋体" w:hAnsi="宋体" w:cs="宋体"/>
              <w:color w:val="000000" w:themeColor="text1"/>
              <w:sz w:val="36"/>
              <w:szCs w:val="36"/>
            </w:rPr>
            <w:t>17</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sz w:val="36"/>
              <w:szCs w:val="36"/>
            </w:rPr>
          </w:pPr>
          <w:r>
            <w:fldChar w:fldCharType="begin"/>
          </w:r>
          <w:r>
            <w:instrText xml:space="preserve"> HYPERLINK \l "_Toc574" </w:instrText>
          </w:r>
          <w:r>
            <w:fldChar w:fldCharType="separate"/>
          </w:r>
          <w:r>
            <w:rPr>
              <w:rFonts w:hint="eastAsia" w:ascii="宋体" w:hAnsi="宋体" w:cs="宋体"/>
              <w:b/>
              <w:bCs/>
              <w:color w:val="000000" w:themeColor="text1"/>
              <w:sz w:val="36"/>
              <w:szCs w:val="36"/>
            </w:rPr>
            <w:t>第四章</w:t>
          </w:r>
          <w:r>
            <w:rPr>
              <w:rFonts w:hint="eastAsia" w:ascii="宋体" w:hAnsi="宋体" w:cs="宋体"/>
              <w:color w:val="000000" w:themeColor="text1"/>
              <w:sz w:val="36"/>
              <w:szCs w:val="36"/>
            </w:rPr>
            <w:t xml:space="preserve">  项目技术需求</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_Toc574 \h </w:instrText>
          </w:r>
          <w:r>
            <w:rPr>
              <w:rFonts w:hint="eastAsia" w:ascii="宋体" w:hAnsi="宋体" w:cs="宋体"/>
              <w:color w:val="000000" w:themeColor="text1"/>
              <w:sz w:val="36"/>
              <w:szCs w:val="36"/>
            </w:rPr>
            <w:fldChar w:fldCharType="separate"/>
          </w:r>
          <w:r>
            <w:rPr>
              <w:rFonts w:ascii="宋体" w:hAnsi="宋体" w:cs="宋体"/>
              <w:color w:val="000000" w:themeColor="text1"/>
              <w:sz w:val="36"/>
              <w:szCs w:val="36"/>
            </w:rPr>
            <w:t>23</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sz w:val="36"/>
              <w:szCs w:val="36"/>
            </w:rPr>
          </w:pPr>
          <w:r>
            <w:fldChar w:fldCharType="begin"/>
          </w:r>
          <w:r>
            <w:instrText xml:space="preserve"> HYPERLINK \l "_Toc4016" </w:instrText>
          </w:r>
          <w:r>
            <w:fldChar w:fldCharType="separate"/>
          </w:r>
          <w:r>
            <w:rPr>
              <w:rFonts w:hint="eastAsia" w:ascii="宋体" w:hAnsi="宋体" w:cs="宋体"/>
              <w:b/>
              <w:bCs/>
              <w:color w:val="000000" w:themeColor="text1"/>
              <w:sz w:val="36"/>
              <w:szCs w:val="36"/>
            </w:rPr>
            <w:t>第五章</w:t>
          </w:r>
          <w:r>
            <w:rPr>
              <w:rFonts w:hint="eastAsia" w:ascii="宋体" w:hAnsi="宋体" w:cs="宋体"/>
              <w:color w:val="000000" w:themeColor="text1"/>
              <w:sz w:val="36"/>
              <w:szCs w:val="36"/>
            </w:rPr>
            <w:t xml:space="preserve">  评标方法与评标标准</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_Toc4016 \h </w:instrText>
          </w:r>
          <w:r>
            <w:rPr>
              <w:rFonts w:hint="eastAsia" w:ascii="宋体" w:hAnsi="宋体" w:cs="宋体"/>
              <w:color w:val="000000" w:themeColor="text1"/>
              <w:sz w:val="36"/>
              <w:szCs w:val="36"/>
            </w:rPr>
            <w:fldChar w:fldCharType="separate"/>
          </w:r>
          <w:r>
            <w:rPr>
              <w:rFonts w:ascii="宋体" w:hAnsi="宋体" w:cs="宋体"/>
              <w:color w:val="000000" w:themeColor="text1"/>
              <w:sz w:val="36"/>
              <w:szCs w:val="36"/>
            </w:rPr>
            <w:t>25</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rPr>
          </w:pPr>
          <w:r>
            <w:fldChar w:fldCharType="begin"/>
          </w:r>
          <w:r>
            <w:instrText xml:space="preserve"> HYPERLINK \l "_Toc22937" </w:instrText>
          </w:r>
          <w:r>
            <w:fldChar w:fldCharType="separate"/>
          </w:r>
          <w:r>
            <w:rPr>
              <w:rFonts w:hint="eastAsia" w:ascii="宋体" w:hAnsi="宋体" w:cs="宋体"/>
              <w:b/>
              <w:bCs/>
              <w:color w:val="000000" w:themeColor="text1"/>
              <w:sz w:val="36"/>
              <w:szCs w:val="36"/>
            </w:rPr>
            <w:t>第六章</w:t>
          </w:r>
          <w:r>
            <w:rPr>
              <w:rFonts w:hint="eastAsia" w:ascii="宋体" w:hAnsi="宋体" w:cs="宋体"/>
              <w:color w:val="000000" w:themeColor="text1"/>
              <w:sz w:val="36"/>
              <w:szCs w:val="36"/>
            </w:rPr>
            <w:t xml:space="preserve">  投标文件格式</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_Toc22937 \h </w:instrText>
          </w:r>
          <w:r>
            <w:rPr>
              <w:rFonts w:hint="eastAsia" w:ascii="宋体" w:hAnsi="宋体" w:cs="宋体"/>
              <w:color w:val="000000" w:themeColor="text1"/>
              <w:sz w:val="36"/>
              <w:szCs w:val="36"/>
            </w:rPr>
            <w:fldChar w:fldCharType="separate"/>
          </w:r>
          <w:r>
            <w:rPr>
              <w:rFonts w:ascii="宋体" w:hAnsi="宋体" w:cs="宋体"/>
              <w:color w:val="000000" w:themeColor="text1"/>
              <w:sz w:val="36"/>
              <w:szCs w:val="36"/>
            </w:rPr>
            <w:t>28</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3"/>
            <w:jc w:val="both"/>
            <w:rPr>
              <w:rFonts w:ascii="宋体" w:hAnsi="宋体" w:cs="宋体"/>
              <w:bCs/>
              <w:color w:val="000000" w:themeColor="text1"/>
            </w:rPr>
          </w:pPr>
          <w:r>
            <w:rPr>
              <w:rFonts w:hint="eastAsia" w:ascii="宋体" w:hAnsi="宋体" w:eastAsia="宋体" w:cs="宋体"/>
              <w:bCs/>
              <w:color w:val="000000" w:themeColor="text1"/>
            </w:rPr>
            <w:fldChar w:fldCharType="end"/>
          </w:r>
        </w:p>
      </w:sdtContent>
    </w:sdt>
    <w:p>
      <w:pPr>
        <w:rPr>
          <w:color w:val="000000" w:themeColor="text1"/>
        </w:rPr>
      </w:pPr>
    </w:p>
    <w:p>
      <w:pPr>
        <w:tabs>
          <w:tab w:val="right" w:pos="9072"/>
        </w:tabs>
        <w:jc w:val="left"/>
        <w:rPr>
          <w:color w:val="000000" w:themeColor="text1"/>
        </w:rPr>
        <w:sectPr>
          <w:footerReference r:id="rId6" w:type="default"/>
          <w:pgSz w:w="11906" w:h="16838"/>
          <w:pgMar w:top="1418" w:right="1417" w:bottom="1418" w:left="1417" w:header="851" w:footer="907" w:gutter="0"/>
          <w:pgNumType w:start="1"/>
          <w:cols w:space="720" w:num="1"/>
          <w:docGrid w:type="lines" w:linePitch="290" w:charSpace="0"/>
        </w:sectPr>
      </w:pPr>
      <w:r>
        <w:rPr>
          <w:rFonts w:hint="eastAsia"/>
          <w:color w:val="000000" w:themeColor="text1"/>
        </w:rPr>
        <w:tab/>
      </w:r>
    </w:p>
    <w:bookmarkEnd w:id="1"/>
    <w:p>
      <w:pPr>
        <w:pStyle w:val="3"/>
        <w:numPr>
          <w:ilvl w:val="0"/>
          <w:numId w:val="4"/>
        </w:numPr>
        <w:rPr>
          <w:rFonts w:ascii="宋体" w:hAnsi="宋体" w:eastAsia="宋体" w:cs="宋体"/>
          <w:b/>
          <w:bCs/>
          <w:color w:val="000000" w:themeColor="text1"/>
          <w:sz w:val="44"/>
          <w:szCs w:val="44"/>
        </w:rPr>
      </w:pPr>
      <w:bookmarkStart w:id="7" w:name="_Toc16364"/>
      <w:r>
        <w:rPr>
          <w:rFonts w:hint="eastAsia" w:ascii="宋体" w:hAnsi="宋体" w:eastAsia="宋体" w:cs="宋体"/>
          <w:b/>
          <w:bCs/>
          <w:color w:val="000000" w:themeColor="text1"/>
          <w:sz w:val="44"/>
          <w:szCs w:val="44"/>
        </w:rPr>
        <w:t>招标公告</w:t>
      </w:r>
      <w:bookmarkEnd w:id="7"/>
      <w:bookmarkStart w:id="8" w:name="_Toc35393789"/>
      <w:bookmarkStart w:id="9" w:name="_Toc9682"/>
      <w:bookmarkStart w:id="10" w:name="_Toc28359001"/>
    </w:p>
    <w:p>
      <w:pPr>
        <w:pStyle w:val="3"/>
        <w:ind w:firstLine="843" w:firstLineChars="300"/>
        <w:rPr>
          <w:rFonts w:ascii="宋体" w:hAnsi="宋体" w:eastAsia="宋体" w:cs="宋体"/>
          <w:b/>
          <w:bCs/>
          <w:color w:val="000000" w:themeColor="text1"/>
        </w:rPr>
      </w:pPr>
      <w:r>
        <w:rPr>
          <w:rFonts w:hint="eastAsia" w:ascii="宋体" w:hAnsi="宋体" w:eastAsia="宋体" w:cs="宋体"/>
          <w:b/>
          <w:bCs/>
          <w:color w:val="000000" w:themeColor="text1"/>
          <w:lang w:eastAsia="zh-CN"/>
        </w:rPr>
        <w:t>盐城工业职业技术学院智慧工地VR认知软件</w:t>
      </w:r>
      <w:r>
        <w:rPr>
          <w:rFonts w:hint="eastAsia" w:ascii="宋体" w:hAnsi="宋体" w:eastAsia="宋体" w:cs="宋体"/>
          <w:b/>
          <w:bCs/>
          <w:color w:val="000000" w:themeColor="text1"/>
        </w:rPr>
        <w:t>采购招标公告</w:t>
      </w:r>
      <w:bookmarkEnd w:id="8"/>
      <w:bookmarkEnd w:id="9"/>
      <w:bookmarkEnd w:id="10"/>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u w:val="single"/>
          <w:lang w:eastAsia="zh-CN"/>
        </w:rPr>
        <w:t>盐城工业职业技术学院智慧工地VR认知软件</w:t>
      </w:r>
      <w:r>
        <w:rPr>
          <w:rFonts w:hint="eastAsia" w:ascii="宋体" w:hAnsi="宋体" w:cs="宋体"/>
          <w:bCs/>
          <w:color w:val="000000" w:themeColor="text1"/>
          <w:sz w:val="24"/>
          <w:szCs w:val="24"/>
        </w:rPr>
        <w:t>的潜在投标人应在</w:t>
      </w:r>
      <w:r>
        <w:rPr>
          <w:rFonts w:hint="eastAsia" w:ascii="宋体" w:hAnsi="宋体" w:cs="宋体"/>
          <w:bCs/>
          <w:color w:val="000000" w:themeColor="text1"/>
          <w:sz w:val="24"/>
          <w:szCs w:val="24"/>
          <w:u w:val="single"/>
        </w:rPr>
        <w:t>盐城工业职业技术学院招标采购网</w:t>
      </w:r>
      <w:r>
        <w:rPr>
          <w:rFonts w:hint="eastAsia" w:ascii="宋体" w:hAnsi="宋体" w:cs="宋体"/>
          <w:bCs/>
          <w:color w:val="000000" w:themeColor="text1"/>
          <w:sz w:val="24"/>
          <w:szCs w:val="24"/>
        </w:rPr>
        <w:t>获</w:t>
      </w:r>
      <w:r>
        <w:rPr>
          <w:rFonts w:hint="eastAsia" w:ascii="宋体" w:hAnsi="宋体" w:cs="宋体"/>
          <w:color w:val="000000" w:themeColor="text1"/>
          <w:sz w:val="24"/>
          <w:szCs w:val="24"/>
        </w:rPr>
        <w:t>取招标文件，并于</w:t>
      </w:r>
      <w:r>
        <w:rPr>
          <w:rFonts w:hint="eastAsia" w:ascii="宋体" w:hAnsi="宋体" w:cs="宋体"/>
          <w:color w:val="000000" w:themeColor="text1"/>
          <w:sz w:val="24"/>
          <w:szCs w:val="24"/>
          <w:u w:val="single"/>
        </w:rPr>
        <w:t>2022</w:t>
      </w:r>
      <w:r>
        <w:rPr>
          <w:rFonts w:hint="eastAsia" w:ascii="宋体" w:hAnsi="宋体" w:cs="宋体"/>
          <w:bCs/>
          <w:color w:val="000000" w:themeColor="text1"/>
          <w:sz w:val="24"/>
          <w:szCs w:val="24"/>
          <w:u w:val="single"/>
        </w:rPr>
        <w:t>年</w:t>
      </w:r>
      <w:r>
        <w:rPr>
          <w:rFonts w:hint="eastAsia" w:ascii="宋体" w:hAnsi="宋体" w:cs="宋体"/>
          <w:bCs/>
          <w:color w:val="000000" w:themeColor="text1"/>
          <w:sz w:val="24"/>
          <w:szCs w:val="24"/>
          <w:u w:val="single"/>
          <w:lang w:val="en-US" w:eastAsia="zh-CN"/>
        </w:rPr>
        <w:t>12</w:t>
      </w:r>
      <w:r>
        <w:rPr>
          <w:rFonts w:hint="eastAsia" w:ascii="宋体" w:hAnsi="宋体" w:cs="宋体"/>
          <w:bCs/>
          <w:color w:val="000000" w:themeColor="text1"/>
          <w:sz w:val="24"/>
          <w:szCs w:val="24"/>
          <w:u w:val="single"/>
        </w:rPr>
        <w:t>月</w:t>
      </w:r>
      <w:r>
        <w:rPr>
          <w:rFonts w:hint="eastAsia" w:ascii="宋体" w:hAnsi="宋体" w:cs="宋体"/>
          <w:bCs/>
          <w:color w:val="000000" w:themeColor="text1"/>
          <w:sz w:val="24"/>
          <w:szCs w:val="24"/>
          <w:u w:val="single"/>
          <w:lang w:val="en-US" w:eastAsia="zh-CN"/>
        </w:rPr>
        <w:t>1</w:t>
      </w:r>
      <w:r>
        <w:rPr>
          <w:rFonts w:hint="eastAsia" w:ascii="宋体" w:hAnsi="宋体" w:cs="宋体"/>
          <w:bCs/>
          <w:color w:val="000000" w:themeColor="text1"/>
          <w:sz w:val="24"/>
          <w:szCs w:val="24"/>
          <w:u w:val="single"/>
        </w:rPr>
        <w:t>日15点00分（</w:t>
      </w:r>
      <w:r>
        <w:rPr>
          <w:rFonts w:hint="eastAsia" w:ascii="宋体" w:hAnsi="宋体" w:cs="宋体"/>
          <w:bCs/>
          <w:color w:val="000000" w:themeColor="text1"/>
          <w:sz w:val="24"/>
          <w:szCs w:val="24"/>
        </w:rPr>
        <w:t>北京时间）前递交投标文件</w:t>
      </w:r>
      <w:r>
        <w:rPr>
          <w:rFonts w:hint="eastAsia" w:ascii="宋体" w:hAnsi="宋体" w:cs="宋体"/>
          <w:color w:val="000000" w:themeColor="text1"/>
          <w:sz w:val="24"/>
          <w:szCs w:val="24"/>
        </w:rPr>
        <w:t>。</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000000" w:themeColor="text1"/>
          <w:sz w:val="24"/>
          <w:szCs w:val="24"/>
        </w:rPr>
      </w:pPr>
      <w:bookmarkStart w:id="11" w:name="_Toc28359079"/>
      <w:bookmarkStart w:id="12" w:name="_Toc28359002"/>
      <w:bookmarkStart w:id="13" w:name="_Toc35393790"/>
      <w:bookmarkStart w:id="14" w:name="_Toc35393621"/>
      <w:bookmarkStart w:id="15" w:name="_Toc17573"/>
      <w:bookmarkStart w:id="16" w:name="_Hlk24379207"/>
      <w:r>
        <w:rPr>
          <w:rFonts w:hint="eastAsia" w:ascii="宋体" w:hAnsi="宋体" w:eastAsia="宋体" w:cs="宋体"/>
          <w:b/>
          <w:bCs/>
          <w:color w:val="000000" w:themeColor="text1"/>
          <w:sz w:val="24"/>
          <w:szCs w:val="24"/>
        </w:rPr>
        <w:t>一、项目基本情况</w:t>
      </w:r>
      <w:bookmarkEnd w:id="11"/>
      <w:bookmarkEnd w:id="12"/>
      <w:bookmarkEnd w:id="13"/>
      <w:bookmarkEnd w:id="14"/>
      <w:bookmarkEnd w:id="15"/>
    </w:p>
    <w:p>
      <w:pPr>
        <w:spacing w:line="460" w:lineRule="exact"/>
        <w:ind w:firstLine="480" w:firstLineChars="200"/>
        <w:rPr>
          <w:rFonts w:ascii="宋体" w:hAnsi="宋体" w:cs="宋体"/>
          <w:color w:val="000000" w:themeColor="text1"/>
          <w:sz w:val="24"/>
          <w:szCs w:val="24"/>
          <w:u w:val="single"/>
        </w:rPr>
      </w:pPr>
      <w:r>
        <w:rPr>
          <w:rFonts w:hint="eastAsia" w:ascii="宋体" w:hAnsi="宋体" w:cs="宋体"/>
          <w:color w:val="000000" w:themeColor="text1"/>
          <w:sz w:val="24"/>
          <w:szCs w:val="24"/>
        </w:rPr>
        <w:t>项目编号：</w:t>
      </w:r>
      <w:r>
        <w:rPr>
          <w:rFonts w:hint="eastAsia" w:ascii="宋体" w:hAnsi="宋体" w:cs="宋体"/>
          <w:color w:val="000000" w:themeColor="text1"/>
          <w:sz w:val="24"/>
          <w:szCs w:val="24"/>
          <w:u w:val="single"/>
        </w:rPr>
        <w:t>2022-0</w:t>
      </w:r>
      <w:r>
        <w:rPr>
          <w:rFonts w:hint="eastAsia" w:ascii="宋体" w:hAnsi="宋体" w:cs="宋体"/>
          <w:color w:val="000000" w:themeColor="text1"/>
          <w:sz w:val="24"/>
          <w:szCs w:val="24"/>
          <w:u w:val="single"/>
          <w:lang w:val="en-US" w:eastAsia="zh-CN"/>
        </w:rPr>
        <w:t>41</w:t>
      </w:r>
      <w:r>
        <w:rPr>
          <w:rFonts w:hint="eastAsia" w:ascii="宋体" w:hAnsi="宋体" w:cs="宋体"/>
          <w:color w:val="000000" w:themeColor="text1"/>
          <w:sz w:val="24"/>
          <w:szCs w:val="24"/>
          <w:u w:val="single"/>
        </w:rPr>
        <w:t>Q</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项目名称：</w:t>
      </w:r>
      <w:r>
        <w:rPr>
          <w:rFonts w:hint="eastAsia" w:ascii="宋体" w:hAnsi="宋体" w:cs="宋体"/>
          <w:bCs/>
          <w:color w:val="000000" w:themeColor="text1"/>
          <w:sz w:val="24"/>
          <w:szCs w:val="24"/>
          <w:u w:val="single"/>
          <w:lang w:eastAsia="zh-CN"/>
        </w:rPr>
        <w:t>盐城工业职业技术学院智慧工地VR认知软件</w:t>
      </w:r>
    </w:p>
    <w:bookmarkEnd w:id="16"/>
    <w:p>
      <w:pPr>
        <w:pStyle w:val="40"/>
        <w:spacing w:before="0" w:beforeAutospacing="0" w:after="0" w:afterAutospacing="0"/>
        <w:ind w:firstLine="480" w:firstLineChars="200"/>
        <w:rPr>
          <w:color w:val="000000" w:themeColor="text1"/>
          <w:u w:val="single"/>
        </w:rPr>
      </w:pPr>
      <w:r>
        <w:rPr>
          <w:rFonts w:hint="eastAsia"/>
          <w:color w:val="000000" w:themeColor="text1"/>
        </w:rPr>
        <w:t>预算金额：最高限价</w:t>
      </w:r>
      <w:r>
        <w:rPr>
          <w:rFonts w:hint="eastAsia" w:ascii="仿宋" w:hAnsi="仿宋" w:eastAsia="仿宋" w:cs="仿宋"/>
          <w:color w:val="000000" w:themeColor="text1"/>
          <w:u w:val="single"/>
        </w:rPr>
        <w:t>18</w:t>
      </w:r>
      <w:r>
        <w:rPr>
          <w:rFonts w:hint="eastAsia"/>
          <w:color w:val="000000" w:themeColor="text1"/>
          <w:kern w:val="2"/>
          <w:u w:val="single"/>
        </w:rPr>
        <w:t>万元</w:t>
      </w:r>
      <w:r>
        <w:rPr>
          <w:rFonts w:hint="eastAsia"/>
          <w:color w:val="000000" w:themeColor="text1"/>
          <w:kern w:val="2"/>
        </w:rPr>
        <w:t>。</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采购需求：</w:t>
      </w:r>
      <w:r>
        <w:rPr>
          <w:rFonts w:hint="eastAsia" w:ascii="宋体" w:hAnsi="宋体" w:cs="宋体"/>
          <w:bCs/>
          <w:color w:val="000000" w:themeColor="text1"/>
          <w:sz w:val="24"/>
          <w:szCs w:val="24"/>
          <w:lang w:eastAsia="zh-CN"/>
        </w:rPr>
        <w:t>盐城工业职业技术学院智慧工地VR认知软件</w:t>
      </w:r>
      <w:r>
        <w:rPr>
          <w:rStyle w:val="115"/>
          <w:rFonts w:hint="eastAsia" w:ascii="宋体" w:hAnsi="宋体" w:cs="宋体"/>
          <w:color w:val="000000" w:themeColor="text1"/>
          <w:sz w:val="24"/>
          <w:szCs w:val="24"/>
        </w:rPr>
        <w:t>的采购、供应、运输、安装及就位、调试、维保、售前、售后等相关伴随服务，具体产品名称、数量、规格及技术参数等以招标文件及报价清单为准，采购人保留对上述采购规模进行调整的权利。（详见采购清单）。</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合同履行期限：</w:t>
      </w:r>
      <w:r>
        <w:rPr>
          <w:rStyle w:val="115"/>
          <w:rFonts w:hint="eastAsia" w:ascii="宋体" w:hAnsi="宋体" w:cs="宋体"/>
          <w:color w:val="000000" w:themeColor="text1"/>
          <w:sz w:val="24"/>
          <w:szCs w:val="24"/>
          <w:u w:val="single"/>
        </w:rPr>
        <w:t xml:space="preserve"> 项目合同签订后90天内完成设备的供货、 安装及调试。（如甲方需要延时交付，可另行约定时间）</w:t>
      </w:r>
      <w:r>
        <w:rPr>
          <w:rStyle w:val="115"/>
          <w:rFonts w:hint="eastAsia" w:ascii="宋体" w:hAnsi="宋体" w:cs="宋体"/>
          <w:color w:val="000000" w:themeColor="text1"/>
          <w:sz w:val="24"/>
          <w:szCs w:val="24"/>
        </w:rPr>
        <w:t>。</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本项目不接受联合体投标。</w:t>
      </w:r>
      <w:bookmarkStart w:id="17" w:name="_Toc28359003"/>
      <w:bookmarkStart w:id="18" w:name="_Toc35393791"/>
      <w:bookmarkStart w:id="19" w:name="_Toc35393622"/>
      <w:bookmarkStart w:id="20" w:name="_Toc28359080"/>
      <w:bookmarkStart w:id="21" w:name="_Toc35393623"/>
      <w:bookmarkStart w:id="22" w:name="_Toc35393792"/>
      <w:bookmarkStart w:id="23" w:name="_Toc28359004"/>
      <w:bookmarkStart w:id="24" w:name="_Toc28359081"/>
    </w:p>
    <w:bookmarkEnd w:id="17"/>
    <w:bookmarkEnd w:id="18"/>
    <w:bookmarkEnd w:id="19"/>
    <w:bookmarkEnd w:id="20"/>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二、申请人的资格要求：</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1.满足《中华人民共和国政府采购法》第二十二条规定，并提供下列材料；</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（1）法人或者其他组织的营业执照等证明文件，自然人的身份证明；</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（2）上一年度（2021年）的财务报表（成立不满一年不需提供）；</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（4）具备履行合同所必需的设备和专业技术能力的书面声明；</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（5）参加政府采购活动前3年内在经营活动中没有重大违法记录的书面声明；</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2.落实政府采购政策需满足的资格要求：/。</w:t>
      </w:r>
    </w:p>
    <w:bookmarkEnd w:id="21"/>
    <w:bookmarkEnd w:id="22"/>
    <w:bookmarkEnd w:id="23"/>
    <w:bookmarkEnd w:id="24"/>
    <w:p>
      <w:pPr>
        <w:spacing w:line="460" w:lineRule="exact"/>
        <w:ind w:firstLine="480" w:firstLineChars="200"/>
        <w:rPr>
          <w:rFonts w:ascii="宋体" w:hAnsi="宋体" w:cs="宋体"/>
          <w:color w:val="000000" w:themeColor="text1"/>
          <w:sz w:val="24"/>
          <w:szCs w:val="24"/>
        </w:rPr>
      </w:pPr>
      <w:bookmarkStart w:id="25" w:name="_Toc28359005"/>
      <w:bookmarkStart w:id="26" w:name="_Toc28359082"/>
      <w:bookmarkStart w:id="27" w:name="_Toc35393793"/>
      <w:bookmarkStart w:id="28" w:name="_Toc35393624"/>
      <w:r>
        <w:rPr>
          <w:rFonts w:hint="eastAsia" w:ascii="宋体" w:hAnsi="宋体" w:cs="宋体"/>
          <w:color w:val="000000" w:themeColor="text1"/>
          <w:sz w:val="24"/>
          <w:szCs w:val="24"/>
        </w:rPr>
        <w:t>3.本项目的特定资格要求：</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（1）未被“信用中国”网站（www.creditchina.gov.cn）列入失信被执行人、重大税收违法案件当事人名单、政府采购严重失信行为记录名单。</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（2）单位负责人为同一人或者存在直接控股、管理关系的不同供应商，不得参加同一合同项下的政府采购活动。</w:t>
      </w:r>
    </w:p>
    <w:p>
      <w:pPr>
        <w:spacing w:line="460" w:lineRule="exact"/>
        <w:ind w:firstLine="482" w:firstLineChars="200"/>
        <w:rPr>
          <w:rFonts w:ascii="宋体" w:hAnsi="宋体" w:cs="宋体"/>
          <w:b/>
          <w:bCs/>
          <w:color w:val="000000" w:themeColor="text1"/>
          <w:sz w:val="24"/>
          <w:szCs w:val="24"/>
        </w:rPr>
      </w:pPr>
      <w:bookmarkStart w:id="29" w:name="_Toc392"/>
      <w:r>
        <w:rPr>
          <w:rFonts w:hint="eastAsia" w:ascii="宋体" w:hAnsi="宋体" w:cs="宋体"/>
          <w:b/>
          <w:bCs/>
          <w:color w:val="000000" w:themeColor="text1"/>
          <w:sz w:val="24"/>
          <w:szCs w:val="24"/>
        </w:rPr>
        <w:t>三、获取招标文件</w:t>
      </w:r>
      <w:bookmarkEnd w:id="29"/>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时间：自公告之日起至投标截止时间前1日</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地点：盐城工业职业技术学院招标采购网</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方式：符合资格要求的投标人可自行下载采购文件，采购文件见盐城工业</w:t>
      </w:r>
      <w:bookmarkStart w:id="267" w:name="_GoBack"/>
      <w:bookmarkEnd w:id="267"/>
      <w:r>
        <w:rPr>
          <w:rFonts w:hint="eastAsia" w:ascii="宋体" w:hAnsi="宋体" w:cs="宋体"/>
          <w:color w:val="000000" w:themeColor="text1"/>
          <w:sz w:val="24"/>
          <w:szCs w:val="24"/>
        </w:rPr>
        <w:t>职业技术学院招标采购网本公告附件。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报名时间及地点：本公告发布后凡具备上述资格条件，并自愿参加本项目投标的投标人应于2022年</w:t>
      </w:r>
      <w:r>
        <w:rPr>
          <w:rFonts w:hint="eastAsia" w:ascii="宋体" w:hAnsi="宋体" w:cs="宋体"/>
          <w:color w:val="000000" w:themeColor="text1"/>
          <w:sz w:val="24"/>
          <w:szCs w:val="24"/>
          <w:lang w:val="en-US" w:eastAsia="zh-CN"/>
        </w:rPr>
        <w:t>11</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10</w:t>
      </w:r>
      <w:r>
        <w:rPr>
          <w:rFonts w:hint="eastAsia" w:ascii="宋体" w:hAnsi="宋体" w:cs="宋体"/>
          <w:color w:val="000000" w:themeColor="text1"/>
          <w:sz w:val="24"/>
          <w:szCs w:val="24"/>
        </w:rPr>
        <w:t>日至2022年</w:t>
      </w:r>
      <w:r>
        <w:rPr>
          <w:rFonts w:hint="eastAsia" w:ascii="宋体" w:hAnsi="宋体" w:cs="宋体"/>
          <w:color w:val="000000" w:themeColor="text1"/>
          <w:sz w:val="24"/>
          <w:szCs w:val="24"/>
          <w:lang w:val="en-US" w:eastAsia="zh-CN"/>
        </w:rPr>
        <w:t>11</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27</w:t>
      </w:r>
      <w:r>
        <w:rPr>
          <w:rFonts w:hint="eastAsia" w:ascii="宋体" w:hAnsi="宋体" w:cs="宋体"/>
          <w:color w:val="000000" w:themeColor="text1"/>
          <w:sz w:val="24"/>
          <w:szCs w:val="24"/>
        </w:rPr>
        <w:t>日（早上8:30-下午18：00）委派本单位正式人员携带单位介绍信或授权委托书到江苏全盛工程造价事务所有限公司报名且购买招标文件，逾期报名的不予接收。招标文件售价500元/份，售后不退。</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有关本次招标的事项若存在变动或修改，敬请及时关注“盐城工业职业技术学院招标采购网”发布的信息更正公告。</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rPr>
      </w:pPr>
      <w:bookmarkStart w:id="30" w:name="_Toc7670"/>
      <w:r>
        <w:rPr>
          <w:rFonts w:hint="eastAsia" w:ascii="宋体" w:hAnsi="宋体" w:eastAsia="宋体" w:cs="宋体"/>
          <w:b/>
          <w:bCs/>
          <w:color w:val="000000" w:themeColor="text1"/>
          <w:sz w:val="24"/>
          <w:szCs w:val="24"/>
        </w:rPr>
        <w:t>四、提交投标文件</w:t>
      </w:r>
      <w:bookmarkEnd w:id="25"/>
      <w:bookmarkEnd w:id="26"/>
      <w:r>
        <w:rPr>
          <w:rFonts w:hint="eastAsia" w:ascii="宋体" w:hAnsi="宋体" w:eastAsia="宋体" w:cs="宋体"/>
          <w:b/>
          <w:bCs/>
          <w:color w:val="000000" w:themeColor="text1"/>
          <w:sz w:val="24"/>
          <w:szCs w:val="24"/>
        </w:rPr>
        <w:t>截止时间、开标时间和地点</w:t>
      </w:r>
      <w:bookmarkEnd w:id="27"/>
      <w:bookmarkEnd w:id="28"/>
      <w:bookmarkEnd w:id="30"/>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u w:val="single"/>
        </w:rPr>
        <w:t>2022</w:t>
      </w:r>
      <w:r>
        <w:rPr>
          <w:rFonts w:hint="eastAsia" w:ascii="宋体" w:hAnsi="宋体" w:cs="宋体"/>
          <w:bCs/>
          <w:color w:val="000000" w:themeColor="text1"/>
          <w:sz w:val="24"/>
          <w:szCs w:val="24"/>
          <w:u w:val="single"/>
        </w:rPr>
        <w:t>年</w:t>
      </w:r>
      <w:r>
        <w:rPr>
          <w:rFonts w:hint="eastAsia" w:ascii="宋体" w:hAnsi="宋体" w:cs="宋体"/>
          <w:bCs/>
          <w:color w:val="000000" w:themeColor="text1"/>
          <w:sz w:val="24"/>
          <w:szCs w:val="24"/>
          <w:u w:val="single"/>
          <w:lang w:val="en-US" w:eastAsia="zh-CN"/>
        </w:rPr>
        <w:t>12</w:t>
      </w:r>
      <w:r>
        <w:rPr>
          <w:rFonts w:hint="eastAsia" w:ascii="宋体" w:hAnsi="宋体" w:cs="宋体"/>
          <w:bCs/>
          <w:color w:val="000000" w:themeColor="text1"/>
          <w:sz w:val="24"/>
          <w:szCs w:val="24"/>
          <w:u w:val="single"/>
        </w:rPr>
        <w:t>月</w:t>
      </w:r>
      <w:r>
        <w:rPr>
          <w:rFonts w:hint="eastAsia" w:ascii="宋体" w:hAnsi="宋体" w:cs="宋体"/>
          <w:bCs/>
          <w:color w:val="000000" w:themeColor="text1"/>
          <w:sz w:val="24"/>
          <w:szCs w:val="24"/>
          <w:u w:val="single"/>
          <w:lang w:val="en-US" w:eastAsia="zh-CN"/>
        </w:rPr>
        <w:t>1</w:t>
      </w:r>
      <w:r>
        <w:rPr>
          <w:rFonts w:hint="eastAsia" w:ascii="宋体" w:hAnsi="宋体" w:cs="宋体"/>
          <w:bCs/>
          <w:color w:val="000000" w:themeColor="text1"/>
          <w:sz w:val="24"/>
          <w:szCs w:val="24"/>
          <w:u w:val="single"/>
        </w:rPr>
        <w:t>日15点00分</w:t>
      </w:r>
      <w:r>
        <w:rPr>
          <w:rFonts w:hint="eastAsia" w:ascii="宋体" w:hAnsi="宋体" w:cs="宋体"/>
          <w:color w:val="000000" w:themeColor="text1"/>
          <w:sz w:val="24"/>
          <w:szCs w:val="24"/>
        </w:rPr>
        <w:t>（北京时间）</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rPr>
      </w:pPr>
      <w:bookmarkStart w:id="31" w:name="_Toc12763"/>
      <w:bookmarkStart w:id="32" w:name="_Toc35393625"/>
      <w:bookmarkStart w:id="33" w:name="_Toc35393794"/>
      <w:bookmarkStart w:id="34" w:name="_Toc28359084"/>
      <w:bookmarkStart w:id="35" w:name="_Toc28359007"/>
      <w:r>
        <w:rPr>
          <w:rFonts w:hint="eastAsia" w:ascii="宋体" w:hAnsi="宋体" w:eastAsia="宋体" w:cs="宋体"/>
          <w:b/>
          <w:bCs/>
          <w:color w:val="000000" w:themeColor="text1"/>
          <w:sz w:val="24"/>
          <w:szCs w:val="24"/>
        </w:rPr>
        <w:t>五、公告期限</w:t>
      </w:r>
      <w:bookmarkEnd w:id="31"/>
    </w:p>
    <w:p>
      <w:pPr>
        <w:adjustRightInd w:val="0"/>
        <w:snapToGrid w:val="0"/>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自本公告发布之日起5个工作日。</w:t>
      </w:r>
    </w:p>
    <w:bookmarkEnd w:id="32"/>
    <w:bookmarkEnd w:id="33"/>
    <w:bookmarkEnd w:id="34"/>
    <w:bookmarkEnd w:id="35"/>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rPr>
      </w:pPr>
      <w:bookmarkStart w:id="36" w:name="_Toc35393626"/>
      <w:bookmarkStart w:id="37" w:name="_Toc21328"/>
      <w:bookmarkStart w:id="38" w:name="_Toc35393795"/>
      <w:bookmarkStart w:id="39" w:name="_Toc35393796"/>
      <w:bookmarkStart w:id="40" w:name="_Toc28359085"/>
      <w:bookmarkStart w:id="41" w:name="_Toc35393627"/>
      <w:bookmarkStart w:id="42" w:name="_Toc28359008"/>
      <w:r>
        <w:rPr>
          <w:rFonts w:hint="eastAsia" w:ascii="宋体" w:hAnsi="宋体" w:eastAsia="宋体" w:cs="宋体"/>
          <w:b/>
          <w:bCs/>
          <w:color w:val="000000" w:themeColor="text1"/>
          <w:sz w:val="24"/>
          <w:szCs w:val="24"/>
        </w:rPr>
        <w:t>六、其他补充事宜</w:t>
      </w:r>
      <w:bookmarkEnd w:id="36"/>
      <w:bookmarkEnd w:id="37"/>
      <w:bookmarkEnd w:id="38"/>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(一)因疫情防控需要，为确保校园安全，投标人须持有48小时内核酸检测阴性证明进入盐城工业职业技术学院校区时应服从下列疫情防控措施：</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（1）投标前10天内与确诊/疑似病例或无症状感染者有密切接触的人员，以及与密切接触者接触的次密切接触者，一律不得进校。</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（2）投标前10天内接触过境外归国人员（未解除隔离的），按次密切接触者处置，一律不得进校。</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（3）投标前7天内有疫情中高风险地区（以开标前一日权威发布的疫情风险等级区域划分为依据）旅居史的人员，一律不得进校。</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4）投标前7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Theme="minorEastAsia" w:hAnsiTheme="minorEastAsia" w:eastAsiaTheme="minorEastAsia" w:cstheme="minorEastAsia"/>
          <w:color w:val="000000" w:themeColor="text1"/>
          <w:sz w:val="24"/>
          <w:szCs w:val="24"/>
        </w:rPr>
        <w:t>（5）投标前7天内出现发热或呼吸道症状的人员，经当地医院就诊治疗，排除新</w:t>
      </w:r>
      <w:r>
        <w:rPr>
          <w:rStyle w:val="115"/>
          <w:rFonts w:hint="eastAsia" w:ascii="宋体" w:hAnsi="宋体" w:cs="宋体"/>
          <w:color w:val="000000" w:themeColor="text1"/>
          <w:sz w:val="24"/>
          <w:szCs w:val="24"/>
        </w:rPr>
        <w:t>冠病毒感染并在身体康复后，须持有48小时内核酸检测阴性证明，或者能够出示包括48小时内核酸检测阴性证明的健康码。</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（7）投标人从东门进出，车辆一律不得进入校园（如确因提供样品需要，经同意后可进校园，服从管理，在指定位置停放）。</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（8）各投标项目授权代表限1人进入校园，项目授权代表进入校园时须全程佩戴口罩，做好手部消毒及投标文件等消毒防护工作。</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（10）投标人未如实报告个人信息，承担相应责任和法律后果，引发问题学校可取消其中标资格。</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请各投标人预留好相应时间，配合做好上述管控措施。</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（二）投标文件制作份数要求：正本份数：1份，副本份数：4份。</w:t>
      </w:r>
    </w:p>
    <w:p>
      <w:pPr>
        <w:snapToGrid w:val="0"/>
        <w:spacing w:line="360" w:lineRule="auto"/>
        <w:ind w:firstLine="482" w:firstLineChars="200"/>
        <w:jc w:val="left"/>
        <w:rPr>
          <w:rFonts w:ascii="宋体" w:hAnsi="宋体" w:cs="宋体"/>
          <w:b/>
          <w:bCs/>
          <w:color w:val="000000" w:themeColor="text1"/>
          <w:sz w:val="24"/>
        </w:rPr>
      </w:pPr>
      <w:r>
        <w:rPr>
          <w:rFonts w:hint="eastAsia" w:ascii="宋体" w:hAnsi="宋体" w:cs="宋体"/>
          <w:b/>
          <w:bCs/>
          <w:color w:val="000000" w:themeColor="text1"/>
          <w:sz w:val="24"/>
        </w:rPr>
        <w:t>七、本项目投标保证金</w:t>
      </w:r>
    </w:p>
    <w:p>
      <w:pPr>
        <w:pStyle w:val="118"/>
        <w:tabs>
          <w:tab w:val="left" w:pos="0"/>
          <w:tab w:val="left" w:pos="3165"/>
          <w:tab w:val="center" w:pos="4153"/>
        </w:tabs>
        <w:snapToGrid w:val="0"/>
        <w:spacing w:line="360" w:lineRule="auto"/>
        <w:ind w:firstLine="480" w:firstLineChars="200"/>
        <w:jc w:val="left"/>
        <w:rPr>
          <w:rFonts w:ascii="宋体" w:hAnsi="宋体" w:eastAsia="宋体" w:cs="宋体"/>
          <w:color w:val="000000" w:themeColor="text1"/>
        </w:rPr>
      </w:pPr>
      <w:r>
        <w:rPr>
          <w:rStyle w:val="115"/>
          <w:rFonts w:hint="eastAsia" w:ascii="宋体" w:hAnsi="宋体" w:eastAsia="宋体" w:cs="宋体"/>
          <w:color w:val="000000" w:themeColor="text1"/>
          <w:sz w:val="24"/>
          <w:szCs w:val="24"/>
        </w:rPr>
        <w:t>根据江苏省财政厅及盐财购〔2020〕11号文件关于取消政府采购投标保证金的规定，本采购项目投标人无需在投标截止时间之前交纳（提交）投标保证金。</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rPr>
      </w:pPr>
      <w:bookmarkStart w:id="43" w:name="_Toc19826"/>
      <w:r>
        <w:rPr>
          <w:rFonts w:hint="eastAsia" w:ascii="宋体" w:hAnsi="宋体" w:eastAsia="宋体" w:cs="宋体"/>
          <w:b/>
          <w:bCs/>
          <w:color w:val="000000" w:themeColor="text1"/>
          <w:sz w:val="24"/>
          <w:szCs w:val="24"/>
        </w:rPr>
        <w:t>八、对本次招标提出询问，请按以下方式联系。</w:t>
      </w:r>
      <w:bookmarkEnd w:id="39"/>
      <w:bookmarkEnd w:id="40"/>
      <w:bookmarkEnd w:id="41"/>
      <w:bookmarkEnd w:id="42"/>
      <w:bookmarkEnd w:id="43"/>
    </w:p>
    <w:p>
      <w:pPr>
        <w:spacing w:line="460" w:lineRule="exact"/>
        <w:ind w:firstLine="480" w:firstLineChars="200"/>
        <w:rPr>
          <w:rFonts w:ascii="宋体" w:hAnsi="宋体" w:cs="宋体"/>
          <w:color w:val="000000" w:themeColor="text1"/>
          <w:sz w:val="24"/>
          <w:szCs w:val="24"/>
        </w:rPr>
      </w:pPr>
      <w:bookmarkStart w:id="44" w:name="_Toc28359096"/>
      <w:bookmarkStart w:id="45" w:name="_Toc28359019"/>
      <w:bookmarkStart w:id="46" w:name="_Toc35393637"/>
      <w:bookmarkStart w:id="47" w:name="_Toc35393806"/>
      <w:r>
        <w:rPr>
          <w:rFonts w:hint="eastAsia" w:ascii="宋体" w:hAnsi="宋体" w:cs="宋体"/>
          <w:color w:val="000000" w:themeColor="text1"/>
          <w:sz w:val="24"/>
          <w:szCs w:val="24"/>
        </w:rPr>
        <w:t>1.采购人信息</w:t>
      </w:r>
      <w:bookmarkEnd w:id="44"/>
      <w:bookmarkEnd w:id="45"/>
      <w:bookmarkEnd w:id="46"/>
      <w:bookmarkEnd w:id="47"/>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名称：盐城工业职业技术学院</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地址：</w:t>
      </w:r>
      <w:r>
        <w:rPr>
          <w:rStyle w:val="115"/>
          <w:rFonts w:hint="eastAsia" w:ascii="宋体" w:hAnsi="宋体"/>
          <w:color w:val="000000" w:themeColor="text1"/>
          <w:sz w:val="24"/>
          <w:szCs w:val="24"/>
        </w:rPr>
        <w:t>盐城市解放南路285号</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联系人：赵老师             </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联系电话：0515-88588707</w:t>
      </w:r>
    </w:p>
    <w:p>
      <w:pPr>
        <w:spacing w:line="460" w:lineRule="exact"/>
        <w:ind w:firstLine="480" w:firstLineChars="200"/>
        <w:rPr>
          <w:rFonts w:ascii="宋体" w:hAnsi="宋体" w:cs="宋体"/>
          <w:color w:val="000000" w:themeColor="text1"/>
          <w:sz w:val="24"/>
          <w:szCs w:val="24"/>
        </w:rPr>
      </w:pPr>
      <w:bookmarkStart w:id="48" w:name="_Toc35393807"/>
      <w:bookmarkStart w:id="49" w:name="_Toc35393638"/>
      <w:bookmarkStart w:id="50" w:name="_Toc28359020"/>
      <w:bookmarkStart w:id="51" w:name="_Toc28359097"/>
      <w:r>
        <w:rPr>
          <w:rFonts w:hint="eastAsia" w:ascii="宋体" w:hAnsi="宋体" w:cs="宋体"/>
          <w:color w:val="000000" w:themeColor="text1"/>
          <w:sz w:val="24"/>
          <w:szCs w:val="24"/>
        </w:rPr>
        <w:t>2.采购代理机构信息</w:t>
      </w:r>
      <w:bookmarkEnd w:id="48"/>
      <w:bookmarkEnd w:id="49"/>
      <w:bookmarkEnd w:id="50"/>
      <w:bookmarkEnd w:id="51"/>
    </w:p>
    <w:p>
      <w:pPr>
        <w:spacing w:line="460" w:lineRule="exact"/>
        <w:ind w:firstLine="480" w:firstLineChars="200"/>
        <w:rPr>
          <w:rFonts w:ascii="宋体" w:hAnsi="宋体" w:cs="宋体"/>
          <w:color w:val="000000" w:themeColor="text1"/>
          <w:sz w:val="24"/>
          <w:szCs w:val="24"/>
        </w:rPr>
      </w:pPr>
      <w:bookmarkStart w:id="52" w:name="_Toc35393639"/>
      <w:bookmarkStart w:id="53" w:name="_Toc35393808"/>
      <w:bookmarkStart w:id="54" w:name="_Toc28359021"/>
      <w:bookmarkStart w:id="55" w:name="_Toc28359098"/>
      <w:r>
        <w:rPr>
          <w:rFonts w:hint="eastAsia" w:ascii="宋体" w:hAnsi="宋体" w:cs="宋体"/>
          <w:color w:val="000000" w:themeColor="text1"/>
          <w:sz w:val="24"/>
          <w:szCs w:val="24"/>
        </w:rPr>
        <w:t>名称：江苏全盛工程造价事务所有限公司</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地址：盐城市人民南路华邦国际东厦A区22楼2203室</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联系人：朱玲娜            </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联系电话：18751450656</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3.项目联系方式</w:t>
      </w:r>
      <w:bookmarkEnd w:id="52"/>
      <w:bookmarkEnd w:id="53"/>
      <w:bookmarkEnd w:id="54"/>
      <w:bookmarkEnd w:id="55"/>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项目联系人：顾</w:t>
      </w:r>
      <w:r>
        <w:rPr>
          <w:rFonts w:hint="eastAsia" w:ascii="宋体" w:hAnsi="宋体" w:cs="宋体"/>
          <w:color w:val="000000" w:themeColor="text1"/>
          <w:sz w:val="24"/>
          <w:szCs w:val="24"/>
          <w:lang w:val="en-US" w:eastAsia="zh-CN"/>
        </w:rPr>
        <w:t>老师</w:t>
      </w:r>
      <w:r>
        <w:rPr>
          <w:rFonts w:hint="eastAsia" w:ascii="宋体" w:hAnsi="宋体" w:cs="宋体"/>
          <w:color w:val="000000" w:themeColor="text1"/>
          <w:sz w:val="24"/>
          <w:szCs w:val="24"/>
        </w:rPr>
        <w:t xml:space="preserve"> </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联系电话：15050559397</w:t>
      </w:r>
    </w:p>
    <w:p>
      <w:pPr>
        <w:tabs>
          <w:tab w:val="left" w:pos="900"/>
        </w:tabs>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对项目需求部分的询问、质疑请向项目联系人提出，由项目联系人答复</w:t>
      </w:r>
      <w:bookmarkEnd w:id="2"/>
      <w:bookmarkEnd w:id="3"/>
      <w:bookmarkEnd w:id="4"/>
      <w:bookmarkEnd w:id="5"/>
      <w:bookmarkEnd w:id="6"/>
      <w:bookmarkStart w:id="56" w:name="_Toc479757207"/>
      <w:bookmarkStart w:id="57" w:name="_Toc16938558"/>
      <w:bookmarkStart w:id="58" w:name="_Toc513029242"/>
      <w:bookmarkStart w:id="59" w:name="_Toc20823314"/>
      <w:bookmarkStart w:id="60" w:name="_Toc120614221"/>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2"/>
      </w:pPr>
    </w:p>
    <w:p>
      <w:pPr>
        <w:pStyle w:val="4"/>
        <w:spacing w:before="0" w:after="0" w:line="240" w:lineRule="auto"/>
        <w:jc w:val="both"/>
        <w:rPr>
          <w:rFonts w:hint="eastAsia" w:ascii="宋体" w:hAnsi="宋体" w:eastAsia="宋体" w:cs="宋体"/>
          <w:color w:val="000000" w:themeColor="text1"/>
        </w:rPr>
      </w:pPr>
      <w:bookmarkStart w:id="61" w:name="_Toc8631"/>
    </w:p>
    <w:p>
      <w:pPr>
        <w:pStyle w:val="4"/>
        <w:spacing w:before="0" w:after="0" w:line="240" w:lineRule="auto"/>
        <w:ind w:firstLine="2209" w:firstLineChars="500"/>
        <w:jc w:val="both"/>
        <w:rPr>
          <w:rFonts w:ascii="宋体" w:hAnsi="宋体" w:eastAsia="宋体" w:cs="宋体"/>
          <w:b w:val="0"/>
          <w:bCs w:val="0"/>
          <w:color w:val="000000" w:themeColor="text1"/>
        </w:rPr>
      </w:pPr>
      <w:r>
        <w:rPr>
          <w:rFonts w:hint="eastAsia" w:ascii="宋体" w:hAnsi="宋体" w:eastAsia="宋体" w:cs="宋体"/>
          <w:color w:val="000000" w:themeColor="text1"/>
        </w:rPr>
        <w:t xml:space="preserve">第二章  </w:t>
      </w:r>
      <w:bookmarkStart w:id="62" w:name="_Toc20823274"/>
      <w:bookmarkStart w:id="63" w:name="_Toc513029202"/>
      <w:bookmarkStart w:id="64" w:name="_Toc16938518"/>
      <w:bookmarkStart w:id="65" w:name="_Toc120614213"/>
      <w:r>
        <w:rPr>
          <w:rFonts w:hint="eastAsia" w:ascii="宋体" w:hAnsi="宋体" w:eastAsia="宋体" w:cs="宋体"/>
          <w:color w:val="000000" w:themeColor="text1"/>
        </w:rPr>
        <w:t>投标人须知</w:t>
      </w:r>
      <w:bookmarkEnd w:id="61"/>
      <w:bookmarkEnd w:id="62"/>
      <w:bookmarkEnd w:id="63"/>
      <w:bookmarkEnd w:id="64"/>
      <w:bookmarkEnd w:id="65"/>
    </w:p>
    <w:p>
      <w:pPr>
        <w:pStyle w:val="5"/>
        <w:spacing w:before="0" w:after="0" w:line="440" w:lineRule="exact"/>
        <w:ind w:firstLine="482" w:firstLineChars="200"/>
        <w:rPr>
          <w:rFonts w:ascii="宋体" w:hAnsi="宋体" w:cs="宋体"/>
          <w:color w:val="000000" w:themeColor="text1"/>
          <w:sz w:val="24"/>
          <w:szCs w:val="24"/>
        </w:rPr>
      </w:pPr>
      <w:bookmarkStart w:id="66" w:name="_Toc513029203"/>
      <w:bookmarkStart w:id="67" w:name="_Toc120614214"/>
      <w:bookmarkStart w:id="68" w:name="_Toc16938519"/>
      <w:bookmarkStart w:id="69" w:name="_Toc20823275"/>
      <w:r>
        <w:rPr>
          <w:rFonts w:hint="eastAsia" w:ascii="宋体" w:hAnsi="宋体" w:cs="宋体"/>
          <w:color w:val="000000" w:themeColor="text1"/>
          <w:sz w:val="24"/>
          <w:szCs w:val="24"/>
        </w:rPr>
        <w:t>一、总则</w:t>
      </w:r>
      <w:bookmarkEnd w:id="66"/>
      <w:bookmarkEnd w:id="67"/>
      <w:bookmarkEnd w:id="68"/>
      <w:bookmarkEnd w:id="69"/>
    </w:p>
    <w:p>
      <w:pPr>
        <w:pStyle w:val="7"/>
        <w:spacing w:before="0" w:after="0" w:line="440" w:lineRule="exact"/>
        <w:ind w:firstLine="480" w:firstLineChars="200"/>
        <w:rPr>
          <w:rFonts w:ascii="宋体" w:hAnsi="宋体" w:cs="宋体"/>
          <w:b w:val="0"/>
          <w:color w:val="000000" w:themeColor="text1"/>
          <w:sz w:val="24"/>
          <w:szCs w:val="24"/>
        </w:rPr>
      </w:pPr>
      <w:bookmarkStart w:id="70" w:name="_Hlt16619475"/>
      <w:bookmarkEnd w:id="70"/>
      <w:bookmarkStart w:id="71" w:name="_Toc458694821"/>
      <w:bookmarkStart w:id="72" w:name="_Toc513029204"/>
      <w:bookmarkStart w:id="73" w:name="_Toc16938520"/>
      <w:bookmarkStart w:id="74" w:name="_Toc20823276"/>
      <w:r>
        <w:rPr>
          <w:rFonts w:hint="eastAsia" w:ascii="宋体" w:hAnsi="宋体" w:cs="宋体"/>
          <w:b w:val="0"/>
          <w:color w:val="000000" w:themeColor="text1"/>
          <w:sz w:val="24"/>
          <w:szCs w:val="24"/>
        </w:rPr>
        <w:t>1</w:t>
      </w:r>
      <w:bookmarkEnd w:id="71"/>
      <w:r>
        <w:rPr>
          <w:rFonts w:hint="eastAsia" w:ascii="宋体" w:hAnsi="宋体" w:cs="宋体"/>
          <w:b w:val="0"/>
          <w:color w:val="000000" w:themeColor="text1"/>
          <w:sz w:val="24"/>
          <w:szCs w:val="24"/>
        </w:rPr>
        <w:t>、招标方式</w:t>
      </w:r>
      <w:bookmarkEnd w:id="72"/>
      <w:bookmarkEnd w:id="73"/>
      <w:bookmarkEnd w:id="74"/>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 本次招标采取公开招标方式，本招标文件仅适用于招标公告中所述项目。</w:t>
      </w:r>
    </w:p>
    <w:p>
      <w:pPr>
        <w:pStyle w:val="7"/>
        <w:spacing w:before="0" w:after="0" w:line="440" w:lineRule="exact"/>
        <w:ind w:firstLine="480" w:firstLineChars="200"/>
        <w:rPr>
          <w:rFonts w:ascii="宋体" w:hAnsi="宋体" w:cs="宋体"/>
          <w:b w:val="0"/>
          <w:color w:val="000000" w:themeColor="text1"/>
          <w:sz w:val="24"/>
          <w:szCs w:val="24"/>
        </w:rPr>
      </w:pPr>
      <w:bookmarkStart w:id="75" w:name="_Toc20823277"/>
      <w:bookmarkStart w:id="76" w:name="_Toc16938521"/>
      <w:bookmarkStart w:id="77" w:name="_Toc513029205"/>
      <w:r>
        <w:rPr>
          <w:rFonts w:hint="eastAsia" w:ascii="宋体" w:hAnsi="宋体" w:cs="宋体"/>
          <w:b w:val="0"/>
          <w:color w:val="000000" w:themeColor="text1"/>
          <w:sz w:val="24"/>
          <w:szCs w:val="24"/>
        </w:rPr>
        <w:t>2、合格的投标人</w:t>
      </w:r>
      <w:bookmarkEnd w:id="75"/>
      <w:bookmarkEnd w:id="76"/>
      <w:bookmarkEnd w:id="77"/>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2.1满足招标公告中供应商的资格要求的规定。</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 满足本文件实质性条款的规定。</w:t>
      </w:r>
    </w:p>
    <w:p>
      <w:pPr>
        <w:pStyle w:val="7"/>
        <w:spacing w:before="0" w:after="0" w:line="440" w:lineRule="exact"/>
        <w:ind w:firstLine="480" w:firstLineChars="200"/>
        <w:rPr>
          <w:rFonts w:ascii="宋体" w:hAnsi="宋体" w:cs="宋体"/>
          <w:b w:val="0"/>
          <w:color w:val="000000" w:themeColor="text1"/>
          <w:sz w:val="24"/>
          <w:szCs w:val="24"/>
        </w:rPr>
      </w:pPr>
      <w:bookmarkStart w:id="78" w:name="_Toc20823278"/>
      <w:bookmarkStart w:id="79" w:name="_Toc16938522"/>
      <w:bookmarkStart w:id="80" w:name="_Toc513029206"/>
      <w:r>
        <w:rPr>
          <w:rFonts w:hint="eastAsia" w:ascii="宋体" w:hAnsi="宋体" w:cs="宋体"/>
          <w:b w:val="0"/>
          <w:color w:val="000000" w:themeColor="text1"/>
          <w:sz w:val="24"/>
          <w:szCs w:val="24"/>
        </w:rPr>
        <w:t>3、适用法律</w:t>
      </w:r>
      <w:bookmarkEnd w:id="78"/>
      <w:bookmarkEnd w:id="79"/>
      <w:bookmarkEnd w:id="80"/>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 本次招标及由此产生的合同受中华人民共和国有关的法律法规制约和保护。</w:t>
      </w:r>
    </w:p>
    <w:p>
      <w:pPr>
        <w:pStyle w:val="7"/>
        <w:spacing w:before="0" w:after="0" w:line="440" w:lineRule="exact"/>
        <w:ind w:firstLine="480" w:firstLineChars="200"/>
        <w:rPr>
          <w:rFonts w:ascii="宋体" w:hAnsi="宋体" w:cs="宋体"/>
          <w:b w:val="0"/>
          <w:color w:val="000000" w:themeColor="text1"/>
          <w:sz w:val="24"/>
          <w:szCs w:val="24"/>
        </w:rPr>
      </w:pPr>
      <w:bookmarkStart w:id="81" w:name="_Toc16938523"/>
      <w:bookmarkStart w:id="82" w:name="_Toc462564067"/>
      <w:bookmarkStart w:id="83" w:name="_Toc20823279"/>
      <w:bookmarkStart w:id="84" w:name="_Toc513029207"/>
      <w:r>
        <w:rPr>
          <w:rFonts w:hint="eastAsia" w:ascii="宋体" w:hAnsi="宋体" w:cs="宋体"/>
          <w:b w:val="0"/>
          <w:color w:val="000000" w:themeColor="text1"/>
          <w:sz w:val="24"/>
          <w:szCs w:val="24"/>
        </w:rPr>
        <w:t>4、投标费用</w:t>
      </w:r>
      <w:bookmarkEnd w:id="81"/>
      <w:bookmarkEnd w:id="82"/>
      <w:bookmarkEnd w:id="83"/>
      <w:bookmarkEnd w:id="84"/>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4.1</w:t>
      </w:r>
      <w:r>
        <w:rPr>
          <w:rFonts w:hint="eastAsia" w:ascii="宋体" w:hAnsi="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5、招标文件的约束力</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5.1</w:t>
      </w:r>
      <w:r>
        <w:rPr>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6、招标文件的解释</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6.1 本招标文件由采购人或采购代理机构负责解释。</w:t>
      </w:r>
    </w:p>
    <w:p>
      <w:pPr>
        <w:pStyle w:val="5"/>
        <w:spacing w:before="0" w:after="0" w:line="440" w:lineRule="exact"/>
        <w:ind w:firstLine="482" w:firstLineChars="200"/>
        <w:rPr>
          <w:rFonts w:ascii="宋体" w:hAnsi="宋体" w:cs="宋体"/>
          <w:color w:val="000000" w:themeColor="text1"/>
          <w:sz w:val="24"/>
          <w:szCs w:val="24"/>
        </w:rPr>
      </w:pPr>
      <w:bookmarkStart w:id="85" w:name="_Toc120614215"/>
      <w:bookmarkStart w:id="86" w:name="_Toc20823281"/>
      <w:bookmarkStart w:id="87" w:name="_Toc16938525"/>
      <w:bookmarkStart w:id="88" w:name="_Toc513029209"/>
      <w:r>
        <w:rPr>
          <w:rFonts w:hint="eastAsia" w:ascii="宋体" w:hAnsi="宋体" w:cs="宋体"/>
          <w:color w:val="000000" w:themeColor="text1"/>
          <w:sz w:val="24"/>
          <w:szCs w:val="24"/>
        </w:rPr>
        <w:t>二、招标文件</w:t>
      </w:r>
      <w:bookmarkEnd w:id="85"/>
      <w:bookmarkEnd w:id="86"/>
      <w:bookmarkEnd w:id="87"/>
      <w:bookmarkEnd w:id="88"/>
    </w:p>
    <w:p>
      <w:pPr>
        <w:pStyle w:val="7"/>
        <w:spacing w:before="0" w:after="0" w:line="440" w:lineRule="exact"/>
        <w:ind w:firstLine="480" w:firstLineChars="200"/>
        <w:rPr>
          <w:rFonts w:ascii="宋体" w:hAnsi="宋体" w:cs="宋体"/>
          <w:b w:val="0"/>
          <w:color w:val="000000" w:themeColor="text1"/>
          <w:sz w:val="24"/>
          <w:szCs w:val="24"/>
        </w:rPr>
      </w:pPr>
      <w:bookmarkStart w:id="89" w:name="_Toc16938526"/>
      <w:bookmarkStart w:id="90" w:name="_Toc513029210"/>
      <w:bookmarkStart w:id="91" w:name="_Toc20823282"/>
      <w:r>
        <w:rPr>
          <w:rFonts w:hint="eastAsia" w:ascii="宋体" w:hAnsi="宋体" w:cs="宋体"/>
          <w:b w:val="0"/>
          <w:color w:val="000000" w:themeColor="text1"/>
          <w:sz w:val="24"/>
          <w:szCs w:val="24"/>
        </w:rPr>
        <w:t>7、招标文件构成</w:t>
      </w:r>
      <w:bookmarkEnd w:id="89"/>
      <w:bookmarkEnd w:id="90"/>
      <w:bookmarkEnd w:id="91"/>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7.1</w:t>
      </w:r>
      <w:r>
        <w:rPr>
          <w:rFonts w:hint="eastAsia" w:ascii="宋体" w:hAnsi="宋体" w:cs="宋体"/>
          <w:color w:val="000000" w:themeColor="text1"/>
          <w:sz w:val="24"/>
          <w:szCs w:val="24"/>
        </w:rPr>
        <w:t xml:space="preserve"> 招标文件有以下部分组成：</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（1）招标公告</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（2）投标人须知</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（3）合同条款及格式</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（4）项目技术要求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（5）评标方法与评标标准</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（6）投标文件格式</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请仔细检查招标文件是否齐全，如有缺漏请立即与采购人或采购代理机构联系解决。</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7.2</w:t>
      </w:r>
      <w:r>
        <w:rPr>
          <w:rFonts w:hint="eastAsia" w:ascii="宋体" w:hAnsi="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440" w:lineRule="exact"/>
        <w:ind w:firstLine="480" w:firstLineChars="200"/>
        <w:rPr>
          <w:rFonts w:ascii="宋体" w:hAnsi="宋体" w:cs="宋体"/>
          <w:b w:val="0"/>
          <w:color w:val="000000" w:themeColor="text1"/>
          <w:sz w:val="24"/>
          <w:szCs w:val="24"/>
        </w:rPr>
      </w:pPr>
      <w:bookmarkStart w:id="92" w:name="_Toc16938527"/>
      <w:bookmarkStart w:id="93" w:name="_Toc20823283"/>
      <w:bookmarkStart w:id="94" w:name="_Toc513029211"/>
      <w:bookmarkStart w:id="95" w:name="_Toc462564070"/>
      <w:r>
        <w:rPr>
          <w:rFonts w:hint="eastAsia" w:ascii="宋体" w:hAnsi="宋体" w:cs="宋体"/>
          <w:b w:val="0"/>
          <w:color w:val="000000" w:themeColor="text1"/>
          <w:sz w:val="24"/>
          <w:szCs w:val="24"/>
        </w:rPr>
        <w:t>8、招标文件的</w:t>
      </w:r>
      <w:bookmarkEnd w:id="92"/>
      <w:bookmarkEnd w:id="93"/>
      <w:bookmarkEnd w:id="94"/>
      <w:bookmarkEnd w:id="95"/>
      <w:r>
        <w:rPr>
          <w:rFonts w:hint="eastAsia" w:ascii="宋体" w:hAnsi="宋体" w:cs="宋体"/>
          <w:b w:val="0"/>
          <w:color w:val="000000" w:themeColor="text1"/>
          <w:sz w:val="24"/>
          <w:szCs w:val="24"/>
        </w:rPr>
        <w:t>询问</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8.1</w:t>
      </w:r>
      <w:r>
        <w:rPr>
          <w:rFonts w:hint="eastAsia" w:ascii="宋体" w:hAnsi="宋体" w:cs="宋体"/>
          <w:color w:val="000000" w:themeColor="text1"/>
          <w:sz w:val="24"/>
          <w:szCs w:val="24"/>
        </w:rPr>
        <w:t xml:space="preserve"> 任何要求对招标文件进行询问的投标人，应在投标截止日期</w:t>
      </w:r>
      <w:r>
        <w:rPr>
          <w:rFonts w:hint="eastAsia" w:ascii="宋体" w:hAnsi="宋体" w:cs="宋体"/>
          <w:b/>
          <w:color w:val="000000" w:themeColor="text1"/>
          <w:sz w:val="24"/>
          <w:szCs w:val="24"/>
        </w:rPr>
        <w:t>十日</w:t>
      </w:r>
      <w:r>
        <w:rPr>
          <w:rFonts w:hint="eastAsia" w:ascii="宋体" w:hAnsi="宋体" w:cs="宋体"/>
          <w:color w:val="000000" w:themeColor="text1"/>
          <w:sz w:val="24"/>
          <w:szCs w:val="24"/>
        </w:rPr>
        <w:t>前按招标公告中的通讯地址，向采购人或采购代理机构提出。</w:t>
      </w:r>
    </w:p>
    <w:p>
      <w:pPr>
        <w:pStyle w:val="7"/>
        <w:spacing w:before="0" w:after="0" w:line="440" w:lineRule="exact"/>
        <w:ind w:firstLine="480" w:firstLineChars="200"/>
        <w:rPr>
          <w:rFonts w:ascii="宋体" w:hAnsi="宋体" w:cs="宋体"/>
          <w:b w:val="0"/>
          <w:color w:val="000000" w:themeColor="text1"/>
          <w:sz w:val="24"/>
          <w:szCs w:val="24"/>
        </w:rPr>
      </w:pPr>
      <w:bookmarkStart w:id="96" w:name="_Toc462564071"/>
      <w:bookmarkStart w:id="97" w:name="_Toc20823284"/>
      <w:bookmarkStart w:id="98" w:name="_Toc513029212"/>
      <w:bookmarkStart w:id="99" w:name="_Toc16938528"/>
      <w:r>
        <w:rPr>
          <w:rFonts w:hint="eastAsia" w:ascii="宋体" w:hAnsi="宋体" w:cs="宋体"/>
          <w:b w:val="0"/>
          <w:color w:val="000000" w:themeColor="text1"/>
          <w:sz w:val="24"/>
          <w:szCs w:val="24"/>
        </w:rPr>
        <w:t>9、招标文件的修改</w:t>
      </w:r>
      <w:bookmarkEnd w:id="96"/>
      <w:bookmarkEnd w:id="97"/>
      <w:bookmarkEnd w:id="98"/>
      <w:bookmarkEnd w:id="99"/>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9.1</w:t>
      </w:r>
      <w:r>
        <w:rPr>
          <w:rFonts w:hint="eastAsia" w:ascii="宋体" w:hAnsi="宋体" w:cs="宋体"/>
          <w:color w:val="000000" w:themeColor="text1"/>
          <w:sz w:val="24"/>
          <w:szCs w:val="24"/>
        </w:rPr>
        <w:t xml:space="preserve"> 在投标截止时间前，采购人或采购代理机构可以对招标文件进行修改。</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9.2</w:t>
      </w:r>
      <w:r>
        <w:rPr>
          <w:rFonts w:hint="eastAsia" w:ascii="宋体" w:hAnsi="宋体" w:cs="宋体"/>
          <w:color w:val="000000" w:themeColor="text1"/>
          <w:sz w:val="24"/>
          <w:szCs w:val="24"/>
        </w:rPr>
        <w:t>采购人或采购代理机构有权依法推迟投标截止日期和开标日期。</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9.3</w:t>
      </w:r>
      <w:r>
        <w:rPr>
          <w:rFonts w:hint="eastAsia" w:ascii="宋体" w:hAnsi="宋体" w:cs="宋体"/>
          <w:color w:val="000000" w:themeColor="text1"/>
          <w:sz w:val="24"/>
          <w:szCs w:val="24"/>
        </w:rPr>
        <w:t>招标文件的修改将在</w:t>
      </w:r>
      <w:r>
        <w:rPr>
          <w:rFonts w:hint="eastAsia" w:ascii="宋体" w:hAnsi="宋体" w:cs="宋体"/>
          <w:bCs/>
          <w:color w:val="000000" w:themeColor="text1"/>
          <w:sz w:val="24"/>
          <w:szCs w:val="24"/>
        </w:rPr>
        <w:t>盐城工业职业技术学院招标采购网</w:t>
      </w:r>
      <w:r>
        <w:rPr>
          <w:rFonts w:hint="eastAsia" w:ascii="宋体" w:hAnsi="宋体" w:cs="宋体"/>
          <w:color w:val="000000" w:themeColor="text1"/>
          <w:sz w:val="24"/>
          <w:szCs w:val="24"/>
        </w:rPr>
        <w:t>公布，补充文件将作为招标文件的组成部分，并对投标人具有约束力。</w:t>
      </w:r>
    </w:p>
    <w:p>
      <w:pPr>
        <w:pStyle w:val="5"/>
        <w:spacing w:before="0" w:after="0" w:line="440" w:lineRule="exact"/>
        <w:ind w:firstLine="482" w:firstLineChars="200"/>
        <w:rPr>
          <w:rFonts w:ascii="宋体" w:hAnsi="宋体" w:cs="宋体"/>
          <w:color w:val="000000" w:themeColor="text1"/>
          <w:sz w:val="24"/>
          <w:szCs w:val="24"/>
        </w:rPr>
      </w:pPr>
      <w:bookmarkStart w:id="100" w:name="_Toc513029213"/>
      <w:bookmarkStart w:id="101" w:name="_Toc462564072"/>
      <w:bookmarkStart w:id="102" w:name="_Toc120614216"/>
      <w:bookmarkStart w:id="103" w:name="_Toc20823285"/>
      <w:bookmarkStart w:id="104" w:name="_Toc16938529"/>
      <w:r>
        <w:rPr>
          <w:rFonts w:hint="eastAsia" w:ascii="宋体" w:hAnsi="宋体" w:cs="宋体"/>
          <w:color w:val="000000" w:themeColor="text1"/>
          <w:sz w:val="24"/>
          <w:szCs w:val="24"/>
        </w:rPr>
        <w:t>三、投标文件的编制</w:t>
      </w:r>
      <w:bookmarkEnd w:id="100"/>
      <w:bookmarkEnd w:id="101"/>
      <w:bookmarkEnd w:id="102"/>
      <w:bookmarkEnd w:id="103"/>
      <w:bookmarkEnd w:id="104"/>
    </w:p>
    <w:p>
      <w:pPr>
        <w:pStyle w:val="7"/>
        <w:spacing w:before="0" w:after="0" w:line="440" w:lineRule="exact"/>
        <w:ind w:firstLine="480" w:firstLineChars="200"/>
        <w:rPr>
          <w:rFonts w:ascii="宋体" w:hAnsi="宋体" w:cs="宋体"/>
          <w:color w:val="000000" w:themeColor="text1"/>
          <w:sz w:val="24"/>
          <w:szCs w:val="24"/>
        </w:rPr>
      </w:pPr>
      <w:bookmarkStart w:id="105" w:name="_Toc20823286"/>
      <w:bookmarkStart w:id="106" w:name="_Toc513029214"/>
      <w:bookmarkStart w:id="107" w:name="_Toc16938530"/>
      <w:bookmarkStart w:id="108" w:name="_Toc462564073"/>
      <w:r>
        <w:rPr>
          <w:rFonts w:hint="eastAsia" w:ascii="宋体" w:hAnsi="宋体" w:cs="宋体"/>
          <w:b w:val="0"/>
          <w:color w:val="000000" w:themeColor="text1"/>
          <w:sz w:val="24"/>
          <w:szCs w:val="24"/>
        </w:rPr>
        <w:t>10、投标文件的语言及度量衡单位</w:t>
      </w:r>
      <w:bookmarkEnd w:id="105"/>
      <w:bookmarkEnd w:id="106"/>
      <w:bookmarkEnd w:id="107"/>
      <w:bookmarkEnd w:id="108"/>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10.1</w:t>
      </w:r>
      <w:r>
        <w:rPr>
          <w:rFonts w:hint="eastAsia" w:ascii="宋体" w:hAnsi="宋体" w:cs="宋体"/>
          <w:color w:val="000000" w:themeColor="text1"/>
          <w:sz w:val="24"/>
          <w:szCs w:val="24"/>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rPr>
        <w:t>简体中文</w:t>
      </w:r>
      <w:r>
        <w:rPr>
          <w:rFonts w:hint="eastAsia" w:ascii="宋体" w:hAnsi="宋体" w:cs="宋体"/>
          <w:color w:val="000000" w:themeColor="text1"/>
          <w:sz w:val="24"/>
          <w:szCs w:val="24"/>
        </w:rPr>
        <w:t>。</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10.2</w:t>
      </w:r>
      <w:r>
        <w:rPr>
          <w:rFonts w:hint="eastAsia" w:ascii="宋体" w:hAnsi="宋体" w:cs="宋体"/>
          <w:color w:val="000000" w:themeColor="text1"/>
          <w:sz w:val="24"/>
          <w:szCs w:val="24"/>
        </w:rPr>
        <w:t xml:space="preserve"> 除技术性能另有规定外，投标文件所使用的度量衡单位，均须采用国家法定计量单位。</w:t>
      </w:r>
    </w:p>
    <w:p>
      <w:pPr>
        <w:pStyle w:val="7"/>
        <w:spacing w:before="0" w:after="0" w:line="440" w:lineRule="exact"/>
        <w:ind w:firstLine="480" w:firstLineChars="200"/>
        <w:rPr>
          <w:rFonts w:ascii="宋体" w:hAnsi="宋体" w:cs="宋体"/>
          <w:b w:val="0"/>
          <w:color w:val="000000" w:themeColor="text1"/>
          <w:sz w:val="24"/>
          <w:szCs w:val="24"/>
        </w:rPr>
      </w:pPr>
      <w:bookmarkStart w:id="109" w:name="_Toc20823287"/>
      <w:bookmarkStart w:id="110" w:name="_Toc16938531"/>
      <w:bookmarkStart w:id="111" w:name="_Toc513029215"/>
      <w:bookmarkStart w:id="112" w:name="_Toc462564074"/>
      <w:r>
        <w:rPr>
          <w:rFonts w:hint="eastAsia" w:ascii="宋体" w:hAnsi="宋体" w:cs="宋体"/>
          <w:b w:val="0"/>
          <w:color w:val="000000" w:themeColor="text1"/>
          <w:sz w:val="24"/>
          <w:szCs w:val="24"/>
        </w:rPr>
        <w:t>11、投标文件构成</w:t>
      </w:r>
      <w:bookmarkEnd w:id="109"/>
      <w:bookmarkEnd w:id="110"/>
      <w:bookmarkEnd w:id="111"/>
      <w:bookmarkEnd w:id="112"/>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11.1</w:t>
      </w:r>
      <w:r>
        <w:rPr>
          <w:rFonts w:hint="eastAsia" w:ascii="宋体" w:hAnsi="宋体" w:cs="宋体"/>
          <w:color w:val="000000" w:themeColor="text1"/>
          <w:sz w:val="24"/>
          <w:szCs w:val="24"/>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ascii="宋体" w:hAnsi="宋体" w:cs="宋体"/>
          <w:b/>
          <w:color w:val="000000" w:themeColor="text1"/>
          <w:sz w:val="24"/>
        </w:rPr>
      </w:pPr>
      <w:r>
        <w:rPr>
          <w:rFonts w:hint="eastAsia" w:ascii="宋体" w:hAnsi="宋体" w:cs="宋体"/>
          <w:color w:val="000000" w:themeColor="text1"/>
          <w:sz w:val="24"/>
          <w:szCs w:val="24"/>
        </w:rPr>
        <w:t>11.2投标人应将投标文件按顺序装订成册，并编制投标文件资料目录。</w:t>
      </w:r>
    </w:p>
    <w:p>
      <w:pPr>
        <w:spacing w:line="440" w:lineRule="exact"/>
        <w:ind w:firstLine="482" w:firstLineChars="200"/>
        <w:rPr>
          <w:rFonts w:ascii="宋体" w:hAnsi="宋体" w:cs="宋体"/>
          <w:color w:val="000000" w:themeColor="text1"/>
          <w:sz w:val="24"/>
          <w:szCs w:val="24"/>
        </w:rPr>
      </w:pPr>
      <w:r>
        <w:rPr>
          <w:rFonts w:hint="eastAsia" w:ascii="宋体" w:hAnsi="宋体" w:cs="宋体"/>
          <w:b/>
          <w:color w:val="000000" w:themeColor="text1"/>
          <w:sz w:val="24"/>
        </w:rPr>
        <w:t>以上材料需提供原件及复印件, 复印件加盖单位法人章、法定代表人章印（或签署），原件不必装订，直接封在档案袋内密封后提交，并将原件资料清单放在封袋内。</w:t>
      </w:r>
    </w:p>
    <w:p>
      <w:pPr>
        <w:pStyle w:val="7"/>
        <w:spacing w:before="0" w:after="0" w:line="440" w:lineRule="exact"/>
        <w:ind w:firstLine="480" w:firstLineChars="200"/>
        <w:rPr>
          <w:rFonts w:ascii="宋体" w:hAnsi="宋体" w:cs="宋体"/>
          <w:b w:val="0"/>
          <w:color w:val="000000" w:themeColor="text1"/>
          <w:sz w:val="24"/>
          <w:szCs w:val="24"/>
        </w:rPr>
      </w:pPr>
      <w:bookmarkStart w:id="113" w:name="_Hlt26670360"/>
      <w:bookmarkEnd w:id="113"/>
      <w:bookmarkStart w:id="114" w:name="_Hlt26954838"/>
      <w:bookmarkEnd w:id="114"/>
      <w:bookmarkStart w:id="115" w:name="_Hlt26668975"/>
      <w:bookmarkEnd w:id="115"/>
      <w:bookmarkStart w:id="116" w:name="_Toc49090509"/>
      <w:bookmarkStart w:id="117" w:name="_Toc513029219"/>
      <w:bookmarkStart w:id="118" w:name="_Toc14577357"/>
      <w:bookmarkStart w:id="119" w:name="_Toc513029216"/>
      <w:bookmarkStart w:id="120" w:name="_Toc49090507"/>
      <w:bookmarkStart w:id="121" w:name="_Toc14577354"/>
      <w:r>
        <w:rPr>
          <w:rFonts w:hint="eastAsia" w:ascii="宋体" w:hAnsi="宋体" w:cs="宋体"/>
          <w:b w:val="0"/>
          <w:color w:val="000000" w:themeColor="text1"/>
          <w:sz w:val="24"/>
          <w:szCs w:val="24"/>
        </w:rPr>
        <w:t>12、证明投标人资格及符合招标文件规定的文件</w:t>
      </w:r>
      <w:bookmarkEnd w:id="116"/>
      <w:bookmarkEnd w:id="117"/>
      <w:bookmarkEnd w:id="118"/>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12.1</w:t>
      </w:r>
      <w:bookmarkStart w:id="122" w:name="_Hlt26668999"/>
      <w:bookmarkEnd w:id="122"/>
      <w:r>
        <w:rPr>
          <w:rFonts w:hint="eastAsia" w:ascii="宋体" w:hAnsi="宋体" w:cs="宋体"/>
          <w:color w:val="000000" w:themeColor="text1"/>
          <w:sz w:val="24"/>
          <w:szCs w:val="24"/>
        </w:rPr>
        <w:t>投标人应按要求提交资格证明文件及符合招标文件规定的文件。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12.2投标人应提交证明其有资格参加投标和中标后有能力独立履行合同的文件。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12.4投标人应提交根据合同要求提供的证明货物以及服务质量合格以及符合招标文件规定的证明文件。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12.5证明投标人所提供货物及服务与招标文件的要求相一致的文件可以是手册、图纸、文字资料和数据</w:t>
      </w:r>
      <w:r>
        <w:rPr>
          <w:rFonts w:hint="eastAsia" w:ascii="宋体" w:hAnsi="宋体" w:cs="宋体"/>
          <w:bCs/>
          <w:color w:val="000000" w:themeColor="text1"/>
          <w:sz w:val="24"/>
          <w:szCs w:val="24"/>
        </w:rPr>
        <w:t>。</w:t>
      </w:r>
    </w:p>
    <w:bookmarkEnd w:id="119"/>
    <w:bookmarkEnd w:id="120"/>
    <w:bookmarkEnd w:id="121"/>
    <w:p>
      <w:pPr>
        <w:pStyle w:val="7"/>
        <w:spacing w:before="0" w:after="0" w:line="440" w:lineRule="exact"/>
        <w:ind w:firstLine="480" w:firstLineChars="200"/>
        <w:rPr>
          <w:rFonts w:ascii="宋体" w:hAnsi="宋体" w:cs="宋体"/>
          <w:b w:val="0"/>
          <w:color w:val="000000" w:themeColor="text1"/>
          <w:sz w:val="24"/>
          <w:szCs w:val="24"/>
        </w:rPr>
      </w:pPr>
      <w:bookmarkStart w:id="123" w:name="_Toc14577355"/>
      <w:bookmarkStart w:id="124" w:name="_Toc49090508"/>
      <w:r>
        <w:rPr>
          <w:rFonts w:hint="eastAsia" w:ascii="宋体" w:hAnsi="宋体" w:cs="宋体"/>
          <w:b w:val="0"/>
          <w:color w:val="000000" w:themeColor="text1"/>
          <w:sz w:val="24"/>
          <w:szCs w:val="24"/>
        </w:rPr>
        <w:t>13、供货一览表和投标配置与分项报价</w:t>
      </w:r>
      <w:bookmarkEnd w:id="123"/>
      <w:bookmarkStart w:id="125" w:name="_Hlt26670373"/>
      <w:bookmarkEnd w:id="125"/>
      <w:r>
        <w:rPr>
          <w:rFonts w:hint="eastAsia" w:ascii="宋体" w:hAnsi="宋体" w:cs="宋体"/>
          <w:b w:val="0"/>
          <w:color w:val="000000" w:themeColor="text1"/>
          <w:sz w:val="24"/>
          <w:szCs w:val="24"/>
        </w:rPr>
        <w:t>表</w:t>
      </w:r>
      <w:bookmarkEnd w:id="124"/>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13.1</w:t>
      </w:r>
      <w:r>
        <w:rPr>
          <w:rFonts w:hint="eastAsia" w:ascii="宋体" w:hAnsi="宋体" w:cs="宋体"/>
          <w:color w:val="000000" w:themeColor="text1"/>
          <w:sz w:val="24"/>
          <w:szCs w:val="24"/>
        </w:rPr>
        <w:t xml:space="preserve"> 投</w:t>
      </w:r>
      <w:bookmarkStart w:id="126" w:name="_Hlt26954840"/>
      <w:bookmarkEnd w:id="126"/>
      <w:r>
        <w:rPr>
          <w:rFonts w:hint="eastAsia" w:ascii="宋体" w:hAnsi="宋体" w:cs="宋体"/>
          <w:color w:val="000000" w:themeColor="text1"/>
          <w:sz w:val="24"/>
          <w:szCs w:val="24"/>
        </w:rPr>
        <w:t>标人应按照招标文件规定格式填报供货一览表、投标配置与分项报价表</w:t>
      </w:r>
      <w:bookmarkStart w:id="127" w:name="_Hlt26670399"/>
      <w:bookmarkEnd w:id="127"/>
      <w:r>
        <w:rPr>
          <w:rFonts w:hint="eastAsia" w:ascii="宋体" w:hAnsi="宋体" w:cs="宋体"/>
          <w:color w:val="000000" w:themeColor="text1"/>
          <w:sz w:val="24"/>
          <w:szCs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13.2</w:t>
      </w:r>
      <w:r>
        <w:rPr>
          <w:rFonts w:hint="eastAsia" w:ascii="宋体" w:hAnsi="宋体" w:cs="宋体"/>
          <w:color w:val="000000" w:themeColor="text1"/>
          <w:sz w:val="24"/>
          <w:szCs w:val="24"/>
        </w:rPr>
        <w:t xml:space="preserve"> 标的物</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采购人需求的货物供应、安装，调试及有关技术服务等</w:t>
      </w:r>
      <w:r>
        <w:rPr>
          <w:rFonts w:hint="eastAsia" w:ascii="宋体" w:hAnsi="宋体" w:cs="宋体"/>
          <w:color w:val="000000" w:themeColor="text1"/>
          <w:sz w:val="24"/>
          <w:szCs w:val="24"/>
        </w:rPr>
        <w:t>。</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13.3</w:t>
      </w:r>
      <w:r>
        <w:rPr>
          <w:rFonts w:hint="eastAsia" w:ascii="宋体" w:hAnsi="宋体" w:cs="宋体"/>
          <w:bCs/>
          <w:color w:val="000000" w:themeColor="text1"/>
          <w:sz w:val="24"/>
          <w:szCs w:val="24"/>
        </w:rPr>
        <w:t>有关费用处理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13.4</w:t>
      </w:r>
      <w:r>
        <w:rPr>
          <w:rFonts w:hint="eastAsia" w:ascii="宋体" w:hAnsi="宋体" w:cs="宋体"/>
          <w:bCs/>
          <w:color w:val="000000" w:themeColor="text1"/>
          <w:sz w:val="24"/>
          <w:szCs w:val="24"/>
        </w:rPr>
        <w:t>其它费用处理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招标文件未列明，而投标人认为必需的费用也需列入报价。</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13.5</w:t>
      </w:r>
      <w:r>
        <w:rPr>
          <w:rFonts w:hint="eastAsia" w:ascii="宋体" w:hAnsi="宋体" w:cs="宋体"/>
          <w:bCs/>
          <w:color w:val="000000" w:themeColor="text1"/>
          <w:sz w:val="24"/>
          <w:szCs w:val="24"/>
        </w:rPr>
        <w:t>投标货币</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投标文件中的货物</w:t>
      </w:r>
      <w:r>
        <w:rPr>
          <w:rFonts w:hint="eastAsia" w:ascii="宋体" w:hAnsi="宋体" w:cs="宋体"/>
          <w:color w:val="000000" w:themeColor="text1"/>
          <w:sz w:val="24"/>
          <w:szCs w:val="24"/>
        </w:rPr>
        <w:t>及服务</w:t>
      </w:r>
      <w:r>
        <w:rPr>
          <w:rFonts w:hint="eastAsia" w:ascii="宋体" w:hAnsi="宋体" w:cs="宋体"/>
          <w:bCs/>
          <w:color w:val="000000" w:themeColor="text1"/>
          <w:sz w:val="24"/>
          <w:szCs w:val="24"/>
        </w:rPr>
        <w:t>单价和总价无特殊规定的采用人民币报价，以元为单位标注。</w:t>
      </w:r>
      <w:r>
        <w:rPr>
          <w:rFonts w:hint="eastAsia" w:ascii="宋体" w:hAnsi="宋体" w:cs="宋体"/>
          <w:color w:val="000000" w:themeColor="text1"/>
          <w:sz w:val="24"/>
          <w:szCs w:val="24"/>
        </w:rPr>
        <w:t>招标文件中另有规定的按规定执行。</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w:t>
      </w:r>
      <w:r>
        <w:rPr>
          <w:rFonts w:hint="eastAsia" w:ascii="宋体" w:hAnsi="宋体" w:cs="宋体"/>
          <w:bCs/>
          <w:color w:val="000000" w:themeColor="text1"/>
          <w:sz w:val="24"/>
          <w:szCs w:val="24"/>
        </w:rPr>
        <w:t xml:space="preserve"> 投标配置与分项报价表上的价格应按下列方式分开填写</w:t>
      </w:r>
      <w:r>
        <w:rPr>
          <w:rFonts w:hint="eastAsia" w:ascii="宋体" w:hAnsi="宋体" w:cs="宋体"/>
          <w:color w:val="000000" w:themeColor="text1"/>
          <w:sz w:val="24"/>
          <w:szCs w:val="24"/>
        </w:rPr>
        <w:t>：</w:t>
      </w:r>
    </w:p>
    <w:p>
      <w:pPr>
        <w:spacing w:line="440" w:lineRule="exact"/>
        <w:ind w:firstLine="480" w:firstLineChars="200"/>
        <w:rPr>
          <w:rFonts w:ascii="宋体" w:hAnsi="宋体" w:cs="宋体"/>
          <w:bCs/>
          <w:color w:val="000000" w:themeColor="text1"/>
          <w:sz w:val="24"/>
          <w:szCs w:val="24"/>
        </w:rPr>
      </w:pPr>
      <w:bookmarkStart w:id="128" w:name="_Hlt26670425"/>
      <w:bookmarkEnd w:id="128"/>
      <w:bookmarkStart w:id="129" w:name="_Hlt26954842"/>
      <w:bookmarkEnd w:id="129"/>
      <w:bookmarkStart w:id="130" w:name="_Hlt26670403"/>
      <w:bookmarkEnd w:id="130"/>
      <w:bookmarkStart w:id="131" w:name="_Hlt26954844"/>
      <w:bookmarkEnd w:id="131"/>
      <w:bookmarkStart w:id="132" w:name="_Hlt26668983"/>
      <w:bookmarkEnd w:id="132"/>
      <w:r>
        <w:rPr>
          <w:rFonts w:hint="eastAsia" w:ascii="宋体" w:hAnsi="宋体" w:cs="宋体"/>
          <w:bCs/>
          <w:color w:val="000000" w:themeColor="text1"/>
          <w:sz w:val="24"/>
          <w:szCs w:val="24"/>
        </w:rPr>
        <w:t xml:space="preserve">13.6.1 </w:t>
      </w:r>
      <w:r>
        <w:rPr>
          <w:rFonts w:hint="eastAsia" w:ascii="宋体" w:hAnsi="宋体" w:cs="宋体"/>
          <w:color w:val="000000" w:themeColor="text1"/>
          <w:sz w:val="24"/>
          <w:szCs w:val="24"/>
        </w:rPr>
        <w:t>项目总价：包括</w:t>
      </w:r>
      <w:r>
        <w:rPr>
          <w:rFonts w:hint="eastAsia" w:ascii="宋体" w:hAnsi="宋体" w:cs="宋体"/>
          <w:bCs/>
          <w:color w:val="000000" w:themeColor="text1"/>
          <w:sz w:val="24"/>
          <w:szCs w:val="24"/>
        </w:rPr>
        <w:t>买方需求的货物价格</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质量保证费用、培训费用及售后服务费用，项目在指定地点、环境交付、安装、调试、验收所需费用和所有</w:t>
      </w:r>
      <w:r>
        <w:rPr>
          <w:rFonts w:hint="eastAsia" w:ascii="宋体" w:hAnsi="宋体" w:cs="宋体"/>
          <w:color w:val="000000" w:themeColor="text1"/>
          <w:sz w:val="24"/>
          <w:szCs w:val="24"/>
        </w:rPr>
        <w:t>相关税金费用</w:t>
      </w:r>
      <w:r>
        <w:rPr>
          <w:rFonts w:hint="eastAsia" w:ascii="宋体" w:hAnsi="宋体" w:cs="宋体"/>
          <w:bCs/>
          <w:color w:val="000000" w:themeColor="text1"/>
          <w:sz w:val="24"/>
          <w:szCs w:val="24"/>
        </w:rPr>
        <w:t>及为完成整个项目所产生的其它所有费用。</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13.6.2</w:t>
      </w:r>
      <w:r>
        <w:rPr>
          <w:rFonts w:hint="eastAsia" w:ascii="宋体" w:hAnsi="宋体" w:cs="宋体"/>
          <w:bCs/>
          <w:color w:val="000000" w:themeColor="text1"/>
          <w:sz w:val="24"/>
          <w:szCs w:val="24"/>
        </w:rPr>
        <w:t>项目单价按投标配置及分项报价表中要求填报。</w:t>
      </w:r>
      <w:bookmarkStart w:id="133" w:name="_Hlt26954846"/>
      <w:bookmarkEnd w:id="133"/>
      <w:bookmarkStart w:id="134" w:name="_Hlt26670486"/>
      <w:bookmarkEnd w:id="134"/>
      <w:bookmarkStart w:id="135" w:name="_Hlt26670482"/>
      <w:bookmarkEnd w:id="135"/>
      <w:bookmarkStart w:id="136" w:name="_Hlt26954848"/>
      <w:bookmarkEnd w:id="136"/>
      <w:bookmarkStart w:id="137" w:name="_Hlt26954731"/>
      <w:bookmarkEnd w:id="137"/>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14</w:t>
      </w:r>
      <w:r>
        <w:rPr>
          <w:rFonts w:hint="eastAsia" w:ascii="宋体" w:hAnsi="宋体" w:cs="宋体"/>
          <w:b/>
          <w:bCs/>
          <w:color w:val="000000" w:themeColor="text1"/>
          <w:sz w:val="24"/>
          <w:szCs w:val="24"/>
        </w:rPr>
        <w:t>、</w:t>
      </w:r>
      <w:r>
        <w:rPr>
          <w:rFonts w:hint="eastAsia" w:ascii="宋体" w:hAnsi="宋体" w:cs="宋体"/>
          <w:color w:val="000000" w:themeColor="text1"/>
          <w:sz w:val="24"/>
          <w:szCs w:val="24"/>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lang w:val="zh-CN"/>
        </w:rPr>
        <w:t>14.1</w:t>
      </w:r>
      <w:r>
        <w:rPr>
          <w:rFonts w:hint="eastAsia" w:ascii="宋体" w:hAnsi="宋体" w:cs="宋体"/>
          <w:color w:val="000000" w:themeColor="text1"/>
          <w:sz w:val="24"/>
          <w:szCs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14.3 培训计划；</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14.5 投标人认为需要的其他技术文件或说明。</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rPr>
        <w:t>15、</w:t>
      </w:r>
      <w:r>
        <w:rPr>
          <w:rFonts w:hint="eastAsia" w:ascii="宋体" w:hAnsi="宋体" w:cs="宋体"/>
          <w:color w:val="000000" w:themeColor="text1"/>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rPr>
        <w:t>15、1</w:t>
      </w:r>
      <w:r>
        <w:rPr>
          <w:rFonts w:hint="eastAsia" w:ascii="宋体" w:hAnsi="宋体" w:cs="宋体"/>
          <w:color w:val="000000" w:themeColor="text1"/>
          <w:sz w:val="24"/>
          <w:szCs w:val="24"/>
        </w:rPr>
        <w:t>投标人的服务承诺应按不低于招标文件中商务要求的标准。</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15、2</w:t>
      </w:r>
      <w:r>
        <w:rPr>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7"/>
        <w:spacing w:before="0" w:after="0" w:line="440" w:lineRule="exact"/>
        <w:ind w:firstLine="480" w:firstLineChars="200"/>
        <w:rPr>
          <w:rFonts w:ascii="宋体" w:hAnsi="宋体" w:cs="宋体"/>
          <w:b w:val="0"/>
          <w:color w:val="000000" w:themeColor="text1"/>
          <w:sz w:val="24"/>
          <w:szCs w:val="24"/>
        </w:rPr>
      </w:pPr>
      <w:bookmarkStart w:id="138" w:name="_Toc49090510"/>
      <w:bookmarkStart w:id="139" w:name="_Toc14577359"/>
      <w:r>
        <w:rPr>
          <w:rFonts w:hint="eastAsia" w:ascii="宋体" w:hAnsi="宋体" w:cs="宋体"/>
          <w:b w:val="0"/>
          <w:color w:val="000000" w:themeColor="text1"/>
          <w:sz w:val="24"/>
          <w:szCs w:val="24"/>
        </w:rPr>
        <w:t>16、投标函和开标一览表</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16.1</w:t>
      </w:r>
      <w:r>
        <w:rPr>
          <w:rFonts w:hint="eastAsia" w:ascii="宋体" w:hAnsi="宋体" w:cs="宋体"/>
          <w:color w:val="000000" w:themeColor="text1"/>
          <w:sz w:val="24"/>
          <w:szCs w:val="24"/>
        </w:rPr>
        <w:t xml:space="preserve"> 投标人应按照招标文件中提供的格式完整、正确填写投标函、开标一览表。</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16.2开标一览表中的价格应与投标文件中投标配置与分项报价表中的价格一致，如不一致，</w:t>
      </w:r>
      <w:r>
        <w:rPr>
          <w:rFonts w:hint="eastAsia" w:ascii="宋体" w:hAnsi="宋体" w:cs="宋体"/>
          <w:color w:val="000000" w:themeColor="text1"/>
          <w:sz w:val="24"/>
          <w:szCs w:val="24"/>
        </w:rPr>
        <w:t>不作为无效投标处理</w:t>
      </w:r>
      <w:r>
        <w:rPr>
          <w:rFonts w:hint="eastAsia" w:ascii="宋体" w:hAnsi="宋体" w:cs="宋体"/>
          <w:bCs/>
          <w:color w:val="000000" w:themeColor="text1"/>
          <w:sz w:val="24"/>
          <w:szCs w:val="24"/>
        </w:rPr>
        <w:t>，但评标时按开标一览表中价格为准</w:t>
      </w:r>
      <w:r>
        <w:rPr>
          <w:rFonts w:hint="eastAsia" w:ascii="宋体" w:hAnsi="宋体" w:cs="宋体"/>
          <w:b/>
          <w:bCs/>
          <w:color w:val="000000" w:themeColor="text1"/>
          <w:sz w:val="24"/>
          <w:szCs w:val="24"/>
        </w:rPr>
        <w:t>。</w:t>
      </w:r>
    </w:p>
    <w:bookmarkEnd w:id="138"/>
    <w:bookmarkEnd w:id="139"/>
    <w:p>
      <w:pPr>
        <w:pStyle w:val="7"/>
        <w:spacing w:before="0" w:after="0" w:line="440" w:lineRule="exact"/>
        <w:ind w:firstLine="480" w:firstLineChars="200"/>
        <w:rPr>
          <w:rFonts w:ascii="宋体" w:hAnsi="宋体" w:cs="宋体"/>
          <w:b w:val="0"/>
          <w:color w:val="000000" w:themeColor="text1"/>
          <w:sz w:val="24"/>
          <w:szCs w:val="24"/>
        </w:rPr>
      </w:pPr>
      <w:bookmarkStart w:id="140" w:name="_Hlt26954850"/>
      <w:bookmarkEnd w:id="140"/>
      <w:bookmarkStart w:id="141" w:name="_Hlt26670489"/>
      <w:bookmarkEnd w:id="141"/>
      <w:bookmarkStart w:id="142" w:name="_Hlt26954734"/>
      <w:bookmarkEnd w:id="142"/>
      <w:bookmarkStart w:id="143" w:name="_Toc14577360"/>
      <w:bookmarkStart w:id="144" w:name="_Toc49090511"/>
      <w:r>
        <w:rPr>
          <w:rFonts w:hint="eastAsia" w:ascii="宋体" w:hAnsi="宋体" w:cs="宋体"/>
          <w:b w:val="0"/>
          <w:color w:val="000000" w:themeColor="text1"/>
          <w:sz w:val="24"/>
          <w:szCs w:val="24"/>
        </w:rPr>
        <w:t>17、投标有效期</w:t>
      </w:r>
      <w:bookmarkEnd w:id="143"/>
      <w:bookmarkEnd w:id="144"/>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17.1</w:t>
      </w:r>
      <w:r>
        <w:rPr>
          <w:rFonts w:hint="eastAsia" w:ascii="宋体" w:hAnsi="宋体" w:cs="宋体"/>
          <w:bCs/>
          <w:color w:val="000000" w:themeColor="text1"/>
          <w:sz w:val="24"/>
          <w:szCs w:val="24"/>
        </w:rPr>
        <w:t xml:space="preserve"> 投标有效期为采购人或采购代理机构规定的开标之日后</w:t>
      </w:r>
      <w:r>
        <w:rPr>
          <w:rFonts w:hint="eastAsia" w:ascii="宋体" w:hAnsi="宋体" w:cs="宋体"/>
          <w:b/>
          <w:color w:val="000000" w:themeColor="text1"/>
          <w:sz w:val="24"/>
          <w:szCs w:val="24"/>
          <w:u w:val="single"/>
        </w:rPr>
        <w:t>六十（60）天</w:t>
      </w:r>
      <w:r>
        <w:rPr>
          <w:rFonts w:hint="eastAsia" w:ascii="宋体" w:hAnsi="宋体" w:cs="宋体"/>
          <w:bCs/>
          <w:color w:val="000000" w:themeColor="text1"/>
          <w:sz w:val="24"/>
          <w:szCs w:val="24"/>
        </w:rPr>
        <w:t>。投标有效期比规定短的将被视为非响应性投标而予以拒绝。</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17.2</w:t>
      </w:r>
      <w:r>
        <w:rPr>
          <w:rFonts w:hint="eastAsia" w:ascii="宋体" w:hAnsi="宋体" w:cs="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color w:val="000000" w:themeColor="text1"/>
          <w:sz w:val="24"/>
          <w:szCs w:val="24"/>
        </w:rPr>
        <w:t>采购人或采购代理机构在接到投标人书面答复后，将在原投标有效期满后五日内</w:t>
      </w:r>
      <w:r>
        <w:rPr>
          <w:rFonts w:hint="eastAsia" w:ascii="宋体" w:hAnsi="宋体" w:cs="宋体"/>
          <w:b/>
          <w:bCs/>
          <w:color w:val="000000" w:themeColor="text1"/>
          <w:sz w:val="24"/>
          <w:szCs w:val="24"/>
        </w:rPr>
        <w:t>无息退还其投标保证金</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同意延长投标有效期的投标人既不能要求也不允许修改其投标文件。第16条有关投标保证金的规定在延长期内继续有效</w:t>
      </w:r>
      <w:r>
        <w:rPr>
          <w:rFonts w:hint="eastAsia" w:ascii="宋体" w:hAnsi="宋体" w:cs="宋体"/>
          <w:color w:val="000000" w:themeColor="text1"/>
          <w:sz w:val="24"/>
          <w:szCs w:val="24"/>
        </w:rPr>
        <w:t>，同时受投标有效期约束的所有权利与义务均延长至新的有效期</w:t>
      </w:r>
      <w:r>
        <w:rPr>
          <w:rFonts w:hint="eastAsia" w:ascii="宋体" w:hAnsi="宋体" w:cs="宋体"/>
          <w:bCs/>
          <w:color w:val="000000" w:themeColor="text1"/>
          <w:sz w:val="24"/>
          <w:szCs w:val="24"/>
        </w:rPr>
        <w:t>。</w:t>
      </w:r>
    </w:p>
    <w:p>
      <w:pPr>
        <w:pStyle w:val="7"/>
        <w:spacing w:before="0" w:after="0" w:line="440" w:lineRule="exact"/>
        <w:ind w:firstLine="480" w:firstLineChars="200"/>
        <w:rPr>
          <w:rFonts w:ascii="宋体" w:hAnsi="宋体" w:cs="宋体"/>
          <w:b w:val="0"/>
          <w:color w:val="000000" w:themeColor="text1"/>
          <w:sz w:val="24"/>
          <w:szCs w:val="24"/>
        </w:rPr>
      </w:pPr>
      <w:bookmarkStart w:id="145" w:name="_Hlt26954739"/>
      <w:bookmarkEnd w:id="145"/>
      <w:bookmarkStart w:id="146" w:name="_Hlt26954852"/>
      <w:bookmarkEnd w:id="146"/>
      <w:bookmarkStart w:id="147" w:name="_Toc49090512"/>
      <w:bookmarkStart w:id="148" w:name="_Toc14577361"/>
      <w:r>
        <w:rPr>
          <w:rFonts w:hint="eastAsia" w:ascii="宋体" w:hAnsi="宋体" w:cs="宋体"/>
          <w:b w:val="0"/>
          <w:color w:val="000000" w:themeColor="text1"/>
          <w:sz w:val="24"/>
          <w:szCs w:val="24"/>
        </w:rPr>
        <w:t>18、投标文件份数和签署</w:t>
      </w:r>
      <w:bookmarkEnd w:id="147"/>
      <w:bookmarkEnd w:id="148"/>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18.1</w:t>
      </w:r>
      <w:r>
        <w:rPr>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18.2投标文件正本中，</w:t>
      </w:r>
      <w:r>
        <w:rPr>
          <w:rFonts w:hint="eastAsia" w:ascii="宋体" w:hAnsi="宋体" w:cs="宋体"/>
          <w:bCs/>
          <w:color w:val="000000" w:themeColor="text1"/>
          <w:sz w:val="24"/>
          <w:szCs w:val="24"/>
        </w:rPr>
        <w:t>招标文件要求必须提供原件的按照要求提供，文</w:t>
      </w:r>
      <w:r>
        <w:rPr>
          <w:rFonts w:hint="eastAsia" w:ascii="宋体" w:hAnsi="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18.3</w:t>
      </w:r>
      <w:r>
        <w:rPr>
          <w:rFonts w:hint="eastAsia" w:ascii="宋体" w:hAnsi="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5"/>
        <w:spacing w:before="0" w:after="0" w:line="440" w:lineRule="exact"/>
        <w:ind w:firstLine="482" w:firstLineChars="200"/>
        <w:rPr>
          <w:rFonts w:ascii="宋体" w:hAnsi="宋体" w:cs="宋体"/>
          <w:color w:val="000000" w:themeColor="text1"/>
          <w:sz w:val="24"/>
          <w:szCs w:val="24"/>
        </w:rPr>
      </w:pPr>
      <w:bookmarkStart w:id="149" w:name="_Toc20823296"/>
      <w:bookmarkStart w:id="150" w:name="_Toc16938540"/>
      <w:bookmarkStart w:id="151" w:name="_Toc513029224"/>
      <w:bookmarkStart w:id="152" w:name="_Toc120614217"/>
      <w:r>
        <w:rPr>
          <w:rFonts w:hint="eastAsia" w:ascii="宋体" w:hAnsi="宋体" w:cs="宋体"/>
          <w:color w:val="000000" w:themeColor="text1"/>
          <w:sz w:val="24"/>
          <w:szCs w:val="24"/>
        </w:rPr>
        <w:t>四、投标文件的递交</w:t>
      </w:r>
      <w:bookmarkEnd w:id="149"/>
      <w:bookmarkEnd w:id="150"/>
      <w:bookmarkEnd w:id="151"/>
      <w:bookmarkEnd w:id="152"/>
    </w:p>
    <w:p>
      <w:pPr>
        <w:pStyle w:val="7"/>
        <w:spacing w:before="0" w:after="0" w:line="440" w:lineRule="exact"/>
        <w:ind w:firstLine="480" w:firstLineChars="200"/>
        <w:rPr>
          <w:rFonts w:ascii="宋体" w:hAnsi="宋体" w:cs="宋体"/>
          <w:b w:val="0"/>
          <w:color w:val="000000" w:themeColor="text1"/>
          <w:sz w:val="24"/>
          <w:szCs w:val="24"/>
        </w:rPr>
      </w:pPr>
      <w:bookmarkStart w:id="153" w:name="_Toc462564084"/>
      <w:bookmarkStart w:id="154" w:name="_Toc20823297"/>
      <w:bookmarkStart w:id="155" w:name="_Toc513029225"/>
      <w:bookmarkStart w:id="156" w:name="_Toc16938541"/>
      <w:r>
        <w:rPr>
          <w:rFonts w:hint="eastAsia" w:ascii="宋体" w:hAnsi="宋体" w:cs="宋体"/>
          <w:b w:val="0"/>
          <w:color w:val="000000" w:themeColor="text1"/>
          <w:sz w:val="24"/>
          <w:szCs w:val="24"/>
        </w:rPr>
        <w:t>19、投标文件的密封和标记</w:t>
      </w:r>
      <w:bookmarkEnd w:id="153"/>
      <w:bookmarkEnd w:id="154"/>
      <w:bookmarkEnd w:id="155"/>
      <w:bookmarkEnd w:id="156"/>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19.1</w:t>
      </w:r>
      <w:r>
        <w:rPr>
          <w:rFonts w:hint="eastAsia" w:ascii="宋体" w:hAnsi="宋体" w:cs="宋体"/>
          <w:bCs/>
          <w:color w:val="000000" w:themeColor="text1"/>
          <w:sz w:val="24"/>
          <w:szCs w:val="24"/>
        </w:rPr>
        <w:t>投标人应将投标文件正本和所有副本密封，不论投标人中标与否，投标文件均不退回。</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19.2</w:t>
      </w:r>
      <w:r>
        <w:rPr>
          <w:rFonts w:hint="eastAsia" w:ascii="宋体" w:hAnsi="宋体" w:cs="宋体"/>
          <w:bCs/>
          <w:color w:val="000000" w:themeColor="text1"/>
          <w:sz w:val="24"/>
          <w:szCs w:val="24"/>
        </w:rPr>
        <w:t xml:space="preserve"> 密封的投标文件应：</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19.2.1 注明投标人名称，如因标注不清而产生的后果由投标人自负。按招标公告中注明的地址送达；</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19.2.2  注明投标项目名称、标书编号及包号。</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19.2.3</w:t>
      </w:r>
      <w:r>
        <w:rPr>
          <w:rFonts w:hint="eastAsia" w:ascii="宋体" w:hAnsi="宋体" w:cs="宋体"/>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7"/>
        <w:spacing w:before="0" w:after="0" w:line="440" w:lineRule="exact"/>
        <w:ind w:firstLine="480" w:firstLineChars="200"/>
        <w:rPr>
          <w:rFonts w:ascii="宋体" w:hAnsi="宋体" w:cs="宋体"/>
          <w:b w:val="0"/>
          <w:color w:val="000000" w:themeColor="text1"/>
          <w:sz w:val="24"/>
          <w:szCs w:val="24"/>
        </w:rPr>
      </w:pPr>
      <w:bookmarkStart w:id="157" w:name="_Toc20823298"/>
      <w:bookmarkStart w:id="158" w:name="_Toc16938542"/>
      <w:bookmarkStart w:id="159" w:name="_Toc513029226"/>
      <w:r>
        <w:rPr>
          <w:rFonts w:hint="eastAsia" w:ascii="宋体" w:hAnsi="宋体" w:cs="宋体"/>
          <w:b w:val="0"/>
          <w:color w:val="000000" w:themeColor="text1"/>
          <w:sz w:val="24"/>
          <w:szCs w:val="24"/>
        </w:rPr>
        <w:t>20、投标截止日期</w:t>
      </w:r>
      <w:bookmarkEnd w:id="157"/>
      <w:bookmarkEnd w:id="158"/>
      <w:bookmarkEnd w:id="159"/>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20.1</w:t>
      </w:r>
      <w:r>
        <w:rPr>
          <w:rFonts w:hint="eastAsia" w:ascii="宋体" w:hAnsi="宋体" w:cs="宋体"/>
          <w:bCs/>
          <w:color w:val="000000" w:themeColor="text1"/>
          <w:sz w:val="24"/>
          <w:szCs w:val="24"/>
        </w:rPr>
        <w:t xml:space="preserve"> 采购人和采购代理机构收到投标文件的时间不得迟于招标公告中规定的截止时间。</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20.2</w:t>
      </w:r>
      <w:r>
        <w:rPr>
          <w:rFonts w:hint="eastAsia" w:ascii="宋体" w:hAnsi="宋体" w:cs="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7"/>
        <w:spacing w:before="0" w:after="0" w:line="440" w:lineRule="exact"/>
        <w:ind w:firstLine="480" w:firstLineChars="200"/>
        <w:rPr>
          <w:rFonts w:ascii="宋体" w:hAnsi="宋体" w:cs="宋体"/>
          <w:b w:val="0"/>
          <w:color w:val="000000" w:themeColor="text1"/>
          <w:sz w:val="24"/>
          <w:szCs w:val="24"/>
        </w:rPr>
      </w:pPr>
      <w:bookmarkStart w:id="160" w:name="_Toc513029227"/>
      <w:bookmarkStart w:id="161" w:name="_Toc20823299"/>
      <w:bookmarkStart w:id="162" w:name="_Toc16938543"/>
      <w:r>
        <w:rPr>
          <w:rFonts w:hint="eastAsia" w:ascii="宋体" w:hAnsi="宋体" w:cs="宋体"/>
          <w:b w:val="0"/>
          <w:color w:val="000000" w:themeColor="text1"/>
          <w:sz w:val="24"/>
          <w:szCs w:val="24"/>
        </w:rPr>
        <w:t>21、迟交的投标文件</w:t>
      </w:r>
      <w:bookmarkEnd w:id="160"/>
      <w:bookmarkEnd w:id="161"/>
      <w:bookmarkEnd w:id="162"/>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21.1</w:t>
      </w:r>
      <w:r>
        <w:rPr>
          <w:rFonts w:hint="eastAsia" w:ascii="宋体" w:hAnsi="宋体" w:cs="宋体"/>
          <w:bCs/>
          <w:color w:val="000000" w:themeColor="text1"/>
          <w:sz w:val="24"/>
          <w:szCs w:val="24"/>
        </w:rPr>
        <w:t xml:space="preserve"> 采购人和采购代理机构拒绝接收在其规定的投标截止时间后递交的任何投标文件。</w:t>
      </w:r>
    </w:p>
    <w:p>
      <w:pPr>
        <w:pStyle w:val="7"/>
        <w:spacing w:before="0" w:after="0" w:line="440" w:lineRule="exact"/>
        <w:ind w:firstLine="480" w:firstLineChars="200"/>
        <w:rPr>
          <w:rFonts w:ascii="宋体" w:hAnsi="宋体" w:cs="宋体"/>
          <w:b w:val="0"/>
          <w:color w:val="000000" w:themeColor="text1"/>
          <w:sz w:val="24"/>
          <w:szCs w:val="24"/>
        </w:rPr>
      </w:pPr>
      <w:bookmarkStart w:id="163" w:name="_Toc16938544"/>
      <w:bookmarkStart w:id="164" w:name="_Toc513029228"/>
      <w:bookmarkStart w:id="165" w:name="_Toc20823300"/>
      <w:r>
        <w:rPr>
          <w:rFonts w:hint="eastAsia" w:ascii="宋体" w:hAnsi="宋体" w:cs="宋体"/>
          <w:b w:val="0"/>
          <w:color w:val="000000" w:themeColor="text1"/>
          <w:sz w:val="24"/>
          <w:szCs w:val="24"/>
        </w:rPr>
        <w:t>22、投标文件的修改和撤回</w:t>
      </w:r>
      <w:bookmarkEnd w:id="163"/>
      <w:bookmarkEnd w:id="164"/>
      <w:bookmarkEnd w:id="165"/>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22.1</w:t>
      </w:r>
      <w:r>
        <w:rPr>
          <w:rFonts w:hint="eastAsia" w:ascii="宋体" w:hAnsi="宋体" w:cs="宋体"/>
          <w:bCs/>
          <w:color w:val="000000" w:themeColor="text1"/>
          <w:sz w:val="24"/>
          <w:szCs w:val="24"/>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rPr>
        <w:t>通知采购人或采购代理机构，修改或撤回其投标文件。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22.2</w:t>
      </w:r>
      <w:r>
        <w:rPr>
          <w:rFonts w:hint="eastAsia" w:ascii="宋体" w:hAnsi="宋体" w:cs="宋体"/>
          <w:bCs/>
          <w:color w:val="000000" w:themeColor="text1"/>
          <w:sz w:val="24"/>
          <w:szCs w:val="24"/>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22.3</w:t>
      </w:r>
      <w:r>
        <w:rPr>
          <w:rFonts w:hint="eastAsia" w:ascii="宋体" w:hAnsi="宋体" w:cs="宋体"/>
          <w:bCs/>
          <w:color w:val="000000" w:themeColor="text1"/>
          <w:sz w:val="24"/>
          <w:szCs w:val="24"/>
        </w:rPr>
        <w:t xml:space="preserve"> 在投标截止时间之后，投标人不得对其投标文件作任何修改。</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22.4</w:t>
      </w:r>
      <w:r>
        <w:rPr>
          <w:rFonts w:hint="eastAsia" w:ascii="宋体" w:hAnsi="宋体" w:cs="宋体"/>
          <w:bCs/>
          <w:color w:val="000000" w:themeColor="text1"/>
          <w:sz w:val="24"/>
          <w:szCs w:val="24"/>
        </w:rPr>
        <w:t xml:space="preserve"> 在投标截止时间至招标文件中规定的投标有效期满之间的这段时间内，投标人不得撤回其投标，否则其投标保证金将不予退还。</w:t>
      </w:r>
    </w:p>
    <w:p>
      <w:pPr>
        <w:pStyle w:val="5"/>
        <w:spacing w:before="0" w:after="0" w:line="440" w:lineRule="exact"/>
        <w:ind w:firstLine="482" w:firstLineChars="200"/>
        <w:rPr>
          <w:rFonts w:ascii="宋体" w:hAnsi="宋体" w:cs="宋体"/>
          <w:color w:val="000000" w:themeColor="text1"/>
          <w:sz w:val="24"/>
          <w:szCs w:val="24"/>
        </w:rPr>
      </w:pPr>
      <w:bookmarkStart w:id="166" w:name="_Toc513029229"/>
      <w:bookmarkStart w:id="167" w:name="_Toc16938545"/>
      <w:bookmarkStart w:id="168" w:name="_Toc120614218"/>
      <w:bookmarkStart w:id="169" w:name="_Toc20823301"/>
      <w:r>
        <w:rPr>
          <w:rFonts w:hint="eastAsia" w:ascii="宋体" w:hAnsi="宋体" w:cs="宋体"/>
          <w:color w:val="000000" w:themeColor="text1"/>
          <w:sz w:val="24"/>
          <w:szCs w:val="24"/>
        </w:rPr>
        <w:t>五、开标与评标</w:t>
      </w:r>
      <w:bookmarkEnd w:id="166"/>
      <w:bookmarkEnd w:id="167"/>
      <w:bookmarkEnd w:id="168"/>
      <w:bookmarkEnd w:id="169"/>
    </w:p>
    <w:p>
      <w:pPr>
        <w:pStyle w:val="7"/>
        <w:spacing w:before="0" w:after="0" w:line="440" w:lineRule="exact"/>
        <w:ind w:firstLine="480" w:firstLineChars="200"/>
        <w:rPr>
          <w:rFonts w:ascii="宋体" w:hAnsi="宋体" w:cs="宋体"/>
          <w:b w:val="0"/>
          <w:color w:val="000000" w:themeColor="text1"/>
          <w:sz w:val="24"/>
          <w:szCs w:val="24"/>
        </w:rPr>
      </w:pPr>
      <w:bookmarkStart w:id="170" w:name="_Toc513029230"/>
      <w:bookmarkStart w:id="171" w:name="_Toc20823302"/>
      <w:bookmarkStart w:id="172" w:name="_Toc16938546"/>
      <w:r>
        <w:rPr>
          <w:rFonts w:hint="eastAsia" w:ascii="宋体" w:hAnsi="宋体" w:cs="宋体"/>
          <w:b w:val="0"/>
          <w:color w:val="000000" w:themeColor="text1"/>
          <w:sz w:val="24"/>
          <w:szCs w:val="24"/>
        </w:rPr>
        <w:t>23、开标</w:t>
      </w:r>
      <w:bookmarkEnd w:id="170"/>
      <w:bookmarkEnd w:id="171"/>
      <w:bookmarkEnd w:id="172"/>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23.1</w:t>
      </w:r>
      <w:r>
        <w:rPr>
          <w:rFonts w:hint="eastAsia" w:ascii="宋体" w:hAnsi="宋体" w:cs="宋体"/>
          <w:bCs/>
          <w:color w:val="000000" w:themeColor="text1"/>
          <w:sz w:val="24"/>
          <w:szCs w:val="24"/>
        </w:rPr>
        <w:t xml:space="preserve"> 采购人和采购代理机构将在招标公告中规定的时间和地点组织公开开标</w:t>
      </w:r>
      <w:r>
        <w:rPr>
          <w:rFonts w:hint="eastAsia" w:ascii="宋体" w:hAnsi="宋体" w:cs="宋体"/>
          <w:color w:val="000000" w:themeColor="text1"/>
          <w:sz w:val="24"/>
          <w:szCs w:val="24"/>
        </w:rPr>
        <w:t>。投标人应委派携带有效证件的代表准时参加，参加开标的代表需签名以证明其出席。</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23.2</w:t>
      </w:r>
      <w:r>
        <w:rPr>
          <w:rFonts w:hint="eastAsia" w:ascii="宋体" w:hAnsi="宋体" w:cs="宋体"/>
          <w:color w:val="000000" w:themeColor="text1"/>
          <w:sz w:val="24"/>
          <w:szCs w:val="24"/>
        </w:rPr>
        <w:t>开标仪式由采购人或采购代理机构组织，采购人代表</w:t>
      </w:r>
      <w:r>
        <w:rPr>
          <w:rFonts w:hint="eastAsia" w:ascii="宋体" w:hAnsi="宋体" w:cs="宋体"/>
          <w:b/>
          <w:color w:val="000000" w:themeColor="text1"/>
          <w:sz w:val="24"/>
          <w:szCs w:val="24"/>
        </w:rPr>
        <w:t>(需提供单位授权函)</w:t>
      </w:r>
      <w:r>
        <w:rPr>
          <w:rFonts w:hint="eastAsia" w:ascii="宋体" w:hAnsi="宋体" w:cs="宋体"/>
          <w:color w:val="000000" w:themeColor="text1"/>
          <w:sz w:val="24"/>
          <w:szCs w:val="24"/>
        </w:rPr>
        <w:t>、监管代表、投标人代表等参加。</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23.3</w:t>
      </w:r>
      <w:r>
        <w:rPr>
          <w:rFonts w:hint="eastAsia" w:ascii="宋体" w:hAnsi="宋体" w:cs="宋体"/>
          <w:bCs/>
          <w:color w:val="000000" w:themeColor="text1"/>
          <w:sz w:val="24"/>
          <w:szCs w:val="24"/>
        </w:rPr>
        <w:t>按照规定同意撤回的投标将不予开封。</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23.5 采购人或采购代理机构将指定专人负责开标记录并存档备查，各投标人需仔细核对开标记录相关内容并签字确认。</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23.6 投标人在报价时不允许采用选择性报价，否则将被视为无效投标。</w:t>
      </w:r>
    </w:p>
    <w:p>
      <w:pPr>
        <w:pStyle w:val="7"/>
        <w:spacing w:before="0" w:after="0" w:line="440" w:lineRule="exact"/>
        <w:ind w:firstLine="480" w:firstLineChars="200"/>
        <w:rPr>
          <w:rFonts w:ascii="宋体" w:hAnsi="宋体" w:cs="宋体"/>
          <w:b w:val="0"/>
          <w:color w:val="000000" w:themeColor="text1"/>
          <w:sz w:val="24"/>
          <w:szCs w:val="24"/>
        </w:rPr>
      </w:pPr>
      <w:bookmarkStart w:id="173" w:name="_Toc20823303"/>
      <w:bookmarkStart w:id="174" w:name="_Toc513029231"/>
      <w:bookmarkStart w:id="175" w:name="_Toc16938547"/>
      <w:r>
        <w:rPr>
          <w:rFonts w:hint="eastAsia" w:ascii="宋体" w:hAnsi="宋体" w:cs="宋体"/>
          <w:b w:val="0"/>
          <w:color w:val="000000" w:themeColor="text1"/>
          <w:sz w:val="24"/>
          <w:szCs w:val="24"/>
        </w:rPr>
        <w:t>24、资格审查</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24.1</w:t>
      </w:r>
      <w:r>
        <w:rPr>
          <w:rFonts w:hint="eastAsia" w:ascii="宋体" w:hAnsi="宋体" w:cs="宋体"/>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ascii="宋体" w:hAnsi="宋体" w:cs="宋体"/>
          <w:color w:val="000000" w:themeColor="text1"/>
          <w:sz w:val="24"/>
          <w:szCs w:val="24"/>
        </w:rPr>
      </w:pPr>
      <w:r>
        <w:rPr>
          <w:rFonts w:hint="eastAsia" w:ascii="宋体" w:hAnsi="宋体" w:cs="宋体"/>
          <w:color w:val="000000" w:themeColor="text1"/>
          <w:sz w:val="24"/>
          <w:szCs w:val="24"/>
        </w:rPr>
        <w:t>合格投标人不足3家的，不得评标。</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25、评标委员会</w:t>
      </w:r>
    </w:p>
    <w:p>
      <w:pPr>
        <w:spacing w:line="44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25.1资格审查通过后，采购人将组织评标委员会（以下简称评委会）进行评标。</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25.2 评委会由采购人代表和有关技术、经济等方面的专家组成，且人员构成符合政府采购有关规定。</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25.3评委会独立工作，负责评审所有投标文件并确定中标侯选人。</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26、评标过程的保密与公正</w:t>
      </w:r>
    </w:p>
    <w:bookmarkEnd w:id="173"/>
    <w:bookmarkEnd w:id="174"/>
    <w:bookmarkEnd w:id="175"/>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26.1</w:t>
      </w:r>
      <w:r>
        <w:rPr>
          <w:rFonts w:hint="eastAsia" w:ascii="宋体" w:hAnsi="宋体" w:cs="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26.2在评标过程中，投标人不得以任何行为影响评标过程，否则其投标文件将被作为无效投标文件。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26.3在评标期间，采购人或采购代理机构将设专门人员与投标人联系。</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26.4 采购人、采购代理机构和评标委员会不向落标的投标人解释未中标原因，也不公布评标过程中的相关细节。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26.5 采用综合评分法的项目，未中标的投标人如需了解自己的评审得分及排序情况，可向采购人提出申请。</w:t>
      </w:r>
    </w:p>
    <w:p>
      <w:pPr>
        <w:pStyle w:val="7"/>
        <w:spacing w:before="0" w:after="0" w:line="440" w:lineRule="exact"/>
        <w:ind w:firstLine="480" w:firstLineChars="200"/>
        <w:rPr>
          <w:rFonts w:ascii="宋体" w:hAnsi="宋体" w:cs="宋体"/>
          <w:b w:val="0"/>
          <w:color w:val="000000" w:themeColor="text1"/>
          <w:sz w:val="24"/>
          <w:szCs w:val="24"/>
        </w:rPr>
      </w:pPr>
      <w:bookmarkStart w:id="176" w:name="_Toc20823304"/>
      <w:bookmarkStart w:id="177" w:name="_Toc513029232"/>
      <w:bookmarkStart w:id="178" w:name="_Toc16938548"/>
      <w:r>
        <w:rPr>
          <w:rFonts w:hint="eastAsia" w:ascii="宋体" w:hAnsi="宋体" w:cs="宋体"/>
          <w:b w:val="0"/>
          <w:color w:val="000000" w:themeColor="text1"/>
          <w:sz w:val="24"/>
          <w:szCs w:val="24"/>
        </w:rPr>
        <w:t>27、投标的澄清</w:t>
      </w:r>
      <w:bookmarkEnd w:id="176"/>
      <w:bookmarkEnd w:id="177"/>
      <w:bookmarkEnd w:id="178"/>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27.3 接到评委会澄清要求的投标人如未按规定做出澄清，其风险由投标人自行承担。</w:t>
      </w:r>
    </w:p>
    <w:p>
      <w:pPr>
        <w:pStyle w:val="7"/>
        <w:spacing w:before="0" w:after="0" w:line="440" w:lineRule="exact"/>
        <w:ind w:firstLine="480" w:firstLineChars="200"/>
        <w:rPr>
          <w:rFonts w:ascii="宋体" w:hAnsi="宋体" w:cs="宋体"/>
          <w:b w:val="0"/>
          <w:color w:val="000000" w:themeColor="text1"/>
          <w:sz w:val="24"/>
          <w:szCs w:val="24"/>
        </w:rPr>
      </w:pPr>
      <w:bookmarkStart w:id="179" w:name="_Toc20823305"/>
      <w:bookmarkStart w:id="180" w:name="_Toc16938549"/>
      <w:bookmarkStart w:id="181" w:name="_Toc513029233"/>
      <w:r>
        <w:rPr>
          <w:rFonts w:hint="eastAsia" w:ascii="宋体" w:hAnsi="宋体" w:cs="宋体"/>
          <w:b w:val="0"/>
          <w:color w:val="000000" w:themeColor="text1"/>
          <w:sz w:val="24"/>
          <w:szCs w:val="24"/>
        </w:rPr>
        <w:t>28、对投标文件的评审</w:t>
      </w:r>
      <w:bookmarkEnd w:id="179"/>
      <w:bookmarkEnd w:id="180"/>
      <w:bookmarkEnd w:id="181"/>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28.1</w:t>
      </w:r>
      <w:r>
        <w:rPr>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rPr>
        <w:t>评委决定投标文件的响应性只根据投标文件本身的内容，而不寻求外部的证据。</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28.3</w:t>
      </w:r>
      <w:r>
        <w:rPr>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28.4</w:t>
      </w:r>
      <w:r>
        <w:rPr>
          <w:rFonts w:hint="eastAsia" w:ascii="宋体" w:hAnsi="宋体" w:cs="宋体"/>
          <w:bCs/>
          <w:color w:val="000000" w:themeColor="text1"/>
          <w:sz w:val="24"/>
          <w:szCs w:val="24"/>
        </w:rPr>
        <w:t>评委会将对确定为实质性响应的投标进行进一步审核，看其是否有计算上或累加上的算术错误，修正错误的原则如下：</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（1）投标文件中开标一览表内容与投标文件中相应内容不一致的，以开标一览表为准。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（2）大写金额和小写金额不一致的，以大写金额为准。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（3）单价金额小数点或者百分比有明显错位的，以开标一览表的总价为准，并修改单价。</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（4）总价金额与按单价汇总金额不一致的，以单价金额计算结果为准。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同时出现两种以上错误的，按照前款规定的顺序修正。</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28.5</w:t>
      </w:r>
      <w:r>
        <w:rPr>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28.6</w:t>
      </w:r>
      <w:r>
        <w:rPr>
          <w:rFonts w:hint="eastAsia" w:ascii="宋体" w:hAnsi="宋体" w:cs="宋体"/>
          <w:bCs/>
          <w:color w:val="000000" w:themeColor="text1"/>
          <w:sz w:val="24"/>
          <w:szCs w:val="24"/>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28.7</w:t>
      </w:r>
      <w:r>
        <w:rPr>
          <w:rFonts w:hint="eastAsia" w:ascii="宋体" w:hAnsi="宋体" w:cs="宋体"/>
          <w:b/>
          <w:color w:val="000000" w:themeColor="text1"/>
          <w:sz w:val="24"/>
          <w:szCs w:val="24"/>
        </w:rPr>
        <w:t>采用最低评标价法的采购项目，</w:t>
      </w:r>
      <w:r>
        <w:rPr>
          <w:rFonts w:hint="eastAsia" w:ascii="宋体" w:hAnsi="宋体" w:cs="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color w:val="000000" w:themeColor="text1"/>
          <w:sz w:val="24"/>
          <w:szCs w:val="24"/>
        </w:rPr>
      </w:pPr>
      <w:r>
        <w:rPr>
          <w:rFonts w:hint="eastAsia" w:ascii="宋体" w:hAnsi="宋体" w:cs="宋体"/>
          <w:b/>
          <w:color w:val="000000" w:themeColor="text1"/>
          <w:sz w:val="24"/>
          <w:szCs w:val="24"/>
        </w:rPr>
        <w:t>使用综合评分法的采购项目，</w:t>
      </w:r>
      <w:r>
        <w:rPr>
          <w:rFonts w:hint="eastAsia" w:ascii="宋体" w:hAnsi="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color w:val="000000" w:themeColor="text1"/>
          <w:sz w:val="24"/>
          <w:szCs w:val="24"/>
        </w:rPr>
      </w:pPr>
      <w:r>
        <w:rPr>
          <w:rFonts w:hint="eastAsia" w:ascii="宋体" w:hAnsi="宋体" w:cs="宋体"/>
          <w:b/>
          <w:color w:val="000000" w:themeColor="text1"/>
          <w:sz w:val="24"/>
          <w:szCs w:val="24"/>
        </w:rPr>
        <w:t>非单一产品采购项目，</w:t>
      </w:r>
      <w:r>
        <w:rPr>
          <w:rFonts w:hint="eastAsia" w:ascii="宋体" w:hAnsi="宋体" w:cs="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7"/>
        <w:spacing w:before="0" w:after="0" w:line="440" w:lineRule="exact"/>
        <w:ind w:firstLine="480" w:firstLineChars="200"/>
        <w:rPr>
          <w:rFonts w:ascii="宋体" w:hAnsi="宋体" w:cs="宋体"/>
          <w:b w:val="0"/>
          <w:color w:val="000000" w:themeColor="text1"/>
          <w:sz w:val="24"/>
          <w:szCs w:val="24"/>
        </w:rPr>
      </w:pPr>
      <w:bookmarkStart w:id="182" w:name="_Toc513029234"/>
      <w:bookmarkStart w:id="183" w:name="_Toc16938550"/>
      <w:bookmarkStart w:id="184" w:name="_Toc20823306"/>
      <w:r>
        <w:rPr>
          <w:rFonts w:hint="eastAsia" w:ascii="宋体" w:hAnsi="宋体" w:cs="宋体"/>
          <w:b w:val="0"/>
          <w:color w:val="000000" w:themeColor="text1"/>
          <w:sz w:val="24"/>
          <w:szCs w:val="24"/>
        </w:rPr>
        <w:t>29、</w:t>
      </w:r>
      <w:bookmarkEnd w:id="182"/>
      <w:bookmarkEnd w:id="183"/>
      <w:bookmarkEnd w:id="184"/>
      <w:r>
        <w:rPr>
          <w:rFonts w:hint="eastAsia" w:ascii="宋体" w:hAnsi="宋体" w:cs="宋体"/>
          <w:b w:val="0"/>
          <w:color w:val="000000" w:themeColor="text1"/>
          <w:sz w:val="24"/>
          <w:szCs w:val="24"/>
        </w:rPr>
        <w:t>无效投标条款和废标条款</w:t>
      </w:r>
    </w:p>
    <w:p>
      <w:pPr>
        <w:spacing w:line="440" w:lineRule="exact"/>
        <w:ind w:firstLine="480" w:firstLineChars="200"/>
        <w:rPr>
          <w:rFonts w:ascii="宋体" w:hAnsi="宋体" w:cs="宋体"/>
          <w:bCs/>
          <w:color w:val="000000" w:themeColor="text1"/>
          <w:sz w:val="24"/>
          <w:szCs w:val="24"/>
        </w:rPr>
      </w:pPr>
      <w:bookmarkStart w:id="185" w:name="_Toc16938551"/>
      <w:bookmarkStart w:id="186" w:name="_Toc20823307"/>
      <w:bookmarkStart w:id="187" w:name="_Toc513029235"/>
      <w:r>
        <w:rPr>
          <w:rFonts w:hint="eastAsia" w:ascii="宋体" w:hAnsi="宋体" w:cs="宋体"/>
          <w:bCs/>
          <w:color w:val="000000" w:themeColor="text1"/>
          <w:sz w:val="24"/>
          <w:szCs w:val="24"/>
        </w:rPr>
        <w:t>29.1无效投标条款</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29.1.1未按照招标文件规定要求密封、签署、盖章的；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29.1.2投标人在报价时采用选择性报价；</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29.1.3投标人不具备招标文件中规定资格要求的；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29.1.4投标人的报价超过了采购预算或最高限价的；</w:t>
      </w:r>
    </w:p>
    <w:p>
      <w:pPr>
        <w:spacing w:line="440" w:lineRule="exact"/>
        <w:ind w:firstLine="480" w:firstLineChars="200"/>
        <w:rPr>
          <w:rFonts w:ascii="宋体" w:hAnsi="宋体" w:cs="宋体"/>
          <w:bCs/>
          <w:i/>
          <w:color w:val="000000" w:themeColor="text1"/>
          <w:sz w:val="24"/>
          <w:szCs w:val="24"/>
          <w:u w:val="single"/>
        </w:rPr>
      </w:pPr>
      <w:r>
        <w:rPr>
          <w:rFonts w:hint="eastAsia" w:ascii="宋体" w:hAnsi="宋体" w:cs="宋体"/>
          <w:bCs/>
          <w:color w:val="000000" w:themeColor="text1"/>
          <w:sz w:val="24"/>
          <w:szCs w:val="24"/>
        </w:rPr>
        <w:t>29.1.5未通过符合性检查的；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29.1.6不符合招标文件中规定的其他实质性要求和条件的；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29.1.7 投标人串通投标；</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29.1.8 投标文件含有采购人不能接受的附加条件的。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29.1.10其他法律、法规及本招标文件规定的属无效投标的情形。</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 xml:space="preserve">29.2废标条款：                                                                                                                                                                                                                                                                                                                                                                                                                                                                                                                                                                                                                                                                                                                                                                                                                                                                                                                                                                                                                                                                                                                                                                                                                                                                                                                                                                                                                                                                         </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29.2.1符合专业条件的供应商或者对招标文件作实质响应的供应商不足三家的；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29.2.2出现影响采购公正的违法、违规行为的；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29.2.3因重大变故，采购任务取消的；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29.2.4评标委员会认定招标文件存在歧义、 重大缺陷导致评审工作无法进行。</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29.3 投标截止时间结束后参加投标的供应商不足三家的处理：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5"/>
        <w:spacing w:before="0" w:after="0" w:line="440" w:lineRule="exact"/>
        <w:ind w:firstLine="482" w:firstLineChars="200"/>
        <w:rPr>
          <w:rFonts w:ascii="宋体" w:hAnsi="宋体" w:cs="宋体"/>
          <w:color w:val="000000" w:themeColor="text1"/>
          <w:sz w:val="24"/>
          <w:szCs w:val="24"/>
        </w:rPr>
      </w:pPr>
      <w:bookmarkStart w:id="188" w:name="_Toc120614219"/>
      <w:r>
        <w:rPr>
          <w:rFonts w:hint="eastAsia" w:ascii="宋体" w:hAnsi="宋体" w:cs="宋体"/>
          <w:color w:val="000000" w:themeColor="text1"/>
          <w:sz w:val="24"/>
          <w:szCs w:val="24"/>
        </w:rPr>
        <w:t>六、</w:t>
      </w:r>
      <w:bookmarkEnd w:id="185"/>
      <w:bookmarkEnd w:id="186"/>
      <w:bookmarkEnd w:id="187"/>
      <w:r>
        <w:rPr>
          <w:rFonts w:hint="eastAsia" w:ascii="宋体" w:hAnsi="宋体" w:cs="宋体"/>
          <w:color w:val="000000" w:themeColor="text1"/>
          <w:sz w:val="24"/>
          <w:szCs w:val="24"/>
        </w:rPr>
        <w:t>定标</w:t>
      </w:r>
      <w:bookmarkEnd w:id="188"/>
    </w:p>
    <w:p>
      <w:pPr>
        <w:pStyle w:val="7"/>
        <w:spacing w:before="0" w:after="0" w:line="440" w:lineRule="exact"/>
        <w:ind w:firstLine="480" w:firstLineChars="200"/>
        <w:rPr>
          <w:rFonts w:ascii="宋体" w:hAnsi="宋体" w:cs="宋体"/>
          <w:b w:val="0"/>
          <w:color w:val="000000" w:themeColor="text1"/>
          <w:sz w:val="24"/>
          <w:szCs w:val="24"/>
        </w:rPr>
      </w:pPr>
      <w:bookmarkStart w:id="189" w:name="_Toc513029238"/>
      <w:bookmarkStart w:id="190" w:name="_Toc20823310"/>
      <w:bookmarkStart w:id="191" w:name="_Toc16938554"/>
      <w:r>
        <w:rPr>
          <w:rFonts w:hint="eastAsia" w:ascii="宋体" w:hAnsi="宋体" w:cs="宋体"/>
          <w:b w:val="0"/>
          <w:color w:val="000000" w:themeColor="text1"/>
          <w:sz w:val="24"/>
          <w:szCs w:val="24"/>
        </w:rPr>
        <w:t>30、</w:t>
      </w:r>
      <w:bookmarkEnd w:id="189"/>
      <w:r>
        <w:rPr>
          <w:rFonts w:hint="eastAsia" w:ascii="宋体" w:hAnsi="宋体" w:cs="宋体"/>
          <w:b w:val="0"/>
          <w:color w:val="000000" w:themeColor="text1"/>
          <w:sz w:val="24"/>
          <w:szCs w:val="24"/>
        </w:rPr>
        <w:t>确定</w:t>
      </w:r>
      <w:bookmarkEnd w:id="190"/>
      <w:bookmarkEnd w:id="191"/>
      <w:r>
        <w:rPr>
          <w:rFonts w:hint="eastAsia" w:ascii="宋体" w:hAnsi="宋体" w:cs="宋体"/>
          <w:b w:val="0"/>
          <w:color w:val="000000" w:themeColor="text1"/>
          <w:sz w:val="24"/>
          <w:szCs w:val="24"/>
        </w:rPr>
        <w:t>中标单位</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30.1评委会根据本招标文件规定评标方法与评标标准向采购人推荐出中标候选人。</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30.2 采购人应根据评委会推荐的中标候选人确定中标供应商。</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30.3采购人</w:t>
      </w:r>
      <w:r>
        <w:rPr>
          <w:rFonts w:hint="eastAsia" w:ascii="宋体" w:hAnsi="宋体" w:cs="宋体"/>
          <w:color w:val="000000" w:themeColor="text1"/>
          <w:sz w:val="24"/>
          <w:szCs w:val="24"/>
        </w:rPr>
        <w:t>将盐城工业职业技术学院招标采购网发布中标公告，公告期限为1个工作日。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30.4若有充分证据证明，中标供应商出现下列情况之一的，一经查实，将被取消中标资格：</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30.4.1提供虚假材料谋取中标的；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30.4.2向采购人或采购代理机构行贿或者提供其他不正当利益的；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30.4.3恶意竞争，投标总报价明显低于其自身合理成本且又无法提供证明的；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30.4.4属于本文件规定的无效条件，但在评标过程中又未被评委会发现的；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30.4.5与采购人或者其他供应商恶意串通的；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30.4.6采取不正当手段诋毁、排挤其他供应商的；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30.4.7不符合法律、法规的规定的。</w:t>
      </w:r>
      <w:bookmarkStart w:id="192" w:name="_Toc200451960"/>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30.5. </w:t>
      </w:r>
      <w:r>
        <w:rPr>
          <w:rFonts w:hint="eastAsia" w:ascii="宋体" w:hAnsi="宋体" w:cs="宋体"/>
          <w:color w:val="000000" w:themeColor="text1"/>
          <w:kern w:val="0"/>
          <w:sz w:val="24"/>
          <w:szCs w:val="24"/>
        </w:rPr>
        <w:t>有下列情形之一的，视为投标人串通投标，投标无效：</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30.5.1不同投标人的投标文件由同一单位或者个人编制。</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30.5.2不同投标人委托同一单位或者个人办理投标事宜。</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30.5.3 不同投标人的投标文件载明的项目管理成员或者联系人员为同一人。</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30.5.4不同投标人的投标文件异常一致或者投标报价呈规律性差异。</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30.5.5不同投标人的投标文件相互混装。</w:t>
      </w:r>
    </w:p>
    <w:p>
      <w:pPr>
        <w:pStyle w:val="7"/>
        <w:tabs>
          <w:tab w:val="left" w:pos="4120"/>
        </w:tabs>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31、质疑处理</w:t>
      </w:r>
      <w:bookmarkEnd w:id="192"/>
      <w:r>
        <w:rPr>
          <w:rFonts w:hint="eastAsia" w:ascii="宋体" w:hAnsi="宋体" w:cs="宋体"/>
          <w:b w:val="0"/>
          <w:color w:val="000000" w:themeColor="text1"/>
          <w:sz w:val="24"/>
          <w:szCs w:val="24"/>
        </w:rPr>
        <w:tab/>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sz w:val="24"/>
          <w:szCs w:val="24"/>
        </w:rPr>
        <w:t>31.1.1</w:t>
      </w:r>
      <w:r>
        <w:rPr>
          <w:rFonts w:hint="eastAsia" w:ascii="宋体" w:hAnsi="宋体" w:cs="宋体"/>
          <w:color w:val="000000" w:themeColor="text1"/>
          <w:kern w:val="0"/>
          <w:sz w:val="24"/>
          <w:szCs w:val="24"/>
        </w:rPr>
        <w:t>对可以质疑的招标文件提出质疑的，为收到招标文件之日或者招标文件公告期限届满之日；</w:t>
      </w:r>
    </w:p>
    <w:p>
      <w:pPr>
        <w:snapToGrid w:val="0"/>
        <w:spacing w:line="44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sz w:val="24"/>
          <w:szCs w:val="24"/>
        </w:rPr>
        <w:t>31.1.2</w:t>
      </w:r>
      <w:r>
        <w:rPr>
          <w:rFonts w:hint="eastAsia" w:ascii="宋体" w:hAnsi="宋体" w:cs="宋体"/>
          <w:color w:val="000000" w:themeColor="text1"/>
          <w:kern w:val="0"/>
          <w:sz w:val="24"/>
          <w:szCs w:val="24"/>
        </w:rPr>
        <w:t>对采购过程提出质疑的，为各采购程序环节结束之日；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31.1.3</w:t>
      </w:r>
      <w:r>
        <w:rPr>
          <w:rFonts w:hint="eastAsia" w:ascii="宋体" w:hAnsi="宋体" w:cs="宋体"/>
          <w:color w:val="000000" w:themeColor="text1"/>
          <w:kern w:val="0"/>
          <w:sz w:val="24"/>
          <w:szCs w:val="24"/>
        </w:rPr>
        <w:t>对中标结果提出质疑的，为中标结果公告期限届满之日。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31.4质疑函应当包括下列内容：</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31.4.1质疑投标人的名称、地址、邮编、联系人、联系电话；</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31.4.2具体的质疑事项及明确的请求；</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31.4.3认为自己合法权益受到损害或可能受到损害的相关证据材料；</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31.4.4提起质疑的日期；</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31.4.5质疑函应当署名：质疑人为自然人的，应当由本人签字并附有效身份证</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32、中标通知书</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32.l中标结果确定后，采购人将向中标供应商发出中标通知书。</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5"/>
        <w:spacing w:before="0" w:after="0" w:line="440" w:lineRule="exact"/>
        <w:ind w:firstLine="482" w:firstLineChars="200"/>
        <w:rPr>
          <w:rFonts w:ascii="宋体" w:hAnsi="宋体" w:cs="宋体"/>
          <w:color w:val="000000" w:themeColor="text1"/>
          <w:sz w:val="24"/>
          <w:szCs w:val="24"/>
        </w:rPr>
      </w:pPr>
      <w:bookmarkStart w:id="193" w:name="_Toc120614220"/>
      <w:bookmarkStart w:id="194" w:name="_Toc513029236"/>
      <w:bookmarkStart w:id="195" w:name="_Toc16938552"/>
      <w:bookmarkStart w:id="196" w:name="_Toc20823308"/>
      <w:r>
        <w:rPr>
          <w:rFonts w:hint="eastAsia" w:ascii="宋体" w:hAnsi="宋体" w:cs="宋体"/>
          <w:color w:val="000000" w:themeColor="text1"/>
          <w:sz w:val="24"/>
          <w:szCs w:val="24"/>
        </w:rPr>
        <w:t>七、合同</w:t>
      </w:r>
      <w:bookmarkEnd w:id="193"/>
      <w:r>
        <w:rPr>
          <w:rFonts w:hint="eastAsia" w:ascii="宋体" w:hAnsi="宋体" w:cs="宋体"/>
          <w:color w:val="000000" w:themeColor="text1"/>
          <w:sz w:val="24"/>
          <w:szCs w:val="24"/>
        </w:rPr>
        <w:t>签订相关事项</w:t>
      </w:r>
    </w:p>
    <w:bookmarkEnd w:id="194"/>
    <w:bookmarkEnd w:id="195"/>
    <w:bookmarkEnd w:id="196"/>
    <w:p>
      <w:pPr>
        <w:pStyle w:val="7"/>
        <w:spacing w:before="0" w:after="0" w:line="440" w:lineRule="exact"/>
        <w:ind w:firstLine="480" w:firstLineChars="200"/>
        <w:rPr>
          <w:rFonts w:ascii="宋体" w:hAnsi="宋体" w:cs="宋体"/>
          <w:b w:val="0"/>
          <w:color w:val="000000" w:themeColor="text1"/>
          <w:sz w:val="24"/>
          <w:szCs w:val="24"/>
        </w:rPr>
      </w:pPr>
      <w:bookmarkStart w:id="197" w:name="_Toc16938553"/>
      <w:bookmarkStart w:id="198" w:name="_Toc513029237"/>
      <w:bookmarkStart w:id="199" w:name="_Toc20823309"/>
      <w:r>
        <w:rPr>
          <w:rFonts w:hint="eastAsia" w:ascii="宋体" w:hAnsi="宋体" w:cs="宋体"/>
          <w:b w:val="0"/>
          <w:color w:val="000000" w:themeColor="text1"/>
          <w:sz w:val="24"/>
          <w:szCs w:val="24"/>
        </w:rPr>
        <w:t>33. 签订合同</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33</w:t>
      </w:r>
      <w:r>
        <w:rPr>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33.2招标文件、中标供应商的投标文件及招标过程中有关澄清、承诺文件均应作为合同附件。</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34、货物和服务的追加、减少和添购。</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97"/>
    <w:bookmarkEnd w:id="198"/>
    <w:bookmarkEnd w:id="199"/>
    <w:p>
      <w:pPr>
        <w:tabs>
          <w:tab w:val="left" w:pos="900"/>
        </w:tabs>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35、履约保证金</w:t>
      </w:r>
    </w:p>
    <w:p>
      <w:pPr>
        <w:tabs>
          <w:tab w:val="left" w:pos="900"/>
        </w:tabs>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pStyle w:val="6"/>
        <w:adjustRightInd w:val="0"/>
        <w:snapToGrid w:val="0"/>
        <w:spacing w:line="360" w:lineRule="auto"/>
        <w:ind w:firstLine="480" w:firstLineChars="200"/>
        <w:rPr>
          <w:rFonts w:ascii="宋体" w:hAnsi="宋体" w:cs="宋体"/>
          <w:color w:val="000000" w:themeColor="text1"/>
          <w:sz w:val="24"/>
        </w:rPr>
      </w:pPr>
    </w:p>
    <w:p>
      <w:pPr>
        <w:pStyle w:val="3"/>
        <w:jc w:val="center"/>
        <w:rPr>
          <w:rFonts w:ascii="宋体" w:hAnsi="宋体" w:eastAsia="宋体" w:cs="宋体"/>
          <w:b/>
          <w:color w:val="000000" w:themeColor="text1"/>
          <w:sz w:val="44"/>
        </w:rPr>
      </w:pPr>
      <w:bookmarkStart w:id="200" w:name="_Toc602"/>
      <w:r>
        <w:rPr>
          <w:rFonts w:hint="eastAsia" w:ascii="宋体" w:hAnsi="宋体" w:eastAsia="宋体" w:cs="宋体"/>
          <w:b/>
          <w:color w:val="000000" w:themeColor="text1"/>
          <w:sz w:val="44"/>
        </w:rPr>
        <w:t>第三章  合同条款及</w:t>
      </w:r>
      <w:bookmarkEnd w:id="56"/>
      <w:bookmarkEnd w:id="57"/>
      <w:bookmarkEnd w:id="58"/>
      <w:bookmarkEnd w:id="59"/>
      <w:bookmarkEnd w:id="60"/>
      <w:r>
        <w:rPr>
          <w:rFonts w:hint="eastAsia" w:ascii="宋体" w:hAnsi="宋体" w:eastAsia="宋体" w:cs="宋体"/>
          <w:b/>
          <w:color w:val="000000" w:themeColor="text1"/>
          <w:sz w:val="44"/>
        </w:rPr>
        <w:t>格式</w:t>
      </w:r>
      <w:bookmarkEnd w:id="200"/>
    </w:p>
    <w:p>
      <w:pPr>
        <w:spacing w:line="440" w:lineRule="exact"/>
        <w:ind w:firstLine="480" w:firstLineChars="200"/>
        <w:rPr>
          <w:rFonts w:ascii="宋体" w:hAnsi="宋体" w:cs="宋体"/>
          <w:b/>
          <w:color w:val="000000" w:themeColor="text1"/>
          <w:sz w:val="30"/>
        </w:rPr>
      </w:pPr>
      <w:r>
        <w:rPr>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color w:val="000000" w:themeColor="text1"/>
          <w:sz w:val="30"/>
          <w:szCs w:val="20"/>
        </w:rPr>
      </w:pPr>
      <w:bookmarkStart w:id="201" w:name="_Toc6096"/>
      <w:r>
        <w:rPr>
          <w:rFonts w:hint="eastAsia" w:ascii="宋体" w:hAnsi="宋体" w:cs="宋体"/>
          <w:b/>
          <w:color w:val="000000" w:themeColor="text1"/>
          <w:sz w:val="30"/>
        </w:rPr>
        <w:t>采购合同</w:t>
      </w:r>
      <w:bookmarkEnd w:id="201"/>
    </w:p>
    <w:p>
      <w:pPr>
        <w:spacing w:line="440" w:lineRule="exact"/>
        <w:ind w:firstLine="480" w:firstLineChars="200"/>
        <w:rPr>
          <w:rFonts w:hint="eastAsia" w:ascii="宋体" w:hAnsi="宋体" w:eastAsia="宋体" w:cs="宋体"/>
          <w:bCs/>
          <w:color w:val="000000" w:themeColor="text1"/>
          <w:sz w:val="24"/>
          <w:u w:val="single"/>
          <w:lang w:eastAsia="zh-CN"/>
        </w:rPr>
      </w:pPr>
      <w:r>
        <w:rPr>
          <w:rFonts w:hint="eastAsia" w:ascii="宋体" w:hAnsi="宋体" w:cs="宋体"/>
          <w:bCs/>
          <w:color w:val="000000" w:themeColor="text1"/>
          <w:sz w:val="24"/>
        </w:rPr>
        <w:t>项目名称：</w:t>
      </w:r>
      <w:r>
        <w:rPr>
          <w:rFonts w:hint="eastAsia" w:ascii="宋体" w:hAnsi="宋体" w:cs="宋体"/>
          <w:bCs/>
          <w:color w:val="000000" w:themeColor="text1"/>
          <w:sz w:val="24"/>
          <w:u w:val="single"/>
          <w:lang w:eastAsia="zh-CN"/>
        </w:rPr>
        <w:t>盐城工业职业技术学院智慧工地VR认知软件</w:t>
      </w:r>
    </w:p>
    <w:p>
      <w:pPr>
        <w:pStyle w:val="40"/>
        <w:widowControl w:val="0"/>
        <w:snapToGrid w:val="0"/>
        <w:spacing w:before="0" w:beforeAutospacing="0" w:after="0" w:afterAutospacing="0" w:line="460" w:lineRule="exact"/>
        <w:ind w:firstLine="480" w:firstLineChars="200"/>
        <w:rPr>
          <w:color w:val="000000" w:themeColor="text1"/>
        </w:rPr>
      </w:pPr>
      <w:r>
        <w:rPr>
          <w:rFonts w:hint="eastAsia"/>
          <w:color w:val="000000" w:themeColor="text1"/>
          <w:kern w:val="2"/>
        </w:rPr>
        <w:t>项目编号：</w:t>
      </w:r>
      <w:r>
        <w:rPr>
          <w:rFonts w:hint="eastAsia"/>
          <w:color w:val="000000" w:themeColor="text1"/>
          <w:kern w:val="2"/>
          <w:u w:val="single"/>
        </w:rPr>
        <w:t>2022-0Q</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甲方：（买方）</w:t>
      </w:r>
      <w:r>
        <w:rPr>
          <w:rFonts w:hint="eastAsia"/>
          <w:color w:val="000000" w:themeColor="text1"/>
          <w:kern w:val="2"/>
          <w:u w:val="single"/>
        </w:rPr>
        <w:t>盐城工业职业技术学院</w:t>
      </w:r>
    </w:p>
    <w:p>
      <w:pPr>
        <w:pStyle w:val="40"/>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乙方：（卖方）</w:t>
      </w:r>
    </w:p>
    <w:p>
      <w:pPr>
        <w:spacing w:line="44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甲、乙双方根据</w:t>
      </w:r>
      <w:r>
        <w:rPr>
          <w:rFonts w:hint="eastAsia" w:ascii="宋体" w:hAnsi="宋体" w:cs="宋体"/>
          <w:bCs/>
          <w:color w:val="000000" w:themeColor="text1"/>
          <w:sz w:val="24"/>
        </w:rPr>
        <w:t>智慧工地VR认知软件项目采购</w:t>
      </w:r>
      <w:r>
        <w:rPr>
          <w:rFonts w:hint="eastAsia" w:ascii="宋体" w:hAnsi="宋体" w:cs="宋体"/>
          <w:color w:val="000000" w:themeColor="text1"/>
          <w:sz w:val="24"/>
          <w:szCs w:val="24"/>
        </w:rPr>
        <w:t>公开招标的结果，签署本合同。</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一、项目内容</w:t>
      </w:r>
    </w:p>
    <w:p>
      <w:pPr>
        <w:spacing w:line="440" w:lineRule="exact"/>
        <w:ind w:firstLine="420" w:firstLineChars="200"/>
        <w:rPr>
          <w:color w:val="000000" w:themeColor="text1"/>
        </w:rPr>
      </w:pPr>
      <w:r>
        <w:rPr>
          <w:rFonts w:hint="eastAsia"/>
          <w:color w:val="000000" w:themeColor="text1"/>
        </w:rPr>
        <w:t>1.1 项目名称：</w:t>
      </w:r>
      <w:r>
        <w:rPr>
          <w:rFonts w:hint="eastAsia" w:ascii="宋体" w:hAnsi="宋体" w:cs="宋体"/>
          <w:bCs/>
          <w:color w:val="000000" w:themeColor="text1"/>
          <w:sz w:val="24"/>
          <w:u w:val="single"/>
          <w:lang w:eastAsia="zh-CN"/>
        </w:rPr>
        <w:t>盐城工业职业技术学院智慧工地VR认知软件</w:t>
      </w:r>
      <w:r>
        <w:rPr>
          <w:rFonts w:hint="eastAsia"/>
          <w:color w:val="000000" w:themeColor="text1"/>
          <w:u w:val="single"/>
        </w:rPr>
        <w:t>。</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1.2 型号规格及其他要求：</w:t>
      </w:r>
      <w:r>
        <w:rPr>
          <w:rFonts w:hint="eastAsia"/>
          <w:color w:val="000000" w:themeColor="text1"/>
          <w:kern w:val="2"/>
          <w:u w:val="single"/>
        </w:rPr>
        <w:t>详按项目技术需求</w:t>
      </w:r>
      <w:r>
        <w:rPr>
          <w:rFonts w:hint="eastAsia"/>
          <w:color w:val="000000" w:themeColor="text1"/>
          <w:kern w:val="2"/>
        </w:rPr>
        <w:t>。</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1.3 数量（单位）：</w:t>
      </w:r>
      <w:r>
        <w:rPr>
          <w:rFonts w:hint="eastAsia"/>
          <w:color w:val="000000" w:themeColor="text1"/>
          <w:kern w:val="2"/>
          <w:u w:val="single"/>
        </w:rPr>
        <w:t>详按项目技术需求</w:t>
      </w:r>
      <w:r>
        <w:rPr>
          <w:rFonts w:hint="eastAsia"/>
          <w:color w:val="000000" w:themeColor="text1"/>
          <w:kern w:val="2"/>
        </w:rPr>
        <w:t>。</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二、合同金额</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2.1 本合同金额为（大写）：</w:t>
      </w:r>
      <w:r>
        <w:rPr>
          <w:rFonts w:hint="eastAsia"/>
          <w:color w:val="000000" w:themeColor="text1"/>
          <w:kern w:val="2"/>
          <w:u w:val="single"/>
        </w:rPr>
        <w:t xml:space="preserve">            </w:t>
      </w:r>
      <w:r>
        <w:rPr>
          <w:rFonts w:hint="eastAsia"/>
          <w:color w:val="000000" w:themeColor="text1"/>
          <w:kern w:val="2"/>
        </w:rPr>
        <w:t>（小写）：______元人民币或其他币种。</w:t>
      </w:r>
    </w:p>
    <w:p>
      <w:pPr>
        <w:spacing w:line="360" w:lineRule="auto"/>
        <w:ind w:firstLine="480" w:firstLineChars="200"/>
        <w:rPr>
          <w:rFonts w:ascii="宋体" w:hAnsi="宋体" w:cs="宋体"/>
          <w:color w:val="000000" w:themeColor="text1"/>
        </w:rPr>
      </w:pPr>
      <w:r>
        <w:rPr>
          <w:rFonts w:hint="eastAsia" w:ascii="宋体" w:hAnsi="宋体" w:cs="宋体"/>
          <w:color w:val="000000" w:themeColor="text1"/>
          <w:sz w:val="24"/>
          <w:szCs w:val="24"/>
        </w:rPr>
        <w:t>2.2 本合同金额按实结算。</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三、技术资料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四、知识产权</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szCs w:val="24"/>
        </w:rPr>
        <w:t>4.1乙</w:t>
      </w:r>
      <w:r>
        <w:rPr>
          <w:rFonts w:hint="eastAsia" w:ascii="宋体" w:hAnsi="宋体" w:cs="宋体"/>
          <w:color w:val="000000" w:themeColor="text1"/>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4.2 乙方应积极维护甲方合法权益，除指定撰写代理人，不以任何形式向任何第三方泄露甲方任何技术资料，否则乙方将承担因泄密给甲方造成的损失。</w:t>
      </w:r>
    </w:p>
    <w:p>
      <w:pPr>
        <w:pStyle w:val="40"/>
        <w:widowControl w:val="0"/>
        <w:snapToGrid w:val="0"/>
        <w:spacing w:before="0" w:beforeAutospacing="0" w:after="0" w:afterAutospacing="0" w:line="460" w:lineRule="exact"/>
        <w:ind w:firstLine="482" w:firstLineChars="200"/>
        <w:jc w:val="both"/>
        <w:rPr>
          <w:color w:val="000000" w:themeColor="text1"/>
          <w:u w:val="single"/>
        </w:rPr>
      </w:pPr>
      <w:r>
        <w:rPr>
          <w:rFonts w:hint="eastAsia"/>
          <w:b/>
          <w:color w:val="000000" w:themeColor="text1"/>
          <w:kern w:val="2"/>
        </w:rPr>
        <w:t>五、产权担保</w:t>
      </w:r>
    </w:p>
    <w:p>
      <w:pPr>
        <w:pStyle w:val="40"/>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5.1乙方保证所交付的货物</w:t>
      </w:r>
      <w:r>
        <w:rPr>
          <w:rFonts w:hint="eastAsia"/>
          <w:bCs/>
          <w:color w:val="000000" w:themeColor="text1"/>
          <w:kern w:val="2"/>
          <w:szCs w:val="21"/>
        </w:rPr>
        <w:t>和服务</w:t>
      </w:r>
      <w:r>
        <w:rPr>
          <w:rFonts w:hint="eastAsia"/>
          <w:color w:val="000000" w:themeColor="text1"/>
          <w:kern w:val="2"/>
        </w:rPr>
        <w:t>的所有权完全属于乙方且无任何抵押、查封等产权瑕疵。</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六、履约保证金</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6.1乙方交纳人民币______元作为本合同的履约保证金（合同金额的5%），项目验收合格后无息退还。</w:t>
      </w:r>
    </w:p>
    <w:p>
      <w:pPr>
        <w:snapToGrid w:val="0"/>
        <w:spacing w:line="46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七、转包或分包</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7.1本合同范围的货物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，应由乙方直接供应，不得转让他人供应；</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7.2 除非得到甲方的书面同意，乙方不得部分分包给他人供应。</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7.3如有转让和未经甲方同意的分包行为，甲方有权给予终止合同。</w:t>
      </w:r>
    </w:p>
    <w:p>
      <w:pPr>
        <w:pStyle w:val="4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八、质保期</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8.1 质保期：质保期</w:t>
      </w:r>
      <w:r>
        <w:rPr>
          <w:rFonts w:hint="eastAsia"/>
          <w:color w:val="000000" w:themeColor="text1"/>
          <w:kern w:val="2"/>
          <w:u w:val="single"/>
        </w:rPr>
        <w:t xml:space="preserve">  5  </w:t>
      </w:r>
      <w:r>
        <w:rPr>
          <w:rFonts w:hint="eastAsia"/>
          <w:color w:val="000000" w:themeColor="text1"/>
          <w:kern w:val="2"/>
        </w:rPr>
        <w:t>年（具体以投标时承诺为准）。（自交货验收合格之日起计）质保期五年，质保期内乙方应对软件免费升级，质保期满软件如需升级，升级费用不得超过软件合同价与当期价中较低值的10%。</w:t>
      </w:r>
    </w:p>
    <w:p>
      <w:pPr>
        <w:widowControl/>
        <w:spacing w:line="500" w:lineRule="exact"/>
        <w:ind w:firstLine="480" w:firstLineChars="20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8.3、中标人须设有维修服务电话</w:t>
      </w:r>
      <w:r>
        <w:rPr>
          <w:rFonts w:hint="eastAsia"/>
          <w:color w:val="000000" w:themeColor="text1"/>
        </w:rPr>
        <w:t>，负责解答用户在设备使用中遇到的问题，及时提出解决问题的建议和操作方法。</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8.4、售后服务响应时间：如设备出现故障，电话响应无法解决，中标人必须在接报修电话24 小时到现场并解决问题。</w:t>
      </w:r>
    </w:p>
    <w:p>
      <w:pPr>
        <w:pStyle w:val="4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九、交货期、交货方式及交货地点</w:t>
      </w:r>
    </w:p>
    <w:p>
      <w:pPr>
        <w:pStyle w:val="40"/>
        <w:spacing w:before="0" w:beforeAutospacing="0" w:after="0" w:afterAutospacing="0" w:line="500" w:lineRule="exact"/>
        <w:ind w:firstLine="480" w:firstLineChars="200"/>
        <w:rPr>
          <w:color w:val="000000" w:themeColor="text1"/>
        </w:rPr>
      </w:pPr>
      <w:r>
        <w:rPr>
          <w:rFonts w:hint="eastAsia"/>
          <w:color w:val="000000" w:themeColor="text1"/>
        </w:rPr>
        <w:t>9.1 交货期：</w:t>
      </w:r>
      <w:r>
        <w:rPr>
          <w:rFonts w:ascii="Times New Roman" w:hAnsi="Times New Roman"/>
          <w:bCs/>
          <w:szCs w:val="28"/>
        </w:rPr>
        <w:t>自收到中标通知书90个工作日内交货和安装培训，提交的货物依据招标文件上的技术规格要求和国家有关质量标准进行现场初步验收，外观、说明书符合招标文件技术要求的，给予签收，初步验收不合格的不予签收；交货前供应商应对产品作出全面检查和对验收文件进行整理，并列出清单，作为采购方收货验收和使用的技术条件依据，检验的结果应随货物交给采购单位。</w:t>
      </w:r>
      <w:r>
        <w:rPr>
          <w:rFonts w:hint="eastAsia"/>
          <w:color w:val="000000" w:themeColor="text1"/>
        </w:rPr>
        <w:t>（如甲方需要延时交付，可另行约定时间）</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9.2 交货方式：</w:t>
      </w:r>
      <w:r>
        <w:rPr>
          <w:rFonts w:hint="eastAsia"/>
          <w:color w:val="000000" w:themeColor="text1"/>
          <w:kern w:val="2"/>
          <w:lang w:eastAsia="zh-TW"/>
        </w:rPr>
        <w:t>送货上门、安装与调试</w:t>
      </w:r>
      <w:r>
        <w:rPr>
          <w:rFonts w:hint="eastAsia"/>
          <w:color w:val="000000" w:themeColor="text1"/>
          <w:kern w:val="2"/>
        </w:rPr>
        <w:t>。</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9.3 交货地点：</w:t>
      </w:r>
      <w:r>
        <w:rPr>
          <w:rFonts w:hint="eastAsia"/>
          <w:color w:val="000000" w:themeColor="text1"/>
          <w:kern w:val="2"/>
          <w:lang w:eastAsia="zh-TW"/>
        </w:rPr>
        <w:t>甲方指定地点。</w:t>
      </w:r>
    </w:p>
    <w:p>
      <w:pPr>
        <w:pStyle w:val="4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十、货款支付</w:t>
      </w:r>
    </w:p>
    <w:p>
      <w:pPr>
        <w:pStyle w:val="40"/>
        <w:spacing w:before="0" w:beforeAutospacing="0" w:after="0" w:afterAutospacing="0"/>
        <w:ind w:firstLine="480" w:firstLineChars="200"/>
        <w:rPr>
          <w:color w:val="000000" w:themeColor="text1"/>
          <w:kern w:val="2"/>
        </w:rPr>
      </w:pPr>
      <w:r>
        <w:rPr>
          <w:rFonts w:hint="eastAsia"/>
          <w:color w:val="000000" w:themeColor="text1"/>
          <w:kern w:val="2"/>
        </w:rPr>
        <w:t>10.1</w:t>
      </w:r>
      <w:r>
        <w:rPr>
          <w:rFonts w:hint="eastAsia"/>
          <w:color w:val="000000" w:themeColor="text1"/>
          <w:kern w:val="2"/>
          <w:lang w:eastAsia="zh-TW"/>
        </w:rPr>
        <w:t>招标范围内容全部完成并经安装调试、培训结束，验收合格后付总价的</w:t>
      </w:r>
      <w:r>
        <w:rPr>
          <w:rFonts w:hint="eastAsia"/>
          <w:color w:val="000000" w:themeColor="text1"/>
          <w:kern w:val="2"/>
        </w:rPr>
        <w:t>9</w:t>
      </w:r>
      <w:r>
        <w:rPr>
          <w:rFonts w:hint="eastAsia"/>
          <w:color w:val="000000" w:themeColor="text1"/>
          <w:kern w:val="2"/>
          <w:lang w:eastAsia="zh-TW"/>
        </w:rPr>
        <w:t>0%；余款一年后根据售后服务情况付总价的</w:t>
      </w:r>
      <w:r>
        <w:rPr>
          <w:rFonts w:hint="eastAsia"/>
          <w:color w:val="000000" w:themeColor="text1"/>
          <w:kern w:val="2"/>
        </w:rPr>
        <w:t>5</w:t>
      </w:r>
      <w:r>
        <w:rPr>
          <w:rFonts w:hint="eastAsia"/>
          <w:color w:val="000000" w:themeColor="text1"/>
          <w:kern w:val="2"/>
          <w:lang w:eastAsia="zh-TW"/>
        </w:rPr>
        <w:t>%</w:t>
      </w:r>
      <w:r>
        <w:rPr>
          <w:rFonts w:hint="eastAsia"/>
          <w:color w:val="000000" w:themeColor="text1"/>
          <w:kern w:val="2"/>
        </w:rPr>
        <w:t>； 质保期满后</w:t>
      </w:r>
      <w:r>
        <w:rPr>
          <w:rFonts w:hint="eastAsia"/>
          <w:color w:val="000000" w:themeColor="text1"/>
          <w:kern w:val="2"/>
          <w:lang w:eastAsia="zh-TW"/>
        </w:rPr>
        <w:t>根据售后服务情况付总价的5%。</w:t>
      </w:r>
      <w:r>
        <w:rPr>
          <w:rFonts w:hint="eastAsia"/>
          <w:color w:val="000000" w:themeColor="text1"/>
          <w:kern w:val="2"/>
        </w:rPr>
        <w:t>乙方必须提供增值税专用发票，否则甲方有权不付款。</w:t>
      </w:r>
    </w:p>
    <w:p>
      <w:pPr>
        <w:snapToGrid w:val="0"/>
        <w:spacing w:line="460" w:lineRule="exact"/>
        <w:ind w:firstLine="480" w:firstLineChars="200"/>
        <w:rPr>
          <w:rFonts w:ascii="宋体" w:hAnsi="宋体" w:cs="宋体"/>
          <w:b/>
          <w:bCs/>
          <w:color w:val="000000" w:themeColor="text1"/>
          <w:sz w:val="24"/>
          <w:szCs w:val="24"/>
        </w:rPr>
      </w:pPr>
      <w:r>
        <w:rPr>
          <w:rFonts w:hint="eastAsia" w:ascii="宋体" w:hAnsi="宋体" w:cs="宋体"/>
          <w:color w:val="000000" w:themeColor="text1"/>
          <w:sz w:val="24"/>
          <w:szCs w:val="24"/>
        </w:rPr>
        <w:t>10.2当采购数量与实际使用数量不一致时，乙方应根据实际使用量供货，合同的最终结算金额按实际使用量乘以成交单价进行计算。</w:t>
      </w:r>
    </w:p>
    <w:p>
      <w:pPr>
        <w:snapToGrid w:val="0"/>
        <w:spacing w:line="460" w:lineRule="exact"/>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十一、税费</w:t>
      </w:r>
    </w:p>
    <w:p>
      <w:pPr>
        <w:snapToGrid w:val="0"/>
        <w:spacing w:line="460"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11.1本合同执行中相关的一切税费均由乙方负担。</w:t>
      </w:r>
    </w:p>
    <w:p>
      <w:pPr>
        <w:numPr>
          <w:ilvl w:val="0"/>
          <w:numId w:val="5"/>
        </w:numPr>
        <w:snapToGrid w:val="0"/>
        <w:spacing w:line="460" w:lineRule="exact"/>
        <w:ind w:firstLine="422" w:firstLineChars="200"/>
        <w:rPr>
          <w:rFonts w:hint="eastAsia"/>
          <w:b/>
          <w:color w:val="000000" w:themeColor="text1"/>
          <w:kern w:val="2"/>
        </w:rPr>
      </w:pPr>
      <w:r>
        <w:rPr>
          <w:rFonts w:hint="eastAsia"/>
          <w:b/>
          <w:color w:val="000000" w:themeColor="text1"/>
          <w:kern w:val="2"/>
        </w:rPr>
        <w:t>质量保证及售后服务</w:t>
      </w:r>
    </w:p>
    <w:p>
      <w:pPr>
        <w:numPr>
          <w:ilvl w:val="0"/>
          <w:numId w:val="0"/>
        </w:numPr>
        <w:snapToGrid w:val="0"/>
        <w:spacing w:line="46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12.1 乙方应按招标文件规定的货物性能、技术要求、质量标准向甲方</w:t>
      </w:r>
      <w:r>
        <w:rPr>
          <w:rFonts w:hint="eastAsia" w:ascii="宋体" w:hAnsi="宋体" w:cs="宋体"/>
          <w:bCs/>
          <w:color w:val="000000" w:themeColor="text1"/>
          <w:sz w:val="24"/>
          <w:szCs w:val="24"/>
        </w:rPr>
        <w:t>提供的货物（含配件）应是全新的、未使用过的原装合格正品，开箱后，如</w:t>
      </w:r>
      <w:r>
        <w:rPr>
          <w:rFonts w:hint="eastAsia" w:ascii="宋体" w:hAnsi="宋体" w:cs="宋体"/>
          <w:color w:val="000000" w:themeColor="text1"/>
          <w:sz w:val="24"/>
          <w:szCs w:val="24"/>
        </w:rPr>
        <w:t>甲方</w:t>
      </w:r>
      <w:r>
        <w:rPr>
          <w:rFonts w:hint="eastAsia" w:ascii="宋体" w:hAnsi="宋体" w:cs="宋体"/>
          <w:bCs/>
          <w:color w:val="000000" w:themeColor="text1"/>
          <w:sz w:val="24"/>
          <w:szCs w:val="24"/>
        </w:rPr>
        <w:t>发现有任何问题（如外观有损伤），</w:t>
      </w:r>
      <w:r>
        <w:rPr>
          <w:rFonts w:hint="eastAsia" w:ascii="宋体" w:hAnsi="宋体" w:cs="宋体"/>
          <w:color w:val="000000" w:themeColor="text1"/>
          <w:sz w:val="24"/>
          <w:szCs w:val="24"/>
        </w:rPr>
        <w:t>乙方</w:t>
      </w:r>
      <w:r>
        <w:rPr>
          <w:rFonts w:hint="eastAsia" w:ascii="宋体" w:hAnsi="宋体" w:cs="宋体"/>
          <w:bCs/>
          <w:color w:val="000000" w:themeColor="text1"/>
          <w:sz w:val="24"/>
          <w:szCs w:val="24"/>
        </w:rPr>
        <w:t>必须立即以同样型号的货物在</w:t>
      </w:r>
      <w:r>
        <w:rPr>
          <w:rFonts w:hint="eastAsia" w:ascii="宋体" w:hAnsi="宋体" w:cs="宋体"/>
          <w:color w:val="000000" w:themeColor="text1"/>
          <w:sz w:val="24"/>
          <w:szCs w:val="24"/>
        </w:rPr>
        <w:t>甲方</w:t>
      </w:r>
      <w:r>
        <w:rPr>
          <w:rFonts w:hint="eastAsia" w:ascii="宋体" w:hAnsi="宋体" w:cs="宋体"/>
          <w:bCs/>
          <w:color w:val="000000" w:themeColor="text1"/>
          <w:sz w:val="24"/>
          <w:szCs w:val="24"/>
        </w:rPr>
        <w:t>商定的时间内更换，确保其使用。供货时提供以下材料，包括：产品合格证书、技术说明书、使用说明书、用户手册（中文）、配置清单、保修单及合同中要求的其他文件资料。</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12.2所有设备、附（配）件应具备该类产品的功能要求，无瑕疵和缺陷，质量为合格产品，同时有明确的生产厂商或制造厂商；</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12.3在质保期内，乙方应对货物和服务出现的质量及安全问题负责处理解决并承担一切费用，提供7*24小时免费上门维修服务，并在接到甲方通知后在60分钟内响应，第二自然日到达现场提供免费上门维修服务。质保期后提供维修维护服务。</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12.4乙方提供的货物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⑴更换：由乙方承担所发生的全部费用。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⑵贬值处理：由甲乙双方合议定价。</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⑶退货处理：乙方应退还甲方支付的合同款，同时应承担该货物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的直接费用（运输、保险、检验、货款利息及银行手续费等）。</w:t>
      </w:r>
    </w:p>
    <w:p>
      <w:pPr>
        <w:autoSpaceDE w:val="0"/>
        <w:autoSpaceDN w:val="0"/>
        <w:adjustRightInd w:val="0"/>
        <w:snapToGrid w:val="0"/>
        <w:spacing w:line="360" w:lineRule="auto"/>
        <w:ind w:firstLine="480" w:firstLineChars="200"/>
        <w:jc w:val="left"/>
        <w:rPr>
          <w:rFonts w:ascii="宋体" w:hAnsi="宋体" w:cs="宋体"/>
          <w:bCs/>
          <w:color w:val="000000" w:themeColor="text1"/>
          <w:sz w:val="24"/>
          <w:szCs w:val="24"/>
        </w:rPr>
      </w:pPr>
      <w:r>
        <w:rPr>
          <w:rFonts w:hint="eastAsia" w:ascii="宋体" w:hAnsi="宋体" w:cs="宋体"/>
          <w:bCs/>
          <w:color w:val="000000" w:themeColor="text1"/>
          <w:sz w:val="24"/>
          <w:szCs w:val="24"/>
        </w:rPr>
        <w:t>12.5在质保期内，乙方应对货物和服务出现的质量及安全问题负责处理解决并承担一切费用，提供24小时免费上门维修服务，并在接到甲方通知后在24小时内到达现场，并解决故障。质保期内产生的维护费用由乙方承担。</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12.6乙方须向甲方免费提供培训服务，确保使用者完全会使用及操作为止。</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12.7上述的货物免费保修期，因人为因素出现的故障不在免费保修范围内。超过保修期的机器设备，终生维修，维修时只收部件成本费。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b/>
          <w:color w:val="000000" w:themeColor="text1"/>
        </w:rPr>
      </w:pPr>
      <w:r>
        <w:rPr>
          <w:rFonts w:hint="eastAsia" w:ascii="宋体" w:hAnsi="宋体" w:cs="宋体"/>
          <w:color w:val="000000" w:themeColor="text1"/>
          <w:sz w:val="24"/>
          <w:szCs w:val="24"/>
        </w:rPr>
        <w:t>12.8乙方提供的产品必须是满足招标方要求的全新现货。产品质量稳定且符合国家和有关部门质量检测标准及相关要求。如果投标货物实行生产许可证制度，应有生产许可证。</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十三、安装、调试和验收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甲方对乙方提交的货物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13.3 甲方对乙方提供的货物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13.4 对技术复杂的货物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，甲方可请国家认可的专业检测机构参与初步验收及最终验收，并由其出具质量检测报告。</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13.5 验收时乙方必须在现场，验收完毕后作出验收结果报告；验收费用由甲乙双方协商解决。</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 招标方对投标方提交的设备和招标文件上的技术规格要求和国家有关质量标准进行现场初步验收，设备种类数量、调试结果符合招标文件技术要求的，给予签收，初步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w:t>
      </w:r>
    </w:p>
    <w:p>
      <w:pPr>
        <w:adjustRightInd w:val="0"/>
        <w:snapToGrid w:val="0"/>
        <w:spacing w:line="360" w:lineRule="auto"/>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十四、货物包装、发运及运输</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14.2 使用说明书、质量检验证明书、随配附件和工具以及清单一并附于货物内。</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14.4 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在交付甲方前发生的风险均由乙方负责。</w:t>
      </w:r>
    </w:p>
    <w:p>
      <w:pPr>
        <w:adjustRightInd w:val="0"/>
        <w:snapToGrid w:val="0"/>
        <w:spacing w:line="360" w:lineRule="auto"/>
        <w:ind w:firstLine="480" w:firstLineChars="200"/>
        <w:rPr>
          <w:b/>
          <w:color w:val="000000" w:themeColor="text1"/>
          <w:kern w:val="2"/>
        </w:rPr>
      </w:pPr>
      <w:r>
        <w:rPr>
          <w:rFonts w:hint="eastAsia" w:ascii="宋体" w:hAnsi="宋体" w:cs="宋体"/>
          <w:color w:val="000000" w:themeColor="text1"/>
          <w:sz w:val="24"/>
          <w:szCs w:val="24"/>
        </w:rPr>
        <w:t>14.5 货物在规定的交付期限内由乙方送达甲方指定的地点视为交付，乙方同时需通知甲方货物已送达。</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十五、违约责任</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 甲方无正当理由拒收货物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15.3 乙方逾期交付货物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15.4 乙方所交的货物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品种、型号、规格、技术参数、质量不符合合同规定及招标文件规定标准的，甲方有权拒收该货物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，乙方愿意更换货物但逾期交货的，按乙方逾期交货处理。乙方拒绝更换货物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的，甲方可单方面解除合同。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十六、不可抗力事件处理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16.3 不可抗力事件延续120天以上，双方应通过友好协商，确定是否继续履行合同。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十七、诉讼</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17.1 双方在执行合同中所发生的一切争议，应通过协商解决。如协商不成，可向合同签订地法院起诉，合同签订地在此约定为盐城市。</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十八、合同生效及其它</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18.2本合同未尽事宜，遵照《中华人民共和国民法典》有关条文执行。</w:t>
      </w:r>
    </w:p>
    <w:p>
      <w:pPr>
        <w:adjustRightInd w:val="0"/>
        <w:snapToGrid w:val="0"/>
        <w:spacing w:line="360" w:lineRule="auto"/>
        <w:ind w:firstLine="480" w:firstLineChars="200"/>
        <w:rPr>
          <w:color w:val="000000" w:themeColor="text1"/>
        </w:rPr>
      </w:pPr>
      <w:r>
        <w:rPr>
          <w:rFonts w:hint="eastAsia" w:ascii="宋体" w:hAnsi="宋体" w:cs="宋体"/>
          <w:color w:val="000000" w:themeColor="text1"/>
          <w:sz w:val="24"/>
          <w:szCs w:val="24"/>
        </w:rPr>
        <w:t>18.3 本合同正本一式二份，副本一式六份，具有同等法律效力。</w:t>
      </w:r>
    </w:p>
    <w:p>
      <w:pPr>
        <w:pStyle w:val="40"/>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 xml:space="preserve">甲方：                                   乙方： </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地址：                                   地址： </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法定代表人或授权代表：                   法定代表人或授权代表：</w:t>
      </w:r>
    </w:p>
    <w:p>
      <w:pPr>
        <w:pStyle w:val="40"/>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采购单位负责人：</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联系电话：                               联系电话：</w:t>
      </w:r>
    </w:p>
    <w:p>
      <w:pPr>
        <w:spacing w:line="460" w:lineRule="exact"/>
        <w:rPr>
          <w:rFonts w:ascii="宋体" w:hAnsi="宋体" w:cs="宋体"/>
          <w:b/>
          <w:color w:val="000000" w:themeColor="text1"/>
          <w:sz w:val="44"/>
        </w:rPr>
        <w:sectPr>
          <w:footerReference r:id="rId7" w:type="default"/>
          <w:pgSz w:w="11906" w:h="16838"/>
          <w:pgMar w:top="1418" w:right="1417" w:bottom="1418" w:left="1417" w:header="851" w:footer="907" w:gutter="0"/>
          <w:pgNumType w:fmt="decimal" w:start="1"/>
          <w:cols w:space="720" w:num="1"/>
          <w:docGrid w:type="lines" w:linePitch="290" w:charSpace="0"/>
        </w:sectPr>
      </w:pPr>
      <w:r>
        <w:rPr>
          <w:rFonts w:hint="eastAsia" w:ascii="宋体" w:hAnsi="宋体" w:cs="宋体"/>
          <w:color w:val="000000" w:themeColor="text1"/>
          <w:sz w:val="24"/>
          <w:szCs w:val="24"/>
        </w:rPr>
        <w:t xml:space="preserve">      签订日期：      年  月  日</w:t>
      </w:r>
    </w:p>
    <w:p>
      <w:pPr>
        <w:pStyle w:val="24"/>
        <w:snapToGrid w:val="0"/>
        <w:spacing w:before="120" w:after="120"/>
        <w:rPr>
          <w:rFonts w:hAnsi="宋体" w:cs="宋体"/>
          <w:color w:val="000000" w:themeColor="text1"/>
          <w:sz w:val="24"/>
          <w:szCs w:val="24"/>
        </w:rPr>
      </w:pPr>
    </w:p>
    <w:p>
      <w:pPr>
        <w:pStyle w:val="3"/>
        <w:numPr>
          <w:ilvl w:val="0"/>
          <w:numId w:val="6"/>
        </w:numPr>
        <w:ind w:firstLine="2871" w:firstLineChars="650"/>
        <w:jc w:val="both"/>
        <w:rPr>
          <w:rFonts w:ascii="宋体" w:hAnsi="宋体" w:eastAsia="宋体" w:cs="宋体"/>
          <w:b/>
          <w:color w:val="000000" w:themeColor="text1"/>
          <w:sz w:val="44"/>
        </w:rPr>
      </w:pPr>
      <w:bookmarkStart w:id="202" w:name="_Toc16938590"/>
      <w:bookmarkStart w:id="203" w:name="_Toc20823346"/>
      <w:bookmarkStart w:id="204" w:name="_Toc574"/>
      <w:bookmarkStart w:id="205" w:name="_Toc120614244"/>
      <w:bookmarkStart w:id="206" w:name="_Toc462564139"/>
      <w:bookmarkStart w:id="207" w:name="_Toc479757211"/>
      <w:r>
        <w:rPr>
          <w:rFonts w:hint="eastAsia" w:ascii="宋体" w:hAnsi="宋体" w:eastAsia="宋体" w:cs="宋体"/>
          <w:b/>
          <w:color w:val="000000" w:themeColor="text1"/>
          <w:sz w:val="44"/>
        </w:rPr>
        <w:t>项目技术需求</w:t>
      </w:r>
      <w:bookmarkEnd w:id="202"/>
      <w:bookmarkEnd w:id="203"/>
      <w:bookmarkEnd w:id="204"/>
      <w:bookmarkEnd w:id="205"/>
    </w:p>
    <w:p>
      <w:pPr>
        <w:numPr>
          <w:ilvl w:val="0"/>
          <w:numId w:val="7"/>
        </w:numPr>
        <w:spacing w:line="440" w:lineRule="exact"/>
        <w:ind w:firstLine="482" w:firstLineChars="200"/>
        <w:rPr>
          <w:rFonts w:ascii="宋体" w:hAnsi="宋体" w:cs="宋体"/>
          <w:b/>
          <w:bCs/>
          <w:color w:val="000000" w:themeColor="text1"/>
          <w:sz w:val="24"/>
          <w:szCs w:val="24"/>
        </w:rPr>
      </w:pPr>
      <w:bookmarkStart w:id="208" w:name="_Toc26554093"/>
      <w:bookmarkStart w:id="209" w:name="_Toc49090575"/>
      <w:bookmarkStart w:id="210" w:name="_Toc120614281"/>
      <w:r>
        <w:rPr>
          <w:rFonts w:hint="eastAsia" w:ascii="宋体" w:hAnsi="宋体" w:cs="宋体"/>
          <w:b/>
          <w:bCs/>
          <w:color w:val="000000" w:themeColor="text1"/>
          <w:sz w:val="24"/>
          <w:szCs w:val="24"/>
        </w:rPr>
        <w:t>项目具体技术要求</w:t>
      </w:r>
    </w:p>
    <w:tbl>
      <w:tblPr>
        <w:tblStyle w:val="4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3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right="210"/>
              <w:jc w:val="center"/>
              <w:rPr>
                <w:rFonts w:ascii="仿宋" w:hAnsi="仿宋" w:eastAsia="仿宋" w:cs="宋体"/>
                <w:b/>
                <w:color w:val="000000"/>
              </w:rPr>
            </w:pPr>
            <w:r>
              <w:rPr>
                <w:rFonts w:hint="eastAsia" w:ascii="仿宋" w:hAnsi="仿宋" w:eastAsia="仿宋" w:cs="宋体"/>
                <w:b/>
                <w:color w:val="000000"/>
              </w:rPr>
              <w:t>设备名称</w:t>
            </w:r>
          </w:p>
        </w:tc>
        <w:tc>
          <w:tcPr>
            <w:tcW w:w="7371" w:type="dxa"/>
            <w:vAlign w:val="center"/>
          </w:tcPr>
          <w:p>
            <w:pPr>
              <w:ind w:right="210"/>
              <w:jc w:val="center"/>
              <w:rPr>
                <w:rFonts w:ascii="仿宋" w:hAnsi="仿宋" w:eastAsia="仿宋" w:cs="宋体"/>
                <w:b/>
                <w:color w:val="000000"/>
              </w:rPr>
            </w:pPr>
            <w:r>
              <w:rPr>
                <w:rFonts w:hint="eastAsia" w:ascii="仿宋" w:hAnsi="仿宋" w:eastAsia="仿宋" w:cs="宋体"/>
                <w:b/>
                <w:color w:val="000000"/>
              </w:rPr>
              <w:t>技术要求</w:t>
            </w:r>
          </w:p>
        </w:tc>
        <w:tc>
          <w:tcPr>
            <w:tcW w:w="850" w:type="dxa"/>
            <w:vAlign w:val="center"/>
          </w:tcPr>
          <w:p>
            <w:pPr>
              <w:ind w:right="210"/>
              <w:jc w:val="center"/>
              <w:rPr>
                <w:rFonts w:ascii="仿宋" w:hAnsi="仿宋" w:eastAsia="仿宋" w:cs="宋体"/>
                <w:b/>
                <w:color w:val="000000"/>
              </w:rPr>
            </w:pPr>
            <w:r>
              <w:rPr>
                <w:rFonts w:hint="eastAsia" w:ascii="仿宋" w:hAnsi="仿宋" w:eastAsia="仿宋" w:cs="宋体"/>
                <w:b/>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right="210"/>
              <w:jc w:val="center"/>
              <w:rPr>
                <w:rFonts w:cs="宋体" w:asciiTheme="minorEastAsia" w:hAnsiTheme="minorEastAsia"/>
                <w:bCs/>
                <w:color w:val="000000"/>
              </w:rPr>
            </w:pPr>
            <w:r>
              <w:rPr>
                <w:rFonts w:hint="eastAsia" w:cs="宋体" w:asciiTheme="minorEastAsia" w:hAnsiTheme="minorEastAsia"/>
                <w:bCs/>
                <w:color w:val="000000"/>
              </w:rPr>
              <w:t>智慧工地VR认知软件</w:t>
            </w:r>
          </w:p>
        </w:tc>
        <w:tc>
          <w:tcPr>
            <w:tcW w:w="7371" w:type="dxa"/>
          </w:tcPr>
          <w:p>
            <w:pPr>
              <w:ind w:right="210"/>
              <w:jc w:val="left"/>
              <w:rPr>
                <w:rFonts w:cs="宋体" w:asciiTheme="minorEastAsia" w:hAnsiTheme="minorEastAsia"/>
                <w:bCs/>
                <w:color w:val="000000"/>
              </w:rPr>
            </w:pPr>
            <w:r>
              <w:rPr>
                <w:rFonts w:hint="eastAsia" w:cs="宋体" w:asciiTheme="minorEastAsia" w:hAnsiTheme="minorEastAsia"/>
                <w:bCs/>
                <w:color w:val="000000"/>
              </w:rPr>
              <w:t>1、软件支持用户本地端通过VR设备进行沉浸式学习，整个学习场景和环境逼真模拟一个相对标准化的智慧工地。</w:t>
            </w:r>
          </w:p>
          <w:p>
            <w:pPr>
              <w:ind w:right="210"/>
              <w:jc w:val="left"/>
              <w:rPr>
                <w:rFonts w:cs="宋体" w:asciiTheme="minorEastAsia" w:hAnsiTheme="minorEastAsia"/>
                <w:bCs/>
                <w:color w:val="000000"/>
              </w:rPr>
            </w:pPr>
            <w:r>
              <w:rPr>
                <w:rFonts w:hint="eastAsia" w:cs="宋体" w:asciiTheme="minorEastAsia" w:hAnsiTheme="minorEastAsia"/>
                <w:bCs/>
                <w:color w:val="000000"/>
              </w:rPr>
              <w:t xml:space="preserve">2、可以通过手柄在虚拟的智慧工地场景中自由漫游，自主选取知识点，进行交互学习，学习智慧工地中智能设施设备的相关重点内容，从而达到不出校门即可认知智慧工地的目的。  </w:t>
            </w:r>
          </w:p>
          <w:p>
            <w:pPr>
              <w:ind w:right="210"/>
              <w:jc w:val="left"/>
              <w:rPr>
                <w:rFonts w:cs="宋体" w:asciiTheme="minorEastAsia" w:hAnsiTheme="minorEastAsia"/>
                <w:bCs/>
                <w:color w:val="000000"/>
              </w:rPr>
            </w:pPr>
            <w:r>
              <w:rPr>
                <w:rFonts w:hint="eastAsia" w:cs="宋体" w:asciiTheme="minorEastAsia" w:hAnsiTheme="minorEastAsia"/>
                <w:bCs/>
                <w:color w:val="000000"/>
              </w:rPr>
              <w:t xml:space="preserve">3、软件须配有人性化的语音引导提示，针对知识点配备文字、语音、考题，便于进行智慧工地设施的沉浸式认知学习。                 </w:t>
            </w:r>
          </w:p>
          <w:p>
            <w:pPr>
              <w:ind w:right="210"/>
              <w:jc w:val="left"/>
              <w:rPr>
                <w:rFonts w:cs="宋体" w:asciiTheme="minorEastAsia" w:hAnsiTheme="minorEastAsia"/>
                <w:bCs/>
                <w:color w:val="000000"/>
              </w:rPr>
            </w:pPr>
            <w:r>
              <w:rPr>
                <w:rFonts w:hint="eastAsia" w:cs="宋体" w:asciiTheme="minorEastAsia" w:hAnsiTheme="minorEastAsia"/>
                <w:bCs/>
                <w:color w:val="000000"/>
              </w:rPr>
              <w:t>4、系统知识点须涵盖进场及临建阶段、土方及基础阶段、主体结构阶段、装饰装修阶段、综合调试及验收阶段五大施工建造阶段，用户可通过各建造阶段场景和业务的还原了解到施工现场和建筑行业的现状。要求知识点数量不少于30个。</w:t>
            </w:r>
          </w:p>
          <w:p>
            <w:pPr>
              <w:ind w:right="210"/>
              <w:jc w:val="left"/>
              <w:rPr>
                <w:rFonts w:cs="宋体" w:asciiTheme="minorEastAsia" w:hAnsiTheme="minorEastAsia"/>
                <w:bCs/>
                <w:color w:val="000000"/>
              </w:rPr>
            </w:pPr>
            <w:r>
              <w:rPr>
                <w:rFonts w:hint="eastAsia" w:cs="宋体" w:asciiTheme="minorEastAsia" w:hAnsiTheme="minorEastAsia"/>
                <w:bCs/>
                <w:color w:val="000000"/>
              </w:rPr>
              <w:t xml:space="preserve">5、软件须至少包括任务学习和自主学习两种学习模式，其中任务学习模式下，用户依据系统设定的工作流程完成智慧工地改造任务；自主学习模式下，可通过列表快速定位到相关知识点，触发学习任务。在每个任务完成后，可进行相对应的问题考核，通过答题的方式检验学生的学习成果，加强学习的效果。 </w:t>
            </w:r>
          </w:p>
          <w:p>
            <w:pPr>
              <w:ind w:right="210"/>
              <w:jc w:val="left"/>
              <w:rPr>
                <w:rFonts w:cs="宋体" w:asciiTheme="minorEastAsia" w:hAnsiTheme="minorEastAsia"/>
                <w:bCs/>
                <w:color w:val="000000"/>
              </w:rPr>
            </w:pPr>
            <w:r>
              <w:rPr>
                <w:rFonts w:hint="eastAsia" w:cs="宋体" w:asciiTheme="minorEastAsia" w:hAnsiTheme="minorEastAsia"/>
                <w:bCs/>
                <w:color w:val="000000"/>
              </w:rPr>
              <w:t xml:space="preserve">6、软件实训模块须包括标准智慧工地改造和智慧工地审核两个方面，实训模块内容与学习模式下所学内容相互呼应，学生可采用第一人称漫游的方式进行智慧工地场景的实训考核。 </w:t>
            </w:r>
          </w:p>
          <w:p>
            <w:pPr>
              <w:ind w:right="210"/>
              <w:jc w:val="left"/>
              <w:rPr>
                <w:rFonts w:cs="宋体" w:asciiTheme="minorEastAsia" w:hAnsiTheme="minorEastAsia"/>
                <w:bCs/>
                <w:color w:val="000000"/>
              </w:rPr>
            </w:pPr>
            <w:r>
              <w:rPr>
                <w:rFonts w:hint="eastAsia" w:cs="宋体" w:asciiTheme="minorEastAsia" w:hAnsiTheme="minorEastAsia"/>
                <w:bCs/>
                <w:color w:val="000000"/>
              </w:rPr>
              <w:t>7、系统须配套智慧工地资源管理平台：</w:t>
            </w:r>
          </w:p>
          <w:p>
            <w:pPr>
              <w:ind w:right="210"/>
              <w:jc w:val="left"/>
              <w:rPr>
                <w:rFonts w:cs="宋体" w:asciiTheme="minorEastAsia" w:hAnsiTheme="minorEastAsia"/>
                <w:bCs/>
                <w:color w:val="000000"/>
              </w:rPr>
            </w:pPr>
            <w:r>
              <w:rPr>
                <w:rFonts w:hint="eastAsia" w:cs="宋体" w:asciiTheme="minorEastAsia" w:hAnsiTheme="minorEastAsia"/>
                <w:bCs/>
                <w:color w:val="000000"/>
              </w:rPr>
              <w:t xml:space="preserve">（1）用户可以在平台网页门户输入账户和密码启用平台资源，用户角色包含教师与学生两类角色，教师负责学生的账号授权； </w:t>
            </w:r>
          </w:p>
          <w:p>
            <w:pPr>
              <w:ind w:right="210"/>
              <w:jc w:val="left"/>
              <w:rPr>
                <w:rFonts w:cs="宋体" w:asciiTheme="minorEastAsia" w:hAnsiTheme="minorEastAsia"/>
                <w:bCs/>
                <w:color w:val="000000"/>
              </w:rPr>
            </w:pPr>
            <w:r>
              <w:rPr>
                <w:rFonts w:hint="eastAsia" w:cs="宋体" w:asciiTheme="minorEastAsia" w:hAnsiTheme="minorEastAsia"/>
                <w:bCs/>
                <w:color w:val="000000"/>
              </w:rPr>
              <w:t xml:space="preserve">（2）平台须具备不少于5种类型资源，可包含且不局限于视频微课、3D模型、4D微课、Word文档、仿真实训等，并支持在线查看；资源内容涉及进场及临建阶段、土方及基础阶段、主体结构阶段、装饰装修阶段等方面； </w:t>
            </w:r>
          </w:p>
          <w:p>
            <w:pPr>
              <w:ind w:right="210"/>
              <w:jc w:val="left"/>
              <w:rPr>
                <w:rFonts w:cs="宋体" w:asciiTheme="minorEastAsia" w:hAnsiTheme="minorEastAsia"/>
                <w:bCs/>
                <w:color w:val="000000"/>
              </w:rPr>
            </w:pPr>
            <w:r>
              <w:rPr>
                <w:rFonts w:hint="eastAsia" w:cs="宋体" w:asciiTheme="minorEastAsia" w:hAnsiTheme="minorEastAsia"/>
                <w:bCs/>
                <w:color w:val="000000"/>
              </w:rPr>
              <w:t>（3）平台须包含资源管理模块，用户可自主上传教学资源，资源类型包含且不局限于文档、PPT、视频微课、BIM模型等，支持用户在平台内实时预览查看，并自主选择公开与非公开；</w:t>
            </w:r>
          </w:p>
          <w:p>
            <w:pPr>
              <w:ind w:right="210"/>
              <w:jc w:val="left"/>
              <w:rPr>
                <w:rFonts w:cs="宋体" w:asciiTheme="minorEastAsia" w:hAnsiTheme="minorEastAsia"/>
                <w:bCs/>
                <w:color w:val="000000"/>
              </w:rPr>
            </w:pPr>
            <w:r>
              <w:rPr>
                <w:rFonts w:hint="eastAsia" w:cs="宋体" w:asciiTheme="minorEastAsia" w:hAnsiTheme="minorEastAsia"/>
                <w:bCs/>
                <w:color w:val="000000"/>
              </w:rPr>
              <w:t>（4）平台须支持在PPT中直接打开智慧工地资源库中的仿真资源，可在PPT内对3D模型进行旋转、剖切、放大缩小等操作，实现立体教学，立体化备课、授课。</w:t>
            </w:r>
          </w:p>
          <w:p>
            <w:pPr>
              <w:ind w:right="210"/>
              <w:jc w:val="left"/>
              <w:rPr>
                <w:rFonts w:cs="宋体" w:asciiTheme="minorEastAsia" w:hAnsiTheme="minorEastAsia"/>
                <w:bCs/>
                <w:color w:val="000000"/>
              </w:rPr>
            </w:pPr>
          </w:p>
        </w:tc>
        <w:tc>
          <w:tcPr>
            <w:tcW w:w="850" w:type="dxa"/>
            <w:vAlign w:val="center"/>
          </w:tcPr>
          <w:p>
            <w:pPr>
              <w:ind w:right="210"/>
              <w:jc w:val="center"/>
              <w:rPr>
                <w:rFonts w:cs="宋体" w:asciiTheme="minorEastAsia" w:hAnsiTheme="minorEastAsia"/>
                <w:bCs/>
                <w:color w:val="000000"/>
              </w:rPr>
            </w:pPr>
            <w:r>
              <w:rPr>
                <w:rFonts w:cs="宋体" w:asciiTheme="minorEastAsia" w:hAnsiTheme="minorEastAsia"/>
                <w:bCs/>
                <w:color w:val="000000"/>
              </w:rPr>
              <w:t>3</w:t>
            </w:r>
            <w:r>
              <w:rPr>
                <w:rFonts w:hint="eastAsia" w:cs="宋体" w:asciiTheme="minorEastAsia" w:hAnsiTheme="minorEastAsia"/>
                <w:bCs/>
                <w:color w:val="000000"/>
              </w:rPr>
              <w:t>节点+</w:t>
            </w:r>
            <w:r>
              <w:rPr>
                <w:rFonts w:cs="宋体" w:asciiTheme="minorEastAsia" w:hAnsiTheme="minorEastAsia"/>
                <w:bCs/>
                <w:color w:val="000000"/>
              </w:rPr>
              <w:t>1</w:t>
            </w:r>
            <w:r>
              <w:rPr>
                <w:rFonts w:hint="eastAsia" w:cs="宋体" w:asciiTheme="minorEastAsia" w:hAnsiTheme="minorEastAsia"/>
                <w:bCs/>
                <w:color w:val="000000"/>
              </w:rPr>
              <w:t>套资源管理平台</w:t>
            </w:r>
          </w:p>
        </w:tc>
      </w:tr>
    </w:tbl>
    <w:p>
      <w:pPr>
        <w:spacing w:line="400" w:lineRule="exact"/>
        <w:jc w:val="left"/>
        <w:rPr>
          <w:rFonts w:ascii="宋体" w:hAnsi="宋体" w:cs="宋体"/>
          <w:b/>
          <w:color w:val="000000" w:themeColor="text1"/>
          <w:szCs w:val="24"/>
        </w:rPr>
      </w:pPr>
    </w:p>
    <w:p>
      <w:pPr>
        <w:spacing w:line="400" w:lineRule="exact"/>
        <w:jc w:val="left"/>
        <w:rPr>
          <w:rFonts w:ascii="宋体" w:hAnsi="宋体" w:cs="宋体"/>
          <w:b/>
          <w:color w:val="000000" w:themeColor="text1"/>
          <w:szCs w:val="24"/>
        </w:rPr>
      </w:pPr>
      <w:r>
        <w:rPr>
          <w:rFonts w:hint="eastAsia" w:ascii="宋体" w:hAnsi="宋体" w:cs="宋体"/>
          <w:b/>
          <w:color w:val="000000" w:themeColor="text1"/>
          <w:szCs w:val="24"/>
        </w:rPr>
        <w:t>备注：</w:t>
      </w:r>
    </w:p>
    <w:p>
      <w:pPr>
        <w:spacing w:line="360" w:lineRule="auto"/>
        <w:ind w:firstLine="210" w:firstLineChars="100"/>
        <w:rPr>
          <w:rFonts w:ascii="宋体" w:hAnsi="宋体" w:cs="宋体"/>
          <w:color w:val="000000" w:themeColor="text1"/>
        </w:rPr>
      </w:pPr>
      <w:r>
        <w:rPr>
          <w:rFonts w:hint="eastAsia" w:ascii="宋体" w:hAnsi="宋体" w:cs="宋体"/>
          <w:color w:val="000000" w:themeColor="text1"/>
        </w:rPr>
        <w:t>1、投标费用包括乙方安装、调试、培训、质保期服务、各项税费、交通费、管理费及合同实施过程中不可预见费用等。</w:t>
      </w:r>
    </w:p>
    <w:p>
      <w:pPr>
        <w:spacing w:line="360" w:lineRule="auto"/>
        <w:ind w:firstLine="210" w:firstLineChars="100"/>
        <w:rPr>
          <w:rFonts w:ascii="宋体" w:hAnsi="宋体" w:cs="宋体"/>
          <w:color w:val="000000" w:themeColor="text1"/>
        </w:rPr>
      </w:pPr>
      <w:r>
        <w:rPr>
          <w:rFonts w:hint="eastAsia" w:ascii="宋体" w:hAnsi="宋体" w:cs="宋体"/>
          <w:color w:val="000000" w:themeColor="text1"/>
        </w:rPr>
        <w:t>2、货物名称内容必须与投标文件中货物名称内容一致。</w:t>
      </w:r>
    </w:p>
    <w:p>
      <w:pPr>
        <w:spacing w:line="360" w:lineRule="auto"/>
        <w:ind w:firstLine="210" w:firstLineChars="100"/>
        <w:rPr>
          <w:rFonts w:ascii="宋体" w:hAnsi="宋体" w:cs="宋体"/>
          <w:color w:val="000000" w:themeColor="text1"/>
        </w:rPr>
      </w:pPr>
      <w:r>
        <w:rPr>
          <w:rFonts w:hint="eastAsia" w:ascii="宋体" w:hAnsi="宋体" w:cs="宋体"/>
          <w:color w:val="000000" w:themeColor="text1"/>
        </w:rPr>
        <w:t>3、本项目需开具增值税专用发票。</w:t>
      </w:r>
    </w:p>
    <w:p>
      <w:pPr>
        <w:pStyle w:val="2"/>
        <w:ind w:firstLine="210" w:firstLineChars="100"/>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4、投标人须提供响应本项目各条技术要求的软件操作界面截图或其他佐证材料以及技术参数偏离表。</w:t>
      </w:r>
    </w:p>
    <w:p>
      <w:pPr>
        <w:pStyle w:val="40"/>
        <w:spacing w:before="0" w:beforeAutospacing="0" w:after="0" w:afterAutospacing="0"/>
        <w:ind w:firstLine="420"/>
        <w:rPr>
          <w:color w:val="000000" w:themeColor="text1"/>
          <w:kern w:val="2"/>
        </w:rPr>
      </w:pPr>
      <w:r>
        <w:rPr>
          <w:rFonts w:hint="eastAsia"/>
          <w:b/>
          <w:bCs/>
          <w:color w:val="000000" w:themeColor="text1"/>
          <w:kern w:val="2"/>
        </w:rPr>
        <w:t>二、售后服务及质保要求</w:t>
      </w:r>
    </w:p>
    <w:p>
      <w:pPr>
        <w:adjustRightInd w:val="0"/>
        <w:snapToGrid w:val="0"/>
        <w:spacing w:line="360" w:lineRule="auto"/>
        <w:ind w:firstLine="480" w:firstLineChars="200"/>
        <w:rPr>
          <w:rFonts w:ascii="宋体" w:hAnsi="宋体" w:cs="宋体"/>
          <w:color w:val="000000" w:themeColor="text1"/>
          <w:sz w:val="24"/>
          <w:szCs w:val="24"/>
        </w:rPr>
      </w:pPr>
      <w:bookmarkStart w:id="211" w:name="_Toc4016"/>
      <w:r>
        <w:rPr>
          <w:rFonts w:hint="eastAsia" w:ascii="宋体" w:hAnsi="宋体" w:cs="宋体"/>
          <w:color w:val="000000" w:themeColor="text1"/>
          <w:sz w:val="24"/>
          <w:szCs w:val="24"/>
        </w:rPr>
        <w:t>1、按照国家规定的标准和标书规定的标准执行。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2、按招标文件规定的软件技术要求、质量标准向采购方提供未经使用的全新产品。并向甲方提供质量保证书、出厂合格证。</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3、供应商提供的软件在质保期内因本身的质量问题发生故障，乙方应负责免费维修。供应商应对提供的软件免费安装、免费调试、免费培训、免费提供软件学习资料。</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4、软件如在使用过程中发生质量问题，供应商应在接到采购方通知后24小时内到达现场。</w:t>
      </w:r>
    </w:p>
    <w:p>
      <w:pPr>
        <w:adjustRightInd w:val="0"/>
        <w:snapToGrid w:val="0"/>
        <w:spacing w:line="360" w:lineRule="auto"/>
        <w:ind w:firstLine="480" w:firstLineChars="200"/>
        <w:rPr>
          <w:b/>
          <w:color w:val="00B0F0"/>
          <w:sz w:val="44"/>
        </w:rPr>
      </w:pPr>
      <w:r>
        <w:rPr>
          <w:rFonts w:hint="eastAsia" w:ascii="宋体" w:hAnsi="宋体" w:cs="宋体"/>
          <w:color w:val="000000" w:themeColor="text1"/>
          <w:sz w:val="24"/>
          <w:szCs w:val="24"/>
        </w:rPr>
        <w:t xml:space="preserve">  5、质保期五年，质保期内乙方应对软件免费升级，质保期满软件如需升级，升级费用不得超过软件合同价与当期价中较低值的10%。</w:t>
      </w: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r>
        <w:rPr>
          <w:rFonts w:hint="eastAsia"/>
          <w:b/>
          <w:color w:val="000000" w:themeColor="text1"/>
          <w:sz w:val="44"/>
        </w:rPr>
        <w:t>第五章  评标方法与评标标准</w:t>
      </w:r>
      <w:bookmarkEnd w:id="211"/>
    </w:p>
    <w:p>
      <w:pPr>
        <w:adjustRightInd w:val="0"/>
        <w:snapToGrid w:val="0"/>
        <w:spacing w:line="360" w:lineRule="auto"/>
        <w:rPr>
          <w:rFonts w:ascii="宋体" w:hAnsi="宋体" w:cs="宋体"/>
          <w:b/>
          <w:bCs/>
          <w:color w:val="000000" w:themeColor="text1"/>
          <w:sz w:val="24"/>
          <w:szCs w:val="24"/>
        </w:rPr>
      </w:pPr>
      <w:r>
        <w:rPr>
          <w:rFonts w:hint="eastAsia" w:ascii="宋体" w:hAnsi="宋体" w:cs="宋体"/>
          <w:b/>
          <w:bCs/>
          <w:color w:val="000000" w:themeColor="text1"/>
          <w:sz w:val="24"/>
          <w:szCs w:val="24"/>
        </w:rPr>
        <w:t>一、评标方法与定标原则</w:t>
      </w:r>
    </w:p>
    <w:p>
      <w:pPr>
        <w:snapToGrid w:val="0"/>
        <w:spacing w:line="500" w:lineRule="exact"/>
        <w:ind w:firstLine="480" w:firstLineChars="200"/>
        <w:rPr>
          <w:rStyle w:val="115"/>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rFonts w:hint="eastAsia" w:ascii="宋体" w:hAnsi="宋体" w:cs="宋体"/>
          <w:bCs/>
          <w:sz w:val="24"/>
          <w:szCs w:val="24"/>
        </w:rPr>
        <w:fldChar w:fldCharType="begin"/>
      </w:r>
      <w:r>
        <w:rPr>
          <w:rFonts w:hint="eastAsia" w:ascii="宋体" w:hAnsi="宋体" w:cs="宋体"/>
          <w:bCs/>
          <w:sz w:val="24"/>
          <w:szCs w:val="24"/>
        </w:rPr>
        <w:instrText xml:space="preserve"> HYPERLINK "https://link.zhihu.com/?target=http://baike.baidu.com/view/89764.htm" \t "https://www.zhihu.com/question/_blank" </w:instrText>
      </w:r>
      <w:r>
        <w:rPr>
          <w:rFonts w:hint="eastAsia" w:ascii="宋体" w:hAnsi="宋体" w:cs="宋体"/>
          <w:bCs/>
          <w:sz w:val="24"/>
          <w:szCs w:val="24"/>
        </w:rPr>
        <w:fldChar w:fldCharType="separate"/>
      </w:r>
      <w:r>
        <w:rPr>
          <w:rFonts w:hint="eastAsia" w:ascii="宋体" w:hAnsi="宋体" w:cs="宋体"/>
          <w:bCs/>
          <w:sz w:val="24"/>
          <w:szCs w:val="24"/>
        </w:rPr>
        <w:t>竞争</w:t>
      </w:r>
      <w:r>
        <w:rPr>
          <w:rFonts w:hint="eastAsia" w:ascii="宋体" w:hAnsi="宋体" w:cs="宋体"/>
          <w:bCs/>
          <w:sz w:val="24"/>
          <w:szCs w:val="24"/>
        </w:rPr>
        <w:fldChar w:fldCharType="end"/>
      </w:r>
      <w:r>
        <w:rPr>
          <w:rFonts w:hint="eastAsia" w:ascii="宋体" w:hAnsi="宋体" w:cs="宋体"/>
          <w:bCs/>
          <w:sz w:val="24"/>
          <w:szCs w:val="24"/>
        </w:rPr>
        <w:t>，其投标应作</w:t>
      </w:r>
      <w:r>
        <w:rPr>
          <w:rFonts w:hint="eastAsia" w:ascii="宋体" w:hAnsi="宋体" w:cs="宋体"/>
          <w:bCs/>
          <w:sz w:val="24"/>
          <w:szCs w:val="24"/>
        </w:rPr>
        <w:fldChar w:fldCharType="begin"/>
      </w:r>
      <w:r>
        <w:rPr>
          <w:rFonts w:hint="eastAsia" w:ascii="宋体" w:hAnsi="宋体" w:cs="宋体"/>
          <w:bCs/>
          <w:sz w:val="24"/>
          <w:szCs w:val="24"/>
        </w:rPr>
        <w:instrText xml:space="preserve"> HYPERLINK "https://link.zhihu.com/?target=http://baike.baidu.com/view/1281780.htm" \t "https://www.zhihu.com/question/_blank" </w:instrText>
      </w:r>
      <w:r>
        <w:rPr>
          <w:rFonts w:hint="eastAsia" w:ascii="宋体" w:hAnsi="宋体" w:cs="宋体"/>
          <w:bCs/>
          <w:sz w:val="24"/>
          <w:szCs w:val="24"/>
        </w:rP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pStyle w:val="40"/>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40"/>
        <w:spacing w:before="0" w:beforeAutospacing="0" w:after="0" w:afterAutospacing="0"/>
        <w:ind w:firstLine="480" w:firstLineChars="200"/>
        <w:rPr>
          <w:b/>
          <w:bCs/>
          <w:color w:val="00B0F0"/>
          <w:u w:val="single"/>
        </w:rPr>
      </w:pPr>
      <w:r>
        <w:rPr>
          <w:rFonts w:hint="eastAsia"/>
          <w:bCs/>
        </w:rPr>
        <w:t>（3）企业标准请参照《关于印发中小企业划型标准规定的通知》（工信部联企业[2011]300号）文件规定自行填写。</w:t>
      </w:r>
      <w:r>
        <w:rPr>
          <w:rFonts w:hint="eastAsia"/>
          <w:b/>
        </w:rPr>
        <w:t>本采购标的的所属行业为软件和信息技术服务业</w:t>
      </w:r>
      <w:r>
        <w:rPr>
          <w:rFonts w:hint="eastAsia"/>
          <w:bCs/>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二、评标标准</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本项目评分总分值为100分。</w:t>
      </w:r>
    </w:p>
    <w:tbl>
      <w:tblPr>
        <w:tblStyle w:val="45"/>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60"/>
        <w:gridCol w:w="1046"/>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26" w:type="dxa"/>
            <w:vAlign w:val="center"/>
          </w:tcPr>
          <w:p>
            <w:pPr>
              <w:jc w:val="center"/>
              <w:rPr>
                <w:color w:val="000000"/>
              </w:rPr>
            </w:pPr>
            <w:r>
              <w:rPr>
                <w:color w:val="000000"/>
              </w:rPr>
              <w:t>序号</w:t>
            </w:r>
          </w:p>
        </w:tc>
        <w:tc>
          <w:tcPr>
            <w:tcW w:w="860" w:type="dxa"/>
            <w:vAlign w:val="center"/>
          </w:tcPr>
          <w:p>
            <w:pPr>
              <w:jc w:val="center"/>
              <w:rPr>
                <w:color w:val="000000"/>
              </w:rPr>
            </w:pPr>
            <w:r>
              <w:rPr>
                <w:color w:val="000000"/>
              </w:rPr>
              <w:t>评分</w:t>
            </w:r>
          </w:p>
          <w:p>
            <w:pPr>
              <w:jc w:val="center"/>
              <w:rPr>
                <w:color w:val="000000"/>
              </w:rPr>
            </w:pPr>
            <w:r>
              <w:rPr>
                <w:color w:val="000000"/>
              </w:rPr>
              <w:t>因素</w:t>
            </w:r>
          </w:p>
        </w:tc>
        <w:tc>
          <w:tcPr>
            <w:tcW w:w="1046" w:type="dxa"/>
            <w:vAlign w:val="center"/>
          </w:tcPr>
          <w:p>
            <w:pPr>
              <w:jc w:val="center"/>
              <w:rPr>
                <w:color w:val="000000"/>
              </w:rPr>
            </w:pPr>
            <w:r>
              <w:rPr>
                <w:color w:val="000000"/>
              </w:rPr>
              <w:t>分值</w:t>
            </w:r>
          </w:p>
        </w:tc>
        <w:tc>
          <w:tcPr>
            <w:tcW w:w="7161" w:type="dxa"/>
            <w:vAlign w:val="center"/>
          </w:tcPr>
          <w:p>
            <w:pPr>
              <w:jc w:val="center"/>
              <w:rPr>
                <w:color w:val="000000"/>
              </w:rPr>
            </w:pPr>
            <w:r>
              <w:rPr>
                <w:color w:val="00000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79" w:hRule="atLeast"/>
          <w:jc w:val="center"/>
        </w:trPr>
        <w:tc>
          <w:tcPr>
            <w:tcW w:w="426" w:type="dxa"/>
            <w:vAlign w:val="center"/>
          </w:tcPr>
          <w:p>
            <w:pPr>
              <w:jc w:val="center"/>
              <w:rPr>
                <w:color w:val="000000"/>
              </w:rPr>
            </w:pPr>
            <w:r>
              <w:rPr>
                <w:color w:val="000000"/>
              </w:rPr>
              <w:t>1</w:t>
            </w:r>
          </w:p>
        </w:tc>
        <w:tc>
          <w:tcPr>
            <w:tcW w:w="860" w:type="dxa"/>
            <w:vAlign w:val="center"/>
          </w:tcPr>
          <w:p>
            <w:pPr>
              <w:jc w:val="center"/>
              <w:rPr>
                <w:color w:val="000000"/>
              </w:rPr>
            </w:pPr>
            <w:r>
              <w:rPr>
                <w:color w:val="000000"/>
              </w:rPr>
              <w:t>价格部分</w:t>
            </w:r>
          </w:p>
          <w:p>
            <w:pPr>
              <w:rPr>
                <w:color w:val="000000"/>
              </w:rPr>
            </w:pPr>
            <w:r>
              <w:rPr>
                <w:color w:val="000000"/>
              </w:rPr>
              <w:t>（50分）</w:t>
            </w:r>
          </w:p>
        </w:tc>
        <w:tc>
          <w:tcPr>
            <w:tcW w:w="1046" w:type="dxa"/>
            <w:vAlign w:val="center"/>
          </w:tcPr>
          <w:p>
            <w:pPr>
              <w:jc w:val="center"/>
              <w:rPr>
                <w:color w:val="000000"/>
              </w:rPr>
            </w:pPr>
            <w:r>
              <w:rPr>
                <w:color w:val="000000"/>
              </w:rPr>
              <w:t>投标报价</w:t>
            </w:r>
          </w:p>
          <w:p>
            <w:pPr>
              <w:jc w:val="center"/>
              <w:rPr>
                <w:color w:val="000000"/>
              </w:rPr>
            </w:pPr>
            <w:r>
              <w:rPr>
                <w:color w:val="000000"/>
              </w:rPr>
              <w:t>（50分）</w:t>
            </w:r>
          </w:p>
        </w:tc>
        <w:tc>
          <w:tcPr>
            <w:tcW w:w="7161" w:type="dxa"/>
            <w:vAlign w:val="center"/>
          </w:tcPr>
          <w:p>
            <w:pPr>
              <w:spacing w:line="320" w:lineRule="exact"/>
              <w:ind w:firstLine="420" w:firstLineChars="200"/>
              <w:rPr>
                <w:rFonts w:ascii="宋体" w:hAnsi="宋体" w:cs="宋体"/>
                <w:color w:val="000000" w:themeColor="text1"/>
              </w:rPr>
            </w:pPr>
            <w:r>
              <w:rPr>
                <w:rFonts w:hint="eastAsia" w:ascii="宋体" w:hAnsi="宋体" w:cs="宋体"/>
                <w:color w:val="000000" w:themeColor="text1"/>
              </w:rPr>
              <w:t>所有有效投标报价中满足招标文件要求，价格最低的投标报价为评标基准价，其价格分为50分，其他投标人的价格分按照下列公式计算（计算结果四舍五入保留两位小数）。</w:t>
            </w:r>
          </w:p>
          <w:p>
            <w:pPr>
              <w:rPr>
                <w:color w:val="000000"/>
              </w:rPr>
            </w:pPr>
            <w:r>
              <w:rPr>
                <w:rFonts w:hint="eastAsia" w:ascii="宋体" w:hAnsi="宋体" w:cs="宋体"/>
                <w:color w:val="000000" w:themeColor="text1"/>
              </w:rPr>
              <w:t>投标人报价得分＝（评标基准价/投标报价）×50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94" w:hRule="atLeast"/>
          <w:jc w:val="center"/>
        </w:trPr>
        <w:tc>
          <w:tcPr>
            <w:tcW w:w="426" w:type="dxa"/>
            <w:vMerge w:val="restart"/>
            <w:vAlign w:val="center"/>
          </w:tcPr>
          <w:p>
            <w:pPr>
              <w:jc w:val="center"/>
              <w:rPr>
                <w:color w:val="000000"/>
              </w:rPr>
            </w:pPr>
            <w:r>
              <w:rPr>
                <w:color w:val="000000"/>
              </w:rPr>
              <w:t>2</w:t>
            </w:r>
          </w:p>
        </w:tc>
        <w:tc>
          <w:tcPr>
            <w:tcW w:w="860" w:type="dxa"/>
            <w:vMerge w:val="restart"/>
            <w:vAlign w:val="center"/>
          </w:tcPr>
          <w:p>
            <w:pPr>
              <w:rPr>
                <w:color w:val="000000"/>
              </w:rPr>
            </w:pPr>
            <w:r>
              <w:rPr>
                <w:color w:val="000000"/>
              </w:rPr>
              <w:t>商务部分</w:t>
            </w:r>
          </w:p>
          <w:p>
            <w:pPr>
              <w:rPr>
                <w:color w:val="000000"/>
              </w:rPr>
            </w:pPr>
            <w:r>
              <w:rPr>
                <w:color w:val="000000"/>
              </w:rPr>
              <w:t>（20分）</w:t>
            </w:r>
          </w:p>
        </w:tc>
        <w:tc>
          <w:tcPr>
            <w:tcW w:w="1046" w:type="dxa"/>
            <w:vAlign w:val="center"/>
          </w:tcPr>
          <w:p>
            <w:pPr>
              <w:jc w:val="center"/>
              <w:rPr>
                <w:color w:val="000000"/>
              </w:rPr>
            </w:pPr>
            <w:r>
              <w:rPr>
                <w:rFonts w:hint="eastAsia"/>
              </w:rPr>
              <w:t>技术安全保障</w:t>
            </w:r>
            <w:r>
              <w:t>（5分）</w:t>
            </w:r>
          </w:p>
        </w:tc>
        <w:tc>
          <w:tcPr>
            <w:tcW w:w="7161" w:type="dxa"/>
            <w:vAlign w:val="center"/>
          </w:tcPr>
          <w:p>
            <w:pPr>
              <w:rPr>
                <w:color w:val="000000" w:themeColor="text1"/>
              </w:rPr>
            </w:pPr>
            <w:r>
              <w:rPr>
                <w:rFonts w:hint="eastAsia"/>
              </w:rPr>
              <w:t>（</w:t>
            </w:r>
            <w:r>
              <w:rPr>
                <w:rFonts w:hint="eastAsia"/>
                <w:color w:val="000000" w:themeColor="text1"/>
              </w:rPr>
              <w:t>1）具备有效期内的信息安全管理体系认证证书加2分。</w:t>
            </w:r>
          </w:p>
          <w:p>
            <w:pPr>
              <w:rPr>
                <w:color w:val="000000" w:themeColor="text1"/>
              </w:rPr>
            </w:pPr>
            <w:r>
              <w:rPr>
                <w:rFonts w:hint="eastAsia"/>
                <w:color w:val="000000" w:themeColor="text1"/>
              </w:rPr>
              <w:t>（2）具有信息系统安全等级保护备案证明二级及以上的加3分。</w:t>
            </w:r>
          </w:p>
          <w:p>
            <w:pPr>
              <w:rPr>
                <w:color w:val="000000"/>
              </w:rPr>
            </w:pPr>
            <w:r>
              <w:rPr>
                <w:rFonts w:hint="eastAsia"/>
                <w:color w:val="000000" w:themeColor="text1"/>
              </w:rPr>
              <w:t>评审依据：需提供证书扫描件加盖公章。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275" w:hRule="atLeast"/>
          <w:jc w:val="center"/>
        </w:trPr>
        <w:tc>
          <w:tcPr>
            <w:tcW w:w="426" w:type="dxa"/>
            <w:vMerge w:val="continue"/>
            <w:vAlign w:val="center"/>
          </w:tcPr>
          <w:p>
            <w:pPr>
              <w:rPr>
                <w:color w:val="000000"/>
              </w:rPr>
            </w:pPr>
          </w:p>
        </w:tc>
        <w:tc>
          <w:tcPr>
            <w:tcW w:w="860" w:type="dxa"/>
            <w:vMerge w:val="continue"/>
            <w:vAlign w:val="center"/>
          </w:tcPr>
          <w:p>
            <w:pPr>
              <w:rPr>
                <w:color w:val="000000"/>
              </w:rPr>
            </w:pPr>
          </w:p>
        </w:tc>
        <w:tc>
          <w:tcPr>
            <w:tcW w:w="1046" w:type="dxa"/>
            <w:vAlign w:val="center"/>
          </w:tcPr>
          <w:p>
            <w:pPr>
              <w:jc w:val="center"/>
              <w:rPr>
                <w:color w:val="000000"/>
              </w:rPr>
            </w:pPr>
            <w:r>
              <w:rPr>
                <w:color w:val="000000"/>
              </w:rPr>
              <w:t>软件升级</w:t>
            </w:r>
          </w:p>
          <w:p>
            <w:pPr>
              <w:jc w:val="center"/>
              <w:rPr>
                <w:color w:val="000000"/>
              </w:rPr>
            </w:pPr>
            <w:r>
              <w:rPr>
                <w:color w:val="000000"/>
              </w:rPr>
              <w:t>服务</w:t>
            </w:r>
          </w:p>
          <w:p>
            <w:pPr>
              <w:jc w:val="center"/>
              <w:rPr>
                <w:color w:val="000000"/>
              </w:rPr>
            </w:pPr>
            <w:r>
              <w:rPr>
                <w:color w:val="000000"/>
              </w:rPr>
              <w:t>（5分）</w:t>
            </w:r>
          </w:p>
        </w:tc>
        <w:tc>
          <w:tcPr>
            <w:tcW w:w="7161" w:type="dxa"/>
            <w:vAlign w:val="center"/>
          </w:tcPr>
          <w:p>
            <w:pPr>
              <w:rPr>
                <w:color w:val="000000"/>
              </w:rPr>
            </w:pPr>
            <w:r>
              <w:rPr>
                <w:rFonts w:hint="eastAsia"/>
                <w:color w:val="000000"/>
              </w:rPr>
              <w:t>（1）投标人提供的所有软件产品不涉及知识产权纠纷，质保期内软件不限版本不限次数升级和维护（不收取额外费用），投标人负责保修其产品及其附件（非收费上门服务），质保期满若提供永久免费升级服务，得3分；升级费用不超过软件合同价与当期价中较低值的10%的，得2分。</w:t>
            </w:r>
          </w:p>
          <w:p>
            <w:pPr>
              <w:rPr>
                <w:color w:val="000000"/>
              </w:rPr>
            </w:pPr>
            <w:r>
              <w:rPr>
                <w:rFonts w:hint="eastAsia"/>
                <w:color w:val="000000"/>
              </w:rPr>
              <w:t>（2）</w:t>
            </w:r>
            <w:r>
              <w:rPr>
                <w:color w:val="000000"/>
              </w:rPr>
              <w:t>如</w:t>
            </w:r>
            <w:r>
              <w:rPr>
                <w:rFonts w:hint="eastAsia"/>
                <w:color w:val="000000"/>
              </w:rPr>
              <w:t>在质保期内</w:t>
            </w:r>
            <w:r>
              <w:rPr>
                <w:color w:val="000000"/>
              </w:rPr>
              <w:t>投标人推出功能可替代招标人此次采购软件的新软件，投标人负责为招标人免费安装相同节点数的新产品，同时继续履行合同中约定的相关售后服务内容（不收取额外费用）</w:t>
            </w:r>
            <w:r>
              <w:rPr>
                <w:rFonts w:hint="eastAsia"/>
                <w:color w:val="000000"/>
              </w:rPr>
              <w:t>；质保期外投标人推出功能可替代招标人此次采购软件的新软件，投标人负责为招标人安装相同节点数的新产品，费用不得超过原软件合同价与新软件当期价中较低值的10%，得2分。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1550" w:hRule="atLeast"/>
          <w:jc w:val="center"/>
        </w:trPr>
        <w:tc>
          <w:tcPr>
            <w:tcW w:w="426" w:type="dxa"/>
            <w:vMerge w:val="continue"/>
            <w:vAlign w:val="center"/>
          </w:tcPr>
          <w:p>
            <w:pPr>
              <w:rPr>
                <w:color w:val="000000"/>
              </w:rPr>
            </w:pPr>
          </w:p>
        </w:tc>
        <w:tc>
          <w:tcPr>
            <w:tcW w:w="860" w:type="dxa"/>
            <w:vMerge w:val="continue"/>
            <w:vAlign w:val="center"/>
          </w:tcPr>
          <w:p>
            <w:pPr>
              <w:rPr>
                <w:color w:val="000000"/>
              </w:rPr>
            </w:pPr>
          </w:p>
        </w:tc>
        <w:tc>
          <w:tcPr>
            <w:tcW w:w="1046" w:type="dxa"/>
            <w:vAlign w:val="center"/>
          </w:tcPr>
          <w:p>
            <w:pPr>
              <w:jc w:val="center"/>
              <w:rPr>
                <w:color w:val="000000"/>
              </w:rPr>
            </w:pPr>
            <w:r>
              <w:rPr>
                <w:color w:val="000000"/>
              </w:rPr>
              <w:t>售后服务方面其他承诺</w:t>
            </w:r>
          </w:p>
          <w:p>
            <w:pPr>
              <w:jc w:val="center"/>
              <w:rPr>
                <w:color w:val="000000"/>
              </w:rPr>
            </w:pPr>
            <w:r>
              <w:rPr>
                <w:color w:val="000000"/>
              </w:rPr>
              <w:t>（2分）</w:t>
            </w:r>
          </w:p>
        </w:tc>
        <w:tc>
          <w:tcPr>
            <w:tcW w:w="7161" w:type="dxa"/>
            <w:vAlign w:val="center"/>
          </w:tcPr>
          <w:p>
            <w:pPr>
              <w:rPr>
                <w:color w:val="000000" w:themeColor="text1"/>
              </w:rPr>
            </w:pPr>
            <w:r>
              <w:rPr>
                <w:rFonts w:hint="eastAsia"/>
                <w:color w:val="000000" w:themeColor="text1"/>
              </w:rPr>
              <w:t>（1）售后服务方案具体明确，针对性强，售后服务人员能力强，服务体系完整度高，保障性强，有具体的服务承诺及违约责任措施的得</w:t>
            </w:r>
            <w:r>
              <w:rPr>
                <w:rFonts w:hint="eastAsia"/>
                <w:color w:val="000000" w:themeColor="text1"/>
                <w:lang w:val="en-US" w:eastAsia="zh-CN"/>
              </w:rPr>
              <w:t>1（不含）-2</w:t>
            </w:r>
            <w:r>
              <w:rPr>
                <w:rFonts w:hint="eastAsia"/>
                <w:color w:val="000000" w:themeColor="text1"/>
              </w:rPr>
              <w:t>分。</w:t>
            </w:r>
          </w:p>
          <w:p>
            <w:pPr>
              <w:rPr>
                <w:color w:val="000000"/>
              </w:rPr>
            </w:pPr>
            <w:r>
              <w:rPr>
                <w:rFonts w:hint="eastAsia"/>
                <w:color w:val="000000" w:themeColor="text1"/>
              </w:rPr>
              <w:t>（2）具有售后服务方案，针对性差，售后服务体系完整度及保障性差，无售后服务承诺及违约责任措施的得0-1分。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296" w:hRule="atLeast"/>
          <w:jc w:val="center"/>
        </w:trPr>
        <w:tc>
          <w:tcPr>
            <w:tcW w:w="426" w:type="dxa"/>
            <w:vMerge w:val="continue"/>
            <w:vAlign w:val="center"/>
          </w:tcPr>
          <w:p>
            <w:pPr>
              <w:rPr>
                <w:color w:val="000000"/>
              </w:rPr>
            </w:pPr>
          </w:p>
        </w:tc>
        <w:tc>
          <w:tcPr>
            <w:tcW w:w="860" w:type="dxa"/>
            <w:vMerge w:val="continue"/>
            <w:vAlign w:val="center"/>
          </w:tcPr>
          <w:p>
            <w:pPr>
              <w:rPr>
                <w:color w:val="000000"/>
              </w:rPr>
            </w:pPr>
          </w:p>
        </w:tc>
        <w:tc>
          <w:tcPr>
            <w:tcW w:w="1046" w:type="dxa"/>
            <w:vAlign w:val="center"/>
          </w:tcPr>
          <w:p>
            <w:pPr>
              <w:jc w:val="center"/>
              <w:rPr>
                <w:color w:val="000000"/>
              </w:rPr>
            </w:pPr>
            <w:r>
              <w:rPr>
                <w:color w:val="000000"/>
              </w:rPr>
              <w:t>公司</w:t>
            </w:r>
            <w:r>
              <w:rPr>
                <w:rFonts w:hint="eastAsia"/>
                <w:color w:val="000000"/>
              </w:rPr>
              <w:t>实力</w:t>
            </w:r>
          </w:p>
          <w:p>
            <w:pPr>
              <w:jc w:val="center"/>
              <w:rPr>
                <w:color w:val="000000"/>
              </w:rPr>
            </w:pPr>
            <w:r>
              <w:rPr>
                <w:color w:val="000000"/>
              </w:rPr>
              <w:t>（5分）</w:t>
            </w:r>
          </w:p>
        </w:tc>
        <w:tc>
          <w:tcPr>
            <w:tcW w:w="7161" w:type="dxa"/>
            <w:vAlign w:val="center"/>
          </w:tcPr>
          <w:p>
            <w:pPr>
              <w:rPr>
                <w:color w:val="000000"/>
              </w:rPr>
            </w:pPr>
            <w:r>
              <w:rPr>
                <w:rFonts w:hint="eastAsia"/>
                <w:color w:val="000000"/>
              </w:rPr>
              <w:t>（1）取得与本项目相关的专利、软件著作权，其中发明专利每项得1分，软件著作权每项得0.5分，总分不超过2分。</w:t>
            </w:r>
          </w:p>
          <w:p>
            <w:pPr>
              <w:rPr>
                <w:color w:val="000000" w:themeColor="text1"/>
              </w:rPr>
            </w:pPr>
            <w:r>
              <w:rPr>
                <w:rFonts w:hint="eastAsia"/>
                <w:color w:val="000000"/>
              </w:rPr>
              <w:t>（2）提</w:t>
            </w:r>
            <w:r>
              <w:rPr>
                <w:rFonts w:hint="eastAsia"/>
                <w:color w:val="000000" w:themeColor="text1"/>
              </w:rPr>
              <w:t>供信用评级机构出具的信用评级报告为AAA级的得1分；</w:t>
            </w:r>
          </w:p>
          <w:p>
            <w:pPr>
              <w:rPr>
                <w:color w:val="000000"/>
              </w:rPr>
            </w:pPr>
            <w:r>
              <w:rPr>
                <w:rFonts w:hint="eastAsia"/>
                <w:color w:val="000000"/>
              </w:rPr>
              <w:t>（3）</w:t>
            </w:r>
            <w:r>
              <w:rPr>
                <w:rFonts w:hint="eastAsia" w:ascii="宋体" w:hAnsi="宋体"/>
                <w:color w:val="000000" w:themeColor="text1"/>
              </w:rPr>
              <w:t>通过高新技术企业认证</w:t>
            </w:r>
            <w:r>
              <w:rPr>
                <w:rFonts w:hint="eastAsia"/>
                <w:color w:val="000000"/>
              </w:rPr>
              <w:t>得1分；</w:t>
            </w:r>
          </w:p>
          <w:p>
            <w:pPr>
              <w:keepNext/>
              <w:keepLines/>
              <w:outlineLvl w:val="3"/>
              <w:rPr>
                <w:rFonts w:ascii="宋体" w:hAnsi="宋体" w:cs="Arial"/>
                <w:color w:val="000000" w:themeColor="text1"/>
              </w:rPr>
            </w:pPr>
            <w:r>
              <w:rPr>
                <w:rFonts w:hint="eastAsia" w:ascii="宋体" w:hAnsi="宋体" w:cs="Arial"/>
                <w:color w:val="000000" w:themeColor="text1"/>
              </w:rPr>
              <w:t>（4）具有软件企业认定证书得1分。</w:t>
            </w:r>
          </w:p>
          <w:p>
            <w:pPr>
              <w:pStyle w:val="7"/>
              <w:spacing w:before="0" w:after="0" w:line="240" w:lineRule="auto"/>
              <w:rPr>
                <w:rFonts w:ascii="宋体" w:hAnsi="宋体"/>
                <w:b w:val="0"/>
                <w:color w:val="000000"/>
                <w:sz w:val="21"/>
                <w:szCs w:val="21"/>
              </w:rPr>
            </w:pPr>
            <w:r>
              <w:rPr>
                <w:rFonts w:hint="eastAsia" w:ascii="Times New Roman" w:hAnsi="Times New Roman" w:eastAsiaTheme="minorEastAsia" w:cstheme="minorBidi"/>
                <w:b w:val="0"/>
                <w:color w:val="000000" w:themeColor="text1"/>
                <w:sz w:val="21"/>
                <w:szCs w:val="22"/>
              </w:rPr>
              <w:t>（以上</w:t>
            </w:r>
            <w:r>
              <w:rPr>
                <w:rFonts w:hint="eastAsia" w:ascii="Times New Roman" w:hAnsi="Times New Roman" w:eastAsiaTheme="minorEastAsia" w:cstheme="minorBidi"/>
                <w:b w:val="0"/>
                <w:color w:val="000000"/>
                <w:sz w:val="21"/>
                <w:szCs w:val="22"/>
              </w:rPr>
              <w:t>提供相关证明材料复印件并加盖投标单位公章，不提供的不得分）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911" w:hRule="atLeast"/>
          <w:jc w:val="center"/>
        </w:trPr>
        <w:tc>
          <w:tcPr>
            <w:tcW w:w="426" w:type="dxa"/>
            <w:vMerge w:val="continue"/>
            <w:vAlign w:val="center"/>
          </w:tcPr>
          <w:p>
            <w:pPr>
              <w:rPr>
                <w:color w:val="000000"/>
              </w:rPr>
            </w:pPr>
          </w:p>
        </w:tc>
        <w:tc>
          <w:tcPr>
            <w:tcW w:w="860" w:type="dxa"/>
            <w:vMerge w:val="continue"/>
            <w:vAlign w:val="center"/>
          </w:tcPr>
          <w:p>
            <w:pPr>
              <w:rPr>
                <w:color w:val="000000"/>
              </w:rPr>
            </w:pPr>
          </w:p>
        </w:tc>
        <w:tc>
          <w:tcPr>
            <w:tcW w:w="1046" w:type="dxa"/>
            <w:vAlign w:val="center"/>
          </w:tcPr>
          <w:p>
            <w:pPr>
              <w:rPr>
                <w:color w:val="000000"/>
              </w:rPr>
            </w:pPr>
            <w:r>
              <w:rPr>
                <w:color w:val="000000"/>
              </w:rPr>
              <w:t>业绩部分</w:t>
            </w:r>
          </w:p>
          <w:p>
            <w:pPr>
              <w:rPr>
                <w:color w:val="000000"/>
              </w:rPr>
            </w:pPr>
            <w:r>
              <w:rPr>
                <w:color w:val="000000"/>
              </w:rPr>
              <w:t>（3分）</w:t>
            </w:r>
          </w:p>
        </w:tc>
        <w:tc>
          <w:tcPr>
            <w:tcW w:w="7161" w:type="dxa"/>
          </w:tcPr>
          <w:p>
            <w:pPr>
              <w:rPr>
                <w:color w:val="000000"/>
              </w:rPr>
            </w:pPr>
            <w:r>
              <w:rPr>
                <w:rFonts w:hint="eastAsia"/>
                <w:color w:val="000000"/>
              </w:rPr>
              <w:t>提供201</w:t>
            </w:r>
            <w:r>
              <w:rPr>
                <w:color w:val="000000"/>
              </w:rPr>
              <w:t>9</w:t>
            </w:r>
            <w:r>
              <w:rPr>
                <w:rFonts w:hint="eastAsia"/>
                <w:color w:val="000000"/>
              </w:rPr>
              <w:t>年以来同类采购此软件合同复印件，每提供1份合同得1分，最高3分。（需提供合同复印件加盖投标单位公章）没有提供以上要求合同的此项不得分。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restart"/>
            <w:vAlign w:val="center"/>
          </w:tcPr>
          <w:p>
            <w:pPr>
              <w:jc w:val="center"/>
              <w:rPr>
                <w:color w:val="000000"/>
              </w:rPr>
            </w:pPr>
            <w:r>
              <w:rPr>
                <w:color w:val="000000"/>
              </w:rPr>
              <w:t>3</w:t>
            </w:r>
          </w:p>
        </w:tc>
        <w:tc>
          <w:tcPr>
            <w:tcW w:w="860" w:type="dxa"/>
            <w:vMerge w:val="restart"/>
            <w:vAlign w:val="center"/>
          </w:tcPr>
          <w:p>
            <w:pPr>
              <w:rPr>
                <w:color w:val="000000"/>
              </w:rPr>
            </w:pPr>
            <w:r>
              <w:rPr>
                <w:color w:val="000000"/>
              </w:rPr>
              <w:t>技术部分</w:t>
            </w:r>
          </w:p>
          <w:p>
            <w:pPr>
              <w:rPr>
                <w:color w:val="000000"/>
              </w:rPr>
            </w:pPr>
            <w:r>
              <w:rPr>
                <w:color w:val="000000"/>
              </w:rPr>
              <w:t>（30分）</w:t>
            </w:r>
          </w:p>
        </w:tc>
        <w:tc>
          <w:tcPr>
            <w:tcW w:w="1046" w:type="dxa"/>
            <w:vAlign w:val="center"/>
          </w:tcPr>
          <w:p>
            <w:pPr>
              <w:rPr>
                <w:color w:val="000000"/>
              </w:rPr>
            </w:pPr>
            <w:r>
              <w:rPr>
                <w:rFonts w:hint="eastAsia"/>
              </w:rPr>
              <w:t>参数响应（18分）</w:t>
            </w:r>
          </w:p>
        </w:tc>
        <w:tc>
          <w:tcPr>
            <w:tcW w:w="7161" w:type="dxa"/>
            <w:vAlign w:val="center"/>
          </w:tcPr>
          <w:p>
            <w:pPr>
              <w:rPr>
                <w:color w:val="000000" w:themeColor="text1"/>
              </w:rPr>
            </w:pPr>
            <w:r>
              <w:rPr>
                <w:rFonts w:hint="eastAsia"/>
                <w:color w:val="000000" w:themeColor="text1"/>
              </w:rPr>
              <w:t>根据投标人提供的技术参数偏离表及其他响应技术要求的佐证材料进行评定，满足招标文件所有的技术指标、参数要求的得</w:t>
            </w:r>
            <w:r>
              <w:rPr>
                <w:color w:val="000000" w:themeColor="text1"/>
              </w:rPr>
              <w:t>18</w:t>
            </w:r>
            <w:r>
              <w:rPr>
                <w:rFonts w:hint="eastAsia"/>
                <w:color w:val="000000" w:themeColor="text1"/>
              </w:rPr>
              <w:t>分，有一项不满足扣2分，扣完为止。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continue"/>
            <w:vAlign w:val="center"/>
          </w:tcPr>
          <w:p>
            <w:pPr>
              <w:jc w:val="center"/>
              <w:rPr>
                <w:color w:val="000000"/>
              </w:rPr>
            </w:pPr>
          </w:p>
        </w:tc>
        <w:tc>
          <w:tcPr>
            <w:tcW w:w="860" w:type="dxa"/>
            <w:vMerge w:val="continue"/>
            <w:vAlign w:val="center"/>
          </w:tcPr>
          <w:p>
            <w:pPr>
              <w:rPr>
                <w:color w:val="000000"/>
              </w:rPr>
            </w:pPr>
          </w:p>
        </w:tc>
        <w:tc>
          <w:tcPr>
            <w:tcW w:w="1046" w:type="dxa"/>
            <w:vAlign w:val="center"/>
          </w:tcPr>
          <w:p>
            <w:pPr>
              <w:rPr>
                <w:color w:val="000000"/>
              </w:rPr>
            </w:pPr>
            <w:r>
              <w:rPr>
                <w:rFonts w:hint="eastAsia"/>
              </w:rPr>
              <w:t>功能演示（12分）</w:t>
            </w:r>
          </w:p>
        </w:tc>
        <w:tc>
          <w:tcPr>
            <w:tcW w:w="7161" w:type="dxa"/>
            <w:vAlign w:val="center"/>
          </w:tcPr>
          <w:p>
            <w:pPr>
              <w:rPr>
                <w:color w:val="000000" w:themeColor="text1"/>
              </w:rPr>
            </w:pPr>
            <w:r>
              <w:rPr>
                <w:rFonts w:hint="eastAsia"/>
                <w:color w:val="000000" w:themeColor="text1"/>
              </w:rPr>
              <w:t>演示时间10分钟左右，专家随机抽取模块列表中的三条参数进行演示，未演示或不满足，每条扣</w:t>
            </w:r>
            <w:r>
              <w:rPr>
                <w:color w:val="000000" w:themeColor="text1"/>
              </w:rPr>
              <w:t>4</w:t>
            </w:r>
            <w:r>
              <w:rPr>
                <w:rFonts w:hint="eastAsia"/>
                <w:color w:val="000000" w:themeColor="text1"/>
              </w:rPr>
              <w:t>分；基本满足，每条打分区间2.4分-</w:t>
            </w:r>
            <w:r>
              <w:rPr>
                <w:color w:val="000000" w:themeColor="text1"/>
              </w:rPr>
              <w:t>4</w:t>
            </w:r>
            <w:r>
              <w:rPr>
                <w:rFonts w:hint="eastAsia"/>
                <w:color w:val="000000" w:themeColor="text1"/>
              </w:rPr>
              <w:t>分，精确到小数点后1位。</w:t>
            </w:r>
          </w:p>
        </w:tc>
      </w:tr>
    </w:tbl>
    <w:p>
      <w:pPr>
        <w:snapToGrid w:val="0"/>
        <w:ind w:firstLine="480" w:firstLineChars="200"/>
        <w:rPr>
          <w:rFonts w:ascii="宋体" w:hAnsi="宋体" w:cs="宋体"/>
          <w:bCs/>
          <w:color w:val="000000" w:themeColor="text1"/>
          <w:sz w:val="24"/>
          <w:szCs w:val="24"/>
        </w:rPr>
      </w:pPr>
    </w:p>
    <w:p>
      <w:pPr>
        <w:snapToGrid w:val="0"/>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说明：</w:t>
      </w:r>
    </w:p>
    <w:p>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1、若供应商提供虚假资料，一经查实取消其中标候选人资格，并向相关主管部门汇报。</w:t>
      </w:r>
    </w:p>
    <w:p>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2、中标单位不得转包、分包，如果发现有转包、分包情况，则取消其中标候选人资格，并向相关主管部门汇报。</w:t>
      </w:r>
    </w:p>
    <w:p>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w:t>
      </w:r>
      <w:r>
        <w:rPr>
          <w:rFonts w:hint="eastAsia" w:ascii="宋体" w:hAnsi="宋体" w:cs="宋体"/>
          <w:color w:val="000000" w:themeColor="text1"/>
          <w:sz w:val="24"/>
          <w:szCs w:val="24"/>
          <w:lang w:val="zh-CN"/>
        </w:rPr>
        <w:t>、中标公告期内，中标单位需向采购单位提供产品相关证明文件原件以供审核，如有不实采购人有权取消其中标资格。</w:t>
      </w:r>
    </w:p>
    <w:p>
      <w:pPr>
        <w:pStyle w:val="44"/>
        <w:rPr>
          <w:rFonts w:cs="宋体"/>
          <w:color w:val="000000" w:themeColor="text1"/>
        </w:rPr>
      </w:pPr>
    </w:p>
    <w:p>
      <w:pPr>
        <w:pStyle w:val="44"/>
        <w:ind w:firstLine="720" w:firstLineChars="300"/>
        <w:rPr>
          <w:rFonts w:cs="宋体"/>
          <w:color w:val="000000" w:themeColor="text1"/>
          <w:sz w:val="24"/>
          <w:szCs w:val="24"/>
        </w:rPr>
      </w:pPr>
    </w:p>
    <w:p>
      <w:pPr>
        <w:widowControl/>
        <w:jc w:val="left"/>
        <w:rPr>
          <w:rFonts w:ascii="宋体" w:hAnsi="宋体" w:cs="宋体"/>
          <w:color w:val="000000" w:themeColor="text1"/>
          <w:sz w:val="24"/>
          <w:szCs w:val="24"/>
        </w:rPr>
      </w:pPr>
      <w:r>
        <w:rPr>
          <w:rFonts w:cs="宋体"/>
          <w:color w:val="000000" w:themeColor="text1"/>
          <w:sz w:val="24"/>
          <w:szCs w:val="24"/>
        </w:rPr>
        <w:br w:type="page"/>
      </w:r>
    </w:p>
    <w:p>
      <w:pPr>
        <w:pStyle w:val="44"/>
        <w:ind w:firstLine="480"/>
        <w:rPr>
          <w:rFonts w:cs="宋体"/>
          <w:color w:val="000000" w:themeColor="text1"/>
          <w:sz w:val="24"/>
          <w:szCs w:val="24"/>
        </w:rPr>
      </w:pPr>
    </w:p>
    <w:p>
      <w:pPr>
        <w:pStyle w:val="3"/>
        <w:jc w:val="both"/>
        <w:rPr>
          <w:rFonts w:ascii="宋体" w:hAnsi="宋体" w:eastAsia="宋体" w:cs="宋体"/>
          <w:b/>
          <w:color w:val="000000" w:themeColor="text1"/>
          <w:sz w:val="44"/>
        </w:rPr>
      </w:pPr>
      <w:bookmarkStart w:id="212" w:name="_Toc22937"/>
    </w:p>
    <w:p>
      <w:pPr>
        <w:pStyle w:val="3"/>
        <w:ind w:firstLine="2209" w:firstLineChars="500"/>
        <w:jc w:val="both"/>
        <w:rPr>
          <w:rFonts w:ascii="宋体" w:hAnsi="宋体" w:eastAsia="宋体" w:cs="宋体"/>
          <w:b/>
          <w:color w:val="000000" w:themeColor="text1"/>
          <w:sz w:val="44"/>
        </w:rPr>
      </w:pPr>
      <w:r>
        <w:rPr>
          <w:rFonts w:hint="eastAsia" w:ascii="宋体" w:hAnsi="宋体" w:eastAsia="宋体" w:cs="宋体"/>
          <w:b/>
          <w:color w:val="000000" w:themeColor="text1"/>
          <w:sz w:val="44"/>
        </w:rPr>
        <w:t>第六章  投标</w:t>
      </w:r>
      <w:bookmarkEnd w:id="208"/>
      <w:bookmarkEnd w:id="209"/>
      <w:bookmarkEnd w:id="210"/>
      <w:r>
        <w:rPr>
          <w:rFonts w:hint="eastAsia" w:ascii="宋体" w:hAnsi="宋体" w:eastAsia="宋体" w:cs="宋体"/>
          <w:b/>
          <w:color w:val="000000" w:themeColor="text1"/>
          <w:sz w:val="44"/>
        </w:rPr>
        <w:t>文件格式</w:t>
      </w:r>
      <w:bookmarkEnd w:id="212"/>
    </w:p>
    <w:p>
      <w:pPr>
        <w:jc w:val="center"/>
        <w:rPr>
          <w:rFonts w:ascii="宋体" w:hAnsi="宋体" w:cs="宋体"/>
          <w:b/>
          <w:color w:val="000000" w:themeColor="text1"/>
          <w:sz w:val="72"/>
        </w:rPr>
      </w:pPr>
      <w:bookmarkStart w:id="213" w:name="_Hlt26671244"/>
      <w:bookmarkEnd w:id="213"/>
      <w:bookmarkStart w:id="214" w:name="_Hlt26955039"/>
      <w:bookmarkEnd w:id="214"/>
      <w:bookmarkStart w:id="215" w:name="_Toc120614282"/>
      <w:bookmarkStart w:id="216" w:name="_Toc49090576"/>
      <w:bookmarkStart w:id="217" w:name="_Toc26554094"/>
    </w:p>
    <w:p>
      <w:pPr>
        <w:jc w:val="center"/>
        <w:outlineLvl w:val="0"/>
        <w:rPr>
          <w:rFonts w:ascii="宋体" w:hAnsi="宋体" w:cs="宋体"/>
          <w:b/>
          <w:color w:val="000000" w:themeColor="text1"/>
          <w:sz w:val="72"/>
        </w:rPr>
      </w:pPr>
      <w:bookmarkStart w:id="218" w:name="_Toc23509"/>
      <w:r>
        <w:rPr>
          <w:rFonts w:hint="eastAsia" w:ascii="宋体" w:hAnsi="宋体" w:cs="宋体"/>
          <w:b/>
          <w:color w:val="000000" w:themeColor="text1"/>
          <w:sz w:val="72"/>
        </w:rPr>
        <w:t>投  标  文  件</w:t>
      </w:r>
      <w:bookmarkEnd w:id="218"/>
    </w:p>
    <w:p>
      <w:pPr>
        <w:jc w:val="center"/>
        <w:outlineLvl w:val="0"/>
        <w:rPr>
          <w:rFonts w:ascii="宋体" w:hAnsi="宋体" w:cs="宋体"/>
          <w:b/>
          <w:color w:val="000000" w:themeColor="text1"/>
          <w:sz w:val="72"/>
        </w:rPr>
      </w:pPr>
      <w:bookmarkStart w:id="219" w:name="_Toc20782"/>
      <w:r>
        <w:rPr>
          <w:rFonts w:hint="eastAsia" w:ascii="宋体" w:hAnsi="宋体" w:cs="宋体"/>
          <w:b/>
          <w:color w:val="000000" w:themeColor="text1"/>
          <w:sz w:val="36"/>
        </w:rPr>
        <w:t>（正或副本）</w:t>
      </w:r>
      <w:bookmarkEnd w:id="219"/>
    </w:p>
    <w:p>
      <w:pPr>
        <w:jc w:val="center"/>
        <w:rPr>
          <w:rFonts w:ascii="宋体" w:hAnsi="宋体" w:cs="宋体"/>
          <w:b/>
          <w:color w:val="000000" w:themeColor="text1"/>
          <w:sz w:val="72"/>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ind w:firstLine="1084" w:firstLineChars="300"/>
        <w:outlineLvl w:val="0"/>
        <w:rPr>
          <w:rFonts w:ascii="宋体" w:hAnsi="宋体" w:cs="宋体"/>
          <w:b/>
          <w:color w:val="000000" w:themeColor="text1"/>
          <w:sz w:val="36"/>
        </w:rPr>
      </w:pPr>
      <w:bookmarkStart w:id="220" w:name="_Toc26923"/>
      <w:r>
        <w:rPr>
          <w:rFonts w:hint="eastAsia" w:ascii="宋体" w:hAnsi="宋体" w:cs="宋体"/>
          <w:b/>
          <w:color w:val="000000" w:themeColor="text1"/>
          <w:sz w:val="36"/>
        </w:rPr>
        <w:t>项 目 名 称：</w:t>
      </w:r>
      <w:bookmarkEnd w:id="220"/>
    </w:p>
    <w:p>
      <w:pPr>
        <w:ind w:firstLine="1084" w:firstLineChars="300"/>
        <w:outlineLvl w:val="0"/>
        <w:rPr>
          <w:rFonts w:ascii="宋体" w:hAnsi="宋体" w:cs="宋体"/>
          <w:b/>
          <w:color w:val="000000" w:themeColor="text1"/>
          <w:sz w:val="36"/>
          <w:u w:val="single"/>
        </w:rPr>
      </w:pPr>
      <w:bookmarkStart w:id="221" w:name="_Toc13450"/>
      <w:r>
        <w:rPr>
          <w:rFonts w:hint="eastAsia" w:ascii="宋体" w:hAnsi="宋体" w:cs="宋体"/>
          <w:b/>
          <w:color w:val="000000" w:themeColor="text1"/>
          <w:sz w:val="36"/>
        </w:rPr>
        <w:t>招 标 编 号：</w:t>
      </w:r>
      <w:bookmarkEnd w:id="221"/>
    </w:p>
    <w:p>
      <w:pPr>
        <w:ind w:firstLine="1084" w:firstLineChars="300"/>
        <w:outlineLvl w:val="0"/>
        <w:rPr>
          <w:rFonts w:ascii="宋体" w:hAnsi="宋体" w:cs="宋体"/>
          <w:b/>
          <w:color w:val="000000" w:themeColor="text1"/>
          <w:sz w:val="36"/>
          <w:u w:val="single"/>
        </w:rPr>
      </w:pPr>
      <w:bookmarkStart w:id="222" w:name="_Toc26135"/>
      <w:r>
        <w:rPr>
          <w:rFonts w:hint="eastAsia" w:ascii="宋体" w:hAnsi="宋体" w:cs="宋体"/>
          <w:b/>
          <w:color w:val="000000" w:themeColor="text1"/>
          <w:sz w:val="36"/>
        </w:rPr>
        <w:t>投标人名称 ：</w:t>
      </w:r>
      <w:bookmarkEnd w:id="222"/>
    </w:p>
    <w:p>
      <w:pPr>
        <w:ind w:firstLine="1084" w:firstLineChars="300"/>
        <w:outlineLvl w:val="0"/>
        <w:rPr>
          <w:rFonts w:ascii="宋体" w:hAnsi="宋体" w:cs="宋体"/>
          <w:b/>
          <w:color w:val="000000" w:themeColor="text1"/>
          <w:sz w:val="36"/>
        </w:rPr>
      </w:pPr>
      <w:bookmarkStart w:id="223" w:name="_Toc28004"/>
      <w:r>
        <w:rPr>
          <w:rFonts w:hint="eastAsia" w:ascii="宋体" w:hAnsi="宋体" w:cs="宋体"/>
          <w:b/>
          <w:color w:val="000000" w:themeColor="text1"/>
          <w:sz w:val="36"/>
        </w:rPr>
        <w:t>日      期 ：</w:t>
      </w:r>
      <w:bookmarkEnd w:id="223"/>
    </w:p>
    <w:p>
      <w:pPr>
        <w:spacing w:line="440" w:lineRule="exact"/>
        <w:jc w:val="center"/>
        <w:rPr>
          <w:rFonts w:ascii="宋体" w:hAnsi="宋体" w:cs="宋体"/>
          <w:b/>
          <w:bCs/>
          <w:color w:val="000000" w:themeColor="text1"/>
          <w:sz w:val="32"/>
          <w:szCs w:val="32"/>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jc w:val="center"/>
        <w:rPr>
          <w:rFonts w:ascii="宋体" w:hAnsi="宋体" w:cs="宋体"/>
          <w:b/>
          <w:color w:val="000000" w:themeColor="text1"/>
          <w:sz w:val="30"/>
          <w:szCs w:val="30"/>
        </w:rPr>
      </w:pPr>
      <w:r>
        <w:rPr>
          <w:rFonts w:hint="eastAsia" w:ascii="宋体" w:hAnsi="宋体" w:cs="宋体"/>
          <w:color w:val="000000" w:themeColor="text1"/>
          <w:sz w:val="24"/>
        </w:rPr>
        <w:br w:type="page"/>
      </w:r>
      <w:r>
        <w:rPr>
          <w:rFonts w:hint="eastAsia" w:ascii="宋体" w:hAnsi="宋体" w:cs="宋体"/>
          <w:b/>
          <w:color w:val="000000" w:themeColor="text1"/>
          <w:sz w:val="30"/>
          <w:szCs w:val="30"/>
        </w:rPr>
        <w:t>评分索引表</w:t>
      </w:r>
    </w:p>
    <w:p>
      <w:pPr>
        <w:spacing w:line="440" w:lineRule="exact"/>
        <w:jc w:val="center"/>
        <w:rPr>
          <w:rFonts w:ascii="宋体" w:hAnsi="宋体" w:cs="宋体"/>
          <w:b/>
          <w:color w:val="000000" w:themeColor="text1"/>
          <w:sz w:val="30"/>
          <w:szCs w:val="30"/>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jc w:val="center"/>
              <w:rPr>
                <w:rFonts w:ascii="宋体" w:hAnsi="宋体" w:cs="宋体"/>
                <w:b/>
                <w:bCs/>
                <w:color w:val="000000" w:themeColor="text1"/>
                <w:lang w:eastAsia="zh-CN"/>
              </w:rPr>
            </w:pPr>
            <w:r>
              <w:rPr>
                <w:rFonts w:hint="eastAsia" w:ascii="宋体" w:hAnsi="宋体" w:cs="宋体"/>
                <w:b/>
                <w:color w:val="000000" w:themeColor="text1"/>
              </w:rPr>
              <w:t>评分项目</w:t>
            </w:r>
          </w:p>
        </w:tc>
        <w:tc>
          <w:tcPr>
            <w:tcW w:w="3570" w:type="dxa"/>
            <w:noWrap/>
          </w:tcPr>
          <w:p>
            <w:pPr>
              <w:jc w:val="center"/>
              <w:rPr>
                <w:rFonts w:ascii="宋体" w:hAnsi="宋体" w:cs="宋体"/>
                <w:b/>
                <w:color w:val="000000" w:themeColor="text1"/>
              </w:rPr>
            </w:pPr>
            <w:r>
              <w:rPr>
                <w:rFonts w:hint="eastAsia" w:ascii="宋体" w:hAnsi="宋体" w:cs="宋体"/>
                <w:b/>
                <w:color w:val="000000" w:themeColor="text1"/>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74"/>
              <w:shd w:val="clear" w:color="auto" w:fill="FFFFFF"/>
              <w:spacing w:line="265" w:lineRule="atLeast"/>
              <w:ind w:left="420"/>
              <w:jc w:val="both"/>
              <w:rPr>
                <w:rFonts w:ascii="宋体" w:hAnsi="宋体" w:cs="宋体"/>
                <w:b/>
                <w:color w:val="000000" w:themeColor="text1"/>
                <w:lang w:eastAsia="zh-CN"/>
              </w:rPr>
            </w:pPr>
          </w:p>
        </w:tc>
        <w:tc>
          <w:tcPr>
            <w:tcW w:w="3570" w:type="dxa"/>
            <w:noWrap/>
          </w:tcPr>
          <w:p>
            <w:pPr>
              <w:rPr>
                <w:rFonts w:ascii="宋体" w:hAnsi="宋体" w:cs="宋体"/>
                <w:b/>
                <w:color w:val="000000" w:themeColor="text1"/>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4"/>
              <w:shd w:val="clear" w:color="auto" w:fill="FFFFFF"/>
              <w:spacing w:line="265" w:lineRule="atLeast"/>
              <w:ind w:left="0" w:firstLine="480" w:firstLineChars="200"/>
              <w:rPr>
                <w:rFonts w:ascii="宋体" w:hAnsi="宋体" w:cs="宋体"/>
                <w:color w:val="000000" w:themeColor="text1"/>
                <w:szCs w:val="2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4"/>
              <w:shd w:val="clear" w:color="auto" w:fill="FFFFFF"/>
              <w:spacing w:line="265" w:lineRule="atLeast"/>
              <w:ind w:left="0" w:firstLine="480" w:firstLineChars="200"/>
              <w:rPr>
                <w:rFonts w:ascii="宋体" w:hAnsi="宋体" w:cs="宋体"/>
                <w:color w:val="000000" w:themeColor="text1"/>
                <w:lang w:eastAsia="zh-CN"/>
              </w:rPr>
            </w:pPr>
          </w:p>
        </w:tc>
        <w:tc>
          <w:tcPr>
            <w:tcW w:w="3570" w:type="dxa"/>
            <w:tcBorders>
              <w:bottom w:val="single" w:color="auto" w:sz="4" w:space="0"/>
            </w:tcBorders>
            <w:noWrap/>
          </w:tcPr>
          <w:p>
            <w:pPr>
              <w:rPr>
                <w:rFonts w:ascii="宋体" w:hAnsi="宋体" w:cs="宋体"/>
                <w:color w:val="000000" w:themeColor="text1"/>
              </w:rPr>
            </w:pPr>
          </w:p>
        </w:tc>
      </w:tr>
    </w:tbl>
    <w:p>
      <w:pPr>
        <w:rPr>
          <w:rFonts w:ascii="宋体" w:hAnsi="宋体" w:cs="宋体"/>
          <w:color w:val="000000" w:themeColor="text1"/>
        </w:rPr>
      </w:pPr>
    </w:p>
    <w:p>
      <w:pPr>
        <w:ind w:firstLine="1084" w:firstLineChars="300"/>
        <w:jc w:val="center"/>
        <w:outlineLvl w:val="0"/>
        <w:rPr>
          <w:rFonts w:ascii="宋体" w:hAnsi="宋体" w:cs="宋体"/>
          <w:b/>
          <w:bCs/>
          <w:color w:val="000000" w:themeColor="text1"/>
          <w:sz w:val="32"/>
          <w:szCs w:val="32"/>
        </w:rPr>
      </w:pPr>
      <w:r>
        <w:rPr>
          <w:rFonts w:hint="eastAsia" w:ascii="宋体" w:hAnsi="宋体" w:cs="宋体"/>
          <w:b/>
          <w:color w:val="000000" w:themeColor="text1"/>
          <w:sz w:val="36"/>
          <w:u w:val="single"/>
        </w:rPr>
        <w:br w:type="page"/>
      </w:r>
      <w:bookmarkStart w:id="224" w:name="_Toc16079"/>
      <w:r>
        <w:rPr>
          <w:rFonts w:hint="eastAsia" w:ascii="宋体" w:hAnsi="宋体" w:cs="宋体"/>
          <w:b/>
          <w:bCs/>
          <w:color w:val="000000" w:themeColor="text1"/>
          <w:sz w:val="32"/>
          <w:szCs w:val="32"/>
        </w:rPr>
        <w:t>投标主要文件目录</w:t>
      </w:r>
      <w:bookmarkEnd w:id="224"/>
    </w:p>
    <w:p>
      <w:pPr>
        <w:spacing w:line="440" w:lineRule="exact"/>
        <w:jc w:val="center"/>
        <w:rPr>
          <w:rFonts w:ascii="宋体" w:hAnsi="宋体" w:cs="宋体"/>
          <w:b/>
          <w:bCs/>
          <w:color w:val="000000" w:themeColor="text1"/>
          <w:sz w:val="32"/>
          <w:szCs w:val="32"/>
        </w:rPr>
      </w:pPr>
    </w:p>
    <w:p>
      <w:pPr>
        <w:ind w:firstLine="480" w:firstLineChars="200"/>
        <w:outlineLvl w:val="0"/>
        <w:rPr>
          <w:rFonts w:ascii="宋体" w:hAnsi="宋体" w:cs="宋体"/>
          <w:color w:val="000000" w:themeColor="text1"/>
          <w:sz w:val="24"/>
        </w:rPr>
      </w:pPr>
      <w:bookmarkStart w:id="225" w:name="_Toc8971"/>
      <w:r>
        <w:rPr>
          <w:rFonts w:hint="eastAsia" w:ascii="宋体" w:hAnsi="宋体" w:cs="宋体"/>
          <w:color w:val="000000" w:themeColor="text1"/>
          <w:sz w:val="24"/>
        </w:rPr>
        <w:t>一、</w:t>
      </w:r>
      <w:r>
        <w:rPr>
          <w:rFonts w:hint="eastAsia" w:ascii="宋体" w:hAnsi="宋体" w:cs="宋体"/>
          <w:bCs/>
          <w:color w:val="000000" w:themeColor="text1"/>
          <w:sz w:val="24"/>
        </w:rPr>
        <w:t>资信证明文件要求</w:t>
      </w:r>
      <w:bookmarkEnd w:id="225"/>
    </w:p>
    <w:p>
      <w:pPr>
        <w:ind w:firstLine="482" w:firstLineChars="200"/>
        <w:outlineLvl w:val="0"/>
        <w:rPr>
          <w:rFonts w:ascii="宋体" w:hAnsi="宋体" w:cs="宋体"/>
          <w:color w:val="000000" w:themeColor="text1"/>
          <w:sz w:val="24"/>
        </w:rPr>
      </w:pPr>
      <w:bookmarkStart w:id="226" w:name="_Toc400"/>
      <w:r>
        <w:rPr>
          <w:rFonts w:hint="eastAsia" w:ascii="宋体" w:hAnsi="宋体" w:cs="宋体"/>
          <w:b/>
          <w:bCs/>
          <w:color w:val="000000" w:themeColor="text1"/>
          <w:sz w:val="24"/>
        </w:rPr>
        <w:t>二</w:t>
      </w:r>
      <w:r>
        <w:rPr>
          <w:rFonts w:hint="eastAsia" w:ascii="宋体" w:hAnsi="宋体" w:cs="宋体"/>
          <w:color w:val="000000" w:themeColor="text1"/>
          <w:sz w:val="24"/>
        </w:rPr>
        <w:t>、资格性审查响应对照表</w:t>
      </w:r>
      <w:bookmarkEnd w:id="226"/>
    </w:p>
    <w:p>
      <w:pPr>
        <w:ind w:firstLine="480" w:firstLineChars="200"/>
        <w:outlineLvl w:val="0"/>
        <w:rPr>
          <w:rFonts w:ascii="宋体" w:hAnsi="宋体" w:cs="宋体"/>
          <w:bCs/>
          <w:color w:val="000000" w:themeColor="text1"/>
          <w:sz w:val="24"/>
        </w:rPr>
      </w:pPr>
      <w:bookmarkStart w:id="227" w:name="_Toc17993"/>
      <w:r>
        <w:rPr>
          <w:rFonts w:hint="eastAsia" w:ascii="宋体" w:hAnsi="宋体" w:cs="宋体"/>
          <w:color w:val="000000" w:themeColor="text1"/>
          <w:sz w:val="24"/>
        </w:rPr>
        <w:t>三、符合性检查响应对照表</w:t>
      </w:r>
      <w:bookmarkEnd w:id="227"/>
    </w:p>
    <w:p>
      <w:pPr>
        <w:ind w:firstLine="480" w:firstLineChars="200"/>
        <w:outlineLvl w:val="0"/>
        <w:rPr>
          <w:rFonts w:ascii="宋体" w:hAnsi="宋体" w:cs="宋体"/>
          <w:color w:val="000000" w:themeColor="text1"/>
          <w:sz w:val="24"/>
        </w:rPr>
      </w:pPr>
      <w:bookmarkStart w:id="228" w:name="_Toc4466"/>
      <w:r>
        <w:rPr>
          <w:rFonts w:hint="eastAsia" w:ascii="宋体" w:hAnsi="宋体" w:cs="宋体"/>
          <w:color w:val="000000" w:themeColor="text1"/>
          <w:sz w:val="24"/>
        </w:rPr>
        <w:t>四、投标函</w:t>
      </w:r>
      <w:bookmarkEnd w:id="228"/>
    </w:p>
    <w:p>
      <w:pPr>
        <w:ind w:firstLine="480" w:firstLineChars="200"/>
        <w:outlineLvl w:val="0"/>
        <w:rPr>
          <w:rFonts w:ascii="宋体" w:hAnsi="宋体" w:cs="宋体"/>
          <w:color w:val="000000" w:themeColor="text1"/>
          <w:sz w:val="24"/>
        </w:rPr>
      </w:pPr>
      <w:bookmarkStart w:id="229" w:name="_Toc30056"/>
      <w:r>
        <w:rPr>
          <w:rFonts w:hint="eastAsia" w:ascii="宋体" w:hAnsi="宋体" w:cs="宋体"/>
          <w:color w:val="000000" w:themeColor="text1"/>
          <w:sz w:val="24"/>
        </w:rPr>
        <w:t>五</w:t>
      </w:r>
      <w:r>
        <w:rPr>
          <w:rFonts w:hint="eastAsia" w:ascii="宋体" w:hAnsi="宋体" w:cs="宋体"/>
          <w:b/>
          <w:bCs/>
          <w:color w:val="000000" w:themeColor="text1"/>
          <w:sz w:val="24"/>
        </w:rPr>
        <w:t>、</w:t>
      </w:r>
      <w:r>
        <w:rPr>
          <w:rFonts w:hint="eastAsia" w:ascii="宋体" w:hAnsi="宋体" w:cs="宋体"/>
          <w:color w:val="000000" w:themeColor="text1"/>
          <w:sz w:val="24"/>
        </w:rPr>
        <w:t>开标一览表</w:t>
      </w:r>
      <w:bookmarkEnd w:id="229"/>
    </w:p>
    <w:p>
      <w:pPr>
        <w:ind w:firstLine="480" w:firstLineChars="200"/>
        <w:outlineLvl w:val="0"/>
        <w:rPr>
          <w:rFonts w:ascii="宋体" w:hAnsi="宋体" w:cs="宋体"/>
          <w:color w:val="000000" w:themeColor="text1"/>
          <w:sz w:val="24"/>
        </w:rPr>
      </w:pPr>
      <w:bookmarkStart w:id="230" w:name="_Toc1256"/>
      <w:r>
        <w:rPr>
          <w:rFonts w:hint="eastAsia" w:ascii="宋体" w:hAnsi="宋体" w:cs="宋体"/>
          <w:color w:val="000000" w:themeColor="text1"/>
          <w:sz w:val="24"/>
        </w:rPr>
        <w:t>六、投标配置与分项报价表</w:t>
      </w:r>
      <w:bookmarkEnd w:id="230"/>
    </w:p>
    <w:p>
      <w:pPr>
        <w:ind w:firstLine="480" w:firstLineChars="200"/>
        <w:outlineLvl w:val="0"/>
        <w:rPr>
          <w:rFonts w:ascii="宋体" w:hAnsi="宋体" w:cs="宋体"/>
          <w:color w:val="000000" w:themeColor="text1"/>
          <w:sz w:val="24"/>
        </w:rPr>
      </w:pPr>
      <w:bookmarkStart w:id="231" w:name="_Toc16688"/>
      <w:r>
        <w:rPr>
          <w:rFonts w:hint="eastAsia" w:ascii="宋体" w:hAnsi="宋体" w:cs="宋体"/>
          <w:color w:val="000000" w:themeColor="text1"/>
          <w:sz w:val="24"/>
        </w:rPr>
        <w:t>七</w:t>
      </w:r>
      <w:r>
        <w:rPr>
          <w:rFonts w:hint="eastAsia" w:ascii="宋体" w:hAnsi="宋体" w:cs="宋体"/>
          <w:color w:val="000000" w:themeColor="text1"/>
          <w:sz w:val="24"/>
          <w:szCs w:val="24"/>
        </w:rPr>
        <w:t>、技术参数响应及偏离表</w:t>
      </w:r>
      <w:bookmarkEnd w:id="231"/>
    </w:p>
    <w:p>
      <w:pPr>
        <w:ind w:firstLine="480" w:firstLineChars="200"/>
        <w:outlineLvl w:val="0"/>
        <w:rPr>
          <w:rFonts w:ascii="宋体" w:hAnsi="宋体" w:cs="宋体"/>
          <w:color w:val="000000" w:themeColor="text1"/>
          <w:sz w:val="24"/>
        </w:rPr>
      </w:pPr>
      <w:bookmarkStart w:id="232" w:name="_Toc13614"/>
      <w:r>
        <w:rPr>
          <w:rFonts w:hint="eastAsia" w:ascii="宋体" w:hAnsi="宋体" w:cs="宋体"/>
          <w:color w:val="000000" w:themeColor="text1"/>
          <w:sz w:val="24"/>
        </w:rPr>
        <w:t>八、商务条款响应及偏离表</w:t>
      </w:r>
      <w:bookmarkEnd w:id="232"/>
    </w:p>
    <w:p>
      <w:pPr>
        <w:ind w:firstLine="480" w:firstLineChars="200"/>
        <w:outlineLvl w:val="0"/>
        <w:rPr>
          <w:rFonts w:ascii="宋体" w:hAnsi="宋体" w:cs="宋体"/>
          <w:color w:val="000000" w:themeColor="text1"/>
          <w:sz w:val="24"/>
        </w:rPr>
      </w:pPr>
      <w:bookmarkStart w:id="233" w:name="_Toc25377"/>
      <w:r>
        <w:rPr>
          <w:rFonts w:hint="eastAsia" w:ascii="宋体" w:hAnsi="宋体" w:cs="宋体"/>
          <w:color w:val="000000" w:themeColor="text1"/>
          <w:sz w:val="24"/>
        </w:rPr>
        <w:t>九、技术方案、服务承诺、培训承诺等</w:t>
      </w:r>
      <w:bookmarkEnd w:id="233"/>
    </w:p>
    <w:p>
      <w:pPr>
        <w:ind w:firstLine="480" w:firstLineChars="200"/>
        <w:outlineLvl w:val="0"/>
        <w:rPr>
          <w:rFonts w:ascii="宋体" w:hAnsi="宋体" w:cs="宋体"/>
          <w:color w:val="000000" w:themeColor="text1"/>
        </w:rPr>
      </w:pPr>
      <w:bookmarkStart w:id="234" w:name="_Toc28209"/>
      <w:r>
        <w:rPr>
          <w:rFonts w:hint="eastAsia" w:ascii="宋体" w:hAnsi="宋体" w:cs="宋体"/>
          <w:color w:val="000000" w:themeColor="text1"/>
          <w:sz w:val="24"/>
          <w:szCs w:val="24"/>
        </w:rPr>
        <w:t>十、中小企业声明函</w:t>
      </w:r>
      <w:bookmarkEnd w:id="234"/>
    </w:p>
    <w:p>
      <w:pPr>
        <w:spacing w:line="440" w:lineRule="exact"/>
        <w:ind w:firstLine="480" w:firstLineChars="200"/>
        <w:outlineLvl w:val="0"/>
        <w:rPr>
          <w:rFonts w:ascii="宋体" w:hAnsi="宋体" w:cs="宋体"/>
          <w:color w:val="000000" w:themeColor="text1"/>
          <w:sz w:val="24"/>
        </w:rPr>
      </w:pPr>
      <w:bookmarkStart w:id="235" w:name="_Toc13879"/>
      <w:r>
        <w:rPr>
          <w:rFonts w:hint="eastAsia" w:ascii="宋体" w:hAnsi="宋体" w:cs="宋体"/>
          <w:color w:val="000000" w:themeColor="text1"/>
          <w:sz w:val="24"/>
        </w:rPr>
        <w:t>十一、盐城市政府采购事前信用承诺书</w:t>
      </w:r>
      <w:bookmarkEnd w:id="235"/>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napToGrid w:val="0"/>
        <w:spacing w:before="50" w:after="50"/>
        <w:jc w:val="center"/>
        <w:outlineLvl w:val="0"/>
        <w:rPr>
          <w:rFonts w:ascii="宋体" w:hAnsi="宋体" w:cs="宋体"/>
          <w:b/>
          <w:bCs/>
          <w:color w:val="000000" w:themeColor="text1"/>
          <w:sz w:val="32"/>
          <w:szCs w:val="32"/>
        </w:rPr>
      </w:pPr>
      <w:r>
        <w:rPr>
          <w:rFonts w:hint="eastAsia" w:ascii="宋体" w:hAnsi="宋体" w:cs="宋体"/>
          <w:color w:val="000000" w:themeColor="text1"/>
          <w:sz w:val="24"/>
        </w:rPr>
        <w:br w:type="page"/>
      </w:r>
      <w:bookmarkStart w:id="236" w:name="_Toc27319"/>
      <w:r>
        <w:rPr>
          <w:rFonts w:hint="eastAsia" w:ascii="宋体" w:hAnsi="宋体" w:cs="宋体"/>
          <w:color w:val="000000" w:themeColor="text1"/>
          <w:sz w:val="32"/>
          <w:szCs w:val="32"/>
        </w:rPr>
        <w:t>一、</w:t>
      </w:r>
      <w:r>
        <w:rPr>
          <w:rFonts w:hint="eastAsia" w:ascii="宋体" w:hAnsi="宋体" w:cs="宋体"/>
          <w:b/>
          <w:bCs/>
          <w:color w:val="000000" w:themeColor="text1"/>
          <w:sz w:val="32"/>
          <w:szCs w:val="32"/>
        </w:rPr>
        <w:t>资信证明文件要求</w:t>
      </w:r>
      <w:bookmarkEnd w:id="236"/>
    </w:p>
    <w:p>
      <w:pPr>
        <w:snapToGrid w:val="0"/>
        <w:spacing w:before="50" w:after="50"/>
        <w:rPr>
          <w:rFonts w:ascii="宋体" w:hAnsi="宋体" w:cs="宋体"/>
          <w:i/>
          <w:color w:val="000000" w:themeColor="text1"/>
          <w:szCs w:val="24"/>
          <w:u w:val="single"/>
        </w:rPr>
      </w:pPr>
    </w:p>
    <w:p>
      <w:pPr>
        <w:snapToGrid w:val="0"/>
        <w:spacing w:line="500" w:lineRule="exact"/>
        <w:ind w:firstLine="482" w:firstLineChars="200"/>
        <w:rPr>
          <w:rFonts w:ascii="宋体" w:hAnsi="宋体" w:cs="宋体"/>
          <w:color w:val="000000" w:themeColor="text1"/>
          <w:sz w:val="24"/>
          <w:szCs w:val="20"/>
        </w:rPr>
      </w:pPr>
      <w:r>
        <w:rPr>
          <w:rFonts w:hint="eastAsia" w:ascii="宋体" w:hAnsi="宋体" w:cs="宋体"/>
          <w:b/>
          <w:bCs/>
          <w:color w:val="000000" w:themeColor="text1"/>
          <w:sz w:val="24"/>
        </w:rPr>
        <w:t>1、实质性资格证明文件目录</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文件6 法人授权书</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rPr>
      </w:pPr>
      <w:r>
        <w:rPr>
          <w:rFonts w:hint="eastAsia" w:ascii="宋体" w:hAnsi="宋体" w:cs="宋体"/>
          <w:b/>
          <w:bCs/>
          <w:color w:val="000000" w:themeColor="text1"/>
          <w:sz w:val="24"/>
        </w:rPr>
        <w:t>2、非实质性资信证明文件目录</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格式1 《企业申明函》</w:t>
      </w:r>
    </w:p>
    <w:p>
      <w:pPr>
        <w:pStyle w:val="3"/>
        <w:rPr>
          <w:rFonts w:ascii="宋体" w:hAnsi="宋体" w:eastAsia="宋体" w:cs="宋体"/>
          <w:color w:val="000000" w:themeColor="text1"/>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ind w:firstLine="0"/>
        <w:rPr>
          <w:rFonts w:ascii="宋体" w:hAnsi="宋体" w:cs="宋体"/>
          <w:color w:val="000000" w:themeColor="text1"/>
          <w:sz w:val="24"/>
          <w:szCs w:val="24"/>
        </w:rPr>
      </w:pPr>
    </w:p>
    <w:p>
      <w:pPr>
        <w:pStyle w:val="5"/>
        <w:jc w:val="center"/>
        <w:rPr>
          <w:rFonts w:ascii="宋体" w:hAnsi="宋体" w:cs="宋体"/>
          <w:b w:val="0"/>
          <w:bCs w:val="0"/>
          <w:color w:val="000000" w:themeColor="text1"/>
          <w:sz w:val="28"/>
          <w:szCs w:val="28"/>
        </w:rPr>
      </w:pPr>
      <w:r>
        <w:rPr>
          <w:rFonts w:hint="eastAsia" w:ascii="宋体" w:hAnsi="宋体" w:cs="宋体"/>
          <w:color w:val="000000" w:themeColor="text1"/>
          <w:sz w:val="28"/>
          <w:szCs w:val="28"/>
        </w:rPr>
        <w:t>具备履行合同所必需的设备和专业技术能力的书面声明</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主要设备有：。</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主要专业技术能力有：。</w:t>
      </w: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供应商名称（公章）：</w:t>
      </w:r>
    </w:p>
    <w:p>
      <w:pPr>
        <w:spacing w:line="460" w:lineRule="exact"/>
        <w:rPr>
          <w:rFonts w:ascii="宋体" w:hAnsi="宋体" w:cs="宋体"/>
          <w:bCs/>
          <w:color w:val="000000" w:themeColor="text1"/>
          <w:sz w:val="24"/>
          <w:szCs w:val="24"/>
        </w:rPr>
      </w:pPr>
    </w:p>
    <w:p>
      <w:pPr>
        <w:spacing w:line="460" w:lineRule="exact"/>
        <w:jc w:val="right"/>
        <w:rPr>
          <w:rFonts w:ascii="宋体" w:hAnsi="宋体" w:cs="宋体"/>
          <w:bCs/>
          <w:color w:val="000000" w:themeColor="text1"/>
          <w:sz w:val="24"/>
          <w:szCs w:val="24"/>
        </w:rPr>
      </w:pPr>
      <w:r>
        <w:rPr>
          <w:rFonts w:hint="eastAsia" w:ascii="宋体" w:hAnsi="宋体" w:cs="宋体"/>
          <w:bCs/>
          <w:color w:val="000000" w:themeColor="text1"/>
          <w:sz w:val="24"/>
          <w:szCs w:val="24"/>
        </w:rPr>
        <w:t>日期：</w:t>
      </w:r>
      <w:r>
        <w:rPr>
          <w:rFonts w:hint="eastAsia" w:ascii="宋体" w:hAnsi="宋体" w:cs="宋体"/>
          <w:bCs/>
          <w:color w:val="000000" w:themeColor="text1"/>
          <w:sz w:val="24"/>
          <w:szCs w:val="24"/>
          <w:u w:val="single"/>
        </w:rPr>
        <w:t xml:space="preserve">    年    月    日</w:t>
      </w:r>
    </w:p>
    <w:p>
      <w:pPr>
        <w:pStyle w:val="5"/>
        <w:jc w:val="center"/>
        <w:rPr>
          <w:rFonts w:ascii="宋体" w:hAnsi="宋体" w:cs="宋体"/>
          <w:color w:val="000000" w:themeColor="text1"/>
          <w:sz w:val="28"/>
          <w:szCs w:val="28"/>
        </w:rPr>
      </w:pPr>
      <w:r>
        <w:rPr>
          <w:rFonts w:hint="eastAsia" w:ascii="宋体" w:hAnsi="宋体" w:cs="宋体"/>
          <w:color w:val="000000" w:themeColor="text1"/>
          <w:sz w:val="28"/>
          <w:szCs w:val="28"/>
        </w:rPr>
        <w:br w:type="page"/>
      </w:r>
      <w:r>
        <w:rPr>
          <w:rFonts w:hint="eastAsia" w:ascii="宋体" w:hAnsi="宋体" w:cs="宋体"/>
          <w:color w:val="000000" w:themeColor="text1"/>
          <w:sz w:val="28"/>
          <w:szCs w:val="28"/>
        </w:rPr>
        <w:t>参加政府采购活动前 3 年内在经营活动中没有重大违法记录的书面声明</w:t>
      </w:r>
    </w:p>
    <w:p>
      <w:pPr>
        <w:spacing w:line="460" w:lineRule="exact"/>
        <w:rPr>
          <w:rFonts w:ascii="宋体" w:hAnsi="宋体" w:cs="宋体"/>
          <w:b/>
          <w:bCs/>
          <w:color w:val="000000" w:themeColor="text1"/>
          <w:sz w:val="28"/>
          <w:szCs w:val="28"/>
        </w:rPr>
      </w:pPr>
    </w:p>
    <w:p>
      <w:pPr>
        <w:jc w:val="center"/>
        <w:rPr>
          <w:rFonts w:ascii="宋体" w:hAnsi="宋体" w:cs="宋体"/>
          <w:b/>
          <w:bCs/>
          <w:color w:val="000000" w:themeColor="text1"/>
          <w:sz w:val="44"/>
          <w:szCs w:val="44"/>
        </w:rPr>
      </w:pPr>
      <w:r>
        <w:rPr>
          <w:rFonts w:hint="eastAsia" w:ascii="宋体" w:hAnsi="宋体" w:cs="宋体"/>
          <w:b/>
          <w:bCs/>
          <w:color w:val="000000" w:themeColor="text1"/>
          <w:sz w:val="44"/>
          <w:szCs w:val="44"/>
        </w:rPr>
        <w:t>声  明</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rPr>
      </w:pP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供应商名称（公章）：</w:t>
      </w: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授权代表签字：</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日期：</w:t>
      </w:r>
      <w:r>
        <w:rPr>
          <w:rFonts w:hint="eastAsia" w:ascii="宋体" w:hAnsi="宋体" w:cs="宋体"/>
          <w:bCs/>
          <w:color w:val="000000" w:themeColor="text1"/>
          <w:sz w:val="24"/>
          <w:szCs w:val="24"/>
          <w:u w:val="single"/>
        </w:rPr>
        <w:t xml:space="preserve">           年    月    日</w:t>
      </w: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pStyle w:val="5"/>
        <w:jc w:val="center"/>
        <w:rPr>
          <w:rFonts w:ascii="宋体" w:hAnsi="宋体" w:cs="宋体"/>
          <w:color w:val="000000" w:themeColor="text1"/>
          <w:sz w:val="28"/>
          <w:szCs w:val="28"/>
        </w:rPr>
      </w:pPr>
      <w:r>
        <w:rPr>
          <w:rFonts w:hint="eastAsia" w:ascii="宋体" w:hAnsi="宋体" w:cs="宋体"/>
          <w:color w:val="000000" w:themeColor="text1"/>
          <w:sz w:val="28"/>
          <w:szCs w:val="28"/>
        </w:rPr>
        <w:t>法人授权书</w:t>
      </w:r>
    </w:p>
    <w:p>
      <w:pPr>
        <w:pStyle w:val="89"/>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本授权书声明：____________（供应商名称）授权________________（被授权人的姓名）为我方就</w:t>
      </w:r>
      <w:r>
        <w:rPr>
          <w:rFonts w:hint="eastAsia" w:ascii="宋体" w:hAnsi="宋体" w:cs="宋体"/>
          <w:color w:val="000000" w:themeColor="text1"/>
          <w:sz w:val="24"/>
          <w:szCs w:val="24"/>
          <w:u w:val="single"/>
        </w:rPr>
        <w:t>2022-0Q</w:t>
      </w:r>
      <w:r>
        <w:rPr>
          <w:rFonts w:hint="eastAsia" w:ascii="宋体" w:hAnsi="宋体" w:cs="宋体"/>
          <w:color w:val="000000" w:themeColor="text1"/>
          <w:sz w:val="24"/>
          <w:szCs w:val="24"/>
        </w:rPr>
        <w:t>号项目采购活动的合法代理人，以本公司名义全权处理一切与该项目采购有关的事务。</w:t>
      </w:r>
    </w:p>
    <w:p>
      <w:pPr>
        <w:pStyle w:val="89"/>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本授权书于______年____月____日起生效，特此声明。</w:t>
      </w:r>
    </w:p>
    <w:p>
      <w:pPr>
        <w:pStyle w:val="89"/>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代理人（被授权人）：_______________________</w:t>
      </w:r>
    </w:p>
    <w:p>
      <w:pPr>
        <w:pStyle w:val="89"/>
        <w:ind w:firstLine="0" w:firstLineChars="0"/>
        <w:rPr>
          <w:rFonts w:ascii="宋体" w:hAnsi="宋体" w:cs="宋体"/>
          <w:color w:val="000000" w:themeColor="text1"/>
          <w:sz w:val="24"/>
          <w:szCs w:val="24"/>
        </w:rPr>
      </w:pPr>
    </w:p>
    <w:p>
      <w:pPr>
        <w:pStyle w:val="89"/>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89"/>
        <w:ind w:firstLine="480"/>
        <w:rPr>
          <w:rFonts w:ascii="宋体" w:hAnsi="宋体" w:cs="宋体"/>
          <w:color w:val="000000" w:themeColor="text1"/>
          <w:sz w:val="24"/>
          <w:szCs w:val="24"/>
        </w:rPr>
      </w:pPr>
    </w:p>
    <w:p>
      <w:pPr>
        <w:pStyle w:val="89"/>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授权单位盖章：_________________________________</w:t>
      </w:r>
    </w:p>
    <w:p>
      <w:pPr>
        <w:pStyle w:val="89"/>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89"/>
        <w:ind w:firstLine="480"/>
        <w:rPr>
          <w:rFonts w:ascii="宋体" w:hAnsi="宋体" w:cs="宋体"/>
          <w:color w:val="000000" w:themeColor="text1"/>
          <w:sz w:val="24"/>
          <w:szCs w:val="24"/>
          <w:u w:val="single"/>
        </w:rPr>
      </w:pPr>
      <w:r>
        <w:rPr>
          <w:rFonts w:hint="eastAsia" w:ascii="宋体" w:hAnsi="宋体" w:cs="宋体"/>
          <w:color w:val="000000" w:themeColor="text1"/>
          <w:sz w:val="24"/>
          <w:szCs w:val="24"/>
        </w:rPr>
        <w:t xml:space="preserve">      地址：</w:t>
      </w:r>
    </w:p>
    <w:p>
      <w:pPr>
        <w:pStyle w:val="89"/>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日期：                    </w:t>
      </w:r>
    </w:p>
    <w:p>
      <w:pPr>
        <w:pStyle w:val="5"/>
        <w:rPr>
          <w:rFonts w:ascii="宋体" w:hAnsi="宋体" w:cs="宋体"/>
          <w:color w:val="000000" w:themeColor="text1"/>
          <w:sz w:val="24"/>
          <w:szCs w:val="24"/>
        </w:rPr>
      </w:pPr>
      <w:bookmarkStart w:id="237" w:name="_Hlt26671380"/>
      <w:bookmarkEnd w:id="237"/>
      <w:bookmarkStart w:id="238" w:name="_格式3__银行出具的资信证明"/>
      <w:bookmarkEnd w:id="238"/>
      <w:bookmarkStart w:id="239" w:name="_Hlt26955070"/>
      <w:bookmarkEnd w:id="239"/>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560" w:lineRule="exact"/>
        <w:rPr>
          <w:rFonts w:ascii="宋体" w:hAnsi="宋体" w:cs="宋体"/>
          <w:bCs/>
          <w:color w:val="000000" w:themeColor="text1"/>
          <w:sz w:val="24"/>
        </w:rPr>
      </w:pPr>
    </w:p>
    <w:p>
      <w:pPr>
        <w:snapToGrid w:val="0"/>
        <w:spacing w:before="50" w:after="50"/>
        <w:jc w:val="center"/>
        <w:outlineLvl w:val="0"/>
        <w:rPr>
          <w:rFonts w:ascii="宋体" w:hAnsi="宋体" w:cs="宋体"/>
          <w:color w:val="000000" w:themeColor="text1"/>
          <w:sz w:val="32"/>
          <w:szCs w:val="32"/>
        </w:rPr>
      </w:pPr>
      <w:bookmarkStart w:id="240" w:name="_Toc3822"/>
      <w:r>
        <w:rPr>
          <w:rFonts w:hint="eastAsia" w:ascii="宋体" w:hAnsi="宋体" w:cs="宋体"/>
          <w:color w:val="000000" w:themeColor="text1"/>
          <w:sz w:val="32"/>
          <w:szCs w:val="32"/>
        </w:rPr>
        <w:t>二、资格性审查响应对照表（格式）</w:t>
      </w:r>
      <w:bookmarkEnd w:id="240"/>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资格性审查响应内容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pacing w:line="440" w:lineRule="exact"/>
        <w:ind w:firstLine="480" w:firstLineChars="200"/>
        <w:rPr>
          <w:rFonts w:ascii="宋体" w:hAnsi="宋体" w:cs="宋体"/>
          <w:color w:val="000000" w:themeColor="text1"/>
          <w:sz w:val="24"/>
        </w:rPr>
      </w:pPr>
    </w:p>
    <w:bookmarkEnd w:id="215"/>
    <w:bookmarkEnd w:id="216"/>
    <w:bookmarkEnd w:id="217"/>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241" w:name="_Toc26324"/>
      <w:r>
        <w:rPr>
          <w:rFonts w:hint="eastAsia" w:ascii="宋体" w:hAnsi="宋体" w:cs="宋体"/>
          <w:color w:val="000000" w:themeColor="text1"/>
          <w:sz w:val="32"/>
          <w:szCs w:val="32"/>
        </w:rPr>
        <w:t>三、符合性检查响应对照表（格式）</w:t>
      </w:r>
      <w:bookmarkEnd w:id="241"/>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符合性检查响应内容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r>
              <w:rPr>
                <w:rFonts w:hint="eastAsia" w:ascii="宋体" w:hAnsi="宋体" w:cs="宋体"/>
                <w:iCs/>
                <w:color w:val="000000" w:themeColor="text1"/>
                <w:sz w:val="24"/>
                <w:szCs w:val="24"/>
              </w:rPr>
              <w:t>招标文件中的其他实质性要求</w:t>
            </w: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32"/>
          <w:szCs w:val="32"/>
        </w:rPr>
      </w:pPr>
      <w:bookmarkStart w:id="242" w:name="_Toc120614284"/>
    </w:p>
    <w:p>
      <w:pPr>
        <w:snapToGrid w:val="0"/>
        <w:spacing w:before="50" w:after="50"/>
        <w:rPr>
          <w:rFonts w:ascii="宋体" w:hAnsi="宋体" w:cs="宋体"/>
          <w:color w:val="000000" w:themeColor="text1"/>
          <w:sz w:val="24"/>
          <w:szCs w:val="24"/>
        </w:rPr>
      </w:pP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243" w:name="_Toc13422"/>
      <w:r>
        <w:rPr>
          <w:rFonts w:hint="eastAsia" w:ascii="宋体" w:hAnsi="宋体" w:cs="宋体"/>
          <w:color w:val="000000" w:themeColor="text1"/>
          <w:sz w:val="32"/>
          <w:szCs w:val="32"/>
        </w:rPr>
        <w:t>四、投标函（格式）</w:t>
      </w:r>
      <w:bookmarkEnd w:id="243"/>
    </w:p>
    <w:p>
      <w:pPr>
        <w:pStyle w:val="98"/>
        <w:spacing w:before="0" w:after="0" w:line="420" w:lineRule="exact"/>
        <w:ind w:firstLine="0"/>
        <w:rPr>
          <w:rFonts w:ascii="宋体" w:hAnsi="宋体" w:cs="宋体"/>
          <w:color w:val="000000" w:themeColor="text1"/>
          <w:kern w:val="2"/>
        </w:rPr>
      </w:pPr>
      <w:r>
        <w:rPr>
          <w:rFonts w:hint="eastAsia" w:ascii="宋体" w:hAnsi="宋体" w:cs="宋体"/>
          <w:color w:val="000000" w:themeColor="text1"/>
          <w:kern w:val="2"/>
        </w:rPr>
        <w:t>致：</w:t>
      </w:r>
      <w:r>
        <w:rPr>
          <w:rFonts w:hint="eastAsia" w:ascii="宋体" w:hAnsi="宋体" w:cs="宋体"/>
          <w:color w:val="000000" w:themeColor="text1"/>
          <w:kern w:val="2"/>
          <w:u w:val="single"/>
        </w:rPr>
        <w:t>盐城工业职业技术学院</w:t>
      </w:r>
    </w:p>
    <w:p>
      <w:pPr>
        <w:pStyle w:val="98"/>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根据贵方的</w:t>
      </w:r>
      <w:r>
        <w:rPr>
          <w:rFonts w:hint="eastAsia" w:ascii="宋体" w:hAnsi="宋体" w:cs="宋体"/>
          <w:color w:val="000000" w:themeColor="text1"/>
          <w:kern w:val="2"/>
          <w:u w:val="single"/>
        </w:rPr>
        <w:t>2022-0Q号</w:t>
      </w:r>
      <w:r>
        <w:rPr>
          <w:rFonts w:hint="eastAsia" w:ascii="宋体" w:hAnsi="宋体" w:cs="宋体"/>
          <w:color w:val="000000" w:themeColor="text1"/>
          <w:kern w:val="2"/>
        </w:rPr>
        <w:t>招标文件，正式授权下述签字人_________________(姓名)代表我方______________（投标人的名称），全权处理本次项目投标的有关事宜。</w:t>
      </w:r>
    </w:p>
    <w:p>
      <w:pPr>
        <w:pStyle w:val="98"/>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据此函，__________签字人兹宣布同意如下：</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1.按招标文件规定的各项要求，向买方提供所需货物与服务。</w:t>
      </w:r>
    </w:p>
    <w:p>
      <w:pPr>
        <w:pStyle w:val="98"/>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2.我们完全理解贵方不一定将合同授予最低报价的投标人。</w:t>
      </w:r>
    </w:p>
    <w:p>
      <w:pPr>
        <w:pStyle w:val="98"/>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3.我们已详细审核全部招标文件及其有效补充文件，我们知道必须放弃提出含糊不清或误解问题的权利。</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4.我们同意从规定的开标日期起遵循本投标文件，并在规定的投标有效期期满之前均具有约束力。</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5.如果在开标后规定的投标有效期内撤回投标或中标后拒绝签订合同，</w:t>
      </w:r>
      <w:r>
        <w:rPr>
          <w:rFonts w:hint="eastAsia" w:ascii="宋体" w:hAnsi="宋体" w:cs="宋体"/>
          <w:color w:val="000000" w:themeColor="text1"/>
        </w:rPr>
        <w:t>则按照国家相关法律法规受到相应处罚</w:t>
      </w:r>
      <w:r>
        <w:rPr>
          <w:rFonts w:hint="eastAsia" w:ascii="宋体" w:hAnsi="宋体" w:cs="宋体"/>
          <w:color w:val="000000" w:themeColor="text1"/>
          <w:kern w:val="2"/>
        </w:rPr>
        <w:t>。</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6.同意向贵方提供贵方可能另外要求的与投标有关的任何证据或资料，并保证我方已提供和将要提供的文件是真实的、准确的。</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7.一旦我方中标,我方将根据招标文件的规定，严格履行合同的责任和义务,并保证在招标文件规定的时间完成项目，交付买方验收、使用。</w:t>
      </w:r>
    </w:p>
    <w:p>
      <w:pPr>
        <w:pStyle w:val="98"/>
        <w:spacing w:before="0" w:after="0" w:line="420" w:lineRule="exact"/>
        <w:ind w:left="425" w:firstLine="0"/>
        <w:rPr>
          <w:rFonts w:ascii="宋体" w:hAnsi="宋体" w:cs="宋体"/>
          <w:color w:val="000000" w:themeColor="text1"/>
          <w:kern w:val="2"/>
        </w:rPr>
      </w:pPr>
      <w:r>
        <w:rPr>
          <w:rFonts w:hint="eastAsia" w:ascii="宋体" w:hAnsi="宋体" w:cs="宋体"/>
          <w:color w:val="000000" w:themeColor="text1"/>
          <w:kern w:val="2"/>
        </w:rPr>
        <w:t>8.与本投标有关的正式通讯地址为：</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地          址：</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邮          编：</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电          话：</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传          真：</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投标人开户行：</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账          户： </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投标人授权代表姓名（签字）： </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投标人名称（公章）： </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日           期：________年____月____日</w:t>
      </w:r>
    </w:p>
    <w:p>
      <w:pPr>
        <w:snapToGrid w:val="0"/>
        <w:spacing w:before="50" w:after="145" w:afterLines="50"/>
        <w:jc w:val="left"/>
        <w:rPr>
          <w:rFonts w:ascii="宋体" w:hAnsi="宋体" w:cs="宋体"/>
          <w:color w:val="000000" w:themeColor="text1"/>
          <w:sz w:val="24"/>
          <w:szCs w:val="24"/>
        </w:rPr>
      </w:pP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snapToGrid w:val="0"/>
        <w:spacing w:before="50" w:after="50"/>
        <w:jc w:val="center"/>
        <w:rPr>
          <w:rFonts w:ascii="宋体" w:hAnsi="宋体" w:cs="宋体"/>
          <w:color w:val="000000" w:themeColor="text1"/>
          <w:sz w:val="32"/>
          <w:szCs w:val="32"/>
        </w:rPr>
      </w:pPr>
    </w:p>
    <w:p>
      <w:pPr>
        <w:numPr>
          <w:ilvl w:val="0"/>
          <w:numId w:val="8"/>
        </w:numPr>
        <w:snapToGrid w:val="0"/>
        <w:spacing w:before="50" w:after="50"/>
        <w:jc w:val="center"/>
        <w:outlineLvl w:val="0"/>
        <w:rPr>
          <w:rFonts w:ascii="宋体" w:hAnsi="宋体" w:cs="宋体"/>
          <w:color w:val="000000" w:themeColor="text1"/>
          <w:sz w:val="32"/>
          <w:szCs w:val="32"/>
        </w:rPr>
      </w:pPr>
      <w:bookmarkStart w:id="244" w:name="_Toc8939"/>
      <w:r>
        <w:rPr>
          <w:rFonts w:hint="eastAsia" w:ascii="宋体" w:hAnsi="宋体" w:cs="宋体"/>
          <w:color w:val="000000" w:themeColor="text1"/>
          <w:sz w:val="32"/>
          <w:szCs w:val="32"/>
        </w:rPr>
        <w:t>开标一览表（格式）</w:t>
      </w:r>
      <w:bookmarkEnd w:id="244"/>
    </w:p>
    <w:p>
      <w:pPr>
        <w:pStyle w:val="3"/>
        <w:jc w:val="both"/>
        <w:rPr>
          <w:rFonts w:ascii="宋体" w:hAnsi="宋体" w:eastAsia="宋体" w:cs="宋体"/>
          <w:color w:val="000000" w:themeColor="text1"/>
        </w:rPr>
      </w:pPr>
    </w:p>
    <w:tbl>
      <w:tblPr>
        <w:tblStyle w:val="4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color w:val="000000" w:themeColor="text1"/>
                <w:sz w:val="24"/>
                <w:szCs w:val="24"/>
              </w:rPr>
            </w:pPr>
            <w:r>
              <w:rPr>
                <w:rStyle w:val="115"/>
                <w:rFonts w:hint="eastAsia" w:ascii="宋体" w:hAnsi="宋体" w:cs="宋体"/>
                <w:b/>
                <w:bCs/>
                <w:color w:val="000000" w:themeColor="text1"/>
                <w:sz w:val="24"/>
                <w:szCs w:val="24"/>
              </w:rPr>
              <w:t>项目投标报价：（大写）</w:t>
            </w:r>
            <w:r>
              <w:rPr>
                <w:rStyle w:val="115"/>
                <w:rFonts w:hint="eastAsia" w:ascii="宋体" w:hAnsi="宋体" w:cs="宋体"/>
                <w:color w:val="000000" w:themeColor="text1"/>
                <w:sz w:val="24"/>
                <w:szCs w:val="24"/>
              </w:rPr>
              <w:t>_____</w:t>
            </w:r>
            <w:r>
              <w:rPr>
                <w:rStyle w:val="115"/>
                <w:rFonts w:hint="eastAsia" w:ascii="宋体" w:hAnsi="宋体" w:cs="宋体"/>
                <w:b/>
                <w:bCs/>
                <w:color w:val="000000" w:themeColor="text1"/>
                <w:sz w:val="24"/>
                <w:szCs w:val="24"/>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rPr>
            </w:pPr>
            <w:r>
              <w:rPr>
                <w:rStyle w:val="115"/>
                <w:rFonts w:hint="eastAsia" w:ascii="宋体" w:hAnsi="宋体" w:cs="宋体"/>
                <w:b/>
                <w:bCs/>
                <w:color w:val="000000" w:themeColor="text1"/>
                <w:sz w:val="24"/>
                <w:szCs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rPr>
            </w:pPr>
            <w:r>
              <w:rPr>
                <w:rStyle w:val="115"/>
                <w:rFonts w:hint="eastAsia" w:ascii="宋体" w:hAnsi="宋体" w:cs="宋体"/>
                <w:b/>
                <w:bCs/>
                <w:color w:val="000000" w:themeColor="text1"/>
                <w:sz w:val="24"/>
                <w:szCs w:val="24"/>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Cs w:val="28"/>
              </w:rPr>
            </w:pPr>
            <w:r>
              <w:rPr>
                <w:rStyle w:val="115"/>
                <w:rFonts w:hint="eastAsia" w:ascii="宋体" w:hAnsi="宋体" w:cs="宋体"/>
                <w:b/>
                <w:bCs/>
                <w:color w:val="000000" w:themeColor="text1"/>
                <w:szCs w:val="28"/>
              </w:rPr>
              <w:t>是否提供《中小企业声明函》：是 / 否   ，见（       ）页。</w:t>
            </w:r>
          </w:p>
        </w:tc>
      </w:tr>
    </w:tbl>
    <w:p>
      <w:pPr>
        <w:spacing w:line="180" w:lineRule="atLeast"/>
        <w:rPr>
          <w:rFonts w:ascii="宋体" w:hAnsi="宋体" w:cs="宋体"/>
          <w:color w:val="000000" w:themeColor="text1"/>
          <w:szCs w:val="28"/>
        </w:rPr>
      </w:pPr>
    </w:p>
    <w:p>
      <w:pPr>
        <w:spacing w:line="180" w:lineRule="atLeast"/>
        <w:rPr>
          <w:rFonts w:ascii="宋体" w:hAnsi="宋体" w:cs="宋体"/>
          <w:color w:val="000000" w:themeColor="text1"/>
          <w:szCs w:val="28"/>
        </w:rPr>
      </w:pPr>
      <w:r>
        <w:rPr>
          <w:rFonts w:hint="eastAsia" w:ascii="宋体" w:hAnsi="宋体" w:cs="宋体"/>
          <w:color w:val="000000" w:themeColor="text1"/>
          <w:szCs w:val="28"/>
        </w:rPr>
        <w:t>填写说明：</w:t>
      </w:r>
    </w:p>
    <w:p>
      <w:pPr>
        <w:numPr>
          <w:ilvl w:val="0"/>
          <w:numId w:val="9"/>
        </w:numPr>
        <w:rPr>
          <w:rFonts w:ascii="宋体" w:hAnsi="宋体" w:cs="宋体"/>
          <w:color w:val="000000" w:themeColor="text1"/>
          <w:sz w:val="24"/>
        </w:rPr>
      </w:pPr>
      <w:r>
        <w:rPr>
          <w:rFonts w:hint="eastAsia" w:ascii="宋体" w:hAnsi="宋体" w:cs="宋体"/>
          <w:color w:val="000000" w:themeColor="text1"/>
          <w:sz w:val="24"/>
        </w:rPr>
        <w:t>开标一览表不得填报选择性报价，否则将作为无效投标；</w:t>
      </w:r>
    </w:p>
    <w:p>
      <w:pPr>
        <w:numPr>
          <w:ilvl w:val="0"/>
          <w:numId w:val="9"/>
        </w:numPr>
        <w:rPr>
          <w:rFonts w:ascii="宋体" w:hAnsi="宋体" w:cs="宋体"/>
          <w:color w:val="000000" w:themeColor="text1"/>
          <w:sz w:val="24"/>
        </w:rPr>
      </w:pPr>
      <w:r>
        <w:rPr>
          <w:rFonts w:hint="eastAsia" w:ascii="宋体" w:hAnsi="宋体" w:cs="宋体"/>
          <w:color w:val="000000" w:themeColor="text1"/>
          <w:sz w:val="24"/>
        </w:rPr>
        <w:t>开标一览表中报价与投标分项明细报价表中不符时时，以开标一览表为准；</w:t>
      </w:r>
    </w:p>
    <w:p>
      <w:pPr>
        <w:ind w:firstLine="2640" w:firstLineChars="600"/>
        <w:rPr>
          <w:rFonts w:ascii="宋体" w:hAnsi="宋体" w:cs="宋体"/>
          <w:color w:val="000000" w:themeColor="text1"/>
          <w:sz w:val="44"/>
        </w:rPr>
      </w:pPr>
    </w:p>
    <w:p>
      <w:pPr>
        <w:ind w:firstLine="480"/>
        <w:rPr>
          <w:rFonts w:ascii="宋体" w:hAnsi="宋体" w:cs="宋体"/>
          <w:color w:val="000000" w:themeColor="text1"/>
          <w:sz w:val="24"/>
        </w:rPr>
      </w:pPr>
    </w:p>
    <w:p>
      <w:pPr>
        <w:ind w:firstLine="480"/>
        <w:rPr>
          <w:rFonts w:ascii="宋体" w:hAnsi="宋体" w:cs="宋体"/>
          <w:color w:val="000000" w:themeColor="text1"/>
          <w:sz w:val="24"/>
        </w:rPr>
      </w:pPr>
    </w:p>
    <w:p>
      <w:pPr>
        <w:ind w:firstLine="480"/>
        <w:jc w:val="center"/>
        <w:rPr>
          <w:rFonts w:ascii="宋体" w:hAnsi="宋体" w:cs="宋体"/>
          <w:color w:val="000000" w:themeColor="text1"/>
          <w:sz w:val="24"/>
        </w:rPr>
      </w:pPr>
      <w:r>
        <w:rPr>
          <w:rFonts w:hint="eastAsia" w:ascii="宋体" w:hAnsi="宋体" w:cs="宋体"/>
          <w:bCs/>
          <w:color w:val="000000" w:themeColor="text1"/>
          <w:sz w:val="24"/>
        </w:rPr>
        <w:t>供应商名称（公章）：</w:t>
      </w:r>
    </w:p>
    <w:p>
      <w:pPr>
        <w:ind w:firstLine="480"/>
        <w:rPr>
          <w:rFonts w:ascii="宋体" w:hAnsi="宋体" w:cs="宋体"/>
          <w:color w:val="000000" w:themeColor="text1"/>
          <w:sz w:val="24"/>
        </w:rPr>
      </w:pPr>
      <w:r>
        <w:rPr>
          <w:rFonts w:hint="eastAsia" w:ascii="宋体" w:hAnsi="宋体" w:cs="宋体"/>
          <w:color w:val="000000" w:themeColor="text1"/>
          <w:sz w:val="24"/>
        </w:rPr>
        <w:t xml:space="preserve">                                   日期：  年月日</w:t>
      </w:r>
    </w:p>
    <w:p>
      <w:pPr>
        <w:snapToGrid w:val="0"/>
        <w:spacing w:before="50" w:after="50"/>
        <w:rPr>
          <w:rFonts w:ascii="宋体" w:hAnsi="宋体" w:cs="宋体"/>
          <w:color w:val="000000" w:themeColor="text1"/>
          <w:sz w:val="32"/>
          <w:szCs w:val="32"/>
        </w:rPr>
      </w:pPr>
    </w:p>
    <w:p>
      <w:pPr>
        <w:rPr>
          <w:rFonts w:ascii="宋体" w:hAnsi="宋体" w:cs="宋体"/>
          <w:color w:val="000000" w:themeColor="text1"/>
          <w:sz w:val="32"/>
          <w:szCs w:val="32"/>
        </w:rPr>
      </w:pPr>
    </w:p>
    <w:p>
      <w:pPr>
        <w:pStyle w:val="4"/>
        <w:pageBreakBefore/>
        <w:rPr>
          <w:rFonts w:ascii="宋体" w:hAnsi="宋体" w:eastAsia="宋体" w:cs="宋体"/>
          <w:bCs w:val="0"/>
          <w:color w:val="000000" w:themeColor="text1"/>
          <w:sz w:val="32"/>
          <w:szCs w:val="32"/>
        </w:rPr>
      </w:pPr>
      <w:r>
        <w:rPr>
          <w:rFonts w:ascii="宋体" w:hAnsi="宋体" w:eastAsia="宋体" w:cs="宋体"/>
          <w:bCs w:val="0"/>
          <w:color w:val="000000" w:themeColor="text1"/>
          <w:sz w:val="32"/>
          <w:szCs w:val="32"/>
        </w:rPr>
        <w:t>中小企业声明</w:t>
      </w:r>
    </w:p>
    <w:p>
      <w:pPr>
        <w:spacing w:line="360" w:lineRule="auto"/>
        <w:rPr>
          <w:rFonts w:ascii="宋体" w:hAnsi="宋体" w:cs="宋体"/>
          <w:color w:val="000000" w:themeColor="text1"/>
        </w:rPr>
      </w:pPr>
      <w:r>
        <w:rPr>
          <w:rFonts w:hint="eastAsia" w:ascii="宋体" w:hAnsi="宋体" w:cs="宋体"/>
          <w:color w:val="000000" w:themeColor="text1"/>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rPr>
      </w:pPr>
      <w:r>
        <w:rPr>
          <w:rFonts w:hint="eastAsia" w:ascii="宋体" w:hAnsi="宋体" w:cs="宋体"/>
          <w:color w:val="000000" w:themeColor="text1"/>
        </w:rPr>
        <w:t>附件：1、中小企业声明函（货物）</w:t>
      </w:r>
    </w:p>
    <w:p>
      <w:pPr>
        <w:spacing w:line="360" w:lineRule="auto"/>
        <w:ind w:firstLine="420" w:firstLineChars="200"/>
        <w:outlineLvl w:val="0"/>
        <w:rPr>
          <w:rFonts w:ascii="宋体" w:hAnsi="宋体" w:cs="宋体"/>
          <w:color w:val="000000" w:themeColor="text1"/>
        </w:rPr>
      </w:pPr>
      <w:r>
        <w:rPr>
          <w:rFonts w:hint="eastAsia" w:ascii="宋体" w:hAnsi="宋体" w:cs="宋体"/>
          <w:color w:val="000000" w:themeColor="text1"/>
        </w:rPr>
        <w:t>附件：2、《残疾人福利性单位声明函》（格式）</w:t>
      </w: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r>
        <w:rPr>
          <w:rFonts w:hint="eastAsia"/>
          <w:b/>
          <w:color w:val="000000" w:themeColor="text1"/>
          <w:shd w:val="clear" w:color="auto" w:fill="FFFFFF"/>
        </w:rPr>
        <w:t>附件1：</w:t>
      </w:r>
      <w:r>
        <w:rPr>
          <w:rFonts w:hint="eastAsia"/>
          <w:b/>
          <w:bCs/>
          <w:color w:val="000000" w:themeColor="text1"/>
        </w:rPr>
        <w:t>中小企业声明函（货物）</w:t>
      </w:r>
    </w:p>
    <w:p>
      <w:pPr>
        <w:pStyle w:val="40"/>
        <w:shd w:val="clear" w:color="auto" w:fill="FFFFFF"/>
        <w:spacing w:before="0" w:beforeAutospacing="0" w:after="0" w:afterAutospacing="0" w:line="560" w:lineRule="atLeast"/>
        <w:jc w:val="center"/>
        <w:rPr>
          <w:color w:val="000000" w:themeColor="text1"/>
          <w:sz w:val="21"/>
          <w:szCs w:val="21"/>
        </w:rPr>
      </w:pPr>
      <w:r>
        <w:rPr>
          <w:rFonts w:hint="eastAsia"/>
          <w:b/>
          <w:color w:val="000000" w:themeColor="text1"/>
          <w:shd w:val="clear" w:color="auto" w:fill="FFFFFF"/>
        </w:rPr>
        <w:t>中小企业声明函（货物）</w:t>
      </w: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本公司（联合体）郑重声明，根据《政府采购促进中小企业发展管理办法》（财库﹝2020﹞46 号）的规定，本公司（联合体）参加</w:t>
      </w:r>
      <w:r>
        <w:rPr>
          <w:rFonts w:hint="eastAsia"/>
          <w:color w:val="000000" w:themeColor="text1"/>
          <w:u w:val="single"/>
          <w:shd w:val="clear" w:color="auto" w:fill="FFFFFF"/>
        </w:rPr>
        <w:t>（单位名称）</w:t>
      </w:r>
      <w:r>
        <w:rPr>
          <w:rFonts w:hint="eastAsia"/>
          <w:color w:val="000000" w:themeColor="text1"/>
          <w:shd w:val="clear" w:color="auto" w:fill="FFFFFF"/>
        </w:rPr>
        <w:t>的</w:t>
      </w:r>
      <w:r>
        <w:rPr>
          <w:rFonts w:hint="eastAsia"/>
          <w:color w:val="000000" w:themeColor="text1"/>
          <w:u w:val="single"/>
          <w:shd w:val="clear" w:color="auto" w:fill="FFFFFF"/>
        </w:rPr>
        <w:t>（项目名称）</w:t>
      </w:r>
      <w:r>
        <w:rPr>
          <w:rFonts w:hint="eastAsia"/>
          <w:color w:val="000000" w:themeColor="text1"/>
          <w:shd w:val="clear" w:color="auto" w:fill="FFFFFF"/>
        </w:rPr>
        <w:t>采购活动，提供的货物全部由符合政策要求的中小企业制造。相关企业（含联合体中的中小企业、签订分包意向协议的中小企业）的具体情况如下：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1.</w:t>
      </w: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840"/>
        <w:rPr>
          <w:color w:val="000000" w:themeColor="text1"/>
        </w:rPr>
      </w:pP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本企业对上述声明内容的真实性负责。如有虚假，将依法承担相应责任。</w:t>
      </w:r>
    </w:p>
    <w:p>
      <w:pPr>
        <w:pStyle w:val="40"/>
        <w:shd w:val="clear" w:color="auto" w:fill="FFFFFF"/>
        <w:adjustRightInd w:val="0"/>
        <w:snapToGrid w:val="0"/>
        <w:spacing w:before="0" w:beforeAutospacing="0" w:after="0" w:afterAutospacing="0" w:line="360" w:lineRule="auto"/>
        <w:ind w:firstLine="4080"/>
        <w:rPr>
          <w:color w:val="000000" w:themeColor="text1"/>
        </w:rPr>
      </w:pPr>
      <w:r>
        <w:rPr>
          <w:rFonts w:hint="eastAsia"/>
          <w:color w:val="000000" w:themeColor="text1"/>
          <w:shd w:val="clear" w:color="auto" w:fill="FFFFFF"/>
        </w:rPr>
        <w:t>企业名称（盖章）：</w:t>
      </w:r>
    </w:p>
    <w:p>
      <w:pPr>
        <w:pStyle w:val="40"/>
        <w:shd w:val="clear" w:color="auto" w:fill="FFFFFF"/>
        <w:adjustRightInd w:val="0"/>
        <w:snapToGrid w:val="0"/>
        <w:spacing w:before="0" w:beforeAutospacing="0" w:after="0" w:afterAutospacing="0" w:line="360" w:lineRule="auto"/>
        <w:ind w:firstLine="4080"/>
        <w:rPr>
          <w:color w:val="000000" w:themeColor="text1"/>
        </w:rPr>
      </w:pPr>
      <w:r>
        <w:rPr>
          <w:rFonts w:hint="eastAsia"/>
          <w:color w:val="000000" w:themeColor="text1"/>
          <w:shd w:val="clear" w:color="auto" w:fill="FFFFFF"/>
        </w:rPr>
        <w:t>日期：</w:t>
      </w:r>
    </w:p>
    <w:p>
      <w:pPr>
        <w:pStyle w:val="40"/>
        <w:shd w:val="clear" w:color="auto" w:fill="FFFFFF"/>
        <w:adjustRightInd w:val="0"/>
        <w:snapToGrid w:val="0"/>
        <w:spacing w:before="0" w:beforeAutospacing="0" w:after="0" w:afterAutospacing="0" w:line="360" w:lineRule="auto"/>
        <w:rPr>
          <w:color w:val="000000" w:themeColor="text1"/>
        </w:rPr>
      </w:pPr>
      <w:r>
        <w:rPr>
          <w:rFonts w:hint="eastAsia"/>
          <w:b/>
          <w:color w:val="000000" w:themeColor="text1"/>
          <w:shd w:val="clear" w:color="auto" w:fill="FFFFFF"/>
        </w:rPr>
        <w:t>从业人员、营业收入、资产总额填报上一年度数据，无上一年度数据的新成立企业可不填报。</w:t>
      </w: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spacing w:line="360" w:lineRule="auto"/>
        <w:outlineLvl w:val="0"/>
        <w:rPr>
          <w:rFonts w:ascii="宋体" w:hAnsi="宋体" w:cs="宋体"/>
          <w:b/>
          <w:color w:val="000000" w:themeColor="text1"/>
          <w:sz w:val="24"/>
          <w:szCs w:val="24"/>
        </w:rPr>
      </w:pPr>
    </w:p>
    <w:p>
      <w:pPr>
        <w:spacing w:line="360" w:lineRule="auto"/>
        <w:outlineLvl w:val="0"/>
        <w:rPr>
          <w:rFonts w:ascii="宋体" w:hAnsi="宋体" w:cs="宋体"/>
          <w:b/>
          <w:color w:val="000000" w:themeColor="text1"/>
          <w:sz w:val="24"/>
          <w:szCs w:val="24"/>
        </w:rPr>
      </w:pPr>
      <w:r>
        <w:rPr>
          <w:rFonts w:hint="eastAsia" w:ascii="宋体" w:hAnsi="宋体" w:cs="宋体"/>
          <w:b/>
          <w:color w:val="000000" w:themeColor="text1"/>
          <w:sz w:val="24"/>
          <w:szCs w:val="24"/>
        </w:rPr>
        <w:t>附件2、残疾人福利性单位声明函</w:t>
      </w:r>
    </w:p>
    <w:p>
      <w:pPr>
        <w:spacing w:line="360" w:lineRule="auto"/>
        <w:rPr>
          <w:rFonts w:ascii="宋体" w:hAnsi="宋体" w:cs="宋体"/>
          <w:b/>
          <w:color w:val="000000" w:themeColor="text1"/>
          <w:sz w:val="24"/>
          <w:szCs w:val="24"/>
        </w:rPr>
      </w:pPr>
    </w:p>
    <w:p>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残疾人福利性单位声明函</w:t>
      </w:r>
    </w:p>
    <w:p>
      <w:pPr>
        <w:spacing w:line="360" w:lineRule="auto"/>
        <w:ind w:firstLine="482" w:firstLineChars="200"/>
        <w:jc w:val="center"/>
        <w:rPr>
          <w:rFonts w:ascii="宋体" w:hAnsi="宋体" w:cs="宋体"/>
          <w:b/>
          <w:color w:val="000000" w:themeColor="text1"/>
          <w:sz w:val="24"/>
          <w:szCs w:val="24"/>
        </w:rPr>
      </w:pP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rPr>
      </w:pPr>
    </w:p>
    <w:p>
      <w:pPr>
        <w:spacing w:line="360" w:lineRule="auto"/>
        <w:ind w:firstLine="3960" w:firstLineChars="1650"/>
        <w:rPr>
          <w:rStyle w:val="122"/>
          <w:rFonts w:ascii="宋体" w:hAnsi="宋体" w:cs="宋体"/>
          <w:color w:val="000000" w:themeColor="text1"/>
          <w:sz w:val="24"/>
          <w:szCs w:val="24"/>
          <w:u w:val="single"/>
        </w:rPr>
      </w:pPr>
      <w:r>
        <w:rPr>
          <w:rFonts w:hint="eastAsia" w:ascii="宋体" w:hAnsi="宋体" w:cs="宋体"/>
          <w:color w:val="000000" w:themeColor="text1"/>
          <w:kern w:val="0"/>
          <w:sz w:val="24"/>
          <w:szCs w:val="24"/>
        </w:rPr>
        <w:t>残疾人福利性</w:t>
      </w:r>
      <w:r>
        <w:rPr>
          <w:rFonts w:hint="eastAsia" w:ascii="宋体" w:hAnsi="宋体" w:cs="宋体"/>
          <w:color w:val="000000" w:themeColor="text1"/>
          <w:sz w:val="24"/>
          <w:szCs w:val="24"/>
        </w:rPr>
        <w:t>单位名称（盖章）：</w:t>
      </w:r>
    </w:p>
    <w:p>
      <w:pPr>
        <w:spacing w:line="360" w:lineRule="auto"/>
        <w:ind w:firstLine="3960" w:firstLineChars="1650"/>
        <w:rPr>
          <w:rFonts w:ascii="宋体" w:hAnsi="宋体" w:cs="宋体"/>
          <w:color w:val="000000" w:themeColor="text1"/>
          <w:sz w:val="24"/>
          <w:szCs w:val="24"/>
        </w:rPr>
      </w:pPr>
      <w:r>
        <w:rPr>
          <w:rFonts w:hint="eastAsia" w:ascii="宋体" w:hAnsi="宋体" w:cs="宋体"/>
          <w:color w:val="000000" w:themeColor="text1"/>
          <w:sz w:val="24"/>
          <w:szCs w:val="24"/>
        </w:rPr>
        <w:t>日</w:t>
      </w:r>
      <w:r>
        <w:rPr>
          <w:rStyle w:val="122"/>
          <w:rFonts w:hint="eastAsia" w:ascii="宋体" w:hAnsi="宋体" w:cs="宋体"/>
          <w:color w:val="000000" w:themeColor="text1"/>
          <w:sz w:val="24"/>
          <w:szCs w:val="24"/>
        </w:rPr>
        <w:t> </w:t>
      </w:r>
      <w:r>
        <w:rPr>
          <w:rFonts w:hint="eastAsia" w:ascii="宋体" w:hAnsi="宋体" w:cs="宋体"/>
          <w:color w:val="000000" w:themeColor="text1"/>
          <w:sz w:val="24"/>
          <w:szCs w:val="24"/>
        </w:rPr>
        <w:t> 期：</w:t>
      </w:r>
    </w:p>
    <w:p>
      <w:pPr>
        <w:rPr>
          <w:color w:val="000000" w:themeColor="text1"/>
        </w:rPr>
        <w:sectPr>
          <w:headerReference r:id="rId8" w:type="default"/>
          <w:footerReference r:id="rId9" w:type="default"/>
          <w:pgSz w:w="11906" w:h="16838"/>
          <w:pgMar w:top="1417" w:right="1588" w:bottom="1417" w:left="1365" w:header="851" w:footer="907" w:gutter="0"/>
          <w:pgNumType w:fmt="decimal"/>
          <w:cols w:space="720" w:num="1"/>
          <w:docGrid w:type="lines" w:linePitch="290" w:charSpace="0"/>
        </w:sectPr>
      </w:pPr>
    </w:p>
    <w:p>
      <w:pPr>
        <w:snapToGrid w:val="0"/>
        <w:spacing w:before="50" w:after="50"/>
        <w:rPr>
          <w:rFonts w:ascii="宋体" w:hAnsi="宋体"/>
          <w:color w:val="000000" w:themeColor="text1"/>
          <w:sz w:val="32"/>
          <w:szCs w:val="32"/>
        </w:rPr>
      </w:pPr>
      <w:bookmarkStart w:id="245" w:name="_Toc3073"/>
    </w:p>
    <w:p>
      <w:pPr>
        <w:snapToGrid w:val="0"/>
        <w:spacing w:before="50" w:after="50"/>
        <w:jc w:val="center"/>
        <w:outlineLvl w:val="0"/>
        <w:rPr>
          <w:rFonts w:ascii="宋体" w:hAnsi="宋体" w:cs="宋体"/>
          <w:color w:val="000000" w:themeColor="text1"/>
          <w:sz w:val="32"/>
          <w:szCs w:val="32"/>
        </w:rPr>
      </w:pPr>
      <w:r>
        <w:rPr>
          <w:rFonts w:hint="eastAsia" w:ascii="宋体" w:hAnsi="宋体" w:cs="宋体"/>
          <w:color w:val="000000" w:themeColor="text1"/>
          <w:sz w:val="32"/>
          <w:szCs w:val="32"/>
        </w:rPr>
        <w:t>六、投标产品配置及分项报价表（格式）</w:t>
      </w:r>
      <w:bookmarkEnd w:id="245"/>
    </w:p>
    <w:p>
      <w:pPr>
        <w:snapToGrid w:val="0"/>
        <w:spacing w:before="50" w:after="50"/>
        <w:jc w:val="center"/>
        <w:rPr>
          <w:rFonts w:ascii="宋体" w:hAnsi="宋体" w:cs="宋体"/>
          <w:color w:val="000000" w:themeColor="text1"/>
          <w:sz w:val="32"/>
          <w:szCs w:val="32"/>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168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货物名称</w:t>
            </w:r>
          </w:p>
        </w:tc>
        <w:tc>
          <w:tcPr>
            <w:tcW w:w="143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规格、型号</w:t>
            </w:r>
          </w:p>
        </w:tc>
        <w:tc>
          <w:tcPr>
            <w:tcW w:w="1065"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单位</w:t>
            </w:r>
          </w:p>
        </w:tc>
        <w:tc>
          <w:tcPr>
            <w:tcW w:w="107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数量</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单价</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4</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5</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6</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7</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8</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合计</w:t>
            </w:r>
          </w:p>
        </w:tc>
        <w:tc>
          <w:tcPr>
            <w:tcW w:w="8101" w:type="dxa"/>
            <w:gridSpan w:val="6"/>
            <w:noWrap/>
          </w:tcPr>
          <w:p>
            <w:pPr>
              <w:rPr>
                <w:rFonts w:ascii="宋体" w:hAnsi="宋体" w:cs="宋体"/>
                <w:color w:val="000000" w:themeColor="text1"/>
                <w:sz w:val="24"/>
                <w:szCs w:val="24"/>
              </w:rPr>
            </w:pPr>
          </w:p>
        </w:tc>
      </w:tr>
    </w:tbl>
    <w:p>
      <w:pPr>
        <w:rPr>
          <w:rFonts w:ascii="宋体" w:hAnsi="宋体" w:cs="宋体"/>
          <w:color w:val="000000" w:themeColor="text1"/>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10"/>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bookmarkEnd w:id="242"/>
    <w:p>
      <w:pPr>
        <w:widowControl/>
        <w:jc w:val="left"/>
        <w:rPr>
          <w:rFonts w:ascii="宋体" w:hAnsi="宋体" w:cs="宋体"/>
          <w:color w:val="000000" w:themeColor="text1"/>
          <w:sz w:val="32"/>
          <w:szCs w:val="32"/>
        </w:rPr>
      </w:pPr>
      <w:bookmarkStart w:id="246" w:name="_Hlt26955054"/>
      <w:bookmarkEnd w:id="246"/>
      <w:r>
        <w:rPr>
          <w:rFonts w:ascii="宋体" w:hAnsi="宋体" w:cs="宋体"/>
          <w:color w:val="000000" w:themeColor="text1"/>
          <w:sz w:val="32"/>
          <w:szCs w:val="32"/>
        </w:rPr>
        <w:br w:type="page"/>
      </w: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247" w:name="_Toc17355"/>
      <w:r>
        <w:rPr>
          <w:rFonts w:hint="eastAsia" w:ascii="宋体" w:hAnsi="宋体" w:cs="宋体"/>
          <w:color w:val="000000" w:themeColor="text1"/>
          <w:sz w:val="32"/>
          <w:szCs w:val="32"/>
        </w:rPr>
        <w:t>七、技术参数响应及偏离表（如有）</w:t>
      </w:r>
      <w:bookmarkEnd w:id="247"/>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2852"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招标要求</w:t>
            </w:r>
          </w:p>
        </w:tc>
        <w:tc>
          <w:tcPr>
            <w:tcW w:w="2852"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投标响应</w:t>
            </w:r>
          </w:p>
        </w:tc>
        <w:tc>
          <w:tcPr>
            <w:tcW w:w="1308" w:type="dxa"/>
            <w:noWrap/>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超出、符合或偏离</w:t>
            </w:r>
          </w:p>
        </w:tc>
        <w:tc>
          <w:tcPr>
            <w:tcW w:w="1173"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p>
    <w:p>
      <w:pP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10"/>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p>
      <w:pPr>
        <w:rPr>
          <w:rFonts w:ascii="宋体" w:hAnsi="宋体" w:cs="宋体"/>
          <w:color w:val="000000" w:themeColor="text1"/>
          <w:sz w:val="24"/>
          <w:szCs w:val="24"/>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snapToGrid w:val="0"/>
        <w:spacing w:before="50" w:after="50"/>
        <w:jc w:val="center"/>
        <w:outlineLvl w:val="0"/>
        <w:rPr>
          <w:rFonts w:ascii="宋体" w:hAnsi="宋体" w:cs="宋体"/>
          <w:color w:val="000000" w:themeColor="text1"/>
          <w:sz w:val="32"/>
          <w:szCs w:val="32"/>
        </w:rPr>
      </w:pPr>
      <w:bookmarkStart w:id="248" w:name="_Toc20796"/>
      <w:r>
        <w:rPr>
          <w:rFonts w:hint="eastAsia" w:ascii="宋体" w:hAnsi="宋体" w:cs="宋体"/>
          <w:color w:val="000000" w:themeColor="text1"/>
          <w:sz w:val="32"/>
          <w:szCs w:val="32"/>
        </w:rPr>
        <w:t>八、商务条款响应及偏离表（如有）</w:t>
      </w:r>
      <w:bookmarkEnd w:id="248"/>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p>
          <w:p>
            <w:pPr>
              <w:snapToGrid w:val="0"/>
              <w:spacing w:before="149"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p>
          <w:p>
            <w:pPr>
              <w:snapToGrid w:val="0"/>
              <w:spacing w:before="149"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spacing w:line="480" w:lineRule="auto"/>
        <w:rPr>
          <w:rFonts w:ascii="宋体" w:hAnsi="宋体" w:cs="宋体"/>
          <w:color w:val="000000" w:themeColor="text1"/>
          <w:sz w:val="30"/>
        </w:rPr>
      </w:pPr>
      <w:bookmarkStart w:id="249" w:name="_Hlt26955064"/>
      <w:bookmarkEnd w:id="249"/>
      <w:bookmarkStart w:id="250" w:name="_Hlt26609389"/>
      <w:bookmarkEnd w:id="250"/>
      <w:bookmarkStart w:id="251" w:name="_Hlt26782999"/>
      <w:bookmarkEnd w:id="251"/>
      <w:bookmarkStart w:id="252" w:name="_Hlt26955066"/>
      <w:bookmarkEnd w:id="252"/>
      <w:bookmarkStart w:id="253" w:name="_Hlt26580838"/>
      <w:bookmarkEnd w:id="253"/>
      <w:bookmarkStart w:id="254" w:name="_Hlt26671372"/>
      <w:bookmarkEnd w:id="254"/>
      <w:bookmarkStart w:id="255" w:name="_Hlt26671343"/>
      <w:bookmarkEnd w:id="255"/>
      <w:bookmarkStart w:id="256" w:name="_Hlt24879081"/>
      <w:bookmarkEnd w:id="256"/>
      <w:bookmarkStart w:id="257" w:name="_Hlt26671374"/>
      <w:bookmarkEnd w:id="257"/>
      <w:bookmarkStart w:id="258" w:name="_Hlt26955056"/>
      <w:bookmarkEnd w:id="258"/>
      <w:bookmarkStart w:id="259" w:name="_Hlt26609391"/>
      <w:bookmarkEnd w:id="259"/>
      <w:bookmarkStart w:id="260" w:name="_Toc462564146"/>
    </w:p>
    <w:p>
      <w:pPr>
        <w:pStyle w:val="6"/>
        <w:ind w:firstLine="0"/>
        <w:rPr>
          <w:rFonts w:ascii="宋体" w:hAnsi="宋体" w:cs="宋体"/>
          <w:color w:val="000000" w:themeColor="text1"/>
          <w:sz w:val="24"/>
        </w:rPr>
      </w:pPr>
    </w:p>
    <w:p>
      <w:pPr>
        <w:snapToGrid w:val="0"/>
        <w:spacing w:before="50" w:after="50"/>
        <w:ind w:left="2520"/>
        <w:outlineLvl w:val="0"/>
        <w:rPr>
          <w:rFonts w:ascii="宋体" w:hAnsi="宋体" w:cs="宋体"/>
          <w:color w:val="000000" w:themeColor="text1"/>
          <w:sz w:val="32"/>
          <w:szCs w:val="32"/>
        </w:rPr>
      </w:pPr>
      <w:r>
        <w:rPr>
          <w:rFonts w:hint="eastAsia" w:ascii="宋体" w:hAnsi="宋体" w:cs="宋体"/>
          <w:color w:val="000000" w:themeColor="text1"/>
          <w:sz w:val="32"/>
          <w:szCs w:val="32"/>
        </w:rPr>
        <w:br w:type="page"/>
      </w:r>
      <w:bookmarkStart w:id="261" w:name="_Toc8363"/>
      <w:r>
        <w:rPr>
          <w:rFonts w:hint="eastAsia" w:ascii="宋体" w:hAnsi="宋体" w:cs="宋体"/>
          <w:color w:val="000000" w:themeColor="text1"/>
          <w:sz w:val="32"/>
          <w:szCs w:val="32"/>
        </w:rPr>
        <w:t>九、技术方案、服务承诺等</w:t>
      </w:r>
      <w:bookmarkEnd w:id="206"/>
      <w:bookmarkEnd w:id="207"/>
      <w:bookmarkEnd w:id="260"/>
      <w:bookmarkEnd w:id="261"/>
      <w:bookmarkStart w:id="262" w:name="_格式2__法定代表人授权书"/>
      <w:bookmarkEnd w:id="262"/>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numPr>
          <w:ilvl w:val="0"/>
          <w:numId w:val="11"/>
        </w:numPr>
        <w:snapToGrid w:val="0"/>
        <w:spacing w:before="50" w:after="50"/>
        <w:outlineLvl w:val="0"/>
        <w:rPr>
          <w:rFonts w:hAnsi="宋体" w:cs="宋体"/>
          <w:b/>
          <w:bCs/>
          <w:color w:val="000000" w:themeColor="text1"/>
        </w:rPr>
        <w:sectPr>
          <w:footerReference r:id="rId11" w:type="first"/>
          <w:footerReference r:id="rId10" w:type="default"/>
          <w:pgSz w:w="11906" w:h="16838"/>
          <w:pgMar w:top="1417" w:right="1587" w:bottom="1417" w:left="1366" w:header="851" w:footer="907" w:gutter="0"/>
          <w:pgNumType w:fmt="decimal"/>
          <w:cols w:space="0" w:num="1"/>
          <w:titlePg/>
          <w:docGrid w:type="lines" w:linePitch="298" w:charSpace="0"/>
        </w:sectPr>
      </w:pPr>
    </w:p>
    <w:p>
      <w:pPr>
        <w:widowControl/>
        <w:spacing w:line="460" w:lineRule="exact"/>
        <w:outlineLvl w:val="0"/>
        <w:rPr>
          <w:rFonts w:ascii="宋体" w:hAnsi="宋体" w:cs="宋体"/>
          <w:color w:val="000000" w:themeColor="text1"/>
          <w:sz w:val="32"/>
        </w:rPr>
      </w:pPr>
      <w:bookmarkStart w:id="263" w:name="_Toc22033"/>
    </w:p>
    <w:p>
      <w:pPr>
        <w:widowControl/>
        <w:spacing w:line="460" w:lineRule="exact"/>
        <w:ind w:firstLine="640" w:firstLineChars="200"/>
        <w:jc w:val="center"/>
        <w:outlineLvl w:val="0"/>
        <w:rPr>
          <w:rFonts w:ascii="宋体" w:hAnsi="宋体" w:cs="宋体"/>
          <w:color w:val="000000" w:themeColor="text1"/>
          <w:sz w:val="32"/>
        </w:rPr>
      </w:pPr>
      <w:r>
        <w:rPr>
          <w:rFonts w:hint="eastAsia" w:ascii="宋体" w:hAnsi="宋体" w:cs="宋体"/>
          <w:color w:val="000000" w:themeColor="text1"/>
          <w:sz w:val="32"/>
        </w:rPr>
        <w:t>十、盐城市政府采购事前信用承诺书</w:t>
      </w:r>
      <w:bookmarkEnd w:id="263"/>
    </w:p>
    <w:p>
      <w:pPr>
        <w:widowControl/>
        <w:spacing w:line="460" w:lineRule="exact"/>
        <w:ind w:firstLine="640" w:firstLineChars="200"/>
        <w:jc w:val="left"/>
        <w:rPr>
          <w:rFonts w:ascii="宋体" w:hAnsi="宋体" w:cs="宋体"/>
          <w:color w:val="000000" w:themeColor="text1"/>
          <w:sz w:val="32"/>
        </w:rPr>
      </w:pP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（六）自觉接受政府、行业组织、社会公众、新闻舆论的监督；</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（八）本人已认真阅读了上述承诺，并向本单位员工作了宣传教育。</w:t>
      </w:r>
    </w:p>
    <w:p>
      <w:pPr>
        <w:widowControl/>
        <w:adjustRightInd w:val="0"/>
        <w:snapToGrid w:val="0"/>
        <w:spacing w:line="360" w:lineRule="auto"/>
        <w:ind w:firstLine="480" w:firstLineChars="200"/>
        <w:jc w:val="left"/>
        <w:rPr>
          <w:rFonts w:ascii="宋体" w:hAnsi="宋体" w:cs="宋体"/>
          <w:color w:val="000000" w:themeColor="text1"/>
          <w:sz w:val="24"/>
          <w:szCs w:val="24"/>
        </w:rPr>
      </w:pPr>
    </w:p>
    <w:p>
      <w:pPr>
        <w:widowControl/>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264" w:name="_Toc1790"/>
      <w:r>
        <w:rPr>
          <w:rFonts w:hint="eastAsia" w:ascii="宋体" w:hAnsi="宋体" w:cs="宋体"/>
          <w:color w:val="000000" w:themeColor="text1"/>
          <w:sz w:val="24"/>
          <w:szCs w:val="24"/>
        </w:rPr>
        <w:t>法定代表人签名：</w:t>
      </w:r>
      <w:bookmarkEnd w:id="264"/>
    </w:p>
    <w:p>
      <w:pPr>
        <w:widowControl/>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265" w:name="_Toc27882"/>
      <w:r>
        <w:rPr>
          <w:rFonts w:hint="eastAsia" w:ascii="宋体" w:hAnsi="宋体" w:cs="宋体"/>
          <w:color w:val="000000" w:themeColor="text1"/>
          <w:sz w:val="24"/>
          <w:szCs w:val="24"/>
        </w:rPr>
        <w:t>单位名称（盖章）：</w:t>
      </w:r>
      <w:bookmarkEnd w:id="265"/>
    </w:p>
    <w:p>
      <w:pPr>
        <w:widowControl/>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266" w:name="_Toc385"/>
      <w:r>
        <w:rPr>
          <w:rFonts w:hint="eastAsia" w:ascii="宋体" w:hAnsi="宋体" w:cs="宋体"/>
          <w:color w:val="000000" w:themeColor="text1"/>
          <w:sz w:val="24"/>
          <w:szCs w:val="24"/>
        </w:rPr>
        <w:t>年    月    日</w:t>
      </w:r>
      <w:bookmarkEnd w:id="266"/>
    </w:p>
    <w:p>
      <w:pPr>
        <w:pStyle w:val="2"/>
        <w:rPr>
          <w:rFonts w:ascii="宋体" w:hAnsi="宋体" w:eastAsia="宋体" w:cs="宋体"/>
          <w:color w:val="000000" w:themeColor="text1"/>
        </w:rPr>
      </w:pPr>
    </w:p>
    <w:sectPr>
      <w:footerReference r:id="rId12" w:type="default"/>
      <w:pgSz w:w="11906" w:h="16838"/>
      <w:pgMar w:top="1417" w:right="1588" w:bottom="1417" w:left="1365" w:header="851" w:footer="907" w:gutter="0"/>
      <w:pgNumType w:fmt="decimal"/>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18"/>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w:pict>
        <v:shape id="_x0000_s1033" o:spid="_x0000_s103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22</w:t>
                </w:r>
                <w:r>
                  <w:fldChar w:fldCharType="end"/>
                </w:r>
              </w:p>
            </w:txbxContent>
          </v:textbox>
        </v:shape>
      </w:pict>
    </w:r>
  </w:p>
  <w:p>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1034" o:spid="_x0000_s103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1035" o:spid="_x0000_s103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41</w:t>
                </w:r>
                <w:r>
                  <w:fldChar w:fldCharType="end"/>
                </w:r>
              </w:p>
            </w:txbxContent>
          </v:textbox>
        </v:shape>
      </w:pict>
    </w:r>
    <w: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path/>
          <v:fill on="f" focussize="0,0"/>
          <v:stroke on="f" weight="0.5pt" joinstyle="miter"/>
          <v:imagedata o:title=""/>
          <o:lock v:ext="edit"/>
          <v:textbox inset="0mm,0mm,0mm,0mm" style="mso-fit-shape-to-text:t;">
            <w:txbxContent>
              <w:p>
                <w:pPr>
                  <w:pStyle w:val="29"/>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1036" o:spid="_x0000_s1036"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w:t>
    </w:r>
    <w:r>
      <w:rPr>
        <w:rFonts w:hint="eastAsia" w:ascii="Times New Roman" w:hAnsi="Times New Roman" w:eastAsia="隶书" w:cs="Times New Roman"/>
        <w:color w:val="FF0000"/>
        <w:spacing w:val="40"/>
        <w:kern w:val="2"/>
        <w:sz w:val="21"/>
        <w:szCs w:val="21"/>
        <w:lang w:val="en-US" w:eastAsia="zh-CN"/>
      </w:rPr>
      <w:t>41</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w:t>
    </w:r>
    <w:r>
      <w:rPr>
        <w:rFonts w:hint="eastAsia" w:ascii="Times New Roman" w:hAnsi="Times New Roman" w:eastAsia="隶书" w:cs="Times New Roman"/>
        <w:color w:val="FF0000"/>
        <w:spacing w:val="40"/>
        <w:kern w:val="2"/>
        <w:sz w:val="21"/>
        <w:szCs w:val="21"/>
        <w:lang w:val="en-US" w:eastAsia="zh-CN"/>
      </w:rPr>
      <w:t>41</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0F53A"/>
    <w:multiLevelType w:val="singleLevel"/>
    <w:tmpl w:val="95C0F53A"/>
    <w:lvl w:ilvl="0" w:tentative="0">
      <w:start w:val="1"/>
      <w:numFmt w:val="chineseCounting"/>
      <w:suff w:val="space"/>
      <w:lvlText w:val="第%1章"/>
      <w:lvlJc w:val="left"/>
      <w:rPr>
        <w:rFonts w:hint="eastAsia"/>
      </w:rPr>
    </w:lvl>
  </w:abstractNum>
  <w:abstractNum w:abstractNumId="1">
    <w:nsid w:val="A6E7EE81"/>
    <w:multiLevelType w:val="singleLevel"/>
    <w:tmpl w:val="A6E7EE81"/>
    <w:lvl w:ilvl="0" w:tentative="0">
      <w:start w:val="12"/>
      <w:numFmt w:val="chineseCounting"/>
      <w:suff w:val="nothing"/>
      <w:lvlText w:val="%1、"/>
      <w:lvlJc w:val="left"/>
      <w:rPr>
        <w:rFonts w:hint="eastAsia"/>
      </w:rPr>
    </w:lvl>
  </w:abstractNum>
  <w:abstractNum w:abstractNumId="2">
    <w:nsid w:val="BE321FD4"/>
    <w:multiLevelType w:val="singleLevel"/>
    <w:tmpl w:val="BE321FD4"/>
    <w:lvl w:ilvl="0" w:tentative="0">
      <w:start w:val="1"/>
      <w:numFmt w:val="chineseCounting"/>
      <w:suff w:val="nothing"/>
      <w:lvlText w:val="%1、"/>
      <w:lvlJc w:val="left"/>
      <w:rPr>
        <w:rFonts w:hint="eastAsia"/>
      </w:rPr>
    </w:lvl>
  </w:abstractNum>
  <w:abstractNum w:abstractNumId="3">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4">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1644F86A"/>
    <w:multiLevelType w:val="singleLevel"/>
    <w:tmpl w:val="1644F86A"/>
    <w:lvl w:ilvl="0" w:tentative="0">
      <w:start w:val="4"/>
      <w:numFmt w:val="chineseCounting"/>
      <w:suff w:val="space"/>
      <w:lvlText w:val="第%1章"/>
      <w:lvlJc w:val="left"/>
      <w:rPr>
        <w:rFonts w:hint="eastAsia"/>
      </w:rPr>
    </w:lvl>
  </w:abstractNum>
  <w:abstractNum w:abstractNumId="6">
    <w:nsid w:val="23CA3DFE"/>
    <w:multiLevelType w:val="singleLevel"/>
    <w:tmpl w:val="23CA3DFE"/>
    <w:lvl w:ilvl="0" w:tentative="0">
      <w:start w:val="1"/>
      <w:numFmt w:val="decimal"/>
      <w:lvlText w:val="%1、"/>
      <w:lvlJc w:val="left"/>
      <w:pPr>
        <w:tabs>
          <w:tab w:val="left" w:pos="480"/>
        </w:tabs>
        <w:ind w:left="480" w:hanging="480"/>
      </w:pPr>
    </w:lvl>
  </w:abstractNum>
  <w:abstractNum w:abstractNumId="7">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8">
    <w:nsid w:val="34620FCE"/>
    <w:multiLevelType w:val="singleLevel"/>
    <w:tmpl w:val="34620FCE"/>
    <w:lvl w:ilvl="0" w:tentative="0">
      <w:start w:val="5"/>
      <w:numFmt w:val="chineseCounting"/>
      <w:suff w:val="nothing"/>
      <w:lvlText w:val="%1、"/>
      <w:lvlJc w:val="left"/>
      <w:rPr>
        <w:rFonts w:hint="eastAsia"/>
      </w:rPr>
    </w:lvl>
  </w:abstractNum>
  <w:abstractNum w:abstractNumId="9">
    <w:nsid w:val="420C153B"/>
    <w:multiLevelType w:val="multilevel"/>
    <w:tmpl w:val="420C153B"/>
    <w:lvl w:ilvl="0" w:tentative="0">
      <w:start w:val="1"/>
      <w:numFmt w:val="decimal"/>
      <w:pStyle w:val="11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num w:numId="1">
    <w:abstractNumId w:val="10"/>
  </w:num>
  <w:num w:numId="2">
    <w:abstractNumId w:val="3"/>
  </w:num>
  <w:num w:numId="3">
    <w:abstractNumId w:val="9"/>
  </w:num>
  <w:num w:numId="4">
    <w:abstractNumId w:val="0"/>
  </w:num>
  <w:num w:numId="5">
    <w:abstractNumId w:val="1"/>
  </w:num>
  <w:num w:numId="6">
    <w:abstractNumId w:val="5"/>
  </w:num>
  <w:num w:numId="7">
    <w:abstractNumId w:val="2"/>
  </w:num>
  <w:num w:numId="8">
    <w:abstractNumId w:val="8"/>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5"/>
  <w:drawingGridHorizontalSpacing w:val="105"/>
  <w:drawingGridVerticalSpacing w:val="14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NiZmIxY2ZiNzg0NjFkYTM1MDM1ZjljNjg4M2E1YWMifQ=="/>
  </w:docVars>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36F39"/>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A17"/>
    <w:rsid w:val="00096BDF"/>
    <w:rsid w:val="0009760F"/>
    <w:rsid w:val="000A2FC6"/>
    <w:rsid w:val="000A41F7"/>
    <w:rsid w:val="000A535D"/>
    <w:rsid w:val="000A5684"/>
    <w:rsid w:val="000B1517"/>
    <w:rsid w:val="000B45F6"/>
    <w:rsid w:val="000B7486"/>
    <w:rsid w:val="000B7669"/>
    <w:rsid w:val="000C0376"/>
    <w:rsid w:val="000C0CA5"/>
    <w:rsid w:val="000C1440"/>
    <w:rsid w:val="000C3447"/>
    <w:rsid w:val="000C3B7F"/>
    <w:rsid w:val="000C4A8C"/>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AE6"/>
    <w:rsid w:val="00101213"/>
    <w:rsid w:val="0010432D"/>
    <w:rsid w:val="00105C21"/>
    <w:rsid w:val="001062AB"/>
    <w:rsid w:val="001065A0"/>
    <w:rsid w:val="00106600"/>
    <w:rsid w:val="00106A54"/>
    <w:rsid w:val="00110803"/>
    <w:rsid w:val="00113C44"/>
    <w:rsid w:val="00115161"/>
    <w:rsid w:val="00115439"/>
    <w:rsid w:val="00116CC8"/>
    <w:rsid w:val="00116DBE"/>
    <w:rsid w:val="001209A8"/>
    <w:rsid w:val="00120B27"/>
    <w:rsid w:val="001216F8"/>
    <w:rsid w:val="0012335D"/>
    <w:rsid w:val="00126079"/>
    <w:rsid w:val="00127354"/>
    <w:rsid w:val="00127CC7"/>
    <w:rsid w:val="00130A9A"/>
    <w:rsid w:val="001319A2"/>
    <w:rsid w:val="001320A5"/>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1FA1"/>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1B5"/>
    <w:rsid w:val="00294281"/>
    <w:rsid w:val="00296F36"/>
    <w:rsid w:val="00297496"/>
    <w:rsid w:val="002975F4"/>
    <w:rsid w:val="002976E3"/>
    <w:rsid w:val="002A1D98"/>
    <w:rsid w:val="002A257F"/>
    <w:rsid w:val="002A2FE1"/>
    <w:rsid w:val="002A31C4"/>
    <w:rsid w:val="002A5EB4"/>
    <w:rsid w:val="002B340B"/>
    <w:rsid w:val="002B3493"/>
    <w:rsid w:val="002B3A14"/>
    <w:rsid w:val="002B3ED2"/>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33DCA"/>
    <w:rsid w:val="00340404"/>
    <w:rsid w:val="00341B1F"/>
    <w:rsid w:val="00342232"/>
    <w:rsid w:val="00342F58"/>
    <w:rsid w:val="003442CD"/>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530"/>
    <w:rsid w:val="003F2F87"/>
    <w:rsid w:val="003F3D20"/>
    <w:rsid w:val="003F3D3D"/>
    <w:rsid w:val="003F4477"/>
    <w:rsid w:val="003F4A55"/>
    <w:rsid w:val="003F4F24"/>
    <w:rsid w:val="003F4FAB"/>
    <w:rsid w:val="003F5A9B"/>
    <w:rsid w:val="003F5CA7"/>
    <w:rsid w:val="004007DB"/>
    <w:rsid w:val="00400C8B"/>
    <w:rsid w:val="004022DD"/>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7BA"/>
    <w:rsid w:val="00420952"/>
    <w:rsid w:val="00420ECB"/>
    <w:rsid w:val="00421F2E"/>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64466"/>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C6B95"/>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2793F"/>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97AD8"/>
    <w:rsid w:val="005A0E90"/>
    <w:rsid w:val="005A1B17"/>
    <w:rsid w:val="005A26D5"/>
    <w:rsid w:val="005A31E3"/>
    <w:rsid w:val="005A34FB"/>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746"/>
    <w:rsid w:val="005F5F5F"/>
    <w:rsid w:val="005F6011"/>
    <w:rsid w:val="005F688B"/>
    <w:rsid w:val="00600EF7"/>
    <w:rsid w:val="006013D6"/>
    <w:rsid w:val="0060313A"/>
    <w:rsid w:val="00605458"/>
    <w:rsid w:val="0060612E"/>
    <w:rsid w:val="00606422"/>
    <w:rsid w:val="00610966"/>
    <w:rsid w:val="00611087"/>
    <w:rsid w:val="00611A6B"/>
    <w:rsid w:val="00611B75"/>
    <w:rsid w:val="00612785"/>
    <w:rsid w:val="00615124"/>
    <w:rsid w:val="00617A49"/>
    <w:rsid w:val="00617E8B"/>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2A73"/>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0A14"/>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366"/>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1ABA"/>
    <w:rsid w:val="00734AAC"/>
    <w:rsid w:val="0073782C"/>
    <w:rsid w:val="00737840"/>
    <w:rsid w:val="00740D6F"/>
    <w:rsid w:val="00740F5D"/>
    <w:rsid w:val="00741C57"/>
    <w:rsid w:val="007420D8"/>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4E1A"/>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453"/>
    <w:rsid w:val="00822AF1"/>
    <w:rsid w:val="008249BE"/>
    <w:rsid w:val="00824A0D"/>
    <w:rsid w:val="00824BC4"/>
    <w:rsid w:val="00824F16"/>
    <w:rsid w:val="00825E64"/>
    <w:rsid w:val="00826376"/>
    <w:rsid w:val="008306E7"/>
    <w:rsid w:val="00830B78"/>
    <w:rsid w:val="00831C73"/>
    <w:rsid w:val="00831ED5"/>
    <w:rsid w:val="00832628"/>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5F94"/>
    <w:rsid w:val="009076A7"/>
    <w:rsid w:val="0091369E"/>
    <w:rsid w:val="00914E35"/>
    <w:rsid w:val="009170C0"/>
    <w:rsid w:val="00917CFF"/>
    <w:rsid w:val="009205DA"/>
    <w:rsid w:val="00921367"/>
    <w:rsid w:val="00922D59"/>
    <w:rsid w:val="009231B3"/>
    <w:rsid w:val="0092395E"/>
    <w:rsid w:val="00924023"/>
    <w:rsid w:val="00926B02"/>
    <w:rsid w:val="009275E6"/>
    <w:rsid w:val="009307C6"/>
    <w:rsid w:val="00931D77"/>
    <w:rsid w:val="0093330F"/>
    <w:rsid w:val="009336C7"/>
    <w:rsid w:val="009336D5"/>
    <w:rsid w:val="009357E0"/>
    <w:rsid w:val="0094153D"/>
    <w:rsid w:val="00942200"/>
    <w:rsid w:val="00943F3F"/>
    <w:rsid w:val="009450F7"/>
    <w:rsid w:val="009476B7"/>
    <w:rsid w:val="00950791"/>
    <w:rsid w:val="00950F1C"/>
    <w:rsid w:val="00952F16"/>
    <w:rsid w:val="0095318A"/>
    <w:rsid w:val="00953603"/>
    <w:rsid w:val="00953D4F"/>
    <w:rsid w:val="00953D99"/>
    <w:rsid w:val="009540B3"/>
    <w:rsid w:val="00956B1B"/>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6363"/>
    <w:rsid w:val="009A7382"/>
    <w:rsid w:val="009B04BD"/>
    <w:rsid w:val="009B0B41"/>
    <w:rsid w:val="009B1E73"/>
    <w:rsid w:val="009B2DCD"/>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139"/>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5411"/>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3F0"/>
    <w:rsid w:val="00B10B2B"/>
    <w:rsid w:val="00B13BD8"/>
    <w:rsid w:val="00B14934"/>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0D8"/>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4992"/>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721E"/>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5B66"/>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D6842"/>
    <w:rsid w:val="00CE0001"/>
    <w:rsid w:val="00CE036D"/>
    <w:rsid w:val="00CE22B8"/>
    <w:rsid w:val="00CE2F45"/>
    <w:rsid w:val="00CE3068"/>
    <w:rsid w:val="00CE3A72"/>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0D18"/>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B26"/>
    <w:rsid w:val="00D66E21"/>
    <w:rsid w:val="00D679B9"/>
    <w:rsid w:val="00D679E6"/>
    <w:rsid w:val="00D67C8B"/>
    <w:rsid w:val="00D724E9"/>
    <w:rsid w:val="00D74565"/>
    <w:rsid w:val="00D74CC2"/>
    <w:rsid w:val="00D7540F"/>
    <w:rsid w:val="00D76F78"/>
    <w:rsid w:val="00D77F56"/>
    <w:rsid w:val="00D804A6"/>
    <w:rsid w:val="00D816E0"/>
    <w:rsid w:val="00D81A5D"/>
    <w:rsid w:val="00D83E03"/>
    <w:rsid w:val="00D8437D"/>
    <w:rsid w:val="00D853EA"/>
    <w:rsid w:val="00D8631C"/>
    <w:rsid w:val="00D86A7D"/>
    <w:rsid w:val="00D86C36"/>
    <w:rsid w:val="00D86F2D"/>
    <w:rsid w:val="00D8721A"/>
    <w:rsid w:val="00D878E1"/>
    <w:rsid w:val="00D92B15"/>
    <w:rsid w:val="00D932F2"/>
    <w:rsid w:val="00D94997"/>
    <w:rsid w:val="00D96127"/>
    <w:rsid w:val="00D969FC"/>
    <w:rsid w:val="00DA217B"/>
    <w:rsid w:val="00DA30DA"/>
    <w:rsid w:val="00DA3414"/>
    <w:rsid w:val="00DA4484"/>
    <w:rsid w:val="00DA4861"/>
    <w:rsid w:val="00DA609B"/>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87C"/>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220"/>
    <w:rsid w:val="00E8472A"/>
    <w:rsid w:val="00E847CA"/>
    <w:rsid w:val="00E84A4E"/>
    <w:rsid w:val="00E8533E"/>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93C"/>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500"/>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2F56"/>
    <w:rsid w:val="00F73F6F"/>
    <w:rsid w:val="00F7451A"/>
    <w:rsid w:val="00F74655"/>
    <w:rsid w:val="00F74AF3"/>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6239"/>
    <w:rsid w:val="00FA6763"/>
    <w:rsid w:val="00FA6A26"/>
    <w:rsid w:val="00FA7DEC"/>
    <w:rsid w:val="00FB0532"/>
    <w:rsid w:val="00FB1BFB"/>
    <w:rsid w:val="00FB3D8D"/>
    <w:rsid w:val="00FB41A1"/>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1A43589"/>
    <w:rsid w:val="021904BB"/>
    <w:rsid w:val="028E0FBA"/>
    <w:rsid w:val="02C040B5"/>
    <w:rsid w:val="03240C83"/>
    <w:rsid w:val="036C5B85"/>
    <w:rsid w:val="038D4024"/>
    <w:rsid w:val="03CD2A40"/>
    <w:rsid w:val="05EB7A33"/>
    <w:rsid w:val="061A3A5E"/>
    <w:rsid w:val="06DA0035"/>
    <w:rsid w:val="06DD2A3E"/>
    <w:rsid w:val="06FC0BD1"/>
    <w:rsid w:val="07537D8D"/>
    <w:rsid w:val="07E970E1"/>
    <w:rsid w:val="092819AB"/>
    <w:rsid w:val="099005DD"/>
    <w:rsid w:val="099E54B7"/>
    <w:rsid w:val="0AB14695"/>
    <w:rsid w:val="0AB438A8"/>
    <w:rsid w:val="0B7404F1"/>
    <w:rsid w:val="0B750BFE"/>
    <w:rsid w:val="0B9A58EE"/>
    <w:rsid w:val="0BD06502"/>
    <w:rsid w:val="0C285B16"/>
    <w:rsid w:val="0C7C51F1"/>
    <w:rsid w:val="0CAC0D20"/>
    <w:rsid w:val="0CB0770E"/>
    <w:rsid w:val="0D902489"/>
    <w:rsid w:val="0DC77FD1"/>
    <w:rsid w:val="0FE720EF"/>
    <w:rsid w:val="101B66E2"/>
    <w:rsid w:val="107873A8"/>
    <w:rsid w:val="11A95D80"/>
    <w:rsid w:val="12322E94"/>
    <w:rsid w:val="12563822"/>
    <w:rsid w:val="12D90647"/>
    <w:rsid w:val="13917AF6"/>
    <w:rsid w:val="13C00ACC"/>
    <w:rsid w:val="13F02D50"/>
    <w:rsid w:val="16120435"/>
    <w:rsid w:val="163C6797"/>
    <w:rsid w:val="16512FFB"/>
    <w:rsid w:val="16562BE9"/>
    <w:rsid w:val="16855166"/>
    <w:rsid w:val="16872148"/>
    <w:rsid w:val="17A031CF"/>
    <w:rsid w:val="18184CED"/>
    <w:rsid w:val="183D0EAD"/>
    <w:rsid w:val="19E2542C"/>
    <w:rsid w:val="1B5B23CB"/>
    <w:rsid w:val="1C0C1537"/>
    <w:rsid w:val="1CB47594"/>
    <w:rsid w:val="1CC6131B"/>
    <w:rsid w:val="1D8D1823"/>
    <w:rsid w:val="1D8E47CC"/>
    <w:rsid w:val="1DBD7429"/>
    <w:rsid w:val="1E245C22"/>
    <w:rsid w:val="1FE854B8"/>
    <w:rsid w:val="1FED3B02"/>
    <w:rsid w:val="202F5142"/>
    <w:rsid w:val="20377E69"/>
    <w:rsid w:val="204320F1"/>
    <w:rsid w:val="20823E91"/>
    <w:rsid w:val="220B0320"/>
    <w:rsid w:val="22402E18"/>
    <w:rsid w:val="226B4585"/>
    <w:rsid w:val="22C87508"/>
    <w:rsid w:val="23B25BC1"/>
    <w:rsid w:val="2433766F"/>
    <w:rsid w:val="24684E55"/>
    <w:rsid w:val="246F00C4"/>
    <w:rsid w:val="248E7DC8"/>
    <w:rsid w:val="24FD3BFF"/>
    <w:rsid w:val="256A51B9"/>
    <w:rsid w:val="27233DA8"/>
    <w:rsid w:val="275978C1"/>
    <w:rsid w:val="275F3615"/>
    <w:rsid w:val="28A8690F"/>
    <w:rsid w:val="29395EDB"/>
    <w:rsid w:val="295A6C21"/>
    <w:rsid w:val="296E77CC"/>
    <w:rsid w:val="29D578F1"/>
    <w:rsid w:val="2A186894"/>
    <w:rsid w:val="2AA3259A"/>
    <w:rsid w:val="2B556D8B"/>
    <w:rsid w:val="2BAC4606"/>
    <w:rsid w:val="2BF94B05"/>
    <w:rsid w:val="2C4A2609"/>
    <w:rsid w:val="2CD43621"/>
    <w:rsid w:val="2CE15A42"/>
    <w:rsid w:val="2D025BA4"/>
    <w:rsid w:val="2D1D6F93"/>
    <w:rsid w:val="2D255B2E"/>
    <w:rsid w:val="2D433FFD"/>
    <w:rsid w:val="2D9E4D2B"/>
    <w:rsid w:val="2E656801"/>
    <w:rsid w:val="2E8A07BD"/>
    <w:rsid w:val="2EC152C1"/>
    <w:rsid w:val="2EEB0553"/>
    <w:rsid w:val="2F056EEE"/>
    <w:rsid w:val="2F2213F4"/>
    <w:rsid w:val="306D6FBD"/>
    <w:rsid w:val="30806A8E"/>
    <w:rsid w:val="308F4CF9"/>
    <w:rsid w:val="30D763BF"/>
    <w:rsid w:val="3163741B"/>
    <w:rsid w:val="32093A30"/>
    <w:rsid w:val="321310F1"/>
    <w:rsid w:val="3223166E"/>
    <w:rsid w:val="34711F4D"/>
    <w:rsid w:val="347A7879"/>
    <w:rsid w:val="34EA0C07"/>
    <w:rsid w:val="35577B35"/>
    <w:rsid w:val="35D935F1"/>
    <w:rsid w:val="37105028"/>
    <w:rsid w:val="385139BD"/>
    <w:rsid w:val="398F69F5"/>
    <w:rsid w:val="39957D5B"/>
    <w:rsid w:val="3A0663B5"/>
    <w:rsid w:val="3A323F12"/>
    <w:rsid w:val="3AF93623"/>
    <w:rsid w:val="3B343338"/>
    <w:rsid w:val="3B977304"/>
    <w:rsid w:val="3BB731E4"/>
    <w:rsid w:val="3C5D2E55"/>
    <w:rsid w:val="3C7025C7"/>
    <w:rsid w:val="3C8B7266"/>
    <w:rsid w:val="3D762339"/>
    <w:rsid w:val="3D8457B7"/>
    <w:rsid w:val="3D9703B1"/>
    <w:rsid w:val="3DA45504"/>
    <w:rsid w:val="3E2F6470"/>
    <w:rsid w:val="3F1B3A07"/>
    <w:rsid w:val="3F205EA5"/>
    <w:rsid w:val="40195DA0"/>
    <w:rsid w:val="40965737"/>
    <w:rsid w:val="4132380B"/>
    <w:rsid w:val="420B6D31"/>
    <w:rsid w:val="42431CC8"/>
    <w:rsid w:val="42BD1230"/>
    <w:rsid w:val="4355594B"/>
    <w:rsid w:val="43CC2D11"/>
    <w:rsid w:val="43E63BD7"/>
    <w:rsid w:val="44147B34"/>
    <w:rsid w:val="442C5578"/>
    <w:rsid w:val="445E613C"/>
    <w:rsid w:val="455948CC"/>
    <w:rsid w:val="45994BC6"/>
    <w:rsid w:val="46552398"/>
    <w:rsid w:val="46D90278"/>
    <w:rsid w:val="47D3232C"/>
    <w:rsid w:val="47DB1A8D"/>
    <w:rsid w:val="48094A78"/>
    <w:rsid w:val="48306EE4"/>
    <w:rsid w:val="48B44438"/>
    <w:rsid w:val="48C66DF7"/>
    <w:rsid w:val="493B5BD0"/>
    <w:rsid w:val="494A6345"/>
    <w:rsid w:val="49BF2877"/>
    <w:rsid w:val="4A0601AC"/>
    <w:rsid w:val="4AC93AEC"/>
    <w:rsid w:val="4AF02B05"/>
    <w:rsid w:val="4AFF7111"/>
    <w:rsid w:val="4B494A5A"/>
    <w:rsid w:val="4C3E4531"/>
    <w:rsid w:val="4CD47C7E"/>
    <w:rsid w:val="4DB13004"/>
    <w:rsid w:val="4DF70AF7"/>
    <w:rsid w:val="4E30322A"/>
    <w:rsid w:val="4E4E42A3"/>
    <w:rsid w:val="4F0B1C83"/>
    <w:rsid w:val="50440F93"/>
    <w:rsid w:val="50623A14"/>
    <w:rsid w:val="513D15FA"/>
    <w:rsid w:val="515F22AF"/>
    <w:rsid w:val="51877C0C"/>
    <w:rsid w:val="51B97CC5"/>
    <w:rsid w:val="51D100F5"/>
    <w:rsid w:val="52195C5B"/>
    <w:rsid w:val="534A15B2"/>
    <w:rsid w:val="535A22F5"/>
    <w:rsid w:val="53715A8B"/>
    <w:rsid w:val="5408165A"/>
    <w:rsid w:val="549D746D"/>
    <w:rsid w:val="54E7304B"/>
    <w:rsid w:val="55280D7F"/>
    <w:rsid w:val="555C23D1"/>
    <w:rsid w:val="55926BA1"/>
    <w:rsid w:val="561E09E9"/>
    <w:rsid w:val="5697129D"/>
    <w:rsid w:val="58083964"/>
    <w:rsid w:val="5811590C"/>
    <w:rsid w:val="589C3B71"/>
    <w:rsid w:val="58C26E9B"/>
    <w:rsid w:val="59C564D6"/>
    <w:rsid w:val="5A127462"/>
    <w:rsid w:val="5AB31D37"/>
    <w:rsid w:val="5AD12546"/>
    <w:rsid w:val="5CA05437"/>
    <w:rsid w:val="5D2D3F61"/>
    <w:rsid w:val="5D8D128E"/>
    <w:rsid w:val="5DCD0713"/>
    <w:rsid w:val="5E262CED"/>
    <w:rsid w:val="5E347ADF"/>
    <w:rsid w:val="5E4467FA"/>
    <w:rsid w:val="5E91745A"/>
    <w:rsid w:val="5EA23BE9"/>
    <w:rsid w:val="5EAA3CE9"/>
    <w:rsid w:val="5FC23A99"/>
    <w:rsid w:val="5FC30FE5"/>
    <w:rsid w:val="60C2301D"/>
    <w:rsid w:val="60F954CA"/>
    <w:rsid w:val="61185BB1"/>
    <w:rsid w:val="615A7538"/>
    <w:rsid w:val="619B3E34"/>
    <w:rsid w:val="61B24459"/>
    <w:rsid w:val="62FA104D"/>
    <w:rsid w:val="639413D1"/>
    <w:rsid w:val="63CE1FF0"/>
    <w:rsid w:val="64283A5F"/>
    <w:rsid w:val="64740760"/>
    <w:rsid w:val="649E033F"/>
    <w:rsid w:val="65625852"/>
    <w:rsid w:val="65846229"/>
    <w:rsid w:val="66A56E0D"/>
    <w:rsid w:val="67CB0233"/>
    <w:rsid w:val="68485D83"/>
    <w:rsid w:val="69026EF3"/>
    <w:rsid w:val="69BA15C7"/>
    <w:rsid w:val="69D8078F"/>
    <w:rsid w:val="6A41228D"/>
    <w:rsid w:val="6A4E2E77"/>
    <w:rsid w:val="6AB663FC"/>
    <w:rsid w:val="6B047A4E"/>
    <w:rsid w:val="6B0A0570"/>
    <w:rsid w:val="6B0A6015"/>
    <w:rsid w:val="6BEA0B22"/>
    <w:rsid w:val="6BF5735C"/>
    <w:rsid w:val="6C480AB5"/>
    <w:rsid w:val="6D69131E"/>
    <w:rsid w:val="6D754FE7"/>
    <w:rsid w:val="6D8132A7"/>
    <w:rsid w:val="6DFB7772"/>
    <w:rsid w:val="6E826BC5"/>
    <w:rsid w:val="6EC77533"/>
    <w:rsid w:val="6EE1672F"/>
    <w:rsid w:val="6EE44F27"/>
    <w:rsid w:val="6F1D4630"/>
    <w:rsid w:val="6F80131E"/>
    <w:rsid w:val="70123A7A"/>
    <w:rsid w:val="705B7179"/>
    <w:rsid w:val="715E40B2"/>
    <w:rsid w:val="71EC79AC"/>
    <w:rsid w:val="72B536B2"/>
    <w:rsid w:val="72C03C99"/>
    <w:rsid w:val="73273E54"/>
    <w:rsid w:val="7338289F"/>
    <w:rsid w:val="73F12F09"/>
    <w:rsid w:val="7459405D"/>
    <w:rsid w:val="74B83223"/>
    <w:rsid w:val="754C46B4"/>
    <w:rsid w:val="75906F6B"/>
    <w:rsid w:val="75B5488B"/>
    <w:rsid w:val="75CE2848"/>
    <w:rsid w:val="768E5B1B"/>
    <w:rsid w:val="77864E38"/>
    <w:rsid w:val="779B3589"/>
    <w:rsid w:val="77BD39B5"/>
    <w:rsid w:val="77C4170E"/>
    <w:rsid w:val="77EB14F6"/>
    <w:rsid w:val="77FA1D4F"/>
    <w:rsid w:val="782F2B70"/>
    <w:rsid w:val="78663322"/>
    <w:rsid w:val="78830CAE"/>
    <w:rsid w:val="789C09C7"/>
    <w:rsid w:val="78AD72C7"/>
    <w:rsid w:val="78D6061E"/>
    <w:rsid w:val="795534C5"/>
    <w:rsid w:val="79FD13E9"/>
    <w:rsid w:val="7A743D1D"/>
    <w:rsid w:val="7BBB6F0C"/>
    <w:rsid w:val="7C8426BA"/>
    <w:rsid w:val="7CE231D6"/>
    <w:rsid w:val="7E1E3B10"/>
    <w:rsid w:val="7E25756B"/>
    <w:rsid w:val="7EBB11CE"/>
    <w:rsid w:val="7EDC0238"/>
    <w:rsid w:val="7F037E93"/>
    <w:rsid w:val="7F5E50D4"/>
    <w:rsid w:val="7FBB0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3"/>
    <w:next w:val="1"/>
    <w:qFormat/>
    <w:uiPriority w:val="0"/>
    <w:pPr>
      <w:keepLines/>
      <w:spacing w:before="260" w:after="260" w:line="416" w:lineRule="auto"/>
      <w:outlineLvl w:val="1"/>
    </w:pPr>
    <w:rPr>
      <w:rFonts w:ascii="Arial" w:hAnsi="Arial" w:eastAsia="幼圆" w:cs="Arial"/>
      <w:b/>
      <w:bCs/>
      <w:sz w:val="44"/>
      <w:szCs w:val="44"/>
    </w:rPr>
  </w:style>
  <w:style w:type="paragraph" w:styleId="5">
    <w:name w:val="heading 3"/>
    <w:basedOn w:val="1"/>
    <w:next w:val="6"/>
    <w:link w:val="65"/>
    <w:qFormat/>
    <w:uiPriority w:val="0"/>
    <w:pPr>
      <w:keepNext/>
      <w:keepLines/>
      <w:spacing w:before="260" w:after="260" w:line="416" w:lineRule="auto"/>
      <w:outlineLvl w:val="2"/>
    </w:pPr>
    <w:rPr>
      <w:b/>
      <w:bCs/>
      <w:sz w:val="32"/>
      <w:szCs w:val="32"/>
    </w:rPr>
  </w:style>
  <w:style w:type="paragraph" w:styleId="7">
    <w:name w:val="heading 4"/>
    <w:basedOn w:val="1"/>
    <w:next w:val="1"/>
    <w:link w:val="66"/>
    <w:qFormat/>
    <w:uiPriority w:val="0"/>
    <w:pPr>
      <w:keepNext/>
      <w:keepLines/>
      <w:spacing w:before="280" w:after="290" w:line="376" w:lineRule="auto"/>
      <w:outlineLvl w:val="3"/>
    </w:pPr>
    <w:rPr>
      <w:rFonts w:ascii="Cambria" w:hAnsi="Cambria"/>
      <w:b/>
      <w:sz w:val="28"/>
      <w:szCs w:val="28"/>
    </w:rPr>
  </w:style>
  <w:style w:type="paragraph" w:styleId="8">
    <w:name w:val="heading 5"/>
    <w:basedOn w:val="1"/>
    <w:next w:val="6"/>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sz w:val="28"/>
      <w:szCs w:val="28"/>
    </w:rPr>
  </w:style>
  <w:style w:type="paragraph" w:styleId="6">
    <w:name w:val="Normal Indent"/>
    <w:basedOn w:val="1"/>
    <w:link w:val="64"/>
    <w:qFormat/>
    <w:uiPriority w:val="0"/>
    <w:pPr>
      <w:ind w:firstLine="420"/>
    </w:p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67"/>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8"/>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9"/>
    <w:qFormat/>
    <w:uiPriority w:val="0"/>
    <w:pPr>
      <w:tabs>
        <w:tab w:val="center" w:pos="4153"/>
        <w:tab w:val="right" w:pos="8306"/>
      </w:tabs>
      <w:snapToGrid w:val="0"/>
      <w:jc w:val="left"/>
    </w:pPr>
    <w:rPr>
      <w:sz w:val="18"/>
      <w:szCs w:val="18"/>
    </w:rPr>
  </w:style>
  <w:style w:type="paragraph" w:styleId="30">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6"/>
    <w:next w:val="16"/>
    <w:semiHidden/>
    <w:qFormat/>
    <w:uiPriority w:val="0"/>
    <w:rPr>
      <w:b/>
      <w:bCs/>
    </w:rPr>
  </w:style>
  <w:style w:type="paragraph" w:styleId="43">
    <w:name w:val="Body Text First Indent"/>
    <w:basedOn w:val="1"/>
    <w:next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next w:val="2"/>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Default"/>
    <w:next w:val="63"/>
    <w:qFormat/>
    <w:uiPriority w:val="0"/>
    <w:pPr>
      <w:widowControl w:val="0"/>
      <w:autoSpaceDE w:val="0"/>
      <w:autoSpaceDN w:val="0"/>
      <w:ind w:left="5120" w:firstLine="4608"/>
    </w:pPr>
    <w:rPr>
      <w:rFonts w:ascii="宋体" w:hAnsi="宋体" w:eastAsia="Malgun Gothic" w:cs="Times New Roman"/>
      <w:lang w:val="en-US" w:eastAsia="zh-CN" w:bidi="ar-SA"/>
    </w:rPr>
  </w:style>
  <w:style w:type="paragraph" w:customStyle="1" w:styleId="6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4">
    <w:name w:val="正文缩进 字符"/>
    <w:link w:val="6"/>
    <w:qFormat/>
    <w:uiPriority w:val="0"/>
    <w:rPr>
      <w:kern w:val="2"/>
      <w:sz w:val="21"/>
      <w:szCs w:val="21"/>
    </w:rPr>
  </w:style>
  <w:style w:type="character" w:customStyle="1" w:styleId="65">
    <w:name w:val="标题 3 字符"/>
    <w:link w:val="5"/>
    <w:qFormat/>
    <w:uiPriority w:val="0"/>
    <w:rPr>
      <w:rFonts w:eastAsia="宋体"/>
      <w:b/>
      <w:bCs/>
      <w:kern w:val="2"/>
      <w:sz w:val="32"/>
      <w:szCs w:val="32"/>
      <w:lang w:val="en-US" w:eastAsia="zh-CN" w:bidi="ar-SA"/>
    </w:rPr>
  </w:style>
  <w:style w:type="character" w:customStyle="1" w:styleId="66">
    <w:name w:val="标题 4 字符"/>
    <w:link w:val="7"/>
    <w:qFormat/>
    <w:uiPriority w:val="0"/>
    <w:rPr>
      <w:rFonts w:ascii="Cambria" w:hAnsi="Cambria" w:eastAsia="宋体" w:cs="Times New Roman"/>
      <w:b/>
      <w:kern w:val="2"/>
      <w:sz w:val="28"/>
      <w:szCs w:val="28"/>
    </w:rPr>
  </w:style>
  <w:style w:type="character" w:customStyle="1" w:styleId="67">
    <w:name w:val="文档结构图 字符"/>
    <w:link w:val="15"/>
    <w:qFormat/>
    <w:uiPriority w:val="0"/>
    <w:rPr>
      <w:rFonts w:eastAsia="宋体"/>
      <w:kern w:val="2"/>
      <w:sz w:val="21"/>
      <w:szCs w:val="21"/>
      <w:lang w:val="en-US" w:eastAsia="zh-CN" w:bidi="ar-SA"/>
    </w:rPr>
  </w:style>
  <w:style w:type="character" w:customStyle="1" w:styleId="68">
    <w:name w:val="纯文本 字符"/>
    <w:link w:val="24"/>
    <w:qFormat/>
    <w:uiPriority w:val="0"/>
    <w:rPr>
      <w:rFonts w:ascii="宋体" w:hAnsi="Courier New" w:cs="Courier New"/>
      <w:kern w:val="2"/>
      <w:sz w:val="21"/>
      <w:szCs w:val="21"/>
    </w:rPr>
  </w:style>
  <w:style w:type="character" w:customStyle="1" w:styleId="69">
    <w:name w:val="页脚 字符"/>
    <w:link w:val="29"/>
    <w:qFormat/>
    <w:uiPriority w:val="0"/>
    <w:rPr>
      <w:kern w:val="2"/>
      <w:sz w:val="18"/>
      <w:szCs w:val="18"/>
    </w:rPr>
  </w:style>
  <w:style w:type="character" w:customStyle="1" w:styleId="70">
    <w:name w:val="页眉 字符"/>
    <w:link w:val="30"/>
    <w:qFormat/>
    <w:uiPriority w:val="0"/>
    <w:rPr>
      <w:kern w:val="2"/>
      <w:sz w:val="18"/>
      <w:szCs w:val="18"/>
    </w:rPr>
  </w:style>
  <w:style w:type="character" w:customStyle="1" w:styleId="71">
    <w:name w:val="hover"/>
    <w:qFormat/>
    <w:uiPriority w:val="0"/>
    <w:rPr>
      <w:shd w:val="clear" w:color="auto" w:fill="EEEEEE"/>
    </w:rPr>
  </w:style>
  <w:style w:type="character" w:customStyle="1" w:styleId="72">
    <w:name w:val="old"/>
    <w:qFormat/>
    <w:uiPriority w:val="0"/>
    <w:rPr>
      <w:color w:val="999999"/>
    </w:rPr>
  </w:style>
  <w:style w:type="character" w:customStyle="1" w:styleId="73">
    <w:name w:val="列出段落 Char"/>
    <w:link w:val="74"/>
    <w:qFormat/>
    <w:locked/>
    <w:uiPriority w:val="0"/>
    <w:rPr>
      <w:rFonts w:ascii="Calibri" w:hAnsi="Calibri"/>
      <w:sz w:val="24"/>
      <w:szCs w:val="24"/>
      <w:lang w:eastAsia="en-US" w:bidi="en-US"/>
    </w:rPr>
  </w:style>
  <w:style w:type="paragraph" w:customStyle="1" w:styleId="74">
    <w:name w:val="列出段落1"/>
    <w:basedOn w:val="1"/>
    <w:link w:val="73"/>
    <w:qFormat/>
    <w:uiPriority w:val="0"/>
    <w:pPr>
      <w:widowControl/>
      <w:ind w:left="720"/>
      <w:contextualSpacing/>
      <w:jc w:val="left"/>
    </w:pPr>
    <w:rPr>
      <w:rFonts w:ascii="Calibri" w:hAnsi="Calibri"/>
      <w:kern w:val="0"/>
      <w:sz w:val="24"/>
      <w:szCs w:val="24"/>
      <w:lang w:eastAsia="en-US" w:bidi="en-US"/>
    </w:rPr>
  </w:style>
  <w:style w:type="character" w:customStyle="1" w:styleId="75">
    <w:name w:val="二级目录 Char"/>
    <w:link w:val="76"/>
    <w:qFormat/>
    <w:uiPriority w:val="0"/>
    <w:rPr>
      <w:b/>
      <w:kern w:val="2"/>
      <w:sz w:val="30"/>
      <w:szCs w:val="28"/>
    </w:rPr>
  </w:style>
  <w:style w:type="paragraph" w:customStyle="1" w:styleId="76">
    <w:name w:val="二级目录"/>
    <w:next w:val="1"/>
    <w:link w:val="75"/>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77">
    <w:name w:val="hour_am"/>
    <w:qFormat/>
    <w:uiPriority w:val="0"/>
  </w:style>
  <w:style w:type="character" w:customStyle="1" w:styleId="78">
    <w:name w:val="glyphicon"/>
    <w:qFormat/>
    <w:uiPriority w:val="0"/>
  </w:style>
  <w:style w:type="character" w:customStyle="1" w:styleId="79">
    <w:name w:val="font5 Char"/>
    <w:qFormat/>
    <w:uiPriority w:val="0"/>
    <w:rPr>
      <w:rFonts w:ascii="宋体" w:hAnsi="宋体" w:eastAsia="宋体"/>
      <w:sz w:val="28"/>
      <w:szCs w:val="28"/>
      <w:lang w:val="en-US" w:eastAsia="zh-CN" w:bidi="ar-SA"/>
    </w:rPr>
  </w:style>
  <w:style w:type="character" w:customStyle="1" w:styleId="80">
    <w:name w:val="hour_pm"/>
    <w:qFormat/>
    <w:uiPriority w:val="0"/>
  </w:style>
  <w:style w:type="character" w:customStyle="1" w:styleId="81">
    <w:name w:val="Char Char Char Char Char"/>
    <w:link w:val="82"/>
    <w:qFormat/>
    <w:uiPriority w:val="0"/>
    <w:rPr>
      <w:rFonts w:ascii="Tahoma" w:hAnsi="Tahoma" w:eastAsia="宋体"/>
      <w:kern w:val="2"/>
      <w:sz w:val="24"/>
      <w:szCs w:val="24"/>
      <w:lang w:val="en-US" w:eastAsia="zh-CN" w:bidi="ar-SA"/>
    </w:rPr>
  </w:style>
  <w:style w:type="paragraph" w:customStyle="1" w:styleId="82">
    <w:name w:val="Char Char Char Char"/>
    <w:basedOn w:val="15"/>
    <w:link w:val="81"/>
    <w:qFormat/>
    <w:uiPriority w:val="0"/>
    <w:pPr>
      <w:adjustRightInd w:val="0"/>
      <w:snapToGrid w:val="0"/>
      <w:spacing w:line="360" w:lineRule="auto"/>
    </w:pPr>
    <w:rPr>
      <w:rFonts w:ascii="Tahoma" w:hAnsi="Tahoma"/>
      <w:sz w:val="24"/>
      <w:szCs w:val="24"/>
    </w:rPr>
  </w:style>
  <w:style w:type="paragraph" w:customStyle="1" w:styleId="8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6">
    <w:name w:val="table_1stline"/>
    <w:basedOn w:val="1"/>
    <w:qFormat/>
    <w:uiPriority w:val="0"/>
    <w:pPr>
      <w:widowControl/>
      <w:spacing w:before="120"/>
      <w:jc w:val="left"/>
    </w:pPr>
    <w:rPr>
      <w:bCs/>
      <w:kern w:val="0"/>
      <w:sz w:val="20"/>
      <w:szCs w:val="20"/>
      <w:lang w:val="de-DE" w:eastAsia="de-DE"/>
    </w:rPr>
  </w:style>
  <w:style w:type="paragraph" w:customStyle="1" w:styleId="87">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8">
    <w:name w:val="table_lines"/>
    <w:basedOn w:val="1"/>
    <w:qFormat/>
    <w:uiPriority w:val="0"/>
    <w:pPr>
      <w:widowControl/>
      <w:jc w:val="left"/>
    </w:pPr>
    <w:rPr>
      <w:kern w:val="0"/>
      <w:sz w:val="20"/>
      <w:szCs w:val="20"/>
      <w:lang w:val="de-DE" w:eastAsia="de-DE"/>
    </w:rPr>
  </w:style>
  <w:style w:type="paragraph" w:customStyle="1" w:styleId="89">
    <w:name w:val="Char"/>
    <w:basedOn w:val="1"/>
    <w:qFormat/>
    <w:uiPriority w:val="0"/>
    <w:pPr>
      <w:tabs>
        <w:tab w:val="left" w:pos="360"/>
      </w:tabs>
      <w:ind w:firstLine="200" w:firstLineChars="200"/>
    </w:pPr>
    <w:rPr>
      <w:sz w:val="28"/>
      <w:szCs w:val="30"/>
    </w:rPr>
  </w:style>
  <w:style w:type="paragraph" w:customStyle="1" w:styleId="90">
    <w:name w:val="Index4"/>
    <w:basedOn w:val="1"/>
    <w:next w:val="1"/>
    <w:qFormat/>
    <w:uiPriority w:val="99"/>
    <w:pPr>
      <w:ind w:left="600" w:leftChars="600"/>
    </w:pPr>
    <w:rPr>
      <w:rFonts w:ascii="Verdana" w:hAnsi="Verdana"/>
      <w:szCs w:val="20"/>
    </w:rPr>
  </w:style>
  <w:style w:type="paragraph" w:customStyle="1" w:styleId="9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5">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7">
    <w:name w:val="无间隔1"/>
    <w:qFormat/>
    <w:uiPriority w:val="5"/>
    <w:rPr>
      <w:rFonts w:ascii="Calibri" w:hAnsi="Calibri" w:eastAsia="Calibri" w:cs="Times New Roman"/>
      <w:sz w:val="22"/>
      <w:szCs w:val="22"/>
      <w:lang w:val="en-US" w:eastAsia="zh-CN" w:bidi="ar-SA"/>
    </w:rPr>
  </w:style>
  <w:style w:type="paragraph" w:customStyle="1" w:styleId="9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9">
    <w:name w:val="Char Char Char Char Char Char Char Char Char Char"/>
    <w:basedOn w:val="1"/>
    <w:qFormat/>
    <w:uiPriority w:val="0"/>
    <w:pPr>
      <w:adjustRightInd w:val="0"/>
      <w:spacing w:line="360" w:lineRule="auto"/>
    </w:pPr>
    <w:rPr>
      <w:kern w:val="0"/>
      <w:sz w:val="24"/>
      <w:szCs w:val="20"/>
    </w:rPr>
  </w:style>
  <w:style w:type="paragraph" w:customStyle="1" w:styleId="100">
    <w:name w:val="Char Char Char Char1"/>
    <w:basedOn w:val="15"/>
    <w:qFormat/>
    <w:uiPriority w:val="0"/>
    <w:pPr>
      <w:adjustRightInd w:val="0"/>
      <w:snapToGrid w:val="0"/>
      <w:spacing w:line="360" w:lineRule="auto"/>
    </w:pPr>
    <w:rPr>
      <w:rFonts w:ascii="Tahoma" w:hAnsi="Tahoma"/>
      <w:sz w:val="24"/>
      <w:szCs w:val="24"/>
    </w:rPr>
  </w:style>
  <w:style w:type="paragraph" w:customStyle="1" w:styleId="10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2">
    <w:name w:val="Body Text(ch)"/>
    <w:basedOn w:val="1"/>
    <w:next w:val="2"/>
    <w:qFormat/>
    <w:uiPriority w:val="0"/>
    <w:pPr>
      <w:spacing w:after="120"/>
    </w:pPr>
    <w:rPr>
      <w:rFonts w:ascii="宋体" w:hAnsi="Arial"/>
      <w:bCs/>
      <w:iCs/>
      <w:szCs w:val="24"/>
    </w:rPr>
  </w:style>
  <w:style w:type="paragraph" w:customStyle="1" w:styleId="103">
    <w:name w:val="Char1"/>
    <w:basedOn w:val="15"/>
    <w:qFormat/>
    <w:uiPriority w:val="0"/>
    <w:rPr>
      <w:rFonts w:ascii="Tahoma" w:hAnsi="Tahoma"/>
      <w:sz w:val="24"/>
      <w:szCs w:val="24"/>
    </w:rPr>
  </w:style>
  <w:style w:type="paragraph" w:customStyle="1" w:styleId="1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6">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7">
    <w:name w:val="Normal_19"/>
    <w:next w:val="108"/>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8">
    <w:name w:val="段_0"/>
    <w:next w:val="10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0">
    <w:name w:val="样式1"/>
    <w:basedOn w:val="1"/>
    <w:qFormat/>
    <w:uiPriority w:val="0"/>
    <w:pPr>
      <w:numPr>
        <w:ilvl w:val="0"/>
        <w:numId w:val="3"/>
      </w:numPr>
      <w:adjustRightInd w:val="0"/>
      <w:textAlignment w:val="baseline"/>
    </w:pPr>
    <w:rPr>
      <w:rFonts w:ascii="宋体" w:hAnsi="宋体"/>
      <w:kern w:val="0"/>
    </w:rPr>
  </w:style>
  <w:style w:type="paragraph" w:customStyle="1" w:styleId="111">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2">
    <w:name w:val="4"/>
    <w:basedOn w:val="1"/>
    <w:next w:val="35"/>
    <w:qFormat/>
    <w:uiPriority w:val="0"/>
    <w:pPr>
      <w:spacing w:line="360" w:lineRule="auto"/>
      <w:ind w:firstLine="420"/>
    </w:pPr>
    <w:rPr>
      <w:color w:val="FF0000"/>
      <w:sz w:val="24"/>
      <w:szCs w:val="24"/>
    </w:rPr>
  </w:style>
  <w:style w:type="paragraph" w:customStyle="1" w:styleId="11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font5"/>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15">
    <w:name w:val="NormalCharacter"/>
    <w:semiHidden/>
    <w:qFormat/>
    <w:uiPriority w:val="0"/>
  </w:style>
  <w:style w:type="paragraph" w:customStyle="1" w:styleId="116">
    <w:name w:val="Heading2"/>
    <w:basedOn w:val="1"/>
    <w:next w:val="117"/>
    <w:qFormat/>
    <w:uiPriority w:val="0"/>
    <w:pPr>
      <w:keepNext/>
      <w:keepLines/>
      <w:spacing w:before="260" w:after="260" w:line="416" w:lineRule="auto"/>
      <w:jc w:val="center"/>
    </w:pPr>
    <w:rPr>
      <w:rFonts w:ascii="Arial" w:hAnsi="Arial" w:eastAsia="幼圆" w:cs="Arial"/>
      <w:b/>
      <w:bCs/>
      <w:sz w:val="44"/>
      <w:szCs w:val="44"/>
    </w:rPr>
  </w:style>
  <w:style w:type="paragraph" w:customStyle="1" w:styleId="117">
    <w:name w:val="NormalIndent"/>
    <w:basedOn w:val="1"/>
    <w:qFormat/>
    <w:uiPriority w:val="0"/>
    <w:pPr>
      <w:ind w:firstLine="420"/>
    </w:pPr>
  </w:style>
  <w:style w:type="paragraph" w:customStyle="1" w:styleId="118">
    <w:name w:val="Heading1"/>
    <w:basedOn w:val="1"/>
    <w:next w:val="1"/>
    <w:qFormat/>
    <w:uiPriority w:val="0"/>
    <w:pPr>
      <w:keepNext/>
      <w:jc w:val="center"/>
    </w:pPr>
    <w:rPr>
      <w:rFonts w:ascii="楷体_GB2312" w:eastAsia="楷体_GB2312"/>
      <w:sz w:val="28"/>
      <w:szCs w:val="28"/>
    </w:rPr>
  </w:style>
  <w:style w:type="paragraph" w:styleId="1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WPSOffice手动目录 1"/>
    <w:qFormat/>
    <w:uiPriority w:val="0"/>
    <w:rPr>
      <w:rFonts w:ascii="Calibri" w:hAnsi="Calibri" w:eastAsia="宋体" w:cs="Times New Roman"/>
      <w:lang w:val="en-US" w:eastAsia="zh-CN" w:bidi="ar-SA"/>
    </w:rPr>
  </w:style>
  <w:style w:type="paragraph" w:customStyle="1" w:styleId="121">
    <w:name w:val="纯文本1"/>
    <w:basedOn w:val="1"/>
    <w:qFormat/>
    <w:uiPriority w:val="0"/>
    <w:rPr>
      <w:rFonts w:ascii="宋体" w:hAnsi="Courier New"/>
      <w:sz w:val="28"/>
    </w:rPr>
  </w:style>
  <w:style w:type="character" w:customStyle="1" w:styleId="122">
    <w:name w:val="apple-converted-space"/>
    <w:basedOn w:val="47"/>
    <w:qFormat/>
    <w:uiPriority w:val="99"/>
  </w:style>
  <w:style w:type="paragraph" w:customStyle="1" w:styleId="123">
    <w:name w:val="HtmlNormal"/>
    <w:basedOn w:val="1"/>
    <w:qFormat/>
    <w:uiPriority w:val="0"/>
    <w:pPr>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2" textRotate="1"/>
    <customShpInfo spid="_x0000_s1033" textRotate="1"/>
    <customShpInfo spid="_x0000_s1034" textRotate="1"/>
    <customShpInfo spid="_x0000_s1035" textRotate="1"/>
    <customShpInfo spid="_x0000_s1029"/>
    <customShpInfo spid="_x0000_s103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Pages>47</Pages>
  <Words>21681</Words>
  <Characters>22924</Characters>
  <Lines>187</Lines>
  <Paragraphs>52</Paragraphs>
  <TotalTime>3</TotalTime>
  <ScaleCrop>false</ScaleCrop>
  <LinksUpToDate>false</LinksUpToDate>
  <CharactersWithSpaces>25050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2022-07-12T09:18:00Z</dcterms:created>
  <dc:creator>政府采购中心</dc:creator>
  <cp:lastModifiedBy>赵萌</cp:lastModifiedBy>
  <cp:lastPrinted>2021-10-22T01:16:00Z</cp:lastPrinted>
  <dcterms:modified xsi:type="dcterms:W3CDTF">2022-11-09T08:56:38Z</dcterms:modified>
  <dc:title>江苏卫生信息系统业务软件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8400234576B2478F8ACA41C75A0DC4D3</vt:lpwstr>
  </property>
</Properties>
</file>