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left" w:pos="7642"/>
        </w:tabs>
        <w:ind w:firstLine="0"/>
        <w:rPr>
          <w:rFonts w:ascii="宋体" w:hAnsi="宋体" w:eastAsia="宋体" w:cs="宋体"/>
          <w:b/>
          <w:color w:val="000000" w:themeColor="text1"/>
          <w:sz w:val="52"/>
          <w:szCs w:val="52"/>
          <w14:textFill>
            <w14:solidFill>
              <w14:schemeClr w14:val="tx1"/>
            </w14:solidFill>
          </w14:textFill>
        </w:rPr>
      </w:pPr>
      <w:bookmarkStart w:id="190" w:name="_GoBack"/>
      <w:r>
        <w:rPr>
          <w:rFonts w:hint="eastAsia" w:ascii="宋体" w:hAnsi="宋体" w:eastAsia="宋体" w:cs="宋体"/>
          <w:b/>
          <w:color w:val="000000" w:themeColor="text1"/>
          <w:sz w:val="52"/>
          <w:szCs w:val="52"/>
          <w14:textFill>
            <w14:solidFill>
              <w14:schemeClr w14:val="tx1"/>
            </w14:solidFill>
          </w14:textFill>
        </w:rPr>
        <w:tab/>
      </w:r>
    </w:p>
    <w:p>
      <w:pPr>
        <w:pStyle w:val="105"/>
        <w:ind w:firstLine="0"/>
        <w:jc w:val="center"/>
        <w:rPr>
          <w:rFonts w:ascii="宋体" w:hAnsi="宋体" w:eastAsia="宋体" w:cs="宋体"/>
          <w:b/>
          <w:color w:val="000000" w:themeColor="text1"/>
          <w:sz w:val="52"/>
          <w:szCs w:val="52"/>
          <w14:textFill>
            <w14:solidFill>
              <w14:schemeClr w14:val="tx1"/>
            </w14:solidFill>
          </w14:textFill>
        </w:rPr>
      </w:pPr>
    </w:p>
    <w:p>
      <w:pPr>
        <w:pStyle w:val="105"/>
        <w:ind w:firstLine="0"/>
        <w:jc w:val="center"/>
        <w:rPr>
          <w:rFonts w:ascii="宋体" w:hAnsi="宋体" w:eastAsia="宋体" w:cs="宋体"/>
          <w:b/>
          <w:color w:val="000000" w:themeColor="text1"/>
          <w:sz w:val="52"/>
          <w:szCs w:val="52"/>
          <w14:textFill>
            <w14:solidFill>
              <w14:schemeClr w14:val="tx1"/>
            </w14:solidFill>
          </w14:textFill>
        </w:rPr>
      </w:pPr>
    </w:p>
    <w:p>
      <w:pPr>
        <w:pStyle w:val="105"/>
        <w:ind w:firstLine="0"/>
        <w:jc w:val="center"/>
        <w:outlineLvl w:val="0"/>
        <w:rPr>
          <w:rFonts w:ascii="宋体" w:hAnsi="宋体" w:eastAsia="宋体" w:cs="宋体"/>
          <w:b/>
          <w:bCs/>
          <w:color w:val="000000" w:themeColor="text1"/>
          <w:sz w:val="84"/>
          <w14:textFill>
            <w14:solidFill>
              <w14:schemeClr w14:val="tx1"/>
            </w14:solidFill>
          </w14:textFill>
        </w:rPr>
      </w:pPr>
      <w:bookmarkStart w:id="0" w:name="_Toc6543"/>
      <w:r>
        <w:rPr>
          <w:rFonts w:hint="eastAsia" w:ascii="宋体" w:hAnsi="宋体" w:eastAsia="宋体" w:cs="宋体"/>
          <w:b/>
          <w:color w:val="000000" w:themeColor="text1"/>
          <w:sz w:val="84"/>
          <w:szCs w:val="21"/>
          <w14:textFill>
            <w14:solidFill>
              <w14:schemeClr w14:val="tx1"/>
            </w14:solidFill>
          </w14:textFill>
        </w:rPr>
        <w:t>竞争性磋商文件</w:t>
      </w:r>
      <w:bookmarkEnd w:id="0"/>
    </w:p>
    <w:p>
      <w:pPr>
        <w:pStyle w:val="105"/>
        <w:ind w:firstLine="0"/>
        <w:rPr>
          <w:rFonts w:ascii="宋体" w:hAnsi="宋体" w:eastAsia="宋体" w:cs="宋体"/>
          <w:b/>
          <w:bCs/>
          <w:color w:val="000000" w:themeColor="text1"/>
          <w:sz w:val="32"/>
          <w:szCs w:val="32"/>
          <w14:textFill>
            <w14:solidFill>
              <w14:schemeClr w14:val="tx1"/>
            </w14:solidFill>
          </w14:textFill>
        </w:rPr>
      </w:pPr>
    </w:p>
    <w:p>
      <w:pPr>
        <w:pStyle w:val="105"/>
        <w:ind w:firstLine="0"/>
        <w:rPr>
          <w:rFonts w:ascii="宋体" w:hAnsi="宋体" w:eastAsia="宋体" w:cs="宋体"/>
          <w:b/>
          <w:bCs/>
          <w:color w:val="000000" w:themeColor="text1"/>
          <w:sz w:val="32"/>
          <w:szCs w:val="32"/>
          <w14:textFill>
            <w14:solidFill>
              <w14:schemeClr w14:val="tx1"/>
            </w14:solidFill>
          </w14:textFill>
        </w:rPr>
      </w:pPr>
    </w:p>
    <w:p>
      <w:pPr>
        <w:pStyle w:val="105"/>
        <w:ind w:firstLine="0"/>
        <w:rPr>
          <w:rFonts w:ascii="宋体" w:hAnsi="宋体" w:eastAsia="宋体" w:cs="宋体"/>
          <w:b/>
          <w:bCs/>
          <w:color w:val="000000" w:themeColor="text1"/>
          <w:sz w:val="32"/>
          <w:szCs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outlineLvl w:val="0"/>
        <w:rPr>
          <w:rFonts w:ascii="宋体" w:hAnsi="宋体" w:cs="宋体"/>
          <w:b/>
          <w:color w:val="000000" w:themeColor="text1"/>
          <w:sz w:val="36"/>
          <w:szCs w:val="36"/>
          <w14:textFill>
            <w14:solidFill>
              <w14:schemeClr w14:val="tx1"/>
            </w14:solidFill>
          </w14:textFill>
        </w:rPr>
      </w:pPr>
      <w:bookmarkStart w:id="1" w:name="_Toc8712"/>
      <w:r>
        <w:rPr>
          <w:rFonts w:hint="eastAsia" w:ascii="宋体" w:hAnsi="宋体" w:cs="宋体"/>
          <w:b/>
          <w:color w:val="000000" w:themeColor="text1"/>
          <w:sz w:val="36"/>
          <w:szCs w:val="36"/>
          <w14:textFill>
            <w14:solidFill>
              <w14:schemeClr w14:val="tx1"/>
            </w14:solidFill>
          </w14:textFill>
        </w:rPr>
        <w:t>项目名称：</w:t>
      </w:r>
      <w:bookmarkEnd w:id="1"/>
      <w:r>
        <w:rPr>
          <w:rFonts w:hint="eastAsia" w:ascii="宋体" w:hAnsi="宋体" w:cs="宋体"/>
          <w:b/>
          <w:color w:val="000000" w:themeColor="text1"/>
          <w:sz w:val="36"/>
          <w:szCs w:val="36"/>
          <w14:textFill>
            <w14:solidFill>
              <w14:schemeClr w14:val="tx1"/>
            </w14:solidFill>
          </w14:textFill>
        </w:rPr>
        <w:t>盐城工业职业技术学院学生公寓洗衣机服务BOT节能项目</w:t>
      </w: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pStyle w:val="105"/>
        <w:ind w:firstLine="0"/>
        <w:jc w:val="center"/>
        <w:rPr>
          <w:rFonts w:eastAsia="宋体"/>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采购人：盐城工业职业技术学院</w:t>
      </w:r>
    </w:p>
    <w:p>
      <w:pPr>
        <w:pStyle w:val="105"/>
        <w:ind w:firstLine="0"/>
        <w:jc w:val="center"/>
        <w:rPr>
          <w:rFonts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采购代理：江苏伟业项目管理有限公司</w:t>
      </w:r>
    </w:p>
    <w:p>
      <w:pPr>
        <w:jc w:val="center"/>
        <w:rPr>
          <w:rFonts w:ascii="宋体" w:hAnsi="宋体" w:cs="宋体"/>
          <w:bCs/>
          <w:color w:val="000000" w:themeColor="text1"/>
          <w:spacing w:val="15"/>
          <w:sz w:val="36"/>
          <w:szCs w:val="36"/>
          <w14:textFill>
            <w14:solidFill>
              <w14:schemeClr w14:val="tx1"/>
            </w14:solidFill>
          </w14:textFill>
        </w:rPr>
      </w:pPr>
    </w:p>
    <w:p>
      <w:pPr>
        <w:jc w:val="center"/>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2023年7月19日</w:t>
      </w:r>
    </w:p>
    <w:p>
      <w:pPr>
        <w:ind w:firstLine="3313" w:firstLineChars="750"/>
        <w:rPr>
          <w:rFonts w:ascii="宋体" w:hAnsi="宋体" w:cs="宋体"/>
          <w:b/>
          <w:color w:val="000000" w:themeColor="text1"/>
          <w:sz w:val="44"/>
          <w:szCs w:val="21"/>
          <w14:textFill>
            <w14:solidFill>
              <w14:schemeClr w14:val="tx1"/>
            </w14:solidFill>
          </w14:textFill>
        </w:rPr>
      </w:pPr>
    </w:p>
    <w:p>
      <w:pPr>
        <w:ind w:firstLine="3313" w:firstLineChars="750"/>
        <w:rPr>
          <w:rFonts w:ascii="宋体" w:hAnsi="宋体" w:cs="宋体"/>
          <w:b/>
          <w:color w:val="000000" w:themeColor="text1"/>
          <w:sz w:val="44"/>
          <w:szCs w:val="21"/>
          <w14:textFill>
            <w14:solidFill>
              <w14:schemeClr w14:val="tx1"/>
            </w14:solidFill>
          </w14:textFill>
        </w:rPr>
      </w:pPr>
    </w:p>
    <w:sdt>
      <w:sdtPr>
        <w:rPr>
          <w:rFonts w:ascii="宋体" w:hAnsi="宋体"/>
          <w:color w:val="000000" w:themeColor="text1"/>
          <w14:textFill>
            <w14:solidFill>
              <w14:schemeClr w14:val="tx1"/>
            </w14:solidFill>
          </w14:textFill>
        </w:rPr>
        <w:id w:val="147462589"/>
        <w15:color w:val="DBDBDB"/>
        <w:docPartObj>
          <w:docPartGallery w:val="Table of Contents"/>
          <w:docPartUnique/>
        </w:docPartObj>
      </w:sdtPr>
      <w:sdtEndPr>
        <w:rPr>
          <w:rFonts w:ascii="宋体" w:hAnsi="宋体" w:cs="宋体"/>
          <w:color w:val="000000" w:themeColor="text1"/>
          <w14:textFill>
            <w14:solidFill>
              <w14:schemeClr w14:val="tx1"/>
            </w14:solidFill>
          </w14:textFill>
        </w:rPr>
      </w:sdtEndPr>
      <w:sdtContent>
        <w:p>
          <w:pPr>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目录</w:t>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TOC \o "1-1" \h \u </w:instrText>
          </w:r>
          <w:r>
            <w:rPr>
              <w:rFonts w:hint="eastAsia" w:ascii="黑体" w:hAnsi="黑体" w:eastAsia="黑体" w:cs="黑体"/>
              <w:color w:val="000000" w:themeColor="text1"/>
              <w:sz w:val="36"/>
              <w:szCs w:val="36"/>
              <w14:textFill>
                <w14:solidFill>
                  <w14:schemeClr w14:val="tx1"/>
                </w14:solidFill>
              </w14:textFill>
            </w:rPr>
            <w:fldChar w:fldCharType="separate"/>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"_Toc22191"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第一章 竞争性磋商采购公告</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_Toc22191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3</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"_Toc4407"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第二章 磋商须知</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_Toc4407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6</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"_Toc20504"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第三章 合同条款及格式</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_Toc20504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16</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"_Toc8252"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第四章 项目需求</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_Toc8252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 xml:space="preserve">21 </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"_Toc16618"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第五章 定标原则和评审标准</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_Toc16618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31</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3"/>
            <w:tabs>
              <w:tab w:val="right" w:leader="dot" w:pos="9072"/>
            </w:tabs>
            <w:rPr>
              <w:rFonts w:ascii="黑体" w:hAns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"_Toc17729"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第六章 竞争性磋商响应文件格式</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_Toc17729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35</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rPr>
              <w:rFonts w:ascii="宋体" w:hAnsi="宋体" w:cs="宋体"/>
              <w:color w:val="000000" w:themeColor="text1"/>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fldChar w:fldCharType="end"/>
          </w:r>
        </w:p>
      </w:sdtContent>
    </w:sdt>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7"/>
        <w:jc w:val="center"/>
        <w:rPr>
          <w:rFonts w:ascii="宋体" w:hAnsi="宋体" w:eastAsia="宋体" w:cs="宋体"/>
          <w:color w:val="000000" w:themeColor="text1"/>
          <w:sz w:val="44"/>
          <w:szCs w:val="44"/>
          <w14:textFill>
            <w14:solidFill>
              <w14:schemeClr w14:val="tx1"/>
            </w14:solidFill>
          </w14:textFill>
        </w:rPr>
      </w:pPr>
      <w:bookmarkStart w:id="2" w:name="_Toc22191"/>
      <w:r>
        <w:rPr>
          <w:rFonts w:hint="eastAsia" w:ascii="宋体" w:hAnsi="宋体" w:eastAsia="宋体" w:cs="宋体"/>
          <w:color w:val="000000" w:themeColor="text1"/>
          <w:sz w:val="44"/>
          <w:szCs w:val="44"/>
          <w14:textFill>
            <w14:solidFill>
              <w14:schemeClr w14:val="tx1"/>
            </w14:solidFill>
          </w14:textFill>
        </w:rPr>
        <w:t>第一章 竞争性磋商采购公告</w:t>
      </w:r>
      <w:bookmarkEnd w:id="2"/>
    </w:p>
    <w:p>
      <w:pPr>
        <w:rPr>
          <w:rFonts w:ascii="宋体" w:hAnsi="宋体" w:cs="宋体"/>
          <w:color w:val="000000" w:themeColor="text1"/>
          <w14:textFill>
            <w14:solidFill>
              <w14:schemeClr w14:val="tx1"/>
            </w14:solidFill>
          </w14:textFill>
        </w:rPr>
      </w:pPr>
      <w:bookmarkStart w:id="3" w:name="_Toc14577347"/>
      <w:bookmarkStart w:id="4" w:name="_Toc513029209"/>
      <w:bookmarkStart w:id="5" w:name="_Toc61149549"/>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161"/>
          <w:rFonts w:hint="eastAsia" w:ascii="宋体" w:hAnsi="宋体" w:cs="宋体"/>
          <w:bCs/>
          <w:color w:val="000000" w:themeColor="text1"/>
          <w:sz w:val="24"/>
          <w:u w:val="single" w:color="000000"/>
          <w14:textFill>
            <w14:solidFill>
              <w14:schemeClr w14:val="tx1"/>
            </w14:solidFill>
          </w14:textFill>
        </w:rPr>
        <w:t>盐城工业职业技术学院学生公寓洗衣机服务BOT节能项目</w:t>
      </w:r>
      <w:r>
        <w:rPr>
          <w:rStyle w:val="161"/>
          <w:rFonts w:hint="eastAsia" w:ascii="宋体" w:hAnsi="宋体" w:cs="宋体"/>
          <w:bCs/>
          <w:color w:val="000000" w:themeColor="text1"/>
          <w:sz w:val="24"/>
          <w14:textFill>
            <w14:solidFill>
              <w14:schemeClr w14:val="tx1"/>
            </w14:solidFill>
          </w14:textFill>
        </w:rPr>
        <w:t>招标项目的潜在投标人应在“</w:t>
      </w:r>
      <w:r>
        <w:rPr>
          <w:rStyle w:val="161"/>
          <w:rFonts w:hint="eastAsia" w:ascii="宋体" w:hAnsi="宋体" w:cs="宋体"/>
          <w:bCs/>
          <w:color w:val="000000" w:themeColor="text1"/>
          <w:sz w:val="24"/>
          <w:u w:val="single"/>
          <w14:textFill>
            <w14:solidFill>
              <w14:schemeClr w14:val="tx1"/>
            </w14:solidFill>
          </w14:textFill>
        </w:rPr>
        <w:t>盐城工业职业技术学院招标采购网”</w:t>
      </w:r>
      <w:r>
        <w:rPr>
          <w:rStyle w:val="161"/>
          <w:rFonts w:hint="eastAsia" w:ascii="宋体" w:hAnsi="宋体" w:cs="宋体"/>
          <w:bCs/>
          <w:color w:val="000000" w:themeColor="text1"/>
          <w:sz w:val="24"/>
          <w14:textFill>
            <w14:solidFill>
              <w14:schemeClr w14:val="tx1"/>
            </w14:solidFill>
          </w14:textFill>
        </w:rPr>
        <w:t>获</w:t>
      </w:r>
      <w:r>
        <w:rPr>
          <w:rStyle w:val="161"/>
          <w:rFonts w:hint="eastAsia" w:ascii="宋体" w:hAnsi="宋体" w:cs="宋体"/>
          <w:color w:val="000000" w:themeColor="text1"/>
          <w:sz w:val="24"/>
          <w14:textFill>
            <w14:solidFill>
              <w14:schemeClr w14:val="tx1"/>
            </w14:solidFill>
          </w14:textFill>
        </w:rPr>
        <w:t>取招标文件，并于</w:t>
      </w:r>
      <w:r>
        <w:rPr>
          <w:rStyle w:val="161"/>
          <w:rFonts w:hint="eastAsia" w:ascii="宋体" w:hAnsi="宋体" w:cs="宋体"/>
          <w:color w:val="000000" w:themeColor="text1"/>
          <w:sz w:val="24"/>
          <w:u w:val="single" w:color="000000"/>
          <w14:textFill>
            <w14:solidFill>
              <w14:schemeClr w14:val="tx1"/>
            </w14:solidFill>
          </w14:textFill>
        </w:rPr>
        <w:t>2023</w:t>
      </w:r>
      <w:r>
        <w:rPr>
          <w:rStyle w:val="161"/>
          <w:rFonts w:hint="eastAsia" w:ascii="宋体" w:hAnsi="宋体" w:cs="宋体"/>
          <w:bCs/>
          <w:color w:val="000000" w:themeColor="text1"/>
          <w:sz w:val="24"/>
          <w:u w:val="single" w:color="000000"/>
          <w14:textFill>
            <w14:solidFill>
              <w14:schemeClr w14:val="tx1"/>
            </w14:solidFill>
          </w14:textFill>
        </w:rPr>
        <w:t>年8月1日9点00分（</w:t>
      </w:r>
      <w:r>
        <w:rPr>
          <w:rStyle w:val="161"/>
          <w:rFonts w:hint="eastAsia" w:ascii="宋体" w:hAnsi="宋体" w:cs="宋体"/>
          <w:bCs/>
          <w:color w:val="000000" w:themeColor="text1"/>
          <w:sz w:val="24"/>
          <w14:textFill>
            <w14:solidFill>
              <w14:schemeClr w14:val="tx1"/>
            </w14:solidFill>
          </w14:textFill>
        </w:rPr>
        <w:t>北京时间）前递交投标文件</w:t>
      </w:r>
      <w:r>
        <w:rPr>
          <w:rStyle w:val="161"/>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6" w:name="_Toc28359089"/>
      <w:bookmarkStart w:id="7" w:name="_Toc35393798"/>
      <w:bookmarkStart w:id="8" w:name="_Toc28359012"/>
      <w:bookmarkStart w:id="9" w:name="_Toc35393629"/>
      <w:r>
        <w:rPr>
          <w:rFonts w:hint="eastAsia" w:ascii="宋体" w:hAnsi="宋体" w:eastAsia="宋体" w:cs="宋体"/>
          <w:b w:val="0"/>
          <w:color w:val="000000" w:themeColor="text1"/>
          <w:sz w:val="24"/>
          <w:szCs w:val="24"/>
          <w14:textFill>
            <w14:solidFill>
              <w14:schemeClr w14:val="tx1"/>
            </w14:solidFill>
          </w14:textFill>
        </w:rPr>
        <w:t>一、项目基本情况</w:t>
      </w:r>
      <w:bookmarkEnd w:id="6"/>
      <w:bookmarkEnd w:id="7"/>
      <w:bookmarkEnd w:id="8"/>
      <w:bookmarkEnd w:id="9"/>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项目编号：2023-017W</w:t>
      </w:r>
    </w:p>
    <w:p>
      <w:pPr>
        <w:adjustRightInd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项目名称：盐城工业职业技术学院学生公寓洗衣机服务BOT节能项目</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采购方式：竞争性磋商</w:t>
      </w:r>
    </w:p>
    <w:p>
      <w:pPr>
        <w:adjustRightInd w:val="0"/>
        <w:snapToGrid w:val="0"/>
        <w:spacing w:line="360" w:lineRule="auto"/>
        <w:ind w:firstLine="480" w:firstLineChars="200"/>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最高限价：本项目的磋商报价应在采购人设置的最高限价以下报价，高于最高限价的供应商将作为废标处理。</w:t>
      </w:r>
    </w:p>
    <w:tbl>
      <w:tblPr>
        <w:tblStyle w:val="46"/>
        <w:tblpPr w:leftFromText="180" w:rightFromText="180" w:vertAnchor="text" w:horzAnchor="page" w:tblpXSpec="center" w:tblpY="78"/>
        <w:tblOverlap w:val="never"/>
        <w:tblW w:w="873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15"/>
        <w:gridCol w:w="1740"/>
        <w:gridCol w:w="1395"/>
        <w:gridCol w:w="1770"/>
        <w:gridCol w:w="26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w:t>
            </w:r>
          </w:p>
        </w:tc>
        <w:tc>
          <w:tcPr>
            <w:tcW w:w="1740" w:type="dxa"/>
            <w:tcBorders>
              <w:tl2br w:val="nil"/>
              <w:tr2bl w:val="nil"/>
            </w:tcBorders>
            <w:vAlign w:val="center"/>
          </w:tcPr>
          <w:p>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最高收费标准</w:t>
            </w:r>
          </w:p>
        </w:tc>
        <w:tc>
          <w:tcPr>
            <w:tcW w:w="1395" w:type="dxa"/>
            <w:tcBorders>
              <w:tl2br w:val="nil"/>
              <w:tr2bl w:val="nil"/>
            </w:tcBorders>
            <w:vAlign w:val="center"/>
          </w:tcPr>
          <w:p>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操作时间</w:t>
            </w:r>
          </w:p>
        </w:tc>
        <w:tc>
          <w:tcPr>
            <w:tcW w:w="1770" w:type="dxa"/>
            <w:tcBorders>
              <w:tl2br w:val="nil"/>
              <w:tr2bl w:val="nil"/>
            </w:tcBorders>
            <w:vAlign w:val="center"/>
          </w:tcPr>
          <w:p>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洗涤程序</w:t>
            </w:r>
          </w:p>
        </w:tc>
        <w:tc>
          <w:tcPr>
            <w:tcW w:w="2619" w:type="dxa"/>
            <w:tcBorders>
              <w:tl2br w:val="nil"/>
              <w:tr2bl w:val="nil"/>
            </w:tcBorders>
            <w:vAlign w:val="center"/>
          </w:tcPr>
          <w:p>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≥5分钟</w:t>
            </w:r>
          </w:p>
        </w:tc>
        <w:tc>
          <w:tcPr>
            <w:tcW w:w="1770" w:type="dxa"/>
            <w:tcBorders>
              <w:tl2br w:val="nil"/>
              <w:tr2bl w:val="nil"/>
            </w:tcBorders>
            <w:vAlign w:val="center"/>
          </w:tcPr>
          <w:p>
            <w:pPr>
              <w:adjustRightInd w:val="0"/>
              <w:snapToGrid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脱水</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快洗</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≥25分钟</w:t>
            </w:r>
          </w:p>
        </w:tc>
        <w:tc>
          <w:tcPr>
            <w:tcW w:w="177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适量衣物的洗涤程序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标准洗</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≥35分钟</w:t>
            </w:r>
          </w:p>
        </w:tc>
        <w:tc>
          <w:tcPr>
            <w:tcW w:w="177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适量衣物的洗涤程序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大件洗</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≥45分钟</w:t>
            </w:r>
          </w:p>
        </w:tc>
        <w:tc>
          <w:tcPr>
            <w:tcW w:w="177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大量衣物的洗涤程序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桶自洁</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≥5分钟</w:t>
            </w:r>
          </w:p>
        </w:tc>
        <w:tc>
          <w:tcPr>
            <w:tcW w:w="1770" w:type="dxa"/>
            <w:tcBorders>
              <w:tl2br w:val="nil"/>
              <w:tr2bl w:val="nil"/>
            </w:tcBorders>
            <w:vAlign w:val="center"/>
          </w:tcPr>
          <w:p>
            <w:pPr>
              <w:adjustRightInd w:val="0"/>
              <w:snapToGrid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清洁</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清洁程序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≥40分钟</w:t>
            </w:r>
          </w:p>
        </w:tc>
        <w:tc>
          <w:tcPr>
            <w:tcW w:w="1770" w:type="dxa"/>
            <w:tcBorders>
              <w:tl2br w:val="nil"/>
              <w:tr2bl w:val="nil"/>
            </w:tcBorders>
            <w:vAlign w:val="center"/>
          </w:tcPr>
          <w:p>
            <w:pPr>
              <w:adjustRightInd w:val="0"/>
              <w:snapToGrid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（单体机）</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衣物脱水之后快速烘干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21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1740"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3.0元/次</w:t>
            </w:r>
          </w:p>
        </w:tc>
        <w:tc>
          <w:tcPr>
            <w:tcW w:w="1395"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≥35分钟</w:t>
            </w:r>
          </w:p>
        </w:tc>
        <w:tc>
          <w:tcPr>
            <w:tcW w:w="1770" w:type="dxa"/>
            <w:tcBorders>
              <w:tl2br w:val="nil"/>
              <w:tr2bl w:val="nil"/>
            </w:tcBorders>
            <w:vAlign w:val="center"/>
          </w:tcPr>
          <w:p>
            <w:pPr>
              <w:adjustRightInd w:val="0"/>
              <w:snapToGrid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2619" w:type="dxa"/>
            <w:tcBorders>
              <w:tl2br w:val="nil"/>
              <w:tr2bl w:val="nil"/>
            </w:tcBorders>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鞋类洗涤</w:t>
            </w:r>
          </w:p>
        </w:tc>
      </w:tr>
    </w:tbl>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采购需求：采用BOT合作模式对校内宿舍洗衣房改造，由中标人全额投资，中标人负责该项目所有设备及场地的投资、建设、安装及全系统调试、正常运行等。详见招标文件项目需求。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签定合同后20天内完成全部洗衣机的安装调试。本项目服务期为五年，采取3+2的形式签订合同，即第一次合同服务期为三年，合同期满学校将对供应商的服务情况进行考核。若考核合格，续签剩余两年的合同，若考核不合格，学校有权单方面解除合同，不再续签。</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10" w:name="_Toc28359013"/>
      <w:bookmarkStart w:id="11" w:name="_Toc28359090"/>
      <w:bookmarkStart w:id="12" w:name="_Toc35393799"/>
      <w:bookmarkStart w:id="13" w:name="_Toc35393630"/>
      <w:r>
        <w:rPr>
          <w:rFonts w:hint="eastAsia" w:ascii="宋体" w:hAnsi="宋体" w:eastAsia="宋体" w:cs="宋体"/>
          <w:b w:val="0"/>
          <w:color w:val="000000" w:themeColor="text1"/>
          <w:sz w:val="24"/>
          <w:szCs w:val="24"/>
          <w14:textFill>
            <w14:solidFill>
              <w14:schemeClr w14:val="tx1"/>
            </w14:solidFill>
          </w14:textFill>
        </w:rPr>
        <w:t>二、申请人的资格要求：</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(1)法人或者其他组织的营业执照等证明文件，自然人的身份证明；</w:t>
      </w:r>
    </w:p>
    <w:p>
      <w:pPr>
        <w:adjustRightInd w:val="0"/>
        <w:snapToGrid w:val="0"/>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(2)上一年度（2022年）的财务报表（成立不满一年不需提供）；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r>
        <w:rPr>
          <w:rFonts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(4)具备履行合同所必需的专业技术能力的书面声明；</w:t>
      </w:r>
    </w:p>
    <w:p>
      <w:pPr>
        <w:adjustRightInd w:val="0"/>
        <w:snapToGrid w:val="0"/>
        <w:spacing w:line="360" w:lineRule="auto"/>
        <w:ind w:left="480" w:hanging="480" w:hanging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(5)参加政府采购活动前3年内在经营活动中没有重大违法记录的书面声明；</w:t>
      </w:r>
    </w:p>
    <w:p>
      <w:pPr>
        <w:pStyle w:val="6"/>
        <w:spacing w:after="0" w:line="360" w:lineRule="auto"/>
        <w:ind w:firstLine="480" w:firstLineChars="200"/>
        <w:rPr>
          <w:rFonts w:ascii="宋体" w:hAnsi="宋体"/>
          <w:color w:val="000000" w:themeColor="text1"/>
          <w:sz w:val="24"/>
          <w14:textFill>
            <w14:solidFill>
              <w14:schemeClr w14:val="tx1"/>
            </w14:solidFill>
          </w14:textFill>
        </w:rPr>
      </w:pPr>
      <w:bookmarkStart w:id="14" w:name="_Toc28359091"/>
      <w:bookmarkStart w:id="15" w:name="_Toc28359014"/>
      <w:r>
        <w:rPr>
          <w:rFonts w:hint="eastAsia" w:ascii="宋体" w:hAnsi="宋体" w:cs="宋体"/>
          <w:color w:val="000000" w:themeColor="text1"/>
          <w:sz w:val="24"/>
          <w14:textFill>
            <w14:solidFill>
              <w14:schemeClr w14:val="tx1"/>
            </w14:solidFill>
          </w14:textFill>
        </w:rPr>
        <w:t>2.落实政府采购政策需满足的资格要求</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本项目为专门面向中小企业采购的项目,供应商须为中小微企业，不接受大型企业参与本项目投标。（具体中小企业划分标准详见《关于印发中小企业划型标准规定的通知》（工信部联企业[2011]300号）文件规定及国家统计局关于印发《统计上大中小微型企业划分办法（2017）》。供应商投标时须提供《中小型企业声明函》，否则按无效处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pPr>
        <w:adjustRightInd w:val="0"/>
        <w:snapToGrid w:val="0"/>
        <w:spacing w:line="360" w:lineRule="auto"/>
        <w:ind w:firstLine="547" w:firstLine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adjustRightInd w:val="0"/>
        <w:snapToGrid w:val="0"/>
        <w:spacing w:line="360" w:lineRule="auto"/>
        <w:ind w:firstLine="547" w:firstLine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（2）单位负责人为同一人或者存在直接控股、管理关系的不同供应商，不得同时参加本采购活动。</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16" w:name="_Toc35393800"/>
      <w:bookmarkStart w:id="17" w:name="_Toc35393631"/>
      <w:r>
        <w:rPr>
          <w:rFonts w:hint="eastAsia" w:ascii="宋体" w:hAnsi="宋体" w:eastAsia="宋体" w:cs="宋体"/>
          <w:b w:val="0"/>
          <w:color w:val="000000" w:themeColor="text1"/>
          <w:sz w:val="24"/>
          <w:szCs w:val="24"/>
          <w14:textFill>
            <w14:solidFill>
              <w14:schemeClr w14:val="tx1"/>
            </w14:solidFill>
          </w14:textFill>
        </w:rPr>
        <w:t>三、获取采购文件</w:t>
      </w:r>
      <w:bookmarkEnd w:id="14"/>
      <w:bookmarkEnd w:id="15"/>
      <w:bookmarkEnd w:id="16"/>
      <w:bookmarkEnd w:id="17"/>
    </w:p>
    <w:p>
      <w:pPr>
        <w:widowControl/>
        <w:snapToGrid w:val="0"/>
        <w:spacing w:line="360" w:lineRule="auto"/>
        <w:ind w:firstLine="480" w:firstLineChars="200"/>
        <w:textAlignment w:val="baseline"/>
        <w:rPr>
          <w:rStyle w:val="161"/>
          <w:rFonts w:ascii="宋体" w:hAnsi="宋体" w:cs="宋体"/>
          <w:color w:val="000000" w:themeColor="text1"/>
          <w:sz w:val="24"/>
          <w14:textFill>
            <w14:solidFill>
              <w14:schemeClr w14:val="tx1"/>
            </w14:solidFill>
          </w14:textFill>
        </w:rPr>
      </w:pPr>
      <w:bookmarkStart w:id="18" w:name="_Toc28359092"/>
      <w:bookmarkStart w:id="19" w:name="_Toc35393632"/>
      <w:bookmarkStart w:id="20" w:name="_Toc28359015"/>
      <w:bookmarkStart w:id="21" w:name="_Toc35393801"/>
      <w:r>
        <w:rPr>
          <w:rStyle w:val="161"/>
          <w:rFonts w:hint="eastAsia" w:ascii="宋体" w:hAnsi="宋体" w:cs="宋体"/>
          <w:color w:val="000000" w:themeColor="text1"/>
          <w:sz w:val="24"/>
          <w14:textFill>
            <w14:solidFill>
              <w14:schemeClr w14:val="tx1"/>
            </w14:solidFill>
          </w14:textFill>
        </w:rPr>
        <w:t>时间：自公告之日起至投标截止时间前1日</w:t>
      </w:r>
    </w:p>
    <w:p>
      <w:pPr>
        <w:widowControl/>
        <w:snapToGrid w:val="0"/>
        <w:spacing w:line="360" w:lineRule="auto"/>
        <w:ind w:firstLine="480" w:firstLineChars="200"/>
        <w:textAlignment w:val="baseline"/>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地点：盐城工业职业技术学院招标采购网</w:t>
      </w:r>
    </w:p>
    <w:p>
      <w:pPr>
        <w:widowControl/>
        <w:snapToGrid w:val="0"/>
        <w:spacing w:line="360" w:lineRule="auto"/>
        <w:ind w:firstLine="480" w:firstLineChars="200"/>
        <w:textAlignment w:val="baseline"/>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方式：符合资格要求的投标人可自行下载采购文件，采购文件见盐城工业职业技术学院招标采购网本公告附件。</w:t>
      </w:r>
    </w:p>
    <w:p>
      <w:pPr>
        <w:widowControl/>
        <w:adjustRightInd w:val="0"/>
        <w:snapToGrid w:val="0"/>
        <w:spacing w:line="360" w:lineRule="auto"/>
        <w:ind w:firstLine="480" w:firstLineChars="200"/>
        <w:textAlignment w:val="baseline"/>
        <w:rPr>
          <w:rStyle w:val="161"/>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名时间及地点：本公告发布后凡具备上述资格条件，并自愿参加本项目投标的投标人应于2023年7月19日至2023年7月28日委派本单位正式人员携带单位介绍信或授权委托书扫描件至我单位或添加微信（微信号:13305104722）购买招标文件，逾期的不予接收。</w:t>
      </w:r>
    </w:p>
    <w:p>
      <w:pPr>
        <w:widowControl/>
        <w:snapToGrid w:val="0"/>
        <w:spacing w:line="360" w:lineRule="auto"/>
        <w:ind w:firstLine="480" w:firstLineChars="200"/>
        <w:textAlignment w:val="baseline"/>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售价：人民币500元，售后不退。</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四、响应文件提交</w:t>
      </w:r>
      <w:bookmarkEnd w:id="18"/>
      <w:bookmarkEnd w:id="19"/>
      <w:bookmarkEnd w:id="20"/>
      <w:bookmarkEnd w:id="21"/>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年8月1日9点00分</w:t>
      </w:r>
      <w:r>
        <w:rPr>
          <w:rFonts w:hint="eastAsia" w:ascii="宋体" w:hAnsi="宋体" w:cs="宋体"/>
          <w:bCs/>
          <w:color w:val="000000" w:themeColor="text1"/>
          <w:sz w:val="24"/>
          <w14:textFill>
            <w14:solidFill>
              <w14:schemeClr w14:val="tx1"/>
            </w14:solidFill>
          </w14:textFill>
        </w:rPr>
        <w:t>（北京时间）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r>
        <w:rPr>
          <w:rStyle w:val="161"/>
          <w:rFonts w:hint="eastAsia" w:ascii="宋体" w:hAnsi="宋体" w:cs="宋体"/>
          <w:color w:val="000000" w:themeColor="text1"/>
          <w:sz w:val="24"/>
          <w14:textFill>
            <w14:solidFill>
              <w14:schemeClr w14:val="tx1"/>
            </w14:solidFill>
          </w14:textFill>
        </w:rPr>
        <w:t>盐城工业职业技术学院（盐城市解放南路285号）南食堂四楼402开标室。</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22" w:name="_Toc28359016"/>
      <w:bookmarkStart w:id="23" w:name="_Toc35393802"/>
      <w:bookmarkStart w:id="24" w:name="_Toc35393633"/>
      <w:bookmarkStart w:id="25" w:name="_Toc28359093"/>
      <w:bookmarkStart w:id="26" w:name="_Toc35393634"/>
      <w:bookmarkStart w:id="27" w:name="_Toc35393803"/>
      <w:bookmarkStart w:id="28" w:name="_Toc28359017"/>
      <w:bookmarkStart w:id="29" w:name="_Toc28359094"/>
      <w:r>
        <w:rPr>
          <w:rFonts w:hint="eastAsia" w:ascii="宋体" w:hAnsi="宋体" w:eastAsia="宋体" w:cs="宋体"/>
          <w:b w:val="0"/>
          <w:color w:val="000000" w:themeColor="text1"/>
          <w:sz w:val="24"/>
          <w:szCs w:val="24"/>
          <w14:textFill>
            <w14:solidFill>
              <w14:schemeClr w14:val="tx1"/>
            </w14:solidFill>
          </w14:textFill>
        </w:rPr>
        <w:t>五、开启</w:t>
      </w:r>
      <w:bookmarkEnd w:id="22"/>
      <w:bookmarkEnd w:id="23"/>
      <w:bookmarkEnd w:id="24"/>
      <w:bookmarkEnd w:id="25"/>
    </w:p>
    <w:p>
      <w:pPr>
        <w:adjustRightInd w:val="0"/>
        <w:snapToGrid w:val="0"/>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年8月1日9点00分</w:t>
      </w:r>
      <w:r>
        <w:rPr>
          <w:rFonts w:hint="eastAsia" w:ascii="宋体" w:hAnsi="宋体" w:cs="宋体"/>
          <w:bCs/>
          <w:color w:val="000000" w:themeColor="text1"/>
          <w:sz w:val="24"/>
          <w14:textFill>
            <w14:solidFill>
              <w14:schemeClr w14:val="tx1"/>
            </w14:solidFill>
          </w14:textFill>
        </w:rPr>
        <w:t>（北京时间）</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r>
        <w:rPr>
          <w:rStyle w:val="161"/>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color w:val="000000" w:themeColor="text1"/>
          <w:sz w:val="24"/>
          <w14:textFill>
            <w14:solidFill>
              <w14:schemeClr w14:val="tx1"/>
            </w14:solidFill>
          </w14:textFill>
        </w:rPr>
        <w:t xml:space="preserve"> </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六、公告期限</w:t>
      </w:r>
      <w:bookmarkEnd w:id="26"/>
      <w:bookmarkEnd w:id="27"/>
      <w:bookmarkEnd w:id="28"/>
      <w:bookmarkEnd w:id="29"/>
    </w:p>
    <w:p>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w:t>
      </w: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个工作日。</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30" w:name="_Toc35393804"/>
      <w:bookmarkStart w:id="31" w:name="_Toc35393635"/>
      <w:r>
        <w:rPr>
          <w:rFonts w:hint="eastAsia" w:ascii="宋体" w:hAnsi="宋体" w:eastAsia="宋体" w:cs="宋体"/>
          <w:b w:val="0"/>
          <w:color w:val="000000" w:themeColor="text1"/>
          <w:sz w:val="24"/>
          <w:szCs w:val="24"/>
          <w14:textFill>
            <w14:solidFill>
              <w14:schemeClr w14:val="tx1"/>
            </w14:solidFill>
          </w14:textFill>
        </w:rPr>
        <w:t>七、其他补充事宜</w:t>
      </w:r>
      <w:bookmarkEnd w:id="30"/>
      <w:bookmarkEnd w:id="31"/>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32" w:name="_Toc28359095"/>
      <w:bookmarkStart w:id="33" w:name="_Toc35393805"/>
      <w:bookmarkStart w:id="34" w:name="_Toc35393636"/>
      <w:bookmarkStart w:id="35" w:name="_Toc28359018"/>
      <w:r>
        <w:rPr>
          <w:rFonts w:hint="eastAsia" w:ascii="宋体" w:hAnsi="宋体" w:cs="宋体"/>
          <w:color w:val="000000" w:themeColor="text1"/>
          <w:sz w:val="24"/>
          <w14:textFill>
            <w14:solidFill>
              <w14:schemeClr w14:val="tx1"/>
            </w14:solidFill>
          </w14:textFill>
        </w:rPr>
        <w:t>1、响应文件正本1份，副本4份。</w:t>
      </w:r>
    </w:p>
    <w:p>
      <w:pPr>
        <w:pStyle w:val="162"/>
        <w:tabs>
          <w:tab w:val="left" w:pos="0"/>
          <w:tab w:val="left" w:pos="3165"/>
          <w:tab w:val="center" w:pos="4153"/>
        </w:tabs>
        <w:snapToGrid w:val="0"/>
        <w:spacing w:line="360" w:lineRule="auto"/>
        <w:ind w:firstLine="480" w:firstLineChars="200"/>
        <w:jc w:val="left"/>
        <w:rPr>
          <w:rStyle w:val="161"/>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Style w:val="161"/>
          <w:rFonts w:hint="eastAsia" w:ascii="宋体" w:hAnsi="宋体" w:eastAsia="宋体" w:cs="宋体"/>
          <w:color w:val="000000" w:themeColor="text1"/>
          <w:sz w:val="24"/>
          <w:szCs w:val="24"/>
          <w14:textFill>
            <w14:solidFill>
              <w14:schemeClr w14:val="tx1"/>
            </w14:solidFill>
          </w14:textFill>
        </w:rPr>
        <w:t>本采购项目投标人无需交纳（提交）投标保证金。</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八、凡对本次采购提出询问，请按以下方式联系。</w:t>
      </w:r>
      <w:bookmarkEnd w:id="32"/>
      <w:bookmarkEnd w:id="33"/>
      <w:bookmarkEnd w:id="34"/>
      <w:bookmarkEnd w:id="35"/>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1.采购人信息</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名称：盐城工业职业技术学院</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地址：盐城市解放南路285号</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 xml:space="preserve">联系人：赵老师             </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联系电话：0515-88588707</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2.采购代理机构信息</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名称：江苏伟业项目管理有限公司</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地址：盐城市华邦国际东厦16楼</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联系人：陈先生              </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联系电话：13305104722</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3.项目联系方式</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项目联系人：顾老师、 高老师</w:t>
      </w:r>
    </w:p>
    <w:p>
      <w:pPr>
        <w:snapToGrid w:val="0"/>
        <w:spacing w:line="360" w:lineRule="auto"/>
        <w:ind w:firstLine="480" w:firstLineChars="200"/>
        <w:rPr>
          <w:rStyle w:val="161"/>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 xml:space="preserve">联系电话：13770023681 18262393599 </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161"/>
          <w:rFonts w:hint="eastAsia" w:ascii="宋体" w:hAnsi="宋体" w:cs="宋体"/>
          <w:color w:val="000000" w:themeColor="text1"/>
          <w:sz w:val="24"/>
          <w14:textFill>
            <w14:solidFill>
              <w14:schemeClr w14:val="tx1"/>
            </w14:solidFill>
          </w14:textFill>
        </w:rPr>
        <w:t>对项目需求部分的询问、质疑请向使用部门提出，询问、质疑由项目联系人负责答复。</w:t>
      </w:r>
    </w:p>
    <w:p>
      <w:pPr>
        <w:pStyle w:val="6"/>
        <w:rPr>
          <w:rFonts w:ascii="宋体" w:hAnsi="宋体" w:cs="宋体"/>
          <w:color w:val="000000" w:themeColor="text1"/>
          <w:sz w:val="24"/>
          <w14:textFill>
            <w14:solidFill>
              <w14:schemeClr w14:val="tx1"/>
            </w14:solidFill>
          </w14:textFill>
        </w:rPr>
      </w:pPr>
    </w:p>
    <w:p>
      <w:pPr>
        <w:widowControl/>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p>
    <w:bookmarkEnd w:id="3"/>
    <w:bookmarkEnd w:id="4"/>
    <w:bookmarkEnd w:id="5"/>
    <w:p>
      <w:pPr>
        <w:keepNext/>
        <w:keepLines/>
        <w:spacing w:before="260" w:after="260" w:line="416" w:lineRule="auto"/>
        <w:jc w:val="center"/>
        <w:outlineLvl w:val="0"/>
        <w:rPr>
          <w:rFonts w:ascii="黑体" w:hAnsi="Arial" w:eastAsia="黑体" w:cs="Arial"/>
          <w:b/>
          <w:bCs/>
          <w:color w:val="000000" w:themeColor="text1"/>
          <w:sz w:val="44"/>
          <w:szCs w:val="44"/>
          <w14:textFill>
            <w14:solidFill>
              <w14:schemeClr w14:val="tx1"/>
            </w14:solidFill>
          </w14:textFill>
        </w:rPr>
      </w:pPr>
      <w:bookmarkStart w:id="36" w:name="_Toc4407"/>
      <w:r>
        <w:rPr>
          <w:rFonts w:hint="eastAsia" w:ascii="黑体" w:hAnsi="Arial" w:eastAsia="黑体" w:cs="Arial"/>
          <w:b/>
          <w:bCs/>
          <w:color w:val="000000" w:themeColor="text1"/>
          <w:sz w:val="44"/>
          <w:szCs w:val="44"/>
          <w14:textFill>
            <w14:solidFill>
              <w14:schemeClr w14:val="tx1"/>
            </w14:solidFill>
          </w14:textFill>
        </w:rPr>
        <w:t>第二章  磋商须知</w:t>
      </w:r>
      <w:bookmarkEnd w:id="36"/>
    </w:p>
    <w:p>
      <w:pPr>
        <w:spacing w:after="145" w:afterLines="50" w:line="360" w:lineRule="auto"/>
        <w:jc w:val="center"/>
        <w:rPr>
          <w:rFonts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（参加竞争性磋商的供应商以下简称“磋商供应商”）</w:t>
      </w:r>
    </w:p>
    <w:p>
      <w:pPr>
        <w:tabs>
          <w:tab w:val="left" w:pos="900"/>
        </w:tabs>
        <w:spacing w:line="500" w:lineRule="exact"/>
        <w:ind w:firstLine="585" w:firstLineChars="243"/>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一、总则</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1、适用范围</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本竞争性磋商文件（以下简称磋商文件）仅适用此项目。</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本项目按照项目分包，分别确定各分包成交供应商。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2、项目采购方式</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本次采购采取竞争性磋商的方式。</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3、合格的磋商供应商</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3.1满足本磋商文件“竞争性磋商采购公告”中合格磋商供应商资格要求的规定。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满足本磋商文件实质性要求和条件的规定。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4、参加磋商费用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4.1参加磋商供应商应自行承担所有与参加磋商有关的费用。不论最终的成交结果如何，盐城工业职业技术学院（以下简称：采购人）在任何情况下均无义务和责任承担这些费用。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4.2本项目中标人与采购人签订合同前领取中标通知书时须向采购代理机构支付招标代理服务费，收费标准按投资额的1.5%×40%计取（如低于3000元的直接按3000元计取，考虑本项目具体情况，上限不超过10000元）；上述费用由各投标人在投标时自行综合考虑分摊含进投标报价中，且不得单列，采购人不再承担上述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5、磋商文件的约束力</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bookmarkStart w:id="37" w:name="_Toc20823283"/>
      <w:bookmarkStart w:id="38" w:name="_Toc16938527"/>
      <w:bookmarkStart w:id="39" w:name="_Toc513029211"/>
      <w:bookmarkStart w:id="40" w:name="_Toc462564070"/>
      <w:r>
        <w:rPr>
          <w:rFonts w:hint="eastAsia" w:ascii="宋体" w:hAnsi="宋体" w:cs="宋体"/>
          <w:color w:val="000000" w:themeColor="text1"/>
          <w:sz w:val="24"/>
          <w14:textFill>
            <w14:solidFill>
              <w14:schemeClr w14:val="tx1"/>
            </w14:solidFill>
          </w14:textFill>
        </w:rPr>
        <w:t>磋商文件的</w:t>
      </w:r>
      <w:bookmarkEnd w:id="37"/>
      <w:bookmarkEnd w:id="38"/>
      <w:bookmarkEnd w:id="39"/>
      <w:bookmarkEnd w:id="40"/>
      <w:r>
        <w:rPr>
          <w:rFonts w:hint="eastAsia" w:ascii="宋体" w:hAnsi="宋体" w:cs="宋体"/>
          <w:color w:val="000000" w:themeColor="text1"/>
          <w:sz w:val="24"/>
          <w14:textFill>
            <w14:solidFill>
              <w14:schemeClr w14:val="tx1"/>
            </w14:solidFill>
          </w14:textFill>
        </w:rPr>
        <w:t>询问及修改</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任何要求对磋商文件进行询问的供应商，均应在提交首次响应文件截止时间五日前按采购邀请中的通讯地址，向采购人或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color w:val="000000" w:themeColor="text1"/>
          <w:sz w:val="24"/>
          <w14:textFill>
            <w14:solidFill>
              <w14:schemeClr w14:val="tx1"/>
            </w14:solidFill>
          </w14:textFill>
        </w:rPr>
        <w:t>市住房和城乡建设局</w:t>
      </w:r>
      <w:r>
        <w:rPr>
          <w:rFonts w:hint="eastAsia" w:ascii="宋体" w:hAnsi="宋体" w:cs="宋体"/>
          <w:color w:val="000000" w:themeColor="text1"/>
          <w:sz w:val="24"/>
          <w14:textFill>
            <w14:solidFill>
              <w14:schemeClr w14:val="tx1"/>
            </w14:solidFill>
          </w14:textFill>
        </w:rPr>
        <w:t>网上发布书面更正公告形式通知所有获取磋商文件的供应商。不足五日的，采购人应当顺延提交首次响应文件截止时间。</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6.2采购人或代理机构可以视采购项目的具体情况，组织供应商进行现场考察或召开磋商前答疑会，但不单独或分别组织只有一个供应商参加的现场考察和答疑会。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7、磋商文件的解释</w:t>
      </w:r>
    </w:p>
    <w:p>
      <w:pPr>
        <w:spacing w:line="500" w:lineRule="exact"/>
        <w:ind w:firstLine="600" w:firstLineChars="2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7.1 本磋商文件由盐城工业职业技术学院负责解释。</w:t>
      </w:r>
    </w:p>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41" w:name="_Toc14577351"/>
      <w:bookmarkStart w:id="42" w:name="_Toc462564072"/>
      <w:bookmarkStart w:id="43" w:name="_Toc513029213"/>
      <w:bookmarkStart w:id="44" w:name="_Toc61149553"/>
      <w:r>
        <w:rPr>
          <w:rFonts w:hint="eastAsia" w:ascii="宋体" w:hAnsi="宋体" w:cs="宋体"/>
          <w:b/>
          <w:color w:val="000000" w:themeColor="text1"/>
          <w:sz w:val="24"/>
          <w14:textFill>
            <w14:solidFill>
              <w14:schemeClr w14:val="tx1"/>
            </w14:solidFill>
          </w14:textFill>
        </w:rPr>
        <w:t>二、磋商响应文件的编制</w:t>
      </w:r>
      <w:bookmarkEnd w:id="41"/>
      <w:bookmarkEnd w:id="42"/>
      <w:bookmarkEnd w:id="43"/>
      <w:bookmarkEnd w:id="44"/>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45" w:name="_Toc61149561"/>
      <w:bookmarkStart w:id="46" w:name="_Toc513029223"/>
      <w:bookmarkStart w:id="47" w:name="_Toc14577361"/>
      <w:r>
        <w:rPr>
          <w:rFonts w:hint="eastAsia" w:ascii="宋体" w:hAnsi="宋体" w:cs="宋体"/>
          <w:color w:val="000000" w:themeColor="text1"/>
          <w:sz w:val="24"/>
          <w14:textFill>
            <w14:solidFill>
              <w14:schemeClr w14:val="tx1"/>
            </w14:solidFill>
          </w14:textFill>
        </w:rPr>
        <w:t>1、磋商响应文件份数和签署</w:t>
      </w:r>
      <w:bookmarkEnd w:id="45"/>
      <w:bookmarkEnd w:id="46"/>
      <w:bookmarkEnd w:id="47"/>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1.1磋商供应商应严格按照采购邀请要求准备磋商响应文件（以下简称响应文件），每份响应文件须清楚地标明“正本”或“副本”字样。</w:t>
      </w:r>
    </w:p>
    <w:p>
      <w:pPr>
        <w:snapToGrid w:val="0"/>
        <w:spacing w:line="500" w:lineRule="exact"/>
        <w:ind w:firstLine="48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除磋商供应商对错处做必要修改外，响应文件不得行间插字、涂改或增删。如有修改错漏处，必须由响应文件签署人签字或盖章。</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48" w:name="_Hlt26954834"/>
      <w:bookmarkEnd w:id="48"/>
      <w:bookmarkStart w:id="49" w:name="_Toc61149555"/>
      <w:bookmarkStart w:id="50" w:name="_Toc513029215"/>
      <w:bookmarkStart w:id="51" w:name="_Toc462564074"/>
      <w:bookmarkStart w:id="52" w:name="_Toc14577353"/>
      <w:bookmarkStart w:id="53" w:name="_Toc462564073"/>
      <w:bookmarkStart w:id="54" w:name="_Toc14577352"/>
      <w:bookmarkStart w:id="55" w:name="_Toc61149554"/>
      <w:bookmarkStart w:id="56" w:name="_Toc513029214"/>
      <w:r>
        <w:rPr>
          <w:rFonts w:hint="eastAsia" w:ascii="宋体" w:hAnsi="宋体" w:cs="宋体"/>
          <w:color w:val="000000" w:themeColor="text1"/>
          <w:sz w:val="24"/>
          <w14:textFill>
            <w14:solidFill>
              <w14:schemeClr w14:val="tx1"/>
            </w14:solidFill>
          </w14:textFill>
        </w:rPr>
        <w:t>2、响应文件</w:t>
      </w:r>
      <w:bookmarkEnd w:id="49"/>
      <w:bookmarkEnd w:id="50"/>
      <w:bookmarkEnd w:id="51"/>
      <w:bookmarkEnd w:id="52"/>
      <w:r>
        <w:rPr>
          <w:rFonts w:hint="eastAsia" w:ascii="宋体" w:hAnsi="宋体" w:cs="宋体"/>
          <w:color w:val="000000" w:themeColor="text1"/>
          <w:sz w:val="24"/>
          <w14:textFill>
            <w14:solidFill>
              <w14:schemeClr w14:val="tx1"/>
            </w14:solidFill>
          </w14:textFill>
        </w:rPr>
        <w:t>编制要求</w:t>
      </w:r>
    </w:p>
    <w:bookmarkEnd w:id="53"/>
    <w:bookmarkEnd w:id="54"/>
    <w:bookmarkEnd w:id="55"/>
    <w:bookmarkEnd w:id="56"/>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2.1磋商供应商提交的响应文件以及磋商供应商与购人就有关磋商的所有来往函电均应使用简体中文。磋商文件中既有中文也有外文的，以中文意义为准。</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除技术性能另有规定外，响应文件所使用的度量衡单位，均须采用国家法定计量单位。</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57" w:name="_Hlt26954836"/>
      <w:bookmarkEnd w:id="57"/>
      <w:bookmarkStart w:id="58" w:name="_Hlt26670357"/>
      <w:bookmarkEnd w:id="58"/>
      <w:bookmarkStart w:id="59" w:name="_Toc513029219"/>
      <w:bookmarkStart w:id="60" w:name="_Toc61149558"/>
      <w:bookmarkStart w:id="61" w:name="_Toc14577357"/>
      <w:bookmarkStart w:id="62" w:name="_Toc14577355"/>
      <w:bookmarkStart w:id="63" w:name="_Toc513029217"/>
      <w:bookmarkStart w:id="64" w:name="_Toc61149557"/>
      <w:r>
        <w:rPr>
          <w:rFonts w:hint="eastAsia" w:ascii="宋体" w:hAnsi="宋体" w:cs="宋体"/>
          <w:color w:val="000000" w:themeColor="text1"/>
          <w:sz w:val="24"/>
          <w14:textFill>
            <w14:solidFill>
              <w14:schemeClr w14:val="tx1"/>
            </w14:solidFill>
          </w14:textFill>
        </w:rPr>
        <w:t>3、参加磋商供应商资格的文件</w:t>
      </w:r>
      <w:bookmarkEnd w:id="59"/>
      <w:bookmarkEnd w:id="60"/>
      <w:bookmarkEnd w:id="61"/>
      <w:r>
        <w:rPr>
          <w:rFonts w:hint="eastAsia" w:ascii="宋体" w:hAnsi="宋体" w:cs="宋体"/>
          <w:color w:val="000000" w:themeColor="text1"/>
          <w:sz w:val="24"/>
          <w14:textFill>
            <w14:solidFill>
              <w14:schemeClr w14:val="tx1"/>
            </w14:solidFill>
          </w14:textFill>
        </w:rPr>
        <w:t>证明</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bookmarkStart w:id="65" w:name="_Hlt26668999"/>
      <w:bookmarkEnd w:id="65"/>
      <w:r>
        <w:rPr>
          <w:rFonts w:hint="eastAsia" w:ascii="宋体" w:hAnsi="宋体" w:cs="宋体"/>
          <w:color w:val="000000" w:themeColor="text1"/>
          <w:sz w:val="24"/>
          <w14:textFill>
            <w14:solidFill>
              <w14:schemeClr w14:val="tx1"/>
            </w14:solidFill>
          </w14:textFill>
        </w:rPr>
        <w:t>3.1磋商供应商应提交证明其有资格参加磋商和成交后有能力独立履行合同的文件，并作为其响应文件的一部分。</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3.2磋商供应商除必须具有履行合同所需提供的设备以及服务的能力外，还必须具备相应的财务、技术方面的能力。</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3.3磋商供应商应填写并提交磋商文件所附的“资信证明文件”。</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4、磋商响应报价</w:t>
      </w:r>
      <w:bookmarkEnd w:id="62"/>
      <w:bookmarkEnd w:id="63"/>
      <w:bookmarkStart w:id="66" w:name="_Hlt26670373"/>
      <w:bookmarkEnd w:id="66"/>
      <w:r>
        <w:rPr>
          <w:rFonts w:hint="eastAsia" w:ascii="宋体" w:hAnsi="宋体" w:cs="宋体"/>
          <w:color w:val="000000" w:themeColor="text1"/>
          <w:sz w:val="24"/>
          <w14:textFill>
            <w14:solidFill>
              <w14:schemeClr w14:val="tx1"/>
            </w14:solidFill>
          </w14:textFill>
        </w:rPr>
        <w:t>表</w:t>
      </w:r>
      <w:bookmarkEnd w:id="64"/>
    </w:p>
    <w:p>
      <w:pPr>
        <w:tabs>
          <w:tab w:val="left" w:pos="900"/>
        </w:tabs>
        <w:spacing w:line="500" w:lineRule="exact"/>
        <w:ind w:left="120" w:leftChars="57"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4.2标的物</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详见项目需求。</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4.3有关费用处理</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本次采购磋商供应商的总报价应包括为完成本项目发生的所有费用，本磋商文件中另有规定的除外。</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4.4其它费用处理</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磋商文件未列明，而磋商供应商认为必须的费用也须列入报价。</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4.5报价采用的货币</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响应文件中的单价和总价，无特殊规定的采用人民币报价，以元为单位标注。磋商文件中另有规定的按规定执行。</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 磋商响应报价表上的价格应按磋商文件规定填写。</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67" w:name="_Hlt26954848"/>
      <w:bookmarkEnd w:id="67"/>
      <w:bookmarkStart w:id="68" w:name="_Hlt26670482"/>
      <w:bookmarkEnd w:id="68"/>
      <w:bookmarkStart w:id="69" w:name="_Hlt26668983"/>
      <w:bookmarkEnd w:id="69"/>
      <w:bookmarkStart w:id="70" w:name="_Hlt26670425"/>
      <w:bookmarkEnd w:id="70"/>
      <w:bookmarkStart w:id="71" w:name="_Hlt26954731"/>
      <w:bookmarkEnd w:id="71"/>
      <w:bookmarkStart w:id="72" w:name="_Hlt26670403"/>
      <w:bookmarkEnd w:id="72"/>
      <w:bookmarkStart w:id="73" w:name="_Hlt26954844"/>
      <w:bookmarkEnd w:id="73"/>
      <w:bookmarkStart w:id="74" w:name="_Hlt26954842"/>
      <w:bookmarkEnd w:id="74"/>
      <w:bookmarkStart w:id="75" w:name="_Hlt26954846"/>
      <w:bookmarkEnd w:id="75"/>
      <w:bookmarkStart w:id="76" w:name="_Hlt26670486"/>
      <w:bookmarkEnd w:id="76"/>
      <w:bookmarkStart w:id="77" w:name="_Toc14577359"/>
      <w:bookmarkStart w:id="78" w:name="_Toc61149559"/>
      <w:bookmarkStart w:id="79" w:name="_Toc513029221"/>
      <w:r>
        <w:rPr>
          <w:rFonts w:hint="eastAsia" w:ascii="宋体" w:hAnsi="宋体" w:cs="宋体"/>
          <w:color w:val="000000" w:themeColor="text1"/>
          <w:sz w:val="24"/>
          <w14:textFill>
            <w14:solidFill>
              <w14:schemeClr w14:val="tx1"/>
            </w14:solidFill>
          </w14:textFill>
        </w:rPr>
        <w:t>5、项目需求响应方案</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5.1提供为完成本项目的总体实施方案。</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5.2对磋商文件中项目需求的技术与商务条款要求逐项作出应答，并提供依据或说明。</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5.3磋商供应商认为需要的其他技术文件或说明。</w:t>
      </w:r>
    </w:p>
    <w:bookmarkEnd w:id="77"/>
    <w:bookmarkEnd w:id="78"/>
    <w:bookmarkEnd w:id="79"/>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80" w:name="_Hlt26954854"/>
      <w:bookmarkEnd w:id="80"/>
      <w:bookmarkStart w:id="81" w:name="_Hlt26954749"/>
      <w:bookmarkEnd w:id="81"/>
      <w:bookmarkStart w:id="82" w:name="_Hlt26954850"/>
      <w:bookmarkEnd w:id="82"/>
      <w:bookmarkStart w:id="83" w:name="_Hlt26670493"/>
      <w:bookmarkEnd w:id="83"/>
      <w:bookmarkStart w:id="84" w:name="_Hlt26954734"/>
      <w:bookmarkEnd w:id="84"/>
      <w:bookmarkStart w:id="85" w:name="_Hlt26954852"/>
      <w:bookmarkEnd w:id="85"/>
      <w:bookmarkStart w:id="86" w:name="_Hlt26670489"/>
      <w:bookmarkEnd w:id="86"/>
      <w:bookmarkStart w:id="87" w:name="_Hlt26954739"/>
      <w:bookmarkEnd w:id="87"/>
      <w:bookmarkStart w:id="88" w:name="_Toc61149562"/>
      <w:bookmarkStart w:id="89" w:name="_Toc513029224"/>
      <w:bookmarkStart w:id="90" w:name="_Toc14577362"/>
      <w:r>
        <w:rPr>
          <w:rFonts w:hint="eastAsia" w:ascii="宋体" w:hAnsi="宋体" w:cs="宋体"/>
          <w:b/>
          <w:color w:val="000000" w:themeColor="text1"/>
          <w:sz w:val="24"/>
          <w14:textFill>
            <w14:solidFill>
              <w14:schemeClr w14:val="tx1"/>
            </w14:solidFill>
          </w14:textFill>
        </w:rPr>
        <w:t>三、响应文件的递交</w:t>
      </w:r>
      <w:bookmarkEnd w:id="88"/>
      <w:bookmarkEnd w:id="89"/>
      <w:bookmarkEnd w:id="90"/>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91" w:name="_Hlt26954856"/>
      <w:bookmarkEnd w:id="91"/>
      <w:bookmarkStart w:id="92" w:name="_Toc513029225"/>
      <w:bookmarkStart w:id="93" w:name="_Toc462564084"/>
      <w:bookmarkStart w:id="94" w:name="_Toc14577363"/>
      <w:bookmarkStart w:id="95" w:name="_Toc61149563"/>
      <w:r>
        <w:rPr>
          <w:rFonts w:hint="eastAsia" w:ascii="宋体" w:hAnsi="宋体" w:cs="宋体"/>
          <w:color w:val="000000" w:themeColor="text1"/>
          <w:sz w:val="24"/>
          <w14:textFill>
            <w14:solidFill>
              <w14:schemeClr w14:val="tx1"/>
            </w14:solidFill>
          </w14:textFill>
        </w:rPr>
        <w:t>1、响应文件</w:t>
      </w:r>
      <w:bookmarkStart w:id="96" w:name="_Hlt26954743"/>
      <w:bookmarkEnd w:id="96"/>
      <w:r>
        <w:rPr>
          <w:rFonts w:hint="eastAsia" w:ascii="宋体" w:hAnsi="宋体" w:cs="宋体"/>
          <w:color w:val="000000" w:themeColor="text1"/>
          <w:sz w:val="24"/>
          <w14:textFill>
            <w14:solidFill>
              <w14:schemeClr w14:val="tx1"/>
            </w14:solidFill>
          </w14:textFill>
        </w:rPr>
        <w:t>的密封和标记</w:t>
      </w:r>
      <w:bookmarkEnd w:id="92"/>
      <w:bookmarkEnd w:id="93"/>
      <w:bookmarkEnd w:id="94"/>
      <w:bookmarkEnd w:id="95"/>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1.2密封的响应文件应：</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（1）按采购邀请中注明的地址送达规定地点；</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（2）注明参加磋商项目名称、磋商文件编号及参加的分包号；</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（3）密封包装上应写明磋商供应商名称。</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1.3如果密封包装未按要求密封和加写标记，采购人对误投或过早启封概不负责。对由此造成提前开封的响应文件，采购人将予以拒绝。</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97" w:name="_Hlt26954752"/>
      <w:bookmarkEnd w:id="97"/>
      <w:bookmarkStart w:id="98" w:name="_Hlt26954858"/>
      <w:bookmarkEnd w:id="98"/>
      <w:bookmarkStart w:id="99" w:name="_Hlt26670496"/>
      <w:bookmarkEnd w:id="99"/>
      <w:bookmarkStart w:id="100" w:name="_Toc61149564"/>
      <w:bookmarkStart w:id="101" w:name="_Toc14577364"/>
      <w:bookmarkStart w:id="102" w:name="_Toc513029226"/>
      <w:r>
        <w:rPr>
          <w:rFonts w:hint="eastAsia" w:ascii="宋体" w:hAnsi="宋体" w:cs="宋体"/>
          <w:color w:val="000000" w:themeColor="text1"/>
          <w:sz w:val="24"/>
          <w14:textFill>
            <w14:solidFill>
              <w14:schemeClr w14:val="tx1"/>
            </w14:solidFill>
          </w14:textFill>
        </w:rPr>
        <w:t>2、</w:t>
      </w:r>
      <w:bookmarkEnd w:id="100"/>
      <w:bookmarkEnd w:id="101"/>
      <w:bookmarkEnd w:id="102"/>
      <w:r>
        <w:rPr>
          <w:rFonts w:hint="eastAsia" w:ascii="宋体" w:hAnsi="宋体" w:cs="宋体"/>
          <w:color w:val="000000" w:themeColor="text1"/>
          <w:sz w:val="24"/>
          <w14:textFill>
            <w14:solidFill>
              <w14:schemeClr w14:val="tx1"/>
            </w14:solidFill>
          </w14:textFill>
        </w:rPr>
        <w:t>响应文件开启时间</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2.1采购人收到响应文件的时间不得迟于本磋商文件规定的响应文件接收截止时间。</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03" w:name="_Hlt26954860"/>
      <w:bookmarkEnd w:id="103"/>
      <w:bookmarkStart w:id="104" w:name="_Toc513029227"/>
      <w:bookmarkStart w:id="105" w:name="_Toc61149565"/>
      <w:bookmarkStart w:id="106" w:name="_Toc14577365"/>
      <w:r>
        <w:rPr>
          <w:rFonts w:hint="eastAsia" w:ascii="宋体" w:hAnsi="宋体" w:cs="宋体"/>
          <w:color w:val="000000" w:themeColor="text1"/>
          <w:sz w:val="24"/>
          <w14:textFill>
            <w14:solidFill>
              <w14:schemeClr w14:val="tx1"/>
            </w14:solidFill>
          </w14:textFill>
        </w:rPr>
        <w:t>3、迟交的响应文件</w:t>
      </w:r>
      <w:bookmarkEnd w:id="104"/>
      <w:bookmarkEnd w:id="105"/>
      <w:bookmarkEnd w:id="106"/>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3.1采购人将拒绝在规定的响应文件接收截止时间后接收任何响应文件。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07" w:name="_Hlt26954862"/>
      <w:bookmarkEnd w:id="107"/>
      <w:bookmarkStart w:id="108" w:name="_Hlt26954754"/>
      <w:bookmarkEnd w:id="108"/>
      <w:bookmarkStart w:id="109" w:name="_Toc14577366"/>
      <w:bookmarkStart w:id="110" w:name="_Toc513029228"/>
      <w:bookmarkStart w:id="111" w:name="_Toc61149566"/>
      <w:r>
        <w:rPr>
          <w:rFonts w:hint="eastAsia" w:ascii="宋体" w:hAnsi="宋体" w:cs="宋体"/>
          <w:color w:val="000000" w:themeColor="text1"/>
          <w:sz w:val="24"/>
          <w14:textFill>
            <w14:solidFill>
              <w14:schemeClr w14:val="tx1"/>
            </w14:solidFill>
          </w14:textFill>
        </w:rPr>
        <w:t>4、响应文件</w:t>
      </w:r>
      <w:bookmarkStart w:id="112" w:name="_Hlt26670588"/>
      <w:r>
        <w:rPr>
          <w:rFonts w:hint="eastAsia" w:ascii="宋体" w:hAnsi="宋体" w:cs="宋体"/>
          <w:color w:val="000000" w:themeColor="text1"/>
          <w:sz w:val="24"/>
          <w14:textFill>
            <w14:solidFill>
              <w14:schemeClr w14:val="tx1"/>
            </w14:solidFill>
          </w14:textFill>
        </w:rPr>
        <w:t>的修改</w:t>
      </w:r>
      <w:bookmarkEnd w:id="112"/>
      <w:r>
        <w:rPr>
          <w:rFonts w:hint="eastAsia" w:ascii="宋体" w:hAnsi="宋体" w:cs="宋体"/>
          <w:color w:val="000000" w:themeColor="text1"/>
          <w:sz w:val="24"/>
          <w14:textFill>
            <w14:solidFill>
              <w14:schemeClr w14:val="tx1"/>
            </w14:solidFill>
          </w14:textFill>
        </w:rPr>
        <w:t>和撤回</w:t>
      </w:r>
      <w:bookmarkEnd w:id="109"/>
      <w:bookmarkEnd w:id="110"/>
      <w:bookmarkEnd w:id="111"/>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4.1磋商供应商在递交响应文件后，可以修改或撤回其谈判响应文件，但这种修改和撤回，必须在规定的响应文件接收截止时间前，以书面形式送达指定地点。</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4.2磋商供应商的修改或撤回通知书，应按本文件规定进行编制、密封、标记和发送，并应在封套上加注“修改”和“撤回”字样。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磋商供应商在提交最后报价之前，可以根据磋商情况退出磋商。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5、磋商响应有效期</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磋商响应有效期为采购人规定的响应文件接收截止时间后六十（60）天。磋商响应有效期比规定短的将被视为非实质性响应性而予以拒绝。</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113" w:name="_Hlt26670523"/>
      <w:bookmarkEnd w:id="113"/>
      <w:bookmarkStart w:id="114" w:name="_Hlt26954864"/>
      <w:bookmarkEnd w:id="114"/>
      <w:r>
        <w:rPr>
          <w:rFonts w:hint="eastAsia" w:ascii="宋体" w:hAnsi="宋体" w:cs="宋体"/>
          <w:b/>
          <w:color w:val="000000" w:themeColor="text1"/>
          <w:sz w:val="24"/>
          <w14:textFill>
            <w14:solidFill>
              <w14:schemeClr w14:val="tx1"/>
            </w14:solidFill>
          </w14:textFill>
        </w:rPr>
        <w:t>四、磋商与评审</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15" w:name="_Toc513029230"/>
      <w:bookmarkStart w:id="116" w:name="_Toc16938546"/>
      <w:bookmarkStart w:id="117" w:name="_Toc20823302"/>
      <w:r>
        <w:rPr>
          <w:rFonts w:hint="eastAsia" w:ascii="宋体" w:hAnsi="宋体" w:cs="宋体"/>
          <w:color w:val="000000" w:themeColor="text1"/>
          <w:sz w:val="24"/>
          <w14:textFill>
            <w14:solidFill>
              <w14:schemeClr w14:val="tx1"/>
            </w14:solidFill>
          </w14:textFill>
        </w:rPr>
        <w:t>1、</w:t>
      </w:r>
      <w:bookmarkEnd w:id="115"/>
      <w:bookmarkEnd w:id="116"/>
      <w:bookmarkEnd w:id="117"/>
      <w:r>
        <w:rPr>
          <w:rFonts w:hint="eastAsia" w:ascii="宋体" w:hAnsi="宋体" w:cs="宋体"/>
          <w:color w:val="000000" w:themeColor="text1"/>
          <w:sz w:val="24"/>
          <w14:textFill>
            <w14:solidFill>
              <w14:schemeClr w14:val="tx1"/>
            </w14:solidFill>
          </w14:textFill>
        </w:rPr>
        <w:t>磋商仪式</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1.1按规定的时间和地点组织磋商开始仪式，仪式由采购人或代理机构主持，磋商供应商应委派携带有效证件的代表准时参加，参加仪式的代表需签名以证明其出席。</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18" w:name="_Toc20823303"/>
      <w:bookmarkStart w:id="119" w:name="_Toc16938547"/>
      <w:bookmarkStart w:id="120" w:name="_Toc513029231"/>
      <w:r>
        <w:rPr>
          <w:rFonts w:hint="eastAsia" w:ascii="宋体" w:hAnsi="宋体" w:cs="宋体"/>
          <w:color w:val="000000" w:themeColor="text1"/>
          <w:sz w:val="24"/>
          <w14:textFill>
            <w14:solidFill>
              <w14:schemeClr w14:val="tx1"/>
            </w14:solidFill>
          </w14:textFill>
        </w:rPr>
        <w:t>2、磋商小组</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磋商开始仪式结束后，采购人或代理机构组织磋商小组进行评审。</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磋商小组由政府采购评审专家、采购人代表组成，且人员构成符合政府采购有关规定。</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3、磋商评审过程的保密</w:t>
      </w:r>
      <w:bookmarkEnd w:id="118"/>
      <w:bookmarkEnd w:id="119"/>
      <w:bookmarkEnd w:id="120"/>
      <w:r>
        <w:rPr>
          <w:rFonts w:hint="eastAsia" w:ascii="宋体" w:hAnsi="宋体" w:cs="宋体"/>
          <w:color w:val="000000" w:themeColor="text1"/>
          <w:sz w:val="24"/>
          <w14:textFill>
            <w14:solidFill>
              <w14:schemeClr w14:val="tx1"/>
            </w14:solidFill>
          </w14:textFill>
        </w:rPr>
        <w:t>与公正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3.1磋商小组、采购人和代理机构工作人员、相关监督人员等与评审工作有关的人员，对评审情况以及在评审过程中获悉的国家秘密、商业秘密负有保密责任。</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3.2在磋商评审过程中，磋商供应商不得以任何行为影响磋商评审过程，否则其响应文件将被作为无效响应文件。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1" w:name="_Toc16938548"/>
      <w:bookmarkStart w:id="122" w:name="_Toc513029232"/>
      <w:bookmarkStart w:id="123" w:name="_Toc20823304"/>
      <w:r>
        <w:rPr>
          <w:rFonts w:hint="eastAsia" w:ascii="宋体" w:hAnsi="宋体" w:cs="宋体"/>
          <w:color w:val="000000" w:themeColor="text1"/>
          <w:sz w:val="24"/>
          <w14:textFill>
            <w14:solidFill>
              <w14:schemeClr w14:val="tx1"/>
            </w14:solidFill>
          </w14:textFill>
        </w:rPr>
        <w:t>4、评审过程的澄清</w:t>
      </w:r>
      <w:bookmarkEnd w:id="121"/>
      <w:bookmarkEnd w:id="122"/>
      <w:bookmarkEnd w:id="123"/>
      <w:r>
        <w:rPr>
          <w:rFonts w:hint="eastAsia" w:ascii="宋体" w:hAnsi="宋体" w:cs="宋体"/>
          <w:color w:val="000000" w:themeColor="text1"/>
          <w:sz w:val="24"/>
          <w14:textFill>
            <w14:solidFill>
              <w14:schemeClr w14:val="tx1"/>
            </w14:solidFill>
          </w14:textFill>
        </w:rPr>
        <w:t>、说明和更正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接到磋商小组澄清要求的供应商如未按规定做出澄清，其风险由供应商自行承担。</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4" w:name="_Toc20823305"/>
      <w:bookmarkStart w:id="125" w:name="_Toc513029233"/>
      <w:bookmarkStart w:id="126" w:name="_Toc16938549"/>
      <w:r>
        <w:rPr>
          <w:rFonts w:hint="eastAsia" w:ascii="宋体" w:hAnsi="宋体" w:cs="宋体"/>
          <w:color w:val="000000" w:themeColor="text1"/>
          <w:sz w:val="24"/>
          <w14:textFill>
            <w14:solidFill>
              <w14:schemeClr w14:val="tx1"/>
            </w14:solidFill>
          </w14:textFill>
        </w:rPr>
        <w:t>5、对响应文件的初审</w:t>
      </w:r>
      <w:bookmarkEnd w:id="124"/>
      <w:bookmarkEnd w:id="125"/>
      <w:bookmarkEnd w:id="126"/>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5.1响应文件初审分为资格性检查和符合性检查。</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资格性检查：依据法律法规和磋商文件的规定，对响应文件中的资格证明文件等进行审查，以确定供应商是否具备参加磋商的资格。</w:t>
      </w:r>
    </w:p>
    <w:p>
      <w:pPr>
        <w:wordWrap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符合性检查：依据磋商文件的规定，从响应文件的有效性、完整性和对磋商文件的响应程度进行审查，以确定是否对磋商文件的实质性要求作出响应。</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被认定为未实质性响应磋商文件的响应文件的情形</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（1）未按照磋商文件规定要求密封、签署、盖章的；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（2）供应商在报价时采用选择性报价；</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（3）供应商不具备磋商文件中规定资格要求的；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（4）不符合法律、法规和磋商文件中规定的其他实质性要求和条件的；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（5）其他法律、法规及本磋商文件规定的属未实质性响应的响应文件的情形。</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7" w:name="_Toc513029234"/>
      <w:bookmarkStart w:id="128" w:name="_Toc20823306"/>
      <w:bookmarkStart w:id="129" w:name="_Toc16938550"/>
      <w:r>
        <w:rPr>
          <w:rFonts w:hint="eastAsia" w:ascii="宋体" w:hAnsi="宋体" w:cs="宋体"/>
          <w:color w:val="000000" w:themeColor="text1"/>
          <w:sz w:val="24"/>
          <w14:textFill>
            <w14:solidFill>
              <w14:schemeClr w14:val="tx1"/>
            </w14:solidFill>
          </w14:textFill>
        </w:rPr>
        <w:t>6、</w:t>
      </w:r>
      <w:bookmarkEnd w:id="127"/>
      <w:bookmarkEnd w:id="128"/>
      <w:bookmarkEnd w:id="129"/>
      <w:r>
        <w:rPr>
          <w:rFonts w:hint="eastAsia" w:ascii="宋体" w:hAnsi="宋体" w:cs="宋体"/>
          <w:color w:val="000000" w:themeColor="text1"/>
          <w:sz w:val="24"/>
          <w14:textFill>
            <w14:solidFill>
              <w14:schemeClr w14:val="tx1"/>
            </w14:solidFill>
          </w14:textFill>
        </w:rPr>
        <w:t>磋商程序及评审方法和标准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30" w:name="_Toc513029235"/>
      <w:bookmarkStart w:id="131" w:name="_Toc20823307"/>
      <w:bookmarkStart w:id="132" w:name="_Toc16938551"/>
      <w:r>
        <w:rPr>
          <w:rFonts w:hint="eastAsia" w:ascii="宋体" w:hAnsi="宋体" w:cs="宋体"/>
          <w:color w:val="000000" w:themeColor="text1"/>
          <w:sz w:val="24"/>
          <w14:textFill>
            <w14:solidFill>
              <w14:schemeClr w14:val="tx1"/>
            </w14:solidFill>
          </w14:textFill>
        </w:rPr>
        <w:t>6.1磋商程序</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对于通过资格性和符合性审查的供应商，磋商小组所有成员将集中与单一供应商分别进行磋商。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6.1.2 磋商文件能够详细列明采购标的的技术、服务要求的，磋商结束后，磋商小组将要求所有实质性响应的供应商在规定时间内提交最后报价。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 磋商供应商未在磋商小组规定的时间内完成最后报价的视为放弃磋商，其磋商响应按无效响应处理。最后报价须由磋商供应商法定代表人或授权代表签字且加盖公章。已提交响应文件的供应商，在提交最后报价之前，可以根据磋商情况退出磋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 各供应商最后报价结束后,如磋商小组认为供应商的最后</w:t>
      </w:r>
      <w:r>
        <w:rPr>
          <w:rFonts w:hint="eastAsia" w:ascii="宋体" w:hAnsi="宋体" w:cs="宋体"/>
          <w:bCs/>
          <w:color w:val="000000" w:themeColor="text1"/>
          <w:sz w:val="24"/>
          <w14:textFill>
            <w14:solidFill>
              <w14:schemeClr w14:val="tx1"/>
            </w14:solidFill>
          </w14:textFill>
        </w:rPr>
        <w:t>报价明显低于其他通过符合性审查供应商的最后报价，有可能影响产品质量或者不能诚信履约的，应当要求其在项目评审过程中合理的时间内提供书面说明，必要时提交相关证明材料；供应商不能证明其报价合理性的，</w:t>
      </w:r>
      <w:r>
        <w:rPr>
          <w:rFonts w:hint="eastAsia" w:ascii="宋体" w:hAnsi="宋体" w:cs="宋体"/>
          <w:color w:val="000000" w:themeColor="text1"/>
          <w:sz w:val="24"/>
          <w14:textFill>
            <w14:solidFill>
              <w14:schemeClr w14:val="tx1"/>
            </w14:solidFill>
          </w14:textFill>
        </w:rPr>
        <w:t>磋商小组</w:t>
      </w:r>
      <w:r>
        <w:rPr>
          <w:rFonts w:hint="eastAsia" w:ascii="宋体" w:hAnsi="宋体" w:cs="宋体"/>
          <w:bCs/>
          <w:color w:val="000000" w:themeColor="text1"/>
          <w:sz w:val="24"/>
          <w14:textFill>
            <w14:solidFill>
              <w14:schemeClr w14:val="tx1"/>
            </w14:solidFill>
          </w14:textFill>
        </w:rPr>
        <w:t>应当将其作为无效投标处理。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评审方法和标准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6.2.1评审方法。经磋商确定最终采购需求和提交最后报价的供应商后，由磋商小组采用综合评分法对提交最后报价的供应商的响应文件和最后报价进行综合评分。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除本磋商文件第6.1.2条第三款规定的情形外，在采购过程中符合要求的供应商或者报价未超过采购预算的供应商不足3家的。见本磋商文件第五章规定。</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6.3采购活动终止的情况</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出现下列情形之一的，本次竞争性磋商采购活动将被终止：</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（1）因情况变化，不再符合规定的竞争性磋商采购方式适用情形的；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bookmarkEnd w:id="130"/>
    <w:bookmarkEnd w:id="131"/>
    <w:bookmarkEnd w:id="132"/>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五、成交</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33" w:name="_Toc513029238"/>
      <w:bookmarkStart w:id="134" w:name="_Toc20823310"/>
      <w:bookmarkStart w:id="135" w:name="_Toc16938554"/>
      <w:r>
        <w:rPr>
          <w:rFonts w:hint="eastAsia" w:ascii="宋体" w:hAnsi="宋体" w:cs="宋体"/>
          <w:color w:val="000000" w:themeColor="text1"/>
          <w:sz w:val="24"/>
          <w14:textFill>
            <w14:solidFill>
              <w14:schemeClr w14:val="tx1"/>
            </w14:solidFill>
          </w14:textFill>
        </w:rPr>
        <w:t>1、</w:t>
      </w:r>
      <w:bookmarkEnd w:id="133"/>
      <w:r>
        <w:rPr>
          <w:rFonts w:hint="eastAsia" w:ascii="宋体" w:hAnsi="宋体" w:cs="宋体"/>
          <w:color w:val="000000" w:themeColor="text1"/>
          <w:sz w:val="24"/>
          <w14:textFill>
            <w14:solidFill>
              <w14:schemeClr w14:val="tx1"/>
            </w14:solidFill>
          </w14:textFill>
        </w:rPr>
        <w:t>确定</w:t>
      </w:r>
      <w:bookmarkEnd w:id="134"/>
      <w:bookmarkEnd w:id="135"/>
      <w:r>
        <w:rPr>
          <w:rFonts w:hint="eastAsia" w:ascii="宋体" w:hAnsi="宋体" w:cs="宋体"/>
          <w:color w:val="000000" w:themeColor="text1"/>
          <w:sz w:val="24"/>
          <w14:textFill>
            <w14:solidFill>
              <w14:schemeClr w14:val="tx1"/>
            </w14:solidFill>
          </w14:textFill>
        </w:rPr>
        <w:t>成交单位</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磋商小组根据综合评分情况，按照评审得分由高到低顺序推荐不超过3名成交候选供应商，并编写评审报告。符合本文件第6.1.2条情形的，可以推荐2家成交候选供应商。评审得分相同的，按照最后报价优惠程度由高到低的顺序推荐。评审得分且最后报价相同的，按照技术指标优劣顺序推荐。</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1.2采购人根据磋商小组推荐的成交候选人确定成交供应商。采购人确定成交供应商后，采购人将在“同公告网”发布成交结果公告，公告期限为一个工作日。</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1.3若有充分证据证明，成交供应商出现下列情况之一的，一经查实，将被取消成交资格：</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（1）提供虚假材料谋取成交的；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（2）与评审专家、采购人、其他供应商或者代理机构工作人员恶意串通的；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（3）向评审专家、采购人或代理机构工作人员行贿或者提供其他不正当利益的；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（4）恶意竞争，最终总报价明显低于其自身合理成本且又无法提供证明的；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（5）不满足本磋商文件规定的实质性要求，但在评审过程中又未被磋商小组发现的；</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（6）成交后无正当理由拒不与采购人签订政府采购合同或者未按照磋商文件确定的事项签订政府采购合同；</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（7）将政府采购合同转包；</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（8）法律、法规、规章规定的属于成交无效的其他情形。</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2、质疑处理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磋商供应商认为磋商文件、采购过程和采购结果使自己的权益受到损害的，可以在知道或应知其权益受到损害之日起七个工作日内，以书面形式向采购人或代理机构提出质疑。上述应知其权益受到损害之日，是指：</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（1）对可以质疑的磋商文件提出质疑的，为收到磋商文件之日或者磋商文件公告期限届满之日；</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（2）对采购过程提出质疑的，为各采购程序环节结束之日；</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（3）对成交结果提出质疑的，为成交结果公告期限届满之日。</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2.2质疑必须按《政府采购法》、《政府采购法实施条例》及《江苏省政府采购供应商监督管理暂行办法》的相关规定提交，未按上述要求提交的质疑函（含传真、电子邮件等）采购人、代理机构有权不予受理。</w:t>
      </w:r>
      <w:r>
        <w:rPr>
          <w:rFonts w:hint="eastAsia" w:ascii="宋体" w:hAnsi="宋体" w:cs="宋体"/>
          <w:b/>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2.3未参加磋商采购活动的供应商或在磋商采购活动中自身权益未受到损害的供应商所提出的质疑不予受理。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2.4质疑函应当包括下列内容：</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(1)质疑供应商的名称、地址、邮编、联系人、联系电话；</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(2)具体的质疑事项及明确的请求；</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(3)认为自己合法权益受到损害或可能受到损害的相关证据材料；</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(4)提起质疑的日期；</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应当署名：质疑人为自然人的，应当由本人签字并附有效身份证明；质疑人为法人或其他组织的，应当由法定代表人签字并加盖单位公章。未按要求签字和盖章的为无效质疑，采购人将不予受理。质疑人委托代理质疑的，应当向采购人提交授权委托书，并载明委托代理的具体权限和事项。</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2.5采购人收到质疑函后，将对质疑的形式和内容进行审查，如质疑函内容、格式不符合规定，采购人将告知质疑人进行补正。</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2.6质疑人应当在法定质疑期限内进行补正并重新提交质疑函，拒不补正或者在法定期限内未重新提交质疑函的，为无效质疑，采购人、代理机构有权不予受理。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2.7对于内容、格式符合规定的质疑函，采购人、代理机构将在收到参加谈判供应商的书面质疑后七个工作日内作出答复，并以书面形式通知质疑供应商和其他相关供应商，答复的内容不涉及商业秘密。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2.8供应商提出书面质疑必须有理、有据，不得恶意质疑或提交虚假质疑。否则，一经查实，采购人、代理机构有权依据政府采购的有关规定，报请政府采购监管部门对该供应商进行相应的行政处罚。</w:t>
      </w:r>
    </w:p>
    <w:p>
      <w:pPr>
        <w:tabs>
          <w:tab w:val="left" w:pos="900"/>
        </w:tabs>
        <w:spacing w:line="480" w:lineRule="exact"/>
        <w:ind w:firstLine="479" w:firstLineChars="199"/>
        <w:rPr>
          <w:rFonts w:ascii="宋体" w:hAnsi="宋体" w:cs="宋体"/>
          <w:b/>
          <w:color w:val="000000" w:themeColor="text1"/>
          <w:sz w:val="24"/>
          <w14:textFill>
            <w14:solidFill>
              <w14:schemeClr w14:val="tx1"/>
            </w14:solidFill>
          </w14:textFill>
        </w:rPr>
      </w:pPr>
      <w:bookmarkStart w:id="136" w:name="_Toc513029237"/>
      <w:bookmarkStart w:id="137" w:name="_Toc16938553"/>
      <w:bookmarkStart w:id="138" w:name="_Toc20823309"/>
      <w:r>
        <w:rPr>
          <w:rFonts w:hint="eastAsia" w:ascii="宋体" w:hAnsi="宋体" w:cs="宋体"/>
          <w:b/>
          <w:color w:val="000000" w:themeColor="text1"/>
          <w:sz w:val="24"/>
          <w14:textFill>
            <w14:solidFill>
              <w14:schemeClr w14:val="tx1"/>
            </w14:solidFill>
          </w14:textFill>
        </w:rPr>
        <w:t>六、合同签订相关事项</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1、签订合同</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l成交供应商确定后，采购人将向成交供应商发出成交通知书。成交供应商应按成交通知书规定的时间、地点,按照磋商文件确定的事项与采购人签订政府采购合同，且不得迟于成交通知书发出之日起三十天内，由此给采购人造成损失的，成交供应商还应承担赔偿责任。</w:t>
      </w:r>
    </w:p>
    <w:p>
      <w:pPr>
        <w:tabs>
          <w:tab w:val="left" w:pos="900"/>
        </w:tabs>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磋商文件、成交供应商的响应文件及磋商采购过程中有关澄清、承诺文件均应作为合同附件。</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48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1.4中标或者成交后无正当理由拒不与采购人签订政府采购合同的，将被列入不良行为记录名单，在一至三年内禁止参加政府采购活动。</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2、履约保证金</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在签订合同前，须向采购人交纳履约保证金,于合同履行后退还。履约保证金用以约束成交供应商在合同履行中的行为，弥补合同执行中由于自身行为可能给采购人带来的各种损失。</w:t>
      </w:r>
    </w:p>
    <w:p>
      <w:pPr>
        <w:spacing w:line="480" w:lineRule="exact"/>
        <w:ind w:firstLine="480" w:firstLineChars="200"/>
        <w:rPr>
          <w:rFonts w:ascii="宋体" w:hAnsi="宋体" w:cs="宋体"/>
          <w:color w:val="000000" w:themeColor="text1"/>
          <w:sz w:val="24"/>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bookmarkEnd w:id="136"/>
    <w:bookmarkEnd w:id="137"/>
    <w:bookmarkEnd w:id="138"/>
    <w:p>
      <w:pPr>
        <w:pStyle w:val="55"/>
        <w:rPr>
          <w:color w:val="000000" w:themeColor="text1"/>
          <w14:textFill>
            <w14:solidFill>
              <w14:schemeClr w14:val="tx1"/>
            </w14:solidFill>
          </w14:textFill>
        </w:rPr>
      </w:pPr>
    </w:p>
    <w:p>
      <w:pPr>
        <w:keepNext/>
        <w:keepLines/>
        <w:spacing w:before="260" w:after="260" w:line="416" w:lineRule="auto"/>
        <w:jc w:val="center"/>
        <w:outlineLvl w:val="0"/>
        <w:rPr>
          <w:rFonts w:ascii="宋体" w:hAnsi="宋体" w:cs="宋体"/>
          <w:color w:val="000000" w:themeColor="text1"/>
          <w:sz w:val="44"/>
          <w:szCs w:val="44"/>
          <w14:textFill>
            <w14:solidFill>
              <w14:schemeClr w14:val="tx1"/>
            </w14:solidFill>
          </w14:textFill>
        </w:rPr>
      </w:pPr>
      <w:bookmarkStart w:id="139" w:name="_Toc20504"/>
      <w:r>
        <w:rPr>
          <w:rFonts w:hint="eastAsia" w:ascii="宋体" w:hAnsi="宋体" w:cs="Arial"/>
          <w:b/>
          <w:bCs/>
          <w:color w:val="000000" w:themeColor="text1"/>
          <w:sz w:val="44"/>
          <w:szCs w:val="44"/>
          <w14:textFill>
            <w14:solidFill>
              <w14:schemeClr w14:val="tx1"/>
            </w14:solidFill>
          </w14:textFill>
        </w:rPr>
        <w:t>第三章  合同条款及格式</w:t>
      </w:r>
      <w:bookmarkEnd w:id="139"/>
    </w:p>
    <w:p>
      <w:pPr>
        <w:snapToGrid w:val="0"/>
        <w:spacing w:line="440" w:lineRule="exact"/>
        <w:ind w:firstLine="602" w:firstLineChars="200"/>
        <w:jc w:val="center"/>
        <w:rPr>
          <w:rStyle w:val="161"/>
          <w:rFonts w:ascii="宋体" w:hAnsi="宋体" w:cs="宋体"/>
          <w:b/>
          <w:bCs/>
          <w:color w:val="000000" w:themeColor="text1"/>
          <w:sz w:val="30"/>
          <w:szCs w:val="20"/>
          <w14:textFill>
            <w14:solidFill>
              <w14:schemeClr w14:val="tx1"/>
            </w14:solidFill>
          </w14:textFill>
        </w:rPr>
      </w:pPr>
      <w:r>
        <w:rPr>
          <w:rStyle w:val="161"/>
          <w:rFonts w:ascii="宋体" w:hAnsi="宋体"/>
          <w:b/>
          <w:color w:val="000000" w:themeColor="text1"/>
          <w:sz w:val="30"/>
          <w14:textFill>
            <w14:solidFill>
              <w14:schemeClr w14:val="tx1"/>
            </w14:solidFill>
          </w14:textFill>
        </w:rPr>
        <w:t>采</w:t>
      </w:r>
      <w:r>
        <w:rPr>
          <w:rStyle w:val="161"/>
          <w:rFonts w:hint="eastAsia" w:ascii="宋体" w:hAnsi="宋体"/>
          <w:b/>
          <w:color w:val="000000" w:themeColor="text1"/>
          <w:sz w:val="30"/>
          <w14:textFill>
            <w14:solidFill>
              <w14:schemeClr w14:val="tx1"/>
            </w14:solidFill>
          </w14:textFill>
        </w:rPr>
        <w:t xml:space="preserve"> </w:t>
      </w:r>
      <w:r>
        <w:rPr>
          <w:rStyle w:val="161"/>
          <w:rFonts w:ascii="宋体" w:hAnsi="宋体"/>
          <w:b/>
          <w:color w:val="000000" w:themeColor="text1"/>
          <w:sz w:val="30"/>
          <w14:textFill>
            <w14:solidFill>
              <w14:schemeClr w14:val="tx1"/>
            </w14:solidFill>
          </w14:textFill>
        </w:rPr>
        <w:t>购</w:t>
      </w:r>
      <w:r>
        <w:rPr>
          <w:rStyle w:val="161"/>
          <w:rFonts w:hint="eastAsia" w:ascii="宋体" w:hAnsi="宋体"/>
          <w:b/>
          <w:color w:val="000000" w:themeColor="text1"/>
          <w:sz w:val="30"/>
          <w14:textFill>
            <w14:solidFill>
              <w14:schemeClr w14:val="tx1"/>
            </w14:solidFill>
          </w14:textFill>
        </w:rPr>
        <w:t xml:space="preserve"> </w:t>
      </w:r>
      <w:r>
        <w:rPr>
          <w:rStyle w:val="161"/>
          <w:rFonts w:ascii="宋体" w:hAnsi="宋体"/>
          <w:b/>
          <w:color w:val="000000" w:themeColor="text1"/>
          <w:sz w:val="30"/>
          <w14:textFill>
            <w14:solidFill>
              <w14:schemeClr w14:val="tx1"/>
            </w14:solidFill>
          </w14:textFill>
        </w:rPr>
        <w:t>合</w:t>
      </w:r>
      <w:r>
        <w:rPr>
          <w:rStyle w:val="161"/>
          <w:rFonts w:hint="eastAsia" w:ascii="宋体" w:hAnsi="宋体"/>
          <w:b/>
          <w:color w:val="000000" w:themeColor="text1"/>
          <w:sz w:val="30"/>
          <w14:textFill>
            <w14:solidFill>
              <w14:schemeClr w14:val="tx1"/>
            </w14:solidFill>
          </w14:textFill>
        </w:rPr>
        <w:t xml:space="preserve"> </w:t>
      </w:r>
      <w:r>
        <w:rPr>
          <w:rStyle w:val="161"/>
          <w:rFonts w:ascii="宋体" w:hAnsi="宋体"/>
          <w:b/>
          <w:color w:val="000000" w:themeColor="text1"/>
          <w:sz w:val="30"/>
          <w14:textFill>
            <w14:solidFill>
              <w14:schemeClr w14:val="tx1"/>
            </w14:solidFill>
          </w14:textFill>
        </w:rPr>
        <w:t>同</w:t>
      </w:r>
    </w:p>
    <w:p>
      <w:pPr>
        <w:pStyle w:val="163"/>
        <w:adjustRightInd w:val="0"/>
        <w:snapToGrid w:val="0"/>
        <w:spacing w:line="360" w:lineRule="auto"/>
        <w:ind w:firstLine="480" w:firstLineChars="200"/>
        <w:jc w:val="left"/>
        <w:textAlignment w:val="baseline"/>
        <w:rPr>
          <w:rStyle w:val="161"/>
          <w:rFonts w:hAnsi="宋体"/>
          <w:color w:val="000000" w:themeColor="text1"/>
          <w:sz w:val="24"/>
          <w:u w:val="single" w:color="000000"/>
          <w14:textFill>
            <w14:solidFill>
              <w14:schemeClr w14:val="tx1"/>
            </w14:solidFill>
          </w14:textFill>
        </w:rPr>
      </w:pPr>
      <w:r>
        <w:rPr>
          <w:rStyle w:val="161"/>
          <w:rFonts w:hAnsi="宋体"/>
          <w:color w:val="000000" w:themeColor="text1"/>
          <w:sz w:val="24"/>
          <w14:textFill>
            <w14:solidFill>
              <w14:schemeClr w14:val="tx1"/>
            </w14:solidFill>
          </w14:textFill>
        </w:rPr>
        <w:t>项目名称：</w:t>
      </w:r>
      <w:r>
        <w:rPr>
          <w:rStyle w:val="161"/>
          <w:rFonts w:hint="eastAsia" w:hAnsi="宋体"/>
          <w:color w:val="000000" w:themeColor="text1"/>
          <w:sz w:val="24"/>
          <w:u w:val="single" w:color="000000"/>
          <w14:textFill>
            <w14:solidFill>
              <w14:schemeClr w14:val="tx1"/>
            </w14:solidFill>
          </w14:textFill>
        </w:rPr>
        <w:t>盐城工业职业技术学院学生公寓洗衣机服务BOT节能项目</w:t>
      </w:r>
    </w:p>
    <w:p>
      <w:pPr>
        <w:pStyle w:val="163"/>
        <w:adjustRightInd w:val="0"/>
        <w:snapToGrid w:val="0"/>
        <w:spacing w:line="360" w:lineRule="auto"/>
        <w:ind w:firstLine="480" w:firstLineChars="200"/>
        <w:jc w:val="left"/>
        <w:textAlignment w:val="baseline"/>
        <w:rPr>
          <w:rStyle w:val="161"/>
          <w:rFonts w:hAnsi="宋体"/>
          <w:color w:val="000000" w:themeColor="text1"/>
          <w:sz w:val="24"/>
          <w14:textFill>
            <w14:solidFill>
              <w14:schemeClr w14:val="tx1"/>
            </w14:solidFill>
          </w14:textFill>
        </w:rPr>
      </w:pPr>
      <w:r>
        <w:rPr>
          <w:rStyle w:val="161"/>
          <w:rFonts w:hAnsi="宋体"/>
          <w:color w:val="000000" w:themeColor="text1"/>
          <w:sz w:val="24"/>
          <w14:textFill>
            <w14:solidFill>
              <w14:schemeClr w14:val="tx1"/>
            </w14:solidFill>
          </w14:textFill>
        </w:rPr>
        <w:t>项目编号：</w:t>
      </w:r>
    </w:p>
    <w:p>
      <w:pPr>
        <w:pStyle w:val="163"/>
        <w:adjustRightInd w:val="0"/>
        <w:snapToGrid w:val="0"/>
        <w:spacing w:line="360" w:lineRule="auto"/>
        <w:ind w:firstLine="480" w:firstLineChars="200"/>
        <w:textAlignment w:val="baseline"/>
        <w:rPr>
          <w:rStyle w:val="161"/>
          <w:rFonts w:hAnsi="宋体"/>
          <w:color w:val="000000" w:themeColor="text1"/>
          <w:sz w:val="24"/>
          <w14:textFill>
            <w14:solidFill>
              <w14:schemeClr w14:val="tx1"/>
            </w14:solidFill>
          </w14:textFill>
        </w:rPr>
      </w:pPr>
      <w:r>
        <w:rPr>
          <w:rStyle w:val="161"/>
          <w:rFonts w:hAnsi="宋体"/>
          <w:color w:val="000000" w:themeColor="text1"/>
          <w:sz w:val="24"/>
          <w14:textFill>
            <w14:solidFill>
              <w14:schemeClr w14:val="tx1"/>
            </w14:solidFill>
          </w14:textFill>
        </w:rPr>
        <w:t>甲方：（买方）</w:t>
      </w:r>
      <w:r>
        <w:rPr>
          <w:rStyle w:val="161"/>
          <w:rFonts w:hAnsi="宋体"/>
          <w:color w:val="000000" w:themeColor="text1"/>
          <w:sz w:val="24"/>
          <w:u w:val="single" w:color="000000"/>
          <w14:textFill>
            <w14:solidFill>
              <w14:schemeClr w14:val="tx1"/>
            </w14:solidFill>
          </w14:textFill>
        </w:rPr>
        <w:t>盐城工业职业技术学院</w:t>
      </w:r>
    </w:p>
    <w:p>
      <w:pPr>
        <w:pStyle w:val="163"/>
        <w:adjustRightInd w:val="0"/>
        <w:snapToGrid w:val="0"/>
        <w:spacing w:line="360" w:lineRule="auto"/>
        <w:ind w:firstLine="480" w:firstLineChars="200"/>
        <w:textAlignment w:val="baseline"/>
        <w:rPr>
          <w:rStyle w:val="161"/>
          <w:rFonts w:hAnsi="宋体"/>
          <w:color w:val="000000" w:themeColor="text1"/>
          <w:sz w:val="24"/>
          <w14:textFill>
            <w14:solidFill>
              <w14:schemeClr w14:val="tx1"/>
            </w14:solidFill>
          </w14:textFill>
        </w:rPr>
      </w:pPr>
      <w:r>
        <w:rPr>
          <w:rStyle w:val="161"/>
          <w:rFonts w:hAnsi="宋体"/>
          <w:color w:val="000000" w:themeColor="text1"/>
          <w:sz w:val="24"/>
          <w14:textFill>
            <w14:solidFill>
              <w14:schemeClr w14:val="tx1"/>
            </w14:solidFill>
          </w14:textFill>
        </w:rPr>
        <w:t>乙方：（卖方）</w:t>
      </w:r>
    </w:p>
    <w:p>
      <w:pPr>
        <w:adjustRightInd w:val="0"/>
        <w:snapToGrid w:val="0"/>
        <w:spacing w:line="360" w:lineRule="auto"/>
        <w:ind w:firstLine="480" w:firstLineChars="200"/>
        <w:textAlignment w:val="baseline"/>
        <w:rPr>
          <w:rStyle w:val="161"/>
          <w:rFonts w:ascii="宋体" w:hAnsi="宋体"/>
          <w:b/>
          <w:color w:val="000000" w:themeColor="text1"/>
          <w:sz w:val="24"/>
          <w14:textFill>
            <w14:solidFill>
              <w14:schemeClr w14:val="tx1"/>
            </w14:solidFill>
          </w14:textFill>
        </w:rPr>
      </w:pPr>
      <w:r>
        <w:rPr>
          <w:rStyle w:val="161"/>
          <w:rFonts w:ascii="宋体" w:hAnsi="宋体"/>
          <w:color w:val="000000" w:themeColor="text1"/>
          <w:sz w:val="24"/>
          <w14:textFill>
            <w14:solidFill>
              <w14:schemeClr w14:val="tx1"/>
            </w14:solidFill>
          </w14:textFill>
        </w:rPr>
        <w:t>甲、乙双方根据</w:t>
      </w:r>
      <w:r>
        <w:rPr>
          <w:rStyle w:val="161"/>
          <w:rFonts w:hint="eastAsia" w:hAnsi="宋体"/>
          <w:color w:val="000000" w:themeColor="text1"/>
          <w:sz w:val="24"/>
          <w:u w:val="single" w:color="000000"/>
          <w14:textFill>
            <w14:solidFill>
              <w14:schemeClr w14:val="tx1"/>
            </w14:solidFill>
          </w14:textFill>
        </w:rPr>
        <w:t>盐城工业职业技术学院学生公寓洗衣机服务BOT节能项目</w:t>
      </w:r>
      <w:r>
        <w:rPr>
          <w:rStyle w:val="161"/>
          <w:rFonts w:ascii="宋体" w:hAnsi="宋体"/>
          <w:color w:val="000000" w:themeColor="text1"/>
          <w:sz w:val="24"/>
          <w14:textFill>
            <w14:solidFill>
              <w14:schemeClr w14:val="tx1"/>
            </w14:solidFill>
          </w14:textFill>
        </w:rPr>
        <w:t>公开招标的结果，签署本合同。</w:t>
      </w:r>
    </w:p>
    <w:p>
      <w:pPr>
        <w:adjustRightInd w:val="0"/>
        <w:snapToGrid w:val="0"/>
        <w:spacing w:line="360" w:lineRule="auto"/>
        <w:ind w:firstLine="482"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第一条 项目概述</w:t>
      </w:r>
      <w:r>
        <w:rPr>
          <w:rStyle w:val="161"/>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1.项目名称：盐城工业职业技术学院学生公寓洗衣机服务BOT节能项目。</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2.项目地点：盐城工业职业技术学院校区</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3.项目概况：建设位置及设备要求见项目需求。</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4.本项目采用乙方自筹资金、自行建设、自主经营的 BOT 模式。</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5.合同期内的所有经营投资、系统运营及维护等费用均由乙方承担。乙方向甲方支付项目运行经营所产生的水电费用。</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6.合同价款：      。</w:t>
      </w:r>
    </w:p>
    <w:p>
      <w:pPr>
        <w:adjustRightInd w:val="0"/>
        <w:snapToGrid w:val="0"/>
        <w:spacing w:line="360" w:lineRule="auto"/>
        <w:ind w:firstLine="482"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第二条 合同期限与项目建设</w:t>
      </w:r>
      <w:r>
        <w:rPr>
          <w:rStyle w:val="161"/>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 xml:space="preserve">1.本项目开始施工日期为本合同双方正式签署生效日，乙方必须在20天内完成全部洗衣机的安装调试。因施工噪音等客观原因影响装修工程部分，需要延长装修时间的，可另行约定。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本项目合同期限为:本项目服务期为五年，采取3+2的形式签订合同，即第一次合同服务期为三年，合同期满学校将对供应商的服务情况进行考核。若考核合格，续签剩余两年的合同，若考核不合格，学校有权单方面解除合同，不再续签。若逾期不搬离或清空，则乙方承担场地占用费 10000 元/天，甲方有权从乙方履约保证金中扣除。</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3.合同履行期间，如因政府行为需要甲方校园置换，或甲方校园整体规划调整，致本合同项目无法继续履行达到约定的期限，则双方提前终止本合同。乙方须自行撤除设备并在通知下达之日起 5 日内搬离甲方。若逾期不搬离或清空，则乙方承担场地占用费 10000 元/天，甲方有权从乙方履约保证金中扣除。乙方离场后，甲方 30日内向乙方退还结余的履约保证金。</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4.合同期限届满或合同解除后，如乙方拒不退房撤场，甲方有权不再履行向乙方提供水电服务等义务，乙方必须承担由此给甲方造成的一切损失。</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5.乙方必须采取各种防范措施，保证设备的安全。</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6.乙方负责日常的营运管理和维护，并承担相应维护费用，确保所有设备无损坏且能正常使用。每台设备均需设置漏电保护功能，污水排放并入排污管网。</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7.本项目工程不得转包，乙方所派出的常驻甲方的项目经理必须具有相关资质且管理经验丰富，必须每天在现场办公，未经甲方书面同意不得中途换人。</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8.乙方施工方案须报甲方审查合格后方可实施，现场施工设备与产品原始样本、产品手册、产品说明书等技术资料、标书技术文件和实测数据一致，符合国家有关技术标准。安装工程必须符合国家相关技术规范，专业技术人员须持证上岗。乙方必须科学组织施工，做好现场安全防护、安全警示标识，服从甲方监督管理，保证施工安全顺利。施工过程中的所有安全责任由乙方自行承担。施工过程中乙方自行负责全部成品保全工作。施工结束后乙方负责垃圾清除外运，并在合法场所倾倒，不得造成二次污染。</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9.本项目的其它建设要求以招标文件及投标文件设计方案为准，投标文件所述要求及标准优于招标文件要求的，以投标文件为准。</w:t>
      </w:r>
    </w:p>
    <w:p>
      <w:pPr>
        <w:adjustRightInd w:val="0"/>
        <w:snapToGrid w:val="0"/>
        <w:spacing w:line="360" w:lineRule="auto"/>
        <w:ind w:firstLine="482" w:firstLineChars="200"/>
        <w:textAlignment w:val="baseline"/>
        <w:rPr>
          <w:rStyle w:val="161"/>
          <w:rFonts w:ascii="宋体" w:hAnsi="宋体"/>
          <w:b/>
          <w:bCs/>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 xml:space="preserve">第三条 项目投入的设备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1.本项目所有投入设备必须为全新设备。</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乙方应根据招标文件所明确的方案进行实施，并根据施工方案和安装方案进行装修和安装设备。项目建成后，双方签署的项目设备验收清单为本合同的附件，验收清单上的设备与设施在合同期满后必须完好无损地移交给甲方。</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3.投入使用后，设备设施产权即交付甲方代管。在本项目合同期内的设备维护、维修及更新均由乙方负责，费用由乙方承担。</w:t>
      </w:r>
    </w:p>
    <w:p>
      <w:pPr>
        <w:adjustRightInd w:val="0"/>
        <w:snapToGrid w:val="0"/>
        <w:spacing w:line="360" w:lineRule="auto"/>
        <w:ind w:firstLine="482"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第四条 项目运营</w:t>
      </w:r>
      <w:r>
        <w:rPr>
          <w:rStyle w:val="161"/>
          <w:rFonts w:hint="eastAsia" w:ascii="宋体" w:hAnsi="宋体"/>
          <w:color w:val="000000" w:themeColor="text1"/>
          <w:sz w:val="24"/>
          <w14:textFill>
            <w14:solidFill>
              <w14:schemeClr w14:val="tx1"/>
            </w14:solidFill>
          </w14:textFill>
        </w:rPr>
        <w:t xml:space="preserve"> </w:t>
      </w:r>
    </w:p>
    <w:p>
      <w:pPr>
        <w:pStyle w:val="9"/>
        <w:keepNext w:val="0"/>
        <w:keepLines w:val="0"/>
        <w:widowControl/>
        <w:adjustRightInd w:val="0"/>
        <w:snapToGrid w:val="0"/>
        <w:spacing w:before="0" w:after="0" w:line="360" w:lineRule="auto"/>
        <w:ind w:firstLine="482" w:firstLineChars="200"/>
        <w:textAlignment w:val="baseline"/>
        <w:rPr>
          <w:rStyle w:val="161"/>
          <w:rFonts w:ascii="宋体" w:hAnsi="宋体"/>
          <w:color w:val="000000" w:themeColor="text1"/>
          <w:sz w:val="24"/>
          <w:szCs w:val="24"/>
          <w14:textFill>
            <w14:solidFill>
              <w14:schemeClr w14:val="tx1"/>
            </w14:solidFill>
          </w14:textFill>
        </w:rPr>
      </w:pPr>
      <w:r>
        <w:rPr>
          <w:rStyle w:val="161"/>
          <w:rFonts w:hint="eastAsia" w:ascii="宋体" w:hAnsi="宋体"/>
          <w:color w:val="000000" w:themeColor="text1"/>
          <w:sz w:val="24"/>
          <w:szCs w:val="24"/>
          <w14:textFill>
            <w14:solidFill>
              <w14:schemeClr w14:val="tx1"/>
            </w14:solidFill>
          </w14:textFill>
        </w:rPr>
        <w:t>1.</w:t>
      </w:r>
      <w:r>
        <w:rPr>
          <w:rFonts w:hint="eastAsia" w:ascii="宋体" w:hAnsi="宋体" w:cs="宋体"/>
          <w:b w:val="0"/>
          <w:color w:val="000000" w:themeColor="text1"/>
          <w:sz w:val="24"/>
          <w:szCs w:val="24"/>
          <w14:textFill>
            <w14:solidFill>
              <w14:schemeClr w14:val="tx1"/>
            </w14:solidFill>
          </w14:textFill>
        </w:rPr>
        <w:t>本项目的收费系统采用物联网支付方式，学生可通过一卡通校园、微信或支付宝支付，按中标价计费，收费系统的账号和管理密码需提供给学校，学校对账户进行实时监管。水控设备及收费管理系统的建设所产生的所有费用由中标人自行承担。</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2.合同期内，学生在校期间乙方应按照招标文件、投标文件及本合同约定，确保设备正常开放。乙方需安排专业技术员常驻甲方进行定期检查、保养、维修等工作。</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3.合同期内，与合同履行相关的税、费等所有费用，均由乙方负责承担。</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4.合同期内，乙方应配备足够数量具有管理、维修、维护经验和技术的管理人员和技术人员，并确保所配人员遵守甲方相关规章制度，服从甲方管理和监督。合同期间所有关于设备服务方面的师生投诉，乙方须第一时间妥善解决。未妥善解决造成不良影响的，乙方构成违约，应当向甲方支付违约金，甲方有权从履约保证金中按 1000元/次的标准扣收。</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5.甲方对校内类似项目市场保护问题不作任何承诺，不承担任何责任。</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6.乙方自行聘用员工，与甲方不构成任何用工关系。乙方必须严格按照《劳动法》《劳动合同法》等相关法规办理用工手续。乙方在甲方服务的所有员工必须持有健康证、公安部门出具的无犯罪记录证明，各类证件报甲方审核后留存复印件备案。</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7.在甲方供水供电正常的情况下，乙方投入设备出现故障，连续超过 3 天无法按照合同约定提供服务的，甲方有权按上月日均营业额的 1%从乙方履约保证金中扣收违约金。</w:t>
      </w:r>
    </w:p>
    <w:p>
      <w:pPr>
        <w:adjustRightInd w:val="0"/>
        <w:snapToGrid w:val="0"/>
        <w:spacing w:line="360" w:lineRule="auto"/>
        <w:ind w:firstLine="482" w:firstLineChars="200"/>
        <w:textAlignment w:val="baseline"/>
        <w:rPr>
          <w:rStyle w:val="161"/>
          <w:rFonts w:ascii="宋体" w:hAnsi="宋体"/>
          <w:b/>
          <w:bCs/>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 xml:space="preserve">第五条 设备保养、维护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1.乙方需公布服务热线电话，负责受理咨询、报修、投诉等事项，在接到故障报告后 2 小时内到达现场，到场后 3 小时内解决故障问题，重大故障应当在 24 小时内修复并恢复正常，修复无效的在 1 周内更换机器。乙方有义务为相关使用人做好沟通、协调工作。</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2.乙方应当定期对相关设施设备检查（检查记录要留存并装订成册），确保设施完好，避免造成无法使用或其他安全事故。</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3.合同期内，如确需对设施设备进行大规模改造，应经甲方书面批准方可施工，费用由乙方承担。</w:t>
      </w:r>
    </w:p>
    <w:p>
      <w:pPr>
        <w:adjustRightInd w:val="0"/>
        <w:snapToGrid w:val="0"/>
        <w:spacing w:line="360" w:lineRule="auto"/>
        <w:ind w:firstLine="482"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第六条 服务管理及考核</w:t>
      </w:r>
      <w:r>
        <w:rPr>
          <w:rStyle w:val="161"/>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1.乙方须在设备醒目位置张贴操作流程图，每年新生入学时应当有专业的工作人员进行指导。</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2.乙方必须负责项目场地的保洁工作，指派专人定时打扫，保证场地及其周边清洁卫生，接受甲方日常考核。项目的安全保卫等工作由乙方自行承担。</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3.乙方须按招标文件制定服务项目价格表，且不得随意更改。消费价格、使用规程及维修电话必须上墙公示。</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4.乙方必须提供切实可行的服务承诺和管理制度，保证项目正常运行。</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5.合同期内，乙方必须接受甲方对服务质量、卫生状况、收费价格等方面的监督、管理和考核。</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6.乙方没有使用甲方许可的收款方式收取营业款的，每违反 1 次，甲方有权从乙方履约保证金中扣收违约金 2000 元，并有权责令乙方立刻改正。</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7.乙方不得擅自扩大经营范围，增加跟此无关的经营项目（在确保安全前提下，为学生提供的免费增值服务项目除外）。不得张贴任何形式的广告，否则，甲方有权从乙方履约保证金中按 5000 元/项的标准扣收违约金，并有权责令乙方改正。</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8.乙方必须加强安全管理，如发生包括并不限于治安、消防、食品安全、人身伤害、员工交通和工伤等事故，乙方承担全部责任。因此导致甲方受到行政处罚或损失的，均由乙方赔偿。甲方有权根据事故(件)的具体情况扣收部分或全部履约保证金，直至解除合同。</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9.乙方必须始终保持师生满意度在 85%以上。甲方定期或不定期对乙方就项目运营、设备完好率、环境卫生、收费价格执行、学生投诉、应急响应、是否违规经营等方面进行师生满意度随机调查（调查样本不少于 100 人）。师生满意度在 85%以下的，甲方有权从乙方履约保证金中扣收 2000 元违约金。</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10.乙方必须遵守甲方用水用电相关规定，不得窃水窃电，若有窃水窃电行为的，每发现 1 次，甲方有权从乙方履约保证金中扣收 10000 元违约金，并有权责令乙方改正。窃水窃电行为严重，甲方有权移交公安部门处理。</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11.乙方擅自提高服务项目价格，每提高 1 次，甲方有权从乙方履约保证金中扣收违约金 5000 元，并有权责令乙方改正。</w:t>
      </w:r>
    </w:p>
    <w:p>
      <w:pPr>
        <w:adjustRightInd w:val="0"/>
        <w:snapToGrid w:val="0"/>
        <w:spacing w:line="360" w:lineRule="auto"/>
        <w:ind w:firstLine="482" w:firstLineChars="200"/>
        <w:textAlignment w:val="baseline"/>
        <w:rPr>
          <w:rStyle w:val="161"/>
          <w:rFonts w:ascii="宋体" w:hAnsi="宋体"/>
          <w:b/>
          <w:bCs/>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 xml:space="preserve">第七条 履约保证金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在本合同签订前，乙方应向甲方缴纳 10 万元履约保证金。合同期满并办理完相关手续后 30 日内一次性无息退还（乙方因违约等原因被核减的除外）。若履约保证金因乙方违约等原因被扣除不足10 万元，乙方应在 30 日内补足。否则，甲方有权单方面解除合同，且有权扣收乙方的履约保证金。</w:t>
      </w:r>
    </w:p>
    <w:p>
      <w:pPr>
        <w:adjustRightInd w:val="0"/>
        <w:snapToGrid w:val="0"/>
        <w:spacing w:line="360" w:lineRule="auto"/>
        <w:ind w:firstLine="482" w:firstLineChars="200"/>
        <w:textAlignment w:val="baseline"/>
        <w:rPr>
          <w:rStyle w:val="161"/>
          <w:rFonts w:ascii="宋体" w:hAnsi="宋体"/>
          <w:b/>
          <w:bCs/>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第八条 合同变更、 解除与终止</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1.经双方协商一致后可以变更或解除合同。</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2.一方严重违约，致使另一方合同目的不能实现，守约方可以单方面解除合同，并要求违约方一次性承担叁万元的违约金。</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3.合同期内，发生下列情况之一的，将视为乙方放弃本项目所有权及经营权:</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(1)乙方无法定或约定事由提前解除合同的；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(2)乙方设备达不到服务标准且超过 10 天仍未达到服务标准的；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(3)乙方擅自转包、停业的；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(4)乙方不服从甲方管理，严重影响师生正常生活或教学秩序的；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(5)乙方没有使用甲方许可的收款方式收取营业款，累计达到 2 次的；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(6)乙方连续两次师生满意度在 85%以下的；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(7)乙方擅自将设备（项目正式运营后，经双方书面确认的清单上的设备，下同）转让、变卖、抵押给甲方以外的任何第三人的；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(8)乙方擅自拆除、毁坏和转移设备的；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(9)乙方有窃水窃电行为，累计达到 2 次的；</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(10)乙方擅自提高服务项目价格，累计达到 2 次的；</w:t>
      </w:r>
    </w:p>
    <w:p>
      <w:pPr>
        <w:adjustRightInd w:val="0"/>
        <w:snapToGrid w:val="0"/>
        <w:spacing w:line="360" w:lineRule="auto"/>
        <w:ind w:firstLine="482" w:firstLineChars="200"/>
        <w:textAlignment w:val="baseline"/>
        <w:rPr>
          <w:rStyle w:val="161"/>
          <w:rFonts w:ascii="宋体" w:hAnsi="宋体"/>
          <w:b/>
          <w:bCs/>
          <w:color w:val="000000" w:themeColor="text1"/>
          <w:sz w:val="24"/>
          <w14:textFill>
            <w14:solidFill>
              <w14:schemeClr w14:val="tx1"/>
            </w14:solidFill>
          </w14:textFill>
        </w:rPr>
      </w:pPr>
      <w:r>
        <w:rPr>
          <w:rStyle w:val="161"/>
          <w:rFonts w:hint="eastAsia" w:ascii="宋体" w:hAnsi="宋体"/>
          <w:b/>
          <w:bCs/>
          <w:color w:val="000000" w:themeColor="text1"/>
          <w:sz w:val="24"/>
          <w14:textFill>
            <w14:solidFill>
              <w14:schemeClr w14:val="tx1"/>
            </w14:solidFill>
          </w14:textFill>
        </w:rPr>
        <w:t xml:space="preserve">第九条 争议解决 </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1.双方在执行合同中所发生的一切争议，应通过协商解决。如协商不成，可向合同签订地法院起诉，合同签订地在此约定为盐城市。</w:t>
      </w:r>
    </w:p>
    <w:p>
      <w:pPr>
        <w:adjustRightInd w:val="0"/>
        <w:snapToGrid w:val="0"/>
        <w:spacing w:line="360" w:lineRule="auto"/>
        <w:ind w:firstLine="480" w:firstLineChars="200"/>
        <w:textAlignment w:val="baseline"/>
        <w:rPr>
          <w:rStyle w:val="161"/>
          <w:rFonts w:ascii="宋体" w:hAnsi="宋体"/>
          <w:color w:val="000000" w:themeColor="text1"/>
          <w:sz w:val="24"/>
          <w14:textFill>
            <w14:solidFill>
              <w14:schemeClr w14:val="tx1"/>
            </w14:solidFill>
          </w14:textFill>
        </w:rPr>
      </w:pPr>
      <w:r>
        <w:rPr>
          <w:rStyle w:val="161"/>
          <w:rFonts w:hint="eastAsia" w:ascii="宋体" w:hAnsi="宋体"/>
          <w:color w:val="000000" w:themeColor="text1"/>
          <w:sz w:val="24"/>
          <w14:textFill>
            <w14:solidFill>
              <w14:schemeClr w14:val="tx1"/>
            </w14:solidFill>
          </w14:textFill>
        </w:rPr>
        <w:t>2.在相关诉讼过程中，除双方有争议的部分之外，其他部分仍应当继续履行，乙方拒不履行致使甲方无法正常使用设备的，甲方有权解除合同，乙方按 10000 元/天的标准向甲方支付违约金，且乙方的履约保证金不予退还。</w:t>
      </w:r>
    </w:p>
    <w:p>
      <w:pPr>
        <w:adjustRightInd w:val="0"/>
        <w:snapToGrid w:val="0"/>
        <w:spacing w:line="360" w:lineRule="auto"/>
        <w:ind w:firstLine="482" w:firstLineChars="200"/>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其他约定</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textAlignment w:val="baseline"/>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17.3 本合同正本一式二份，副本一式六份，具有同等法律效力。</w:t>
      </w:r>
    </w:p>
    <w:p>
      <w:pPr>
        <w:pStyle w:val="41"/>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1"/>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地址：                                   地址： </w:t>
      </w:r>
    </w:p>
    <w:p>
      <w:pPr>
        <w:pStyle w:val="41"/>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法定代表人或授权代表：                   法定代表人或授权代表：</w:t>
      </w:r>
    </w:p>
    <w:p>
      <w:pPr>
        <w:pStyle w:val="41"/>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1"/>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联系电话：                               联系电话：</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textAlignment w:val="baseline"/>
        <w:rPr>
          <w:rFonts w:ascii="宋体" w:hAnsi="宋体" w:cs="宋体"/>
          <w:b/>
          <w:color w:val="000000" w:themeColor="text1"/>
          <w:sz w:val="44"/>
          <w14:textFill>
            <w14:solidFill>
              <w14:schemeClr w14:val="tx1"/>
            </w14:solidFill>
          </w14:textFill>
        </w:rPr>
        <w:sectPr>
          <w:headerReference r:id="rId3" w:type="default"/>
          <w:footerReference r:id="rId4"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14:textFill>
            <w14:solidFill>
              <w14:schemeClr w14:val="tx1"/>
            </w14:solidFill>
          </w14:textFill>
        </w:rPr>
        <w:t>签订日期：      年  月  日</w:t>
      </w:r>
    </w:p>
    <w:p>
      <w:pPr>
        <w:pStyle w:val="8"/>
        <w:ind w:firstLine="2429" w:firstLineChars="550"/>
        <w:jc w:val="both"/>
        <w:rPr>
          <w:rFonts w:ascii="宋体" w:hAnsi="宋体" w:eastAsia="宋体" w:cs="宋体"/>
          <w:bCs/>
          <w:color w:val="000000" w:themeColor="text1"/>
          <w:szCs w:val="44"/>
          <w14:textFill>
            <w14:solidFill>
              <w14:schemeClr w14:val="tx1"/>
            </w14:solidFill>
          </w14:textFill>
        </w:rPr>
      </w:pPr>
      <w:bookmarkStart w:id="140" w:name="_Toc8252"/>
      <w:r>
        <w:rPr>
          <w:rFonts w:hint="eastAsia" w:ascii="宋体" w:hAnsi="宋体" w:eastAsia="宋体" w:cs="宋体"/>
          <w:bCs/>
          <w:color w:val="000000" w:themeColor="text1"/>
          <w:szCs w:val="44"/>
          <w14:textFill>
            <w14:solidFill>
              <w14:schemeClr w14:val="tx1"/>
            </w14:solidFill>
          </w14:textFill>
        </w:rPr>
        <w:t>第四章 项目需求</w:t>
      </w:r>
      <w:bookmarkEnd w:id="140"/>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1" w:name="_Toc20495370"/>
      <w:bookmarkStart w:id="142" w:name="_Toc25367"/>
      <w:bookmarkStart w:id="143" w:name="_Toc23828480"/>
      <w:bookmarkStart w:id="144" w:name="_Toc26554097"/>
      <w:bookmarkStart w:id="145" w:name="_Toc61149622"/>
      <w:r>
        <w:rPr>
          <w:rFonts w:hint="eastAsia" w:ascii="宋体" w:hAnsi="宋体" w:cs="宋体"/>
          <w:color w:val="000000" w:themeColor="text1"/>
          <w:sz w:val="24"/>
          <w:szCs w:val="24"/>
          <w14:textFill>
            <w14:solidFill>
              <w14:schemeClr w14:val="tx1"/>
            </w14:solidFill>
          </w14:textFill>
        </w:rPr>
        <w:t>一、项目内容</w:t>
      </w:r>
      <w:bookmarkEnd w:id="141"/>
      <w:bookmarkEnd w:id="142"/>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146" w:name="_Toc344475116"/>
      <w:bookmarkStart w:id="147" w:name="_Toc313536013"/>
      <w:r>
        <w:rPr>
          <w:rFonts w:hint="eastAsia" w:ascii="宋体" w:hAnsi="宋体" w:cs="宋体"/>
          <w:color w:val="000000" w:themeColor="text1"/>
          <w:sz w:val="24"/>
          <w14:textFill>
            <w14:solidFill>
              <w14:schemeClr w14:val="tx1"/>
            </w14:solidFill>
          </w14:textFill>
        </w:rPr>
        <w:t>我校位盐城市解放南路285号，在校学生7000余人。为完善校园学生公寓配套设施和功能，提供更加周到便捷服务，学校拟在学生公寓引进自助洗衣服务外包运营模式：由学校提供场地和水电接口，中标服务商全额出资，分别在学生公寓楼内安装足量洗衣机、烘干机、洗鞋机机器配套设施，以解决学生洗衣需求。</w:t>
      </w:r>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8" w:name="_Toc19378"/>
      <w:bookmarkStart w:id="149" w:name="_Toc20495371"/>
      <w:r>
        <w:rPr>
          <w:rFonts w:hint="eastAsia" w:ascii="宋体" w:hAnsi="宋体" w:cs="宋体"/>
          <w:color w:val="000000" w:themeColor="text1"/>
          <w:sz w:val="24"/>
          <w:szCs w:val="24"/>
          <w14:textFill>
            <w14:solidFill>
              <w14:schemeClr w14:val="tx1"/>
            </w14:solidFill>
          </w14:textFill>
        </w:rPr>
        <w:t>二、服务及质量要求</w:t>
      </w:r>
      <w:bookmarkEnd w:id="146"/>
      <w:bookmarkEnd w:id="147"/>
      <w:bookmarkEnd w:id="148"/>
      <w:bookmarkEnd w:id="149"/>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（一）洗衣机数量、质量及品牌要求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1.供应商在共9栋学生公寓及留学生公寓投放洗衣机，洗衣机数量不低于160台，干衣机投放数量不低于50台，洗鞋机投放数量不低于9。（根据现场实际情况确定）。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本项目为“交钥匙”工程，由学校指定水、电接口，中标服务商负责洗（干）衣机、洗鞋机的投放和洗（干）衣机、正常运行的水电（含智能表具）、给排水等所有主辅材及配套设施设备的安装。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2.供应商提供的洗衣机必须为品牌一体机，必须符合国家相关质量标准。在磋商文件中应提供拟投放洗衣机的品牌、型号、参数，以及产品环保节能特性、产品功能介绍及产品图片；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3.每台洗衣机均需设置漏电保护功能，带桶自洁程序，具有自动杀菌功能；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4.洗衣机推荐品牌：海尔、西门子、小天鹅、LG，TCL、海信或与之相当品牌。为方便管理，所投放所有设备要求为同一品牌，且为原装设备，供应商需提供厂家出具的相关型号的说明函或证明函。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5.干衣机要求: 要求为国内一线品牌，必须符合国家相关质量标准。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（二）学生洗衣房装修平面布局要求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1.学校1至9号学生公寓1至6楼新建洗衣房，留学生公寓每户安装一台洗衣机（暂定40台，后续根据留学生入住情况确定）；1至9号学生公寓原有洗衣房自行考虑投放烘干机或洗鞋机等。</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2.根据应配置的洗衣设备的数量要求，采购人提供学校1-9号学生公寓公共区域供供应商进行改建。</w:t>
      </w:r>
    </w:p>
    <w:p>
      <w:pPr>
        <w:widowControl/>
        <w:adjustRightInd w:val="0"/>
        <w:snapToGrid w:val="0"/>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3.各楼宇洗衣设备拟投放区域参考图如下：</w:t>
      </w:r>
    </w:p>
    <w:p>
      <w:pPr>
        <w:spacing w:before="172" w:line="219"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附：盐城工业职业学院洗衣房平面布局参考图</w:t>
      </w:r>
    </w:p>
    <w:p>
      <w:pPr>
        <w:spacing w:before="234" w:line="227" w:lineRule="auto"/>
        <w:ind w:left="216" w:firstLine="1488" w:firstLineChars="600"/>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图1：学生宿舍1号楼洗衣服平面布局参考图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522" w:leftChars="701" w:hanging="1050" w:hangingChars="500"/>
        <w:rPr>
          <w:rFonts w:ascii="宋体" w:hAnsi="宋体" w:cs="宋体"/>
          <w:color w:val="000000" w:themeColor="text1"/>
          <w:spacing w:val="9"/>
          <w:sz w:val="23"/>
          <w:szCs w:val="23"/>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85725</wp:posOffset>
            </wp:positionH>
            <wp:positionV relativeFrom="paragraph">
              <wp:posOffset>254635</wp:posOffset>
            </wp:positionV>
            <wp:extent cx="5266690" cy="3159125"/>
            <wp:effectExtent l="0" t="0" r="10160" b="3175"/>
            <wp:wrapTight wrapText="bothSides">
              <wp:wrapPolygon>
                <wp:start x="0" y="0"/>
                <wp:lineTo x="0" y="21491"/>
                <wp:lineTo x="21485" y="21491"/>
                <wp:lineTo x="21485" y="0"/>
                <wp:lineTo x="0" y="0"/>
              </wp:wrapPolygon>
            </wp:wrapTight>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9"/>
                    <a:stretch>
                      <a:fillRect/>
                    </a:stretch>
                  </pic:blipFill>
                  <pic:spPr>
                    <a:xfrm>
                      <a:off x="0" y="0"/>
                      <a:ext cx="5266690" cy="3159125"/>
                    </a:xfrm>
                    <a:prstGeom prst="rect">
                      <a:avLst/>
                    </a:prstGeom>
                    <a:noFill/>
                    <a:ln>
                      <a:noFill/>
                    </a:ln>
                  </pic:spPr>
                </pic:pic>
              </a:graphicData>
            </a:graphic>
          </wp:anchor>
        </w:drawing>
      </w: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图2：学生宿舍2号楼1楼洗衣服平面布局参考图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spacing w:before="132" w:line="227" w:lineRule="auto"/>
        <w:ind w:left="216"/>
        <w:jc w:val="center"/>
        <w:rPr>
          <w:rFonts w:ascii="宋体" w:hAnsi="宋体" w:cs="宋体"/>
          <w:color w:val="000000" w:themeColor="text1"/>
          <w:sz w:val="23"/>
          <w:szCs w:val="23"/>
          <w14:textFill>
            <w14:solidFill>
              <w14:schemeClr w14:val="tx1"/>
            </w14:solidFill>
          </w14:textFill>
        </w:rPr>
      </w:pPr>
    </w:p>
    <w:p>
      <w:pPr>
        <w:spacing w:before="116" w:line="227" w:lineRule="auto"/>
        <w:ind w:left="216"/>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2405" cy="3943985"/>
            <wp:effectExtent l="0" t="0" r="444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72405" cy="3943985"/>
                    </a:xfrm>
                    <a:prstGeom prst="rect">
                      <a:avLst/>
                    </a:prstGeom>
                    <a:noFill/>
                    <a:ln>
                      <a:noFill/>
                    </a:ln>
                  </pic:spPr>
                </pic:pic>
              </a:graphicData>
            </a:graphic>
          </wp:inline>
        </w:drawing>
      </w:r>
    </w:p>
    <w:p>
      <w:pPr>
        <w:spacing w:before="234" w:line="227" w:lineRule="auto"/>
        <w:ind w:left="2522" w:leftChars="701" w:hanging="1050" w:hangingChars="500"/>
        <w:rPr>
          <w:rFonts w:ascii="宋体" w:hAnsi="宋体" w:cs="宋体"/>
          <w:color w:val="000000" w:themeColor="text1"/>
          <w:sz w:val="23"/>
          <w:szCs w:val="23"/>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571500</wp:posOffset>
            </wp:positionH>
            <wp:positionV relativeFrom="paragraph">
              <wp:posOffset>61595</wp:posOffset>
            </wp:positionV>
            <wp:extent cx="5266055" cy="4266565"/>
            <wp:effectExtent l="0" t="0" r="10795" b="635"/>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1"/>
                    <a:stretch>
                      <a:fillRect/>
                    </a:stretch>
                  </pic:blipFill>
                  <pic:spPr>
                    <a:xfrm>
                      <a:off x="0" y="0"/>
                      <a:ext cx="5266055" cy="4266565"/>
                    </a:xfrm>
                    <a:prstGeom prst="rect">
                      <a:avLst/>
                    </a:prstGeom>
                    <a:noFill/>
                    <a:ln>
                      <a:noFill/>
                    </a:ln>
                  </pic:spPr>
                </pic:pic>
              </a:graphicData>
            </a:graphic>
          </wp:anchor>
        </w:drawing>
      </w:r>
      <w:r>
        <w:rPr>
          <w:rFonts w:hint="eastAsia" w:ascii="宋体" w:hAnsi="宋体" w:cs="宋体"/>
          <w:color w:val="000000" w:themeColor="text1"/>
          <w:spacing w:val="9"/>
          <w:sz w:val="23"/>
          <w:szCs w:val="23"/>
          <w14:textFill>
            <w14:solidFill>
              <w14:schemeClr w14:val="tx1"/>
            </w14:solidFill>
          </w14:textFill>
        </w:rPr>
        <w:t>图3：学生宿舍2号楼2-6楼洗衣服平面布局参考图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spacing w:before="116" w:line="227" w:lineRule="auto"/>
        <w:ind w:left="216"/>
        <w:jc w:val="center"/>
        <w:rPr>
          <w:rFonts w:ascii="宋体" w:hAnsi="宋体" w:cs="宋体"/>
          <w:color w:val="000000" w:themeColor="text1"/>
          <w:sz w:val="23"/>
          <w:szCs w:val="23"/>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ind w:firstLine="56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ind w:firstLine="56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ind w:firstLine="56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pacing w:val="9"/>
          <w:sz w:val="23"/>
          <w:szCs w:val="23"/>
          <w14:textFill>
            <w14:solidFill>
              <w14:schemeClr w14:val="tx1"/>
            </w14:solidFill>
          </w14:textFill>
        </w:rPr>
      </w:pPr>
    </w:p>
    <w:p>
      <w:pPr>
        <w:spacing w:before="234" w:line="227" w:lineRule="auto"/>
        <w:ind w:left="2712" w:leftChars="701" w:hanging="1240" w:hangingChars="500"/>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图4：学生宿舍3、4号楼1楼洗衣服平面布局参考图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rPr>
          <w:color w:val="000000" w:themeColor="text1"/>
          <w14:textFill>
            <w14:solidFill>
              <w14:schemeClr w14:val="tx1"/>
            </w14:solidFill>
          </w14:textFill>
        </w:rPr>
      </w:pPr>
    </w:p>
    <w:p>
      <w:pPr>
        <w:pStyle w:val="2"/>
        <w:ind w:firstLine="56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3040" cy="3382010"/>
            <wp:effectExtent l="0" t="0" r="3810"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2"/>
                    <a:stretch>
                      <a:fillRect/>
                    </a:stretch>
                  </pic:blipFill>
                  <pic:spPr>
                    <a:xfrm>
                      <a:off x="0" y="0"/>
                      <a:ext cx="5273040" cy="3382010"/>
                    </a:xfrm>
                    <a:prstGeom prst="rect">
                      <a:avLst/>
                    </a:prstGeom>
                    <a:noFill/>
                    <a:ln>
                      <a:noFill/>
                    </a:ln>
                  </pic:spPr>
                </pic:pic>
              </a:graphicData>
            </a:graphic>
          </wp:inline>
        </w:drawing>
      </w:r>
    </w:p>
    <w:p>
      <w:pPr>
        <w:pStyle w:val="6"/>
        <w:rPr>
          <w:color w:val="000000" w:themeColor="text1"/>
          <w14:textFill>
            <w14:solidFill>
              <w14:schemeClr w14:val="tx1"/>
            </w14:solidFill>
          </w14:textFill>
        </w:rPr>
      </w:pPr>
    </w:p>
    <w:p>
      <w:pPr>
        <w:ind w:firstLine="1488" w:firstLineChars="600"/>
        <w:rPr>
          <w:rFonts w:ascii="宋体" w:hAnsi="宋体" w:cs="宋体"/>
          <w:color w:val="000000" w:themeColor="text1"/>
          <w:spacing w:val="8"/>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图5：学生宿舍3、4号楼2-6楼洗衣服平面布局参考图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pStyle w:val="2"/>
        <w:ind w:firstLine="56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1135" cy="3750945"/>
            <wp:effectExtent l="0" t="0" r="571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271135" cy="3750945"/>
                    </a:xfrm>
                    <a:prstGeom prst="rect">
                      <a:avLst/>
                    </a:prstGeom>
                    <a:noFill/>
                    <a:ln>
                      <a:noFill/>
                    </a:ln>
                  </pic:spPr>
                </pic:pic>
              </a:graphicData>
            </a:graphic>
          </wp:inline>
        </w:drawing>
      </w:r>
    </w:p>
    <w:p>
      <w:pPr>
        <w:pStyle w:val="2"/>
        <w:ind w:firstLine="560"/>
        <w:rPr>
          <w:color w:val="000000" w:themeColor="text1"/>
          <w14:textFill>
            <w14:solidFill>
              <w14:schemeClr w14:val="tx1"/>
            </w14:solidFill>
          </w14:textFill>
        </w:rPr>
      </w:pPr>
    </w:p>
    <w:p>
      <w:pPr>
        <w:ind w:firstLine="1488" w:firstLineChars="600"/>
        <w:rPr>
          <w:rFonts w:ascii="宋体" w:hAnsi="宋体" w:cs="宋体"/>
          <w:color w:val="000000" w:themeColor="text1"/>
          <w:spacing w:val="8"/>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图6：学生宿舍5、6号楼1楼洗衣服平面布局参考图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pStyle w:val="2"/>
        <w:ind w:firstLine="56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1135" cy="4086860"/>
            <wp:effectExtent l="0" t="0" r="5715" b="889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4"/>
                    <a:stretch>
                      <a:fillRect/>
                    </a:stretch>
                  </pic:blipFill>
                  <pic:spPr>
                    <a:xfrm>
                      <a:off x="0" y="0"/>
                      <a:ext cx="5271135" cy="4086860"/>
                    </a:xfrm>
                    <a:prstGeom prst="rect">
                      <a:avLst/>
                    </a:prstGeom>
                    <a:noFill/>
                    <a:ln>
                      <a:noFill/>
                    </a:ln>
                  </pic:spPr>
                </pic:pic>
              </a:graphicData>
            </a:graphic>
          </wp:inline>
        </w:drawing>
      </w:r>
    </w:p>
    <w:p>
      <w:pPr>
        <w:ind w:firstLine="1488" w:firstLineChars="600"/>
        <w:rPr>
          <w:rFonts w:ascii="宋体" w:hAnsi="宋体" w:cs="宋体"/>
          <w:color w:val="000000" w:themeColor="text1"/>
          <w:spacing w:val="9"/>
          <w:sz w:val="23"/>
          <w:szCs w:val="23"/>
          <w14:textFill>
            <w14:solidFill>
              <w14:schemeClr w14:val="tx1"/>
            </w14:solidFill>
          </w14:textFill>
        </w:rPr>
      </w:pPr>
    </w:p>
    <w:p>
      <w:pPr>
        <w:ind w:firstLine="1488" w:firstLineChars="600"/>
        <w:rPr>
          <w:rFonts w:ascii="宋体" w:hAnsi="宋体" w:cs="宋体"/>
          <w:color w:val="000000" w:themeColor="text1"/>
          <w:spacing w:val="8"/>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图7：学生宿舍5、6号楼2-6楼洗衣服平面布局参考图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pStyle w:val="2"/>
        <w:ind w:firstLine="56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6690" cy="3540125"/>
            <wp:effectExtent l="0" t="0" r="10160" b="31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266690" cy="3540125"/>
                    </a:xfrm>
                    <a:prstGeom prst="rect">
                      <a:avLst/>
                    </a:prstGeom>
                    <a:noFill/>
                    <a:ln>
                      <a:noFill/>
                    </a:ln>
                  </pic:spPr>
                </pic:pic>
              </a:graphicData>
            </a:graphic>
          </wp:inline>
        </w:drawing>
      </w: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ind w:firstLine="1488" w:firstLineChars="600"/>
        <w:rPr>
          <w:rFonts w:ascii="宋体" w:hAnsi="宋体" w:cs="宋体"/>
          <w:color w:val="000000" w:themeColor="text1"/>
          <w:spacing w:val="8"/>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图8：学生宿舍7、8号楼1-6楼洗衣服平面布局参考图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pStyle w:val="2"/>
        <w:ind w:firstLine="56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2405" cy="3549650"/>
            <wp:effectExtent l="0" t="0" r="444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272405" cy="3549650"/>
                    </a:xfrm>
                    <a:prstGeom prst="rect">
                      <a:avLst/>
                    </a:prstGeom>
                    <a:noFill/>
                    <a:ln>
                      <a:noFill/>
                    </a:ln>
                  </pic:spPr>
                </pic:pic>
              </a:graphicData>
            </a:graphic>
          </wp:inline>
        </w:drawing>
      </w:r>
    </w:p>
    <w:p>
      <w:pPr>
        <w:ind w:firstLine="1488" w:firstLineChars="600"/>
        <w:rPr>
          <w:rFonts w:ascii="宋体" w:hAnsi="宋体" w:cs="宋体"/>
          <w:color w:val="000000" w:themeColor="text1"/>
          <w:spacing w:val="8"/>
          <w:sz w:val="23"/>
          <w:szCs w:val="23"/>
          <w14:textFill>
            <w14:solidFill>
              <w14:schemeClr w14:val="tx1"/>
            </w14:solidFill>
          </w14:textFill>
        </w:rPr>
      </w:pPr>
      <w:r>
        <w:rPr>
          <w:rFonts w:hint="eastAsia" w:ascii="宋体" w:hAnsi="宋体" w:cs="宋体"/>
          <w:color w:val="000000" w:themeColor="text1"/>
          <w:spacing w:val="9"/>
          <w:sz w:val="23"/>
          <w:szCs w:val="23"/>
          <w14:textFill>
            <w14:solidFill>
              <w14:schemeClr w14:val="tx1"/>
            </w14:solidFill>
          </w14:textFill>
        </w:rPr>
        <w:t>图9：学生宿舍9号楼3-4楼洗衣服平面布局参考图</w:t>
      </w:r>
      <w:r>
        <w:rPr>
          <w:rFonts w:ascii="宋体" w:hAnsi="宋体" w:cs="宋体"/>
          <w:color w:val="000000" w:themeColor="text1"/>
          <w:spacing w:val="9"/>
          <w:sz w:val="23"/>
          <w:szCs w:val="23"/>
          <w14:textFill>
            <w14:solidFill>
              <w14:schemeClr w14:val="tx1"/>
            </w14:solidFill>
          </w14:textFill>
        </w:rPr>
        <w:t>展</w:t>
      </w:r>
      <w:r>
        <w:rPr>
          <w:rFonts w:ascii="宋体" w:hAnsi="宋体" w:cs="宋体"/>
          <w:color w:val="000000" w:themeColor="text1"/>
          <w:spacing w:val="8"/>
          <w:sz w:val="23"/>
          <w:szCs w:val="23"/>
          <w14:textFill>
            <w14:solidFill>
              <w14:schemeClr w14:val="tx1"/>
            </w14:solidFill>
          </w14:textFill>
        </w:rPr>
        <w:t>示</w:t>
      </w:r>
    </w:p>
    <w:p>
      <w:pPr>
        <w:pStyle w:val="21"/>
        <w:ind w:left="1470" w:right="147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74310" cy="4200525"/>
            <wp:effectExtent l="0" t="0" r="2540"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7"/>
                    <a:stretch>
                      <a:fillRect/>
                    </a:stretch>
                  </pic:blipFill>
                  <pic:spPr>
                    <a:xfrm>
                      <a:off x="0" y="0"/>
                      <a:ext cx="5274310" cy="4200525"/>
                    </a:xfrm>
                    <a:prstGeom prst="rect">
                      <a:avLst/>
                    </a:prstGeom>
                    <a:noFill/>
                    <a:ln>
                      <a:noFill/>
                    </a:ln>
                  </pic:spPr>
                </pic:pic>
              </a:graphicData>
            </a:graphic>
          </wp:inline>
        </w:drawing>
      </w:r>
    </w:p>
    <w:p>
      <w:pPr>
        <w:adjustRightInd w:val="0"/>
        <w:snapToGrid w:val="0"/>
        <w:spacing w:line="360" w:lineRule="auto"/>
        <w:ind w:firstLine="480" w:firstLineChars="200"/>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（三）洗衣机洗涤量及收费标准（最高限价）：</w:t>
      </w:r>
    </w:p>
    <w:tbl>
      <w:tblPr>
        <w:tblStyle w:val="46"/>
        <w:tblpPr w:leftFromText="180" w:rightFromText="180" w:vertAnchor="text" w:horzAnchor="page" w:tblpXSpec="center" w:tblpY="78"/>
        <w:tblOverlap w:val="never"/>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10"/>
        <w:gridCol w:w="1410"/>
        <w:gridCol w:w="1905"/>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最高收费标准</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操作时间</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洗涤程序</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脱水</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快洗</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适量衣物的洗涤程序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标准洗</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适量衣物的洗涤程序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大件洗</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洗、漂、甩干</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大量衣物的洗涤程序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桶自洁</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清洁</w:t>
            </w:r>
          </w:p>
        </w:tc>
        <w:tc>
          <w:tcPr>
            <w:tcW w:w="2597"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清洁程序</w:t>
            </w:r>
          </w:p>
          <w:p>
            <w:pPr>
              <w:pStyle w:val="21"/>
              <w:spacing w:after="0"/>
              <w:ind w:left="0" w:leftChars="0" w:right="0" w:right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（固定价格不下浮）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衣物脱水之后快速烘干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17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3.0元/次</w:t>
            </w:r>
          </w:p>
        </w:tc>
        <w:tc>
          <w:tcPr>
            <w:tcW w:w="141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≥35分钟</w:t>
            </w:r>
          </w:p>
        </w:tc>
        <w:tc>
          <w:tcPr>
            <w:tcW w:w="1905"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2597"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鞋类洗涤</w:t>
            </w:r>
          </w:p>
        </w:tc>
      </w:tr>
    </w:tbl>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学生洗衣费用支付方式：需提供便捷的支付方式，如校园一卡通、微信、支付宝等。供应商若使用校园一卡通系统收费，须按照财务管理相关规定到学校财务部门办理申请审批手续和缴纳相应的维护费，对接费用自行承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（四）水电费：洗衣机、烘干机、洗鞋机使用过程中产生的水电费由供应商支付，由供应商安装电表以及水表，每月按表计量收费；其污水排放应并入学校排污管网。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（五）学校提供安装场地、水电通畅等基本保障。洗衣机由供应商免费提供和安装。包括安装及使用过程中产生的材料费、人工费、维修维护费等均由供应商负责，学校不承担任何费用。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洗衣机维修维护要求：供应商应确保设备正常运行，每台机器应标明24小时接听电话，每月至少一次对洗衣机进行全方位的清洁、消毒、检修；对特殊故障24小时内修复，无法及时修复的应一周内更换机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（七）样品要求：供应商磋商时必须提供样品的品牌型号及样品图片，投放的最终产品必须与样品一致。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（八）供应商应于签定合同后20日内完成全部洗衣机的安装调试。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（九）成交供应商在校方经营期间所发生的一切事故及所引起的经济与法律方面问题完全由成交供应商负责解决，承担全部责任。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投标人需结合洗衣设备摆放区域进行统一装修改造和文化布置；做好排水、防水处理。所有建材均应符合环保要求；灯具、开关、插座、塑料管、电线、监控等应选用知名品牌优质产品。乙方须根据项目需求的要求提供洗衣房装饰效果图，经甲方审核通过后方可实施。装修需要做到布局合理、美观大方且投入设备要达到功能要求和乙方投标文件的要求。装修过程中由于用电增容、水路改造及其他项目产生的费用均由乙方承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（十一）成交供应商在以上洗涤设备及附属设施施工、安装过程中，不得破坏建筑物的结构，确保施工安全和环境卫生清洁。</w:t>
      </w:r>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50" w:name="_Toc344475120"/>
      <w:bookmarkStart w:id="151" w:name="_Toc30419"/>
      <w:bookmarkStart w:id="152" w:name="_Toc20495374"/>
      <w:bookmarkStart w:id="153" w:name="_Toc77347760"/>
      <w:bookmarkStart w:id="154" w:name="_Toc428305859"/>
      <w:bookmarkStart w:id="155" w:name="_Toc20495380"/>
      <w:bookmarkStart w:id="156" w:name="_Toc344475124"/>
      <w:r>
        <w:rPr>
          <w:rFonts w:hint="eastAsia" w:ascii="宋体" w:hAnsi="宋体" w:cs="宋体"/>
          <w:color w:val="000000" w:themeColor="text1"/>
          <w:sz w:val="24"/>
          <w:szCs w:val="24"/>
          <w14:textFill>
            <w14:solidFill>
              <w14:schemeClr w14:val="tx1"/>
            </w14:solidFill>
          </w14:textFill>
        </w:rPr>
        <w:t>三、服务期、地点及验收方式</w:t>
      </w:r>
      <w:bookmarkEnd w:id="150"/>
      <w:bookmarkEnd w:id="151"/>
      <w:bookmarkEnd w:id="152"/>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（一）工期</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服务期限：本项目服务期为五年，采取3+</w:t>
      </w: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的形式签订合同，即第一次合同服务期为三年，合同期满学校将对供应商的服务情况进行考核。若考核合格，续签剩余两年的合同，若考核不合格，学校有权单方面解除合同，不再续签。</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（二）地点：盐城工业职业技术学院指定地点</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（三）验收方式</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1、将按照盐城工业职业技术学院验收相关要求，由使用单位人员和资产管理处验收人员组织的验收小组进行验收。验收合格的标准如下：</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（1）项目技术参数与投标文件及采购合同一致，性能指标达到规定的标准。</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（2）在合同履行期间所出现的问题得到解决，并运行正常。</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（3）由采购人组织对货物进行验收。</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2、在规定时间内完成交货并验收，并经采购人确认。</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3、供应商提供的货物未达到竞争性磋商规定要求，且对采购人造成损失的，由供应商承担一切责任，并赔偿所造成的损失。</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4、大型或者复杂的政府采购产品项目，采购人可邀请国家认可的质量检测机构参加验收工作。</w:t>
      </w:r>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5、采购人需要厂家对成交供应商交付的产品（包括质量、技术参数等）进行确认的，厂家应予以配合，并出具书面意见。</w:t>
      </w:r>
    </w:p>
    <w:p>
      <w:pPr>
        <w:pStyle w:val="9"/>
        <w:keepNext w:val="0"/>
        <w:keepLines w:val="0"/>
        <w:widowControl/>
        <w:adjustRightInd w:val="0"/>
        <w:snapToGrid w:val="0"/>
        <w:spacing w:before="0" w:after="0" w:line="360" w:lineRule="auto"/>
        <w:ind w:firstLine="482" w:firstLineChars="200"/>
        <w:textAlignment w:val="baseline"/>
        <w:rPr>
          <w:rStyle w:val="161"/>
          <w:rFonts w:ascii="宋体" w:hAnsi="宋体"/>
          <w:color w:val="000000" w:themeColor="text1"/>
          <w:sz w:val="24"/>
          <w:szCs w:val="24"/>
          <w14:textFill>
            <w14:solidFill>
              <w14:schemeClr w14:val="tx1"/>
            </w14:solidFill>
          </w14:textFill>
        </w:rPr>
      </w:pPr>
      <w:r>
        <w:rPr>
          <w:rStyle w:val="161"/>
          <w:rFonts w:hint="eastAsia" w:ascii="宋体" w:hAnsi="宋体"/>
          <w:color w:val="000000" w:themeColor="text1"/>
          <w:sz w:val="24"/>
          <w:szCs w:val="24"/>
          <w14:textFill>
            <w14:solidFill>
              <w14:schemeClr w14:val="tx1"/>
            </w14:solidFill>
          </w14:textFill>
        </w:rPr>
        <w:t>四、收费方式</w:t>
      </w:r>
    </w:p>
    <w:p>
      <w:pPr>
        <w:pStyle w:val="9"/>
        <w:keepNext w:val="0"/>
        <w:keepLines w:val="0"/>
        <w:widowControl/>
        <w:adjustRightInd w:val="0"/>
        <w:snapToGrid w:val="0"/>
        <w:spacing w:before="0" w:after="0" w:line="360" w:lineRule="auto"/>
        <w:ind w:firstLine="480" w:firstLineChars="200"/>
        <w:textAlignment w:val="baseline"/>
        <w:rPr>
          <w:rStyle w:val="161"/>
          <w:rFonts w:ascii="宋体" w:hAnsi="宋体"/>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本项目的收费系统采用物联网支付方式，学生可通过一卡通校园、微信或支付宝支付。收费系统的账号和管理密码需提供给学校，学校对账户进行实时监管。水、电控设备及收费管理系统的建设所产生的所有费用由中标人自行承担。</w:t>
      </w:r>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57" w:name="_Toc344475121"/>
      <w:bookmarkStart w:id="158" w:name="_Toc31803"/>
      <w:bookmarkStart w:id="159" w:name="_Toc20495375"/>
      <w:r>
        <w:rPr>
          <w:rFonts w:hint="eastAsia" w:ascii="宋体" w:hAnsi="宋体" w:cs="宋体"/>
          <w:color w:val="000000" w:themeColor="text1"/>
          <w:sz w:val="24"/>
          <w:szCs w:val="24"/>
          <w14:textFill>
            <w14:solidFill>
              <w14:schemeClr w14:val="tx1"/>
            </w14:solidFill>
          </w14:textFill>
        </w:rPr>
        <w:t>五、</w:t>
      </w:r>
      <w:bookmarkEnd w:id="157"/>
      <w:r>
        <w:rPr>
          <w:rFonts w:hint="eastAsia" w:ascii="宋体" w:hAnsi="宋体" w:cs="宋体"/>
          <w:color w:val="000000" w:themeColor="text1"/>
          <w:sz w:val="24"/>
          <w:szCs w:val="24"/>
          <w14:textFill>
            <w14:solidFill>
              <w14:schemeClr w14:val="tx1"/>
            </w14:solidFill>
          </w14:textFill>
        </w:rPr>
        <w:t>报价要求</w:t>
      </w:r>
      <w:bookmarkEnd w:id="158"/>
      <w:bookmarkEnd w:id="159"/>
    </w:p>
    <w:p>
      <w:pPr>
        <w:pStyle w:val="27"/>
        <w:adjustRightInd w:val="0"/>
        <w:snapToGrid w:val="0"/>
        <w:spacing w:line="360" w:lineRule="auto"/>
        <w:ind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本项目的磋商报价应在采购人设置的最高限价以下报价，高于最高限价的供应商将失去成为中标人的资格。</w:t>
      </w:r>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60" w:name="_Toc20495376"/>
      <w:bookmarkStart w:id="161" w:name="_Toc32535"/>
      <w:r>
        <w:rPr>
          <w:rFonts w:hint="eastAsia" w:ascii="宋体" w:hAnsi="宋体" w:cs="宋体"/>
          <w:color w:val="000000" w:themeColor="text1"/>
          <w:sz w:val="24"/>
          <w:szCs w:val="24"/>
          <w14:textFill>
            <w14:solidFill>
              <w14:schemeClr w14:val="tx1"/>
            </w14:solidFill>
          </w14:textFill>
        </w:rPr>
        <w:t>六、</w:t>
      </w:r>
      <w:bookmarkEnd w:id="160"/>
      <w:bookmarkStart w:id="162" w:name="_Toc20495377"/>
      <w:bookmarkStart w:id="163" w:name="_Toc344475122"/>
      <w:r>
        <w:rPr>
          <w:rFonts w:hint="eastAsia" w:ascii="宋体" w:hAnsi="宋体" w:cs="宋体"/>
          <w:color w:val="000000" w:themeColor="text1"/>
          <w:sz w:val="24"/>
          <w:szCs w:val="24"/>
          <w14:textFill>
            <w14:solidFill>
              <w14:schemeClr w14:val="tx1"/>
            </w14:solidFill>
          </w14:textFill>
        </w:rPr>
        <w:t>付款方式</w:t>
      </w:r>
      <w:bookmarkEnd w:id="161"/>
      <w:bookmarkEnd w:id="162"/>
      <w:bookmarkEnd w:id="163"/>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（一）合同签订前成交供应商向采购人缴纳100000.00元履约保证金（大写：拾万元整），由中标人从其公司账户将保证金汇至盐城工业职业技术学院账户；</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（二）合同期内货物运行正常且投标人未违反学校相关规定，合同期满后在10个工作日内退还履约保证金（不计息）。</w:t>
      </w:r>
    </w:p>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64" w:name="_Toc20495378"/>
      <w:bookmarkStart w:id="165" w:name="_Toc344475123"/>
      <w:bookmarkStart w:id="166" w:name="_Toc19447"/>
      <w:r>
        <w:rPr>
          <w:rFonts w:hint="eastAsia" w:ascii="宋体" w:hAnsi="宋体" w:cs="宋体"/>
          <w:color w:val="000000" w:themeColor="text1"/>
          <w:sz w:val="24"/>
          <w:szCs w:val="24"/>
          <w14:textFill>
            <w14:solidFill>
              <w14:schemeClr w14:val="tx1"/>
            </w14:solidFill>
          </w14:textFill>
        </w:rPr>
        <w:t>七、</w:t>
      </w:r>
      <w:bookmarkEnd w:id="164"/>
      <w:bookmarkEnd w:id="165"/>
      <w:r>
        <w:rPr>
          <w:rFonts w:hint="eastAsia" w:ascii="宋体" w:hAnsi="宋体" w:cs="宋体"/>
          <w:color w:val="000000" w:themeColor="text1"/>
          <w:sz w:val="24"/>
          <w:szCs w:val="24"/>
          <w14:textFill>
            <w14:solidFill>
              <w14:schemeClr w14:val="tx1"/>
            </w14:solidFill>
          </w14:textFill>
        </w:rPr>
        <w:t>违约责任</w:t>
      </w:r>
      <w:bookmarkEnd w:id="166"/>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167" w:name="_Toc20495381"/>
      <w:r>
        <w:rPr>
          <w:rFonts w:hint="eastAsia" w:ascii="宋体" w:hAnsi="宋体" w:cs="宋体"/>
          <w:color w:val="000000" w:themeColor="text1"/>
          <w:sz w:val="24"/>
          <w14:textFill>
            <w14:solidFill>
              <w14:schemeClr w14:val="tx1"/>
            </w14:solidFill>
          </w14:textFill>
        </w:rPr>
        <w:t>（一）成交供应商不能在规定时间内完成洗衣机安装调试的，每延期一天按当年合同金额3‰∕天收取违约金。延期20个工作日仍未完成，采购人有权单方面解除合同且不退还履约保证金。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（二）若供应商提供的服务不符合合同及采购文件要求的质量、服务标准或履约过程中有违约行为的，采购人有权不退还履约保证金，有权单方面解除合同，同时保留追究由此给采购人造成损失责任的权力；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（三）其它违约按约定合同条款执行。</w:t>
      </w:r>
      <w:bookmarkEnd w:id="167"/>
    </w:p>
    <w:bookmarkEnd w:id="153"/>
    <w:bookmarkEnd w:id="154"/>
    <w:bookmarkEnd w:id="155"/>
    <w:bookmarkEnd w:id="156"/>
    <w:p>
      <w:pPr>
        <w:pStyle w:val="9"/>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八、其他要求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1.重要说明：中标人须高度重视施工安全、消防安全、用水用电安全、防疫安全等工作，保证本项目有可靠的安全保障措施， 服务期间因设备运营导致的安全事故，由中标人负全部责任，并赔偿因安全事故引起的各项损失，学校不承担连带责任。合同期满，投资方将投入设备全部撤走，并保证原有基础设施完好。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现场踏勘要求：投标人须自行现场踏勘，了解项目现场情况，勘察现场所发生的费用由投标人自行承担。投标人未到服务现场实地踏勘的，中标后签订合同时和履约过程中，不得以不完全了解现场情况为由，提出任何形式的增加合同价款或索赔的要求。</w:t>
      </w:r>
    </w:p>
    <w:p>
      <w:pPr>
        <w:keepNext/>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3.中标人洗衣机、烘干机、洗鞋机安全自行负责， 并承担损毁或被盗后果，招标人仅具有以下协助义务：</w:t>
      </w:r>
    </w:p>
    <w:p>
      <w:pPr>
        <w:keepNext/>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若中标人洗衣机烘干机被盗，招标人协助公安机关调查。</w:t>
      </w:r>
    </w:p>
    <w:p>
      <w:pPr>
        <w:keepNext/>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洗衣机如发生被人恶意破坏，招标人应及时通知中标人，并协助追究当事人赔偿责任。</w:t>
      </w:r>
    </w:p>
    <w:p>
      <w:pPr>
        <w:keepNext/>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向学生宣传机器的保护工作，告知学生不得在洗衣机上张贴或遮盖其他物品。</w:t>
      </w:r>
    </w:p>
    <w:p>
      <w:pPr>
        <w:numPr>
          <w:ilvl w:val="0"/>
          <w:numId w:val="6"/>
        </w:num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在无特殊情况下，不能关闭洗衣机水、电；若有特殊情况须长时间(24 小时) 停水、电，应及时通知中标人。</w:t>
      </w:r>
    </w:p>
    <w:p>
      <w:pPr>
        <w:spacing w:line="360" w:lineRule="auto"/>
        <w:jc w:val="center"/>
        <w:outlineLvl w:val="0"/>
        <w:rPr>
          <w:rFonts w:ascii="宋体" w:hAnsi="宋体" w:cs="宋体"/>
          <w:b/>
          <w:bCs/>
          <w:color w:val="000000" w:themeColor="text1"/>
          <w:sz w:val="44"/>
          <w:szCs w:val="44"/>
          <w14:textFill>
            <w14:solidFill>
              <w14:schemeClr w14:val="tx1"/>
            </w14:solidFill>
          </w14:textFill>
        </w:rPr>
        <w:sectPr>
          <w:footerReference r:id="rId6" w:type="first"/>
          <w:footerReference r:id="rId5" w:type="default"/>
          <w:pgSz w:w="11911" w:h="16838"/>
          <w:pgMar w:top="1587" w:right="1587" w:bottom="1587" w:left="1587" w:header="720" w:footer="720" w:gutter="0"/>
          <w:cols w:space="0" w:num="1"/>
          <w:docGrid w:linePitch="290" w:charSpace="0"/>
        </w:sectPr>
      </w:pPr>
      <w:bookmarkStart w:id="168" w:name="_Toc16618"/>
    </w:p>
    <w:p>
      <w:pPr>
        <w:jc w:val="center"/>
        <w:outlineLvl w:val="0"/>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第五章 定标原则和评审标准</w:t>
      </w:r>
      <w:bookmarkEnd w:id="168"/>
    </w:p>
    <w:p>
      <w:pPr>
        <w:pStyle w:val="105"/>
        <w:spacing w:before="0" w:after="0" w:line="480" w:lineRule="exact"/>
        <w:ind w:firstLine="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一、磋商小组</w:t>
      </w:r>
    </w:p>
    <w:p>
      <w:pPr>
        <w:pStyle w:val="105"/>
        <w:spacing w:before="0" w:after="0" w:line="480" w:lineRule="exact"/>
        <w:ind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本采购项目磋商小组的评委由相关的专家、采购人代表等有关人员构成。</w:t>
      </w:r>
    </w:p>
    <w:p>
      <w:pPr>
        <w:pStyle w:val="105"/>
        <w:spacing w:before="0" w:after="0" w:line="480" w:lineRule="exact"/>
        <w:ind w:firstLine="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二、定标原则</w:t>
      </w:r>
    </w:p>
    <w:p>
      <w:pPr>
        <w:pStyle w:val="105"/>
        <w:spacing w:before="0" w:after="0" w:line="480" w:lineRule="exact"/>
        <w:ind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tabs>
          <w:tab w:val="left" w:pos="900"/>
        </w:tabs>
        <w:spacing w:line="480" w:lineRule="exact"/>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是指响应文件满足磋商文件全部实质性要求，磋商小组按评审因素的量化指标评审，根据总得分高低排列各投标人次序（评审得分相同的，按照最后报价优惠程度由高到低的顺序推荐。评审得分且最后报价相同的，按照技术指标优劣顺序推荐），推荐不多于三名供应商为中标候选人</w:t>
      </w:r>
      <w:r>
        <w:rPr>
          <w:rFonts w:hint="eastAsia" w:ascii="宋体" w:hAnsi="宋体" w:cs="宋体"/>
          <w:color w:val="000000" w:themeColor="text1"/>
          <w:kern w:val="0"/>
          <w:sz w:val="24"/>
          <w14:textFill>
            <w14:solidFill>
              <w14:schemeClr w14:val="tx1"/>
            </w14:solidFill>
          </w14:textFill>
        </w:rPr>
        <w:t>。</w:t>
      </w:r>
    </w:p>
    <w:p>
      <w:pPr>
        <w:tabs>
          <w:tab w:val="left" w:pos="900"/>
        </w:tabs>
        <w:spacing w:line="480" w:lineRule="exact"/>
        <w:ind w:firstLine="477" w:firstLineChars="199"/>
        <w:rPr>
          <w:rFonts w:ascii="宋体" w:hAnsi="宋体" w:cs="宋体"/>
          <w:b/>
          <w:bCs/>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根据评标委员会提供的书面评标报告，依法确定排名第一的为中标人，排名第一的中标候选人放弃中标、因不可抗力不能履行合同、不按照招标文件要求提交履约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采购人可以确定排名第三的中标候选人为中标人，也可重新招标。</w:t>
      </w: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三、政府采购政策功能落实</w:t>
      </w:r>
    </w:p>
    <w:p>
      <w:pPr>
        <w:tabs>
          <w:tab w:val="left" w:pos="900"/>
        </w:tabs>
        <w:spacing w:line="480" w:lineRule="exact"/>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1、因本项目为专门面向中小企业采购的项目，不再执行价格评审优惠的扶持政策，投标人必须属于中小微企业，提供中小微企业声明函，否则作为无效标处理。</w:t>
      </w:r>
    </w:p>
    <w:p>
      <w:pPr>
        <w:tabs>
          <w:tab w:val="left" w:pos="900"/>
        </w:tabs>
        <w:spacing w:line="480" w:lineRule="exact"/>
        <w:ind w:firstLine="477" w:firstLineChars="199"/>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采购标的的所属行业为其他未列明行业 ，根据</w:t>
      </w:r>
      <w:r>
        <w:rPr>
          <w:rFonts w:hint="eastAsia" w:ascii="宋体" w:hAnsi="宋体"/>
          <w:b/>
          <w:bCs/>
          <w:color w:val="000000" w:themeColor="text1"/>
          <w:sz w:val="24"/>
          <w14:textFill>
            <w14:solidFill>
              <w14:schemeClr w14:val="tx1"/>
            </w14:solidFill>
          </w14:textFill>
        </w:rPr>
        <w:t>《关于印发中小企业划型标准规定的通知》（工信部联企业[2011]300号）文件规定及国家统计局关于印发《统计上大中小微型企业划分办法（2017）》</w:t>
      </w:r>
      <w:r>
        <w:rPr>
          <w:rFonts w:hint="eastAsia" w:ascii="宋体" w:hAnsi="宋体" w:cs="宋体"/>
          <w:b/>
          <w:bCs/>
          <w:color w:val="000000" w:themeColor="text1"/>
          <w:kern w:val="0"/>
          <w:sz w:val="24"/>
          <w14:textFill>
            <w14:solidFill>
              <w14:schemeClr w14:val="tx1"/>
            </w14:solidFill>
          </w14:textFill>
        </w:rPr>
        <w:t>规定的划分标准填写；</w:t>
      </w: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5"/>
        <w:spacing w:before="0" w:after="0" w:line="480" w:lineRule="exact"/>
        <w:ind w:firstLine="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四、评标标准</w:t>
      </w:r>
    </w:p>
    <w:p>
      <w:pPr>
        <w:pStyle w:val="105"/>
        <w:spacing w:before="0" w:after="0" w:line="48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本项目评分总分值为100分。</w:t>
      </w:r>
    </w:p>
    <w:tbl>
      <w:tblPr>
        <w:tblStyle w:val="46"/>
        <w:tblW w:w="5140" w:type="pct"/>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97"/>
        <w:gridCol w:w="1106"/>
        <w:gridCol w:w="543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评分因素</w:t>
            </w:r>
          </w:p>
          <w:p>
            <w:pPr>
              <w:spacing w:line="240" w:lineRule="atLeast"/>
              <w:ind w:firstLine="2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及权重</w:t>
            </w: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分值</w:t>
            </w:r>
          </w:p>
        </w:tc>
        <w:tc>
          <w:tcPr>
            <w:tcW w:w="2951"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pPr>
              <w:pStyle w:val="41"/>
              <w:widowControl w:val="0"/>
              <w:spacing w:before="0" w:beforeAutospacing="0" w:after="0" w:afterAutospacing="0" w:line="240" w:lineRule="atLeast"/>
              <w:jc w:val="center"/>
              <w:rPr>
                <w:color w:val="000000" w:themeColor="text1"/>
                <w:sz w:val="21"/>
                <w:szCs w:val="21"/>
                <w14:textFill>
                  <w14:solidFill>
                    <w14:schemeClr w14:val="tx1"/>
                  </w14:solidFill>
                </w14:textFill>
              </w:rPr>
            </w:pPr>
            <w:r>
              <w:rPr>
                <w:rFonts w:hint="eastAsia"/>
                <w:b/>
                <w:color w:val="000000" w:themeColor="text1"/>
                <w:kern w:val="2"/>
                <w:sz w:val="21"/>
                <w:szCs w:val="21"/>
                <w:lang w:bidi="ar"/>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43"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59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投标</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报价</w:t>
            </w:r>
          </w:p>
          <w:p>
            <w:pPr>
              <w:spacing w:line="240" w:lineRule="atLeast"/>
              <w:jc w:val="center"/>
              <w:rPr>
                <w:rFonts w:ascii="宋体" w:hAnsi="宋体" w:cs="宋体"/>
                <w:color w:val="000000" w:themeColor="text1"/>
                <w:szCs w:val="21"/>
                <w:lang w:bidi="ar"/>
                <w14:textFill>
                  <w14:solidFill>
                    <w14:schemeClr w14:val="tx1"/>
                  </w14:solidFill>
                </w14:textFill>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报价</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（30分）</w:t>
            </w:r>
          </w:p>
        </w:tc>
        <w:tc>
          <w:tcPr>
            <w:tcW w:w="2951" w:type="pct"/>
            <w:tcBorders>
              <w:top w:val="single" w:color="auto" w:sz="4" w:space="0"/>
              <w:left w:val="single" w:color="auto" w:sz="4" w:space="0"/>
              <w:bottom w:val="single" w:color="auto" w:sz="4" w:space="0"/>
              <w:right w:val="single" w:color="auto" w:sz="4" w:space="0"/>
            </w:tcBorders>
            <w:vAlign w:val="center"/>
          </w:tcPr>
          <w:p>
            <w:pPr>
              <w:spacing w:before="31" w:line="259" w:lineRule="auto"/>
              <w:ind w:right="2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投标报价不得超过最高限价，否则其投标作无效标处理；通过初步评审的投标报价为有效投标报价，参与报价评审。</w:t>
            </w:r>
          </w:p>
          <w:p>
            <w:pPr>
              <w:spacing w:before="92" w:line="24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权重分值：</w:t>
            </w:r>
          </w:p>
          <w:tbl>
            <w:tblPr>
              <w:tblStyle w:val="165"/>
              <w:tblW w:w="43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4"/>
              <w:gridCol w:w="968"/>
              <w:gridCol w:w="1119"/>
              <w:gridCol w:w="870"/>
              <w:gridCol w:w="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524" w:type="dxa"/>
                  <w:tcBorders>
                    <w:bottom w:val="single" w:color="auto" w:sz="4" w:space="0"/>
                  </w:tcBorders>
                  <w:vAlign w:val="center"/>
                </w:tcPr>
                <w:p>
                  <w:pPr>
                    <w:spacing w:line="222"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968" w:type="dxa"/>
                  <w:tcBorders>
                    <w:bottom w:val="single" w:color="auto" w:sz="4" w:space="0"/>
                  </w:tcBorders>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1119" w:type="dxa"/>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870" w:type="dxa"/>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分值</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最高收费标准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4" w:type="dxa"/>
                  <w:vMerge w:val="restart"/>
                  <w:tcBorders>
                    <w:top w:val="single" w:color="auto" w:sz="4" w:space="0"/>
                    <w:left w:val="single" w:color="auto" w:sz="4" w:space="0"/>
                    <w:bottom w:val="single" w:color="auto" w:sz="4" w:space="0"/>
                    <w:right w:val="single" w:color="auto" w:sz="4" w:space="0"/>
                  </w:tcBorders>
                  <w:vAlign w:val="center"/>
                </w:tcPr>
                <w:p>
                  <w:pPr>
                    <w:spacing w:line="266" w:lineRule="auto"/>
                    <w:jc w:val="center"/>
                    <w:rPr>
                      <w:color w:val="000000" w:themeColor="text1"/>
                      <w14:textFill>
                        <w14:solidFill>
                          <w14:schemeClr w14:val="tx1"/>
                        </w14:solidFill>
                      </w14:textFill>
                    </w:rPr>
                  </w:pPr>
                </w:p>
                <w:p>
                  <w:pPr>
                    <w:spacing w:line="267" w:lineRule="auto"/>
                    <w:jc w:val="center"/>
                    <w:rPr>
                      <w:color w:val="000000" w:themeColor="text1"/>
                      <w14:textFill>
                        <w14:solidFill>
                          <w14:schemeClr w14:val="tx1"/>
                        </w14:solidFill>
                      </w14:textFill>
                    </w:rPr>
                  </w:pPr>
                </w:p>
                <w:p>
                  <w:pPr>
                    <w:spacing w:line="186"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pPr>
                    <w:spacing w:line="220" w:lineRule="auto"/>
                    <w:jc w:val="center"/>
                    <w:rPr>
                      <w:color w:val="000000" w:themeColor="text1"/>
                      <w14:textFill>
                        <w14:solidFill>
                          <w14:schemeClr w14:val="tx1"/>
                        </w14:solidFill>
                      </w14:textFill>
                    </w:rPr>
                  </w:pPr>
                  <w:r>
                    <w:rPr>
                      <w:color w:val="000000" w:themeColor="text1"/>
                      <w14:textFill>
                        <w14:solidFill>
                          <w14:schemeClr w14:val="tx1"/>
                        </w14:solidFill>
                      </w14:textFill>
                    </w:rPr>
                    <w:t>自助</w:t>
                  </w:r>
                </w:p>
                <w:p>
                  <w:pPr>
                    <w:spacing w:line="220" w:lineRule="auto"/>
                    <w:jc w:val="center"/>
                    <w:rPr>
                      <w:color w:val="000000" w:themeColor="text1"/>
                      <w14:textFill>
                        <w14:solidFill>
                          <w14:schemeClr w14:val="tx1"/>
                        </w14:solidFill>
                      </w14:textFill>
                    </w:rPr>
                  </w:pPr>
                  <w:r>
                    <w:rPr>
                      <w:color w:val="000000" w:themeColor="text1"/>
                      <w14:textFill>
                        <w14:solidFill>
                          <w14:schemeClr w14:val="tx1"/>
                        </w14:solidFill>
                      </w14:textFill>
                    </w:rPr>
                    <w:t>洗衣机</w:t>
                  </w: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单脱水</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快洗</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标准洗</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大物洗</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烘干机</w:t>
                  </w: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烘干</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洗鞋机</w:t>
                  </w:r>
                </w:p>
              </w:tc>
              <w:tc>
                <w:tcPr>
                  <w:tcW w:w="1119" w:type="dxa"/>
                  <w:tcBorders>
                    <w:left w:val="single" w:color="auto" w:sz="4" w:space="0"/>
                  </w:tcBorders>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洗鞋</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分</w:t>
                  </w:r>
                </w:p>
              </w:tc>
              <w:tc>
                <w:tcPr>
                  <w:tcW w:w="870" w:type="dxa"/>
                  <w:vAlign w:val="center"/>
                </w:tcPr>
                <w:p>
                  <w:pPr>
                    <w:spacing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3.0元/次</w:t>
                  </w:r>
                </w:p>
              </w:tc>
            </w:tr>
          </w:tbl>
          <w:p>
            <w:pPr>
              <w:spacing w:line="33" w:lineRule="exact"/>
              <w:rPr>
                <w:color w:val="000000" w:themeColor="text1"/>
                <w14:textFill>
                  <w14:solidFill>
                    <w14:schemeClr w14:val="tx1"/>
                  </w14:solidFill>
                </w14:textFill>
              </w:rPr>
            </w:pPr>
          </w:p>
          <w:p>
            <w:pPr>
              <w:spacing w:line="240" w:lineRule="atLeast"/>
              <w:rPr>
                <w:color w:val="000000" w:themeColor="text1"/>
                <w14:textFill>
                  <w14:solidFill>
                    <w14:schemeClr w14:val="tx1"/>
                  </w14:solidFill>
                </w14:textFill>
              </w:rPr>
            </w:pPr>
            <w:r>
              <w:rPr>
                <w:color w:val="000000" w:themeColor="text1"/>
                <w14:textFill>
                  <w14:solidFill>
                    <w14:schemeClr w14:val="tx1"/>
                  </w14:solidFill>
                </w14:textFill>
              </w:rPr>
              <w:t>评分规则：投标(收费) 报价高于收费最高限价的将导致投标无效</w:t>
            </w:r>
            <w:r>
              <w:rPr>
                <w:rFonts w:hint="eastAsia"/>
                <w:color w:val="000000" w:themeColor="text1"/>
                <w14:textFill>
                  <w14:solidFill>
                    <w14:schemeClr w14:val="tx1"/>
                  </w14:solidFill>
                </w14:textFill>
              </w:rPr>
              <w:t>。</w:t>
            </w:r>
          </w:p>
          <w:p>
            <w:pPr>
              <w:numPr>
                <w:ilvl w:val="0"/>
                <w:numId w:val="7"/>
              </w:numPr>
              <w:spacing w:line="24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报价等于最高限价得25分；在最高收费标准基础上统一每降0.1元，加</w:t>
            </w:r>
            <w:r>
              <w:rPr>
                <w:rFonts w:ascii="宋体" w:hAnsi="宋体" w:cs="宋体"/>
                <w:color w:val="000000" w:themeColor="text1"/>
                <w:szCs w:val="21"/>
                <w14:textFill>
                  <w14:solidFill>
                    <w14:schemeClr w14:val="tx1"/>
                  </w14:solidFill>
                </w14:textFill>
              </w:rPr>
              <w:t>0.2</w:t>
            </w:r>
            <w:r>
              <w:rPr>
                <w:rFonts w:hint="eastAsia" w:ascii="宋体" w:hAnsi="宋体" w:cs="宋体"/>
                <w:color w:val="000000" w:themeColor="text1"/>
                <w:szCs w:val="21"/>
                <w14:textFill>
                  <w14:solidFill>
                    <w14:schemeClr w14:val="tx1"/>
                  </w14:solidFill>
                </w14:textFill>
              </w:rPr>
              <w:t>分，否则不加分。</w:t>
            </w:r>
          </w:p>
          <w:p>
            <w:pPr>
              <w:pStyle w:val="2"/>
              <w:ind w:firstLine="0" w:firstLineChars="0"/>
              <w:rPr>
                <w:color w:val="000000" w:themeColor="text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(2)</w:t>
            </w:r>
            <w:r>
              <w:rPr>
                <w:rFonts w:hint="eastAsia" w:ascii="Times New Roman" w:hAnsi="Times New Roman" w:cs="Times New Roman"/>
                <w:color w:val="000000" w:themeColor="text1"/>
                <w:sz w:val="22"/>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每项最高降价不得高于0.5元，高出部分不加分。</w:t>
            </w:r>
          </w:p>
        </w:tc>
        <w:tc>
          <w:tcPr>
            <w:tcW w:w="607" w:type="pct"/>
            <w:tcBorders>
              <w:top w:val="single" w:color="auto" w:sz="4" w:space="0"/>
              <w:left w:val="single" w:color="auto" w:sz="4" w:space="0"/>
              <w:bottom w:val="single" w:color="auto" w:sz="4" w:space="0"/>
              <w:right w:val="single" w:color="auto" w:sz="4" w:space="0"/>
            </w:tcBorders>
            <w:vAlign w:val="center"/>
          </w:tcPr>
          <w:p>
            <w:pPr>
              <w:ind w:left="-3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计算结果保留小数点后两位，第三位四舍五入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43"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p>
        </w:tc>
        <w:tc>
          <w:tcPr>
            <w:tcW w:w="595"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服务</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部分</w:t>
            </w:r>
          </w:p>
          <w:p>
            <w:pPr>
              <w:spacing w:line="240" w:lineRule="atLeast"/>
              <w:jc w:val="center"/>
              <w:rPr>
                <w:rFonts w:ascii="宋体" w:hAnsi="宋体" w:cs="宋体"/>
                <w:color w:val="000000" w:themeColor="text1"/>
                <w:szCs w:val="21"/>
                <w:lang w:bidi="ar"/>
                <w14:textFill>
                  <w14:solidFill>
                    <w14:schemeClr w14:val="tx1"/>
                  </w14:solidFill>
                </w14:textFill>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设备要求（30分）</w:t>
            </w:r>
          </w:p>
        </w:tc>
        <w:tc>
          <w:tcPr>
            <w:tcW w:w="295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1.拟投放全部洗衣机采用国内知名品牌，并通过国家或3C强制认证或CQC认证得1分；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2.主投洗衣机洗涤容量：自助洗衣机≥8KG，每增加0.5公斤加1分，最高得2分；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3.为满足学生洗涤大物（如被套、床单等）的需求，根据公寓实际情况投放与主投洗衣机同品牌的大容量商用洗衣设备，在满足8KG的基础上每增加1KG加1分，最高得5分；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4.主投洗衣机能效等级为一级的得2分，二级得1分，低于二级不得分，须提供洗衣机能效检测报告原件的复印件，否则不得分；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5.主投洗衣机拥有中国家用电器检测所出具的除菌率≥99.99％的报告，检验依据GB21551.5-2010《家用和类似用途电器的抗菌、除菌、净化功能洗衣机的特殊要求》得2分；不满足不得分；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6.主投洗衣机须提供安全性试验报告得2分，否则不得分；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7.主投放洗衣机无故障运行周期≥10000次，得1分；无故障运行周期≥15000次，得2分，需提供佐证材料。无有效佐证材料不得分；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8.所投洗衣机具有产品责任险保险的，得1分。需提供佐证材料。无有效佐证材料不得分；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9.投标人所使用的自助洗衣软件系统，取得计算机软件著作权登记证书，每有1个得1分，最高不超过4分，需提供相关证明材料，否则不得分；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10.所投洗衣机具有桶自洁功能、查找空闲设备和洗涤结束通知功能，并提供相应功能截图，每有1项得1分，共计3分；</w:t>
            </w:r>
          </w:p>
          <w:p>
            <w:pPr>
              <w:spacing w:line="240" w:lineRule="exac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11.所投洗衣机设备启动失败时，可在线处理退款，并提供相应功能截图，得2分；否则不得分；</w:t>
            </w:r>
          </w:p>
          <w:p>
            <w:pPr>
              <w:pStyle w:val="2"/>
              <w:spacing w:line="240" w:lineRule="exact"/>
              <w:ind w:firstLine="0" w:firstLineChars="0"/>
              <w:rPr>
                <w:rFonts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12.为保障洗衣房安全，所投放洗衣机具备《强制燃烧试验报告》得2分；</w:t>
            </w:r>
          </w:p>
          <w:p>
            <w:pPr>
              <w:spacing w:line="240" w:lineRule="atLeast"/>
              <w:rPr>
                <w:rFonts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13.投标单位提供洗衣机生产厂家针对本项目的品牌授权证明；或者投标单位承诺中标后提供洗衣机生产厂家针对本项目品牌授权，提供的得2分，没有不得分（原件备查）。</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以上1-12项投标单位须在投标文件中提供投标产品的彩页或第三方检测报告复印件或产品生产厂家出具的技术参数说明等证明材料作为佐证，以上材料均需加盖投标人公章，不提供或评标委员会无法凭所提供资料判断是否得分的情况，作不得分处理。</w:t>
            </w:r>
          </w:p>
        </w:tc>
        <w:tc>
          <w:tcPr>
            <w:tcW w:w="60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43" w:type="pct"/>
            <w:vMerge w:val="continue"/>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595" w:type="pct"/>
            <w:vMerge w:val="continue"/>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600"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项目方案（12</w:t>
            </w:r>
            <w:r>
              <w:rPr>
                <w:rFonts w:hint="eastAsia" w:ascii="宋体" w:hAnsi="宋体" w:cs="宋体"/>
                <w:color w:val="000000" w:themeColor="text1"/>
                <w:szCs w:val="21"/>
                <w:lang w:bidi="ar"/>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w:t>
            </w:r>
          </w:p>
        </w:tc>
        <w:tc>
          <w:tcPr>
            <w:tcW w:w="295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运营服务方案（5分）：针对本项目的实际情况和特点，提供运营服务方案，具有人员安排、维护保养、避免交叉感染、卫生打扫、消毒处理、投诉处理、故障响应及处理、售后等服务方案，方案完善全面得4-5分；方案可行得2-4分；方案较差、不完善或不提供得0-2分。</w:t>
            </w:r>
          </w:p>
        </w:tc>
        <w:tc>
          <w:tcPr>
            <w:tcW w:w="60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43" w:type="pct"/>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595" w:type="pct"/>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600" w:type="pct"/>
            <w:vMerge w:val="continue"/>
            <w:tcBorders>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14:textFill>
                  <w14:solidFill>
                    <w14:schemeClr w14:val="tx1"/>
                  </w14:solidFill>
                </w14:textFill>
              </w:rPr>
            </w:pPr>
          </w:p>
        </w:tc>
        <w:tc>
          <w:tcPr>
            <w:tcW w:w="2951" w:type="pct"/>
            <w:tcBorders>
              <w:top w:val="single" w:color="auto" w:sz="4" w:space="0"/>
              <w:left w:val="single" w:color="auto" w:sz="4" w:space="0"/>
              <w:bottom w:val="single" w:color="auto" w:sz="4" w:space="0"/>
              <w:right w:val="single" w:color="auto" w:sz="4" w:space="0"/>
            </w:tcBorders>
            <w:vAlign w:val="center"/>
          </w:tcPr>
          <w:p>
            <w:pPr>
              <w:numPr>
                <w:ilvl w:val="0"/>
                <w:numId w:val="8"/>
              </w:num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施工建设方案（7分）：针对本项目的实际情况和特点，提供整体施工建设方案（设备布置实施方案、工程进度计划方案、安全文明施工方案、安装调试方案、装修改造方案） 根据供应商对本项目建设方案的完整性、合理性、安全性、科学性进行综合打分，方案科学、完善全面得5-7分；方案可行得3-5分；方案一般、逻辑混乱或不提供得1-3分。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注：装修改造方案需提供与学校实际场地相符的效果图、施工方案及设备清单。</w:t>
            </w:r>
          </w:p>
        </w:tc>
        <w:tc>
          <w:tcPr>
            <w:tcW w:w="60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43"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w:t>
            </w:r>
          </w:p>
        </w:tc>
        <w:tc>
          <w:tcPr>
            <w:tcW w:w="5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商务</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部分</w:t>
            </w: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资质信誉</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（8分）</w:t>
            </w:r>
          </w:p>
        </w:tc>
        <w:tc>
          <w:tcPr>
            <w:tcW w:w="295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1.投标人通过ISO9001质量管理体系认证并且认证范围符合本招标洗衣项目范围得2分，否则不得分。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2.投标人通过ISO14001环境管理体系认证并且认证范围符合本招标洗衣项目范围得2分，否则不得分。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3.投标人通过ISO45001职业健康安全管理体系认证并且认证范围符合本招标洗衣项目范围得2分，否则不得分。</w:t>
            </w:r>
          </w:p>
          <w:p>
            <w:pPr>
              <w:spacing w:line="240" w:lineRule="atLeas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 投标单位或制造商具有五星售后服务认证证书及售后服务管理证书得2分，否则不得分。</w:t>
            </w:r>
          </w:p>
        </w:tc>
        <w:tc>
          <w:tcPr>
            <w:tcW w:w="60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以上4项证明材料提供复印件加盖公章，开标现场均提供原件，不提供原件不得分。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43" w:type="pct"/>
            <w:vMerge w:val="continue"/>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企业业绩（10分）</w:t>
            </w:r>
          </w:p>
        </w:tc>
        <w:tc>
          <w:tcPr>
            <w:tcW w:w="2951" w:type="pct"/>
            <w:vAlign w:val="center"/>
          </w:tcPr>
          <w:p>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2018年1月1日至今，投标单位具有类似经营服务项目业绩，且洗衣机台数在50台以上，每提供1份业绩合同得1分，满分10分。不满足不得分。提供合同复印件，原件带至现场备查。</w:t>
            </w:r>
          </w:p>
          <w:p>
            <w:pPr>
              <w:pStyle w:val="24"/>
              <w:rPr>
                <w:color w:val="000000" w:themeColor="text1"/>
                <w14:textFill>
                  <w14:solidFill>
                    <w14:schemeClr w14:val="tx1"/>
                  </w14:solidFill>
                </w14:textFill>
              </w:rPr>
            </w:pPr>
            <w:r>
              <w:rPr>
                <w:rFonts w:hint="eastAsia"/>
                <w:b/>
                <w:bCs/>
                <w:color w:val="000000" w:themeColor="text1"/>
                <w14:textFill>
                  <w14:solidFill>
                    <w14:schemeClr w14:val="tx1"/>
                  </w14:solidFill>
                </w14:textFill>
              </w:rPr>
              <w:t>注：每份业绩必须提供投标人盖章的合同复印件和被服务单位出具的设备数量证明（被服务单位盖章，材料缺项不得分）；同一个服务单位视为一份业绩，且以上业绩不得重复计分。</w:t>
            </w:r>
          </w:p>
        </w:tc>
        <w:tc>
          <w:tcPr>
            <w:tcW w:w="607" w:type="pct"/>
            <w:vAlign w:val="center"/>
          </w:tcPr>
          <w:p>
            <w:pPr>
              <w:spacing w:line="240" w:lineRule="atLeast"/>
              <w:ind w:left="-38"/>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开标现场查验合同原件，不提供原件不得分。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3" w:type="pct"/>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9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现场</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答辩</w:t>
            </w: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答辩</w:t>
            </w:r>
          </w:p>
          <w:p>
            <w:pPr>
              <w:spacing w:line="240" w:lineRule="atLeast"/>
              <w:jc w:val="center"/>
              <w:rPr>
                <w:color w:val="000000" w:themeColor="text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（5分）</w:t>
            </w:r>
          </w:p>
        </w:tc>
        <w:tc>
          <w:tcPr>
            <w:tcW w:w="2951" w:type="pc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1.答辩：投标单位项目负责人针对评委提出的问题进行答辩。评委根据其阐述思路是否清晰、语言是否简练、表达是否流畅等进行评分。优：4-5分；良：3-4分；一般：2-3分。</w:t>
            </w:r>
          </w:p>
          <w:p>
            <w:pPr>
              <w:rPr>
                <w:rFonts w:ascii="宋体" w:hAnsi="宋体" w:cs="宋体"/>
                <w:color w:val="000000" w:themeColor="text1"/>
                <w:szCs w:val="21"/>
                <w:lang w:bidi="ar"/>
                <w14:textFill>
                  <w14:solidFill>
                    <w14:schemeClr w14:val="tx1"/>
                  </w14:solidFill>
                </w14:textFill>
              </w:rPr>
            </w:pPr>
            <w:r>
              <w:rPr>
                <w:rFonts w:hint="eastAsia"/>
                <w:color w:val="000000" w:themeColor="text1"/>
                <w14:textFill>
                  <w14:solidFill>
                    <w14:schemeClr w14:val="tx1"/>
                  </w14:solidFill>
                </w14:textFill>
              </w:rPr>
              <w:t>2.投标单位项目负责人携带委托书、居民身份证供评委审验。</w:t>
            </w:r>
          </w:p>
        </w:tc>
        <w:tc>
          <w:tcPr>
            <w:tcW w:w="607" w:type="pct"/>
            <w:vAlign w:val="center"/>
          </w:tcPr>
          <w:p>
            <w:pPr>
              <w:spacing w:line="240" w:lineRule="atLeast"/>
              <w:ind w:left="-38"/>
              <w:rPr>
                <w:color w:val="000000" w:themeColor="text1"/>
                <w14:textFill>
                  <w14:solidFill>
                    <w14:schemeClr w14:val="tx1"/>
                  </w14:solidFill>
                </w14:textFill>
              </w:rPr>
            </w:pPr>
          </w:p>
          <w:p>
            <w:pPr>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43" w:type="pct"/>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9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服务承诺</w:t>
            </w: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承诺</w:t>
            </w:r>
          </w:p>
          <w:p>
            <w:pPr>
              <w:spacing w:line="240" w:lineRule="atLeast"/>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（5分）</w:t>
            </w:r>
          </w:p>
        </w:tc>
        <w:tc>
          <w:tcPr>
            <w:tcW w:w="2951" w:type="pct"/>
            <w:vAlign w:val="center"/>
          </w:tcPr>
          <w:p>
            <w:pPr>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投标人根据本项目的实际情况提出增值服务方案，方案内容包括但不限于优化管理、优惠学生、安全保障、活动赞助等方面的增值服务，评委根据企业服务承诺进行综合评审打分，打分区间1-5分。</w:t>
            </w:r>
          </w:p>
        </w:tc>
        <w:tc>
          <w:tcPr>
            <w:tcW w:w="607" w:type="pct"/>
            <w:vAlign w:val="center"/>
          </w:tcPr>
          <w:p>
            <w:pPr>
              <w:jc w:val="left"/>
              <w:rPr>
                <w:color w:val="000000" w:themeColor="text1"/>
                <w14:textFill>
                  <w14:solidFill>
                    <w14:schemeClr w14:val="tx1"/>
                  </w14:solidFill>
                </w14:textFill>
              </w:rPr>
            </w:pPr>
          </w:p>
        </w:tc>
      </w:tr>
    </w:tbl>
    <w:p>
      <w:pPr>
        <w:pStyle w:val="105"/>
        <w:spacing w:line="400" w:lineRule="exact"/>
        <w:ind w:firstLine="482" w:firstLineChars="200"/>
        <w:rPr>
          <w:rFonts w:ascii="宋体" w:hAnsi="宋体" w:eastAsia="宋体" w:cs="宋体"/>
          <w:b/>
          <w:bCs/>
          <w:color w:val="000000" w:themeColor="text1"/>
          <w14:textFill>
            <w14:solidFill>
              <w14:schemeClr w14:val="tx1"/>
            </w14:solidFill>
          </w14:textFill>
        </w:rPr>
        <w:sectPr>
          <w:pgSz w:w="11911" w:h="16838"/>
          <w:pgMar w:top="1587" w:right="1587" w:bottom="1587" w:left="1587" w:header="720" w:footer="720" w:gutter="0"/>
          <w:cols w:space="0" w:num="1"/>
          <w:docGrid w:linePitch="290" w:charSpace="0"/>
        </w:sectPr>
      </w:pPr>
      <w:r>
        <w:rPr>
          <w:rFonts w:hint="eastAsia" w:ascii="宋体" w:hAnsi="宋体" w:eastAsia="宋体" w:cs="宋体"/>
          <w:b/>
          <w:bCs/>
          <w:color w:val="000000" w:themeColor="text1"/>
          <w14:textFill>
            <w14:solidFill>
              <w14:schemeClr w14:val="tx1"/>
            </w14:solidFill>
          </w14:textFill>
        </w:rPr>
        <w:t>注：以上评分，凡涉及评分范围的，均不含下限得分，精确到小数点后1位。</w:t>
      </w:r>
    </w:p>
    <w:p>
      <w:pPr>
        <w:pStyle w:val="105"/>
        <w:spacing w:line="400" w:lineRule="exact"/>
        <w:ind w:firstLineChars="200"/>
        <w:rPr>
          <w:rFonts w:ascii="宋体" w:hAnsi="宋体" w:eastAsia="宋体" w:cs="宋体"/>
          <w:color w:val="000000" w:themeColor="text1"/>
          <w14:textFill>
            <w14:solidFill>
              <w14:schemeClr w14:val="tx1"/>
            </w14:solidFill>
          </w14:textFill>
        </w:rPr>
      </w:pPr>
    </w:p>
    <w:p>
      <w:pPr>
        <w:pStyle w:val="105"/>
        <w:spacing w:line="400" w:lineRule="exact"/>
        <w:ind w:firstLineChars="200"/>
        <w:rPr>
          <w:rFonts w:ascii="宋体" w:hAnsi="宋体" w:eastAsia="宋体" w:cs="宋体"/>
          <w:color w:val="000000" w:themeColor="text1"/>
          <w14:textFill>
            <w14:solidFill>
              <w14:schemeClr w14:val="tx1"/>
            </w14:solidFill>
          </w14:textFill>
        </w:rPr>
      </w:pPr>
    </w:p>
    <w:p>
      <w:pPr>
        <w:pStyle w:val="8"/>
        <w:rPr>
          <w:rFonts w:ascii="宋体" w:hAnsi="宋体" w:eastAsia="宋体" w:cs="宋体"/>
          <w:bCs/>
          <w:color w:val="000000" w:themeColor="text1"/>
          <w:szCs w:val="44"/>
          <w14:textFill>
            <w14:solidFill>
              <w14:schemeClr w14:val="tx1"/>
            </w14:solidFill>
          </w14:textFill>
        </w:rPr>
      </w:pPr>
      <w:r>
        <w:rPr>
          <w:rFonts w:hint="eastAsia" w:ascii="宋体" w:hAnsi="宋体" w:eastAsia="宋体" w:cs="宋体"/>
          <w:bCs/>
          <w:color w:val="000000" w:themeColor="text1"/>
          <w:szCs w:val="44"/>
          <w14:textFill>
            <w14:solidFill>
              <w14:schemeClr w14:val="tx1"/>
            </w14:solidFill>
          </w14:textFill>
        </w:rPr>
        <w:t xml:space="preserve">   </w:t>
      </w:r>
      <w:bookmarkStart w:id="169" w:name="_Toc17729"/>
      <w:r>
        <w:rPr>
          <w:rFonts w:hint="eastAsia" w:ascii="宋体" w:hAnsi="宋体" w:eastAsia="宋体" w:cs="宋体"/>
          <w:bCs/>
          <w:color w:val="000000" w:themeColor="text1"/>
          <w:szCs w:val="44"/>
          <w14:textFill>
            <w14:solidFill>
              <w14:schemeClr w14:val="tx1"/>
            </w14:solidFill>
          </w14:textFill>
        </w:rPr>
        <w:t>第六章  竞争性磋商响应文件格式</w:t>
      </w:r>
      <w:bookmarkEnd w:id="169"/>
    </w:p>
    <w:p>
      <w:pPr>
        <w:jc w:val="center"/>
        <w:rPr>
          <w:rFonts w:ascii="宋体" w:hAnsi="宋体" w:cs="宋体"/>
          <w:b/>
          <w:color w:val="000000" w:themeColor="text1"/>
          <w:sz w:val="72"/>
          <w:szCs w:val="21"/>
          <w14:textFill>
            <w14:solidFill>
              <w14:schemeClr w14:val="tx1"/>
            </w14:solidFill>
          </w14:textFill>
        </w:rPr>
      </w:pPr>
    </w:p>
    <w:p>
      <w:pPr>
        <w:jc w:val="center"/>
        <w:rPr>
          <w:rFonts w:ascii="宋体" w:hAnsi="宋体" w:cs="宋体"/>
          <w:b/>
          <w:color w:val="000000" w:themeColor="text1"/>
          <w:sz w:val="72"/>
          <w:szCs w:val="21"/>
          <w14:textFill>
            <w14:solidFill>
              <w14:schemeClr w14:val="tx1"/>
            </w14:solidFill>
          </w14:textFill>
        </w:rPr>
      </w:pPr>
      <w:r>
        <w:rPr>
          <w:rFonts w:hint="eastAsia" w:ascii="宋体" w:hAnsi="宋体" w:cs="宋体"/>
          <w:b/>
          <w:color w:val="000000" w:themeColor="text1"/>
          <w:sz w:val="72"/>
          <w:szCs w:val="21"/>
          <w14:textFill>
            <w14:solidFill>
              <w14:schemeClr w14:val="tx1"/>
            </w14:solidFill>
          </w14:textFill>
        </w:rPr>
        <w:t xml:space="preserve"> 竞争性磋商响应文件</w:t>
      </w:r>
    </w:p>
    <w:p>
      <w:pPr>
        <w:pStyle w:val="105"/>
        <w:ind w:firstLine="0"/>
        <w:jc w:val="center"/>
        <w:rPr>
          <w:rFonts w:ascii="宋体" w:hAnsi="宋体" w:eastAsia="宋体" w:cs="宋体"/>
          <w:b/>
          <w:bCs/>
          <w:color w:val="000000" w:themeColor="text1"/>
          <w:sz w:val="32"/>
          <w14:textFill>
            <w14:solidFill>
              <w14:schemeClr w14:val="tx1"/>
            </w14:solidFill>
          </w14:textFill>
        </w:rPr>
      </w:pPr>
    </w:p>
    <w:p>
      <w:pPr>
        <w:ind w:firstLine="1084" w:firstLineChars="300"/>
        <w:rPr>
          <w:rFonts w:ascii="宋体" w:hAnsi="宋体" w:cs="宋体"/>
          <w:b/>
          <w:color w:val="000000" w:themeColor="text1"/>
          <w:sz w:val="36"/>
          <w:szCs w:val="21"/>
          <w14:textFill>
            <w14:solidFill>
              <w14:schemeClr w14:val="tx1"/>
            </w14:solidFill>
          </w14:textFill>
        </w:rPr>
      </w:pPr>
      <w:r>
        <w:rPr>
          <w:rFonts w:hint="eastAsia" w:ascii="宋体" w:hAnsi="宋体" w:cs="宋体"/>
          <w:b/>
          <w:color w:val="000000" w:themeColor="text1"/>
          <w:sz w:val="36"/>
          <w:szCs w:val="21"/>
          <w14:textFill>
            <w14:solidFill>
              <w14:schemeClr w14:val="tx1"/>
            </w14:solidFill>
          </w14:textFill>
        </w:rPr>
        <w:t xml:space="preserve">              （正或副本）</w:t>
      </w:r>
    </w:p>
    <w:p>
      <w:pPr>
        <w:ind w:firstLine="1084" w:firstLineChars="300"/>
        <w:rPr>
          <w:rFonts w:ascii="宋体" w:hAnsi="宋体" w:cs="宋体"/>
          <w:b/>
          <w:color w:val="000000" w:themeColor="text1"/>
          <w:sz w:val="36"/>
          <w:szCs w:val="21"/>
          <w14:textFill>
            <w14:solidFill>
              <w14:schemeClr w14:val="tx1"/>
            </w14:solidFill>
          </w14:textFill>
        </w:rPr>
      </w:pPr>
    </w:p>
    <w:p>
      <w:pPr>
        <w:ind w:firstLine="1084" w:firstLineChars="300"/>
        <w:rPr>
          <w:rFonts w:ascii="宋体" w:hAnsi="宋体" w:cs="宋体"/>
          <w:b/>
          <w:color w:val="000000" w:themeColor="text1"/>
          <w:sz w:val="36"/>
          <w:szCs w:val="21"/>
          <w14:textFill>
            <w14:solidFill>
              <w14:schemeClr w14:val="tx1"/>
            </w14:solidFill>
          </w14:textFill>
        </w:rPr>
      </w:pPr>
    </w:p>
    <w:p>
      <w:pPr>
        <w:ind w:firstLine="1084" w:firstLineChars="300"/>
        <w:outlineLvl w:val="0"/>
        <w:rPr>
          <w:rStyle w:val="161"/>
          <w:rFonts w:ascii="宋体" w:hAnsi="宋体" w:cs="宋体"/>
          <w:b/>
          <w:color w:val="000000" w:themeColor="text1"/>
          <w:sz w:val="36"/>
          <w14:textFill>
            <w14:solidFill>
              <w14:schemeClr w14:val="tx1"/>
            </w14:solidFill>
          </w14:textFill>
        </w:rPr>
      </w:pPr>
      <w:bookmarkStart w:id="170" w:name="_Toc30732"/>
      <w:bookmarkStart w:id="171" w:name="_Toc8567"/>
      <w:r>
        <w:rPr>
          <w:rStyle w:val="161"/>
          <w:rFonts w:hint="eastAsia" w:ascii="宋体" w:hAnsi="宋体" w:cs="宋体"/>
          <w:b/>
          <w:color w:val="000000" w:themeColor="text1"/>
          <w:sz w:val="36"/>
          <w14:textFill>
            <w14:solidFill>
              <w14:schemeClr w14:val="tx1"/>
            </w14:solidFill>
          </w14:textFill>
        </w:rPr>
        <w:t>项 目 名 称：</w:t>
      </w:r>
      <w:bookmarkEnd w:id="170"/>
      <w:bookmarkEnd w:id="171"/>
    </w:p>
    <w:p>
      <w:pPr>
        <w:ind w:firstLine="1084" w:firstLineChars="300"/>
        <w:outlineLvl w:val="0"/>
        <w:rPr>
          <w:rStyle w:val="161"/>
          <w:rFonts w:ascii="宋体" w:hAnsi="宋体" w:cs="宋体"/>
          <w:b/>
          <w:color w:val="000000" w:themeColor="text1"/>
          <w:sz w:val="36"/>
          <w:u w:val="single" w:color="000000"/>
          <w14:textFill>
            <w14:solidFill>
              <w14:schemeClr w14:val="tx1"/>
            </w14:solidFill>
          </w14:textFill>
        </w:rPr>
      </w:pPr>
      <w:bookmarkStart w:id="172" w:name="_Toc20815"/>
      <w:bookmarkStart w:id="173" w:name="_Toc1897"/>
      <w:r>
        <w:rPr>
          <w:rStyle w:val="161"/>
          <w:rFonts w:hint="eastAsia" w:ascii="宋体" w:hAnsi="宋体" w:cs="宋体"/>
          <w:b/>
          <w:color w:val="000000" w:themeColor="text1"/>
          <w:sz w:val="36"/>
          <w14:textFill>
            <w14:solidFill>
              <w14:schemeClr w14:val="tx1"/>
            </w14:solidFill>
          </w14:textFill>
        </w:rPr>
        <w:t>招 标 编 号：</w:t>
      </w:r>
      <w:bookmarkEnd w:id="172"/>
      <w:bookmarkEnd w:id="173"/>
    </w:p>
    <w:p>
      <w:pPr>
        <w:ind w:firstLine="1084" w:firstLineChars="300"/>
        <w:outlineLvl w:val="0"/>
        <w:rPr>
          <w:rStyle w:val="161"/>
          <w:rFonts w:ascii="宋体" w:hAnsi="宋体" w:cs="宋体"/>
          <w:b/>
          <w:color w:val="000000" w:themeColor="text1"/>
          <w:sz w:val="36"/>
          <w:u w:val="single" w:color="000000"/>
          <w14:textFill>
            <w14:solidFill>
              <w14:schemeClr w14:val="tx1"/>
            </w14:solidFill>
          </w14:textFill>
        </w:rPr>
      </w:pPr>
      <w:bookmarkStart w:id="174" w:name="_Toc15597"/>
      <w:bookmarkStart w:id="175" w:name="_Toc27780"/>
      <w:r>
        <w:rPr>
          <w:rStyle w:val="161"/>
          <w:rFonts w:hint="eastAsia" w:ascii="宋体" w:hAnsi="宋体" w:cs="宋体"/>
          <w:b/>
          <w:color w:val="000000" w:themeColor="text1"/>
          <w:sz w:val="36"/>
          <w14:textFill>
            <w14:solidFill>
              <w14:schemeClr w14:val="tx1"/>
            </w14:solidFill>
          </w14:textFill>
        </w:rPr>
        <w:t>投标人名称 ：</w:t>
      </w:r>
      <w:bookmarkEnd w:id="174"/>
      <w:bookmarkEnd w:id="175"/>
    </w:p>
    <w:p>
      <w:pPr>
        <w:ind w:firstLine="1084" w:firstLineChars="300"/>
        <w:rPr>
          <w:rFonts w:ascii="宋体" w:hAnsi="宋体" w:cs="宋体"/>
          <w:b/>
          <w:color w:val="000000" w:themeColor="text1"/>
          <w:sz w:val="36"/>
          <w14:textFill>
            <w14:solidFill>
              <w14:schemeClr w14:val="tx1"/>
            </w14:solidFill>
          </w14:textFill>
        </w:rPr>
      </w:pPr>
      <w:bookmarkStart w:id="176" w:name="_Toc26387"/>
      <w:r>
        <w:rPr>
          <w:rStyle w:val="161"/>
          <w:rFonts w:hint="eastAsia" w:ascii="宋体" w:hAnsi="宋体" w:cs="宋体"/>
          <w:b/>
          <w:color w:val="000000" w:themeColor="text1"/>
          <w:sz w:val="36"/>
          <w14:textFill>
            <w14:solidFill>
              <w14:schemeClr w14:val="tx1"/>
            </w14:solidFill>
          </w14:textFill>
        </w:rPr>
        <w:t>日      期 ：</w:t>
      </w:r>
      <w:bookmarkEnd w:id="176"/>
    </w:p>
    <w:p>
      <w:pPr>
        <w:pStyle w:val="105"/>
        <w:ind w:firstLine="2464" w:firstLineChars="770"/>
        <w:rPr>
          <w:rFonts w:ascii="宋体" w:hAnsi="宋体" w:eastAsia="宋体" w:cs="宋体"/>
          <w:bCs/>
          <w:color w:val="000000" w:themeColor="text1"/>
          <w:sz w:val="32"/>
          <w:szCs w:val="32"/>
          <w14:textFill>
            <w14:solidFill>
              <w14:schemeClr w14:val="tx1"/>
            </w14:solidFill>
          </w14:textFill>
        </w:rPr>
      </w:pPr>
    </w:p>
    <w:p>
      <w:pPr>
        <w:pStyle w:val="105"/>
        <w:spacing w:before="0" w:after="0"/>
        <w:ind w:firstLine="0"/>
        <w:rPr>
          <w:rFonts w:ascii="宋体" w:hAnsi="宋体" w:eastAsia="宋体" w:cs="宋体"/>
          <w:color w:val="000000" w:themeColor="text1"/>
          <w:kern w:val="0"/>
          <w14:textFill>
            <w14:solidFill>
              <w14:schemeClr w14:val="tx1"/>
            </w14:solidFill>
          </w14:textFill>
        </w:rPr>
      </w:pPr>
    </w:p>
    <w:p>
      <w:pPr>
        <w:pStyle w:val="105"/>
        <w:spacing w:before="0" w:after="0"/>
        <w:ind w:firstLine="0"/>
        <w:rPr>
          <w:rFonts w:ascii="宋体" w:hAnsi="宋体" w:eastAsia="宋体" w:cs="宋体"/>
          <w:color w:val="000000" w:themeColor="text1"/>
          <w14:textFill>
            <w14:solidFill>
              <w14:schemeClr w14:val="tx1"/>
            </w14:solidFill>
          </w14:textFill>
        </w:rPr>
      </w:pPr>
    </w:p>
    <w:p>
      <w:pPr>
        <w:pStyle w:val="105"/>
        <w:spacing w:before="0" w:after="0"/>
        <w:ind w:firstLine="0"/>
        <w:rPr>
          <w:rFonts w:ascii="宋体" w:hAnsi="宋体" w:eastAsia="宋体" w:cs="宋体"/>
          <w:color w:val="000000" w:themeColor="text1"/>
          <w14:textFill>
            <w14:solidFill>
              <w14:schemeClr w14:val="tx1"/>
            </w14:solidFill>
          </w14:textFill>
        </w:rPr>
      </w:pPr>
    </w:p>
    <w:p>
      <w:pPr>
        <w:pStyle w:val="105"/>
        <w:spacing w:before="0" w:after="0"/>
        <w:ind w:firstLine="0"/>
        <w:rPr>
          <w:rFonts w:ascii="宋体" w:hAnsi="宋体" w:eastAsia="宋体" w:cs="宋体"/>
          <w:color w:val="000000" w:themeColor="text1"/>
          <w14:textFill>
            <w14:solidFill>
              <w14:schemeClr w14:val="tx1"/>
            </w14:solidFill>
          </w14:textFill>
        </w:rPr>
      </w:pPr>
    </w:p>
    <w:p>
      <w:pPr>
        <w:pStyle w:val="105"/>
        <w:spacing w:before="0" w:after="0"/>
        <w:ind w:firstLine="0"/>
        <w:rPr>
          <w:rFonts w:ascii="宋体" w:hAnsi="宋体" w:eastAsia="宋体" w:cs="宋体"/>
          <w:color w:val="000000" w:themeColor="text1"/>
          <w14:textFill>
            <w14:solidFill>
              <w14:schemeClr w14:val="tx1"/>
            </w14:solidFill>
          </w14:textFill>
        </w:rPr>
      </w:pPr>
    </w:p>
    <w:p>
      <w:pPr>
        <w:pStyle w:val="105"/>
        <w:spacing w:before="0" w:after="0"/>
        <w:ind w:firstLine="0"/>
        <w:rPr>
          <w:rFonts w:ascii="宋体" w:hAnsi="宋体" w:eastAsia="宋体" w:cs="宋体"/>
          <w:color w:val="000000" w:themeColor="text1"/>
          <w14:textFill>
            <w14:solidFill>
              <w14:schemeClr w14:val="tx1"/>
            </w14:solidFill>
          </w14:textFill>
        </w:rPr>
      </w:pPr>
    </w:p>
    <w:p>
      <w:pPr>
        <w:pStyle w:val="26"/>
        <w:spacing w:line="360" w:lineRule="auto"/>
        <w:jc w:val="center"/>
        <w:rPr>
          <w:rFonts w:ascii="宋体" w:hAnsi="宋体" w:cs="宋体"/>
          <w:color w:val="000000" w:themeColor="text1"/>
          <w:sz w:val="32"/>
          <w14:textFill>
            <w14:solidFill>
              <w14:schemeClr w14:val="tx1"/>
            </w14:solidFill>
          </w14:textFill>
        </w:rPr>
      </w:pPr>
    </w:p>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评分索引表</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center"/>
              <w:rPr>
                <w:rFonts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评分项目</w:t>
            </w:r>
          </w:p>
        </w:tc>
        <w:tc>
          <w:tcPr>
            <w:tcW w:w="357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color w:val="000000" w:themeColor="text1"/>
                <w:kern w:val="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b/>
                <w:bCs/>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b/>
                <w:bCs/>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0" w:firstLine="480" w:firstLineChars="200"/>
              <w:rPr>
                <w:rFonts w:ascii="宋体" w:hAnsi="宋体" w:eastAsia="宋体" w:cs="宋体"/>
                <w:color w:val="000000" w:themeColor="text1"/>
                <w:szCs w:val="2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0" w:firstLine="480" w:firstLineChars="20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投标主要文件目录</w:t>
      </w: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w:t>
      </w:r>
    </w:p>
    <w:p>
      <w:pPr>
        <w:spacing w:line="7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四、磋商响应函</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五、开标一览表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六、项目负责人及服务团队人员一览表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七、技术方案、服务承诺等</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八、盐城市政府采购事前信用承诺书</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九、招标文件及评标办法中要求提供的其他材料</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十、盐城工业职业技术学院学生公寓洗衣机服务BOT节能项目磋商多轮报价表（详见文件最后页格式，盖单位章单独带过来用于多轮报价，</w:t>
      </w:r>
      <w:r>
        <w:rPr>
          <w:rFonts w:hint="eastAsia" w:ascii="宋体" w:hAnsi="宋体" w:cs="宋体"/>
          <w:b/>
          <w:color w:val="000000" w:themeColor="text1"/>
          <w:sz w:val="24"/>
          <w14:textFill>
            <w14:solidFill>
              <w14:schemeClr w14:val="tx1"/>
            </w14:solidFill>
          </w14:textFill>
        </w:rPr>
        <w:t>一式四份，无需封装，未签字盖章的报价材料按无效报价处理)</w:t>
      </w: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一、资信证明文件</w:t>
      </w:r>
    </w:p>
    <w:p>
      <w:pPr>
        <w:snapToGrid w:val="0"/>
        <w:spacing w:before="50" w:after="50" w:line="500" w:lineRule="exact"/>
        <w:rPr>
          <w:rFonts w:ascii="宋体" w:hAnsi="宋体" w:cs="宋体"/>
          <w:color w:val="000000" w:themeColor="text1"/>
          <w:sz w:val="24"/>
          <w:szCs w:val="20"/>
          <w14:textFill>
            <w14:solidFill>
              <w14:schemeClr w14:val="tx1"/>
            </w14:solidFill>
          </w14:textFill>
        </w:rPr>
      </w:pPr>
      <w:bookmarkStart w:id="177" w:name="_Hlt26955041"/>
      <w:bookmarkEnd w:id="177"/>
      <w:bookmarkStart w:id="178" w:name="_Toc22356583"/>
      <w:bookmarkStart w:id="179" w:name="_Toc120614284"/>
      <w:bookmarkStart w:id="180" w:name="_Toc120614291"/>
      <w:bookmarkStart w:id="181" w:name="_Toc26554103"/>
      <w:bookmarkStart w:id="182" w:name="_Toc24878535"/>
      <w:bookmarkStart w:id="183" w:name="_Toc23828483"/>
      <w:bookmarkStart w:id="184" w:name="_Toc49090582"/>
      <w:bookmarkStart w:id="185" w:name="_Toc513029281"/>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文件1  </w:t>
      </w:r>
      <w:r>
        <w:rPr>
          <w:rFonts w:hint="eastAsia" w:ascii="宋体" w:hAnsi="宋体" w:cs="宋体"/>
          <w:iCs/>
          <w:color w:val="000000" w:themeColor="text1"/>
          <w:sz w:val="24"/>
          <w:u w:val="single"/>
          <w14:textFill>
            <w14:solidFill>
              <w14:schemeClr w14:val="tx1"/>
            </w14:solidFill>
          </w14:textFill>
        </w:rPr>
        <w:t>法人或者其他组织的营业执照等证明文件，自然人的身份证明（复印件）</w:t>
      </w:r>
    </w:p>
    <w:p>
      <w:pPr>
        <w:snapToGrid w:val="0"/>
        <w:spacing w:before="50" w:after="120" w:afterLines="50" w:line="580" w:lineRule="exact"/>
        <w:ind w:firstLine="482" w:firstLineChars="200"/>
        <w:jc w:val="left"/>
        <w:rPr>
          <w:rFonts w:ascii="宋体" w:hAnsi="宋体" w:cs="宋体"/>
          <w:b/>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文件2  </w:t>
      </w:r>
      <w:r>
        <w:rPr>
          <w:rFonts w:hint="eastAsia" w:ascii="宋体" w:hAnsi="宋体" w:cs="宋体"/>
          <w:iCs/>
          <w:color w:val="000000" w:themeColor="text1"/>
          <w:sz w:val="24"/>
          <w:u w:val="single"/>
          <w14:textFill>
            <w14:solidFill>
              <w14:schemeClr w14:val="tx1"/>
            </w14:solidFill>
          </w14:textFill>
        </w:rPr>
        <w:t>上一年度财务状况报表（复印件，成立不满一年不需提供）</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文件3  </w:t>
      </w:r>
      <w:r>
        <w:rPr>
          <w:rFonts w:hint="eastAsia" w:ascii="宋体" w:hAnsi="宋体" w:cs="宋体"/>
          <w:iCs/>
          <w:color w:val="000000" w:themeColor="text1"/>
          <w:sz w:val="24"/>
          <w:u w:val="single"/>
          <w14:textFill>
            <w14:solidFill>
              <w14:schemeClr w14:val="tx1"/>
            </w14:solidFill>
          </w14:textFill>
        </w:rPr>
        <w:t>依法缴纳税收和社会保障资金的相关材料（复印件）</w:t>
      </w:r>
    </w:p>
    <w:p>
      <w:pPr>
        <w:snapToGrid w:val="0"/>
        <w:spacing w:before="50" w:after="120" w:afterLines="50" w:line="580" w:lineRule="exact"/>
        <w:ind w:firstLine="482" w:firstLineChars="200"/>
        <w:jc w:val="left"/>
        <w:rPr>
          <w:rFonts w:ascii="宋体" w:hAnsi="宋体" w:cs="宋体"/>
          <w:b/>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文件4  </w:t>
      </w:r>
      <w:r>
        <w:rPr>
          <w:rFonts w:hint="eastAsia" w:ascii="宋体" w:hAnsi="宋体" w:cs="宋体"/>
          <w:iCs/>
          <w:color w:val="000000" w:themeColor="text1"/>
          <w:sz w:val="24"/>
          <w:u w:val="single"/>
          <w14:textFill>
            <w14:solidFill>
              <w14:schemeClr w14:val="tx1"/>
            </w14:solidFill>
          </w14:textFill>
        </w:rPr>
        <w:t>具备履行合同所必需的设备和专业技术能力证明材料（复印件）</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文件5 </w:t>
      </w:r>
      <w:r>
        <w:rPr>
          <w:rFonts w:hint="eastAsia" w:ascii="宋体" w:hAnsi="宋体" w:cs="宋体"/>
          <w:iCs/>
          <w:color w:val="000000" w:themeColor="text1"/>
          <w:sz w:val="24"/>
          <w:u w:val="single"/>
          <w14:textFill>
            <w14:solidFill>
              <w14:schemeClr w14:val="tx1"/>
            </w14:solidFill>
          </w14:textFill>
        </w:rPr>
        <w:t>参加政府采购活动前 3 年内在经营活动中没有重大违法记录的书面声明（</w:t>
      </w:r>
      <w:r>
        <w:rPr>
          <w:rFonts w:hint="eastAsia" w:ascii="宋体" w:hAnsi="宋体" w:cs="宋体"/>
          <w:iCs/>
          <w:color w:val="000000" w:themeColor="text1"/>
          <w:u w:val="single"/>
          <w14:textFill>
            <w14:solidFill>
              <w14:schemeClr w14:val="tx1"/>
            </w14:solidFill>
          </w14:textFill>
        </w:rPr>
        <w:t>原件,</w:t>
      </w:r>
      <w:r>
        <w:rPr>
          <w:rFonts w:hint="eastAsia" w:ascii="宋体" w:hAnsi="宋体" w:cs="宋体"/>
          <w:iCs/>
          <w:color w:val="000000" w:themeColor="text1"/>
          <w:sz w:val="24"/>
          <w:u w:val="single"/>
          <w14:textFill>
            <w14:solidFill>
              <w14:schemeClr w14:val="tx1"/>
            </w14:solidFill>
          </w14:textFill>
        </w:rPr>
        <w:t>格式见附表）</w:t>
      </w:r>
    </w:p>
    <w:p>
      <w:pPr>
        <w:pStyle w:val="97"/>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u w:val="single"/>
          <w14:textFill>
            <w14:solidFill>
              <w14:schemeClr w14:val="tx1"/>
            </w14:solidFill>
          </w14:textFill>
        </w:rPr>
        <w:t>文件6</w:t>
      </w:r>
      <w:r>
        <w:rPr>
          <w:rFonts w:hint="eastAsia" w:ascii="宋体" w:hAnsi="宋体" w:cs="宋体"/>
          <w:iCs/>
          <w:color w:val="000000" w:themeColor="text1"/>
          <w:u w:val="single"/>
          <w14:textFill>
            <w14:solidFill>
              <w14:schemeClr w14:val="tx1"/>
            </w14:solidFill>
          </w14:textFill>
        </w:rPr>
        <w:t>法人授权书（原件）</w:t>
      </w:r>
    </w:p>
    <w:p>
      <w:pPr>
        <w:pStyle w:val="97"/>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u w:val="single"/>
          <w14:textFill>
            <w14:solidFill>
              <w14:schemeClr w14:val="tx1"/>
            </w14:solidFill>
          </w14:textFill>
        </w:rPr>
        <w:t>文件7</w:t>
      </w:r>
      <w:r>
        <w:rPr>
          <w:rFonts w:hint="eastAsia" w:ascii="宋体" w:hAnsi="宋体" w:cs="宋体"/>
          <w:iCs/>
          <w:color w:val="000000" w:themeColor="text1"/>
          <w:u w:val="single"/>
          <w14:textFill>
            <w14:solidFill>
              <w14:schemeClr w14:val="tx1"/>
            </w14:solidFill>
          </w14:textFill>
        </w:rPr>
        <w:t>未被“信用中国”网站（www.creditchina.gov.cn）列入失信被执行人、重大税收违法案件当事人名单、政府采购严重失信行为记录名单（提供官网查询截图并加盖公章）；</w:t>
      </w:r>
    </w:p>
    <w:p>
      <w:pPr>
        <w:pStyle w:val="97"/>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14:textFill>
            <w14:solidFill>
              <w14:schemeClr w14:val="tx1"/>
            </w14:solidFill>
          </w14:textFill>
        </w:rPr>
        <w:t>文件8</w:t>
      </w:r>
      <w:r>
        <w:rPr>
          <w:rFonts w:hint="eastAsia" w:ascii="宋体" w:hAnsi="宋体" w:cs="宋体"/>
          <w:iCs/>
          <w:color w:val="000000" w:themeColor="text1"/>
          <w:u w:val="single"/>
          <w14:textFill>
            <w14:solidFill>
              <w14:schemeClr w14:val="tx1"/>
            </w14:solidFill>
          </w14:textFill>
        </w:rPr>
        <w:t>招标文件中规定要求提供的其他证明材料和磋商供应商认为需要提供的其他材料。</w:t>
      </w:r>
    </w:p>
    <w:p>
      <w:pPr>
        <w:pStyle w:val="97"/>
        <w:spacing w:line="580" w:lineRule="exact"/>
        <w:ind w:firstLine="561"/>
        <w:rPr>
          <w:rFonts w:ascii="宋体" w:hAnsi="宋体" w:cs="宋体"/>
          <w:iCs/>
          <w:color w:val="000000" w:themeColor="text1"/>
          <w:u w:val="single"/>
          <w14:textFill>
            <w14:solidFill>
              <w14:schemeClr w14:val="tx1"/>
            </w14:solidFill>
          </w14:textFill>
        </w:rPr>
      </w:pPr>
    </w:p>
    <w:p>
      <w:pPr>
        <w:pStyle w:val="97"/>
        <w:spacing w:line="500" w:lineRule="exact"/>
        <w:ind w:firstLine="561"/>
        <w:jc w:val="center"/>
        <w:rPr>
          <w:rFonts w:ascii="宋体" w:hAnsi="宋体" w:cs="宋体"/>
          <w:b/>
          <w:bCs/>
          <w:color w:val="000000" w:themeColor="text1"/>
          <w:szCs w:val="21"/>
          <w14:textFill>
            <w14:solidFill>
              <w14:schemeClr w14:val="tx1"/>
            </w14:solidFill>
          </w14:textFill>
        </w:rPr>
      </w:pPr>
    </w:p>
    <w:p>
      <w:pPr>
        <w:pStyle w:val="97"/>
        <w:spacing w:line="500" w:lineRule="exact"/>
        <w:ind w:firstLine="561"/>
        <w:jc w:val="center"/>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7"/>
        <w:spacing w:line="500" w:lineRule="exact"/>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具备履行合同所必需的专业技术能力的书面声明</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主要设备有：  。</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主要专业技术能力有：   。</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pStyle w:val="1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9"/>
        <w:jc w:val="center"/>
        <w:rPr>
          <w:rFonts w:ascii="宋体" w:hAnsi="宋体" w:cs="宋体"/>
          <w:bCs/>
          <w:color w:val="000000" w:themeColor="text1"/>
          <w:sz w:val="24"/>
          <w:szCs w:val="24"/>
          <w14:textFill>
            <w14:solidFill>
              <w14:schemeClr w14:val="tx1"/>
            </w14:solidFill>
          </w14:textFill>
        </w:rPr>
      </w:pPr>
    </w:p>
    <w:p>
      <w:pPr>
        <w:pStyle w:val="9"/>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参加政府采购活动前3年内在经营活动中没有重大违法记录的书面声明</w:t>
      </w:r>
    </w:p>
    <w:p>
      <w:pPr>
        <w:spacing w:line="460" w:lineRule="exact"/>
        <w:rPr>
          <w:rFonts w:ascii="宋体" w:hAnsi="宋体" w:cs="宋体"/>
          <w:b/>
          <w:bCs/>
          <w:color w:val="000000" w:themeColor="text1"/>
          <w:sz w:val="44"/>
          <w:szCs w:val="44"/>
          <w14:textFill>
            <w14:solidFill>
              <w14:schemeClr w14:val="tx1"/>
            </w14:solidFill>
          </w14:textFill>
        </w:rPr>
      </w:pPr>
    </w:p>
    <w:p>
      <w:pPr>
        <w:spacing w:line="460" w:lineRule="exact"/>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 xml:space="preserve">                   声  明</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我公司郑重声明：参加本次政府采购活动前3年内，我公司在经营活动中没有因违法经营受到刑事处罚或者责令停产停业、吊销许可证或者执照、较大数额罚款等行政处罚。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561"/>
        <w:jc w:val="center"/>
        <w:rPr>
          <w:rFonts w:ascii="宋体" w:hAnsi="宋体" w:cs="宋体"/>
          <w:b/>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14:textFill>
            <w14:solidFill>
              <w14:schemeClr w14:val="tx1"/>
            </w14:solidFill>
          </w14:textFill>
        </w:rPr>
      </w:pPr>
    </w:p>
    <w:p>
      <w:pPr>
        <w:pStyle w:val="97"/>
        <w:ind w:firstLine="561"/>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法人授权书</w:t>
      </w:r>
    </w:p>
    <w:p>
      <w:pPr>
        <w:pStyle w:val="97"/>
        <w:ind w:firstLine="561"/>
        <w:jc w:val="center"/>
        <w:rPr>
          <w:rFonts w:ascii="宋体" w:hAnsi="宋体" w:cs="宋体"/>
          <w:b/>
          <w:bCs/>
          <w:color w:val="000000" w:themeColor="text1"/>
          <w:sz w:val="32"/>
          <w:szCs w:val="32"/>
          <w14:textFill>
            <w14:solidFill>
              <w14:schemeClr w14:val="tx1"/>
            </w14:solidFill>
          </w14:textFill>
        </w:rPr>
      </w:pPr>
    </w:p>
    <w:p>
      <w:pPr>
        <w:pStyle w:val="97"/>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本授权书声明：____________（供应商名称）授权________________（被授权人的姓名）为我方就项目采购活动的合法代理人，以本公司名义全权处理一切与该项目采购有关的事务。</w:t>
      </w:r>
    </w:p>
    <w:p>
      <w:pPr>
        <w:pStyle w:val="97"/>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本授权书于______年____月____日起生效，特此声明。</w:t>
      </w:r>
    </w:p>
    <w:p>
      <w:pPr>
        <w:pStyle w:val="97"/>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代理人（被授权人）：_______________________</w:t>
      </w:r>
    </w:p>
    <w:p>
      <w:pPr>
        <w:pStyle w:val="97"/>
        <w:spacing w:line="360" w:lineRule="auto"/>
        <w:rPr>
          <w:rFonts w:ascii="宋体" w:hAnsi="宋体" w:cs="宋体"/>
          <w:color w:val="000000" w:themeColor="text1"/>
          <w14:textFill>
            <w14:solidFill>
              <w14:schemeClr w14:val="tx1"/>
            </w14:solidFill>
          </w14:textFill>
        </w:rPr>
      </w:pPr>
    </w:p>
    <w:p>
      <w:pPr>
        <w:pStyle w:val="97"/>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单位名称：_____________________________________</w:t>
      </w:r>
    </w:p>
    <w:p>
      <w:pPr>
        <w:pStyle w:val="97"/>
        <w:spacing w:line="360" w:lineRule="auto"/>
        <w:ind w:firstLine="480"/>
        <w:rPr>
          <w:rFonts w:ascii="宋体" w:hAnsi="宋体" w:cs="宋体"/>
          <w:color w:val="000000" w:themeColor="text1"/>
          <w14:textFill>
            <w14:solidFill>
              <w14:schemeClr w14:val="tx1"/>
            </w14:solidFill>
          </w14:textFill>
        </w:rPr>
      </w:pPr>
    </w:p>
    <w:p>
      <w:pPr>
        <w:pStyle w:val="97"/>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授权单位盖章：_________________________________</w:t>
      </w:r>
    </w:p>
    <w:p>
      <w:pPr>
        <w:pStyle w:val="97"/>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单位名称：_____________________________________</w:t>
      </w:r>
    </w:p>
    <w:p>
      <w:pPr>
        <w:pStyle w:val="97"/>
        <w:spacing w:line="360" w:lineRule="auto"/>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地址：</w:t>
      </w:r>
    </w:p>
    <w:p>
      <w:pPr>
        <w:pStyle w:val="97"/>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日期：                    </w:t>
      </w:r>
    </w:p>
    <w:p>
      <w:pPr>
        <w:pStyle w:val="9"/>
        <w:spacing w:line="360" w:lineRule="auto"/>
        <w:rPr>
          <w:rFonts w:ascii="宋体" w:hAnsi="宋体" w:cs="宋体"/>
          <w:color w:val="000000" w:themeColor="text1"/>
          <w14:textFill>
            <w14:solidFill>
              <w14:schemeClr w14:val="tx1"/>
            </w14:solidFill>
          </w14:textFill>
        </w:rPr>
      </w:pPr>
      <w:bookmarkStart w:id="186" w:name="_格式3__银行出具的资信证明"/>
      <w:bookmarkEnd w:id="186"/>
      <w:bookmarkStart w:id="187" w:name="_Hlt26955070"/>
      <w:bookmarkEnd w:id="187"/>
      <w:bookmarkStart w:id="188" w:name="_Hlt26671380"/>
      <w:bookmarkEnd w:id="188"/>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pStyle w:val="97"/>
        <w:ind w:firstLine="4216" w:firstLineChars="1750"/>
        <w:rPr>
          <w:rFonts w:ascii="宋体" w:hAnsi="宋体" w:cs="宋体"/>
          <w:b/>
          <w:bCs/>
          <w:color w:val="000000" w:themeColor="text1"/>
          <w:szCs w:val="2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4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736"/>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是否响应（填是或者否）</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7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31"/>
        <w:rPr>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4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69"/>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1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招标文件中的其他实质性要求</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bl>
    <w:p>
      <w:pPr>
        <w:spacing w:line="560" w:lineRule="exact"/>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四、磋商响应函</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致：盐城工业职业技术学院：</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根据贵方的 </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磋商文件，正式授权下述签字人_________ (姓名和职务)代表我方______________（供应商的名称），全权处理本次项目磋商采购的有关事宜。</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据此函，__________（签字人）兹宣布同意如下：</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1.按磋商文件规定的各项要求，向买方提供所需服务。</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2.我们已详细审核全部磋商文件及其有效补充文件，我们知道必须放弃提出含糊不清或误解问题的权利。</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3.我们同意从规定的响应文件接收截止时间起遵循本响应文件，并在规定的磋商有效期期满之前均具有约束力。</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4.如果在响应文件接收截止时间后规定的磋商有效期内撤回响应文件或成交后拒绝签订合同，</w:t>
      </w:r>
      <w:r>
        <w:rPr>
          <w:rFonts w:hint="eastAsia" w:ascii="宋体" w:hAnsi="宋体" w:cs="宋体"/>
          <w:color w:val="000000" w:themeColor="text1"/>
          <w:szCs w:val="21"/>
          <w14:textFill>
            <w14:solidFill>
              <w14:schemeClr w14:val="tx1"/>
            </w14:solidFill>
          </w14:textFill>
        </w:rPr>
        <w:t>则按照国家相关法律法规受到相应处罚</w:t>
      </w:r>
      <w:r>
        <w:rPr>
          <w:rFonts w:hint="eastAsia" w:ascii="宋体" w:hAnsi="宋体" w:cs="宋体"/>
          <w:color w:val="000000" w:themeColor="text1"/>
          <w14:textFill>
            <w14:solidFill>
              <w14:schemeClr w14:val="tx1"/>
            </w14:solidFill>
          </w14:textFill>
        </w:rPr>
        <w:t>。</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5.同意向贵方提供贵方可能另外要求的与磋商采购有关的任何证据或资料，并保证我方已提供和将要提供的文件是真实的、准确的。</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6.一旦我方成交，我方将根据磋商文件的规定，严格履行合同的责任和义务，并保证在磋商文件规定的时间完成项目，交付买方验收、使用。</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7.遵守磋商文件中要求的收费项目和标准。</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8.与本磋商采购有关的正式通讯地址为：</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                         邮 编：</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                         传 真：</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供应商开户行：                  账 户： </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法定代表人或授权代表姓名（签字）：     联系电话：</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供应商名称（公章）：            </w:t>
      </w:r>
    </w:p>
    <w:p>
      <w:pPr>
        <w:pStyle w:val="97"/>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 期：________年____月____日</w:t>
      </w:r>
    </w:p>
    <w:p>
      <w:pPr>
        <w:pStyle w:val="16"/>
        <w:rPr>
          <w:rFonts w:ascii="宋体" w:hAnsi="宋体" w:cs="宋体"/>
          <w:color w:val="000000" w:themeColor="text1"/>
          <w14:textFill>
            <w14:solidFill>
              <w14:schemeClr w14:val="tx1"/>
            </w14:solidFill>
          </w14:textFill>
        </w:rPr>
      </w:pPr>
    </w:p>
    <w:p>
      <w:pPr>
        <w:pStyle w:val="8"/>
        <w:ind w:firstLine="3213" w:firstLineChars="10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开标一览表</w:t>
      </w:r>
    </w:p>
    <w:tbl>
      <w:tblPr>
        <w:tblStyle w:val="46"/>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项目编号</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项目名称</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0"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项目投标报价（元）：</w:t>
            </w:r>
          </w:p>
          <w:tbl>
            <w:tblPr>
              <w:tblStyle w:val="165"/>
              <w:tblpPr w:leftFromText="180" w:rightFromText="180" w:vertAnchor="text" w:horzAnchor="page" w:tblpX="2820" w:tblpY="40"/>
              <w:tblOverlap w:val="never"/>
              <w:tblW w:w="546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4"/>
              <w:gridCol w:w="968"/>
              <w:gridCol w:w="1119"/>
              <w:gridCol w:w="1429"/>
              <w:gridCol w:w="1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24" w:type="dxa"/>
                  <w:tcBorders>
                    <w:bottom w:val="single" w:color="auto" w:sz="4" w:space="0"/>
                  </w:tcBorders>
                </w:tcPr>
                <w:p>
                  <w:pPr>
                    <w:spacing w:before="65" w:line="222"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968" w:type="dxa"/>
                  <w:tcBorders>
                    <w:bottom w:val="single" w:color="auto" w:sz="4" w:space="0"/>
                  </w:tcBorders>
                </w:tcPr>
                <w:p>
                  <w:pPr>
                    <w:spacing w:before="65"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1119" w:type="dxa"/>
                </w:tcPr>
                <w:p>
                  <w:pPr>
                    <w:spacing w:before="65" w:line="221"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1429" w:type="dxa"/>
                  <w:vAlign w:val="center"/>
                </w:tcPr>
                <w:p>
                  <w:pPr>
                    <w:spacing w:before="65"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最高收费标准</w:t>
                  </w:r>
                </w:p>
              </w:tc>
              <w:tc>
                <w:tcPr>
                  <w:tcW w:w="1425" w:type="dxa"/>
                  <w:vAlign w:val="center"/>
                </w:tcPr>
                <w:p>
                  <w:pPr>
                    <w:spacing w:before="65" w:line="221"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24" w:type="dxa"/>
                  <w:vMerge w:val="restart"/>
                  <w:tcBorders>
                    <w:top w:val="single" w:color="auto" w:sz="4" w:space="0"/>
                    <w:left w:val="single" w:color="auto" w:sz="4" w:space="0"/>
                    <w:bottom w:val="single" w:color="auto" w:sz="4" w:space="0"/>
                    <w:right w:val="single" w:color="auto" w:sz="4" w:space="0"/>
                  </w:tcBorders>
                </w:tcPr>
                <w:p>
                  <w:pPr>
                    <w:spacing w:line="266" w:lineRule="auto"/>
                    <w:jc w:val="center"/>
                    <w:rPr>
                      <w:color w:val="000000" w:themeColor="text1"/>
                      <w14:textFill>
                        <w14:solidFill>
                          <w14:schemeClr w14:val="tx1"/>
                        </w14:solidFill>
                      </w14:textFill>
                    </w:rPr>
                  </w:pPr>
                </w:p>
                <w:p>
                  <w:pPr>
                    <w:spacing w:line="267" w:lineRule="auto"/>
                    <w:jc w:val="center"/>
                    <w:rPr>
                      <w:color w:val="000000" w:themeColor="text1"/>
                      <w14:textFill>
                        <w14:solidFill>
                          <w14:schemeClr w14:val="tx1"/>
                        </w14:solidFill>
                      </w14:textFill>
                    </w:rPr>
                  </w:pPr>
                </w:p>
                <w:p>
                  <w:pPr>
                    <w:spacing w:before="69" w:line="186"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68" w:type="dxa"/>
                  <w:vMerge w:val="restart"/>
                  <w:tcBorders>
                    <w:top w:val="single" w:color="auto" w:sz="4" w:space="0"/>
                    <w:left w:val="single" w:color="auto" w:sz="4" w:space="0"/>
                    <w:right w:val="single" w:color="auto" w:sz="4" w:space="0"/>
                  </w:tcBorders>
                  <w:vAlign w:val="center"/>
                </w:tcPr>
                <w:p>
                  <w:pPr>
                    <w:spacing w:before="68" w:line="220" w:lineRule="auto"/>
                    <w:jc w:val="center"/>
                    <w:rPr>
                      <w:color w:val="000000" w:themeColor="text1"/>
                      <w14:textFill>
                        <w14:solidFill>
                          <w14:schemeClr w14:val="tx1"/>
                        </w14:solidFill>
                      </w14:textFill>
                    </w:rPr>
                  </w:pPr>
                  <w:r>
                    <w:rPr>
                      <w:color w:val="000000" w:themeColor="text1"/>
                      <w14:textFill>
                        <w14:solidFill>
                          <w14:schemeClr w14:val="tx1"/>
                        </w14:solidFill>
                      </w14:textFill>
                    </w:rPr>
                    <w:t>自助洗衣机</w:t>
                  </w: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24" w:type="dxa"/>
                  <w:vMerge w:val="continue"/>
                  <w:tcBorders>
                    <w:left w:val="single" w:color="auto" w:sz="4" w:space="0"/>
                    <w:right w:val="single" w:color="auto" w:sz="4" w:space="0"/>
                  </w:tcBorders>
                </w:tcPr>
                <w:p>
                  <w:pPr>
                    <w:spacing w:before="69" w:line="186" w:lineRule="auto"/>
                    <w:jc w:val="center"/>
                    <w:rPr>
                      <w:color w:val="000000" w:themeColor="text1"/>
                      <w14:textFill>
                        <w14:solidFill>
                          <w14:schemeClr w14:val="tx1"/>
                        </w14:solidFill>
                      </w14:textFill>
                    </w:rPr>
                  </w:pPr>
                </w:p>
              </w:tc>
              <w:tc>
                <w:tcPr>
                  <w:tcW w:w="968" w:type="dxa"/>
                  <w:vMerge w:val="continue"/>
                  <w:tcBorders>
                    <w:left w:val="single" w:color="auto" w:sz="4" w:space="0"/>
                    <w:right w:val="single" w:color="auto" w:sz="4" w:space="0"/>
                  </w:tcBorders>
                  <w:vAlign w:val="center"/>
                </w:tcPr>
                <w:p>
                  <w:pPr>
                    <w:spacing w:before="68" w:line="220" w:lineRule="auto"/>
                    <w:jc w:val="center"/>
                    <w:rPr>
                      <w:color w:val="000000" w:themeColor="text1"/>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快洗</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24"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p>
              </w:tc>
              <w:tc>
                <w:tcPr>
                  <w:tcW w:w="968" w:type="dxa"/>
                  <w:vMerge w:val="continue"/>
                  <w:tcBorders>
                    <w:left w:val="single" w:color="auto" w:sz="4" w:space="0"/>
                    <w:right w:val="single" w:color="auto" w:sz="4" w:space="0"/>
                  </w:tcBorders>
                </w:tcPr>
                <w:p>
                  <w:pPr>
                    <w:rPr>
                      <w:color w:val="000000" w:themeColor="text1"/>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标准洗</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24"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p>
              </w:tc>
              <w:tc>
                <w:tcPr>
                  <w:tcW w:w="968" w:type="dxa"/>
                  <w:vMerge w:val="continue"/>
                  <w:tcBorders>
                    <w:left w:val="single" w:color="auto" w:sz="4" w:space="0"/>
                    <w:right w:val="single" w:color="auto" w:sz="4" w:space="0"/>
                  </w:tcBorders>
                </w:tcPr>
                <w:p>
                  <w:pPr>
                    <w:rPr>
                      <w:color w:val="000000" w:themeColor="text1"/>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大件洗</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24"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p>
              </w:tc>
              <w:tc>
                <w:tcPr>
                  <w:tcW w:w="968" w:type="dxa"/>
                  <w:vMerge w:val="continue"/>
                  <w:tcBorders>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桶自洁</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0.5元/次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968" w:type="dxa"/>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烘干机</w:t>
                  </w: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4.5元/次</w:t>
                  </w:r>
                </w:p>
              </w:tc>
              <w:tc>
                <w:tcPr>
                  <w:tcW w:w="1425" w:type="dxa"/>
                  <w:vAlign w:val="center"/>
                </w:tcPr>
                <w:p>
                  <w:pPr>
                    <w:spacing w:before="65" w:line="221" w:lineRule="auto"/>
                    <w:jc w:val="center"/>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968" w:type="dxa"/>
                  <w:tcBorders>
                    <w:top w:val="single" w:color="auto" w:sz="4" w:space="0"/>
                    <w:left w:val="single" w:color="auto" w:sz="4" w:space="0"/>
                    <w:bottom w:val="single" w:color="auto" w:sz="4" w:space="0"/>
                    <w:right w:val="single" w:color="auto"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洗鞋机</w:t>
                  </w:r>
                </w:p>
              </w:tc>
              <w:tc>
                <w:tcPr>
                  <w:tcW w:w="1119" w:type="dxa"/>
                  <w:tcBorders>
                    <w:left w:val="single" w:color="auto" w:sz="4" w:space="0"/>
                  </w:tcBorders>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1429" w:type="dxa"/>
                  <w:vAlign w:val="center"/>
                </w:tcPr>
                <w:p>
                  <w:pPr>
                    <w:adjustRightInd w:val="0"/>
                    <w:snapToGrid w:val="0"/>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3.0元/次</w:t>
                  </w:r>
                </w:p>
              </w:tc>
              <w:tc>
                <w:tcPr>
                  <w:tcW w:w="1425" w:type="dxa"/>
                  <w:vAlign w:val="center"/>
                </w:tcPr>
                <w:p>
                  <w:pPr>
                    <w:spacing w:before="65" w:line="221" w:lineRule="auto"/>
                    <w:jc w:val="center"/>
                    <w:rPr>
                      <w:color w:val="000000" w:themeColor="text1"/>
                      <w14:textFill>
                        <w14:solidFill>
                          <w14:schemeClr w14:val="tx1"/>
                        </w14:solidFill>
                      </w14:textFill>
                    </w:rPr>
                  </w:pPr>
                </w:p>
              </w:tc>
            </w:tr>
          </w:tbl>
          <w:p>
            <w:pPr>
              <w:rPr>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000000" w:themeColor="text1"/>
                <w:szCs w:val="28"/>
                <w14:textFill>
                  <w14:solidFill>
                    <w14:schemeClr w14:val="tx1"/>
                  </w14:solidFill>
                </w14:textFill>
              </w:rPr>
            </w:pPr>
            <w:r>
              <w:rPr>
                <w:rStyle w:val="161"/>
                <w:rFonts w:hint="eastAsia" w:ascii="宋体" w:hAnsi="宋体" w:cs="宋体"/>
                <w:b/>
                <w:bCs/>
                <w:color w:val="000000" w:themeColor="text1"/>
                <w:szCs w:val="28"/>
                <w14:textFill>
                  <w14:solidFill>
                    <w14:schemeClr w14:val="tx1"/>
                  </w14:solidFill>
                </w14:textFill>
              </w:rPr>
              <w:t>是否提供《企业类型声明函》：</w:t>
            </w:r>
            <w:r>
              <w:rPr>
                <w:rStyle w:val="161"/>
                <w:rFonts w:hint="eastAsia" w:ascii="宋体" w:hAnsi="宋体" w:cs="宋体"/>
                <w:b/>
                <w:bCs/>
                <w:color w:val="000000" w:themeColor="text1"/>
                <w:szCs w:val="28"/>
                <w:u w:val="single"/>
                <w14:textFill>
                  <w14:solidFill>
                    <w14:schemeClr w14:val="tx1"/>
                  </w14:solidFill>
                </w14:textFill>
              </w:rPr>
              <w:t xml:space="preserve"> 是/否 见（   ）页</w:t>
            </w: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填写说明：开标一览表不得填报选择性报价，否则将作为无效投标；</w:t>
      </w:r>
    </w:p>
    <w:p>
      <w:pPr>
        <w:rPr>
          <w:rFonts w:ascii="宋体" w:hAnsi="宋体" w:cs="宋体"/>
          <w:color w:val="000000" w:themeColor="text1"/>
          <w:sz w:val="24"/>
          <w14:textFill>
            <w14:solidFill>
              <w14:schemeClr w14:val="tx1"/>
            </w14:solidFill>
          </w14:textFill>
        </w:rPr>
      </w:pP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right="480"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ind w:firstLine="480"/>
        <w:jc w:val="center"/>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44"/>
          <w14:textFill>
            <w14:solidFill>
              <w14:schemeClr w14:val="tx1"/>
            </w14:solidFill>
          </w14:textFill>
        </w:rPr>
      </w:pPr>
    </w:p>
    <w:p>
      <w:pPr>
        <w:pStyle w:val="45"/>
        <w:ind w:firstLine="210"/>
        <w:rPr>
          <w:rFonts w:ascii="宋体" w:hAnsi="宋体" w:cs="宋体"/>
          <w:color w:val="000000" w:themeColor="text1"/>
          <w14:textFill>
            <w14:solidFill>
              <w14:schemeClr w14:val="tx1"/>
            </w14:solidFill>
          </w14:textFill>
        </w:rPr>
      </w:pPr>
    </w:p>
    <w:p>
      <w:pPr>
        <w:pStyle w:val="45"/>
        <w:ind w:firstLine="210"/>
        <w:rPr>
          <w:rFonts w:ascii="宋体" w:hAnsi="宋体" w:cs="宋体"/>
          <w:color w:val="000000" w:themeColor="text1"/>
          <w14:textFill>
            <w14:solidFill>
              <w14:schemeClr w14:val="tx1"/>
            </w14:solidFill>
          </w14:textFill>
        </w:rPr>
      </w:pPr>
    </w:p>
    <w:p>
      <w:pPr>
        <w:pStyle w:val="45"/>
        <w:ind w:firstLine="210"/>
        <w:rPr>
          <w:rFonts w:ascii="宋体" w:hAnsi="宋体" w:cs="宋体"/>
          <w:color w:val="000000" w:themeColor="text1"/>
          <w14:textFill>
            <w14:solidFill>
              <w14:schemeClr w14:val="tx1"/>
            </w14:solidFill>
          </w14:textFill>
        </w:rPr>
      </w:pPr>
    </w:p>
    <w:p>
      <w:pPr>
        <w:spacing w:line="560" w:lineRule="exact"/>
        <w:jc w:val="center"/>
        <w:rPr>
          <w:rFonts w:ascii="宋体" w:hAnsi="宋体"/>
          <w:b/>
          <w:bCs/>
          <w:color w:val="000000" w:themeColor="text1"/>
          <w:sz w:val="32"/>
          <w:szCs w:val="32"/>
          <w14:textFill>
            <w14:solidFill>
              <w14:schemeClr w14:val="tx1"/>
            </w14:solidFill>
          </w14:textFill>
        </w:rPr>
      </w:pPr>
      <w:bookmarkStart w:id="189" w:name="_Hlt26955054"/>
      <w:bookmarkEnd w:id="189"/>
      <w:r>
        <w:rPr>
          <w:rFonts w:hint="eastAsia" w:ascii="宋体" w:hAnsi="宋体"/>
          <w:b/>
          <w:bCs/>
          <w:color w:val="000000" w:themeColor="text1"/>
          <w:sz w:val="28"/>
          <w:szCs w:val="28"/>
          <w14:textFill>
            <w14:solidFill>
              <w14:schemeClr w14:val="tx1"/>
            </w14:solidFill>
          </w14:textFill>
        </w:rPr>
        <w:t>中小企业声明函（工程、服务）</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i/>
          <w:iCs/>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i/>
          <w:iCs/>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9"/>
        </w:num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widowControl/>
        <w:numPr>
          <w:ilvl w:val="0"/>
          <w:numId w:val="9"/>
        </w:num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spacing w:line="360" w:lineRule="auto"/>
        <w:jc w:val="center"/>
        <w:rPr>
          <w:rFonts w:ascii="宋体" w:hAnsi="宋体"/>
          <w:b/>
          <w:bCs/>
          <w:color w:val="000000" w:themeColor="text1"/>
          <w:sz w:val="22"/>
          <w:szCs w:val="22"/>
          <w14:textFill>
            <w14:solidFill>
              <w14:schemeClr w14:val="tx1"/>
            </w14:solidFill>
          </w14:textFill>
        </w:rPr>
        <w:sectPr>
          <w:pgSz w:w="11911" w:h="16838"/>
          <w:pgMar w:top="1587" w:right="1587" w:bottom="1587" w:left="1587" w:header="720" w:footer="720" w:gutter="0"/>
          <w:cols w:space="0" w:num="1"/>
          <w:docGrid w:linePitch="290" w:charSpace="0"/>
        </w:sectPr>
      </w:pPr>
      <w:r>
        <w:rPr>
          <w:rFonts w:hint="eastAsia" w:ascii="宋体" w:hAnsi="宋体"/>
          <w:b/>
          <w:bCs/>
          <w:color w:val="000000" w:themeColor="text1"/>
          <w:sz w:val="22"/>
          <w:szCs w:val="22"/>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b/>
          <w:bCs/>
          <w:color w:val="000000" w:themeColor="text1"/>
          <w14:textFill>
            <w14:solidFill>
              <w14:schemeClr w14:val="tx1"/>
            </w14:solidFill>
          </w14:textFill>
        </w:rPr>
      </w:pPr>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本单位对上述声明的真实性负责。如有虚假，将依法承担相应责任。</w:t>
      </w:r>
    </w:p>
    <w:p>
      <w:pPr>
        <w:spacing w:line="500" w:lineRule="exact"/>
        <w:rPr>
          <w:rFonts w:ascii="宋体" w:hAnsi="宋体"/>
          <w:color w:val="000000" w:themeColor="text1"/>
          <w:kern w:val="0"/>
          <w:sz w:val="24"/>
          <w14:textFill>
            <w14:solidFill>
              <w14:schemeClr w14:val="tx1"/>
            </w14:solidFill>
          </w14:textFill>
        </w:rPr>
      </w:pPr>
    </w:p>
    <w:p>
      <w:pPr>
        <w:spacing w:line="500" w:lineRule="exact"/>
        <w:ind w:firstLine="3360" w:firstLineChars="1400"/>
        <w:jc w:val="left"/>
        <w:rPr>
          <w:rStyle w:val="159"/>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残疾人福利性</w:t>
      </w:r>
      <w:r>
        <w:rPr>
          <w:rFonts w:hint="eastAsia" w:ascii="宋体" w:hAnsi="宋体"/>
          <w:color w:val="000000" w:themeColor="text1"/>
          <w:sz w:val="24"/>
          <w14:textFill>
            <w14:solidFill>
              <w14:schemeClr w14:val="tx1"/>
            </w14:solidFill>
          </w14:textFill>
        </w:rPr>
        <w:t>单位名称（盖章）：</w:t>
      </w:r>
      <w:r>
        <w:rPr>
          <w:rFonts w:hint="eastAsia" w:ascii="宋体" w:hAnsi="宋体"/>
          <w:color w:val="000000" w:themeColor="text1"/>
          <w:sz w:val="24"/>
          <w:u w:val="single"/>
          <w14:textFill>
            <w14:solidFill>
              <w14:schemeClr w14:val="tx1"/>
            </w14:solidFill>
          </w14:textFill>
        </w:rPr>
        <w:t xml:space="preserve">                </w:t>
      </w:r>
    </w:p>
    <w:p>
      <w:pPr>
        <w:spacing w:line="500" w:lineRule="exact"/>
        <w:ind w:firstLine="3360" w:firstLineChars="1400"/>
        <w:jc w:val="left"/>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Style w:val="159"/>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 期：</w:t>
      </w:r>
      <w:r>
        <w:rPr>
          <w:rFonts w:hint="eastAsia" w:ascii="宋体" w:hAnsi="宋体"/>
          <w:color w:val="000000" w:themeColor="text1"/>
          <w:sz w:val="24"/>
          <w:u w:val="single"/>
          <w14:textFill>
            <w14:solidFill>
              <w14:schemeClr w14:val="tx1"/>
            </w14:solidFill>
          </w14:textFill>
        </w:rPr>
        <w:t xml:space="preserve">                                    </w:t>
      </w:r>
    </w:p>
    <w:p>
      <w:pPr>
        <w:jc w:val="cente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bookmarkEnd w:id="143"/>
    <w:bookmarkEnd w:id="144"/>
    <w:bookmarkEnd w:id="145"/>
    <w:bookmarkEnd w:id="178"/>
    <w:bookmarkEnd w:id="179"/>
    <w:bookmarkEnd w:id="180"/>
    <w:bookmarkEnd w:id="181"/>
    <w:bookmarkEnd w:id="182"/>
    <w:bookmarkEnd w:id="183"/>
    <w:bookmarkEnd w:id="184"/>
    <w:bookmarkEnd w:id="185"/>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六、项目负责人及服务团队人员一览表</w:t>
      </w:r>
    </w:p>
    <w:tbl>
      <w:tblPr>
        <w:tblStyle w:val="46"/>
        <w:tblW w:w="864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187"/>
        <w:gridCol w:w="893"/>
        <w:gridCol w:w="993"/>
        <w:gridCol w:w="1275"/>
        <w:gridCol w:w="851"/>
        <w:gridCol w:w="407"/>
        <w:gridCol w:w="869"/>
        <w:gridCol w:w="184"/>
        <w:gridCol w:w="19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供应商：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Style w:val="51"/>
                <w:rFonts w:ascii="宋体" w:hAnsi="宋体"/>
                <w:color w:val="000000" w:themeColor="text1"/>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职务</w:t>
            </w:r>
          </w:p>
          <w:p>
            <w:pPr>
              <w:spacing w:line="500" w:lineRule="exact"/>
              <w:jc w:val="center"/>
              <w:rPr>
                <w:rFonts w:ascii="宋体" w:hAnsi="宋体"/>
                <w:color w:val="000000" w:themeColor="text1"/>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职称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业务专业</w:t>
            </w: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学历</w:t>
            </w: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主要人员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职务    职称</w:t>
            </w: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业务    专业</w:t>
            </w: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学历</w:t>
            </w: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注：1.项目负责人是本项目的技术核心人员，须是该项目实施全过程的真正组织者和领导者，担负实质性项目工作。项目负责人需要有较强的组织和协调能力，具有承担类似研究项目的成功经验，并有较高的理论素养和分析解决问题的能力。</w:t>
      </w: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pStyle w:val="45"/>
        <w:ind w:firstLine="241"/>
        <w:rPr>
          <w:rFonts w:ascii="宋体" w:hAnsi="宋体" w:cs="宋体"/>
          <w:b/>
          <w:color w:val="000000" w:themeColor="text1"/>
          <w:sz w:val="24"/>
          <w14:textFill>
            <w14:solidFill>
              <w14:schemeClr w14:val="tx1"/>
            </w14:solidFill>
          </w14:textFill>
        </w:rPr>
      </w:pPr>
    </w:p>
    <w:p>
      <w:pPr>
        <w:rPr>
          <w:color w:val="000000" w:themeColor="text1"/>
          <w14:textFill>
            <w14:solidFill>
              <w14:schemeClr w14:val="tx1"/>
            </w14:solidFill>
          </w14:textFill>
        </w:rPr>
      </w:pPr>
    </w:p>
    <w:p>
      <w:pPr>
        <w:ind w:firstLine="700"/>
        <w:jc w:val="center"/>
        <w:rPr>
          <w:rFonts w:ascii="宋体" w:hAnsi="宋体" w:cs="宋体"/>
          <w:color w:val="000000" w:themeColor="text1"/>
          <w:sz w:val="32"/>
          <w:szCs w:val="32"/>
          <w14:textFill>
            <w14:solidFill>
              <w14:schemeClr w14:val="tx1"/>
            </w14:solidFill>
          </w14:textFill>
        </w:rPr>
      </w:pPr>
    </w:p>
    <w:p>
      <w:pPr>
        <w:ind w:firstLine="700"/>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七、技术方案、服务承诺等</w:t>
      </w: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pStyle w:val="45"/>
        <w:ind w:firstLine="320"/>
        <w:rPr>
          <w:rFonts w:ascii="宋体" w:hAnsi="宋体" w:cs="宋体"/>
          <w:color w:val="000000" w:themeColor="text1"/>
          <w:sz w:val="32"/>
          <w:szCs w:val="32"/>
          <w14:textFill>
            <w14:solidFill>
              <w14:schemeClr w14:val="tx1"/>
            </w14:solidFill>
          </w14:textFill>
        </w:rPr>
      </w:pPr>
    </w:p>
    <w:p>
      <w:pPr>
        <w:pStyle w:val="45"/>
        <w:ind w:firstLine="320"/>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八、盐城市政府采购事前信用承诺书</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（六）自觉接受政府、行业组织、社会公众、新闻舆论的监督；</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widowControl/>
        <w:spacing w:line="500" w:lineRule="exact"/>
        <w:jc w:val="left"/>
        <w:rPr>
          <w:rFonts w:ascii="宋体" w:hAnsi="宋体" w:cs="宋体"/>
          <w:color w:val="000000" w:themeColor="text1"/>
          <w:sz w:val="24"/>
          <w14:textFill>
            <w14:solidFill>
              <w14:schemeClr w14:val="tx1"/>
            </w14:solidFill>
          </w14:textFill>
        </w:rPr>
      </w:pP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法定代表人签名：</w:t>
      </w: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单位名称（盖章）：</w:t>
      </w: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九、招标文件及评标办法中要求提供的其他材料</w:t>
      </w: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14:textFill>
            <w14:solidFill>
              <w14:schemeClr w14:val="tx1"/>
            </w14:solidFill>
          </w14:textFill>
        </w:rPr>
      </w:pPr>
    </w:p>
    <w:p>
      <w:pPr>
        <w:snapToGrid w:val="0"/>
        <w:spacing w:before="312" w:beforeLines="100" w:after="312" w:afterLines="100"/>
        <w:ind w:left="420" w:leftChars="2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盐城工业职业技术学院学生公寓洗衣机服务BOT节能项目</w:t>
      </w:r>
    </w:p>
    <w:p>
      <w:pPr>
        <w:snapToGrid w:val="0"/>
        <w:spacing w:before="312" w:beforeLines="100" w:after="312" w:afterLines="100"/>
        <w:ind w:left="420" w:left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bidi="ar"/>
          <w14:textFill>
            <w14:solidFill>
              <w14:schemeClr w14:val="tx1"/>
            </w14:solidFill>
          </w14:textFill>
        </w:rPr>
        <w:t>竞争性磋商报价表</w:t>
      </w:r>
    </w:p>
    <w:p>
      <w:pPr>
        <w:widowControl/>
        <w:jc w:val="center"/>
        <w:rPr>
          <w:color w:val="000000" w:themeColor="text1"/>
          <w14:textFill>
            <w14:solidFill>
              <w14:schemeClr w14:val="tx1"/>
            </w14:solidFill>
          </w14:textFill>
        </w:rPr>
      </w:pPr>
      <w:r>
        <w:rPr>
          <w:rFonts w:hint="eastAsia" w:ascii="宋体" w:hAnsi="宋体"/>
          <w:b/>
          <w:bCs/>
          <w:color w:val="000000" w:themeColor="text1"/>
          <w:sz w:val="32"/>
          <w:szCs w:val="32"/>
          <w:u w:val="single"/>
          <w:lang w:bidi="ar"/>
          <w14:textFill>
            <w14:solidFill>
              <w14:schemeClr w14:val="tx1"/>
            </w14:solidFill>
          </w14:textFill>
        </w:rPr>
        <w:t>第        轮</w:t>
      </w:r>
      <w:r>
        <w:rPr>
          <w:rFonts w:hint="eastAsia" w:ascii="宋体" w:hAnsi="宋体"/>
          <w:b/>
          <w:bCs/>
          <w:color w:val="000000" w:themeColor="text1"/>
          <w:sz w:val="32"/>
          <w:szCs w:val="32"/>
          <w:lang w:bidi="ar"/>
          <w14:textFill>
            <w14:solidFill>
              <w14:schemeClr w14:val="tx1"/>
            </w14:solidFill>
          </w14:textFill>
        </w:rPr>
        <w:t>报价和说明</w:t>
      </w:r>
    </w:p>
    <w:p>
      <w:pPr>
        <w:snapToGrid w:val="0"/>
        <w:spacing w:line="360" w:lineRule="auto"/>
        <w:jc w:val="center"/>
        <w:rPr>
          <w:rFonts w:ascii="宋体" w:hAnsi="宋体"/>
          <w:b/>
          <w:color w:val="000000" w:themeColor="text1"/>
          <w:sz w:val="32"/>
          <w:szCs w:val="32"/>
          <w14:textFill>
            <w14:solidFill>
              <w14:schemeClr w14:val="tx1"/>
            </w14:solidFill>
          </w14:textFill>
        </w:rPr>
      </w:pPr>
    </w:p>
    <w:tbl>
      <w:tblPr>
        <w:tblStyle w:val="165"/>
        <w:tblpPr w:leftFromText="180" w:rightFromText="180" w:vertAnchor="text" w:horzAnchor="page" w:tblpX="4323" w:tblpY="185"/>
        <w:tblOverlap w:val="never"/>
        <w:tblW w:w="56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968"/>
        <w:gridCol w:w="1119"/>
        <w:gridCol w:w="1566"/>
        <w:gridCol w:w="12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08" w:type="dxa"/>
            <w:tcBorders>
              <w:bottom w:val="single" w:color="auto" w:sz="4" w:space="0"/>
            </w:tcBorders>
          </w:tcPr>
          <w:p>
            <w:pPr>
              <w:spacing w:before="65" w:line="222"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968" w:type="dxa"/>
            <w:tcBorders>
              <w:bottom w:val="single" w:color="auto" w:sz="4" w:space="0"/>
            </w:tcBorders>
          </w:tcPr>
          <w:p>
            <w:pPr>
              <w:spacing w:before="65" w:line="221"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类别</w:t>
            </w:r>
          </w:p>
        </w:tc>
        <w:tc>
          <w:tcPr>
            <w:tcW w:w="1119" w:type="dxa"/>
          </w:tcPr>
          <w:p>
            <w:pPr>
              <w:spacing w:before="65" w:line="221"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p>
        </w:tc>
        <w:tc>
          <w:tcPr>
            <w:tcW w:w="1566" w:type="dxa"/>
            <w:vAlign w:val="center"/>
          </w:tcPr>
          <w:p>
            <w:pPr>
              <w:spacing w:before="65" w:line="221"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最高收费标准</w:t>
            </w:r>
          </w:p>
        </w:tc>
        <w:tc>
          <w:tcPr>
            <w:tcW w:w="1288" w:type="dxa"/>
            <w:vAlign w:val="center"/>
          </w:tcPr>
          <w:p>
            <w:pPr>
              <w:spacing w:before="65" w:line="221"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vMerge w:val="restart"/>
            <w:tcBorders>
              <w:top w:val="single" w:color="auto" w:sz="4" w:space="0"/>
              <w:left w:val="single" w:color="auto" w:sz="4" w:space="0"/>
              <w:bottom w:val="single" w:color="auto" w:sz="4" w:space="0"/>
              <w:right w:val="single" w:color="auto" w:sz="4" w:space="0"/>
            </w:tcBorders>
          </w:tcPr>
          <w:p>
            <w:pPr>
              <w:spacing w:line="266" w:lineRule="auto"/>
              <w:jc w:val="center"/>
              <w:rPr>
                <w:color w:val="000000" w:themeColor="text1"/>
                <w:sz w:val="24"/>
                <w14:textFill>
                  <w14:solidFill>
                    <w14:schemeClr w14:val="tx1"/>
                  </w14:solidFill>
                </w14:textFill>
              </w:rPr>
            </w:pPr>
          </w:p>
          <w:p>
            <w:pPr>
              <w:spacing w:line="267" w:lineRule="auto"/>
              <w:jc w:val="center"/>
              <w:rPr>
                <w:color w:val="000000" w:themeColor="text1"/>
                <w:sz w:val="24"/>
                <w14:textFill>
                  <w14:solidFill>
                    <w14:schemeClr w14:val="tx1"/>
                  </w14:solidFill>
                </w14:textFill>
              </w:rPr>
            </w:pPr>
          </w:p>
          <w:p>
            <w:pPr>
              <w:spacing w:before="69" w:line="18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968" w:type="dxa"/>
            <w:vMerge w:val="restart"/>
            <w:tcBorders>
              <w:top w:val="single" w:color="auto" w:sz="4" w:space="0"/>
              <w:left w:val="single" w:color="auto" w:sz="4" w:space="0"/>
              <w:right w:val="single" w:color="auto" w:sz="4" w:space="0"/>
            </w:tcBorders>
            <w:vAlign w:val="center"/>
          </w:tcPr>
          <w:p>
            <w:pPr>
              <w:spacing w:before="68" w:line="22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自助洗衣机</w:t>
            </w: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单脱水</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vMerge w:val="continue"/>
            <w:tcBorders>
              <w:left w:val="single" w:color="auto" w:sz="4" w:space="0"/>
              <w:right w:val="single" w:color="auto" w:sz="4" w:space="0"/>
            </w:tcBorders>
          </w:tcPr>
          <w:p>
            <w:pPr>
              <w:spacing w:before="69" w:line="186" w:lineRule="auto"/>
              <w:jc w:val="center"/>
              <w:rPr>
                <w:color w:val="000000" w:themeColor="text1"/>
                <w:sz w:val="24"/>
                <w14:textFill>
                  <w14:solidFill>
                    <w14:schemeClr w14:val="tx1"/>
                  </w14:solidFill>
                </w14:textFill>
              </w:rPr>
            </w:pPr>
          </w:p>
        </w:tc>
        <w:tc>
          <w:tcPr>
            <w:tcW w:w="968" w:type="dxa"/>
            <w:vMerge w:val="continue"/>
            <w:tcBorders>
              <w:left w:val="single" w:color="auto" w:sz="4" w:space="0"/>
              <w:right w:val="single" w:color="auto" w:sz="4" w:space="0"/>
            </w:tcBorders>
            <w:vAlign w:val="center"/>
          </w:tcPr>
          <w:p>
            <w:pPr>
              <w:spacing w:before="68" w:line="220" w:lineRule="auto"/>
              <w:jc w:val="center"/>
              <w:rPr>
                <w:color w:val="000000" w:themeColor="text1"/>
                <w:sz w:val="24"/>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快洗</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p>
        </w:tc>
        <w:tc>
          <w:tcPr>
            <w:tcW w:w="968" w:type="dxa"/>
            <w:vMerge w:val="continue"/>
            <w:tcBorders>
              <w:left w:val="single" w:color="auto" w:sz="4" w:space="0"/>
              <w:right w:val="single" w:color="auto" w:sz="4" w:space="0"/>
            </w:tcBorders>
          </w:tcPr>
          <w:p>
            <w:pPr>
              <w:rPr>
                <w:color w:val="000000" w:themeColor="text1"/>
                <w:sz w:val="24"/>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标准洗</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p>
        </w:tc>
        <w:tc>
          <w:tcPr>
            <w:tcW w:w="968" w:type="dxa"/>
            <w:vMerge w:val="continue"/>
            <w:tcBorders>
              <w:left w:val="single" w:color="auto" w:sz="4" w:space="0"/>
              <w:right w:val="single" w:color="auto" w:sz="4" w:space="0"/>
            </w:tcBorders>
          </w:tcPr>
          <w:p>
            <w:pPr>
              <w:rPr>
                <w:color w:val="000000" w:themeColor="text1"/>
                <w:sz w:val="24"/>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大件洗</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vMerge w:val="continue"/>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p>
        </w:tc>
        <w:tc>
          <w:tcPr>
            <w:tcW w:w="968" w:type="dxa"/>
            <w:vMerge w:val="continue"/>
            <w:tcBorders>
              <w:left w:val="single" w:color="auto" w:sz="4" w:space="0"/>
              <w:bottom w:val="single" w:color="auto" w:sz="4" w:space="0"/>
              <w:right w:val="single" w:color="auto" w:sz="4" w:space="0"/>
            </w:tcBorders>
          </w:tcPr>
          <w:p>
            <w:pPr>
              <w:rPr>
                <w:color w:val="000000" w:themeColor="text1"/>
                <w:sz w:val="24"/>
                <w14:textFill>
                  <w14:solidFill>
                    <w14:schemeClr w14:val="tx1"/>
                  </w14:solidFill>
                </w14:textFill>
              </w:rPr>
            </w:pP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桶自洁</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968" w:type="dxa"/>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烘干机</w:t>
            </w: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烘干</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8" w:type="dxa"/>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968" w:type="dxa"/>
            <w:tcBorders>
              <w:top w:val="single" w:color="auto" w:sz="4" w:space="0"/>
              <w:left w:val="single" w:color="auto" w:sz="4" w:space="0"/>
              <w:bottom w:val="single" w:color="auto" w:sz="4" w:space="0"/>
              <w:right w:val="single" w:color="auto" w:sz="4" w:space="0"/>
            </w:tcBorders>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洗鞋机</w:t>
            </w:r>
          </w:p>
        </w:tc>
        <w:tc>
          <w:tcPr>
            <w:tcW w:w="1119"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洗鞋</w:t>
            </w:r>
          </w:p>
        </w:tc>
        <w:tc>
          <w:tcPr>
            <w:tcW w:w="1566" w:type="dxa"/>
            <w:vAlign w:val="center"/>
          </w:tcPr>
          <w:p>
            <w:pPr>
              <w:adjustRightInd w:val="0"/>
              <w:snapToGrid w:val="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3.0元/次</w:t>
            </w:r>
          </w:p>
        </w:tc>
        <w:tc>
          <w:tcPr>
            <w:tcW w:w="1288" w:type="dxa"/>
            <w:vAlign w:val="center"/>
          </w:tcPr>
          <w:p>
            <w:pPr>
              <w:spacing w:before="65" w:line="221" w:lineRule="auto"/>
              <w:jc w:val="center"/>
              <w:rPr>
                <w:color w:val="000000" w:themeColor="text1"/>
                <w:sz w:val="24"/>
                <w14:textFill>
                  <w14:solidFill>
                    <w14:schemeClr w14:val="tx1"/>
                  </w14:solidFill>
                </w14:textFill>
              </w:rPr>
            </w:pPr>
          </w:p>
        </w:tc>
      </w:tr>
    </w:tbl>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报价（元）：</w:t>
      </w:r>
    </w:p>
    <w:p>
      <w:pPr>
        <w:pStyle w:val="21"/>
        <w:ind w:left="1470" w:right="1470"/>
        <w:rPr>
          <w:color w:val="000000" w:themeColor="text1"/>
          <w14:textFill>
            <w14:solidFill>
              <w14:schemeClr w14:val="tx1"/>
            </w14:solidFill>
          </w14:textFill>
        </w:rPr>
      </w:pPr>
    </w:p>
    <w:p>
      <w:pPr>
        <w:snapToGrid w:val="0"/>
        <w:spacing w:line="360" w:lineRule="auto"/>
        <w:rPr>
          <w:rFonts w:ascii="宋体" w:hAnsi="宋体"/>
          <w:b/>
          <w:color w:val="000000" w:themeColor="text1"/>
          <w:sz w:val="28"/>
          <w:szCs w:val="28"/>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说明或承诺:</w:t>
      </w:r>
    </w:p>
    <w:p>
      <w:pPr>
        <w:snapToGrid w:val="0"/>
        <w:spacing w:line="300" w:lineRule="auto"/>
        <w:rPr>
          <w:rFonts w:ascii="宋体" w:hAnsi="宋体"/>
          <w:b/>
          <w:color w:val="000000" w:themeColor="text1"/>
          <w:sz w:val="32"/>
          <w:szCs w:val="32"/>
          <w14:textFill>
            <w14:solidFill>
              <w14:schemeClr w14:val="tx1"/>
            </w14:solidFill>
          </w14:textFill>
        </w:rPr>
      </w:pPr>
    </w:p>
    <w:p>
      <w:pPr>
        <w:pStyle w:val="27"/>
        <w:spacing w:before="120"/>
        <w:ind w:firstLine="643"/>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 xml:space="preserve">                 </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投标单位（名称及盖公章）：</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授权代表（签字）：</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授权代表（身份证号码）：</w:t>
      </w:r>
    </w:p>
    <w:p>
      <w:pPr>
        <w:snapToGrid w:val="0"/>
        <w:spacing w:line="360" w:lineRule="auto"/>
        <w:jc w:val="righ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w:t>
      </w:r>
    </w:p>
    <w:p>
      <w:pPr>
        <w:snapToGrid w:val="0"/>
        <w:spacing w:line="360" w:lineRule="auto"/>
        <w:jc w:val="righ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日期：     年    月   日</w:t>
      </w:r>
    </w:p>
    <w:bookmarkEnd w:id="190"/>
    <w:sectPr>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o+8MYBAACcAwAADgAAAGRycy9lMm9Eb2MueG1srVNLbtswEN0XyB0I&#10;7mMpXgSuYDloYSQoULQF0h6ApiiLAH/gjC35Au0Nuuqm+57L5+iQkpw23WTRDTU/vpn3OFrfDdaw&#10;o4qgvav5zaLkTDnpG+32Nf/y+f56xRmgcI0w3qmanxTwu83Vq3UfKrX0nTeNioxAHFR9qHmHGKqi&#10;ANkpK2Dhg3KUbH20AsmN+6KJoid0a4plWd4WvY9NiF4qAIpuxySfEONLAH3baqm2Xh6scjiiRmUE&#10;EiXodAC+ydO2rZL4sW1BITM1J6aYT2pC9i6dxWYtqn0UodNyGkG8ZIRnnKzQjppeoLYCBTtE/Q+U&#10;1TJ68C0upLfFSCQrQixuymfaPHYiqMyFpIZwER3+H6z8cPwUmW5oE0gSJyy9+Pn7t/OPX+efX9nr&#10;pE8foKKyx0CFOLz1A9XOcaBgoj200aYvEWKUJ6jTRV01IJPp0mq5WpWUkpSbHcIvnq6HCPigvGXJ&#10;qHmk58uqiuN7wLF0LkndnL/XxuQnNO6vAGGOEZV3YLqdmIwTJwuH3TDR2/nmROx62oOaO1p7zsw7&#10;RzLTtDgbcTZ2k5E6QnhzQBojT5dQRyhilRx6tMxvWrC0FX/6uerpp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Kj7wxgEAAJwDAAAOAAAAAAAAAAEAIAAAAB4BAABkcnMvZTJvRG9jLnht&#10;bFBLBQYAAAAABgAGAFkBAABW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- 2 -</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L2gMYBAACcAwAADgAAAGRycy9lMm9Eb2MueG1srVNLbtswEN0X6B0I&#10;7mvJXhSGYDloYCQoEKQF0h6ApiiLAMkhOLQlX6C9QVfddN9z+RwdUrKdppssuqHmx8d5b0arm8Ea&#10;dlABNbiaz2clZ8pJaLTb1fzrl7t3S84wCtcIA07V/KiQ36zfvln1vlIL6MA0KjACcVj1vuZdjL4q&#10;CpSdsgJn4JWjZAvBikhu2BVNED2hW1MsyvJ90UNofACpECm6GZN8QgyvAYS21VJtQO6tcnFEDcqI&#10;SJSw0x75OnfbtkrGT22LKjJTc2Ia80mPkL1NZ7FeiWoXhO+0nFoQr2nhBScrtKNHL1AbEQXbB/0P&#10;lNUyAEIbZxJsMRLJihCLeflCm6dOeJW5kNToL6Lj/4OVj4fPgemm5jR2JywN/PTj++nn79Ovb2ye&#10;9ek9VlT25KkwDrcw0NYk3VIcKZhoD22w6UuEGOVJ3eNFXTVEJtOl5WK5LCklKXd2CKe4XvcB470C&#10;y5JR80Djy6qKwwPGsfRckl5zcKeNySM07q8AYY4RlXdgun3tOFlx2A4TjS00R2LX0x7U3NHac2Y+&#10;OpI5rczZCGdjOxnpRfQf9pHayN0l1BGKWCWHhpb5TQuWtuK5n6uuP9X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0svaAxgEAAJwDAAAOAAAAAAAAAAEAIAAAAB4BAABkcnMvZTJvRG9jLnht&#10;bFBLBQYAAAAABgAGAFkBAABW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4321810</wp:posOffset>
              </wp:positionH>
              <wp:positionV relativeFrom="paragraph">
                <wp:posOffset>22860</wp:posOffset>
              </wp:positionV>
              <wp:extent cx="488315" cy="1238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8315" cy="123825"/>
                      </a:xfrm>
                      <a:prstGeom prst="rect">
                        <a:avLst/>
                      </a:prstGeom>
                      <a:noFill/>
                      <a:ln>
                        <a:noFill/>
                      </a:ln>
                      <a:effectLst/>
                    </wps:spPr>
                    <wps:txbx>
                      <w:txbxContent>
                        <w:p>
                          <w:pPr>
                            <w:pStyle w:val="29"/>
                          </w:pPr>
                        </w:p>
                        <w:p>
                          <w:pPr>
                            <w:pStyle w:val="29"/>
                          </w:pPr>
                        </w:p>
                      </w:txbxContent>
                    </wps:txbx>
                    <wps:bodyPr wrap="square" lIns="0" tIns="0" rIns="0" bIns="0"/>
                  </wps:wsp>
                </a:graphicData>
              </a:graphic>
            </wp:anchor>
          </w:drawing>
        </mc:Choice>
        <mc:Fallback>
          <w:pict>
            <v:shape id="_x0000_s1026" o:spid="_x0000_s1026" o:spt="202" type="#_x0000_t202" style="position:absolute;left:0pt;margin-left:340.3pt;margin-top:1.8pt;height:9.75pt;width:38.45pt;mso-position-horizontal-relative:margin;z-index:251661312;mso-width-relative:page;mso-height-relative:page;" filled="f" stroked="f" coordsize="21600,21600" o:gfxdata="UEsDBAoAAAAAAIdO4kAAAAAAAAAAAAAAAAAEAAAAZHJzL1BLAwQUAAAACACHTuJAPUvoWdgAAAAI&#10;AQAADwAAAGRycy9kb3ducmV2LnhtbE2PzU7DMBCE70i8g7VI3KidVk3bNJsKITghIdJw4OjEbhI1&#10;XofY/eHtWU5wGq1mNPNtvru6QZztFHpPCMlMgbDUeNNTi/BRvTysQYSoyejBk0X4tgF2xe1NrjPj&#10;L1Ta8z62gksoZBqhi3HMpAxNZ50OMz9aYu/gJ6cjn1MrzaQvXO4GOVcqlU73xAudHu1TZ5vj/uQQ&#10;Hj+pfO6/3ur38lD2VbVR9JoeEe/vErUFEe01/oXhF5/RoWCm2p/IBDEgpGuVchRhwcL+arlagqgR&#10;5osEZJHL/w8UP1BLAwQUAAAACACHTuJAo0kAVcIBAACBAwAADgAAAGRycy9lMm9Eb2MueG1srVPN&#10;jtMwEL6vxDtYvtO0XRa1UdOVULUICQHSwgO4zqSx5D88bpO+ALwBJy7c97n6HIydtAvLZQ9cnPHM&#10;+Jv5vpmsbnuj2QECKmcrPptMOQMrXa3sruJfPt+9XHCGUdhaaGeh4kdAfrt+cbXqfAlz1zpdQ2AE&#10;YrHsfMXbGH1ZFChbMAInzoOlYOOCEZGuYVfUQXSEbnQxn05fF50LtQ9OAiJ5N0OQj4jhOYCuaZSE&#10;jZN7AzYOqAG0iEQJW+WRr3O3TQMyfmwahMh0xYlpzCcVIXubzmK9EuUuCN8qObYgntPCE05GKEtF&#10;L1AbEQXbB/UPlFEyOHRNnEhnioFIVoRYzKZPtLlvhYfMhaRGfxEd/x+s/HD4FJiqK77kzApDAz/9&#10;+H76+XD69Y0tkzydx5Ky7j3lxf6N62lpzn4kZ2LdN8GkL/FhFCdxjxdxoY9MkvPVYnE9u+FMUmg2&#10;v17MbxJK8fjYB4xvwRmWjIoHml2WVBzeYxxSzymplnV3Sus8P23/chDm4IG8AOPrxGPoN1mx3/Yj&#10;ua2rj8StoyWoOH7diwCc6XeWVE4bczbC2diORmopQdFkMo9xi9Lo/7znrMc/Z/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UvoWdgAAAAIAQAADwAAAAAAAAABACAAAAAiAAAAZHJzL2Rvd25yZXYu&#10;eG1sUEsBAhQAFAAAAAgAh07iQKNJAFXCAQAAgQMAAA4AAAAAAAAAAQAgAAAAJwEAAGRycy9lMm9E&#10;b2MueG1sUEsFBgAAAAAGAAYAWQEAAFsFAAAAAA==&#10;">
              <v:fill on="f" focussize="0,0"/>
              <v:stroke on="f"/>
              <v:imagedata o:title=""/>
              <o:lock v:ext="edit" aspectratio="f"/>
              <v:textbox inset="0mm,0mm,0mm,0mm">
                <w:txbxContent>
                  <w:p>
                    <w:pPr>
                      <w:pStyle w:val="29"/>
                    </w:pPr>
                  </w:p>
                  <w:p>
                    <w:pPr>
                      <w:pStyle w:val="2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793719"/>
                          </w:sdtPr>
                          <w:sdtContent>
                            <w:p>
                              <w:pPr>
                                <w:pStyle w:val="29"/>
                                <w:jc w:val="center"/>
                              </w:pPr>
                              <w:r>
                                <w:fldChar w:fldCharType="begin"/>
                              </w:r>
                              <w:r>
                                <w:instrText xml:space="preserve">PAGE   \* MERGEFORMAT</w:instrText>
                              </w:r>
                              <w:r>
                                <w:fldChar w:fldCharType="separate"/>
                              </w:r>
                              <w:r>
                                <w:rPr>
                                  <w:lang w:val="zh-CN"/>
                                </w:rPr>
                                <w:t>50</w:t>
                              </w:r>
                              <w:r>
                                <w:rPr>
                                  <w:lang w:val="zh-CN"/>
                                </w:rP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168793719"/>
                    </w:sdtPr>
                    <w:sdtContent>
                      <w:p>
                        <w:pPr>
                          <w:pStyle w:val="29"/>
                          <w:jc w:val="center"/>
                        </w:pPr>
                        <w:r>
                          <w:fldChar w:fldCharType="begin"/>
                        </w:r>
                        <w:r>
                          <w:instrText xml:space="preserve">PAGE   \* MERGEFORMAT</w:instrText>
                        </w:r>
                        <w:r>
                          <w:fldChar w:fldCharType="separate"/>
                        </w:r>
                        <w:r>
                          <w:rPr>
                            <w:lang w:val="zh-CN"/>
                          </w:rPr>
                          <w:t>50</w:t>
                        </w:r>
                        <w:r>
                          <w:rPr>
                            <w:lang w:val="zh-CN"/>
                          </w:rPr>
                          <w:fldChar w:fldCharType="end"/>
                        </w:r>
                      </w:p>
                    </w:sdtContent>
                  </w:sdt>
                  <w:p>
                    <w:pPr>
                      <w:pStyle w:val="2"/>
                      <w:ind w:firstLine="5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rPr>
        <w:rFonts w:ascii="隶书" w:hAnsi="隶书" w:eastAsia="隶书" w:cs="隶书"/>
        <w:sz w:val="24"/>
        <w:szCs w:val="24"/>
      </w:rPr>
    </w:pPr>
    <w:r>
      <w:rPr>
        <w:rFonts w:hint="eastAsia" w:ascii="隶书" w:hAnsi="隶书" w:eastAsia="隶书" w:cs="隶书"/>
        <w:sz w:val="24"/>
        <w:szCs w:val="24"/>
      </w:rPr>
      <w:t>2023-017W招标文件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4FD55"/>
    <w:multiLevelType w:val="multilevel"/>
    <w:tmpl w:val="8334FD5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895616A"/>
    <w:multiLevelType w:val="multilevel"/>
    <w:tmpl w:val="A895616A"/>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lvl>
    <w:lvl w:ilvl="3" w:tentative="0">
      <w:start w:val="1"/>
      <w:numFmt w:val="decimal"/>
      <w:pStyle w:val="10"/>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2">
    <w:nsid w:val="C2CCDAB8"/>
    <w:multiLevelType w:val="singleLevel"/>
    <w:tmpl w:val="C2CCDAB8"/>
    <w:lvl w:ilvl="0" w:tentative="0">
      <w:start w:val="2"/>
      <w:numFmt w:val="decimal"/>
      <w:lvlText w:val="%1."/>
      <w:lvlJc w:val="left"/>
      <w:pPr>
        <w:tabs>
          <w:tab w:val="left" w:pos="312"/>
        </w:tabs>
      </w:pPr>
    </w:lvl>
  </w:abstractNum>
  <w:abstractNum w:abstractNumId="3">
    <w:nsid w:val="C74478CC"/>
    <w:multiLevelType w:val="singleLevel"/>
    <w:tmpl w:val="C74478CC"/>
    <w:lvl w:ilvl="0" w:tentative="0">
      <w:start w:val="1"/>
      <w:numFmt w:val="decimal"/>
      <w:suff w:val="space"/>
      <w:lvlText w:val="(%1)"/>
      <w:lvlJc w:val="left"/>
    </w:lvl>
  </w:abstractNum>
  <w:abstractNum w:abstractNumId="4">
    <w:nsid w:val="06784D56"/>
    <w:multiLevelType w:val="singleLevel"/>
    <w:tmpl w:val="06784D56"/>
    <w:lvl w:ilvl="0" w:tentative="0">
      <w:start w:val="1"/>
      <w:numFmt w:val="upperLetter"/>
      <w:pStyle w:val="103"/>
      <w:lvlText w:val="附录%1."/>
      <w:lvlJc w:val="left"/>
      <w:pPr>
        <w:tabs>
          <w:tab w:val="left" w:pos="907"/>
        </w:tabs>
        <w:ind w:left="907" w:hanging="907"/>
      </w:pPr>
    </w:lvl>
  </w:abstractNum>
  <w:abstractNum w:abstractNumId="5">
    <w:nsid w:val="237E4D61"/>
    <w:multiLevelType w:val="multilevel"/>
    <w:tmpl w:val="237E4D61"/>
    <w:lvl w:ilvl="0" w:tentative="0">
      <w:start w:val="1"/>
      <w:numFmt w:val="japaneseCounting"/>
      <w:pStyle w:val="109"/>
      <w:lvlText w:val="第%1章"/>
      <w:lvlJc w:val="left"/>
      <w:pPr>
        <w:ind w:left="9351" w:hanging="420"/>
      </w:pPr>
      <w:rPr>
        <w:rFonts w:hint="eastAsia" w:ascii="黑体" w:hAnsi="Times New Roman" w:eastAsia="黑体"/>
        <w:b w:val="0"/>
        <w:sz w:val="36"/>
        <w:lang w:val="en-US"/>
      </w:rPr>
    </w:lvl>
    <w:lvl w:ilvl="1" w:tentative="0">
      <w:start w:val="1"/>
      <w:numFmt w:val="decimal"/>
      <w:pStyle w:val="100"/>
      <w:isLgl/>
      <w:lvlText w:val="%1.%2"/>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pStyle w:val="99"/>
      <w:isLgl/>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pStyle w:val="89"/>
      <w:isLgl/>
      <w:lvlText w:val="%1.%2.%3.%4"/>
      <w:lvlJc w:val="left"/>
      <w:pPr>
        <w:tabs>
          <w:tab w:val="left" w:pos="1134"/>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4"/>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6">
    <w:nsid w:val="42B3BFEB"/>
    <w:multiLevelType w:val="singleLevel"/>
    <w:tmpl w:val="42B3BFEB"/>
    <w:lvl w:ilvl="0" w:tentative="0">
      <w:start w:val="1"/>
      <w:numFmt w:val="decimal"/>
      <w:lvlText w:val="%1."/>
      <w:lvlJc w:val="left"/>
      <w:pPr>
        <w:tabs>
          <w:tab w:val="left" w:pos="312"/>
        </w:tabs>
      </w:pPr>
    </w:lvl>
  </w:abstractNum>
  <w:abstractNum w:abstractNumId="7">
    <w:nsid w:val="4ADFAAA6"/>
    <w:multiLevelType w:val="singleLevel"/>
    <w:tmpl w:val="4ADFAAA6"/>
    <w:lvl w:ilvl="0" w:tentative="0">
      <w:start w:val="4"/>
      <w:numFmt w:val="decimal"/>
      <w:suff w:val="space"/>
      <w:lvlText w:val="(%1)"/>
      <w:lvlJc w:val="left"/>
    </w:lvl>
  </w:abstractNum>
  <w:abstractNum w:abstractNumId="8">
    <w:nsid w:val="4B9D1858"/>
    <w:multiLevelType w:val="multilevel"/>
    <w:tmpl w:val="4B9D1858"/>
    <w:lvl w:ilvl="0" w:tentative="0">
      <w:start w:val="1"/>
      <w:numFmt w:val="chineseCountingThousand"/>
      <w:suff w:val="space"/>
      <w:lvlText w:val="第%1部分"/>
      <w:lvlJc w:val="left"/>
      <w:pPr>
        <w:ind w:left="0" w:firstLine="0"/>
      </w:pPr>
      <w:rPr>
        <w:rFonts w:hint="eastAsia"/>
      </w:rPr>
    </w:lvl>
    <w:lvl w:ilvl="1" w:tentative="0">
      <w:start w:val="1"/>
      <w:numFmt w:val="chineseCountingThousand"/>
      <w:lvlText w:val="%2、"/>
      <w:lvlJc w:val="left"/>
      <w:pPr>
        <w:ind w:left="0" w:firstLine="0"/>
      </w:pPr>
      <w:rPr>
        <w:rFonts w:hint="eastAsia"/>
        <w:sz w:val="32"/>
        <w:szCs w:val="32"/>
        <w:lang w:val="en-US"/>
      </w:rPr>
    </w:lvl>
    <w:lvl w:ilvl="2" w:tentative="0">
      <w:start w:val="1"/>
      <w:numFmt w:val="decimal"/>
      <w:isLgl/>
      <w:suff w:val="space"/>
      <w:lvlText w:val="%2.%3"/>
      <w:lvlJc w:val="left"/>
      <w:pPr>
        <w:ind w:left="709" w:firstLine="0"/>
      </w:pPr>
      <w:rPr>
        <w:rFonts w:hint="eastAsia"/>
      </w:rPr>
    </w:lvl>
    <w:lvl w:ilvl="3" w:tentative="0">
      <w:start w:val="1"/>
      <w:numFmt w:val="decimal"/>
      <w:isLgl/>
      <w:suff w:val="space"/>
      <w:lvlText w:val="%2.%3.%4"/>
      <w:lvlJc w:val="left"/>
      <w:pPr>
        <w:ind w:left="1134" w:firstLine="0"/>
      </w:pPr>
      <w:rPr>
        <w:rFonts w:hint="eastAsia"/>
      </w:rPr>
    </w:lvl>
    <w:lvl w:ilvl="4" w:tentative="0">
      <w:start w:val="1"/>
      <w:numFmt w:val="decimal"/>
      <w:pStyle w:val="150"/>
      <w:isLgl/>
      <w:suff w:val="space"/>
      <w:lvlText w:val="%2.%3.%4.%5"/>
      <w:lvlJc w:val="left"/>
      <w:pPr>
        <w:ind w:left="0" w:firstLine="0"/>
      </w:pPr>
      <w:rPr>
        <w:rFonts w:hint="eastAsia"/>
      </w:rPr>
    </w:lvl>
    <w:lvl w:ilvl="5" w:tentative="0">
      <w:start w:val="1"/>
      <w:numFmt w:val="decimal"/>
      <w:pStyle w:val="151"/>
      <w:isLgl/>
      <w:suff w:val="space"/>
      <w:lvlText w:val="%2.%3.%4.%5.%6"/>
      <w:lvlJc w:val="left"/>
      <w:pPr>
        <w:ind w:left="0" w:firstLine="0"/>
      </w:pPr>
      <w:rPr>
        <w:rFonts w:hint="eastAsia"/>
      </w:rPr>
    </w:lvl>
    <w:lvl w:ilvl="6" w:tentative="0">
      <w:start w:val="1"/>
      <w:numFmt w:val="decimal"/>
      <w:pStyle w:val="152"/>
      <w:isLgl/>
      <w:suff w:val="space"/>
      <w:lvlText w:val="%2.%3.%4.%5.%6.%7"/>
      <w:lvlJc w:val="left"/>
      <w:pPr>
        <w:ind w:left="0" w:firstLine="0"/>
      </w:pPr>
      <w:rPr>
        <w:rFonts w:hint="eastAsia"/>
      </w:rPr>
    </w:lvl>
    <w:lvl w:ilvl="7" w:tentative="0">
      <w:start w:val="1"/>
      <w:numFmt w:val="decimal"/>
      <w:isLgl/>
      <w:suff w:val="space"/>
      <w:lvlText w:val="%2.%3.%4.%5.%6.%7.%8"/>
      <w:lvlJc w:val="left"/>
      <w:pPr>
        <w:ind w:left="0" w:firstLine="0"/>
      </w:pPr>
      <w:rPr>
        <w:rFonts w:hint="eastAsia"/>
      </w:rPr>
    </w:lvl>
    <w:lvl w:ilvl="8" w:tentative="0">
      <w:start w:val="1"/>
      <w:numFmt w:val="decimal"/>
      <w:isLgl/>
      <w:suff w:val="space"/>
      <w:lvlText w:val="%2.%3.%4.%5.%6.%7.%8.%9"/>
      <w:lvlJc w:val="left"/>
      <w:pPr>
        <w:ind w:left="0" w:firstLine="0"/>
      </w:pPr>
      <w:rPr>
        <w:rFonts w:hint="eastAsia"/>
      </w:r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8"/>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0D7C53"/>
    <w:rsid w:val="00022DFD"/>
    <w:rsid w:val="00026F47"/>
    <w:rsid w:val="00043192"/>
    <w:rsid w:val="00070B07"/>
    <w:rsid w:val="000C312B"/>
    <w:rsid w:val="000D7C53"/>
    <w:rsid w:val="000F4294"/>
    <w:rsid w:val="000F740A"/>
    <w:rsid w:val="00100142"/>
    <w:rsid w:val="00152798"/>
    <w:rsid w:val="0016013B"/>
    <w:rsid w:val="001C681D"/>
    <w:rsid w:val="002151C7"/>
    <w:rsid w:val="00237142"/>
    <w:rsid w:val="002774D0"/>
    <w:rsid w:val="0029669E"/>
    <w:rsid w:val="002C3EC0"/>
    <w:rsid w:val="002D1291"/>
    <w:rsid w:val="002D644A"/>
    <w:rsid w:val="0032186D"/>
    <w:rsid w:val="0034032A"/>
    <w:rsid w:val="00353301"/>
    <w:rsid w:val="00354BF9"/>
    <w:rsid w:val="00365155"/>
    <w:rsid w:val="00375FAB"/>
    <w:rsid w:val="003A5691"/>
    <w:rsid w:val="003B0753"/>
    <w:rsid w:val="003B4031"/>
    <w:rsid w:val="003C2567"/>
    <w:rsid w:val="003C4968"/>
    <w:rsid w:val="003D0471"/>
    <w:rsid w:val="00412304"/>
    <w:rsid w:val="00415DC9"/>
    <w:rsid w:val="004278C2"/>
    <w:rsid w:val="004418C1"/>
    <w:rsid w:val="00442973"/>
    <w:rsid w:val="00455138"/>
    <w:rsid w:val="00481813"/>
    <w:rsid w:val="004833F5"/>
    <w:rsid w:val="00486304"/>
    <w:rsid w:val="00486CE4"/>
    <w:rsid w:val="004944CF"/>
    <w:rsid w:val="00496F40"/>
    <w:rsid w:val="004D32D1"/>
    <w:rsid w:val="004F3CA7"/>
    <w:rsid w:val="004F45E1"/>
    <w:rsid w:val="00501FF0"/>
    <w:rsid w:val="00597599"/>
    <w:rsid w:val="005A2E09"/>
    <w:rsid w:val="005B40EE"/>
    <w:rsid w:val="005C4005"/>
    <w:rsid w:val="005C4870"/>
    <w:rsid w:val="005D05B0"/>
    <w:rsid w:val="005D5320"/>
    <w:rsid w:val="005F407A"/>
    <w:rsid w:val="006110C3"/>
    <w:rsid w:val="00615FD4"/>
    <w:rsid w:val="00627FB7"/>
    <w:rsid w:val="00637D21"/>
    <w:rsid w:val="006548C5"/>
    <w:rsid w:val="00665BED"/>
    <w:rsid w:val="00693E34"/>
    <w:rsid w:val="00705089"/>
    <w:rsid w:val="00705D7A"/>
    <w:rsid w:val="00730BCE"/>
    <w:rsid w:val="00734889"/>
    <w:rsid w:val="00736797"/>
    <w:rsid w:val="00751047"/>
    <w:rsid w:val="00753B21"/>
    <w:rsid w:val="00790497"/>
    <w:rsid w:val="007C2771"/>
    <w:rsid w:val="007D088F"/>
    <w:rsid w:val="007E1A6C"/>
    <w:rsid w:val="00812CDB"/>
    <w:rsid w:val="00837779"/>
    <w:rsid w:val="00853615"/>
    <w:rsid w:val="00863945"/>
    <w:rsid w:val="00870166"/>
    <w:rsid w:val="008723FF"/>
    <w:rsid w:val="00885E62"/>
    <w:rsid w:val="00891355"/>
    <w:rsid w:val="008B69A3"/>
    <w:rsid w:val="008E2BD6"/>
    <w:rsid w:val="008E4409"/>
    <w:rsid w:val="009043C0"/>
    <w:rsid w:val="00914E60"/>
    <w:rsid w:val="009459C4"/>
    <w:rsid w:val="009B2828"/>
    <w:rsid w:val="009B3BBC"/>
    <w:rsid w:val="009E0421"/>
    <w:rsid w:val="00A14379"/>
    <w:rsid w:val="00A2611C"/>
    <w:rsid w:val="00A42744"/>
    <w:rsid w:val="00A44D69"/>
    <w:rsid w:val="00A459DE"/>
    <w:rsid w:val="00A52D45"/>
    <w:rsid w:val="00A677D3"/>
    <w:rsid w:val="00A86DF1"/>
    <w:rsid w:val="00AB1F74"/>
    <w:rsid w:val="00AB56F6"/>
    <w:rsid w:val="00AD2A7C"/>
    <w:rsid w:val="00AE08A3"/>
    <w:rsid w:val="00AE0BA4"/>
    <w:rsid w:val="00AE0DF6"/>
    <w:rsid w:val="00AE73A6"/>
    <w:rsid w:val="00AF231B"/>
    <w:rsid w:val="00B23FA5"/>
    <w:rsid w:val="00B46BC9"/>
    <w:rsid w:val="00B47182"/>
    <w:rsid w:val="00B64C44"/>
    <w:rsid w:val="00B77F11"/>
    <w:rsid w:val="00BC54E1"/>
    <w:rsid w:val="00BD4864"/>
    <w:rsid w:val="00BE461B"/>
    <w:rsid w:val="00C30B58"/>
    <w:rsid w:val="00C35D27"/>
    <w:rsid w:val="00C41B92"/>
    <w:rsid w:val="00CC0391"/>
    <w:rsid w:val="00CD4B95"/>
    <w:rsid w:val="00D17A4D"/>
    <w:rsid w:val="00D306AE"/>
    <w:rsid w:val="00D3737A"/>
    <w:rsid w:val="00D5050B"/>
    <w:rsid w:val="00D83CC0"/>
    <w:rsid w:val="00DA65E0"/>
    <w:rsid w:val="00DB6CBB"/>
    <w:rsid w:val="00DE2D0E"/>
    <w:rsid w:val="00E07C2A"/>
    <w:rsid w:val="00E12769"/>
    <w:rsid w:val="00E70960"/>
    <w:rsid w:val="00EA11C4"/>
    <w:rsid w:val="00EA7B45"/>
    <w:rsid w:val="00EB46BF"/>
    <w:rsid w:val="00EE214C"/>
    <w:rsid w:val="00EE3350"/>
    <w:rsid w:val="00F35385"/>
    <w:rsid w:val="00F602F3"/>
    <w:rsid w:val="00F6277E"/>
    <w:rsid w:val="00FD1C65"/>
    <w:rsid w:val="0156177E"/>
    <w:rsid w:val="01BB7A8A"/>
    <w:rsid w:val="023870D5"/>
    <w:rsid w:val="02552693"/>
    <w:rsid w:val="02702D13"/>
    <w:rsid w:val="0291146D"/>
    <w:rsid w:val="02F7130B"/>
    <w:rsid w:val="04DB2989"/>
    <w:rsid w:val="0683418E"/>
    <w:rsid w:val="08275C22"/>
    <w:rsid w:val="08F5551A"/>
    <w:rsid w:val="0934744A"/>
    <w:rsid w:val="09DB3EA5"/>
    <w:rsid w:val="0B3C3711"/>
    <w:rsid w:val="0BB02179"/>
    <w:rsid w:val="0CC63CC9"/>
    <w:rsid w:val="0DEC16FB"/>
    <w:rsid w:val="0DFA429B"/>
    <w:rsid w:val="0E167E86"/>
    <w:rsid w:val="0E1D4591"/>
    <w:rsid w:val="0E655EEA"/>
    <w:rsid w:val="0EFD592E"/>
    <w:rsid w:val="102900BD"/>
    <w:rsid w:val="10A17F00"/>
    <w:rsid w:val="122817CE"/>
    <w:rsid w:val="12886BFD"/>
    <w:rsid w:val="1328668D"/>
    <w:rsid w:val="133F163F"/>
    <w:rsid w:val="134C3473"/>
    <w:rsid w:val="13543269"/>
    <w:rsid w:val="139E260E"/>
    <w:rsid w:val="15082DEC"/>
    <w:rsid w:val="15144B34"/>
    <w:rsid w:val="161C7AA9"/>
    <w:rsid w:val="16C21B75"/>
    <w:rsid w:val="170D1814"/>
    <w:rsid w:val="175D48E0"/>
    <w:rsid w:val="17B41C1C"/>
    <w:rsid w:val="17D1050C"/>
    <w:rsid w:val="180276BA"/>
    <w:rsid w:val="1815603A"/>
    <w:rsid w:val="184E71FB"/>
    <w:rsid w:val="1968609A"/>
    <w:rsid w:val="1BCD7E55"/>
    <w:rsid w:val="1C45504A"/>
    <w:rsid w:val="1D026AAE"/>
    <w:rsid w:val="1F23626A"/>
    <w:rsid w:val="1FF468DA"/>
    <w:rsid w:val="20B163FC"/>
    <w:rsid w:val="219534E9"/>
    <w:rsid w:val="21980AE8"/>
    <w:rsid w:val="223B36D0"/>
    <w:rsid w:val="23AE341D"/>
    <w:rsid w:val="254D48EA"/>
    <w:rsid w:val="2593690B"/>
    <w:rsid w:val="25A3672E"/>
    <w:rsid w:val="264048FF"/>
    <w:rsid w:val="266A3208"/>
    <w:rsid w:val="26A14942"/>
    <w:rsid w:val="26BE19EF"/>
    <w:rsid w:val="289504BB"/>
    <w:rsid w:val="29B0449A"/>
    <w:rsid w:val="29E21551"/>
    <w:rsid w:val="29F20DD2"/>
    <w:rsid w:val="2A043C00"/>
    <w:rsid w:val="2A4F623E"/>
    <w:rsid w:val="2AB20D36"/>
    <w:rsid w:val="2AB355DC"/>
    <w:rsid w:val="2B260E06"/>
    <w:rsid w:val="2BA31EA2"/>
    <w:rsid w:val="2C0B1233"/>
    <w:rsid w:val="2E5E2687"/>
    <w:rsid w:val="2E8A5C80"/>
    <w:rsid w:val="2F321897"/>
    <w:rsid w:val="2F7A0213"/>
    <w:rsid w:val="3045283A"/>
    <w:rsid w:val="305E6850"/>
    <w:rsid w:val="318A1209"/>
    <w:rsid w:val="31E3052A"/>
    <w:rsid w:val="32156581"/>
    <w:rsid w:val="32425283"/>
    <w:rsid w:val="34FC6F32"/>
    <w:rsid w:val="364F6D4C"/>
    <w:rsid w:val="375A2874"/>
    <w:rsid w:val="37684241"/>
    <w:rsid w:val="376F5F0D"/>
    <w:rsid w:val="38672F8A"/>
    <w:rsid w:val="386F72D7"/>
    <w:rsid w:val="3B5D76DD"/>
    <w:rsid w:val="3B8701AA"/>
    <w:rsid w:val="3BF27759"/>
    <w:rsid w:val="3C3E676B"/>
    <w:rsid w:val="3EA55FA4"/>
    <w:rsid w:val="3EDC3C1F"/>
    <w:rsid w:val="3F186D6D"/>
    <w:rsid w:val="3F597136"/>
    <w:rsid w:val="40C72CC3"/>
    <w:rsid w:val="420F4A55"/>
    <w:rsid w:val="422A57D8"/>
    <w:rsid w:val="42795688"/>
    <w:rsid w:val="429C3915"/>
    <w:rsid w:val="44315157"/>
    <w:rsid w:val="44EE19D4"/>
    <w:rsid w:val="452205EB"/>
    <w:rsid w:val="456958B5"/>
    <w:rsid w:val="46731329"/>
    <w:rsid w:val="46880BBC"/>
    <w:rsid w:val="48783354"/>
    <w:rsid w:val="4A343BEC"/>
    <w:rsid w:val="4C5009C4"/>
    <w:rsid w:val="4DD05C6D"/>
    <w:rsid w:val="4E1D4F44"/>
    <w:rsid w:val="4E2D698F"/>
    <w:rsid w:val="4F083929"/>
    <w:rsid w:val="4F3937E2"/>
    <w:rsid w:val="50E023DF"/>
    <w:rsid w:val="544A38CB"/>
    <w:rsid w:val="54522BB3"/>
    <w:rsid w:val="54FC355F"/>
    <w:rsid w:val="56911FE4"/>
    <w:rsid w:val="57092685"/>
    <w:rsid w:val="57327A88"/>
    <w:rsid w:val="57363F2C"/>
    <w:rsid w:val="586369BF"/>
    <w:rsid w:val="58BD4DB3"/>
    <w:rsid w:val="58BD750D"/>
    <w:rsid w:val="59E2256E"/>
    <w:rsid w:val="5AB54B03"/>
    <w:rsid w:val="5AF17AE0"/>
    <w:rsid w:val="5B8747EB"/>
    <w:rsid w:val="5C5869CB"/>
    <w:rsid w:val="5CAE7F17"/>
    <w:rsid w:val="5DAF228A"/>
    <w:rsid w:val="5DFD07F6"/>
    <w:rsid w:val="5E1A3C31"/>
    <w:rsid w:val="5E414648"/>
    <w:rsid w:val="605449AE"/>
    <w:rsid w:val="60B43691"/>
    <w:rsid w:val="60E56E68"/>
    <w:rsid w:val="62B45479"/>
    <w:rsid w:val="636820E0"/>
    <w:rsid w:val="63BF26EC"/>
    <w:rsid w:val="63C85702"/>
    <w:rsid w:val="63FF2507"/>
    <w:rsid w:val="647F1A54"/>
    <w:rsid w:val="648C42B7"/>
    <w:rsid w:val="65DF2C20"/>
    <w:rsid w:val="667E43B8"/>
    <w:rsid w:val="671A60A5"/>
    <w:rsid w:val="67226E55"/>
    <w:rsid w:val="67B6759E"/>
    <w:rsid w:val="6828543E"/>
    <w:rsid w:val="693C70E7"/>
    <w:rsid w:val="6A633635"/>
    <w:rsid w:val="6A793230"/>
    <w:rsid w:val="6CCC7736"/>
    <w:rsid w:val="6D3A173E"/>
    <w:rsid w:val="6DF211CB"/>
    <w:rsid w:val="6EB02F99"/>
    <w:rsid w:val="6EC339F7"/>
    <w:rsid w:val="6EEA0E74"/>
    <w:rsid w:val="6FAA45D0"/>
    <w:rsid w:val="70591107"/>
    <w:rsid w:val="70847810"/>
    <w:rsid w:val="724C122A"/>
    <w:rsid w:val="730E64E0"/>
    <w:rsid w:val="734A1A1E"/>
    <w:rsid w:val="73D12A7B"/>
    <w:rsid w:val="74161AF0"/>
    <w:rsid w:val="746E6772"/>
    <w:rsid w:val="7480340D"/>
    <w:rsid w:val="74C662F0"/>
    <w:rsid w:val="75107F5B"/>
    <w:rsid w:val="756E5A5A"/>
    <w:rsid w:val="757A4300"/>
    <w:rsid w:val="75F46D0A"/>
    <w:rsid w:val="76097BCB"/>
    <w:rsid w:val="764D3566"/>
    <w:rsid w:val="76C5617E"/>
    <w:rsid w:val="77A8674E"/>
    <w:rsid w:val="77C4095B"/>
    <w:rsid w:val="798B088A"/>
    <w:rsid w:val="79A97159"/>
    <w:rsid w:val="79CA2CA8"/>
    <w:rsid w:val="7A6A3DA2"/>
    <w:rsid w:val="7A707A80"/>
    <w:rsid w:val="7A784C14"/>
    <w:rsid w:val="7AEA5900"/>
    <w:rsid w:val="7B1623D5"/>
    <w:rsid w:val="7B595F40"/>
    <w:rsid w:val="7CE03EEC"/>
    <w:rsid w:val="7CE43D2A"/>
    <w:rsid w:val="7DEE7682"/>
    <w:rsid w:val="7DFD5C33"/>
    <w:rsid w:val="7E3003DC"/>
    <w:rsid w:val="7EFE565A"/>
    <w:rsid w:val="7F0F5A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name="Body Text 2"/>
    <w:lsdException w:qFormat="1" w:uiPriority="0" w:name="Body Text 3"/>
    <w:lsdException w:qFormat="1" w:uiPriority="99" w:semiHidden="0" w:name="Body Text Indent 2"/>
    <w:lsdException w:qFormat="1" w:uiPriority="0" w:name="Body Text Indent 3"/>
    <w:lsdException w:qFormat="1" w:unhideWhenUsed="0" w:uiPriority="0" w:semiHidden="0"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qFormat="1" w:unhideWhenUsed="0" w:uiPriority="0" w:semiHidden="0"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1"/>
    <w:qFormat/>
    <w:uiPriority w:val="0"/>
    <w:pPr>
      <w:keepNext/>
      <w:outlineLvl w:val="0"/>
    </w:pPr>
    <w:rPr>
      <w:rFonts w:ascii="楷体_GB2312" w:eastAsia="楷体_GB2312"/>
      <w:sz w:val="28"/>
      <w:szCs w:val="20"/>
    </w:rPr>
  </w:style>
  <w:style w:type="paragraph" w:styleId="8">
    <w:name w:val="heading 2"/>
    <w:basedOn w:val="1"/>
    <w:next w:val="1"/>
    <w:link w:val="62"/>
    <w:unhideWhenUsed/>
    <w:qFormat/>
    <w:uiPriority w:val="0"/>
    <w:pPr>
      <w:keepNext/>
      <w:keepLines/>
      <w:spacing w:before="260" w:after="260" w:line="415" w:lineRule="auto"/>
      <w:jc w:val="center"/>
      <w:outlineLvl w:val="1"/>
    </w:pPr>
    <w:rPr>
      <w:rFonts w:ascii="Arial" w:hAnsi="Arial" w:eastAsia="幼圆"/>
      <w:b/>
      <w:sz w:val="44"/>
      <w:szCs w:val="20"/>
    </w:rPr>
  </w:style>
  <w:style w:type="paragraph" w:styleId="9">
    <w:name w:val="heading 3"/>
    <w:basedOn w:val="1"/>
    <w:next w:val="1"/>
    <w:link w:val="63"/>
    <w:unhideWhenUsed/>
    <w:qFormat/>
    <w:uiPriority w:val="9"/>
    <w:pPr>
      <w:keepNext/>
      <w:keepLines/>
      <w:spacing w:before="260" w:after="260" w:line="415" w:lineRule="auto"/>
      <w:outlineLvl w:val="2"/>
    </w:pPr>
    <w:rPr>
      <w:b/>
      <w:sz w:val="32"/>
      <w:szCs w:val="20"/>
    </w:rPr>
  </w:style>
  <w:style w:type="paragraph" w:styleId="10">
    <w:name w:val="heading 4"/>
    <w:basedOn w:val="1"/>
    <w:next w:val="1"/>
    <w:link w:val="64"/>
    <w:unhideWhenUsed/>
    <w:qFormat/>
    <w:uiPriority w:val="0"/>
    <w:pPr>
      <w:keepNext/>
      <w:keepLines/>
      <w:numPr>
        <w:ilvl w:val="3"/>
        <w:numId w:val="1"/>
      </w:numPr>
      <w:spacing w:before="280" w:after="290" w:line="374" w:lineRule="auto"/>
      <w:ind w:left="0" w:firstLine="0"/>
      <w:outlineLvl w:val="3"/>
    </w:pPr>
    <w:rPr>
      <w:rFonts w:ascii="Arial" w:hAnsi="Arial" w:eastAsia="黑体"/>
      <w:b/>
      <w:bCs/>
      <w:sz w:val="28"/>
      <w:szCs w:val="28"/>
    </w:rPr>
  </w:style>
  <w:style w:type="paragraph" w:styleId="11">
    <w:name w:val="heading 5"/>
    <w:basedOn w:val="1"/>
    <w:next w:val="1"/>
    <w:link w:val="65"/>
    <w:unhideWhenUsed/>
    <w:qFormat/>
    <w:uiPriority w:val="0"/>
    <w:pPr>
      <w:keepNext/>
      <w:outlineLvl w:val="4"/>
    </w:pPr>
    <w:rPr>
      <w:rFonts w:ascii="宋体" w:hAnsi="宋体"/>
      <w:b/>
      <w:bCs/>
    </w:rPr>
  </w:style>
  <w:style w:type="paragraph" w:styleId="12">
    <w:name w:val="heading 6"/>
    <w:basedOn w:val="1"/>
    <w:next w:val="1"/>
    <w:link w:val="139"/>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13">
    <w:name w:val="heading 7"/>
    <w:basedOn w:val="1"/>
    <w:next w:val="1"/>
    <w:link w:val="136"/>
    <w:semiHidden/>
    <w:unhideWhenUsed/>
    <w:qFormat/>
    <w:uiPriority w:val="0"/>
    <w:pPr>
      <w:keepNext/>
      <w:keepLines/>
      <w:tabs>
        <w:tab w:val="left" w:pos="11"/>
      </w:tabs>
      <w:spacing w:line="317" w:lineRule="auto"/>
      <w:ind w:left="1296"/>
      <w:outlineLvl w:val="6"/>
    </w:pPr>
    <w:rPr>
      <w:b/>
      <w:sz w:val="24"/>
    </w:rPr>
  </w:style>
  <w:style w:type="paragraph" w:styleId="14">
    <w:name w:val="heading 8"/>
    <w:basedOn w:val="1"/>
    <w:next w:val="1"/>
    <w:link w:val="137"/>
    <w:semiHidden/>
    <w:unhideWhenUsed/>
    <w:qFormat/>
    <w:uiPriority w:val="0"/>
    <w:pPr>
      <w:keepNext/>
      <w:keepLines/>
      <w:spacing w:line="317" w:lineRule="auto"/>
      <w:ind w:left="1440"/>
      <w:outlineLvl w:val="7"/>
    </w:pPr>
    <w:rPr>
      <w:rFonts w:ascii="Arial" w:hAnsi="Arial" w:eastAsia="黑体"/>
      <w:sz w:val="24"/>
    </w:rPr>
  </w:style>
  <w:style w:type="paragraph" w:styleId="15">
    <w:name w:val="heading 9"/>
    <w:basedOn w:val="1"/>
    <w:next w:val="1"/>
    <w:link w:val="138"/>
    <w:semiHidden/>
    <w:unhideWhenUsed/>
    <w:qFormat/>
    <w:uiPriority w:val="0"/>
    <w:pPr>
      <w:keepNext/>
      <w:keepLines/>
      <w:spacing w:line="317" w:lineRule="auto"/>
      <w:ind w:left="1583"/>
      <w:outlineLvl w:val="8"/>
    </w:pPr>
    <w:rPr>
      <w:rFonts w:ascii="Arial" w:hAnsi="Arial" w:eastAsia="黑体"/>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140"/>
    <w:unhideWhenUsed/>
    <w:qFormat/>
    <w:uiPriority w:val="99"/>
    <w:pPr>
      <w:spacing w:line="360" w:lineRule="auto"/>
      <w:ind w:firstLine="200" w:firstLineChars="200"/>
    </w:pPr>
    <w:rPr>
      <w:rFonts w:eastAsia="仿宋_GB2312" w:asciiTheme="minorHAnsi" w:hAnsiTheme="minorHAnsi" w:cstheme="minorBidi"/>
      <w:sz w:val="28"/>
      <w:szCs w:val="24"/>
    </w:rPr>
  </w:style>
  <w:style w:type="paragraph" w:styleId="3">
    <w:name w:val="Body Text Indent"/>
    <w:basedOn w:val="1"/>
    <w:next w:val="4"/>
    <w:link w:val="73"/>
    <w:unhideWhenUsed/>
    <w:qFormat/>
    <w:uiPriority w:val="0"/>
    <w:pPr>
      <w:ind w:firstLine="645"/>
    </w:pPr>
    <w:rPr>
      <w:rFonts w:ascii="楷体_GB2312" w:eastAsia="楷体_GB2312"/>
      <w:sz w:val="32"/>
      <w:szCs w:val="20"/>
    </w:rPr>
  </w:style>
  <w:style w:type="paragraph" w:styleId="4">
    <w:name w:val="envelope return"/>
    <w:basedOn w:val="1"/>
    <w:next w:val="5"/>
    <w:qFormat/>
    <w:uiPriority w:val="0"/>
    <w:pPr>
      <w:snapToGrid w:val="0"/>
    </w:pPr>
    <w:rPr>
      <w:rFonts w:ascii="Arial" w:hAnsi="Arial" w:cs="Arial"/>
    </w:rPr>
  </w:style>
  <w:style w:type="paragraph" w:styleId="5">
    <w:name w:val="toc 7"/>
    <w:basedOn w:val="1"/>
    <w:next w:val="1"/>
    <w:semiHidden/>
    <w:unhideWhenUsed/>
    <w:qFormat/>
    <w:uiPriority w:val="0"/>
    <w:pPr>
      <w:ind w:left="2520" w:leftChars="1200"/>
    </w:pPr>
  </w:style>
  <w:style w:type="paragraph" w:styleId="6">
    <w:name w:val="Body Text"/>
    <w:basedOn w:val="1"/>
    <w:next w:val="3"/>
    <w:link w:val="66"/>
    <w:unhideWhenUsed/>
    <w:qFormat/>
    <w:uiPriority w:val="99"/>
    <w:pPr>
      <w:spacing w:after="120"/>
    </w:pPr>
  </w:style>
  <w:style w:type="paragraph" w:styleId="16">
    <w:name w:val="Normal Indent"/>
    <w:basedOn w:val="1"/>
    <w:next w:val="1"/>
    <w:link w:val="70"/>
    <w:semiHidden/>
    <w:unhideWhenUsed/>
    <w:qFormat/>
    <w:uiPriority w:val="0"/>
    <w:pPr>
      <w:ind w:firstLine="420"/>
    </w:pPr>
    <w:rPr>
      <w:szCs w:val="20"/>
    </w:rPr>
  </w:style>
  <w:style w:type="paragraph" w:styleId="17">
    <w:name w:val="caption"/>
    <w:basedOn w:val="1"/>
    <w:next w:val="1"/>
    <w:link w:val="144"/>
    <w:unhideWhenUsed/>
    <w:qFormat/>
    <w:uiPriority w:val="0"/>
    <w:pPr>
      <w:spacing w:line="360" w:lineRule="auto"/>
      <w:jc w:val="center"/>
    </w:pPr>
    <w:rPr>
      <w:rFonts w:ascii="Arial" w:hAnsi="Arial" w:eastAsia="黑体"/>
      <w:sz w:val="24"/>
    </w:rPr>
  </w:style>
  <w:style w:type="paragraph" w:styleId="18">
    <w:name w:val="Document Map"/>
    <w:basedOn w:val="1"/>
    <w:link w:val="79"/>
    <w:unhideWhenUsed/>
    <w:qFormat/>
    <w:uiPriority w:val="99"/>
    <w:pPr>
      <w:shd w:val="clear" w:color="auto" w:fill="000080"/>
    </w:pPr>
  </w:style>
  <w:style w:type="paragraph" w:styleId="19">
    <w:name w:val="annotation text"/>
    <w:basedOn w:val="1"/>
    <w:link w:val="71"/>
    <w:unhideWhenUsed/>
    <w:qFormat/>
    <w:uiPriority w:val="0"/>
    <w:pPr>
      <w:jc w:val="left"/>
    </w:pPr>
  </w:style>
  <w:style w:type="paragraph" w:styleId="20">
    <w:name w:val="Body Text 3"/>
    <w:basedOn w:val="1"/>
    <w:link w:val="76"/>
    <w:semiHidden/>
    <w:unhideWhenUsed/>
    <w:qFormat/>
    <w:uiPriority w:val="0"/>
    <w:rPr>
      <w:rFonts w:ascii="仿宋_GB2312" w:hAnsi="Arial" w:eastAsia="仿宋_GB2312"/>
      <w:sz w:val="32"/>
      <w:szCs w:val="20"/>
    </w:rPr>
  </w:style>
  <w:style w:type="paragraph" w:styleId="21">
    <w:name w:val="Block Text"/>
    <w:basedOn w:val="1"/>
    <w:qFormat/>
    <w:uiPriority w:val="0"/>
    <w:pPr>
      <w:tabs>
        <w:tab w:val="left" w:pos="9000"/>
      </w:tabs>
      <w:spacing w:after="120"/>
      <w:ind w:left="1440" w:leftChars="700" w:right="1440" w:rightChars="700"/>
    </w:pPr>
  </w:style>
  <w:style w:type="paragraph" w:styleId="22">
    <w:name w:val="toc 5"/>
    <w:basedOn w:val="1"/>
    <w:next w:val="1"/>
    <w:semiHidden/>
    <w:unhideWhenUsed/>
    <w:qFormat/>
    <w:uiPriority w:val="0"/>
    <w:pPr>
      <w:ind w:left="1680" w:leftChars="800"/>
    </w:pPr>
  </w:style>
  <w:style w:type="paragraph" w:styleId="23">
    <w:name w:val="toc 3"/>
    <w:basedOn w:val="1"/>
    <w:next w:val="1"/>
    <w:unhideWhenUsed/>
    <w:qFormat/>
    <w:uiPriority w:val="39"/>
    <w:pPr>
      <w:tabs>
        <w:tab w:val="right" w:leader="dot" w:pos="9440"/>
      </w:tabs>
      <w:spacing w:line="240" w:lineRule="exact"/>
      <w:ind w:left="539"/>
      <w:jc w:val="left"/>
    </w:pPr>
    <w:rPr>
      <w:rFonts w:ascii="黑体" w:hAnsi="宋体" w:eastAsia="黑体"/>
      <w:bCs/>
      <w:iCs/>
      <w:sz w:val="18"/>
      <w:szCs w:val="32"/>
    </w:rPr>
  </w:style>
  <w:style w:type="paragraph" w:styleId="24">
    <w:name w:val="Plain Text"/>
    <w:basedOn w:val="1"/>
    <w:link w:val="80"/>
    <w:unhideWhenUsed/>
    <w:qFormat/>
    <w:uiPriority w:val="0"/>
    <w:rPr>
      <w:rFonts w:ascii="宋体" w:hAnsi="Courier New"/>
      <w:szCs w:val="20"/>
    </w:rPr>
  </w:style>
  <w:style w:type="paragraph" w:styleId="25">
    <w:name w:val="toc 8"/>
    <w:basedOn w:val="1"/>
    <w:next w:val="1"/>
    <w:semiHidden/>
    <w:unhideWhenUsed/>
    <w:qFormat/>
    <w:uiPriority w:val="0"/>
    <w:pPr>
      <w:ind w:left="2940" w:leftChars="1400"/>
    </w:pPr>
  </w:style>
  <w:style w:type="paragraph" w:styleId="26">
    <w:name w:val="Date"/>
    <w:basedOn w:val="1"/>
    <w:next w:val="1"/>
    <w:link w:val="74"/>
    <w:unhideWhenUsed/>
    <w:qFormat/>
    <w:uiPriority w:val="99"/>
    <w:rPr>
      <w:sz w:val="24"/>
      <w:szCs w:val="20"/>
    </w:rPr>
  </w:style>
  <w:style w:type="paragraph" w:styleId="27">
    <w:name w:val="Body Text Indent 2"/>
    <w:basedOn w:val="1"/>
    <w:link w:val="77"/>
    <w:unhideWhenUsed/>
    <w:qFormat/>
    <w:uiPriority w:val="99"/>
    <w:pPr>
      <w:ind w:firstLine="560" w:firstLineChars="200"/>
    </w:pPr>
    <w:rPr>
      <w:rFonts w:ascii="宋体" w:hAnsi="宋体"/>
      <w:sz w:val="28"/>
    </w:rPr>
  </w:style>
  <w:style w:type="paragraph" w:styleId="28">
    <w:name w:val="Balloon Text"/>
    <w:basedOn w:val="1"/>
    <w:link w:val="82"/>
    <w:unhideWhenUsed/>
    <w:qFormat/>
    <w:uiPriority w:val="0"/>
    <w:rPr>
      <w:sz w:val="18"/>
      <w:szCs w:val="18"/>
    </w:rPr>
  </w:style>
  <w:style w:type="paragraph" w:styleId="29">
    <w:name w:val="footer"/>
    <w:basedOn w:val="1"/>
    <w:link w:val="60"/>
    <w:unhideWhenUsed/>
    <w:qFormat/>
    <w:uiPriority w:val="99"/>
    <w:pPr>
      <w:tabs>
        <w:tab w:val="center" w:pos="4153"/>
        <w:tab w:val="right" w:pos="8306"/>
      </w:tabs>
      <w:snapToGrid w:val="0"/>
      <w:jc w:val="left"/>
    </w:pPr>
    <w:rPr>
      <w:sz w:val="18"/>
      <w:szCs w:val="18"/>
    </w:rPr>
  </w:style>
  <w:style w:type="paragraph" w:styleId="30">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9440"/>
      </w:tabs>
      <w:spacing w:before="120" w:after="120" w:line="300" w:lineRule="exact"/>
      <w:jc w:val="left"/>
    </w:pPr>
    <w:rPr>
      <w:rFonts w:ascii="黑体" w:eastAsia="黑体"/>
      <w:b/>
      <w:caps/>
      <w:sz w:val="18"/>
      <w:szCs w:val="28"/>
    </w:rPr>
  </w:style>
  <w:style w:type="paragraph" w:styleId="32">
    <w:name w:val="toc 4"/>
    <w:basedOn w:val="1"/>
    <w:next w:val="1"/>
    <w:semiHidden/>
    <w:unhideWhenUsed/>
    <w:qFormat/>
    <w:uiPriority w:val="0"/>
    <w:pPr>
      <w:ind w:left="1260" w:leftChars="600"/>
    </w:pPr>
  </w:style>
  <w:style w:type="paragraph" w:styleId="33">
    <w:name w:val="Subtitle"/>
    <w:basedOn w:val="1"/>
    <w:next w:val="1"/>
    <w:link w:val="128"/>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34">
    <w:name w:val="toc 6"/>
    <w:basedOn w:val="1"/>
    <w:next w:val="1"/>
    <w:semiHidden/>
    <w:unhideWhenUsed/>
    <w:qFormat/>
    <w:uiPriority w:val="0"/>
    <w:pPr>
      <w:ind w:left="2100" w:leftChars="1000"/>
    </w:pPr>
  </w:style>
  <w:style w:type="paragraph" w:styleId="35">
    <w:name w:val="Body Text Indent 3"/>
    <w:basedOn w:val="1"/>
    <w:link w:val="78"/>
    <w:semiHidden/>
    <w:unhideWhenUsed/>
    <w:qFormat/>
    <w:uiPriority w:val="0"/>
    <w:pPr>
      <w:ind w:firstLine="523"/>
    </w:pPr>
    <w:rPr>
      <w:rFonts w:ascii="仿宋_GB2312" w:hAnsi="宋体" w:eastAsia="仿宋_GB2312"/>
      <w:sz w:val="24"/>
    </w:rPr>
  </w:style>
  <w:style w:type="paragraph" w:styleId="36">
    <w:name w:val="index 9"/>
    <w:basedOn w:val="1"/>
    <w:next w:val="1"/>
    <w:unhideWhenUsed/>
    <w:qFormat/>
    <w:uiPriority w:val="99"/>
    <w:pPr>
      <w:ind w:left="1600" w:leftChars="1600"/>
    </w:pPr>
  </w:style>
  <w:style w:type="paragraph" w:styleId="37">
    <w:name w:val="toc 2"/>
    <w:basedOn w:val="1"/>
    <w:next w:val="1"/>
    <w:unhideWhenUsed/>
    <w:qFormat/>
    <w:uiPriority w:val="39"/>
    <w:pPr>
      <w:tabs>
        <w:tab w:val="right" w:leader="dot" w:pos="9440"/>
      </w:tabs>
      <w:spacing w:line="260" w:lineRule="exact"/>
      <w:jc w:val="left"/>
    </w:pPr>
    <w:rPr>
      <w:rFonts w:ascii="黑体" w:eastAsia="黑体"/>
      <w:b/>
      <w:bCs/>
      <w:smallCaps/>
      <w:sz w:val="18"/>
      <w:szCs w:val="44"/>
    </w:rPr>
  </w:style>
  <w:style w:type="paragraph" w:styleId="38">
    <w:name w:val="toc 9"/>
    <w:basedOn w:val="1"/>
    <w:next w:val="1"/>
    <w:semiHidden/>
    <w:unhideWhenUsed/>
    <w:qFormat/>
    <w:uiPriority w:val="0"/>
    <w:pPr>
      <w:ind w:left="3360" w:leftChars="1600"/>
    </w:pPr>
  </w:style>
  <w:style w:type="paragraph" w:styleId="39">
    <w:name w:val="Body Text 2"/>
    <w:basedOn w:val="1"/>
    <w:link w:val="75"/>
    <w:semiHidden/>
    <w:unhideWhenUsed/>
    <w:qFormat/>
    <w:uiPriority w:val="0"/>
    <w:pPr>
      <w:jc w:val="center"/>
    </w:pPr>
    <w:rPr>
      <w:rFonts w:ascii="仿宋_GB2312" w:eastAsia="仿宋_GB2312"/>
      <w:sz w:val="44"/>
    </w:rPr>
  </w:style>
  <w:style w:type="paragraph" w:styleId="40">
    <w:name w:val="HTML Preformatted"/>
    <w:basedOn w:val="1"/>
    <w:link w:val="6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unhideWhenUsed/>
    <w:qFormat/>
    <w:uiPriority w:val="0"/>
    <w:rPr>
      <w:rFonts w:ascii="宋体" w:hAnsi="宋体"/>
      <w:szCs w:val="18"/>
    </w:rPr>
  </w:style>
  <w:style w:type="paragraph" w:styleId="43">
    <w:name w:val="Title"/>
    <w:basedOn w:val="1"/>
    <w:next w:val="1"/>
    <w:link w:val="72"/>
    <w:qFormat/>
    <w:uiPriority w:val="10"/>
    <w:pPr>
      <w:spacing w:before="240" w:after="60"/>
      <w:jc w:val="center"/>
      <w:outlineLvl w:val="0"/>
    </w:pPr>
    <w:rPr>
      <w:rFonts w:ascii="等线 Light" w:hAnsi="等线 Light"/>
      <w:b/>
      <w:bCs/>
      <w:sz w:val="32"/>
      <w:szCs w:val="32"/>
    </w:rPr>
  </w:style>
  <w:style w:type="paragraph" w:styleId="44">
    <w:name w:val="annotation subject"/>
    <w:basedOn w:val="19"/>
    <w:next w:val="19"/>
    <w:link w:val="81"/>
    <w:semiHidden/>
    <w:unhideWhenUsed/>
    <w:qFormat/>
    <w:uiPriority w:val="0"/>
    <w:rPr>
      <w:b/>
      <w:bCs/>
    </w:rPr>
  </w:style>
  <w:style w:type="paragraph" w:styleId="45">
    <w:name w:val="Body Text First Indent"/>
    <w:basedOn w:val="1"/>
    <w:next w:val="1"/>
    <w:link w:val="67"/>
    <w:unhideWhenUsed/>
    <w:qFormat/>
    <w:uiPriority w:val="0"/>
    <w:pPr>
      <w:ind w:firstLine="420" w:firstLineChars="100"/>
    </w:p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Web 2"/>
    <w:basedOn w:val="46"/>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50">
    <w:name w:val="Strong"/>
    <w:basedOn w:val="49"/>
    <w:qFormat/>
    <w:uiPriority w:val="22"/>
    <w:rPr>
      <w:b/>
      <w:bCs/>
    </w:rPr>
  </w:style>
  <w:style w:type="character" w:styleId="51">
    <w:name w:val="page number"/>
    <w:basedOn w:val="49"/>
    <w:unhideWhenUsed/>
    <w:qFormat/>
    <w:uiPriority w:val="0"/>
  </w:style>
  <w:style w:type="character" w:styleId="52">
    <w:name w:val="FollowedHyperlink"/>
    <w:semiHidden/>
    <w:unhideWhenUsed/>
    <w:qFormat/>
    <w:uiPriority w:val="0"/>
    <w:rPr>
      <w:color w:val="800080"/>
      <w:u w:val="single"/>
    </w:rPr>
  </w:style>
  <w:style w:type="character" w:styleId="53">
    <w:name w:val="Hyperlink"/>
    <w:unhideWhenUsed/>
    <w:qFormat/>
    <w:uiPriority w:val="99"/>
    <w:rPr>
      <w:color w:val="0000FF"/>
      <w:u w:val="single"/>
    </w:rPr>
  </w:style>
  <w:style w:type="character" w:styleId="54">
    <w:name w:val="annotation reference"/>
    <w:semiHidden/>
    <w:unhideWhenUsed/>
    <w:qFormat/>
    <w:uiPriority w:val="99"/>
    <w:rPr>
      <w:sz w:val="21"/>
      <w:szCs w:val="21"/>
    </w:rPr>
  </w:style>
  <w:style w:type="paragraph" w:customStyle="1" w:styleId="55">
    <w:name w:val="段"/>
    <w:next w:val="56"/>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56">
    <w:name w:val="正文 A"/>
    <w:next w:val="5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57">
    <w:name w:val="Default"/>
    <w:next w:val="58"/>
    <w:qFormat/>
    <w:uiPriority w:val="0"/>
    <w:pPr>
      <w:widowControl w:val="0"/>
      <w:autoSpaceDE w:val="0"/>
      <w:autoSpaceDN w:val="0"/>
      <w:adjustRightInd w:val="0"/>
      <w:ind w:firstLine="200" w:firstLineChars="200"/>
      <w:jc w:val="both"/>
    </w:pPr>
    <w:rPr>
      <w:rFonts w:ascii="Calibri" w:hAnsi="Calibri" w:eastAsia="宋体" w:cs="Times New Roman"/>
      <w:color w:val="000000"/>
      <w:sz w:val="24"/>
      <w:szCs w:val="24"/>
      <w:lang w:val="en-US" w:eastAsia="zh-CN" w:bidi="ar-SA"/>
    </w:rPr>
  </w:style>
  <w:style w:type="paragraph" w:customStyle="1" w:styleId="5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9">
    <w:name w:val="页眉 字符"/>
    <w:basedOn w:val="49"/>
    <w:link w:val="30"/>
    <w:qFormat/>
    <w:uiPriority w:val="99"/>
    <w:rPr>
      <w:sz w:val="18"/>
      <w:szCs w:val="18"/>
    </w:rPr>
  </w:style>
  <w:style w:type="character" w:customStyle="1" w:styleId="60">
    <w:name w:val="页脚 字符"/>
    <w:basedOn w:val="49"/>
    <w:link w:val="29"/>
    <w:qFormat/>
    <w:uiPriority w:val="99"/>
    <w:rPr>
      <w:sz w:val="18"/>
      <w:szCs w:val="18"/>
    </w:rPr>
  </w:style>
  <w:style w:type="character" w:customStyle="1" w:styleId="61">
    <w:name w:val="标题 1 字符"/>
    <w:basedOn w:val="49"/>
    <w:link w:val="7"/>
    <w:qFormat/>
    <w:uiPriority w:val="0"/>
    <w:rPr>
      <w:rFonts w:ascii="楷体_GB2312" w:hAnsi="Times New Roman" w:eastAsia="楷体_GB2312" w:cs="Times New Roman"/>
      <w:sz w:val="28"/>
      <w:szCs w:val="20"/>
    </w:rPr>
  </w:style>
  <w:style w:type="character" w:customStyle="1" w:styleId="62">
    <w:name w:val="标题 2 字符"/>
    <w:basedOn w:val="49"/>
    <w:link w:val="8"/>
    <w:qFormat/>
    <w:uiPriority w:val="0"/>
    <w:rPr>
      <w:rFonts w:ascii="Arial" w:hAnsi="Arial" w:eastAsia="幼圆" w:cs="Times New Roman"/>
      <w:b/>
      <w:sz w:val="44"/>
      <w:szCs w:val="20"/>
    </w:rPr>
  </w:style>
  <w:style w:type="character" w:customStyle="1" w:styleId="63">
    <w:name w:val="标题 3 字符"/>
    <w:basedOn w:val="49"/>
    <w:link w:val="9"/>
    <w:qFormat/>
    <w:uiPriority w:val="9"/>
    <w:rPr>
      <w:rFonts w:ascii="Times New Roman" w:hAnsi="Times New Roman" w:eastAsia="宋体" w:cs="Times New Roman"/>
      <w:b/>
      <w:sz w:val="32"/>
      <w:szCs w:val="20"/>
    </w:rPr>
  </w:style>
  <w:style w:type="character" w:customStyle="1" w:styleId="64">
    <w:name w:val="标题 4 字符"/>
    <w:basedOn w:val="49"/>
    <w:link w:val="10"/>
    <w:qFormat/>
    <w:uiPriority w:val="0"/>
    <w:rPr>
      <w:rFonts w:ascii="Arial" w:hAnsi="Arial" w:eastAsia="黑体" w:cs="Times New Roman"/>
      <w:b/>
      <w:bCs/>
      <w:sz w:val="28"/>
      <w:szCs w:val="28"/>
    </w:rPr>
  </w:style>
  <w:style w:type="character" w:customStyle="1" w:styleId="65">
    <w:name w:val="标题 5 字符"/>
    <w:basedOn w:val="49"/>
    <w:link w:val="11"/>
    <w:qFormat/>
    <w:uiPriority w:val="0"/>
    <w:rPr>
      <w:rFonts w:ascii="宋体" w:hAnsi="宋体" w:eastAsia="宋体" w:cs="Times New Roman"/>
      <w:b/>
      <w:bCs/>
      <w:szCs w:val="24"/>
    </w:rPr>
  </w:style>
  <w:style w:type="character" w:customStyle="1" w:styleId="66">
    <w:name w:val="正文文本 字符"/>
    <w:basedOn w:val="49"/>
    <w:link w:val="6"/>
    <w:qFormat/>
    <w:uiPriority w:val="99"/>
    <w:rPr>
      <w:rFonts w:ascii="Times New Roman" w:hAnsi="Times New Roman" w:eastAsia="宋体" w:cs="Times New Roman"/>
      <w:szCs w:val="24"/>
    </w:rPr>
  </w:style>
  <w:style w:type="character" w:customStyle="1" w:styleId="67">
    <w:name w:val="正文首行缩进 字符"/>
    <w:basedOn w:val="66"/>
    <w:link w:val="45"/>
    <w:qFormat/>
    <w:uiPriority w:val="0"/>
    <w:rPr>
      <w:rFonts w:ascii="Times New Roman" w:hAnsi="Times New Roman" w:eastAsia="宋体" w:cs="Times New Roman"/>
      <w:szCs w:val="24"/>
    </w:rPr>
  </w:style>
  <w:style w:type="character" w:customStyle="1" w:styleId="68">
    <w:name w:val="HTML 预设格式 字符"/>
    <w:basedOn w:val="49"/>
    <w:link w:val="40"/>
    <w:semiHidden/>
    <w:qFormat/>
    <w:uiPriority w:val="0"/>
    <w:rPr>
      <w:rFonts w:ascii="黑体" w:hAnsi="Courier New" w:eastAsia="黑体" w:cs="Courier New"/>
      <w:kern w:val="0"/>
      <w:sz w:val="20"/>
      <w:szCs w:val="20"/>
    </w:rPr>
  </w:style>
  <w:style w:type="paragraph" w:customStyle="1" w:styleId="6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70">
    <w:name w:val="正文缩进 字符"/>
    <w:link w:val="16"/>
    <w:semiHidden/>
    <w:qFormat/>
    <w:locked/>
    <w:uiPriority w:val="0"/>
    <w:rPr>
      <w:rFonts w:ascii="Times New Roman" w:hAnsi="Times New Roman" w:eastAsia="宋体" w:cs="Times New Roman"/>
      <w:szCs w:val="20"/>
    </w:rPr>
  </w:style>
  <w:style w:type="character" w:customStyle="1" w:styleId="71">
    <w:name w:val="批注文字 字符"/>
    <w:basedOn w:val="49"/>
    <w:link w:val="19"/>
    <w:qFormat/>
    <w:uiPriority w:val="0"/>
    <w:rPr>
      <w:rFonts w:ascii="Times New Roman" w:hAnsi="Times New Roman" w:eastAsia="宋体" w:cs="Times New Roman"/>
      <w:szCs w:val="24"/>
    </w:rPr>
  </w:style>
  <w:style w:type="character" w:customStyle="1" w:styleId="72">
    <w:name w:val="标题 字符"/>
    <w:basedOn w:val="49"/>
    <w:link w:val="43"/>
    <w:qFormat/>
    <w:uiPriority w:val="10"/>
    <w:rPr>
      <w:rFonts w:ascii="等线 Light" w:hAnsi="等线 Light" w:eastAsia="宋体" w:cs="Times New Roman"/>
      <w:b/>
      <w:bCs/>
      <w:sz w:val="32"/>
      <w:szCs w:val="32"/>
    </w:rPr>
  </w:style>
  <w:style w:type="character" w:customStyle="1" w:styleId="73">
    <w:name w:val="正文文本缩进 字符"/>
    <w:basedOn w:val="49"/>
    <w:link w:val="3"/>
    <w:qFormat/>
    <w:uiPriority w:val="0"/>
    <w:rPr>
      <w:rFonts w:ascii="楷体_GB2312" w:hAnsi="Times New Roman" w:eastAsia="楷体_GB2312" w:cs="Times New Roman"/>
      <w:sz w:val="32"/>
      <w:szCs w:val="20"/>
    </w:rPr>
  </w:style>
  <w:style w:type="character" w:customStyle="1" w:styleId="74">
    <w:name w:val="日期 字符"/>
    <w:basedOn w:val="49"/>
    <w:link w:val="26"/>
    <w:qFormat/>
    <w:uiPriority w:val="99"/>
    <w:rPr>
      <w:rFonts w:ascii="Times New Roman" w:hAnsi="Times New Roman" w:eastAsia="宋体" w:cs="Times New Roman"/>
      <w:sz w:val="24"/>
      <w:szCs w:val="20"/>
    </w:rPr>
  </w:style>
  <w:style w:type="character" w:customStyle="1" w:styleId="75">
    <w:name w:val="正文文本 2 字符"/>
    <w:basedOn w:val="49"/>
    <w:link w:val="39"/>
    <w:semiHidden/>
    <w:qFormat/>
    <w:uiPriority w:val="0"/>
    <w:rPr>
      <w:rFonts w:ascii="仿宋_GB2312" w:hAnsi="Times New Roman" w:eastAsia="仿宋_GB2312" w:cs="Times New Roman"/>
      <w:sz w:val="44"/>
      <w:szCs w:val="24"/>
    </w:rPr>
  </w:style>
  <w:style w:type="character" w:customStyle="1" w:styleId="76">
    <w:name w:val="正文文本 3 字符"/>
    <w:basedOn w:val="49"/>
    <w:link w:val="20"/>
    <w:semiHidden/>
    <w:qFormat/>
    <w:uiPriority w:val="0"/>
    <w:rPr>
      <w:rFonts w:ascii="仿宋_GB2312" w:hAnsi="Arial" w:eastAsia="仿宋_GB2312" w:cs="Times New Roman"/>
      <w:sz w:val="32"/>
      <w:szCs w:val="20"/>
    </w:rPr>
  </w:style>
  <w:style w:type="character" w:customStyle="1" w:styleId="77">
    <w:name w:val="正文文本缩进 2 字符"/>
    <w:basedOn w:val="49"/>
    <w:link w:val="27"/>
    <w:qFormat/>
    <w:uiPriority w:val="99"/>
    <w:rPr>
      <w:rFonts w:ascii="宋体" w:hAnsi="宋体" w:eastAsia="宋体" w:cs="Times New Roman"/>
      <w:sz w:val="28"/>
      <w:szCs w:val="24"/>
    </w:rPr>
  </w:style>
  <w:style w:type="character" w:customStyle="1" w:styleId="78">
    <w:name w:val="正文文本缩进 3 字符"/>
    <w:basedOn w:val="49"/>
    <w:link w:val="35"/>
    <w:semiHidden/>
    <w:qFormat/>
    <w:uiPriority w:val="0"/>
    <w:rPr>
      <w:rFonts w:ascii="仿宋_GB2312" w:hAnsi="宋体" w:eastAsia="仿宋_GB2312" w:cs="Times New Roman"/>
      <w:sz w:val="24"/>
      <w:szCs w:val="24"/>
    </w:rPr>
  </w:style>
  <w:style w:type="character" w:customStyle="1" w:styleId="79">
    <w:name w:val="文档结构图 字符"/>
    <w:basedOn w:val="49"/>
    <w:link w:val="18"/>
    <w:qFormat/>
    <w:uiPriority w:val="99"/>
    <w:rPr>
      <w:rFonts w:ascii="Times New Roman" w:hAnsi="Times New Roman" w:eastAsia="宋体" w:cs="Times New Roman"/>
      <w:szCs w:val="24"/>
      <w:shd w:val="clear" w:color="auto" w:fill="000080"/>
    </w:rPr>
  </w:style>
  <w:style w:type="character" w:customStyle="1" w:styleId="80">
    <w:name w:val="纯文本 字符"/>
    <w:basedOn w:val="49"/>
    <w:link w:val="24"/>
    <w:qFormat/>
    <w:uiPriority w:val="0"/>
    <w:rPr>
      <w:rFonts w:ascii="宋体" w:hAnsi="Courier New" w:eastAsia="宋体" w:cs="Times New Roman"/>
      <w:szCs w:val="20"/>
    </w:rPr>
  </w:style>
  <w:style w:type="character" w:customStyle="1" w:styleId="81">
    <w:name w:val="批注主题 字符"/>
    <w:basedOn w:val="71"/>
    <w:link w:val="44"/>
    <w:semiHidden/>
    <w:qFormat/>
    <w:uiPriority w:val="0"/>
    <w:rPr>
      <w:rFonts w:ascii="Times New Roman" w:hAnsi="Times New Roman" w:eastAsia="宋体" w:cs="Times New Roman"/>
      <w:b/>
      <w:bCs/>
      <w:szCs w:val="24"/>
    </w:rPr>
  </w:style>
  <w:style w:type="character" w:customStyle="1" w:styleId="82">
    <w:name w:val="批注框文本 字符"/>
    <w:basedOn w:val="49"/>
    <w:link w:val="28"/>
    <w:qFormat/>
    <w:uiPriority w:val="0"/>
    <w:rPr>
      <w:rFonts w:ascii="Times New Roman" w:hAnsi="Times New Roman" w:eastAsia="宋体" w:cs="Times New Roman"/>
      <w:sz w:val="18"/>
      <w:szCs w:val="18"/>
    </w:rPr>
  </w:style>
  <w:style w:type="paragraph" w:styleId="8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修订1"/>
    <w:semiHidden/>
    <w:qFormat/>
    <w:uiPriority w:val="99"/>
    <w:rPr>
      <w:rFonts w:ascii="Times New Roman" w:hAnsi="Times New Roman" w:eastAsia="宋体" w:cs="Times New Roman"/>
      <w:kern w:val="2"/>
      <w:sz w:val="21"/>
      <w:szCs w:val="24"/>
      <w:lang w:val="en-US" w:eastAsia="zh-CN" w:bidi="ar-SA"/>
    </w:rPr>
  </w:style>
  <w:style w:type="paragraph" w:styleId="85">
    <w:name w:val="List Paragraph"/>
    <w:basedOn w:val="1"/>
    <w:qFormat/>
    <w:uiPriority w:val="34"/>
    <w:pPr>
      <w:ind w:firstLine="420" w:firstLineChars="200"/>
    </w:pPr>
    <w:rPr>
      <w:rFonts w:ascii="Calibri" w:hAnsi="Calibri"/>
      <w:szCs w:val="22"/>
    </w:rPr>
  </w:style>
  <w:style w:type="paragraph" w:customStyle="1" w:styleId="86">
    <w:name w:val="xl47"/>
    <w:basedOn w:val="1"/>
    <w:qFormat/>
    <w:uiPriority w:val="0"/>
    <w:pPr>
      <w:widowControl/>
      <w:spacing w:before="100" w:beforeAutospacing="1" w:after="100" w:afterAutospacing="1"/>
      <w:jc w:val="center"/>
    </w:pPr>
    <w:rPr>
      <w:rFonts w:ascii="方正姚体" w:hAnsi="宋体" w:eastAsia="方正姚体"/>
      <w:b/>
      <w:bCs/>
      <w:kern w:val="0"/>
      <w:sz w:val="36"/>
      <w:szCs w:val="36"/>
    </w:rPr>
  </w:style>
  <w:style w:type="paragraph" w:customStyle="1" w:styleId="87">
    <w:name w:val="正文空2格  1."/>
    <w:basedOn w:val="1"/>
    <w:qFormat/>
    <w:uiPriority w:val="0"/>
    <w:pPr>
      <w:adjustRightInd w:val="0"/>
      <w:spacing w:line="360" w:lineRule="auto"/>
      <w:ind w:firstLine="480" w:firstLineChars="200"/>
    </w:pPr>
    <w:rPr>
      <w:rFonts w:ascii="宋体" w:eastAsia="仿宋" w:cs="宋体"/>
      <w:kern w:val="0"/>
      <w:sz w:val="28"/>
      <w:szCs w:val="20"/>
    </w:rPr>
  </w:style>
  <w:style w:type="paragraph" w:customStyle="1" w:styleId="88">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89">
    <w:name w:val="第四级"/>
    <w:basedOn w:val="1"/>
    <w:next w:val="1"/>
    <w:qFormat/>
    <w:uiPriority w:val="0"/>
    <w:pPr>
      <w:numPr>
        <w:ilvl w:val="3"/>
        <w:numId w:val="3"/>
      </w:numPr>
      <w:adjustRightInd w:val="0"/>
      <w:spacing w:line="360" w:lineRule="auto"/>
    </w:pPr>
    <w:rPr>
      <w:rFonts w:ascii="宋体" w:hAnsi="宋体" w:eastAsia="仿宋"/>
      <w:kern w:val="0"/>
      <w:sz w:val="28"/>
      <w:szCs w:val="21"/>
    </w:rPr>
  </w:style>
  <w:style w:type="paragraph" w:customStyle="1" w:styleId="90">
    <w:name w:val="Char Char Char Char1 Char Char Char"/>
    <w:basedOn w:val="18"/>
    <w:qFormat/>
    <w:uiPriority w:val="0"/>
    <w:pPr>
      <w:adjustRightInd w:val="0"/>
      <w:snapToGrid w:val="0"/>
      <w:spacing w:line="360" w:lineRule="auto"/>
    </w:pPr>
    <w:rPr>
      <w:rFonts w:ascii="Tahoma" w:hAnsi="Tahoma"/>
      <w:sz w:val="24"/>
    </w:rPr>
  </w:style>
  <w:style w:type="paragraph" w:customStyle="1" w:styleId="91">
    <w:name w:val="Coms Alinea"/>
    <w:qFormat/>
    <w:uiPriority w:val="0"/>
    <w:pPr>
      <w:widowControl w:val="0"/>
    </w:pPr>
    <w:rPr>
      <w:rFonts w:ascii="Arial" w:hAnsi="Arial" w:eastAsia="宋体" w:cs="Arial"/>
      <w:lang w:val="en-US" w:eastAsia="zh-CN" w:bidi="ar-SA"/>
    </w:rPr>
  </w:style>
  <w:style w:type="character" w:customStyle="1" w:styleId="92">
    <w:name w:val="列出段落 Char"/>
    <w:link w:val="93"/>
    <w:qFormat/>
    <w:locked/>
    <w:uiPriority w:val="0"/>
    <w:rPr>
      <w:rFonts w:ascii="Calibri" w:hAnsi="Calibri" w:cs="Calibri"/>
      <w:sz w:val="24"/>
      <w:szCs w:val="24"/>
      <w:lang w:eastAsia="en-US" w:bidi="en-US"/>
    </w:rPr>
  </w:style>
  <w:style w:type="paragraph" w:customStyle="1" w:styleId="93">
    <w:name w:val="列出段落1"/>
    <w:basedOn w:val="1"/>
    <w:link w:val="92"/>
    <w:qFormat/>
    <w:uiPriority w:val="34"/>
    <w:pPr>
      <w:widowControl/>
      <w:ind w:left="720"/>
      <w:contextualSpacing/>
      <w:jc w:val="left"/>
    </w:pPr>
    <w:rPr>
      <w:rFonts w:ascii="Calibri" w:hAnsi="Calibri" w:cs="Calibri" w:eastAsiaTheme="minorEastAsia"/>
      <w:sz w:val="24"/>
      <w:lang w:eastAsia="en-US" w:bidi="en-US"/>
    </w:rPr>
  </w:style>
  <w:style w:type="paragraph" w:customStyle="1" w:styleId="94">
    <w:name w:val="Char Char Char Char1 Char Char"/>
    <w:basedOn w:val="1"/>
    <w:qFormat/>
    <w:uiPriority w:val="0"/>
    <w:pPr>
      <w:tabs>
        <w:tab w:val="left" w:pos="360"/>
      </w:tabs>
    </w:pPr>
    <w:rPr>
      <w:sz w:val="24"/>
    </w:rPr>
  </w:style>
  <w:style w:type="paragraph" w:customStyle="1" w:styleId="9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96">
    <w:name w:val="标题2"/>
    <w:basedOn w:val="1"/>
    <w:next w:val="1"/>
    <w:qFormat/>
    <w:uiPriority w:val="0"/>
    <w:pPr>
      <w:jc w:val="center"/>
    </w:pPr>
    <w:rPr>
      <w:rFonts w:eastAsia="方正楷体_GBK"/>
    </w:rPr>
  </w:style>
  <w:style w:type="paragraph" w:customStyle="1" w:styleId="97">
    <w:name w:val="Char"/>
    <w:basedOn w:val="1"/>
    <w:qFormat/>
    <w:uiPriority w:val="0"/>
    <w:pPr>
      <w:tabs>
        <w:tab w:val="left" w:pos="360"/>
      </w:tabs>
    </w:pPr>
    <w:rPr>
      <w:sz w:val="24"/>
    </w:rPr>
  </w:style>
  <w:style w:type="paragraph" w:customStyle="1" w:styleId="98">
    <w:name w:val="默认段落字体 Para Char Char Char Char Char Char Char Char Char1 Char Char Char Char Char Char Char"/>
    <w:basedOn w:val="18"/>
    <w:qFormat/>
    <w:uiPriority w:val="0"/>
    <w:rPr>
      <w:rFonts w:ascii="Tahoma" w:hAnsi="Tahoma"/>
      <w:sz w:val="24"/>
    </w:rPr>
  </w:style>
  <w:style w:type="paragraph" w:customStyle="1" w:styleId="99">
    <w:name w:val="正文 1.1.1"/>
    <w:basedOn w:val="1"/>
    <w:next w:val="1"/>
    <w:qFormat/>
    <w:uiPriority w:val="0"/>
    <w:pPr>
      <w:numPr>
        <w:ilvl w:val="2"/>
        <w:numId w:val="3"/>
      </w:numPr>
      <w:adjustRightInd w:val="0"/>
      <w:spacing w:line="360" w:lineRule="auto"/>
      <w:outlineLvl w:val="2"/>
    </w:pPr>
    <w:rPr>
      <w:rFonts w:ascii="宋体" w:hAnsi="宋体"/>
      <w:color w:val="000000"/>
      <w:kern w:val="0"/>
      <w:sz w:val="28"/>
      <w:szCs w:val="21"/>
    </w:rPr>
  </w:style>
  <w:style w:type="paragraph" w:customStyle="1" w:styleId="100">
    <w:name w:val="正文 1.1"/>
    <w:basedOn w:val="1"/>
    <w:next w:val="99"/>
    <w:qFormat/>
    <w:uiPriority w:val="0"/>
    <w:pPr>
      <w:numPr>
        <w:ilvl w:val="1"/>
        <w:numId w:val="3"/>
      </w:numPr>
      <w:adjustRightInd w:val="0"/>
      <w:spacing w:line="360" w:lineRule="auto"/>
      <w:ind w:left="980" w:hanging="980" w:hangingChars="350"/>
      <w:outlineLvl w:val="1"/>
    </w:pPr>
    <w:rPr>
      <w:rFonts w:ascii="仿宋" w:hAnsi="仿宋" w:eastAsia="仿宋"/>
      <w:b/>
      <w:kern w:val="0"/>
      <w:sz w:val="28"/>
      <w:szCs w:val="21"/>
    </w:rPr>
  </w:style>
  <w:style w:type="paragraph" w:customStyle="1" w:styleId="101">
    <w:name w:val="标题3"/>
    <w:basedOn w:val="1"/>
    <w:next w:val="1"/>
    <w:qFormat/>
    <w:uiPriority w:val="0"/>
    <w:rPr>
      <w:rFonts w:eastAsia="方正黑体_GBK"/>
    </w:rPr>
  </w:style>
  <w:style w:type="paragraph" w:customStyle="1" w:styleId="102">
    <w:name w:val="BioQuote Tekst"/>
    <w:basedOn w:val="1"/>
    <w:qFormat/>
    <w:uiPriority w:val="0"/>
    <w:pPr>
      <w:snapToGrid w:val="0"/>
      <w:ind w:right="-1"/>
    </w:pPr>
    <w:rPr>
      <w:rFonts w:ascii="Arial" w:hAnsi="Arial"/>
      <w:kern w:val="0"/>
      <w:sz w:val="22"/>
      <w:szCs w:val="20"/>
      <w:lang w:eastAsia="en-US"/>
    </w:rPr>
  </w:style>
  <w:style w:type="paragraph" w:customStyle="1" w:styleId="103">
    <w:name w:val="附录1"/>
    <w:qFormat/>
    <w:uiPriority w:val="0"/>
    <w:pPr>
      <w:numPr>
        <w:ilvl w:val="0"/>
        <w:numId w:val="4"/>
      </w:numPr>
      <w:snapToGrid w:val="0"/>
      <w:spacing w:before="240" w:line="600" w:lineRule="atLeast"/>
    </w:pPr>
    <w:rPr>
      <w:rFonts w:ascii="Times New Roman" w:hAnsi="Times New Roman" w:eastAsia="宋体" w:cs="Times New Roman"/>
      <w:b/>
      <w:i/>
      <w:sz w:val="28"/>
      <w:lang w:val="en-US" w:eastAsia="zh-CN" w:bidi="ar-SA"/>
    </w:rPr>
  </w:style>
  <w:style w:type="character" w:customStyle="1" w:styleId="104">
    <w:name w:val="普通正文 Char"/>
    <w:link w:val="105"/>
    <w:qFormat/>
    <w:locked/>
    <w:uiPriority w:val="0"/>
    <w:rPr>
      <w:rFonts w:ascii="Arial" w:hAnsi="Arial" w:cs="Arial"/>
      <w:sz w:val="24"/>
      <w:szCs w:val="24"/>
    </w:rPr>
  </w:style>
  <w:style w:type="paragraph" w:customStyle="1" w:styleId="105">
    <w:name w:val="普通正文"/>
    <w:basedOn w:val="1"/>
    <w:link w:val="104"/>
    <w:qFormat/>
    <w:uiPriority w:val="0"/>
    <w:pPr>
      <w:adjustRightInd w:val="0"/>
      <w:spacing w:before="120" w:after="120" w:line="360" w:lineRule="auto"/>
      <w:ind w:firstLine="480"/>
      <w:jc w:val="left"/>
    </w:pPr>
    <w:rPr>
      <w:rFonts w:ascii="Arial" w:hAnsi="Arial" w:cs="Arial" w:eastAsiaTheme="minorEastAsia"/>
      <w:sz w:val="24"/>
    </w:rPr>
  </w:style>
  <w:style w:type="paragraph" w:customStyle="1" w:styleId="10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7">
    <w:name w:val="Char Char Char Char"/>
    <w:basedOn w:val="18"/>
    <w:qFormat/>
    <w:uiPriority w:val="0"/>
    <w:pPr>
      <w:adjustRightInd w:val="0"/>
      <w:snapToGrid w:val="0"/>
      <w:spacing w:line="360" w:lineRule="auto"/>
    </w:pPr>
    <w:rPr>
      <w:rFonts w:ascii="Tahoma" w:hAnsi="Tahoma"/>
      <w:sz w:val="24"/>
    </w:rPr>
  </w:style>
  <w:style w:type="paragraph" w:customStyle="1" w:styleId="108">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109">
    <w:name w:val="正文 第一章"/>
    <w:basedOn w:val="1"/>
    <w:next w:val="100"/>
    <w:qFormat/>
    <w:uiPriority w:val="0"/>
    <w:pPr>
      <w:pageBreakBefore/>
      <w:numPr>
        <w:ilvl w:val="0"/>
        <w:numId w:val="3"/>
      </w:numPr>
      <w:adjustRightInd w:val="0"/>
      <w:spacing w:before="240" w:after="240" w:line="480" w:lineRule="auto"/>
      <w:jc w:val="center"/>
      <w:outlineLvl w:val="0"/>
    </w:pPr>
    <w:rPr>
      <w:rFonts w:ascii="黑体" w:hAnsi="宋体" w:eastAsia="黑体"/>
      <w:kern w:val="0"/>
      <w:sz w:val="36"/>
      <w:szCs w:val="21"/>
    </w:rPr>
  </w:style>
  <w:style w:type="paragraph" w:customStyle="1" w:styleId="110">
    <w:name w:val="标题4"/>
    <w:basedOn w:val="1"/>
    <w:next w:val="1"/>
    <w:qFormat/>
    <w:uiPriority w:val="10"/>
    <w:pPr>
      <w:spacing w:before="240" w:after="60"/>
      <w:jc w:val="center"/>
      <w:outlineLvl w:val="0"/>
    </w:pPr>
    <w:rPr>
      <w:rFonts w:ascii="Calibri Light" w:hAnsi="Calibri Light"/>
      <w:b/>
      <w:bCs/>
      <w:sz w:val="32"/>
      <w:szCs w:val="32"/>
    </w:rPr>
  </w:style>
  <w:style w:type="paragraph" w:customStyle="1" w:styleId="111">
    <w:name w:val="me-正文"/>
    <w:basedOn w:val="1"/>
    <w:qFormat/>
    <w:uiPriority w:val="0"/>
    <w:pPr>
      <w:adjustRightInd w:val="0"/>
      <w:snapToGrid w:val="0"/>
      <w:spacing w:line="579" w:lineRule="exact"/>
      <w:ind w:firstLine="200" w:firstLineChars="200"/>
    </w:pPr>
    <w:rPr>
      <w:rFonts w:ascii="仿宋_GB2312" w:eastAsia="仿宋_GB2312"/>
      <w:sz w:val="32"/>
      <w:szCs w:val="44"/>
    </w:rPr>
  </w:style>
  <w:style w:type="paragraph" w:customStyle="1" w:styleId="112">
    <w:name w:val="me-标题"/>
    <w:basedOn w:val="43"/>
    <w:next w:val="111"/>
    <w:qFormat/>
    <w:uiPriority w:val="0"/>
    <w:pPr>
      <w:spacing w:before="0" w:after="0" w:line="579" w:lineRule="exact"/>
    </w:pPr>
    <w:rPr>
      <w:rFonts w:ascii="Times New Roman" w:hAnsi="Times New Roman" w:eastAsia="方正小标宋简体"/>
      <w:b w:val="0"/>
      <w:sz w:val="44"/>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5">
    <w:name w:val="标题2 Char"/>
    <w:qFormat/>
    <w:uiPriority w:val="0"/>
    <w:rPr>
      <w:rFonts w:hint="eastAsia" w:ascii="方正楷体_GBK" w:hAnsi="Book Antiqua" w:eastAsia="方正楷体_GBK"/>
      <w:snapToGrid w:val="0"/>
      <w:sz w:val="32"/>
      <w:lang w:val="en-US" w:eastAsia="zh-CN" w:bidi="ar-SA"/>
    </w:rPr>
  </w:style>
  <w:style w:type="character" w:customStyle="1" w:styleId="116">
    <w:name w:val="jj1"/>
    <w:qFormat/>
    <w:uiPriority w:val="0"/>
    <w:rPr>
      <w:sz w:val="20"/>
      <w:szCs w:val="20"/>
      <w:u w:val="none"/>
    </w:rPr>
  </w:style>
  <w:style w:type="character" w:customStyle="1" w:styleId="117">
    <w:name w:val="HTML 预设格式 字符1"/>
    <w:basedOn w:val="49"/>
    <w:semiHidden/>
    <w:qFormat/>
    <w:uiPriority w:val="99"/>
    <w:rPr>
      <w:rFonts w:hint="default" w:ascii="Courier New" w:hAnsi="Courier New" w:cs="Courier New"/>
      <w:kern w:val="2"/>
    </w:rPr>
  </w:style>
  <w:style w:type="character" w:customStyle="1" w:styleId="118">
    <w:name w:val="批注文字 字符1"/>
    <w:basedOn w:val="49"/>
    <w:semiHidden/>
    <w:qFormat/>
    <w:uiPriority w:val="99"/>
    <w:rPr>
      <w:kern w:val="2"/>
      <w:sz w:val="21"/>
      <w:szCs w:val="24"/>
    </w:rPr>
  </w:style>
  <w:style w:type="character" w:customStyle="1" w:styleId="119">
    <w:name w:val="批注主题 字符1"/>
    <w:basedOn w:val="118"/>
    <w:semiHidden/>
    <w:qFormat/>
    <w:uiPriority w:val="99"/>
    <w:rPr>
      <w:b/>
      <w:bCs/>
      <w:kern w:val="2"/>
      <w:sz w:val="21"/>
      <w:szCs w:val="24"/>
    </w:rPr>
  </w:style>
  <w:style w:type="paragraph" w:customStyle="1" w:styleId="120">
    <w:name w:val="Table Paragraph"/>
    <w:basedOn w:val="1"/>
    <w:qFormat/>
    <w:uiPriority w:val="1"/>
    <w:rPr>
      <w:rFonts w:ascii="宋体" w:hAnsi="宋体" w:cs="宋体"/>
      <w:kern w:val="0"/>
      <w:sz w:val="34"/>
      <w:szCs w:val="20"/>
      <w:lang w:val="zh-CN" w:bidi="zh-CN"/>
    </w:rPr>
  </w:style>
  <w:style w:type="paragraph" w:customStyle="1" w:styleId="121">
    <w:name w:val="Char1"/>
    <w:basedOn w:val="1"/>
    <w:qFormat/>
    <w:uiPriority w:val="0"/>
    <w:pPr>
      <w:spacing w:line="240" w:lineRule="exact"/>
    </w:pPr>
    <w:rPr>
      <w:rFonts w:ascii="仿宋_GB2312" w:hAnsi="宋体" w:eastAsia="仿宋_GB2312"/>
      <w:szCs w:val="21"/>
    </w:rPr>
  </w:style>
  <w:style w:type="character" w:customStyle="1" w:styleId="122">
    <w:name w:val="style41"/>
    <w:basedOn w:val="49"/>
    <w:qFormat/>
    <w:uiPriority w:val="0"/>
    <w:rPr>
      <w:color w:val="3D79B6"/>
    </w:rPr>
  </w:style>
  <w:style w:type="paragraph" w:customStyle="1" w:styleId="123">
    <w:name w:val="二级"/>
    <w:basedOn w:val="1"/>
    <w:link w:val="124"/>
    <w:qFormat/>
    <w:uiPriority w:val="0"/>
    <w:pPr>
      <w:jc w:val="center"/>
    </w:pPr>
    <w:rPr>
      <w:rFonts w:hAnsi="宋体"/>
      <w:b/>
      <w:sz w:val="24"/>
    </w:rPr>
  </w:style>
  <w:style w:type="character" w:customStyle="1" w:styleId="124">
    <w:name w:val="二级 Char"/>
    <w:basedOn w:val="49"/>
    <w:link w:val="123"/>
    <w:qFormat/>
    <w:uiPriority w:val="0"/>
    <w:rPr>
      <w:rFonts w:ascii="Times New Roman" w:hAnsi="宋体" w:eastAsia="宋体" w:cs="Times New Roman"/>
      <w:b/>
      <w:kern w:val="2"/>
      <w:sz w:val="24"/>
      <w:szCs w:val="24"/>
    </w:rPr>
  </w:style>
  <w:style w:type="paragraph" w:customStyle="1" w:styleId="125">
    <w:name w:val="z-窗体顶端1"/>
    <w:basedOn w:val="1"/>
    <w:next w:val="1"/>
    <w:link w:val="126"/>
    <w:unhideWhenUsed/>
    <w:qFormat/>
    <w:uiPriority w:val="0"/>
    <w:pPr>
      <w:widowControl/>
      <w:pBdr>
        <w:bottom w:val="single" w:color="auto" w:sz="6" w:space="1"/>
      </w:pBdr>
      <w:jc w:val="center"/>
    </w:pPr>
    <w:rPr>
      <w:rFonts w:ascii="Arial" w:hAnsi="Arial" w:cs="Arial"/>
      <w:vanish/>
      <w:kern w:val="0"/>
      <w:sz w:val="16"/>
      <w:szCs w:val="16"/>
    </w:rPr>
  </w:style>
  <w:style w:type="character" w:customStyle="1" w:styleId="126">
    <w:name w:val="z-窗体顶端 Char"/>
    <w:basedOn w:val="49"/>
    <w:link w:val="125"/>
    <w:qFormat/>
    <w:uiPriority w:val="0"/>
    <w:rPr>
      <w:rFonts w:ascii="Arial" w:hAnsi="Arial" w:eastAsia="宋体" w:cs="Arial"/>
      <w:vanish/>
      <w:sz w:val="16"/>
      <w:szCs w:val="16"/>
    </w:rPr>
  </w:style>
  <w:style w:type="character" w:customStyle="1" w:styleId="127">
    <w:name w:val="标题 Char1"/>
    <w:basedOn w:val="49"/>
    <w:qFormat/>
    <w:uiPriority w:val="0"/>
    <w:rPr>
      <w:rFonts w:eastAsia="宋体" w:asciiTheme="majorHAnsi" w:hAnsiTheme="majorHAnsi" w:cstheme="majorBidi"/>
      <w:b/>
      <w:bCs/>
      <w:sz w:val="32"/>
      <w:szCs w:val="32"/>
    </w:rPr>
  </w:style>
  <w:style w:type="character" w:customStyle="1" w:styleId="128">
    <w:name w:val="副标题 字符"/>
    <w:basedOn w:val="49"/>
    <w:link w:val="33"/>
    <w:qFormat/>
    <w:uiPriority w:val="11"/>
    <w:rPr>
      <w:rFonts w:ascii="Cambria" w:hAnsi="Cambria"/>
      <w:b/>
      <w:bCs/>
      <w:kern w:val="28"/>
      <w:sz w:val="32"/>
      <w:szCs w:val="32"/>
    </w:rPr>
  </w:style>
  <w:style w:type="character" w:customStyle="1" w:styleId="129">
    <w:name w:val="副标题 字符1"/>
    <w:basedOn w:val="49"/>
    <w:qFormat/>
    <w:uiPriority w:val="11"/>
    <w:rPr>
      <w:b/>
      <w:bCs/>
      <w:kern w:val="28"/>
      <w:sz w:val="32"/>
      <w:szCs w:val="32"/>
    </w:rPr>
  </w:style>
  <w:style w:type="character" w:customStyle="1" w:styleId="130">
    <w:name w:val="副标题 Char1"/>
    <w:basedOn w:val="49"/>
    <w:qFormat/>
    <w:uiPriority w:val="0"/>
    <w:rPr>
      <w:rFonts w:eastAsia="宋体" w:asciiTheme="majorHAnsi" w:hAnsiTheme="majorHAnsi" w:cstheme="majorBidi"/>
      <w:b/>
      <w:bCs/>
      <w:kern w:val="28"/>
      <w:sz w:val="32"/>
      <w:szCs w:val="32"/>
    </w:rPr>
  </w:style>
  <w:style w:type="paragraph" w:customStyle="1" w:styleId="131">
    <w:name w:val="me-作者时间"/>
    <w:basedOn w:val="33"/>
    <w:next w:val="111"/>
    <w:qFormat/>
    <w:uiPriority w:val="0"/>
    <w:pPr>
      <w:spacing w:before="0" w:after="0" w:line="579" w:lineRule="exact"/>
    </w:pPr>
    <w:rPr>
      <w:rFonts w:ascii="Times New Roman" w:hAnsi="Times New Roman" w:eastAsia="仿宋_GB2312"/>
      <w:b w:val="0"/>
    </w:rPr>
  </w:style>
  <w:style w:type="paragraph" w:customStyle="1" w:styleId="132">
    <w:name w:val="me-一级标题"/>
    <w:basedOn w:val="7"/>
    <w:next w:val="111"/>
    <w:qFormat/>
    <w:uiPriority w:val="0"/>
    <w:pPr>
      <w:keepLines/>
      <w:spacing w:line="579" w:lineRule="exact"/>
      <w:ind w:firstLine="200" w:firstLineChars="200"/>
    </w:pPr>
    <w:rPr>
      <w:rFonts w:ascii="Times New Roman" w:eastAsia="黑体"/>
      <w:bCs/>
      <w:kern w:val="44"/>
      <w:sz w:val="32"/>
      <w:szCs w:val="44"/>
    </w:rPr>
  </w:style>
  <w:style w:type="paragraph" w:customStyle="1" w:styleId="133">
    <w:name w:val="me-二级标题"/>
    <w:basedOn w:val="8"/>
    <w:next w:val="111"/>
    <w:qFormat/>
    <w:uiPriority w:val="0"/>
    <w:pPr>
      <w:spacing w:before="0" w:after="0" w:line="579" w:lineRule="exact"/>
      <w:ind w:firstLine="200" w:firstLineChars="200"/>
      <w:jc w:val="both"/>
    </w:pPr>
    <w:rPr>
      <w:rFonts w:ascii="Times New Roman" w:hAnsi="Times New Roman" w:eastAsia="楷体_GB2312"/>
      <w:bCs/>
      <w:sz w:val="32"/>
      <w:szCs w:val="32"/>
    </w:rPr>
  </w:style>
  <w:style w:type="paragraph" w:customStyle="1" w:styleId="134">
    <w:name w:val="me-三级标题"/>
    <w:basedOn w:val="9"/>
    <w:next w:val="111"/>
    <w:qFormat/>
    <w:uiPriority w:val="0"/>
    <w:pPr>
      <w:spacing w:before="0" w:after="0" w:line="579" w:lineRule="exact"/>
      <w:ind w:firstLine="200" w:firstLineChars="200"/>
    </w:pPr>
    <w:rPr>
      <w:rFonts w:eastAsia="仿宋_GB2312"/>
      <w:bCs/>
      <w:szCs w:val="32"/>
    </w:rPr>
  </w:style>
  <w:style w:type="paragraph" w:customStyle="1" w:styleId="135">
    <w:name w:val="p0"/>
    <w:basedOn w:val="1"/>
    <w:qFormat/>
    <w:uiPriority w:val="0"/>
    <w:pPr>
      <w:widowControl/>
    </w:pPr>
    <w:rPr>
      <w:kern w:val="0"/>
      <w:szCs w:val="21"/>
    </w:rPr>
  </w:style>
  <w:style w:type="character" w:customStyle="1" w:styleId="136">
    <w:name w:val="标题 7 字符"/>
    <w:basedOn w:val="49"/>
    <w:link w:val="13"/>
    <w:semiHidden/>
    <w:qFormat/>
    <w:uiPriority w:val="0"/>
    <w:rPr>
      <w:rFonts w:ascii="Times New Roman" w:hAnsi="Times New Roman" w:eastAsia="宋体" w:cs="Times New Roman"/>
      <w:b/>
      <w:kern w:val="2"/>
      <w:sz w:val="24"/>
      <w:szCs w:val="24"/>
    </w:rPr>
  </w:style>
  <w:style w:type="character" w:customStyle="1" w:styleId="137">
    <w:name w:val="标题 8 字符"/>
    <w:basedOn w:val="49"/>
    <w:link w:val="14"/>
    <w:semiHidden/>
    <w:qFormat/>
    <w:uiPriority w:val="0"/>
    <w:rPr>
      <w:rFonts w:ascii="Arial" w:hAnsi="Arial" w:eastAsia="黑体" w:cs="Times New Roman"/>
      <w:kern w:val="2"/>
      <w:sz w:val="24"/>
      <w:szCs w:val="24"/>
    </w:rPr>
  </w:style>
  <w:style w:type="character" w:customStyle="1" w:styleId="138">
    <w:name w:val="标题 9 字符"/>
    <w:basedOn w:val="49"/>
    <w:link w:val="15"/>
    <w:semiHidden/>
    <w:qFormat/>
    <w:uiPriority w:val="0"/>
    <w:rPr>
      <w:rFonts w:ascii="Arial" w:hAnsi="Arial" w:eastAsia="黑体" w:cs="Times New Roman"/>
      <w:kern w:val="2"/>
      <w:sz w:val="21"/>
      <w:szCs w:val="24"/>
    </w:rPr>
  </w:style>
  <w:style w:type="character" w:customStyle="1" w:styleId="139">
    <w:name w:val="标题 6 字符"/>
    <w:basedOn w:val="49"/>
    <w:link w:val="12"/>
    <w:qFormat/>
    <w:uiPriority w:val="0"/>
    <w:rPr>
      <w:rFonts w:ascii="Arial" w:hAnsi="Arial" w:eastAsia="黑体" w:cs="Times New Roman"/>
      <w:b/>
      <w:kern w:val="2"/>
      <w:sz w:val="24"/>
      <w:szCs w:val="24"/>
    </w:rPr>
  </w:style>
  <w:style w:type="character" w:customStyle="1" w:styleId="140">
    <w:name w:val="正文首行缩进 2 字符"/>
    <w:basedOn w:val="73"/>
    <w:link w:val="2"/>
    <w:qFormat/>
    <w:uiPriority w:val="99"/>
    <w:rPr>
      <w:rFonts w:ascii="楷体_GB2312" w:hAnsi="Times New Roman" w:eastAsia="仿宋_GB2312" w:cs="Times New Roman"/>
      <w:kern w:val="2"/>
      <w:sz w:val="28"/>
      <w:szCs w:val="24"/>
    </w:rPr>
  </w:style>
  <w:style w:type="paragraph" w:customStyle="1" w:styleId="141">
    <w:name w:val="（正文）"/>
    <w:basedOn w:val="1"/>
    <w:qFormat/>
    <w:uiPriority w:val="0"/>
    <w:pPr>
      <w:adjustRightInd w:val="0"/>
      <w:snapToGrid w:val="0"/>
      <w:spacing w:line="360" w:lineRule="auto"/>
      <w:ind w:firstLine="1044" w:firstLineChars="200"/>
    </w:pPr>
    <w:rPr>
      <w:sz w:val="24"/>
    </w:rPr>
  </w:style>
  <w:style w:type="paragraph" w:customStyle="1" w:styleId="142">
    <w:name w:val="正文首行缩进2字符"/>
    <w:basedOn w:val="1"/>
    <w:qFormat/>
    <w:uiPriority w:val="0"/>
    <w:pPr>
      <w:spacing w:line="360" w:lineRule="auto"/>
      <w:ind w:firstLine="200" w:firstLineChars="200"/>
    </w:pPr>
    <w:rPr>
      <w:sz w:val="24"/>
    </w:rPr>
  </w:style>
  <w:style w:type="paragraph" w:customStyle="1" w:styleId="143">
    <w:name w:val="样式 首行缩进:  0.74 厘米"/>
    <w:basedOn w:val="1"/>
    <w:qFormat/>
    <w:uiPriority w:val="0"/>
    <w:pPr>
      <w:spacing w:beforeLines="50" w:afterLines="50" w:line="360" w:lineRule="auto"/>
      <w:ind w:firstLine="420" w:firstLineChars="200"/>
    </w:pPr>
    <w:rPr>
      <w:rFonts w:eastAsia="仿宋_GB2312" w:cs="宋体"/>
      <w:sz w:val="24"/>
      <w:szCs w:val="20"/>
    </w:rPr>
  </w:style>
  <w:style w:type="character" w:customStyle="1" w:styleId="144">
    <w:name w:val="题注 字符"/>
    <w:link w:val="17"/>
    <w:qFormat/>
    <w:uiPriority w:val="0"/>
    <w:rPr>
      <w:rFonts w:ascii="Arial" w:hAnsi="Arial" w:eastAsia="黑体" w:cs="Times New Roman"/>
      <w:kern w:val="2"/>
      <w:sz w:val="24"/>
      <w:szCs w:val="24"/>
    </w:rPr>
  </w:style>
  <w:style w:type="paragraph" w:customStyle="1" w:styleId="145">
    <w:name w:val="居中图片"/>
    <w:basedOn w:val="1"/>
    <w:next w:val="146"/>
    <w:qFormat/>
    <w:uiPriority w:val="0"/>
    <w:pPr>
      <w:ind w:firstLine="1044" w:firstLineChars="200"/>
      <w:jc w:val="center"/>
    </w:pPr>
    <w:rPr>
      <w:sz w:val="24"/>
    </w:rPr>
  </w:style>
  <w:style w:type="paragraph" w:customStyle="1" w:styleId="146">
    <w:name w:val="居中图示"/>
    <w:basedOn w:val="1"/>
    <w:next w:val="1"/>
    <w:qFormat/>
    <w:uiPriority w:val="99"/>
    <w:pPr>
      <w:spacing w:after="240" w:line="360" w:lineRule="auto"/>
      <w:ind w:firstLine="1120" w:firstLineChars="200"/>
      <w:jc w:val="center"/>
    </w:pPr>
    <w:rPr>
      <w:rFonts w:eastAsia="黑体"/>
      <w:sz w:val="24"/>
      <w:szCs w:val="20"/>
    </w:rPr>
  </w:style>
  <w:style w:type="paragraph" w:customStyle="1" w:styleId="147">
    <w:name w:val="_正文"/>
    <w:basedOn w:val="1"/>
    <w:qFormat/>
    <w:uiPriority w:val="0"/>
    <w:pPr>
      <w:adjustRightInd w:val="0"/>
      <w:snapToGrid w:val="0"/>
      <w:spacing w:line="360" w:lineRule="auto"/>
      <w:ind w:firstLine="200" w:firstLineChars="200"/>
    </w:pPr>
    <w:rPr>
      <w:sz w:val="24"/>
      <w:szCs w:val="20"/>
    </w:rPr>
  </w:style>
  <w:style w:type="paragraph" w:customStyle="1" w:styleId="148">
    <w:name w:val="列表段落1"/>
    <w:basedOn w:val="1"/>
    <w:qFormat/>
    <w:uiPriority w:val="34"/>
    <w:pPr>
      <w:spacing w:line="360" w:lineRule="auto"/>
      <w:ind w:firstLine="420" w:firstLineChars="200"/>
    </w:pPr>
    <w:rPr>
      <w:sz w:val="24"/>
    </w:rPr>
  </w:style>
  <w:style w:type="paragraph" w:customStyle="1" w:styleId="149">
    <w:name w:val="标书正文"/>
    <w:basedOn w:val="1"/>
    <w:qFormat/>
    <w:uiPriority w:val="0"/>
    <w:pPr>
      <w:snapToGrid w:val="0"/>
      <w:spacing w:beforeLines="100" w:afterLines="100" w:line="360" w:lineRule="auto"/>
      <w:ind w:firstLine="420" w:firstLineChars="200"/>
    </w:pPr>
    <w:rPr>
      <w:rFonts w:cs="宋体"/>
      <w:sz w:val="24"/>
      <w:szCs w:val="20"/>
    </w:rPr>
  </w:style>
  <w:style w:type="paragraph" w:customStyle="1" w:styleId="150">
    <w:name w:val="H4"/>
    <w:basedOn w:val="10"/>
    <w:next w:val="1"/>
    <w:qFormat/>
    <w:uiPriority w:val="0"/>
    <w:pPr>
      <w:numPr>
        <w:ilvl w:val="4"/>
        <w:numId w:val="5"/>
      </w:numPr>
      <w:tabs>
        <w:tab w:val="left" w:pos="864"/>
      </w:tabs>
      <w:spacing w:before="0" w:after="0" w:line="377" w:lineRule="auto"/>
      <w:jc w:val="left"/>
    </w:pPr>
    <w:rPr>
      <w:bCs w:val="0"/>
      <w:szCs w:val="24"/>
      <w:lang w:val="zh-CN"/>
    </w:rPr>
  </w:style>
  <w:style w:type="paragraph" w:customStyle="1" w:styleId="151">
    <w:name w:val="H5"/>
    <w:basedOn w:val="11"/>
    <w:next w:val="1"/>
    <w:qFormat/>
    <w:uiPriority w:val="0"/>
    <w:pPr>
      <w:keepLines/>
      <w:numPr>
        <w:ilvl w:val="5"/>
        <w:numId w:val="5"/>
      </w:numPr>
      <w:spacing w:before="120" w:after="120" w:line="360" w:lineRule="auto"/>
      <w:jc w:val="left"/>
    </w:pPr>
    <w:rPr>
      <w:rFonts w:ascii="Calibri" w:hAnsi="Calibri" w:eastAsia="黑体"/>
      <w:sz w:val="30"/>
      <w:szCs w:val="28"/>
      <w:lang w:val="zh-CN"/>
    </w:rPr>
  </w:style>
  <w:style w:type="paragraph" w:customStyle="1" w:styleId="152">
    <w:name w:val="H6"/>
    <w:basedOn w:val="12"/>
    <w:next w:val="1"/>
    <w:qFormat/>
    <w:uiPriority w:val="0"/>
    <w:pPr>
      <w:numPr>
        <w:ilvl w:val="6"/>
        <w:numId w:val="5"/>
      </w:numPr>
      <w:spacing w:before="120" w:after="120" w:line="360" w:lineRule="auto"/>
    </w:pPr>
    <w:rPr>
      <w:rFonts w:eastAsia="宋体"/>
      <w:sz w:val="28"/>
    </w:rPr>
  </w:style>
  <w:style w:type="character" w:customStyle="1" w:styleId="153">
    <w:name w:val="font81"/>
    <w:basedOn w:val="49"/>
    <w:qFormat/>
    <w:uiPriority w:val="0"/>
    <w:rPr>
      <w:rFonts w:hint="eastAsia" w:ascii="宋体" w:hAnsi="宋体" w:eastAsia="宋体" w:cs="宋体"/>
      <w:b/>
      <w:color w:val="auto"/>
      <w:sz w:val="20"/>
      <w:szCs w:val="20"/>
      <w:u w:val="none"/>
    </w:rPr>
  </w:style>
  <w:style w:type="character" w:customStyle="1" w:styleId="154">
    <w:name w:val="font61"/>
    <w:basedOn w:val="49"/>
    <w:qFormat/>
    <w:uiPriority w:val="0"/>
    <w:rPr>
      <w:rFonts w:hint="eastAsia" w:ascii="宋体" w:hAnsi="宋体" w:eastAsia="宋体" w:cs="宋体"/>
      <w:color w:val="auto"/>
      <w:sz w:val="20"/>
      <w:szCs w:val="20"/>
      <w:u w:val="none"/>
    </w:rPr>
  </w:style>
  <w:style w:type="character" w:customStyle="1" w:styleId="155">
    <w:name w:val="font71"/>
    <w:basedOn w:val="49"/>
    <w:qFormat/>
    <w:uiPriority w:val="0"/>
    <w:rPr>
      <w:rFonts w:hint="default" w:ascii="Times New Roman" w:hAnsi="Times New Roman" w:cs="Times New Roman"/>
      <w:color w:val="auto"/>
      <w:sz w:val="20"/>
      <w:szCs w:val="20"/>
      <w:u w:val="none"/>
    </w:rPr>
  </w:style>
  <w:style w:type="character" w:customStyle="1" w:styleId="156">
    <w:name w:val="font111"/>
    <w:basedOn w:val="49"/>
    <w:qFormat/>
    <w:uiPriority w:val="0"/>
    <w:rPr>
      <w:rFonts w:hint="default" w:ascii="Times New Roman" w:hAnsi="Times New Roman" w:cs="Times New Roman"/>
      <w:color w:val="FF0000"/>
      <w:sz w:val="20"/>
      <w:szCs w:val="20"/>
      <w:u w:val="none"/>
    </w:rPr>
  </w:style>
  <w:style w:type="character" w:customStyle="1" w:styleId="157">
    <w:name w:val="font101"/>
    <w:basedOn w:val="49"/>
    <w:qFormat/>
    <w:uiPriority w:val="0"/>
    <w:rPr>
      <w:rFonts w:hint="eastAsia" w:ascii="宋体" w:hAnsi="宋体" w:eastAsia="宋体" w:cs="宋体"/>
      <w:color w:val="FF0000"/>
      <w:sz w:val="20"/>
      <w:szCs w:val="20"/>
      <w:u w:val="none"/>
    </w:rPr>
  </w:style>
  <w:style w:type="paragraph" w:customStyle="1" w:styleId="158">
    <w:name w:val="Body text|1"/>
    <w:basedOn w:val="1"/>
    <w:qFormat/>
    <w:uiPriority w:val="0"/>
    <w:pPr>
      <w:spacing w:line="480" w:lineRule="auto"/>
      <w:ind w:firstLine="400"/>
    </w:pPr>
    <w:rPr>
      <w:rFonts w:ascii="宋体" w:hAnsi="宋体" w:cs="宋体"/>
      <w:sz w:val="22"/>
      <w:szCs w:val="22"/>
      <w:lang w:val="zh-TW" w:eastAsia="zh-TW" w:bidi="zh-TW"/>
    </w:rPr>
  </w:style>
  <w:style w:type="character" w:customStyle="1" w:styleId="159">
    <w:name w:val="apple-converted-space"/>
    <w:qFormat/>
    <w:uiPriority w:val="99"/>
  </w:style>
  <w:style w:type="paragraph" w:customStyle="1" w:styleId="160">
    <w:name w:val="CM64"/>
    <w:basedOn w:val="57"/>
    <w:next w:val="1"/>
    <w:unhideWhenUsed/>
    <w:qFormat/>
    <w:uiPriority w:val="99"/>
    <w:pPr>
      <w:spacing w:line="491" w:lineRule="atLeast"/>
      <w:ind w:firstLine="0" w:firstLineChars="0"/>
      <w:jc w:val="left"/>
    </w:pPr>
    <w:rPr>
      <w:rFonts w:ascii="仿宋_GB2312" w:hAnsi="Times New Roman" w:eastAsia="仿宋_GB2312" w:cs="仿宋_GB2312"/>
    </w:rPr>
  </w:style>
  <w:style w:type="character" w:customStyle="1" w:styleId="161">
    <w:name w:val="NormalCharacter"/>
    <w:semiHidden/>
    <w:qFormat/>
    <w:uiPriority w:val="0"/>
  </w:style>
  <w:style w:type="paragraph" w:customStyle="1" w:styleId="162">
    <w:name w:val="Heading1"/>
    <w:basedOn w:val="1"/>
    <w:next w:val="1"/>
    <w:qFormat/>
    <w:uiPriority w:val="0"/>
    <w:pPr>
      <w:keepNext/>
      <w:jc w:val="center"/>
    </w:pPr>
    <w:rPr>
      <w:rFonts w:ascii="楷体_GB2312" w:eastAsia="楷体_GB2312"/>
      <w:sz w:val="28"/>
      <w:szCs w:val="28"/>
    </w:rPr>
  </w:style>
  <w:style w:type="paragraph" w:customStyle="1" w:styleId="163">
    <w:name w:val="PlainText"/>
    <w:basedOn w:val="1"/>
    <w:qFormat/>
    <w:uiPriority w:val="0"/>
    <w:rPr>
      <w:rFonts w:ascii="宋体" w:hAnsi="Courier New"/>
    </w:rPr>
  </w:style>
  <w:style w:type="paragraph" w:customStyle="1" w:styleId="164">
    <w:name w:val="HtmlNormal"/>
    <w:basedOn w:val="1"/>
    <w:qFormat/>
    <w:uiPriority w:val="0"/>
    <w:pPr>
      <w:spacing w:before="100" w:beforeAutospacing="1" w:after="100" w:afterAutospacing="1"/>
      <w:jc w:val="left"/>
    </w:pPr>
    <w:rPr>
      <w:rFonts w:ascii="宋体" w:hAnsi="宋体"/>
      <w:kern w:val="0"/>
      <w:sz w:val="24"/>
    </w:rPr>
  </w:style>
  <w:style w:type="table" w:customStyle="1" w:styleId="1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22091</Words>
  <Characters>23101</Characters>
  <Lines>182</Lines>
  <Paragraphs>51</Paragraphs>
  <TotalTime>4</TotalTime>
  <ScaleCrop>false</ScaleCrop>
  <LinksUpToDate>false</LinksUpToDate>
  <CharactersWithSpaces>24127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2023-07-19T08:01:00Z</dcterms:created>
  <dc:creator>Administrator</dc:creator>
  <cp:lastModifiedBy>赵萌</cp:lastModifiedBy>
  <cp:lastPrinted>2023-05-05T08:11:00Z</cp:lastPrinted>
  <dcterms:modified xsi:type="dcterms:W3CDTF">2023-07-19T08:29:09Z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4739E84D87BD45D89B51E469B14C0893_13</vt:lpwstr>
  </property>
</Properties>
</file>