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食堂大宗食品原材料鸡蛋供应商</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食堂大宗食品原材料鸡蛋供应商</w:t>
      </w:r>
      <w:r>
        <w:rPr>
          <w:rFonts w:hint="eastAsia" w:ascii="宋体" w:hAnsi="宋体" w:eastAsia="宋体" w:cs="宋体"/>
          <w:sz w:val="24"/>
          <w:u w:val="single"/>
        </w:rPr>
        <w:t xml:space="preserve"> </w:t>
      </w:r>
      <w:r>
        <w:rPr>
          <w:rFonts w:hint="eastAsia" w:ascii="宋体" w:hAnsi="宋体" w:eastAsia="宋体" w:cs="宋体"/>
          <w:sz w:val="24"/>
        </w:rPr>
        <w:t>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15</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041-1</w:t>
      </w:r>
    </w:p>
    <w:p>
      <w:pPr>
        <w:spacing w:line="360" w:lineRule="auto"/>
        <w:rPr>
          <w:rFonts w:hint="default" w:ascii="宋体" w:hAnsi="宋体" w:eastAsia="宋体" w:cs="宋体"/>
          <w:sz w:val="24"/>
          <w:lang w:val="en-US"/>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食堂大宗食品原材料鸡蛋供应商项目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napToGrid w:val="0"/>
        <w:spacing w:line="400" w:lineRule="exact"/>
        <w:jc w:val="left"/>
        <w:rPr>
          <w:rFonts w:hint="eastAsia" w:ascii="宋体" w:hAnsi="宋体" w:eastAsia="宋体" w:cs="宋体"/>
          <w:sz w:val="24"/>
        </w:rPr>
      </w:pPr>
      <w:r>
        <w:rPr>
          <w:rFonts w:hint="eastAsia" w:ascii="宋体" w:hAnsi="宋体" w:eastAsia="宋体" w:cs="宋体"/>
          <w:sz w:val="24"/>
        </w:rPr>
        <w:t>招标项目简要说明：</w:t>
      </w:r>
    </w:p>
    <w:tbl>
      <w:tblPr>
        <w:tblStyle w:val="9"/>
        <w:tblW w:w="6640" w:type="dxa"/>
        <w:jc w:val="center"/>
        <w:shd w:val="clear" w:color="auto" w:fill="auto"/>
        <w:tblLayout w:type="fixed"/>
        <w:tblCellMar>
          <w:top w:w="0" w:type="dxa"/>
          <w:left w:w="0" w:type="dxa"/>
          <w:bottom w:w="0" w:type="dxa"/>
          <w:right w:w="0" w:type="dxa"/>
        </w:tblCellMar>
      </w:tblPr>
      <w:tblGrid>
        <w:gridCol w:w="1077"/>
        <w:gridCol w:w="2003"/>
        <w:gridCol w:w="1753"/>
        <w:gridCol w:w="1807"/>
      </w:tblGrid>
      <w:tr>
        <w:tblPrEx>
          <w:tblCellMar>
            <w:top w:w="0" w:type="dxa"/>
            <w:left w:w="0" w:type="dxa"/>
            <w:bottom w:w="0" w:type="dxa"/>
            <w:right w:w="0" w:type="dxa"/>
          </w:tblCellMar>
        </w:tblPrEx>
        <w:trPr>
          <w:trHeight w:val="32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序号</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供货名称</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单位</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学期预计采购量</w:t>
            </w:r>
            <w:bookmarkStart w:id="2" w:name="_GoBack"/>
            <w:bookmarkEnd w:id="2"/>
          </w:p>
        </w:tc>
      </w:tr>
      <w:tr>
        <w:tblPrEx>
          <w:tblCellMar>
            <w:top w:w="0" w:type="dxa"/>
            <w:left w:w="0" w:type="dxa"/>
            <w:bottom w:w="0" w:type="dxa"/>
            <w:right w:w="0" w:type="dxa"/>
          </w:tblCellMar>
        </w:tblPrEx>
        <w:trPr>
          <w:trHeight w:val="32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鸡蛋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100000</w:t>
            </w:r>
          </w:p>
        </w:tc>
      </w:tr>
    </w:tbl>
    <w:p>
      <w:pPr>
        <w:snapToGrid w:val="0"/>
        <w:spacing w:line="400" w:lineRule="exact"/>
        <w:jc w:val="left"/>
        <w:rPr>
          <w:rFonts w:hint="eastAsia" w:ascii="宋体" w:hAnsi="宋体" w:eastAsia="宋体" w:cs="宋体"/>
          <w:sz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二、供货时间：1年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三、采购要求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（一）供应商要求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1.供应商可开具正规发票；</w:t>
      </w:r>
    </w:p>
    <w:p>
      <w:pPr>
        <w:snapToGrid w:val="0"/>
        <w:spacing w:line="400" w:lineRule="exact"/>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2.付款方式</w:t>
      </w:r>
      <w:r>
        <w:rPr>
          <w:rFonts w:hint="eastAsia" w:ascii="宋体" w:hAnsi="宋体" w:eastAsia="宋体" w:cs="宋体"/>
          <w:sz w:val="24"/>
          <w:szCs w:val="24"/>
          <w:u w:val="none"/>
          <w:lang w:eastAsia="zh-CN"/>
        </w:rPr>
        <w:t>甲方按月向乙方支付货款，乙方不得与甲方食堂经营方发生任何资金结算关系，违者责任自负。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因乙方不能及时核对供货量造成招标人不能及时核算的，乙方自行承担责任，甲方不承担责任。</w:t>
      </w:r>
    </w:p>
    <w:p>
      <w:pPr>
        <w:numPr>
          <w:ilvl w:val="0"/>
          <w:numId w:val="1"/>
        </w:numPr>
        <w:snapToGrid w:val="0"/>
        <w:spacing w:line="400" w:lineRule="exact"/>
        <w:jc w:val="left"/>
        <w:rPr>
          <w:rFonts w:hint="eastAsia" w:ascii="楷体" w:hAnsi="楷体" w:eastAsia="楷体" w:cs="楷体"/>
          <w:color w:val="auto"/>
          <w:sz w:val="24"/>
        </w:rPr>
      </w:pPr>
      <w:r>
        <w:rPr>
          <w:rFonts w:hint="eastAsia" w:ascii="宋体" w:hAnsi="宋体" w:eastAsia="宋体" w:cs="宋体"/>
          <w:sz w:val="24"/>
          <w:szCs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w:t>
      </w:r>
    </w:p>
    <w:p>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4.质量执行标准：鸡蛋产品：(鲜鸡蛋国家卫生标准GB 2748-2003)如国家标准发生变化按最新标准执行，执行顺序为国家标准、行业标准、地方标准、企业标准。</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（二）其它要求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1.引进两家合格的供应商；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highlight w:val="none"/>
        </w:rPr>
        <w:t>在协议期内，每周由后勤管理处组织相关餐厅负责人邀请协议供货单位进行议价，以议定的供货价格执行。</w:t>
      </w:r>
    </w:p>
    <w:p>
      <w:pPr>
        <w:spacing w:line="360" w:lineRule="auto"/>
        <w:rPr>
          <w:rFonts w:hint="eastAsia" w:ascii="宋体" w:hAnsi="宋体" w:eastAsia="宋体" w:cs="宋体"/>
          <w:color w:val="FF0000"/>
          <w:sz w:val="24"/>
          <w:szCs w:val="24"/>
        </w:rPr>
      </w:pPr>
      <w:r>
        <w:rPr>
          <w:rFonts w:hint="eastAsia" w:ascii="宋体" w:hAnsi="宋体" w:eastAsia="宋体" w:cs="宋体"/>
          <w:color w:val="FF0000"/>
          <w:sz w:val="24"/>
          <w:szCs w:val="24"/>
          <w:highlight w:val="none"/>
          <w:lang w:val="en-US" w:eastAsia="zh-CN"/>
        </w:rPr>
        <w:t>3.</w:t>
      </w:r>
      <w:r>
        <w:rPr>
          <w:rFonts w:hint="eastAsia" w:ascii="宋体" w:hAnsi="宋体" w:eastAsia="宋体" w:cs="宋体"/>
          <w:b/>
          <w:bCs/>
          <w:color w:val="FF0000"/>
          <w:sz w:val="24"/>
          <w:lang w:val="en-US" w:eastAsia="zh-CN"/>
        </w:rPr>
        <w:t>鸡蛋与调味品两个询价项目兼投不兼中。</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四、报名资格要求</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1.满足《中华人民共和国政府采购法》第二十二条规定，并提供下列材料；</w:t>
      </w: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1.1企业法人或者其他组织的营业执照、税务登记证、组织机构代码证（三证合一的投标人只需提供加载统一社会信用代码的营业执照）等证明文件复印件；</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1.2食品经营许可证或食品流通许可证、食品生产许可证复印件;</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1.3动物防疫合格证或动物防疫条件合格证复印件（鸡蛋）；</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1.4投标人为代理商或经销商的，须提供代理（经销）产品生产企业出具的授权书。</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获取采购文件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hint="eastAsia" w:ascii="宋体" w:hAnsi="宋体" w:eastAsia="宋体" w:cs="宋体"/>
          <w:sz w:val="24"/>
        </w:rPr>
      </w:pPr>
      <w:r>
        <w:rPr>
          <w:rFonts w:hint="eastAsia" w:ascii="宋体" w:hAnsi="宋体" w:eastAsia="宋体" w:cs="宋体"/>
          <w:sz w:val="24"/>
          <w:lang w:eastAsia="zh-CN"/>
        </w:rPr>
        <w:t>六</w:t>
      </w:r>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提交时间：2020年</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0</w:t>
      </w:r>
      <w:r>
        <w:rPr>
          <w:rFonts w:hint="eastAsia" w:ascii="宋体" w:hAnsi="宋体" w:eastAsia="宋体" w:cs="宋体"/>
          <w:sz w:val="24"/>
        </w:rPr>
        <w:t>0-</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0（北京时间）</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地点：盐城工业职业技术学院解放南路285号后勤服务中心四楼405招标办公室</w:t>
      </w:r>
    </w:p>
    <w:p>
      <w:pPr>
        <w:spacing w:line="360" w:lineRule="auto"/>
        <w:rPr>
          <w:rFonts w:hint="eastAsia" w:ascii="宋体" w:hAnsi="宋体" w:eastAsia="宋体" w:cs="宋体"/>
          <w:sz w:val="24"/>
        </w:rPr>
      </w:pPr>
      <w:r>
        <w:rPr>
          <w:rFonts w:hint="eastAsia" w:ascii="宋体" w:hAnsi="宋体" w:eastAsia="宋体" w:cs="宋体"/>
          <w:sz w:val="24"/>
          <w:lang w:eastAsia="zh-CN"/>
        </w:rPr>
        <w:t>七</w:t>
      </w:r>
      <w:r>
        <w:rPr>
          <w:rFonts w:hint="eastAsia" w:ascii="宋体" w:hAnsi="宋体" w:eastAsia="宋体" w:cs="宋体"/>
          <w:sz w:val="24"/>
        </w:rPr>
        <w:t>、公开期限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lang w:eastAsia="zh-CN"/>
        </w:rPr>
        <w:t>八</w:t>
      </w:r>
      <w:r>
        <w:rPr>
          <w:rFonts w:hint="eastAsia" w:ascii="宋体" w:hAnsi="宋体" w:eastAsia="宋体" w:cs="宋体"/>
          <w:sz w:val="24"/>
        </w:rPr>
        <w:t>、其他补充事宜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w:t>
      </w:r>
      <w:r>
        <w:rPr>
          <w:rFonts w:hint="eastAsia" w:ascii="宋体" w:hAnsi="宋体" w:eastAsia="宋体" w:cs="宋体"/>
          <w:sz w:val="24"/>
          <w:lang w:eastAsia="zh-CN"/>
        </w:rPr>
        <w:t>技术学院。</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lang w:eastAsia="zh-CN"/>
        </w:rPr>
        <w:t>九</w:t>
      </w:r>
      <w:r>
        <w:rPr>
          <w:rFonts w:hint="eastAsia" w:ascii="宋体" w:hAnsi="宋体" w:eastAsia="宋体" w:cs="宋体"/>
          <w:sz w:val="24"/>
        </w:rPr>
        <w:t>、对本次招标提出询问，请按以下方式联系。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hint="default" w:ascii="宋体" w:hAnsi="宋体" w:eastAsia="宋体" w:cs="宋体"/>
          <w:sz w:val="24"/>
          <w:lang w:val="en-US" w:eastAsia="zh-CN"/>
        </w:rPr>
      </w:pPr>
      <w:r>
        <w:rPr>
          <w:rFonts w:hint="eastAsia" w:ascii="宋体" w:hAnsi="宋体" w:eastAsia="宋体" w:cs="宋体"/>
          <w:sz w:val="24"/>
        </w:rPr>
        <w:t>联系方式：赵老师</w:t>
      </w:r>
      <w:r>
        <w:rPr>
          <w:rFonts w:hint="eastAsia" w:ascii="宋体" w:hAnsi="宋体" w:eastAsia="宋体" w:cs="宋体"/>
          <w:sz w:val="24"/>
          <w:lang w:val="en-US" w:eastAsia="zh-CN"/>
        </w:rPr>
        <w:t>0515-88588707</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rPr>
        <w:t>项目联系人：</w:t>
      </w:r>
      <w:r>
        <w:rPr>
          <w:rFonts w:hint="eastAsia" w:ascii="宋体" w:hAnsi="宋体" w:eastAsia="宋体" w:cs="宋体"/>
          <w:color w:val="auto"/>
          <w:sz w:val="24"/>
          <w:szCs w:val="24"/>
          <w:highlight w:val="none"/>
          <w:lang w:eastAsia="zh-CN"/>
        </w:rPr>
        <w:t>高大伟</w:t>
      </w:r>
      <w:r>
        <w:rPr>
          <w:rFonts w:hint="eastAsia" w:ascii="宋体" w:hAnsi="宋体" w:eastAsia="宋体" w:cs="宋体"/>
          <w:color w:val="auto"/>
          <w:sz w:val="24"/>
          <w:szCs w:val="24"/>
          <w:highlight w:val="none"/>
          <w:lang w:val="en-US" w:eastAsia="zh-CN"/>
        </w:rPr>
        <w:t xml:space="preserve"> 周焕高</w:t>
      </w:r>
    </w:p>
    <w:p>
      <w:pPr>
        <w:spacing w:line="400" w:lineRule="exact"/>
        <w:jc w:val="left"/>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18262393599 18962085257 </w:t>
      </w:r>
    </w:p>
    <w:p>
      <w:pPr>
        <w:pStyle w:val="2"/>
        <w:rPr>
          <w:rFonts w:hint="eastAsia" w:ascii="宋体" w:hAnsi="宋体" w:eastAsia="宋体" w:cs="宋体"/>
          <w:sz w:val="24"/>
          <w:szCs w:val="24"/>
        </w:rPr>
      </w:pPr>
    </w:p>
    <w:p>
      <w:pPr>
        <w:spacing w:line="360" w:lineRule="auto"/>
        <w:rPr>
          <w:rFonts w:hint="eastAsia"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
      <w:pPr>
        <w:snapToGrid w:val="0"/>
        <w:spacing w:before="120" w:after="120" w:line="360" w:lineRule="auto"/>
        <w:jc w:val="center"/>
        <w:rPr>
          <w:rFonts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snapToGrid w:val="0"/>
        <w:spacing w:line="400" w:lineRule="exact"/>
        <w:jc w:val="left"/>
        <w:rPr>
          <w:rFonts w:hint="eastAsia" w:ascii="宋体" w:hAnsi="宋体" w:eastAsia="宋体" w:cs="宋体"/>
          <w:color w:val="auto"/>
          <w:sz w:val="24"/>
          <w:szCs w:val="24"/>
          <w:lang w:val="en-US" w:eastAsia="zh-CN"/>
        </w:rPr>
      </w:pP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1.1企业法人或者其他组织的营业执照、税务登记证、组织机构代码证（三证合一的投标人只需提供加载统一社会信用代码的营业执照）等证明文件复印件；</w:t>
      </w: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1.2食品经营许可证或食品流通许可证、食品生产许可证复印件;</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1.3动物防疫合格证或动物防疫条件合格证复印件（鸡蛋）；</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1.4投标人为代理商或经销商的，须提供代理（经销）产品生产企业出具的授权书。</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1.5法人授权书原件，个体工商户经营者直接参加投标，不得委托他人投标。</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1.6鸡蛋报价明细表</w:t>
      </w:r>
    </w:p>
    <w:p>
      <w:pPr>
        <w:snapToGrid w:val="0"/>
        <w:spacing w:line="4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left"/>
        <w:rPr>
          <w:rFonts w:ascii="宋体" w:hAnsi="宋体" w:eastAsia="宋体" w:cs="宋体"/>
          <w:sz w:val="24"/>
        </w:rPr>
      </w:pPr>
    </w:p>
    <w:p>
      <w:pPr>
        <w:rPr>
          <w:rFonts w:hint="eastAsia"/>
          <w:sz w:val="24"/>
          <w:szCs w:val="24"/>
          <w:lang w:val="en-US" w:eastAsia="zh-CN"/>
        </w:rPr>
      </w:pPr>
    </w:p>
    <w:p>
      <w:pPr>
        <w:pStyle w:val="2"/>
        <w:ind w:firstLine="1400" w:firstLineChars="500"/>
        <w:rPr>
          <w:rFonts w:hint="eastAsia"/>
          <w:b w:val="0"/>
          <w:bCs w:val="0"/>
          <w:sz w:val="28"/>
          <w:szCs w:val="28"/>
          <w:lang w:val="en-US" w:eastAsia="zh-CN"/>
        </w:rPr>
      </w:pPr>
    </w:p>
    <w:p>
      <w:pPr>
        <w:pStyle w:val="2"/>
        <w:ind w:firstLine="1400" w:firstLineChars="500"/>
        <w:rPr>
          <w:rFonts w:hint="eastAsia"/>
          <w:b w:val="0"/>
          <w:bCs w:val="0"/>
          <w:sz w:val="28"/>
          <w:szCs w:val="28"/>
          <w:lang w:val="en-US" w:eastAsia="zh-CN"/>
        </w:rPr>
      </w:pPr>
      <w:r>
        <w:rPr>
          <w:rFonts w:hint="eastAsia"/>
          <w:b w:val="0"/>
          <w:bCs w:val="0"/>
          <w:sz w:val="28"/>
          <w:szCs w:val="28"/>
          <w:lang w:val="en-US" w:eastAsia="zh-CN"/>
        </w:rPr>
        <w:t>盐城工业职业技术学院采购供应商鸡蛋报价明细表</w:t>
      </w:r>
    </w:p>
    <w:p>
      <w:pPr>
        <w:spacing w:line="400" w:lineRule="exact"/>
        <w:rPr>
          <w:rFonts w:hint="eastAsia" w:ascii="楷体" w:hAnsi="楷体" w:eastAsia="楷体" w:cs="楷体"/>
          <w:sz w:val="24"/>
        </w:rPr>
      </w:pPr>
      <w:r>
        <w:rPr>
          <w:rFonts w:hint="eastAsia" w:ascii="楷体" w:hAnsi="楷体" w:eastAsia="楷体" w:cs="楷体"/>
          <w:sz w:val="28"/>
          <w:szCs w:val="28"/>
        </w:rPr>
        <w:t>鸡蛋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序号</w:t>
            </w:r>
          </w:p>
        </w:tc>
        <w:tc>
          <w:tcPr>
            <w:tcW w:w="962"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名称</w:t>
            </w:r>
          </w:p>
        </w:tc>
        <w:tc>
          <w:tcPr>
            <w:tcW w:w="850"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单位</w:t>
            </w:r>
          </w:p>
        </w:tc>
        <w:tc>
          <w:tcPr>
            <w:tcW w:w="1779" w:type="dxa"/>
            <w:noWrap w:val="0"/>
            <w:vAlign w:val="center"/>
          </w:tcPr>
          <w:p>
            <w:pPr>
              <w:jc w:val="center"/>
              <w:rPr>
                <w:rFonts w:hint="eastAsia" w:ascii="楷体" w:hAnsi="楷体" w:eastAsia="楷体" w:cs="楷体"/>
                <w:b/>
                <w:color w:val="000000"/>
                <w:sz w:val="24"/>
              </w:rPr>
            </w:pPr>
            <w:r>
              <w:rPr>
                <w:rFonts w:hint="eastAsia" w:ascii="楷体" w:hAnsi="楷体" w:eastAsia="楷体" w:cs="楷体"/>
                <w:color w:val="000000"/>
                <w:sz w:val="24"/>
              </w:rPr>
              <w:t>报价依据</w:t>
            </w:r>
          </w:p>
        </w:tc>
        <w:tc>
          <w:tcPr>
            <w:tcW w:w="1490" w:type="dxa"/>
            <w:noWrap w:val="0"/>
            <w:vAlign w:val="center"/>
          </w:tcPr>
          <w:p>
            <w:pPr>
              <w:jc w:val="center"/>
              <w:rPr>
                <w:rFonts w:hint="eastAsia" w:ascii="楷体" w:hAnsi="楷体" w:eastAsia="楷体" w:cs="楷体"/>
                <w:b/>
                <w:color w:val="000000"/>
                <w:sz w:val="24"/>
              </w:rPr>
            </w:pPr>
            <w:r>
              <w:rPr>
                <w:rFonts w:hint="eastAsia" w:ascii="楷体" w:hAnsi="楷体" w:eastAsia="楷体" w:cs="楷体"/>
                <w:color w:val="000000"/>
                <w:sz w:val="24"/>
              </w:rPr>
              <w:t>规格</w:t>
            </w:r>
          </w:p>
        </w:tc>
        <w:tc>
          <w:tcPr>
            <w:tcW w:w="1517" w:type="dxa"/>
            <w:noWrap w:val="0"/>
            <w:vAlign w:val="center"/>
          </w:tcPr>
          <w:p>
            <w:pPr>
              <w:jc w:val="center"/>
              <w:rPr>
                <w:rFonts w:hint="eastAsia" w:ascii="楷体" w:hAnsi="楷体" w:eastAsia="楷体" w:cs="楷体"/>
                <w:color w:val="FF0000"/>
                <w:sz w:val="24"/>
              </w:rPr>
            </w:pPr>
            <w:r>
              <w:rPr>
                <w:rFonts w:hint="eastAsia" w:ascii="楷体" w:hAnsi="楷体" w:eastAsia="楷体" w:cs="楷体"/>
                <w:color w:val="FF0000"/>
                <w:sz w:val="24"/>
                <w:lang w:eastAsia="zh-CN"/>
              </w:rPr>
              <w:t>投标全费用单价</w:t>
            </w:r>
          </w:p>
          <w:p>
            <w:pPr>
              <w:jc w:val="center"/>
              <w:rPr>
                <w:rFonts w:hint="eastAsia" w:ascii="楷体" w:hAnsi="楷体" w:eastAsia="楷体" w:cs="楷体"/>
                <w:color w:val="000000"/>
                <w:sz w:val="24"/>
              </w:rPr>
            </w:pPr>
            <w:r>
              <w:rPr>
                <w:rFonts w:hint="eastAsia" w:ascii="楷体" w:hAnsi="楷体" w:eastAsia="楷体" w:cs="楷体"/>
                <w:color w:val="FF0000"/>
                <w:sz w:val="24"/>
              </w:rPr>
              <w:t>（元/斤）</w:t>
            </w:r>
          </w:p>
        </w:tc>
        <w:tc>
          <w:tcPr>
            <w:tcW w:w="1378"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楷体" w:hAnsi="楷体" w:eastAsia="楷体" w:cs="楷体"/>
                <w:color w:val="000000"/>
                <w:sz w:val="24"/>
              </w:rPr>
            </w:pPr>
            <w:r>
              <w:rPr>
                <w:rFonts w:hint="eastAsia" w:ascii="楷体" w:hAnsi="楷体" w:eastAsia="楷体" w:cs="楷体"/>
                <w:color w:val="000000"/>
                <w:sz w:val="24"/>
              </w:rPr>
              <w:t>1</w:t>
            </w:r>
          </w:p>
        </w:tc>
        <w:tc>
          <w:tcPr>
            <w:tcW w:w="962" w:type="dxa"/>
            <w:noWrap w:val="0"/>
            <w:vAlign w:val="center"/>
          </w:tcPr>
          <w:p>
            <w:pPr>
              <w:spacing w:line="280" w:lineRule="exact"/>
              <w:jc w:val="center"/>
              <w:rPr>
                <w:rFonts w:hint="eastAsia" w:ascii="楷体" w:hAnsi="楷体" w:eastAsia="楷体" w:cs="楷体"/>
                <w:color w:val="000000"/>
                <w:sz w:val="24"/>
              </w:rPr>
            </w:pPr>
            <w:r>
              <w:rPr>
                <w:rFonts w:hint="eastAsia" w:ascii="楷体" w:hAnsi="楷体" w:eastAsia="楷体" w:cs="楷体"/>
                <w:color w:val="000000"/>
                <w:sz w:val="24"/>
              </w:rPr>
              <w:t>鸡蛋</w:t>
            </w:r>
          </w:p>
        </w:tc>
        <w:tc>
          <w:tcPr>
            <w:tcW w:w="850"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箱</w:t>
            </w:r>
          </w:p>
        </w:tc>
        <w:tc>
          <w:tcPr>
            <w:tcW w:w="1779"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中国鸡蛋网</w:t>
            </w:r>
          </w:p>
          <w:p>
            <w:pPr>
              <w:jc w:val="center"/>
              <w:rPr>
                <w:rFonts w:hint="eastAsia" w:ascii="楷体" w:hAnsi="楷体" w:eastAsia="楷体" w:cs="楷体"/>
                <w:color w:val="000000"/>
                <w:sz w:val="24"/>
              </w:rPr>
            </w:pPr>
            <w:r>
              <w:rPr>
                <w:rFonts w:hint="eastAsia" w:ascii="楷体" w:hAnsi="楷体" w:eastAsia="楷体" w:cs="楷体"/>
                <w:color w:val="000000"/>
                <w:sz w:val="24"/>
              </w:rPr>
              <w:t>江苏盐都报价</w:t>
            </w:r>
          </w:p>
        </w:tc>
        <w:tc>
          <w:tcPr>
            <w:tcW w:w="1490" w:type="dxa"/>
            <w:noWrap w:val="0"/>
            <w:vAlign w:val="center"/>
          </w:tcPr>
          <w:p>
            <w:pPr>
              <w:jc w:val="center"/>
              <w:rPr>
                <w:rFonts w:hint="eastAsia" w:ascii="楷体" w:hAnsi="楷体" w:eastAsia="楷体" w:cs="楷体"/>
                <w:color w:val="000000"/>
                <w:sz w:val="24"/>
              </w:rPr>
            </w:pPr>
            <w:r>
              <w:rPr>
                <w:rFonts w:hint="eastAsia" w:ascii="楷体" w:hAnsi="楷体" w:eastAsia="楷体" w:cs="楷体"/>
                <w:color w:val="000000"/>
                <w:sz w:val="24"/>
              </w:rPr>
              <w:t>每箱30斤</w:t>
            </w:r>
          </w:p>
        </w:tc>
        <w:tc>
          <w:tcPr>
            <w:tcW w:w="1517" w:type="dxa"/>
            <w:noWrap w:val="0"/>
            <w:vAlign w:val="center"/>
          </w:tcPr>
          <w:p>
            <w:pPr>
              <w:jc w:val="center"/>
              <w:rPr>
                <w:rFonts w:hint="eastAsia" w:ascii="楷体" w:hAnsi="楷体" w:eastAsia="楷体" w:cs="楷体"/>
                <w:color w:val="000000"/>
                <w:sz w:val="24"/>
              </w:rPr>
            </w:pPr>
          </w:p>
        </w:tc>
        <w:tc>
          <w:tcPr>
            <w:tcW w:w="1378" w:type="dxa"/>
            <w:noWrap w:val="0"/>
            <w:vAlign w:val="center"/>
          </w:tcPr>
          <w:p>
            <w:pPr>
              <w:jc w:val="center"/>
              <w:rPr>
                <w:rFonts w:hint="eastAsia" w:ascii="楷体" w:hAnsi="楷体" w:eastAsia="楷体" w:cs="楷体"/>
                <w:color w:val="000000"/>
                <w:sz w:val="24"/>
              </w:rPr>
            </w:pPr>
          </w:p>
        </w:tc>
      </w:tr>
    </w:tbl>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p>
    <w:p>
      <w:pPr>
        <w:spacing w:line="400" w:lineRule="exact"/>
        <w:ind w:firstLine="4440" w:firstLineChars="1850"/>
        <w:rPr>
          <w:rFonts w:hint="eastAsia" w:ascii="楷体" w:hAnsi="楷体" w:eastAsia="楷体" w:cs="楷体"/>
          <w:sz w:val="24"/>
          <w:u w:val="none"/>
          <w:lang w:val="en-US" w:eastAsia="zh-CN"/>
        </w:rPr>
      </w:pPr>
      <w:r>
        <w:rPr>
          <w:rFonts w:hint="eastAsia" w:ascii="楷体" w:hAnsi="楷体" w:eastAsia="楷体" w:cs="楷体"/>
          <w:sz w:val="24"/>
          <w:u w:val="none"/>
          <w:lang w:val="en-US" w:eastAsia="zh-CN"/>
        </w:rPr>
        <w:t>授权代表：</w:t>
      </w:r>
    </w:p>
    <w:p>
      <w:pPr>
        <w:spacing w:line="400" w:lineRule="exact"/>
        <w:ind w:firstLine="4440" w:firstLineChars="1850"/>
        <w:rPr>
          <w:rFonts w:hint="eastAsia" w:ascii="楷体" w:hAnsi="楷体" w:eastAsia="楷体" w:cs="楷体"/>
          <w:sz w:val="24"/>
          <w:u w:val="none"/>
        </w:rPr>
      </w:pPr>
      <w:r>
        <w:rPr>
          <w:rFonts w:hint="eastAsia" w:ascii="楷体" w:hAnsi="楷体" w:eastAsia="楷体" w:cs="楷体"/>
          <w:sz w:val="24"/>
          <w:u w:val="none"/>
          <w:lang w:val="en-US" w:eastAsia="zh-CN"/>
        </w:rPr>
        <w:t>联系电话：</w:t>
      </w:r>
      <w:r>
        <w:rPr>
          <w:rFonts w:hint="eastAsia" w:ascii="楷体" w:hAnsi="楷体" w:eastAsia="楷体" w:cs="楷体"/>
          <w:sz w:val="24"/>
          <w:u w:val="none"/>
        </w:rPr>
        <w:t xml:space="preserve">         </w:t>
      </w:r>
    </w:p>
    <w:p>
      <w:pPr>
        <w:ind w:firstLine="720" w:firstLineChars="300"/>
        <w:rPr>
          <w:rFonts w:hint="eastAsia" w:eastAsiaTheme="minorEastAsia"/>
          <w:lang w:eastAsia="zh-CN"/>
        </w:rPr>
      </w:pPr>
      <w:r>
        <w:rPr>
          <w:rFonts w:hint="eastAsia" w:ascii="楷体" w:hAnsi="楷体" w:eastAsia="楷体" w:cs="楷体"/>
          <w:sz w:val="24"/>
          <w:u w:val="none"/>
        </w:rPr>
        <w:t xml:space="preserve">                               日    期：                        </w:t>
      </w:r>
      <w:r>
        <w:rPr>
          <w:rFonts w:hint="eastAsia" w:ascii="楷体" w:hAnsi="楷体" w:eastAsia="楷体" w:cs="楷体"/>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FE4B"/>
    <w:multiLevelType w:val="singleLevel"/>
    <w:tmpl w:val="0E0AFE4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05185"/>
    <w:rsid w:val="008C77AB"/>
    <w:rsid w:val="00E4546D"/>
    <w:rsid w:val="00E45D3D"/>
    <w:rsid w:val="02FF3A95"/>
    <w:rsid w:val="03236173"/>
    <w:rsid w:val="061006E5"/>
    <w:rsid w:val="06377522"/>
    <w:rsid w:val="064E3BC7"/>
    <w:rsid w:val="074E123D"/>
    <w:rsid w:val="088551C2"/>
    <w:rsid w:val="09404DE2"/>
    <w:rsid w:val="0F017D99"/>
    <w:rsid w:val="107A1E28"/>
    <w:rsid w:val="1370180A"/>
    <w:rsid w:val="14DD112E"/>
    <w:rsid w:val="1B416F1B"/>
    <w:rsid w:val="1BD13CD2"/>
    <w:rsid w:val="1C66181C"/>
    <w:rsid w:val="1D2A333A"/>
    <w:rsid w:val="1D7E6B66"/>
    <w:rsid w:val="1FC12871"/>
    <w:rsid w:val="24597FCF"/>
    <w:rsid w:val="25A109CB"/>
    <w:rsid w:val="2F023852"/>
    <w:rsid w:val="30E233FF"/>
    <w:rsid w:val="321B6A8D"/>
    <w:rsid w:val="35032464"/>
    <w:rsid w:val="3523659D"/>
    <w:rsid w:val="36582B98"/>
    <w:rsid w:val="388804C6"/>
    <w:rsid w:val="38B35D48"/>
    <w:rsid w:val="3B8748CB"/>
    <w:rsid w:val="3B8D230E"/>
    <w:rsid w:val="3CDC7AD3"/>
    <w:rsid w:val="418F5DB5"/>
    <w:rsid w:val="42CA6F76"/>
    <w:rsid w:val="42E64F34"/>
    <w:rsid w:val="44431713"/>
    <w:rsid w:val="445A4C3B"/>
    <w:rsid w:val="44620ADE"/>
    <w:rsid w:val="4852728E"/>
    <w:rsid w:val="487C0590"/>
    <w:rsid w:val="4ACD4F6B"/>
    <w:rsid w:val="4BAD0EA9"/>
    <w:rsid w:val="4C414C4E"/>
    <w:rsid w:val="4CBE0D38"/>
    <w:rsid w:val="4D753E19"/>
    <w:rsid w:val="506D17EC"/>
    <w:rsid w:val="51D56923"/>
    <w:rsid w:val="5298335E"/>
    <w:rsid w:val="56C578B8"/>
    <w:rsid w:val="57C375A9"/>
    <w:rsid w:val="59D870E8"/>
    <w:rsid w:val="5C8043D1"/>
    <w:rsid w:val="5C8C2636"/>
    <w:rsid w:val="5CDA1694"/>
    <w:rsid w:val="63772732"/>
    <w:rsid w:val="66131B57"/>
    <w:rsid w:val="67BC385E"/>
    <w:rsid w:val="68D85C5B"/>
    <w:rsid w:val="69B56499"/>
    <w:rsid w:val="6CEB428D"/>
    <w:rsid w:val="6E63108F"/>
    <w:rsid w:val="6F3A54C7"/>
    <w:rsid w:val="70C55BF1"/>
    <w:rsid w:val="71910630"/>
    <w:rsid w:val="75005B12"/>
    <w:rsid w:val="75A2672B"/>
    <w:rsid w:val="763F2780"/>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item-name"/>
    <w:basedOn w:val="11"/>
    <w:qFormat/>
    <w:uiPriority w:val="0"/>
  </w:style>
  <w:style w:type="character" w:customStyle="1" w:styleId="18">
    <w:name w:val="item-name1"/>
    <w:basedOn w:val="11"/>
    <w:qFormat/>
    <w:uiPriority w:val="0"/>
  </w:style>
  <w:style w:type="character" w:customStyle="1" w:styleId="19">
    <w:name w:val="level01"/>
    <w:basedOn w:val="11"/>
    <w:qFormat/>
    <w:uiPriority w:val="0"/>
  </w:style>
  <w:style w:type="character" w:customStyle="1" w:styleId="20">
    <w:name w:val="button"/>
    <w:basedOn w:val="11"/>
    <w:qFormat/>
    <w:uiPriority w:val="0"/>
  </w:style>
  <w:style w:type="character" w:customStyle="1" w:styleId="21">
    <w:name w:val="tmpztreemove_arrow"/>
    <w:basedOn w:val="11"/>
    <w:qFormat/>
    <w:uiPriority w:val="0"/>
  </w:style>
  <w:style w:type="character" w:customStyle="1" w:styleId="22">
    <w:name w:val="font_page1"/>
    <w:basedOn w:val="11"/>
    <w:qFormat/>
    <w:uiPriority w:val="0"/>
    <w:rPr>
      <w:b/>
      <w:color w:val="225D98"/>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1</TotalTime>
  <ScaleCrop>false</ScaleCrop>
  <LinksUpToDate>false</LinksUpToDate>
  <CharactersWithSpaces>5986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2020-09-07T02:36:26Z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