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Style w:val="47"/>
          <w:rFonts w:cs="宋体"/>
          <w:sz w:val="36"/>
          <w:szCs w:val="21"/>
        </w:rPr>
      </w:pPr>
    </w:p>
    <w:p>
      <w:pPr>
        <w:rPr>
          <w:rStyle w:val="47"/>
          <w:rFonts w:ascii="宋体" w:hAnsi="宋体" w:cs="宋体"/>
          <w:sz w:val="36"/>
        </w:rPr>
      </w:pPr>
    </w:p>
    <w:p>
      <w:pPr>
        <w:jc w:val="center"/>
        <w:rPr>
          <w:rStyle w:val="47"/>
          <w:rFonts w:ascii="宋体" w:hAnsi="宋体" w:cs="宋体"/>
          <w:b/>
          <w:sz w:val="84"/>
        </w:rPr>
      </w:pPr>
      <w:r>
        <w:rPr>
          <w:rStyle w:val="47"/>
          <w:rFonts w:hint="eastAsia" w:ascii="宋体" w:hAnsi="宋体" w:cs="宋体"/>
          <w:b/>
          <w:sz w:val="84"/>
        </w:rPr>
        <w:t>招 标 文 件</w:t>
      </w:r>
    </w:p>
    <w:p>
      <w:pPr>
        <w:rPr>
          <w:rStyle w:val="47"/>
          <w:rFonts w:ascii="宋体" w:hAnsi="宋体" w:cs="宋体"/>
          <w:b/>
          <w:sz w:val="32"/>
        </w:rPr>
      </w:pPr>
    </w:p>
    <w:p>
      <w:pPr>
        <w:jc w:val="center"/>
        <w:rPr>
          <w:rStyle w:val="47"/>
          <w:rFonts w:ascii="宋体" w:hAnsi="宋体" w:cs="宋体"/>
          <w:b/>
          <w:sz w:val="32"/>
        </w:rPr>
      </w:pPr>
    </w:p>
    <w:p>
      <w:pPr>
        <w:pStyle w:val="2"/>
        <w:rPr>
          <w:rFonts w:cs="宋体"/>
        </w:rPr>
      </w:pPr>
    </w:p>
    <w:p>
      <w:pPr>
        <w:jc w:val="center"/>
        <w:rPr>
          <w:rStyle w:val="47"/>
          <w:rFonts w:ascii="宋体" w:hAnsi="宋体" w:cs="宋体"/>
          <w:b/>
          <w:sz w:val="32"/>
        </w:rPr>
      </w:pPr>
    </w:p>
    <w:p>
      <w:pPr>
        <w:jc w:val="center"/>
        <w:rPr>
          <w:rStyle w:val="47"/>
          <w:rFonts w:ascii="宋体" w:hAnsi="宋体" w:cs="宋体"/>
          <w:b/>
          <w:sz w:val="32"/>
        </w:rPr>
      </w:pPr>
    </w:p>
    <w:p>
      <w:pPr>
        <w:ind w:firstLine="723" w:firstLineChars="200"/>
        <w:rPr>
          <w:rStyle w:val="47"/>
          <w:rFonts w:hint="eastAsia" w:ascii="宋体" w:hAnsi="宋体" w:eastAsia="宋体" w:cs="宋体"/>
          <w:b/>
          <w:sz w:val="36"/>
          <w:lang w:eastAsia="zh-CN"/>
        </w:rPr>
      </w:pPr>
      <w:r>
        <w:rPr>
          <w:rStyle w:val="47"/>
          <w:rFonts w:hint="eastAsia" w:ascii="宋体" w:hAnsi="宋体" w:cs="宋体"/>
          <w:b/>
          <w:sz w:val="36"/>
        </w:rPr>
        <w:t>项目编号：2023-</w:t>
      </w:r>
      <w:r>
        <w:rPr>
          <w:rStyle w:val="47"/>
          <w:rFonts w:hint="eastAsia" w:ascii="宋体" w:hAnsi="宋体" w:cs="宋体"/>
          <w:b/>
          <w:sz w:val="36"/>
          <w:lang w:eastAsia="zh-CN"/>
        </w:rPr>
        <w:t>031W</w:t>
      </w:r>
    </w:p>
    <w:p>
      <w:pPr>
        <w:jc w:val="center"/>
        <w:rPr>
          <w:rStyle w:val="47"/>
          <w:rFonts w:ascii="宋体" w:hAnsi="宋体" w:cs="宋体"/>
          <w:b/>
          <w:sz w:val="32"/>
        </w:rPr>
      </w:pPr>
      <w:bookmarkStart w:id="60" w:name="_GoBack"/>
      <w:bookmarkEnd w:id="60"/>
    </w:p>
    <w:p>
      <w:pPr>
        <w:jc w:val="center"/>
        <w:rPr>
          <w:rStyle w:val="47"/>
          <w:rFonts w:ascii="宋体" w:hAnsi="宋体" w:cs="宋体"/>
          <w:b/>
          <w:sz w:val="32"/>
        </w:rPr>
      </w:pPr>
    </w:p>
    <w:p>
      <w:pPr>
        <w:ind w:left="2525" w:leftChars="342" w:hanging="1807" w:hangingChars="500"/>
        <w:rPr>
          <w:rStyle w:val="47"/>
          <w:rFonts w:hint="eastAsia" w:ascii="宋体" w:hAnsi="宋体" w:eastAsia="宋体" w:cs="宋体"/>
          <w:b/>
          <w:sz w:val="30"/>
          <w:szCs w:val="30"/>
          <w:lang w:eastAsia="zh-CN"/>
        </w:rPr>
      </w:pPr>
      <w:r>
        <w:rPr>
          <w:rStyle w:val="47"/>
          <w:rFonts w:hint="eastAsia" w:ascii="宋体" w:hAnsi="宋体" w:cs="宋体"/>
          <w:b/>
          <w:sz w:val="36"/>
          <w:szCs w:val="36"/>
        </w:rPr>
        <w:t>项目名称：</w:t>
      </w:r>
      <w:r>
        <w:rPr>
          <w:rStyle w:val="47"/>
          <w:rFonts w:hint="eastAsia" w:ascii="宋体" w:hAnsi="宋体" w:cs="宋体"/>
          <w:b/>
          <w:sz w:val="36"/>
          <w:szCs w:val="36"/>
          <w:lang w:eastAsia="zh-CN"/>
        </w:rPr>
        <w:t>盐城工业职业技术学院商务数据分析软件</w:t>
      </w:r>
    </w:p>
    <w:p>
      <w:pPr>
        <w:pStyle w:val="2"/>
        <w:ind w:firstLine="0" w:firstLineChars="0"/>
        <w:rPr>
          <w:rStyle w:val="47"/>
          <w:rFonts w:cs="宋体"/>
          <w:b/>
          <w:sz w:val="32"/>
          <w:szCs w:val="21"/>
        </w:rPr>
      </w:pPr>
    </w:p>
    <w:p>
      <w:pPr>
        <w:pStyle w:val="2"/>
        <w:ind w:firstLine="643"/>
        <w:rPr>
          <w:rStyle w:val="47"/>
          <w:rFonts w:cs="宋体"/>
          <w:b/>
          <w:sz w:val="32"/>
          <w:szCs w:val="21"/>
        </w:rPr>
      </w:pPr>
    </w:p>
    <w:p>
      <w:pPr>
        <w:pStyle w:val="107"/>
        <w:rPr>
          <w:rStyle w:val="47"/>
          <w:rFonts w:ascii="宋体" w:hAnsi="宋体" w:eastAsia="宋体" w:cs="宋体"/>
          <w:b/>
          <w:sz w:val="32"/>
        </w:rPr>
      </w:pPr>
    </w:p>
    <w:p>
      <w:pPr>
        <w:pStyle w:val="107"/>
        <w:rPr>
          <w:rStyle w:val="47"/>
          <w:rFonts w:ascii="宋体" w:hAnsi="宋体" w:eastAsia="宋体" w:cs="宋体"/>
          <w:b/>
          <w:sz w:val="32"/>
        </w:rPr>
      </w:pPr>
    </w:p>
    <w:p>
      <w:pPr>
        <w:spacing w:after="290" w:afterLines="100" w:line="360" w:lineRule="auto"/>
        <w:jc w:val="center"/>
        <w:rPr>
          <w:rStyle w:val="47"/>
          <w:rFonts w:ascii="宋体" w:hAnsi="宋体" w:cs="宋体"/>
          <w:bCs/>
          <w:sz w:val="36"/>
          <w:szCs w:val="36"/>
        </w:rPr>
      </w:pPr>
      <w:r>
        <w:rPr>
          <w:rStyle w:val="47"/>
          <w:rFonts w:hint="eastAsia" w:ascii="宋体" w:hAnsi="宋体" w:cs="宋体"/>
          <w:bCs/>
          <w:sz w:val="36"/>
          <w:szCs w:val="36"/>
        </w:rPr>
        <w:t>采购人：盐城工业职业技术学院</w:t>
      </w:r>
    </w:p>
    <w:p>
      <w:pPr>
        <w:pStyle w:val="10"/>
        <w:spacing w:line="360" w:lineRule="auto"/>
        <w:ind w:left="0" w:leftChars="0" w:right="0" w:rightChars="0"/>
        <w:jc w:val="center"/>
        <w:rPr>
          <w:rStyle w:val="47"/>
          <w:rFonts w:ascii="宋体" w:hAnsi="宋体" w:cs="宋体"/>
          <w:bCs/>
          <w:sz w:val="36"/>
          <w:szCs w:val="36"/>
        </w:rPr>
      </w:pPr>
      <w:r>
        <w:rPr>
          <w:rStyle w:val="47"/>
          <w:rFonts w:hint="eastAsia" w:ascii="宋体" w:hAnsi="宋体" w:cs="宋体"/>
          <w:bCs/>
          <w:sz w:val="36"/>
          <w:szCs w:val="36"/>
        </w:rPr>
        <w:t>代理人：江苏伟业项目管理有限公司</w:t>
      </w:r>
    </w:p>
    <w:p>
      <w:pPr>
        <w:jc w:val="center"/>
        <w:rPr>
          <w:rStyle w:val="47"/>
          <w:rFonts w:ascii="宋体" w:hAnsi="宋体" w:cs="宋体"/>
          <w:sz w:val="36"/>
          <w:szCs w:val="36"/>
        </w:rPr>
      </w:pPr>
    </w:p>
    <w:p>
      <w:pPr>
        <w:jc w:val="center"/>
        <w:rPr>
          <w:rStyle w:val="47"/>
          <w:rFonts w:ascii="宋体" w:hAnsi="宋体" w:cs="宋体"/>
          <w:sz w:val="36"/>
          <w:szCs w:val="36"/>
        </w:rPr>
      </w:pPr>
      <w:r>
        <w:rPr>
          <w:rStyle w:val="47"/>
          <w:rFonts w:hint="eastAsia" w:ascii="宋体" w:hAnsi="宋体" w:cs="宋体"/>
          <w:sz w:val="36"/>
          <w:szCs w:val="36"/>
        </w:rPr>
        <w:t>2023年</w:t>
      </w:r>
      <w:r>
        <w:rPr>
          <w:rStyle w:val="47"/>
          <w:rFonts w:hint="eastAsia" w:ascii="宋体" w:hAnsi="宋体" w:cs="宋体"/>
          <w:sz w:val="36"/>
          <w:szCs w:val="36"/>
          <w:lang w:val="en-US" w:eastAsia="zh-CN"/>
        </w:rPr>
        <w:t>11</w:t>
      </w:r>
      <w:r>
        <w:rPr>
          <w:rStyle w:val="47"/>
          <w:rFonts w:hint="eastAsia" w:ascii="宋体" w:hAnsi="宋体" w:cs="宋体"/>
          <w:sz w:val="36"/>
          <w:szCs w:val="36"/>
        </w:rPr>
        <w:t>月</w:t>
      </w:r>
      <w:r>
        <w:rPr>
          <w:rStyle w:val="47"/>
          <w:rFonts w:hint="eastAsia" w:ascii="宋体" w:hAnsi="宋体" w:cs="宋体"/>
          <w:sz w:val="36"/>
          <w:szCs w:val="36"/>
          <w:lang w:val="en-US" w:eastAsia="zh-CN"/>
        </w:rPr>
        <w:t>1</w:t>
      </w:r>
      <w:r>
        <w:rPr>
          <w:rStyle w:val="47"/>
          <w:rFonts w:hint="eastAsia" w:ascii="宋体" w:hAnsi="宋体" w:cs="宋体"/>
          <w:sz w:val="36"/>
          <w:szCs w:val="36"/>
        </w:rPr>
        <w:t>日</w:t>
      </w:r>
    </w:p>
    <w:p>
      <w:pPr>
        <w:spacing w:line="480" w:lineRule="auto"/>
        <w:rPr>
          <w:rStyle w:val="47"/>
          <w:rFonts w:ascii="宋体" w:hAnsi="宋体" w:cs="宋体"/>
        </w:rPr>
      </w:pPr>
    </w:p>
    <w:p>
      <w:pPr>
        <w:spacing w:line="480" w:lineRule="auto"/>
        <w:jc w:val="center"/>
        <w:rPr>
          <w:rStyle w:val="47"/>
          <w:rFonts w:ascii="宋体" w:hAnsi="宋体" w:cs="宋体"/>
        </w:rPr>
        <w:sectPr>
          <w:headerReference r:id="rId4" w:type="first"/>
          <w:footerReference r:id="rId5" w:type="first"/>
          <w:headerReference r:id="rId3" w:type="default"/>
          <w:pgSz w:w="11906" w:h="16838"/>
          <w:pgMar w:top="1418" w:right="1588" w:bottom="1418" w:left="1365" w:header="851" w:footer="907" w:gutter="0"/>
          <w:pgNumType w:fmt="numberInDash"/>
          <w:cols w:space="720" w:num="1"/>
          <w:titlePg/>
          <w:docGrid w:type="lines" w:linePitch="290" w:charSpace="0"/>
        </w:sectPr>
      </w:pPr>
    </w:p>
    <w:p>
      <w:pPr>
        <w:pStyle w:val="9"/>
      </w:pPr>
    </w:p>
    <w:p>
      <w:pPr>
        <w:pStyle w:val="2"/>
        <w:rPr>
          <w:rFonts w:cs="宋体"/>
        </w:rPr>
      </w:pPr>
    </w:p>
    <w:p>
      <w:pPr>
        <w:spacing w:line="480" w:lineRule="auto"/>
        <w:jc w:val="center"/>
        <w:rPr>
          <w:rStyle w:val="47"/>
          <w:rFonts w:ascii="宋体" w:hAnsi="宋体" w:cs="宋体"/>
          <w:b/>
          <w:sz w:val="44"/>
        </w:rPr>
      </w:pPr>
      <w:r>
        <w:rPr>
          <w:rStyle w:val="47"/>
          <w:rFonts w:hint="eastAsia" w:ascii="宋体" w:hAnsi="宋体" w:cs="宋体"/>
          <w:b/>
          <w:sz w:val="44"/>
        </w:rPr>
        <w:t>总  目  录</w:t>
      </w:r>
    </w:p>
    <w:p>
      <w:pPr>
        <w:spacing w:line="480" w:lineRule="auto"/>
        <w:rPr>
          <w:rStyle w:val="47"/>
          <w:rFonts w:ascii="宋体" w:hAnsi="宋体" w:cs="宋体"/>
          <w:b/>
          <w:sz w:val="28"/>
        </w:rPr>
      </w:pPr>
    </w:p>
    <w:sdt>
      <w:sdtPr>
        <w:rPr>
          <w:rFonts w:ascii="宋体" w:hAnsi="宋体" w:eastAsia="楷体_GB2312"/>
          <w:sz w:val="28"/>
          <w:szCs w:val="28"/>
        </w:rPr>
        <w:id w:val="147461321"/>
        <w:docPartObj>
          <w:docPartGallery w:val="Table of Contents"/>
          <w:docPartUnique/>
        </w:docPartObj>
      </w:sdtPr>
      <w:sdtEndPr>
        <w:rPr>
          <w:rFonts w:ascii="宋体" w:hAnsi="宋体" w:eastAsia="楷体_GB2312" w:cs="宋体"/>
          <w:bCs/>
          <w:sz w:val="28"/>
          <w:szCs w:val="28"/>
        </w:rPr>
      </w:sdtEndPr>
      <w:sdtContent>
        <w:p>
          <w:pPr>
            <w:jc w:val="center"/>
          </w:pPr>
        </w:p>
        <w:p>
          <w:pPr>
            <w:pStyle w:val="162"/>
            <w:tabs>
              <w:tab w:val="right" w:leader="dot" w:pos="8953"/>
            </w:tabs>
            <w:rPr>
              <w:rFonts w:ascii="宋体" w:hAnsi="宋体" w:cs="宋体"/>
              <w:sz w:val="36"/>
              <w:szCs w:val="36"/>
            </w:rPr>
          </w:pPr>
          <w:r>
            <w:rPr>
              <w:rStyle w:val="47"/>
              <w:sz w:val="44"/>
            </w:rPr>
            <w:fldChar w:fldCharType="begin"/>
          </w:r>
          <w:r>
            <w:rPr>
              <w:rStyle w:val="47"/>
              <w:rFonts w:ascii="宋体" w:hAnsi="宋体" w:cs="宋体"/>
              <w:bCs/>
              <w:sz w:val="44"/>
            </w:rPr>
            <w:instrText xml:space="preserve">TOC \o "1-1" \h \u </w:instrText>
          </w:r>
          <w:r>
            <w:rPr>
              <w:rStyle w:val="47"/>
              <w:sz w:val="44"/>
            </w:rPr>
            <w:fldChar w:fldCharType="separate"/>
          </w:r>
          <w:r>
            <w:fldChar w:fldCharType="begin"/>
          </w:r>
          <w:r>
            <w:instrText xml:space="preserve"> HYPERLINK \l "_Toc18878" </w:instrText>
          </w:r>
          <w:r>
            <w:fldChar w:fldCharType="separate"/>
          </w:r>
          <w:r>
            <w:rPr>
              <w:rFonts w:hint="eastAsia" w:ascii="宋体" w:hAnsi="宋体" w:cs="宋体"/>
              <w:b/>
              <w:sz w:val="36"/>
              <w:szCs w:val="36"/>
            </w:rPr>
            <w:t xml:space="preserve">第一章  </w:t>
          </w:r>
          <w:r>
            <w:rPr>
              <w:rFonts w:hint="eastAsia" w:ascii="宋体" w:hAnsi="宋体" w:cs="宋体"/>
              <w:bCs/>
              <w:sz w:val="36"/>
              <w:szCs w:val="36"/>
            </w:rPr>
            <w:t>招标公告</w:t>
          </w:r>
          <w:r>
            <w:rPr>
              <w:rFonts w:hint="eastAsia" w:ascii="宋体" w:hAnsi="宋体" w:cs="宋体"/>
              <w:bCs/>
              <w:sz w:val="36"/>
              <w:szCs w:val="36"/>
            </w:rPr>
            <w:tab/>
          </w:r>
          <w:r>
            <w:rPr>
              <w:rFonts w:hint="eastAsia" w:ascii="宋体" w:hAnsi="宋体" w:cs="宋体"/>
              <w:bCs/>
              <w:sz w:val="36"/>
              <w:szCs w:val="36"/>
            </w:rPr>
            <w:fldChar w:fldCharType="begin"/>
          </w:r>
          <w:r>
            <w:rPr>
              <w:rFonts w:hint="eastAsia" w:ascii="宋体" w:hAnsi="宋体" w:cs="宋体"/>
              <w:bCs/>
              <w:sz w:val="36"/>
              <w:szCs w:val="36"/>
            </w:rPr>
            <w:instrText xml:space="preserve"> PAGEREF _Toc18878 \h </w:instrText>
          </w:r>
          <w:r>
            <w:rPr>
              <w:rFonts w:hint="eastAsia" w:ascii="宋体" w:hAnsi="宋体" w:cs="宋体"/>
              <w:bCs/>
              <w:sz w:val="36"/>
              <w:szCs w:val="36"/>
            </w:rPr>
            <w:fldChar w:fldCharType="separate"/>
          </w:r>
          <w:r>
            <w:rPr>
              <w:rFonts w:hint="eastAsia" w:ascii="宋体" w:hAnsi="宋体" w:cs="宋体"/>
              <w:bCs/>
              <w:sz w:val="36"/>
              <w:szCs w:val="36"/>
            </w:rPr>
            <w:t>2</w:t>
          </w:r>
          <w:r>
            <w:rPr>
              <w:rFonts w:hint="eastAsia" w:ascii="宋体" w:hAnsi="宋体" w:cs="宋体"/>
              <w:bCs/>
              <w:sz w:val="36"/>
              <w:szCs w:val="36"/>
            </w:rPr>
            <w:fldChar w:fldCharType="end"/>
          </w:r>
          <w:r>
            <w:rPr>
              <w:rFonts w:hint="eastAsia" w:ascii="宋体" w:hAnsi="宋体" w:cs="宋体"/>
              <w:bCs/>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"_Toc21663" </w:instrText>
          </w:r>
          <w:r>
            <w:fldChar w:fldCharType="separate"/>
          </w:r>
          <w:r>
            <w:rPr>
              <w:rFonts w:hint="eastAsia" w:ascii="宋体" w:hAnsi="宋体" w:cs="宋体"/>
              <w:b/>
              <w:bCs/>
              <w:sz w:val="36"/>
              <w:szCs w:val="36"/>
            </w:rPr>
            <w:t>第二章</w:t>
          </w:r>
          <w:r>
            <w:rPr>
              <w:rFonts w:hint="eastAsia" w:ascii="宋体" w:hAnsi="宋体" w:cs="宋体"/>
              <w:sz w:val="36"/>
              <w:szCs w:val="36"/>
            </w:rPr>
            <w:t xml:space="preserve">  投标人须知</w:t>
          </w:r>
          <w:r>
            <w:rPr>
              <w:rFonts w:hint="eastAsia" w:ascii="宋体" w:hAnsi="宋体" w:cs="宋体"/>
              <w:sz w:val="36"/>
              <w:szCs w:val="36"/>
            </w:rPr>
            <w:tab/>
          </w:r>
          <w:r>
            <w:rPr>
              <w:rFonts w:hint="eastAsia" w:ascii="宋体" w:hAnsi="宋体" w:cs="宋体"/>
              <w:sz w:val="36"/>
              <w:szCs w:val="36"/>
            </w:rPr>
            <w:t>5</w:t>
          </w:r>
          <w:r>
            <w:rPr>
              <w:rFonts w:hint="eastAsia" w:ascii="宋体" w:hAnsi="宋体" w:cs="宋体"/>
              <w:sz w:val="36"/>
              <w:szCs w:val="36"/>
            </w:rPr>
            <w:fldChar w:fldCharType="end"/>
          </w:r>
        </w:p>
        <w:p>
          <w:pPr>
            <w:pStyle w:val="162"/>
            <w:tabs>
              <w:tab w:val="right" w:leader="dot" w:pos="8953"/>
            </w:tabs>
            <w:rPr>
              <w:rFonts w:ascii="宋体" w:hAnsi="宋体" w:cs="宋体"/>
              <w:sz w:val="36"/>
              <w:szCs w:val="36"/>
            </w:rPr>
          </w:pPr>
          <w:r>
            <w:fldChar w:fldCharType="begin"/>
          </w:r>
          <w:r>
            <w:instrText xml:space="preserve"> HYPERLINK \l "_Toc19468" </w:instrText>
          </w:r>
          <w:r>
            <w:fldChar w:fldCharType="separate"/>
          </w:r>
          <w:r>
            <w:rPr>
              <w:rFonts w:hint="eastAsia" w:ascii="宋体" w:hAnsi="宋体" w:cs="宋体"/>
              <w:b/>
              <w:bCs/>
              <w:sz w:val="36"/>
              <w:szCs w:val="36"/>
            </w:rPr>
            <w:t>第三章</w:t>
          </w:r>
          <w:r>
            <w:rPr>
              <w:rFonts w:hint="eastAsia" w:ascii="宋体" w:hAnsi="宋体" w:cs="宋体"/>
              <w:sz w:val="36"/>
              <w:szCs w:val="36"/>
            </w:rPr>
            <w:t xml:space="preserve">  合同条款及格式</w:t>
          </w:r>
          <w:r>
            <w:rPr>
              <w:rFonts w:hint="eastAsia" w:ascii="宋体" w:hAnsi="宋体" w:cs="宋体"/>
              <w:sz w:val="36"/>
              <w:szCs w:val="36"/>
            </w:rPr>
            <w:tab/>
          </w:r>
          <w:r>
            <w:rPr>
              <w:rFonts w:hint="eastAsia" w:ascii="宋体" w:hAnsi="宋体" w:cs="宋体"/>
              <w:sz w:val="36"/>
              <w:szCs w:val="36"/>
            </w:rPr>
            <w:t>1</w:t>
          </w:r>
          <w:r>
            <w:rPr>
              <w:rFonts w:hint="eastAsia" w:ascii="宋体" w:hAnsi="宋体" w:cs="宋体"/>
              <w:sz w:val="36"/>
              <w:szCs w:val="36"/>
            </w:rPr>
            <w:fldChar w:fldCharType="end"/>
          </w:r>
          <w:r>
            <w:rPr>
              <w:rFonts w:hint="eastAsia" w:ascii="宋体" w:hAnsi="宋体" w:cs="宋体"/>
              <w:sz w:val="36"/>
              <w:szCs w:val="36"/>
            </w:rPr>
            <w:t>7</w:t>
          </w:r>
        </w:p>
        <w:p>
          <w:pPr>
            <w:pStyle w:val="162"/>
            <w:tabs>
              <w:tab w:val="right" w:leader="dot" w:pos="8953"/>
            </w:tabs>
            <w:rPr>
              <w:rFonts w:ascii="宋体" w:hAnsi="宋体" w:cs="宋体"/>
              <w:sz w:val="36"/>
              <w:szCs w:val="36"/>
            </w:rPr>
          </w:pPr>
          <w:r>
            <w:fldChar w:fldCharType="begin"/>
          </w:r>
          <w:r>
            <w:instrText xml:space="preserve"> HYPERLINK \l "_Toc17926" </w:instrText>
          </w:r>
          <w:r>
            <w:fldChar w:fldCharType="separate"/>
          </w:r>
          <w:r>
            <w:rPr>
              <w:rFonts w:hint="eastAsia" w:ascii="宋体" w:hAnsi="宋体" w:cs="宋体"/>
              <w:b/>
              <w:bCs/>
              <w:sz w:val="36"/>
              <w:szCs w:val="36"/>
            </w:rPr>
            <w:t xml:space="preserve">第四章 </w:t>
          </w:r>
          <w:r>
            <w:rPr>
              <w:rFonts w:ascii="宋体" w:hAnsi="宋体" w:cs="宋体"/>
              <w:b/>
              <w:bCs/>
              <w:sz w:val="36"/>
              <w:szCs w:val="36"/>
            </w:rPr>
            <w:t xml:space="preserve"> </w:t>
          </w:r>
          <w:r>
            <w:rPr>
              <w:rFonts w:hint="eastAsia" w:ascii="宋体" w:hAnsi="宋体" w:cs="宋体"/>
              <w:sz w:val="36"/>
              <w:szCs w:val="36"/>
            </w:rPr>
            <w:t>项目需求</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1</w:t>
          </w:r>
        </w:p>
        <w:p>
          <w:pPr>
            <w:pStyle w:val="162"/>
            <w:tabs>
              <w:tab w:val="right" w:leader="dot" w:pos="8953"/>
            </w:tabs>
            <w:rPr>
              <w:rFonts w:ascii="宋体" w:hAnsi="宋体" w:cs="宋体"/>
              <w:sz w:val="36"/>
              <w:szCs w:val="36"/>
            </w:rPr>
          </w:pPr>
          <w:r>
            <w:fldChar w:fldCharType="begin"/>
          </w:r>
          <w:r>
            <w:instrText xml:space="preserve"> HYPERLINK \l "_Toc32259" </w:instrText>
          </w:r>
          <w:r>
            <w:fldChar w:fldCharType="separate"/>
          </w:r>
          <w:r>
            <w:rPr>
              <w:rFonts w:hint="eastAsia" w:ascii="宋体" w:hAnsi="宋体" w:cs="宋体"/>
              <w:b/>
              <w:bCs/>
              <w:sz w:val="36"/>
              <w:szCs w:val="36"/>
            </w:rPr>
            <w:t>第五章</w:t>
          </w:r>
          <w:r>
            <w:rPr>
              <w:rFonts w:hint="eastAsia" w:ascii="宋体" w:hAnsi="宋体" w:cs="宋体"/>
              <w:sz w:val="36"/>
              <w:szCs w:val="36"/>
            </w:rPr>
            <w:t xml:space="preserve">  评标方法与评标标准</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5</w:t>
          </w:r>
        </w:p>
        <w:p>
          <w:pPr>
            <w:pStyle w:val="162"/>
            <w:tabs>
              <w:tab w:val="right" w:leader="dot" w:pos="8953"/>
            </w:tabs>
          </w:pPr>
          <w:r>
            <w:fldChar w:fldCharType="begin"/>
          </w:r>
          <w:r>
            <w:instrText xml:space="preserve"> HYPERLINK \l "_Toc20541" </w:instrText>
          </w:r>
          <w:r>
            <w:fldChar w:fldCharType="separate"/>
          </w:r>
          <w:r>
            <w:rPr>
              <w:rFonts w:hint="eastAsia" w:ascii="宋体" w:hAnsi="宋体" w:cs="宋体"/>
              <w:b/>
              <w:bCs/>
              <w:sz w:val="36"/>
              <w:szCs w:val="36"/>
            </w:rPr>
            <w:t>第六章</w:t>
          </w:r>
          <w:r>
            <w:rPr>
              <w:rFonts w:hint="eastAsia" w:ascii="宋体" w:hAnsi="宋体" w:cs="宋体"/>
              <w:sz w:val="36"/>
              <w:szCs w:val="36"/>
            </w:rPr>
            <w:t xml:space="preserve">  投标文件格式</w:t>
          </w:r>
          <w:r>
            <w:rPr>
              <w:rFonts w:hint="eastAsia" w:ascii="宋体" w:hAnsi="宋体" w:cs="宋体"/>
              <w:sz w:val="36"/>
              <w:szCs w:val="36"/>
            </w:rPr>
            <w:tab/>
          </w:r>
          <w:r>
            <w:rPr>
              <w:rFonts w:hint="eastAsia" w:ascii="宋体" w:hAnsi="宋体" w:cs="宋体"/>
              <w:sz w:val="36"/>
              <w:szCs w:val="36"/>
            </w:rPr>
            <w:t>2</w:t>
          </w:r>
          <w:r>
            <w:rPr>
              <w:rFonts w:hint="eastAsia" w:ascii="宋体" w:hAnsi="宋体" w:cs="宋体"/>
              <w:sz w:val="36"/>
              <w:szCs w:val="36"/>
            </w:rPr>
            <w:fldChar w:fldCharType="end"/>
          </w:r>
          <w:r>
            <w:rPr>
              <w:rFonts w:hint="eastAsia" w:ascii="宋体" w:hAnsi="宋体" w:cs="宋体"/>
              <w:sz w:val="36"/>
              <w:szCs w:val="36"/>
            </w:rPr>
            <w:t>8</w:t>
          </w:r>
        </w:p>
        <w:p>
          <w:pPr>
            <w:pStyle w:val="162"/>
            <w:tabs>
              <w:tab w:val="right" w:leader="dot" w:pos="8953"/>
            </w:tabs>
          </w:pPr>
        </w:p>
        <w:p>
          <w:pPr>
            <w:pStyle w:val="37"/>
            <w:jc w:val="both"/>
            <w:rPr>
              <w:rFonts w:ascii="宋体" w:hAnsi="宋体" w:eastAsia="宋体" w:cs="宋体"/>
              <w:bCs/>
            </w:rPr>
            <w:sectPr>
              <w:footerReference r:id="rId7" w:type="first"/>
              <w:footerReference r:id="rId6" w:type="default"/>
              <w:pgSz w:w="11906" w:h="16838"/>
              <w:pgMar w:top="1418" w:right="1588" w:bottom="1418" w:left="1365" w:header="851" w:footer="907" w:gutter="0"/>
              <w:pgNumType w:start="1"/>
              <w:cols w:space="720" w:num="1"/>
              <w:titlePg/>
              <w:docGrid w:type="lines" w:linePitch="290" w:charSpace="0"/>
            </w:sectPr>
          </w:pPr>
          <w:r>
            <w:rPr>
              <w:rFonts w:ascii="宋体" w:hAnsi="宋体" w:eastAsia="宋体" w:cs="宋体"/>
              <w:bCs/>
            </w:rPr>
            <w:fldChar w:fldCharType="end"/>
          </w:r>
        </w:p>
      </w:sdtContent>
    </w:sdt>
    <w:p>
      <w:pPr>
        <w:pStyle w:val="37"/>
        <w:outlineLvl w:val="0"/>
        <w:rPr>
          <w:rStyle w:val="47"/>
          <w:rFonts w:ascii="宋体" w:hAnsi="宋体" w:eastAsia="宋体" w:cs="宋体"/>
          <w:b/>
          <w:bCs/>
          <w:sz w:val="44"/>
          <w:szCs w:val="44"/>
        </w:rPr>
      </w:pPr>
      <w:bookmarkStart w:id="0" w:name="_Toc18878"/>
      <w:r>
        <w:rPr>
          <w:rStyle w:val="47"/>
          <w:rFonts w:hint="eastAsia" w:ascii="宋体" w:hAnsi="宋体" w:eastAsia="宋体" w:cs="宋体"/>
          <w:b/>
          <w:bCs/>
          <w:sz w:val="44"/>
          <w:szCs w:val="44"/>
        </w:rPr>
        <w:t>第一章  招标公告</w:t>
      </w:r>
      <w:bookmarkEnd w:id="0"/>
    </w:p>
    <w:p>
      <w:pPr>
        <w:pStyle w:val="37"/>
        <w:tabs>
          <w:tab w:val="left" w:pos="0"/>
          <w:tab w:val="left" w:pos="3165"/>
          <w:tab w:val="center" w:pos="4153"/>
        </w:tabs>
        <w:spacing w:line="360" w:lineRule="auto"/>
        <w:rPr>
          <w:rStyle w:val="47"/>
          <w:rFonts w:ascii="宋体" w:hAnsi="宋体" w:eastAsia="宋体" w:cs="宋体"/>
          <w:b/>
          <w:bCs/>
        </w:rPr>
      </w:pPr>
      <w:r>
        <w:rPr>
          <w:rStyle w:val="47"/>
          <w:rFonts w:hint="eastAsia" w:ascii="宋体" w:hAnsi="宋体" w:eastAsia="宋体" w:cs="宋体"/>
          <w:b/>
          <w:bCs/>
          <w:sz w:val="32"/>
          <w:szCs w:val="32"/>
          <w:lang w:eastAsia="zh-CN"/>
        </w:rPr>
        <w:t>盐城工业职业技术学院商务数据分析软件</w:t>
      </w:r>
      <w:r>
        <w:rPr>
          <w:rStyle w:val="47"/>
          <w:rFonts w:hint="eastAsia" w:ascii="宋体" w:hAnsi="宋体" w:eastAsia="宋体" w:cs="宋体"/>
          <w:b/>
          <w:bCs/>
          <w:sz w:val="32"/>
          <w:szCs w:val="32"/>
        </w:rPr>
        <w:t>招标公告</w:t>
      </w:r>
    </w:p>
    <w:p>
      <w:pPr>
        <w:pBdr>
          <w:top w:val="single" w:color="000000" w:sz="4" w:space="1"/>
          <w:left w:val="single" w:color="000000" w:sz="4" w:space="4"/>
          <w:bottom w:val="single" w:color="000000" w:sz="4" w:space="1"/>
          <w:right w:val="single" w:color="000000" w:sz="4" w:space="4"/>
        </w:pBdr>
        <w:spacing w:line="460" w:lineRule="exact"/>
        <w:rPr>
          <w:rStyle w:val="47"/>
          <w:rFonts w:ascii="宋体" w:hAnsi="宋体" w:cs="宋体"/>
          <w:sz w:val="24"/>
          <w:szCs w:val="24"/>
        </w:rPr>
      </w:pPr>
      <w:r>
        <w:rPr>
          <w:rStyle w:val="47"/>
          <w:rFonts w:hint="eastAsia" w:ascii="宋体" w:hAnsi="宋体" w:cs="宋体"/>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7"/>
          <w:rFonts w:ascii="宋体" w:hAnsi="宋体" w:cs="宋体"/>
          <w:sz w:val="24"/>
          <w:szCs w:val="24"/>
        </w:rPr>
      </w:pPr>
      <w:r>
        <w:rPr>
          <w:rStyle w:val="47"/>
          <w:rFonts w:hint="eastAsia" w:ascii="宋体" w:hAnsi="宋体" w:cs="宋体"/>
          <w:bCs/>
          <w:sz w:val="24"/>
          <w:szCs w:val="24"/>
          <w:u w:val="single" w:color="000000"/>
          <w:lang w:eastAsia="zh-CN"/>
        </w:rPr>
        <w:t>盐城工业职业技术学院商务数据分析软件</w:t>
      </w:r>
      <w:r>
        <w:rPr>
          <w:rStyle w:val="47"/>
          <w:rFonts w:hint="eastAsia" w:ascii="宋体" w:hAnsi="宋体" w:cs="宋体"/>
          <w:bCs/>
          <w:sz w:val="24"/>
          <w:szCs w:val="24"/>
        </w:rPr>
        <w:t>招标项目的潜在投标人应在“</w:t>
      </w:r>
      <w:r>
        <w:rPr>
          <w:rStyle w:val="47"/>
          <w:rFonts w:hint="eastAsia" w:ascii="宋体" w:hAnsi="宋体"/>
          <w:bCs/>
          <w:sz w:val="24"/>
          <w:szCs w:val="24"/>
          <w:u w:val="single"/>
        </w:rPr>
        <w:t>盐城工业职业技术学院招标采购网</w:t>
      </w:r>
      <w:r>
        <w:rPr>
          <w:rStyle w:val="47"/>
          <w:rFonts w:hint="eastAsia" w:ascii="宋体" w:hAnsi="宋体" w:cs="宋体"/>
          <w:bCs/>
          <w:sz w:val="24"/>
          <w:szCs w:val="24"/>
          <w:u w:val="single"/>
        </w:rPr>
        <w:t>”</w:t>
      </w:r>
      <w:r>
        <w:rPr>
          <w:rStyle w:val="47"/>
          <w:rFonts w:hint="eastAsia" w:ascii="宋体" w:hAnsi="宋体" w:cs="宋体"/>
          <w:bCs/>
          <w:sz w:val="24"/>
          <w:szCs w:val="24"/>
        </w:rPr>
        <w:t>获</w:t>
      </w:r>
      <w:r>
        <w:rPr>
          <w:rStyle w:val="47"/>
          <w:rFonts w:hint="eastAsia" w:ascii="宋体" w:hAnsi="宋体" w:cs="宋体"/>
          <w:sz w:val="24"/>
          <w:szCs w:val="24"/>
        </w:rPr>
        <w:t>取招标文件，并于</w:t>
      </w:r>
      <w:r>
        <w:rPr>
          <w:rStyle w:val="47"/>
          <w:rFonts w:hint="eastAsia" w:ascii="宋体" w:hAnsi="宋体" w:cs="宋体"/>
          <w:sz w:val="24"/>
          <w:szCs w:val="24"/>
          <w:u w:val="single" w:color="000000"/>
        </w:rPr>
        <w:t>2023</w:t>
      </w:r>
      <w:r>
        <w:rPr>
          <w:rStyle w:val="47"/>
          <w:rFonts w:hint="eastAsia" w:ascii="宋体" w:hAnsi="宋体" w:cs="宋体"/>
          <w:bCs/>
          <w:sz w:val="24"/>
          <w:szCs w:val="24"/>
          <w:u w:val="single" w:color="000000"/>
        </w:rPr>
        <w:t>年</w:t>
      </w:r>
      <w:r>
        <w:rPr>
          <w:rStyle w:val="47"/>
          <w:rFonts w:hint="eastAsia" w:ascii="宋体" w:hAnsi="宋体" w:cs="宋体"/>
          <w:bCs/>
          <w:sz w:val="24"/>
          <w:szCs w:val="24"/>
          <w:u w:val="single" w:color="000000"/>
          <w:lang w:val="en-US" w:eastAsia="zh-CN"/>
        </w:rPr>
        <w:t>11</w:t>
      </w:r>
      <w:r>
        <w:rPr>
          <w:rStyle w:val="47"/>
          <w:rFonts w:hint="eastAsia" w:ascii="宋体" w:hAnsi="宋体" w:cs="宋体"/>
          <w:bCs/>
          <w:sz w:val="24"/>
          <w:szCs w:val="24"/>
          <w:u w:val="single" w:color="000000"/>
        </w:rPr>
        <w:t>月</w:t>
      </w:r>
      <w:r>
        <w:rPr>
          <w:rStyle w:val="47"/>
          <w:rFonts w:hint="eastAsia" w:ascii="宋体" w:hAnsi="宋体" w:cs="宋体"/>
          <w:bCs/>
          <w:sz w:val="24"/>
          <w:szCs w:val="24"/>
          <w:u w:val="single" w:color="000000"/>
          <w:lang w:val="en-US" w:eastAsia="zh-CN"/>
        </w:rPr>
        <w:t>22</w:t>
      </w:r>
      <w:r>
        <w:rPr>
          <w:rStyle w:val="47"/>
          <w:rFonts w:hint="eastAsia" w:ascii="宋体" w:hAnsi="宋体" w:cs="宋体"/>
          <w:bCs/>
          <w:sz w:val="24"/>
          <w:szCs w:val="24"/>
          <w:u w:val="single" w:color="000000"/>
        </w:rPr>
        <w:t>日9点00分（</w:t>
      </w:r>
      <w:r>
        <w:rPr>
          <w:rStyle w:val="47"/>
          <w:rFonts w:hint="eastAsia" w:ascii="宋体" w:hAnsi="宋体" w:cs="宋体"/>
          <w:bCs/>
          <w:sz w:val="24"/>
          <w:szCs w:val="24"/>
        </w:rPr>
        <w:t>北京时间）前递交投标文件</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一、项目基本情况</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项目编号：</w:t>
      </w:r>
      <w:r>
        <w:rPr>
          <w:rStyle w:val="47"/>
          <w:rFonts w:hint="eastAsia" w:ascii="宋体" w:hAnsi="宋体" w:cs="宋体"/>
          <w:sz w:val="24"/>
          <w:szCs w:val="24"/>
          <w:u w:val="single"/>
        </w:rPr>
        <w:t>2023-</w:t>
      </w:r>
      <w:r>
        <w:rPr>
          <w:rStyle w:val="47"/>
          <w:rFonts w:hint="eastAsia" w:ascii="宋体" w:hAnsi="宋体" w:cs="宋体"/>
          <w:sz w:val="24"/>
          <w:szCs w:val="24"/>
          <w:u w:val="single"/>
          <w:lang w:eastAsia="zh-CN"/>
        </w:rPr>
        <w:t>031W</w:t>
      </w:r>
    </w:p>
    <w:p>
      <w:pPr>
        <w:snapToGrid w:val="0"/>
        <w:spacing w:line="360" w:lineRule="auto"/>
        <w:ind w:firstLine="480" w:firstLineChars="200"/>
        <w:rPr>
          <w:rStyle w:val="47"/>
          <w:rFonts w:hint="eastAsia" w:ascii="宋体" w:hAnsi="宋体" w:eastAsia="宋体" w:cs="宋体"/>
          <w:sz w:val="24"/>
          <w:szCs w:val="24"/>
          <w:lang w:eastAsia="zh-CN"/>
        </w:rPr>
      </w:pPr>
      <w:r>
        <w:rPr>
          <w:rStyle w:val="47"/>
          <w:rFonts w:hint="eastAsia" w:ascii="宋体" w:hAnsi="宋体" w:cs="宋体"/>
          <w:sz w:val="24"/>
          <w:szCs w:val="24"/>
        </w:rPr>
        <w:t>项目名称：</w:t>
      </w:r>
      <w:r>
        <w:rPr>
          <w:rStyle w:val="47"/>
          <w:rFonts w:hint="eastAsia" w:ascii="宋体" w:hAnsi="宋体" w:cs="宋体"/>
          <w:sz w:val="24"/>
          <w:szCs w:val="24"/>
          <w:u w:val="single"/>
          <w:lang w:eastAsia="zh-CN"/>
        </w:rPr>
        <w:t>盐城工业职业技术学院商务数据分析软件</w:t>
      </w:r>
    </w:p>
    <w:p>
      <w:pPr>
        <w:pStyle w:val="146"/>
        <w:widowControl w:val="0"/>
        <w:tabs>
          <w:tab w:val="left" w:pos="0"/>
        </w:tabs>
        <w:adjustRightInd w:val="0"/>
        <w:snapToGrid w:val="0"/>
        <w:spacing w:line="360" w:lineRule="auto"/>
        <w:ind w:left="0" w:firstLine="480" w:firstLineChars="200"/>
        <w:rPr>
          <w:rStyle w:val="47"/>
          <w:rFonts w:ascii="宋体" w:hAnsi="宋体" w:cs="宋体"/>
          <w:szCs w:val="24"/>
          <w:u w:val="single"/>
          <w:lang w:eastAsia="zh-CN"/>
        </w:rPr>
      </w:pPr>
      <w:r>
        <w:rPr>
          <w:rStyle w:val="47"/>
          <w:rFonts w:hint="eastAsia" w:ascii="宋体" w:hAnsi="宋体" w:cs="宋体"/>
          <w:szCs w:val="24"/>
          <w:lang w:eastAsia="zh-CN"/>
        </w:rPr>
        <w:t>最高限价：</w:t>
      </w:r>
      <w:r>
        <w:rPr>
          <w:rStyle w:val="47"/>
          <w:rFonts w:hint="eastAsia" w:ascii="宋体" w:hAnsi="宋体" w:cs="宋体"/>
          <w:szCs w:val="24"/>
          <w:u w:val="single"/>
          <w:lang w:val="en-US" w:eastAsia="zh-CN"/>
        </w:rPr>
        <w:t>20</w:t>
      </w:r>
      <w:r>
        <w:rPr>
          <w:rStyle w:val="47"/>
          <w:rFonts w:hint="eastAsia" w:ascii="宋体" w:hAnsi="宋体" w:cs="宋体"/>
          <w:szCs w:val="24"/>
          <w:u w:val="single"/>
          <w:lang w:eastAsia="zh-CN"/>
        </w:rPr>
        <w:t>万元</w:t>
      </w:r>
    </w:p>
    <w:p>
      <w:pPr>
        <w:adjustRightInd w:val="0"/>
        <w:snapToGrid w:val="0"/>
        <w:spacing w:line="336" w:lineRule="auto"/>
        <w:ind w:firstLine="480" w:firstLineChars="200"/>
        <w:rPr>
          <w:rStyle w:val="47"/>
          <w:rFonts w:ascii="宋体" w:hAnsi="宋体" w:cs="宋体"/>
          <w:sz w:val="24"/>
          <w:szCs w:val="24"/>
          <w:u w:val="single"/>
        </w:rPr>
      </w:pPr>
      <w:r>
        <w:rPr>
          <w:rStyle w:val="47"/>
          <w:rFonts w:hint="eastAsia" w:ascii="宋体" w:hAnsi="宋体" w:cs="宋体"/>
          <w:sz w:val="24"/>
          <w:szCs w:val="24"/>
        </w:rPr>
        <w:t>采购需求：</w:t>
      </w:r>
      <w:r>
        <w:rPr>
          <w:rStyle w:val="47"/>
          <w:rFonts w:hint="eastAsia" w:ascii="宋体" w:hAnsi="宋体" w:cs="宋体"/>
          <w:sz w:val="24"/>
          <w:szCs w:val="24"/>
          <w:lang w:val="en-US" w:eastAsia="zh-CN"/>
        </w:rPr>
        <w:t>拟对</w:t>
      </w:r>
      <w:r>
        <w:rPr>
          <w:rStyle w:val="47"/>
          <w:rFonts w:hint="eastAsia" w:ascii="宋体" w:hAnsi="宋体" w:cs="宋体"/>
          <w:sz w:val="24"/>
          <w:szCs w:val="24"/>
          <w:u w:val="single"/>
          <w:lang w:eastAsia="zh-CN"/>
        </w:rPr>
        <w:t>盐城工业职业技术学院商务数据分析软件</w:t>
      </w:r>
      <w:r>
        <w:rPr>
          <w:rStyle w:val="47"/>
          <w:rFonts w:hint="eastAsia" w:ascii="宋体" w:hAnsi="宋体" w:cs="宋体"/>
          <w:sz w:val="24"/>
          <w:szCs w:val="24"/>
          <w:u w:val="single"/>
          <w:lang w:val="en-US" w:eastAsia="zh-CN"/>
        </w:rPr>
        <w:t>进行采购</w:t>
      </w:r>
      <w:r>
        <w:rPr>
          <w:rStyle w:val="47"/>
          <w:rFonts w:hint="eastAsia" w:ascii="宋体" w:hAnsi="宋体" w:cs="宋体"/>
          <w:color w:val="000000" w:themeColor="text1"/>
          <w:sz w:val="24"/>
          <w:szCs w:val="24"/>
          <w:u w:val="single"/>
          <w14:textFill>
            <w14:solidFill>
              <w14:schemeClr w14:val="tx1"/>
            </w14:solidFill>
          </w14:textFill>
        </w:rPr>
        <w:t>。具体产品名称、数量、规格及技术参数等以招标文件为准，采购人保留对上述采购规模进行调整的权利。</w:t>
      </w:r>
    </w:p>
    <w:p>
      <w:pPr>
        <w:snapToGrid w:val="0"/>
        <w:spacing w:line="360" w:lineRule="auto"/>
        <w:ind w:firstLine="480" w:firstLineChars="200"/>
        <w:rPr>
          <w:rStyle w:val="47"/>
          <w:rFonts w:ascii="宋体" w:hAnsi="宋体" w:cs="宋体"/>
          <w:sz w:val="24"/>
          <w:szCs w:val="24"/>
          <w:u w:val="single"/>
        </w:rPr>
      </w:pPr>
      <w:r>
        <w:rPr>
          <w:rStyle w:val="47"/>
          <w:rFonts w:hint="eastAsia" w:ascii="宋体" w:hAnsi="宋体" w:cs="宋体"/>
          <w:sz w:val="24"/>
          <w:szCs w:val="24"/>
        </w:rPr>
        <w:t>合同履行期限：</w:t>
      </w:r>
      <w:r>
        <w:rPr>
          <w:rStyle w:val="47"/>
          <w:rFonts w:hint="eastAsia" w:ascii="宋体" w:hAnsi="宋体" w:cs="宋体"/>
          <w:sz w:val="24"/>
          <w:szCs w:val="24"/>
          <w:u w:val="single"/>
        </w:rPr>
        <w:t>在签订合同后</w:t>
      </w:r>
      <w:r>
        <w:rPr>
          <w:rStyle w:val="47"/>
          <w:rFonts w:hint="eastAsia" w:ascii="宋体" w:hAnsi="宋体" w:cs="宋体"/>
          <w:sz w:val="24"/>
          <w:szCs w:val="24"/>
          <w:u w:val="single"/>
          <w:lang w:val="en-US" w:eastAsia="zh-CN"/>
        </w:rPr>
        <w:t>15</w:t>
      </w:r>
      <w:r>
        <w:rPr>
          <w:rStyle w:val="47"/>
          <w:rFonts w:hint="eastAsia" w:ascii="宋体" w:hAnsi="宋体" w:cs="宋体"/>
          <w:sz w:val="24"/>
          <w:szCs w:val="24"/>
          <w:u w:val="single"/>
        </w:rPr>
        <w:t>个日历天内完成全部内容（如甲方需要延时交付，可另行约定时间）。</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本项目</w:t>
      </w:r>
      <w:r>
        <w:rPr>
          <w:rStyle w:val="47"/>
          <w:rFonts w:hint="eastAsia" w:ascii="宋体" w:hAnsi="宋体" w:cs="宋体"/>
          <w:b/>
          <w:bCs/>
          <w:sz w:val="24"/>
          <w:szCs w:val="24"/>
          <w:u w:val="single"/>
        </w:rPr>
        <w:t>不接受</w:t>
      </w:r>
      <w:r>
        <w:rPr>
          <w:rStyle w:val="47"/>
          <w:rFonts w:hint="eastAsia" w:ascii="宋体" w:hAnsi="宋体" w:cs="宋体"/>
          <w:sz w:val="24"/>
          <w:szCs w:val="24"/>
        </w:rPr>
        <w:t>联合体投标。</w:t>
      </w:r>
    </w:p>
    <w:p>
      <w:pPr>
        <w:pStyle w:val="37"/>
        <w:widowControl w:val="0"/>
        <w:tabs>
          <w:tab w:val="left" w:pos="0"/>
          <w:tab w:val="left" w:pos="3165"/>
          <w:tab w:val="center" w:pos="4153"/>
        </w:tabs>
        <w:adjustRightInd w:val="0"/>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二、投标人的资格要求：</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（1）法人或者其他组织的营业执照等证明文件，自然人的身份证明；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（2）上一年度（2022年）的财务报表（成立不满一年不需提供）；</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（3）依法缴纳税收和社会保障资金的相关材料，</w:t>
      </w:r>
      <w:r>
        <w:rPr>
          <w:rStyle w:val="47"/>
          <w:rFonts w:hint="eastAsia" w:ascii="宋体" w:hAnsi="宋体"/>
          <w:sz w:val="24"/>
          <w:szCs w:val="24"/>
        </w:rPr>
        <w:t>依法免税或不需要缴纳社会保障资金的，应提供相应文件证明材料</w:t>
      </w:r>
      <w:r>
        <w:rPr>
          <w:rStyle w:val="47"/>
          <w:rFonts w:hint="eastAsia" w:ascii="宋体" w:hAnsi="宋体" w:cs="宋体"/>
          <w:sz w:val="24"/>
          <w:szCs w:val="24"/>
        </w:rPr>
        <w:t>；</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（4）具备履行合同所必需的设备和专业技术能力的书面声明；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（5）参加政府采购活动前3年内在经营活动中没有重大违法记录的书面声明；</w:t>
      </w:r>
    </w:p>
    <w:p>
      <w:pPr>
        <w:widowControl w:val="0"/>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2.落实政府采购政策需满足的资格要求：本项目为专门面向中小企业采购的项目,供应商须为中小微企业，不接受大型企业参与本项目投标。。</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3.本项目的特定资格要求：</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（1）未被“信用中国”网站（www.creditchina.gov.cn）列入失信被执行人、重大税收违法案件当事人名单、政府采购严重失信行为记录名单。</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（2）单位负责人为同一人或者存在直接控股、管理关系的不同供应商，不得参加同一合同项下的政府采购活动。</w:t>
      </w:r>
    </w:p>
    <w:p>
      <w:pPr>
        <w:widowControl w:val="0"/>
        <w:adjustRightInd w:val="0"/>
        <w:snapToGrid w:val="0"/>
        <w:spacing w:line="360" w:lineRule="auto"/>
        <w:ind w:firstLine="482" w:firstLineChars="200"/>
        <w:rPr>
          <w:rStyle w:val="47"/>
          <w:rFonts w:hint="eastAsia" w:ascii="宋体" w:hAnsi="宋体" w:cs="宋体"/>
          <w:b/>
          <w:bCs/>
          <w:sz w:val="24"/>
          <w:szCs w:val="24"/>
        </w:rPr>
      </w:pPr>
      <w:r>
        <w:rPr>
          <w:rStyle w:val="47"/>
          <w:rFonts w:hint="eastAsia" w:ascii="宋体" w:hAnsi="宋体" w:cs="宋体"/>
          <w:b/>
          <w:bCs/>
          <w:sz w:val="24"/>
          <w:szCs w:val="24"/>
        </w:rPr>
        <w:t>三、获取招标文件</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时间：自公告之日起至投标截止时间前1日</w:t>
      </w:r>
    </w:p>
    <w:p>
      <w:pPr>
        <w:widowControl w:val="0"/>
        <w:adjustRightInd w:val="0"/>
        <w:snapToGrid w:val="0"/>
        <w:spacing w:line="360" w:lineRule="auto"/>
        <w:ind w:firstLine="480" w:firstLineChars="200"/>
        <w:rPr>
          <w:rStyle w:val="47"/>
          <w:rFonts w:hint="eastAsia" w:ascii="宋体" w:hAnsi="宋体" w:cs="宋体"/>
          <w:sz w:val="24"/>
          <w:szCs w:val="24"/>
        </w:rPr>
      </w:pPr>
      <w:r>
        <w:rPr>
          <w:rStyle w:val="47"/>
          <w:rFonts w:hint="eastAsia" w:ascii="宋体" w:hAnsi="宋体" w:cs="宋体"/>
          <w:sz w:val="24"/>
          <w:szCs w:val="24"/>
        </w:rPr>
        <w:t>地点：盐城工业职业技术学院招标采购网</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7"/>
          <w:rFonts w:ascii="宋体" w:hAnsi="宋体" w:cs="宋体"/>
          <w:sz w:val="24"/>
          <w:szCs w:val="24"/>
        </w:rPr>
      </w:pPr>
      <w:r>
        <w:rPr>
          <w:rFonts w:hint="eastAsia" w:ascii="宋体" w:hAnsi="宋体" w:cs="宋体"/>
          <w:bCs/>
          <w:sz w:val="24"/>
          <w:szCs w:val="24"/>
        </w:rPr>
        <w:t>报名时间及地点：本公告发布后凡具备上述资格条件，并自愿参加本项目投标的投标人应于2023年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1</w:t>
      </w:r>
      <w:r>
        <w:rPr>
          <w:rFonts w:hint="eastAsia" w:ascii="宋体" w:hAnsi="宋体" w:cs="宋体"/>
          <w:bCs/>
          <w:sz w:val="24"/>
          <w:szCs w:val="24"/>
        </w:rPr>
        <w:t>日至2023年</w:t>
      </w:r>
      <w:r>
        <w:rPr>
          <w:rFonts w:hint="eastAsia" w:ascii="宋体" w:hAnsi="宋体" w:cs="宋体"/>
          <w:bCs/>
          <w:sz w:val="24"/>
          <w:szCs w:val="24"/>
          <w:lang w:val="en-US" w:eastAsia="zh-CN"/>
        </w:rPr>
        <w:t>11</w:t>
      </w:r>
      <w:r>
        <w:rPr>
          <w:rFonts w:hint="eastAsia" w:ascii="宋体" w:hAnsi="宋体" w:cs="宋体"/>
          <w:bCs/>
          <w:sz w:val="24"/>
          <w:szCs w:val="24"/>
        </w:rPr>
        <w:t>月</w:t>
      </w:r>
      <w:r>
        <w:rPr>
          <w:rFonts w:hint="eastAsia" w:ascii="宋体" w:hAnsi="宋体" w:cs="宋体"/>
          <w:bCs/>
          <w:sz w:val="24"/>
          <w:szCs w:val="24"/>
          <w:lang w:val="en-US" w:eastAsia="zh-CN"/>
        </w:rPr>
        <w:t>13</w:t>
      </w:r>
      <w:r>
        <w:rPr>
          <w:rFonts w:hint="eastAsia" w:ascii="宋体" w:hAnsi="宋体" w:cs="宋体"/>
          <w:bCs/>
          <w:sz w:val="24"/>
          <w:szCs w:val="24"/>
        </w:rPr>
        <w:t>日委派本单位正式人员携带单位介绍信或授权委托书扫描件至我单位或添加微信（微信号:13305104722）购买招标文件，逾期的不予接收。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售价：人民币500元，售后不退。</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四、提交投标文件截止时间、开标时间和地点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时间：2023</w:t>
      </w:r>
      <w:r>
        <w:rPr>
          <w:rStyle w:val="47"/>
          <w:rFonts w:hint="eastAsia" w:ascii="宋体" w:hAnsi="宋体" w:cs="宋体"/>
          <w:bCs/>
          <w:sz w:val="24"/>
          <w:szCs w:val="24"/>
        </w:rPr>
        <w:t>年</w:t>
      </w:r>
      <w:r>
        <w:rPr>
          <w:rStyle w:val="47"/>
          <w:rFonts w:hint="eastAsia" w:ascii="宋体" w:hAnsi="宋体" w:cs="宋体"/>
          <w:bCs/>
          <w:sz w:val="24"/>
          <w:szCs w:val="24"/>
          <w:lang w:val="en-US" w:eastAsia="zh-CN"/>
        </w:rPr>
        <w:t>11</w:t>
      </w:r>
      <w:r>
        <w:rPr>
          <w:rStyle w:val="47"/>
          <w:rFonts w:hint="eastAsia" w:ascii="宋体" w:hAnsi="宋体" w:cs="宋体"/>
          <w:bCs/>
          <w:sz w:val="24"/>
          <w:szCs w:val="24"/>
        </w:rPr>
        <w:t>月</w:t>
      </w:r>
      <w:r>
        <w:rPr>
          <w:rStyle w:val="47"/>
          <w:rFonts w:hint="eastAsia" w:ascii="宋体" w:hAnsi="宋体" w:cs="宋体"/>
          <w:bCs/>
          <w:sz w:val="24"/>
          <w:szCs w:val="24"/>
          <w:lang w:val="en-US" w:eastAsia="zh-CN"/>
        </w:rPr>
        <w:t>22</w:t>
      </w:r>
      <w:r>
        <w:rPr>
          <w:rStyle w:val="47"/>
          <w:rFonts w:hint="eastAsia" w:ascii="宋体" w:hAnsi="宋体" w:cs="宋体"/>
          <w:bCs/>
          <w:sz w:val="24"/>
          <w:szCs w:val="24"/>
        </w:rPr>
        <w:t>日9点00分</w:t>
      </w:r>
      <w:r>
        <w:rPr>
          <w:rStyle w:val="47"/>
          <w:rFonts w:hint="eastAsia" w:ascii="宋体" w:hAnsi="宋体" w:cs="宋体"/>
          <w:sz w:val="24"/>
          <w:szCs w:val="24"/>
        </w:rPr>
        <w:t>（北京时间）</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地点：</w:t>
      </w:r>
      <w:r>
        <w:rPr>
          <w:rStyle w:val="47"/>
          <w:rFonts w:hint="eastAsia" w:ascii="宋体" w:hAnsi="宋体" w:cs="宋体"/>
          <w:color w:val="000000" w:themeColor="text1"/>
          <w:sz w:val="24"/>
          <w:szCs w:val="24"/>
          <w14:textFill>
            <w14:solidFill>
              <w14:schemeClr w14:val="tx1"/>
            </w14:solidFill>
          </w14:textFill>
        </w:rPr>
        <w:t>盐城工业职业技术学院（盐城市解放南路285号）南食堂四楼402开标室</w:t>
      </w:r>
      <w:r>
        <w:rPr>
          <w:rStyle w:val="47"/>
          <w:rFonts w:hint="eastAsia" w:ascii="宋体" w:hAnsi="宋体" w:cs="宋体"/>
          <w:sz w:val="24"/>
          <w:szCs w:val="24"/>
        </w:rPr>
        <w:t>。</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五、公告期限</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kern w:val="0"/>
          <w:sz w:val="24"/>
          <w:szCs w:val="24"/>
        </w:rPr>
        <w:t>自本公告发布之日起5个工作日。</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六、其他补充事宜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sz w:val="24"/>
        </w:rPr>
      </w:pPr>
      <w:r>
        <w:rPr>
          <w:rFonts w:hint="eastAsia" w:ascii="宋体" w:hAnsi="宋体" w:cs="宋体"/>
          <w:b/>
          <w:bCs/>
          <w:sz w:val="24"/>
        </w:rPr>
        <w:t>七、本项目投标保证金</w:t>
      </w:r>
    </w:p>
    <w:p>
      <w:pPr>
        <w:pStyle w:val="37"/>
        <w:tabs>
          <w:tab w:val="left" w:pos="0"/>
          <w:tab w:val="left" w:pos="3165"/>
          <w:tab w:val="center" w:pos="4153"/>
        </w:tabs>
        <w:snapToGrid w:val="0"/>
        <w:spacing w:line="360" w:lineRule="auto"/>
        <w:ind w:firstLine="480" w:firstLineChars="200"/>
        <w:jc w:val="left"/>
        <w:rPr>
          <w:rStyle w:val="47"/>
          <w:rFonts w:ascii="宋体" w:hAnsi="宋体" w:eastAsia="宋体" w:cs="宋体"/>
          <w:sz w:val="24"/>
          <w:szCs w:val="24"/>
        </w:rPr>
      </w:pPr>
      <w:r>
        <w:rPr>
          <w:rStyle w:val="47"/>
          <w:rFonts w:hint="eastAsia" w:ascii="宋体" w:hAnsi="宋体" w:eastAsia="宋体" w:cs="宋体"/>
          <w:sz w:val="24"/>
          <w:szCs w:val="24"/>
        </w:rPr>
        <w:t>根据江苏省财政厅及盐财购〔2020〕11号文件关于取消政府采购投标保证金的规定，本采购项目投标人无需在投标截止时间之前交纳（提交）投标保证金。</w:t>
      </w:r>
    </w:p>
    <w:p>
      <w:pPr>
        <w:pStyle w:val="37"/>
        <w:tabs>
          <w:tab w:val="left" w:pos="0"/>
          <w:tab w:val="left" w:pos="3165"/>
          <w:tab w:val="center" w:pos="4153"/>
        </w:tabs>
        <w:snapToGrid w:val="0"/>
        <w:spacing w:line="360" w:lineRule="auto"/>
        <w:ind w:firstLine="482" w:firstLineChars="200"/>
        <w:jc w:val="left"/>
        <w:rPr>
          <w:rStyle w:val="47"/>
          <w:rFonts w:ascii="宋体" w:hAnsi="宋体" w:eastAsia="宋体" w:cs="宋体"/>
          <w:b/>
          <w:bCs/>
          <w:sz w:val="24"/>
          <w:szCs w:val="24"/>
        </w:rPr>
      </w:pPr>
      <w:r>
        <w:rPr>
          <w:rStyle w:val="47"/>
          <w:rFonts w:hint="eastAsia" w:ascii="宋体" w:hAnsi="宋体" w:eastAsia="宋体" w:cs="宋体"/>
          <w:b/>
          <w:bCs/>
          <w:sz w:val="24"/>
          <w:szCs w:val="24"/>
        </w:rPr>
        <w:t>八、对本次招标提出询问，请按以下方式联系。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1.采购人信息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名称：盐城工业职业技术学院</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地址：盐城市解放南路285号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联系人：赵老师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联系电话：0515-88588707</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2.采购代理机构信息</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名称：江苏伟业项目管理有限公司</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地址：盐城市华邦国际东厦16楼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联系人：陈先生              </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Fonts w:hint="eastAsia" w:ascii="宋体" w:hAnsi="宋体" w:cs="宋体"/>
          <w:bCs/>
          <w:sz w:val="24"/>
        </w:rPr>
        <w:t>13305104722</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3.项目联系方式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项目联系人：</w:t>
      </w:r>
      <w:r>
        <w:rPr>
          <w:rStyle w:val="47"/>
          <w:rFonts w:hint="eastAsia" w:ascii="宋体" w:hAnsi="宋体" w:cs="宋体"/>
          <w:sz w:val="24"/>
          <w:szCs w:val="24"/>
          <w:lang w:val="en-US" w:eastAsia="zh-CN"/>
        </w:rPr>
        <w:t>蔡</w:t>
      </w:r>
      <w:r>
        <w:rPr>
          <w:rStyle w:val="47"/>
          <w:rFonts w:hint="eastAsia" w:ascii="宋体" w:hAnsi="宋体" w:cs="宋体"/>
          <w:sz w:val="24"/>
          <w:szCs w:val="24"/>
        </w:rPr>
        <w:t>老师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联系电话：</w:t>
      </w:r>
      <w:r>
        <w:rPr>
          <w:rStyle w:val="47"/>
          <w:rFonts w:hint="eastAsia" w:ascii="宋体" w:hAnsi="宋体" w:cs="宋体"/>
          <w:sz w:val="24"/>
          <w:szCs w:val="24"/>
          <w:lang w:val="en-US" w:eastAsia="zh-CN"/>
        </w:rPr>
        <w:t>19516315058</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对项目需求部分的询问、质疑请向使用部门提出，询问、质疑由项目联系人负责答复。</w:t>
      </w:r>
    </w:p>
    <w:p>
      <w:pPr>
        <w:snapToGrid w:val="0"/>
        <w:spacing w:line="360" w:lineRule="auto"/>
        <w:ind w:firstLine="480" w:firstLineChars="20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10"/>
        <w:ind w:left="1470" w:right="1470"/>
        <w:rPr>
          <w:rStyle w:val="47"/>
          <w:rFonts w:ascii="宋体" w:hAnsi="宋体" w:cs="宋体"/>
          <w:sz w:val="24"/>
          <w:szCs w:val="24"/>
        </w:rPr>
      </w:pPr>
    </w:p>
    <w:p>
      <w:pPr>
        <w:pStyle w:val="39"/>
        <w:rPr>
          <w:rStyle w:val="47"/>
          <w:rFonts w:ascii="宋体" w:hAnsi="宋体" w:cs="宋体"/>
        </w:rPr>
      </w:pPr>
      <w:bookmarkStart w:id="1" w:name="_Toc21663"/>
    </w:p>
    <w:p>
      <w:pPr>
        <w:pStyle w:val="38"/>
        <w:spacing w:before="0" w:after="0" w:line="240" w:lineRule="auto"/>
        <w:outlineLvl w:val="0"/>
        <w:rPr>
          <w:rStyle w:val="47"/>
          <w:rFonts w:ascii="宋体" w:hAnsi="宋体" w:eastAsia="宋体" w:cs="宋体"/>
          <w:b w:val="0"/>
          <w:bCs w:val="0"/>
        </w:rPr>
      </w:pPr>
      <w:r>
        <w:rPr>
          <w:rStyle w:val="47"/>
          <w:rFonts w:hint="eastAsia" w:ascii="宋体" w:hAnsi="宋体" w:eastAsia="宋体" w:cs="宋体"/>
        </w:rPr>
        <w:t>第二章  投标人须知</w:t>
      </w:r>
      <w:bookmarkEnd w:id="1"/>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一、总则</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1、招标方式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 本次招标采取公开招标方式，本招标文件仅适用于招标公告中所述项目。</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2、合格的投标人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2.1满足招标公告中供应商的资格要求的规定。</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 满足本文件实质性条款的规定。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3、适用法律</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 本次招标及由此产生的合同受中华人民共和国有关的法律法规制约和保护。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4、投标费用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4.2本项目中标人与采购人签订合同前领取中标通知书时须向采购代理机构支付招标代理服务费，收费标准按中标价的1.5%×40%计取（如低于3000元的直接按3000元计取）；上述费用由各投标人在投标时自行综合考虑分摊含进投标报价中，且不得单列，采购人不再承担上述费用。</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5、招标文件的约束力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5.1</w:t>
      </w:r>
      <w:r>
        <w:rPr>
          <w:rStyle w:val="47"/>
          <w:rFonts w:hint="eastAsia" w:ascii="宋体" w:hAnsi="宋体" w:cs="宋体"/>
          <w:sz w:val="24"/>
          <w:szCs w:val="24"/>
        </w:rPr>
        <w:t xml:space="preserve"> 投标人一旦参加本项目采购活动，即被认为接受了本招标文件的规定和约束，并且视为自招标公告期限届满之日起知道或应当知道自身权益是否受到了损害。</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6、招标文件的解释</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6.1 本招标文件由采购人或采购代理机构负责解释。</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二、招标文件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7、招标文件构成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7.1</w:t>
      </w:r>
      <w:r>
        <w:rPr>
          <w:rStyle w:val="47"/>
          <w:rFonts w:hint="eastAsia" w:ascii="宋体" w:hAnsi="宋体" w:cs="宋体"/>
          <w:sz w:val="24"/>
          <w:szCs w:val="24"/>
        </w:rPr>
        <w:t xml:space="preserve"> 招标文件有以下部分组成：</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（1）招标公告</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（2）投标人须知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（3）合同条款及格式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（4）项目需求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（5）评标方法与评标标准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（6）投标文件格式</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请仔细检查招标文件是否齐全，如有缺漏请立即与采购人或采购代理机构联系解决。</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7.2</w:t>
      </w:r>
      <w:r>
        <w:rPr>
          <w:rStyle w:val="47"/>
          <w:rFonts w:hint="eastAsia" w:ascii="宋体" w:hAnsi="宋体" w:cs="宋体"/>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8、招标文件的询问</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8.1</w:t>
      </w:r>
      <w:r>
        <w:rPr>
          <w:rStyle w:val="47"/>
          <w:rFonts w:hint="eastAsia" w:ascii="宋体" w:hAnsi="宋体" w:cs="宋体"/>
          <w:sz w:val="24"/>
          <w:szCs w:val="24"/>
        </w:rPr>
        <w:t xml:space="preserve"> 任何要求对招标文件进行询问的投标人，应在投标截止日期</w:t>
      </w:r>
      <w:r>
        <w:rPr>
          <w:rStyle w:val="47"/>
          <w:rFonts w:hint="eastAsia" w:ascii="宋体" w:hAnsi="宋体" w:cs="宋体"/>
          <w:b/>
          <w:sz w:val="24"/>
          <w:szCs w:val="24"/>
        </w:rPr>
        <w:t>十日</w:t>
      </w:r>
      <w:r>
        <w:rPr>
          <w:rStyle w:val="47"/>
          <w:rFonts w:hint="eastAsia" w:ascii="宋体" w:hAnsi="宋体" w:cs="宋体"/>
          <w:sz w:val="24"/>
          <w:szCs w:val="24"/>
        </w:rPr>
        <w:t>前按招标公告中的通讯地址，向采购人或采购代理机构提出。</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9、招标文件的修改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9.1</w:t>
      </w:r>
      <w:r>
        <w:rPr>
          <w:rStyle w:val="47"/>
          <w:rFonts w:hint="eastAsia" w:ascii="宋体" w:hAnsi="宋体" w:cs="宋体"/>
          <w:sz w:val="24"/>
          <w:szCs w:val="24"/>
        </w:rPr>
        <w:t xml:space="preserve"> 在投标截止时间前，采购人或采购代理机构可以对招标文件进行修改。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9.2</w:t>
      </w:r>
      <w:r>
        <w:rPr>
          <w:rStyle w:val="47"/>
          <w:rFonts w:hint="eastAsia" w:ascii="宋体" w:hAnsi="宋体" w:cs="宋体"/>
          <w:sz w:val="24"/>
          <w:szCs w:val="24"/>
        </w:rPr>
        <w:t>采购人或采购代理机构有权依法推迟投标截止日期和开标日期。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9.3</w:t>
      </w:r>
      <w:r>
        <w:rPr>
          <w:rStyle w:val="47"/>
          <w:rFonts w:hint="eastAsia" w:ascii="宋体" w:hAnsi="宋体" w:cs="宋体"/>
          <w:sz w:val="24"/>
          <w:szCs w:val="24"/>
        </w:rPr>
        <w:t>招标文件的修改将在“盐城工业职业技术学院招标采购网”公布，补充文件将作为招标文件的组成部分，并对投标人具有约束力。</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三、投标文件的编制</w:t>
      </w:r>
    </w:p>
    <w:p>
      <w:pPr>
        <w:pStyle w:val="41"/>
        <w:snapToGrid w:val="0"/>
        <w:spacing w:before="0" w:after="0" w:line="360" w:lineRule="auto"/>
        <w:ind w:firstLine="480" w:firstLineChars="200"/>
        <w:rPr>
          <w:rStyle w:val="47"/>
          <w:rFonts w:ascii="宋体" w:hAnsi="宋体" w:cs="宋体"/>
          <w:bCs/>
          <w:sz w:val="24"/>
          <w:szCs w:val="24"/>
        </w:rPr>
      </w:pPr>
      <w:r>
        <w:rPr>
          <w:rStyle w:val="47"/>
          <w:rFonts w:hint="eastAsia" w:ascii="宋体" w:hAnsi="宋体" w:cs="宋体"/>
          <w:b w:val="0"/>
          <w:bCs/>
          <w:sz w:val="24"/>
          <w:szCs w:val="24"/>
        </w:rPr>
        <w:t>10、投标文件的语言及度量衡单位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10.1</w:t>
      </w:r>
      <w:r>
        <w:rPr>
          <w:rStyle w:val="47"/>
          <w:rFonts w:hint="eastAsia" w:ascii="宋体" w:hAnsi="宋体" w:cs="宋体"/>
          <w:sz w:val="24"/>
          <w:szCs w:val="24"/>
        </w:rPr>
        <w:t xml:space="preserve"> 投标人提交的投标文件以及投标人与采购人或采购代理机构就有关投标的所有来往通知、函件和文件均应使用</w:t>
      </w:r>
      <w:r>
        <w:rPr>
          <w:rStyle w:val="47"/>
          <w:rFonts w:hint="eastAsia" w:ascii="宋体" w:hAnsi="宋体" w:cs="宋体"/>
          <w:b/>
          <w:bCs/>
          <w:sz w:val="24"/>
          <w:szCs w:val="24"/>
        </w:rPr>
        <w:t>简体中文</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10.2</w:t>
      </w:r>
      <w:r>
        <w:rPr>
          <w:rStyle w:val="47"/>
          <w:rFonts w:hint="eastAsia" w:ascii="宋体" w:hAnsi="宋体" w:cs="宋体"/>
          <w:sz w:val="24"/>
          <w:szCs w:val="24"/>
        </w:rPr>
        <w:t xml:space="preserve"> 除技术性能另有规定外，投标文件所使用的度量衡单位，均须采用国家法定计量单位。</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Style w:val="47"/>
          <w:rFonts w:hint="eastAsia" w:ascii="宋体" w:hAnsi="宋体" w:cs="宋体"/>
          <w:bCs/>
          <w:sz w:val="24"/>
          <w:szCs w:val="24"/>
        </w:rPr>
        <w:t>11.1</w:t>
      </w:r>
      <w:r>
        <w:rPr>
          <w:rFonts w:hint="eastAsia" w:ascii="宋体" w:hAnsi="宋体" w:cs="宋体"/>
          <w:color w:val="000000" w:themeColor="text1"/>
          <w:sz w:val="24"/>
          <w:szCs w:val="24"/>
          <w14:textFill>
            <w14:solidFill>
              <w14:schemeClr w14:val="tx1"/>
            </w14:solidFill>
          </w14:textFill>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11.2投标人应将投标文件按顺序装订成册，并编制投标文件资料目录。</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12、证明投标人资格及符合招标文件规定的文件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12.1投标人应按要求提交资格证明文件及符合招标文件规定的文件。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12.2投标人应提交证明其有资格参加投标和中标后有能力独立履行合同的文件。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12.5证明投标人所提供货物及服务与招标文件的要求相一致的文件可以是手册、图纸、文字资料和数据</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 xml:space="preserve"> 投</w:t>
      </w:r>
      <w:bookmarkStart w:id="2" w:name="_Hlt26954840"/>
      <w:bookmarkEnd w:id="2"/>
      <w:r>
        <w:rPr>
          <w:rFonts w:hint="eastAsia" w:ascii="宋体" w:hAnsi="宋体" w:cs="宋体"/>
          <w:color w:val="000000" w:themeColor="text1"/>
          <w:sz w:val="24"/>
          <w:szCs w:val="24"/>
          <w14:textFill>
            <w14:solidFill>
              <w14:schemeClr w14:val="tx1"/>
            </w14:solidFill>
          </w14:textFill>
        </w:rPr>
        <w:t>标人应按照招标文件规定格式填报投标配置与分项报价表</w:t>
      </w:r>
      <w:bookmarkStart w:id="3" w:name="_Hlt26670399"/>
      <w:bookmarkEnd w:id="3"/>
      <w:r>
        <w:rPr>
          <w:rFonts w:hint="eastAsia" w:ascii="宋体" w:hAnsi="宋体" w:cs="宋体"/>
          <w:color w:val="000000" w:themeColor="text1"/>
          <w:sz w:val="24"/>
          <w:szCs w:val="24"/>
          <w14:textFill>
            <w14:solidFill>
              <w14:schemeClr w14:val="tx1"/>
            </w14:solidFill>
          </w14:textFill>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13.2</w:t>
      </w:r>
      <w:r>
        <w:rPr>
          <w:rStyle w:val="47"/>
          <w:rFonts w:hint="eastAsia" w:ascii="宋体" w:hAnsi="宋体" w:cs="宋体"/>
          <w:sz w:val="24"/>
          <w:szCs w:val="24"/>
        </w:rPr>
        <w:t xml:space="preserve"> 标的物</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采购人需求的货物供应、安装，调试及有关技术服务等</w:t>
      </w:r>
      <w:r>
        <w:rPr>
          <w:rStyle w:val="47"/>
          <w:rFonts w:hint="eastAsia" w:ascii="宋体" w:hAnsi="宋体" w:cs="宋体"/>
          <w:sz w:val="24"/>
          <w:szCs w:val="24"/>
        </w:rPr>
        <w:t>。</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13.3有关费用处理</w:t>
      </w:r>
    </w:p>
    <w:p>
      <w:pPr>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招标报价采用总承包方式，</w:t>
      </w:r>
      <w:r>
        <w:rPr>
          <w:rStyle w:val="47"/>
          <w:rFonts w:ascii="宋体" w:hAnsi="宋体"/>
          <w:sz w:val="24"/>
          <w:szCs w:val="24"/>
        </w:rPr>
        <w:t>包括</w:t>
      </w:r>
      <w:r>
        <w:rPr>
          <w:rStyle w:val="47"/>
          <w:rFonts w:ascii="宋体" w:hAnsi="宋体" w:cs="宋体"/>
          <w:bCs/>
          <w:sz w:val="24"/>
          <w:szCs w:val="24"/>
        </w:rPr>
        <w:t>买方需求的货物价格</w:t>
      </w:r>
      <w:r>
        <w:rPr>
          <w:rStyle w:val="47"/>
          <w:rFonts w:ascii="宋体" w:hAnsi="宋体"/>
          <w:sz w:val="24"/>
          <w:szCs w:val="24"/>
        </w:rPr>
        <w:t>、</w:t>
      </w:r>
      <w:r>
        <w:rPr>
          <w:rStyle w:val="47"/>
          <w:rFonts w:ascii="宋体" w:hAnsi="宋体" w:cs="宋体"/>
          <w:bCs/>
          <w:sz w:val="24"/>
          <w:szCs w:val="24"/>
        </w:rPr>
        <w:t>质量保证费用、培训费用及售后服务费用，项目在指定地点、环境交付、验收所需费用和所有</w:t>
      </w:r>
      <w:r>
        <w:rPr>
          <w:rStyle w:val="47"/>
          <w:rFonts w:ascii="宋体" w:hAnsi="宋体"/>
          <w:sz w:val="24"/>
          <w:szCs w:val="24"/>
        </w:rPr>
        <w:t>相关税金费用</w:t>
      </w:r>
      <w:r>
        <w:rPr>
          <w:rStyle w:val="47"/>
          <w:rFonts w:ascii="宋体" w:hAnsi="宋体" w:cs="宋体"/>
          <w:bCs/>
          <w:sz w:val="24"/>
          <w:szCs w:val="24"/>
        </w:rPr>
        <w:t>及为完成整个项目所产生的其它所有费用。</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13.4</w:t>
      </w:r>
      <w:r>
        <w:rPr>
          <w:rStyle w:val="47"/>
          <w:rFonts w:hint="eastAsia" w:ascii="宋体" w:hAnsi="宋体" w:cs="宋体"/>
          <w:bCs/>
          <w:sz w:val="24"/>
          <w:szCs w:val="24"/>
        </w:rPr>
        <w:t>其它费用处理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招标文件未列明，而投标人认为必需的费用也需列入报价。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13.5</w:t>
      </w:r>
      <w:r>
        <w:rPr>
          <w:rStyle w:val="47"/>
          <w:rFonts w:hint="eastAsia" w:ascii="宋体" w:hAnsi="宋体" w:cs="宋体"/>
          <w:bCs/>
          <w:sz w:val="24"/>
          <w:szCs w:val="24"/>
        </w:rPr>
        <w:t>投标货币</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投标文件中的货物</w:t>
      </w:r>
      <w:r>
        <w:rPr>
          <w:rStyle w:val="47"/>
          <w:rFonts w:hint="eastAsia" w:ascii="宋体" w:hAnsi="宋体" w:cs="宋体"/>
          <w:sz w:val="24"/>
          <w:szCs w:val="24"/>
        </w:rPr>
        <w:t>及服务</w:t>
      </w:r>
      <w:r>
        <w:rPr>
          <w:rStyle w:val="47"/>
          <w:rFonts w:hint="eastAsia" w:ascii="宋体" w:hAnsi="宋体" w:cs="宋体"/>
          <w:bCs/>
          <w:sz w:val="24"/>
          <w:szCs w:val="24"/>
        </w:rPr>
        <w:t>单价和总价无特殊规定的采用人民币报价，以元为单位标注。</w:t>
      </w:r>
      <w:r>
        <w:rPr>
          <w:rStyle w:val="47"/>
          <w:rFonts w:hint="eastAsia" w:ascii="宋体" w:hAnsi="宋体" w:cs="宋体"/>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13.6.2项目单价按投标配置及分项报价表中要求填报。</w:t>
      </w:r>
    </w:p>
    <w:p>
      <w:pPr>
        <w:widowControl w:val="0"/>
        <w:adjustRightInd w:val="0"/>
        <w:snapToGrid w:val="0"/>
        <w:spacing w:line="360" w:lineRule="auto"/>
        <w:ind w:firstLine="480" w:firstLineChars="200"/>
        <w:rPr>
          <w:rStyle w:val="47"/>
          <w:rFonts w:ascii="宋体" w:hAnsi="宋体" w:cs="宋体"/>
          <w:bCs/>
          <w:sz w:val="24"/>
          <w:szCs w:val="24"/>
        </w:rPr>
      </w:pPr>
      <w:r>
        <w:rPr>
          <w:rFonts w:hint="eastAsia" w:ascii="宋体" w:hAnsi="宋体" w:cs="宋体"/>
          <w:color w:val="000000" w:themeColor="text1"/>
          <w:sz w:val="24"/>
          <w:szCs w:val="24"/>
          <w14:textFill>
            <w14:solidFill>
              <w14:schemeClr w14:val="tx1"/>
            </w14:solidFill>
          </w14:textFill>
        </w:rPr>
        <w:t>14、技术参数响应及偏离表、商务条款响应及偏离表及投标货物说</w:t>
      </w:r>
      <w:r>
        <w:rPr>
          <w:rStyle w:val="47"/>
          <w:rFonts w:hint="eastAsia" w:ascii="宋体" w:hAnsi="宋体" w:cs="宋体"/>
          <w:sz w:val="24"/>
          <w:szCs w:val="24"/>
        </w:rPr>
        <w:t>明</w:t>
      </w:r>
    </w:p>
    <w:p>
      <w:pPr>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lang w:val="zh-CN"/>
        </w:rPr>
        <w:t>14.1</w:t>
      </w:r>
      <w:r>
        <w:rPr>
          <w:rStyle w:val="47"/>
          <w:rFonts w:hint="eastAsia" w:ascii="宋体" w:hAnsi="宋体" w:cs="宋体"/>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14.2 提供参加本项目类似案例简介；</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14.3 培训计划；</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sz w:val="24"/>
          <w:szCs w:val="24"/>
          <w:lang w:val="zh-CN"/>
        </w:rPr>
        <w:t>14.5 投标人认为需要的其他技术文件或说明。</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w:t>
      </w:r>
      <w:r>
        <w:rPr>
          <w:rStyle w:val="47"/>
          <w:rFonts w:hint="eastAsia" w:ascii="宋体" w:hAnsi="宋体" w:cs="宋体"/>
          <w:sz w:val="24"/>
          <w:szCs w:val="24"/>
          <w:lang w:val="zh-CN"/>
        </w:rPr>
        <w:t>5、服务承诺及售后服务机构、人员的情况介绍</w:t>
      </w:r>
    </w:p>
    <w:p>
      <w:pPr>
        <w:tabs>
          <w:tab w:val="left" w:pos="1035"/>
        </w:tabs>
        <w:snapToGrid w:val="0"/>
        <w:spacing w:line="360" w:lineRule="auto"/>
        <w:ind w:firstLine="480" w:firstLineChars="200"/>
        <w:rPr>
          <w:rStyle w:val="47"/>
          <w:rFonts w:ascii="宋体" w:hAnsi="宋体" w:cs="宋体"/>
          <w:sz w:val="24"/>
          <w:szCs w:val="24"/>
          <w:lang w:val="zh-CN"/>
        </w:rPr>
      </w:pPr>
      <w:r>
        <w:rPr>
          <w:rStyle w:val="47"/>
          <w:rFonts w:hint="eastAsia" w:ascii="宋体" w:hAnsi="宋体" w:cs="宋体"/>
          <w:bCs/>
          <w:sz w:val="24"/>
          <w:szCs w:val="24"/>
        </w:rPr>
        <w:t>15.1</w:t>
      </w:r>
      <w:r>
        <w:rPr>
          <w:rStyle w:val="47"/>
          <w:rFonts w:hint="eastAsia" w:ascii="宋体" w:hAnsi="宋体" w:cs="宋体"/>
          <w:sz w:val="24"/>
          <w:szCs w:val="24"/>
        </w:rPr>
        <w:t>投标人的服务承诺应按不低于招标文件中商务要求的标准。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15.2</w:t>
      </w:r>
      <w:r>
        <w:rPr>
          <w:rStyle w:val="47"/>
          <w:rFonts w:hint="eastAsia" w:ascii="宋体" w:hAnsi="宋体" w:cs="宋体"/>
          <w:sz w:val="24"/>
          <w:szCs w:val="24"/>
        </w:rPr>
        <w:t>提供投标人有关售后服务的管理制度、售后服务机构的分布情况、售后服务人员的数量、素质、技术水平及售后服务的反应能力。</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16、投标函和开标一览表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16.1</w:t>
      </w:r>
      <w:r>
        <w:rPr>
          <w:rStyle w:val="47"/>
          <w:rFonts w:hint="eastAsia" w:ascii="宋体" w:hAnsi="宋体" w:cs="宋体"/>
          <w:sz w:val="24"/>
          <w:szCs w:val="24"/>
        </w:rPr>
        <w:t xml:space="preserve"> 投标人应按照招标文件中提供的格式完整、正确填写投标函、开标一览表。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16.2开标一览表中的价格应与投标文件中投标配置与分项报价表中的价格一致，如不一致，</w:t>
      </w:r>
      <w:r>
        <w:rPr>
          <w:rStyle w:val="47"/>
          <w:rFonts w:hint="eastAsia" w:ascii="宋体" w:hAnsi="宋体" w:cs="宋体"/>
          <w:sz w:val="24"/>
          <w:szCs w:val="24"/>
        </w:rPr>
        <w:t>不作为无效投标处理</w:t>
      </w:r>
      <w:r>
        <w:rPr>
          <w:rStyle w:val="47"/>
          <w:rFonts w:hint="eastAsia" w:ascii="宋体" w:hAnsi="宋体" w:cs="宋体"/>
          <w:bCs/>
          <w:sz w:val="24"/>
          <w:szCs w:val="24"/>
        </w:rPr>
        <w:t>，但评标时按开标一览表中价格为准</w:t>
      </w:r>
      <w:r>
        <w:rPr>
          <w:rStyle w:val="47"/>
          <w:rFonts w:hint="eastAsia" w:ascii="宋体" w:hAnsi="宋体" w:cs="宋体"/>
          <w:b/>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17、投标有效期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17.1</w:t>
      </w:r>
      <w:r>
        <w:rPr>
          <w:rStyle w:val="47"/>
          <w:rFonts w:hint="eastAsia" w:ascii="宋体" w:hAnsi="宋体" w:cs="宋体"/>
          <w:bCs/>
          <w:sz w:val="24"/>
          <w:szCs w:val="24"/>
        </w:rPr>
        <w:t xml:space="preserve"> 投标有效期为采购人或采购代理机构规定的开标之日后</w:t>
      </w:r>
      <w:r>
        <w:rPr>
          <w:rStyle w:val="47"/>
          <w:rFonts w:hint="eastAsia" w:ascii="宋体" w:hAnsi="宋体" w:cs="宋体"/>
          <w:b/>
          <w:sz w:val="24"/>
          <w:szCs w:val="24"/>
          <w:u w:val="single" w:color="000000"/>
        </w:rPr>
        <w:t>六十（60）天</w:t>
      </w:r>
      <w:r>
        <w:rPr>
          <w:rStyle w:val="47"/>
          <w:rFonts w:hint="eastAsia" w:ascii="宋体" w:hAnsi="宋体" w:cs="宋体"/>
          <w:bCs/>
          <w:sz w:val="24"/>
          <w:szCs w:val="24"/>
        </w:rPr>
        <w:t>。投标有效期比规定短的将被视为非响应性投标而予以拒绝。</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17.2</w:t>
      </w:r>
      <w:r>
        <w:rPr>
          <w:rStyle w:val="47"/>
          <w:rFonts w:hint="eastAsia" w:ascii="宋体" w:hAnsi="宋体" w:cs="宋体"/>
          <w:bCs/>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7"/>
          <w:rFonts w:hint="eastAsia" w:ascii="宋体" w:hAnsi="宋体" w:cs="宋体"/>
          <w:sz w:val="24"/>
          <w:szCs w:val="24"/>
        </w:rPr>
        <w:t>。</w:t>
      </w:r>
      <w:r>
        <w:rPr>
          <w:rStyle w:val="47"/>
          <w:rFonts w:hint="eastAsia" w:ascii="宋体" w:hAnsi="宋体" w:cs="宋体"/>
          <w:bCs/>
          <w:sz w:val="24"/>
          <w:szCs w:val="24"/>
        </w:rPr>
        <w:t>同意延长投标有效期的投标人既不能要求也不允许修改其投标文件。</w:t>
      </w:r>
      <w:r>
        <w:rPr>
          <w:rStyle w:val="47"/>
          <w:rFonts w:hint="eastAsia" w:ascii="宋体" w:hAnsi="宋体" w:cs="宋体"/>
          <w:sz w:val="24"/>
          <w:szCs w:val="24"/>
        </w:rPr>
        <w:t>受投标有效期约束的所有权利与义务均延长至新的有效期</w:t>
      </w:r>
      <w:r>
        <w:rPr>
          <w:rStyle w:val="47"/>
          <w:rFonts w:hint="eastAsia" w:ascii="宋体" w:hAnsi="宋体" w:cs="宋体"/>
          <w:bCs/>
          <w:sz w:val="24"/>
          <w:szCs w:val="24"/>
        </w:rPr>
        <w:t>。</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18、投标文件份数和签署</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18.1</w:t>
      </w:r>
      <w:r>
        <w:rPr>
          <w:rStyle w:val="47"/>
          <w:rFonts w:hint="eastAsia" w:ascii="宋体" w:hAnsi="宋体" w:cs="宋体"/>
          <w:bCs/>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18.2投标文件正本中，</w:t>
      </w:r>
      <w:r>
        <w:rPr>
          <w:rStyle w:val="47"/>
          <w:rFonts w:hint="eastAsia" w:ascii="宋体" w:hAnsi="宋体" w:cs="宋体"/>
          <w:bCs/>
          <w:sz w:val="24"/>
          <w:szCs w:val="24"/>
        </w:rPr>
        <w:t>招标文件要求必须提供原件的按照要求提供，文</w:t>
      </w:r>
      <w:r>
        <w:rPr>
          <w:rStyle w:val="47"/>
          <w:rFonts w:hint="eastAsia" w:ascii="宋体" w:hAnsi="宋体" w:cs="宋体"/>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18.3</w:t>
      </w:r>
      <w:r>
        <w:rPr>
          <w:rStyle w:val="47"/>
          <w:rFonts w:hint="eastAsia" w:ascii="宋体" w:hAnsi="宋体" w:cs="宋体"/>
          <w:bCs/>
          <w:sz w:val="24"/>
          <w:szCs w:val="24"/>
        </w:rPr>
        <w:t xml:space="preserve"> 除投标人对错处做必要修改外，投标文件不得行间插字、涂改或增删。如有修改错漏处，必须由投标文件签署人签字或盖章。</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四、投标文件的递交</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19、投标文件的密封和标记</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19.1</w:t>
      </w:r>
      <w:r>
        <w:rPr>
          <w:rStyle w:val="47"/>
          <w:rFonts w:hint="eastAsia" w:ascii="宋体" w:hAnsi="宋体" w:cs="宋体"/>
          <w:bCs/>
          <w:sz w:val="24"/>
          <w:szCs w:val="24"/>
        </w:rPr>
        <w:t>投标人应将投标文件正本和所有副本密封，不论投标人中标与否，投标文件均不退回。</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w:t>
      </w:r>
      <w:r>
        <w:rPr>
          <w:rStyle w:val="47"/>
          <w:rFonts w:hint="eastAsia" w:ascii="宋体" w:hAnsi="宋体" w:cs="宋体"/>
          <w:bCs/>
          <w:sz w:val="24"/>
          <w:szCs w:val="24"/>
        </w:rPr>
        <w:t xml:space="preserve"> 密封的投标文件应：</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19.2.1 注明投标人名称，如因标注不清而产生的后果由投标人自负。按招标公告中注明的地址送达；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19.2.2  注明投标项目名称、标书编号及包号。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19.2.3</w:t>
      </w:r>
      <w:r>
        <w:rPr>
          <w:rStyle w:val="47"/>
          <w:rFonts w:hint="eastAsia" w:ascii="宋体" w:hAnsi="宋体" w:cs="宋体"/>
          <w:bCs/>
          <w:sz w:val="24"/>
          <w:szCs w:val="24"/>
        </w:rPr>
        <w:t xml:space="preserve">  未按要求密封和加写标记，采购人和采购代理机构对误投或过早启封概不负责。对由此造成提前开封的投标文件，采购人和采购代理机构将予以拒绝。</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20、投标截止日期</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20.1</w:t>
      </w:r>
      <w:r>
        <w:rPr>
          <w:rStyle w:val="47"/>
          <w:rFonts w:hint="eastAsia" w:ascii="宋体" w:hAnsi="宋体" w:cs="宋体"/>
          <w:bCs/>
          <w:sz w:val="24"/>
          <w:szCs w:val="24"/>
        </w:rPr>
        <w:t xml:space="preserve"> 采购人和采购代理机构收到投标文件的时间不得迟于招标公告中规定的截止时间。</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20.2</w:t>
      </w:r>
      <w:r>
        <w:rPr>
          <w:rStyle w:val="47"/>
          <w:rFonts w:hint="eastAsia" w:ascii="宋体" w:hAnsi="宋体" w:cs="宋体"/>
          <w:bCs/>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21、迟交的投标文件</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21.1</w:t>
      </w:r>
      <w:r>
        <w:rPr>
          <w:rStyle w:val="47"/>
          <w:rFonts w:hint="eastAsia" w:ascii="宋体" w:hAnsi="宋体" w:cs="宋体"/>
          <w:bCs/>
          <w:sz w:val="24"/>
          <w:szCs w:val="24"/>
        </w:rPr>
        <w:t xml:space="preserve"> 采购人和采购代理机构拒绝接收在其规定的投标截止时间后递交的任何投标文件。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22、投标文件的修改和撤回</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22.1</w:t>
      </w:r>
      <w:r>
        <w:rPr>
          <w:rStyle w:val="47"/>
          <w:rFonts w:hint="eastAsia" w:ascii="宋体" w:hAnsi="宋体" w:cs="宋体"/>
          <w:bCs/>
          <w:sz w:val="24"/>
          <w:szCs w:val="24"/>
        </w:rPr>
        <w:t xml:space="preserve"> 投标人在递交投标文件后，可以修改或撤回其投标文件，但这种修改和撤回，必须在规定的投标截止时间前，以书面形式</w:t>
      </w:r>
      <w:r>
        <w:rPr>
          <w:rStyle w:val="47"/>
          <w:rFonts w:hint="eastAsia" w:ascii="宋体" w:hAnsi="宋体" w:cs="宋体"/>
          <w:sz w:val="24"/>
          <w:szCs w:val="24"/>
        </w:rPr>
        <w:t>通知采购人或采购代理机构，修改或撤回其投标文件。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22.2</w:t>
      </w:r>
      <w:r>
        <w:rPr>
          <w:rStyle w:val="47"/>
          <w:rFonts w:hint="eastAsia" w:ascii="宋体" w:hAnsi="宋体" w:cs="宋体"/>
          <w:bCs/>
          <w:sz w:val="24"/>
          <w:szCs w:val="24"/>
        </w:rPr>
        <w:t xml:space="preserve"> 投标人的修改或撤回文件应按规定进行编制、密封、标记和发送，并应在封套上加注“修改”或“撤回”字样。</w:t>
      </w:r>
      <w:r>
        <w:rPr>
          <w:rStyle w:val="47"/>
          <w:rFonts w:hint="eastAsia" w:ascii="宋体" w:hAnsi="宋体" w:cs="宋体"/>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22.3</w:t>
      </w:r>
      <w:r>
        <w:rPr>
          <w:rStyle w:val="47"/>
          <w:rFonts w:hint="eastAsia" w:ascii="宋体" w:hAnsi="宋体" w:cs="宋体"/>
          <w:bCs/>
          <w:sz w:val="24"/>
          <w:szCs w:val="24"/>
        </w:rPr>
        <w:t xml:space="preserve"> 在投标截止时间之后，投标人不得对其投标文件作任何修改。</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22.4</w:t>
      </w:r>
      <w:r>
        <w:rPr>
          <w:rStyle w:val="47"/>
          <w:rFonts w:hint="eastAsia" w:ascii="宋体" w:hAnsi="宋体" w:cs="宋体"/>
          <w:bCs/>
          <w:sz w:val="24"/>
          <w:szCs w:val="24"/>
        </w:rPr>
        <w:t xml:space="preserve"> 在投标截止时间至招标文件中规定的投标有效期满之间的这段时间内，投标人不得撤回其投标，否则按照国家相关法律法规受到相应处罚。</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五、开标与评标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23、开标</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23.1</w:t>
      </w:r>
      <w:r>
        <w:rPr>
          <w:rStyle w:val="47"/>
          <w:rFonts w:hint="eastAsia" w:ascii="宋体" w:hAnsi="宋体" w:cs="宋体"/>
          <w:bCs/>
          <w:sz w:val="24"/>
          <w:szCs w:val="24"/>
        </w:rPr>
        <w:t xml:space="preserve"> 采购人和采购代理机构将在招标公告中规定的时间和地点组织公开开标</w:t>
      </w:r>
      <w:r>
        <w:rPr>
          <w:rStyle w:val="47"/>
          <w:rFonts w:hint="eastAsia" w:ascii="宋体" w:hAnsi="宋体" w:cs="宋体"/>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23.2</w:t>
      </w:r>
      <w:r>
        <w:rPr>
          <w:rFonts w:hint="eastAsia" w:ascii="宋体" w:hAnsi="宋体" w:cs="宋体"/>
          <w:color w:val="000000" w:themeColor="text1"/>
          <w:sz w:val="24"/>
          <w:szCs w:val="24"/>
          <w14:textFill>
            <w14:solidFill>
              <w14:schemeClr w14:val="tx1"/>
            </w14:solidFill>
          </w14:textFill>
        </w:rPr>
        <w:t>开标仪式由采购人或采购代理机构组织，采购人代表、公证员（必要时）、监管代表、投标人代表等参加。</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23.3</w:t>
      </w:r>
      <w:r>
        <w:rPr>
          <w:rStyle w:val="47"/>
          <w:rFonts w:hint="eastAsia" w:ascii="宋体" w:hAnsi="宋体" w:cs="宋体"/>
          <w:bCs/>
          <w:sz w:val="24"/>
          <w:szCs w:val="24"/>
        </w:rPr>
        <w:t>按照规定同意撤回的投标将不予开封。</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23.6 投标人在报价时不允许采用选择性报价，否则将被视为无效投标。</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24、资格审查</w:t>
      </w:r>
    </w:p>
    <w:p>
      <w:pPr>
        <w:adjustRightInd w:val="0"/>
        <w:snapToGrid w:val="0"/>
        <w:spacing w:line="360" w:lineRule="auto"/>
        <w:ind w:firstLine="480" w:firstLineChars="200"/>
        <w:jc w:val="left"/>
        <w:rPr>
          <w:rStyle w:val="47"/>
          <w:rFonts w:ascii="宋体" w:hAnsi="宋体" w:cs="宋体"/>
          <w:bCs/>
          <w:sz w:val="24"/>
          <w:szCs w:val="24"/>
        </w:rPr>
      </w:pPr>
      <w:r>
        <w:rPr>
          <w:rStyle w:val="47"/>
          <w:rFonts w:hint="eastAsia" w:ascii="宋体" w:hAnsi="宋体" w:cs="宋体"/>
          <w:sz w:val="24"/>
          <w:szCs w:val="24"/>
        </w:rPr>
        <w:t>24.1</w:t>
      </w:r>
      <w:r>
        <w:rPr>
          <w:rFonts w:hint="eastAsia" w:ascii="宋体" w:hAnsi="宋体" w:cs="宋体"/>
          <w:b/>
          <w:color w:val="000000" w:themeColor="text1"/>
          <w:sz w:val="24"/>
          <w:szCs w:val="24"/>
          <w14:textFill>
            <w14:solidFill>
              <w14:schemeClr w14:val="tx1"/>
            </w14:solidFill>
          </w14:textFill>
        </w:rPr>
        <w:t>开标结束后，采购人或采购代理机构应当依法对投标人的资格进行审查。</w:t>
      </w:r>
      <w:r>
        <w:rPr>
          <w:rFonts w:hint="eastAsia" w:ascii="宋体" w:hAnsi="宋体" w:cs="宋体"/>
          <w:color w:val="000000" w:themeColor="text1"/>
          <w:sz w:val="24"/>
          <w:szCs w:val="24"/>
          <w14:textFill>
            <w14:solidFill>
              <w14:schemeClr w14:val="tx1"/>
            </w14:solidFill>
          </w14:textFill>
        </w:rPr>
        <w:t>（财政部87号令第44条规定）</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25、评标委员会</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25.1资格审查通过后，采购人将组织评标委员会（以下简称评委会）进行评标。</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25.3评委会独立工作，负责评审所有投标文件并确定中标候选人。</w:t>
      </w:r>
    </w:p>
    <w:p>
      <w:pPr>
        <w:pStyle w:val="41"/>
        <w:widowControl w:val="0"/>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26、评标过程的保密与公正</w:t>
      </w:r>
    </w:p>
    <w:p>
      <w:pPr>
        <w:widowControl w:val="0"/>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26.1</w:t>
      </w:r>
      <w:r>
        <w:rPr>
          <w:rStyle w:val="47"/>
          <w:rFonts w:hint="eastAsia" w:ascii="宋体" w:hAnsi="宋体" w:cs="宋体"/>
          <w:bCs/>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26.2在评标过程中，投标人不得以任何行为影响评标过程，否则其投标文件将被作为无效投标文件。</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27、投标的澄清</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27.3 接到评委会澄清要求的投标人如未按规定做出澄清，其风险由投标人自行承担。</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28、对投标文件的评审</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28.1</w:t>
      </w:r>
      <w:r>
        <w:rPr>
          <w:rStyle w:val="47"/>
          <w:rFonts w:hint="eastAsia" w:ascii="宋体" w:hAnsi="宋体" w:cs="宋体"/>
          <w:bCs/>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7"/>
          <w:rFonts w:hint="eastAsia" w:ascii="宋体" w:hAnsi="宋体" w:cs="宋体"/>
          <w:bCs/>
          <w:sz w:val="24"/>
          <w:szCs w:val="24"/>
        </w:rPr>
        <w:t>评委决定投标文件的响应性只根据投标文件本身的内容，而不寻求外部的证据。</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28.3</w:t>
      </w:r>
      <w:r>
        <w:rPr>
          <w:rStyle w:val="47"/>
          <w:rFonts w:hint="eastAsia" w:ascii="宋体" w:hAnsi="宋体" w:cs="宋体"/>
          <w:bCs/>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28.4</w:t>
      </w:r>
      <w:r>
        <w:rPr>
          <w:rStyle w:val="47"/>
          <w:rFonts w:hint="eastAsia" w:ascii="宋体" w:hAnsi="宋体" w:cs="宋体"/>
          <w:bCs/>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（1）投标文件中开标一览表内容与投标文件中相应内容不一致的，以开标一览表为准。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（2）大写金额和小写金额不一致的，以大写金额为准。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（3）单价金额小数点或者百分比有明显错位的，以开标一览表的总价为准，并修改单价。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（4）总价金额与按单价汇总金额不一致的，以单价金额计算结果为准。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同时出现两种以上错误的，按照前款规定的顺序修正。</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28.5</w:t>
      </w:r>
      <w:r>
        <w:rPr>
          <w:rStyle w:val="47"/>
          <w:rFonts w:hint="eastAsia" w:ascii="宋体" w:hAnsi="宋体" w:cs="宋体"/>
          <w:bCs/>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sz w:val="24"/>
          <w:szCs w:val="24"/>
        </w:rPr>
        <w:t>28.6</w:t>
      </w:r>
      <w:r>
        <w:rPr>
          <w:rStyle w:val="47"/>
          <w:rFonts w:hint="eastAsia" w:ascii="宋体" w:hAnsi="宋体" w:cs="宋体"/>
          <w:bCs/>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28.7</w:t>
      </w:r>
      <w:r>
        <w:rPr>
          <w:rStyle w:val="47"/>
          <w:rFonts w:hint="eastAsia" w:ascii="宋体" w:hAnsi="宋体" w:cs="宋体"/>
          <w:b/>
          <w:sz w:val="24"/>
          <w:szCs w:val="24"/>
        </w:rPr>
        <w:t>采用最低评标价法的采购项目，</w:t>
      </w:r>
      <w:r>
        <w:rPr>
          <w:rStyle w:val="47"/>
          <w:rFonts w:hint="eastAsia" w:ascii="宋体" w:hAnsi="宋体" w:cs="宋体"/>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使用综合评分法的采购项目，</w:t>
      </w:r>
      <w:r>
        <w:rPr>
          <w:rStyle w:val="47"/>
          <w:rFonts w:hint="eastAsia" w:ascii="宋体" w:hAnsi="宋体" w:cs="宋体"/>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7"/>
          <w:rFonts w:ascii="宋体" w:hAnsi="宋体" w:cs="宋体"/>
          <w:sz w:val="24"/>
          <w:szCs w:val="24"/>
        </w:rPr>
      </w:pPr>
      <w:r>
        <w:rPr>
          <w:rStyle w:val="47"/>
          <w:rFonts w:hint="eastAsia" w:ascii="宋体" w:hAnsi="宋体" w:cs="宋体"/>
          <w:b/>
          <w:sz w:val="24"/>
          <w:szCs w:val="24"/>
        </w:rPr>
        <w:t>非单一产品采购项目，</w:t>
      </w:r>
      <w:r>
        <w:rPr>
          <w:rStyle w:val="47"/>
          <w:rFonts w:hint="eastAsia" w:ascii="宋体" w:hAnsi="宋体" w:cs="宋体"/>
          <w:sz w:val="24"/>
          <w:szCs w:val="24"/>
        </w:rPr>
        <w:t>采购人应当根据采购项目技术构成、产品价格比重等合理确定核心产品，并在招标文件中载明。多家投标人提供的核心产品品牌相同的，按前两款规定处理。 (87号令第31条)</w:t>
      </w:r>
    </w:p>
    <w:p>
      <w:pPr>
        <w:pStyle w:val="41"/>
        <w:snapToGrid w:val="0"/>
        <w:spacing w:before="0" w:after="0" w:line="360" w:lineRule="auto"/>
        <w:ind w:firstLine="480" w:firstLineChars="200"/>
        <w:rPr>
          <w:rStyle w:val="47"/>
          <w:rFonts w:ascii="宋体" w:hAnsi="宋体" w:cs="宋体"/>
          <w:b w:val="0"/>
          <w:bCs/>
          <w:sz w:val="24"/>
          <w:szCs w:val="24"/>
        </w:rPr>
      </w:pPr>
      <w:r>
        <w:rPr>
          <w:rStyle w:val="47"/>
          <w:rFonts w:hint="eastAsia" w:ascii="宋体" w:hAnsi="宋体" w:cs="宋体"/>
          <w:b w:val="0"/>
          <w:bCs/>
          <w:sz w:val="24"/>
          <w:szCs w:val="24"/>
        </w:rPr>
        <w:t>29、无效投标条款和废标条款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29.1无效投标条款</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29.1.1未按要求交纳投标保证金的（本项目无要求）；</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29.1.2未按照招标文件规定要求密封、签署、盖章的；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29.1.3投标人在报价时采用选择性报价；</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29.1.4投标人不具备招标文件中规定资格要求的；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29.1.5投标人的报价超过了采购预算或最高限价的；</w:t>
      </w:r>
    </w:p>
    <w:p>
      <w:pPr>
        <w:snapToGrid w:val="0"/>
        <w:spacing w:line="360" w:lineRule="auto"/>
        <w:ind w:firstLine="480" w:firstLineChars="200"/>
        <w:rPr>
          <w:rStyle w:val="47"/>
          <w:rFonts w:ascii="宋体" w:hAnsi="宋体" w:cs="宋体"/>
          <w:bCs/>
          <w:i/>
          <w:sz w:val="24"/>
          <w:szCs w:val="24"/>
          <w:u w:val="single" w:color="000000"/>
        </w:rPr>
      </w:pPr>
      <w:r>
        <w:rPr>
          <w:rStyle w:val="47"/>
          <w:rFonts w:hint="eastAsia" w:ascii="宋体" w:hAnsi="宋体" w:cs="宋体"/>
          <w:bCs/>
          <w:sz w:val="24"/>
          <w:szCs w:val="24"/>
        </w:rPr>
        <w:t>29.1.6未通过符合性检查的；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29.1.7不符合招标文件中规定的其他实质性要求和条件的；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29.1.8 投标人串通投标；</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29.1.9  投标文件含有采购人不能接受的附加条件的。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29.1.11其他法律、法规及本招标文件规定的属无效投标的情形。</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 xml:space="preserve">29.2废标条款：                                                                                                                                                                                                                                                                                                                                                                                                                                                                                                                                                                                                                                                                                                                                                                                                                                                                                                                                                                                                                                                                                                                                                                                                                                                                                                                                                                                                                                                                         </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29.2.1符合专业条件的供应商或者对招标文件作实质响应的供应商不足三家的；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29.2.2出现影响采购公正的违法、违规行为的；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29.2.3因重大变故，采购任务取消的；</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29.2.4评标委员会认定招标文件存在歧义、 重大缺陷导致评审工作无法进行。</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 投标截止时间结束后参加投标的供应商不足三家的处理：</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29.3.1如出现投标截止时间结束后参加投标的供应商或者在评标期间对招标文件做出实质响应的供应商不足三家情况，按财政部第八十七号令第四十三条的规定执行。</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六、定标</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30、确定中标单位</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30.1评委会根据本招标文件规定评标方法与评标标准向采购人推荐出中标候选人。</w:t>
      </w:r>
    </w:p>
    <w:p>
      <w:pPr>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30.2 采购人应根据评委会推荐的中标候选人确定中标供应商。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30.3采购人</w:t>
      </w:r>
      <w:r>
        <w:rPr>
          <w:rStyle w:val="47"/>
          <w:rFonts w:hint="eastAsia" w:ascii="宋体" w:hAnsi="宋体" w:cs="宋体"/>
          <w:sz w:val="24"/>
          <w:szCs w:val="24"/>
        </w:rPr>
        <w:t>将在“盐城工业职业技术学院招标采购网”发布中标公告，公告期限为1个工作日。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.4若有充分证据证明，中标供应商出现下列情况之一的，一经查实，将被取消中标资格：</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.4.1提供虚假材料谋取中标的；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.4.2向采购人或采购代理机构行贿或者提供其他不正当利益的；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30</w:t>
      </w:r>
      <w:r>
        <w:rPr>
          <w:rStyle w:val="47"/>
          <w:rFonts w:hint="eastAsia" w:ascii="宋体" w:hAnsi="宋体" w:cs="宋体"/>
          <w:sz w:val="24"/>
          <w:szCs w:val="24"/>
        </w:rPr>
        <w:t>.4.3恶意竞争，投标总报价明显低于其自身合理成本且又无法提供证明的；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30.4.4属于本文件规定的无效条件，但在评标过程中又未被评委会发现的；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30.4.5与采购人或者其他供应商恶意串通的；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30.4.6采取不正当手段诋毁、排挤其他供应商的；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30.4.7不符合法律、法规的规定的。</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 xml:space="preserve">30.5. </w:t>
      </w:r>
      <w:r>
        <w:rPr>
          <w:rStyle w:val="47"/>
          <w:rFonts w:hint="eastAsia" w:ascii="宋体" w:hAnsi="宋体" w:cs="宋体"/>
          <w:kern w:val="0"/>
          <w:sz w:val="24"/>
          <w:szCs w:val="24"/>
        </w:rPr>
        <w:t>有下列情形之一的，视为投标人串通投标，投标无效：</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30.5.1不同投标人的投标文件由同一单位或者个人编制。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30.5.2不同投标人委托同一单位或者个人办理投标事宜。</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30.5.3 不同投标人的投标文件载明的项目管理成员或者联系人员为同一人。</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30.5.4不同投标人的投标文件异常一致或者投标报价呈规律性差异。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30.5.5不同投标人的投标文件相互混装。</w:t>
      </w:r>
    </w:p>
    <w:p>
      <w:pPr>
        <w:pStyle w:val="41"/>
        <w:tabs>
          <w:tab w:val="left" w:pos="4120"/>
        </w:tabs>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31、质疑处理</w:t>
      </w:r>
      <w:r>
        <w:rPr>
          <w:rStyle w:val="47"/>
          <w:rFonts w:hint="eastAsia" w:ascii="宋体" w:hAnsi="宋体" w:cs="宋体"/>
          <w:b w:val="0"/>
          <w:sz w:val="24"/>
          <w:szCs w:val="24"/>
        </w:rPr>
        <w:tab/>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31.1.1</w:t>
      </w:r>
      <w:r>
        <w:rPr>
          <w:rStyle w:val="47"/>
          <w:rFonts w:hint="eastAsia" w:ascii="宋体" w:hAnsi="宋体" w:cs="宋体"/>
          <w:kern w:val="0"/>
          <w:sz w:val="24"/>
          <w:szCs w:val="24"/>
        </w:rPr>
        <w:t>对可以质疑的招标文件提出质疑的，为收到招标文件之日或者招标文件公告期限届满之日；</w:t>
      </w:r>
    </w:p>
    <w:p>
      <w:pPr>
        <w:snapToGrid w:val="0"/>
        <w:spacing w:line="360" w:lineRule="auto"/>
        <w:ind w:firstLine="480" w:firstLineChars="200"/>
        <w:rPr>
          <w:rStyle w:val="47"/>
          <w:rFonts w:ascii="宋体" w:hAnsi="宋体" w:cs="宋体"/>
          <w:kern w:val="0"/>
          <w:sz w:val="24"/>
          <w:szCs w:val="24"/>
        </w:rPr>
      </w:pPr>
      <w:r>
        <w:rPr>
          <w:rStyle w:val="47"/>
          <w:rFonts w:hint="eastAsia" w:ascii="宋体" w:hAnsi="宋体" w:cs="宋体"/>
          <w:sz w:val="24"/>
          <w:szCs w:val="24"/>
        </w:rPr>
        <w:t>31.1.2</w:t>
      </w:r>
      <w:r>
        <w:rPr>
          <w:rStyle w:val="47"/>
          <w:rFonts w:hint="eastAsia" w:ascii="宋体" w:hAnsi="宋体" w:cs="宋体"/>
          <w:kern w:val="0"/>
          <w:sz w:val="24"/>
          <w:szCs w:val="24"/>
        </w:rPr>
        <w:t>对采购过程提出质疑的，为各采购程序环节结束之日；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31.1.3</w:t>
      </w:r>
      <w:r>
        <w:rPr>
          <w:rStyle w:val="47"/>
          <w:rFonts w:hint="eastAsia" w:ascii="宋体" w:hAnsi="宋体" w:cs="宋体"/>
          <w:kern w:val="0"/>
          <w:sz w:val="24"/>
          <w:szCs w:val="24"/>
        </w:rPr>
        <w:t>对中标结果提出质疑的，为中标结果公告期限届满之日。</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r>
        <w:rPr>
          <w:rStyle w:val="47"/>
          <w:rFonts w:hint="eastAsia" w:ascii="宋体" w:hAnsi="宋体" w:cs="宋体"/>
          <w:b/>
          <w:bCs/>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31.4质疑函应当包括下列内容：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31.4.1质疑投标人的名称、地址、邮编、联系人、联系电话；</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31.4.2具体的质疑事项及明确的请求；</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31.4.3认为自己合法权益受到损害或可能受到损害的相关证据材料；</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31.4.4提起质疑的日期；</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32、中标通知书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32.l中标结果确定后，采购人将向中标供应商发出中标通知书。</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0"/>
        <w:snapToGrid w:val="0"/>
        <w:spacing w:before="0" w:after="0" w:line="360" w:lineRule="auto"/>
        <w:ind w:firstLine="482" w:firstLineChars="200"/>
        <w:rPr>
          <w:rStyle w:val="47"/>
          <w:rFonts w:ascii="宋体" w:hAnsi="宋体" w:cs="宋体"/>
          <w:sz w:val="24"/>
          <w:szCs w:val="24"/>
        </w:rPr>
      </w:pPr>
      <w:r>
        <w:rPr>
          <w:rStyle w:val="47"/>
          <w:rFonts w:hint="eastAsia" w:ascii="宋体" w:hAnsi="宋体" w:cs="宋体"/>
          <w:sz w:val="24"/>
          <w:szCs w:val="24"/>
        </w:rPr>
        <w:t>七、合同签订相关事项</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33. 签订合同</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bCs/>
          <w:sz w:val="24"/>
          <w:szCs w:val="24"/>
        </w:rPr>
        <w:t>33</w:t>
      </w:r>
      <w:r>
        <w:rPr>
          <w:rStyle w:val="47"/>
          <w:rFonts w:hint="eastAsia" w:ascii="宋体" w:hAnsi="宋体" w:cs="宋体"/>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33.2招标文件、中标供应商的投标文件及招标过程中有关澄清、承诺文件均应作为合同附件。</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1"/>
        <w:snapToGrid w:val="0"/>
        <w:spacing w:before="0" w:after="0" w:line="360" w:lineRule="auto"/>
        <w:ind w:firstLine="480" w:firstLineChars="200"/>
        <w:rPr>
          <w:rStyle w:val="47"/>
          <w:rFonts w:ascii="宋体" w:hAnsi="宋体" w:cs="宋体"/>
          <w:b w:val="0"/>
          <w:sz w:val="24"/>
          <w:szCs w:val="24"/>
        </w:rPr>
      </w:pPr>
      <w:r>
        <w:rPr>
          <w:rStyle w:val="47"/>
          <w:rFonts w:hint="eastAsia" w:ascii="宋体" w:hAnsi="宋体" w:cs="宋体"/>
          <w:b w:val="0"/>
          <w:sz w:val="24"/>
          <w:szCs w:val="24"/>
        </w:rPr>
        <w:t>34、货物和服务的追加、减少和添购。</w:t>
      </w:r>
    </w:p>
    <w:p>
      <w:pPr>
        <w:snapToGrid w:val="0"/>
        <w:spacing w:line="360" w:lineRule="auto"/>
        <w:ind w:firstLine="480" w:firstLineChars="200"/>
        <w:rPr>
          <w:rStyle w:val="47"/>
          <w:rFonts w:ascii="宋体" w:hAnsi="宋体" w:cs="宋体"/>
          <w:sz w:val="24"/>
          <w:szCs w:val="24"/>
        </w:rPr>
      </w:pPr>
      <w:r>
        <w:rPr>
          <w:rStyle w:val="47"/>
          <w:rFonts w:hint="eastAsia" w:ascii="宋体" w:hAnsi="宋体" w:cs="宋体"/>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7"/>
          <w:rFonts w:ascii="宋体" w:hAnsi="宋体" w:cs="宋体"/>
          <w:b/>
          <w:sz w:val="24"/>
          <w:szCs w:val="24"/>
        </w:rPr>
      </w:pPr>
      <w:r>
        <w:rPr>
          <w:rStyle w:val="47"/>
          <w:rFonts w:hint="eastAsia" w:ascii="宋体" w:hAnsi="宋体" w:cs="宋体"/>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7"/>
          <w:rFonts w:ascii="宋体" w:hAnsi="宋体" w:cs="宋体"/>
          <w:bCs/>
          <w:sz w:val="24"/>
          <w:szCs w:val="24"/>
        </w:rPr>
      </w:pPr>
      <w:r>
        <w:rPr>
          <w:rStyle w:val="47"/>
          <w:rFonts w:hint="eastAsia" w:ascii="宋体" w:hAnsi="宋体" w:cs="宋体"/>
          <w:bCs/>
          <w:sz w:val="24"/>
          <w:szCs w:val="24"/>
        </w:rPr>
        <w:t>35、履约保证金</w:t>
      </w:r>
    </w:p>
    <w:p>
      <w:pPr>
        <w:tabs>
          <w:tab w:val="left" w:pos="900"/>
        </w:tabs>
        <w:snapToGrid w:val="0"/>
        <w:spacing w:line="360" w:lineRule="auto"/>
        <w:ind w:firstLine="480" w:firstLineChars="200"/>
        <w:rPr>
          <w:rStyle w:val="47"/>
          <w:rFonts w:ascii="宋体" w:hAnsi="宋体" w:cs="宋体"/>
          <w:b/>
          <w:sz w:val="44"/>
        </w:rPr>
      </w:pPr>
      <w:r>
        <w:rPr>
          <w:rStyle w:val="47"/>
          <w:rFonts w:hint="eastAsia" w:ascii="宋体" w:hAnsi="宋体" w:cs="宋体"/>
          <w:sz w:val="24"/>
          <w:szCs w:val="24"/>
        </w:rPr>
        <w:t>在签订合同时，须向采购人交纳履约保证金,于合同履行后无息退还。履约保证金用以约束成交供应商在合同履行中的行为，弥补合同执行中由于自身行为可能给采购人带来的各种损失。</w:t>
      </w:r>
      <w:bookmarkStart w:id="4" w:name="_Toc19468"/>
    </w:p>
    <w:p/>
    <w:p>
      <w:pPr>
        <w:pStyle w:val="37"/>
        <w:outlineLvl w:val="0"/>
        <w:rPr>
          <w:rStyle w:val="47"/>
          <w:rFonts w:ascii="宋体" w:hAnsi="宋体" w:eastAsia="宋体" w:cs="宋体"/>
          <w:b/>
          <w:sz w:val="44"/>
        </w:rPr>
      </w:pPr>
    </w:p>
    <w:p>
      <w:pPr>
        <w:pStyle w:val="37"/>
        <w:jc w:val="both"/>
        <w:outlineLvl w:val="0"/>
        <w:rPr>
          <w:rStyle w:val="47"/>
          <w:rFonts w:ascii="宋体" w:hAnsi="宋体" w:eastAsia="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rPr>
          <w:rStyle w:val="47"/>
          <w:rFonts w:ascii="宋体" w:hAnsi="宋体" w:cs="宋体"/>
          <w:b/>
          <w:sz w:val="44"/>
        </w:rPr>
      </w:pPr>
    </w:p>
    <w:p>
      <w:pPr>
        <w:rPr>
          <w:rStyle w:val="47"/>
          <w:rFonts w:ascii="宋体" w:hAnsi="宋体" w:cs="宋体"/>
          <w:b/>
          <w:sz w:val="44"/>
        </w:rPr>
      </w:pPr>
    </w:p>
    <w:p>
      <w:pPr>
        <w:pStyle w:val="9"/>
      </w:pPr>
    </w:p>
    <w:p>
      <w:pPr>
        <w:pStyle w:val="37"/>
        <w:outlineLvl w:val="0"/>
        <w:rPr>
          <w:rStyle w:val="47"/>
          <w:rFonts w:ascii="宋体" w:hAnsi="宋体" w:eastAsia="宋体" w:cs="宋体"/>
          <w:b/>
          <w:sz w:val="44"/>
        </w:rPr>
      </w:pPr>
      <w:r>
        <w:rPr>
          <w:rStyle w:val="47"/>
          <w:rFonts w:hint="eastAsia" w:ascii="宋体" w:hAnsi="宋体" w:eastAsia="宋体" w:cs="宋体"/>
          <w:b/>
          <w:sz w:val="44"/>
        </w:rPr>
        <w:t>第三章  合同条款及格式</w:t>
      </w:r>
      <w:bookmarkEnd w:id="4"/>
    </w:p>
    <w:p>
      <w:pPr>
        <w:spacing w:line="440" w:lineRule="exact"/>
        <w:ind w:firstLine="480" w:firstLineChars="200"/>
        <w:rPr>
          <w:rStyle w:val="47"/>
          <w:rFonts w:ascii="宋体" w:hAnsi="宋体" w:cs="宋体"/>
          <w:bCs/>
          <w:sz w:val="24"/>
        </w:rPr>
      </w:pPr>
      <w:r>
        <w:rPr>
          <w:rStyle w:val="47"/>
          <w:rFonts w:hint="eastAsia" w:ascii="宋体" w:hAnsi="宋体" w:cs="宋体"/>
          <w:bCs/>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7"/>
          <w:rFonts w:ascii="宋体" w:hAnsi="宋体" w:cs="宋体"/>
          <w:b/>
          <w:bCs/>
          <w:sz w:val="30"/>
          <w:szCs w:val="20"/>
        </w:rPr>
      </w:pPr>
      <w:bookmarkStart w:id="5" w:name="_Toc17926"/>
      <w:r>
        <w:rPr>
          <w:rStyle w:val="47"/>
          <w:rFonts w:ascii="宋体" w:hAnsi="宋体"/>
          <w:b/>
          <w:sz w:val="30"/>
        </w:rPr>
        <w:t>采购合同（货物格式）</w:t>
      </w:r>
    </w:p>
    <w:p>
      <w:pPr>
        <w:pStyle w:val="73"/>
        <w:snapToGrid w:val="0"/>
        <w:spacing w:line="420" w:lineRule="exact"/>
        <w:ind w:firstLine="480" w:firstLineChars="200"/>
        <w:jc w:val="left"/>
        <w:rPr>
          <w:rStyle w:val="47"/>
          <w:rFonts w:hint="eastAsia" w:hAnsi="宋体" w:eastAsia="宋体"/>
          <w:sz w:val="24"/>
          <w:szCs w:val="24"/>
          <w:u w:val="single" w:color="000000"/>
          <w:lang w:eastAsia="zh-CN"/>
        </w:rPr>
      </w:pPr>
      <w:r>
        <w:rPr>
          <w:rStyle w:val="47"/>
          <w:rFonts w:hAnsi="宋体"/>
          <w:sz w:val="24"/>
          <w:szCs w:val="24"/>
        </w:rPr>
        <w:t>项目名称：</w:t>
      </w:r>
      <w:r>
        <w:rPr>
          <w:rStyle w:val="47"/>
          <w:rFonts w:hint="eastAsia" w:hAnsi="宋体"/>
          <w:sz w:val="24"/>
          <w:szCs w:val="24"/>
          <w:u w:val="single" w:color="000000"/>
          <w:lang w:eastAsia="zh-CN"/>
        </w:rPr>
        <w:t>盐城工业职业技术学院商务数据分析软件</w:t>
      </w:r>
    </w:p>
    <w:p>
      <w:pPr>
        <w:pStyle w:val="73"/>
        <w:snapToGrid w:val="0"/>
        <w:spacing w:line="420" w:lineRule="exact"/>
        <w:ind w:firstLine="480" w:firstLineChars="200"/>
        <w:jc w:val="left"/>
        <w:rPr>
          <w:rStyle w:val="47"/>
          <w:rFonts w:hint="eastAsia" w:hAnsi="宋体" w:eastAsia="宋体"/>
          <w:sz w:val="24"/>
          <w:szCs w:val="24"/>
          <w:lang w:eastAsia="zh-CN"/>
        </w:rPr>
      </w:pPr>
      <w:r>
        <w:rPr>
          <w:rStyle w:val="47"/>
          <w:rFonts w:hAnsi="宋体"/>
          <w:sz w:val="24"/>
          <w:szCs w:val="24"/>
        </w:rPr>
        <w:t>项目编号：</w:t>
      </w:r>
      <w:r>
        <w:rPr>
          <w:rStyle w:val="47"/>
          <w:rFonts w:hint="eastAsia" w:hAnsi="宋体"/>
          <w:sz w:val="24"/>
          <w:szCs w:val="24"/>
          <w:u w:val="single"/>
        </w:rPr>
        <w:t>2023-</w:t>
      </w:r>
      <w:r>
        <w:rPr>
          <w:rStyle w:val="47"/>
          <w:rFonts w:hint="eastAsia" w:hAnsi="宋体"/>
          <w:sz w:val="24"/>
          <w:szCs w:val="24"/>
          <w:u w:val="single"/>
          <w:lang w:eastAsia="zh-CN"/>
        </w:rPr>
        <w:t>031W</w:t>
      </w:r>
    </w:p>
    <w:p>
      <w:pPr>
        <w:pStyle w:val="73"/>
        <w:snapToGrid w:val="0"/>
        <w:spacing w:line="420" w:lineRule="exact"/>
        <w:ind w:firstLine="480" w:firstLineChars="200"/>
        <w:rPr>
          <w:rStyle w:val="47"/>
          <w:rFonts w:hAnsi="宋体"/>
          <w:sz w:val="24"/>
          <w:szCs w:val="24"/>
        </w:rPr>
      </w:pPr>
      <w:r>
        <w:rPr>
          <w:rStyle w:val="47"/>
          <w:rFonts w:hAnsi="宋体"/>
          <w:sz w:val="24"/>
          <w:szCs w:val="24"/>
        </w:rPr>
        <w:t>甲方：（买方）</w:t>
      </w:r>
      <w:r>
        <w:rPr>
          <w:rStyle w:val="47"/>
          <w:rFonts w:hAnsi="宋体"/>
          <w:sz w:val="24"/>
          <w:szCs w:val="24"/>
          <w:u w:val="single" w:color="000000"/>
        </w:rPr>
        <w:t>盐城工业职业技术学院</w:t>
      </w:r>
    </w:p>
    <w:p>
      <w:pPr>
        <w:pStyle w:val="73"/>
        <w:snapToGrid w:val="0"/>
        <w:spacing w:line="420" w:lineRule="exact"/>
        <w:ind w:firstLine="480" w:firstLineChars="200"/>
        <w:rPr>
          <w:rStyle w:val="47"/>
          <w:rFonts w:hAnsi="宋体"/>
          <w:sz w:val="24"/>
          <w:szCs w:val="24"/>
        </w:rPr>
      </w:pPr>
      <w:r>
        <w:rPr>
          <w:rStyle w:val="47"/>
          <w:rFonts w:hAnsi="宋体"/>
          <w:sz w:val="24"/>
          <w:szCs w:val="24"/>
        </w:rPr>
        <w:t>乙方：（卖方）</w:t>
      </w:r>
    </w:p>
    <w:p>
      <w:pPr>
        <w:spacing w:line="420" w:lineRule="exact"/>
        <w:ind w:firstLine="480" w:firstLineChars="200"/>
        <w:rPr>
          <w:rStyle w:val="47"/>
          <w:rFonts w:ascii="宋体" w:hAnsi="宋体"/>
          <w:b/>
          <w:sz w:val="24"/>
          <w:szCs w:val="24"/>
        </w:rPr>
      </w:pPr>
      <w:r>
        <w:rPr>
          <w:rStyle w:val="47"/>
          <w:rFonts w:ascii="宋体" w:hAnsi="宋体"/>
          <w:sz w:val="24"/>
          <w:szCs w:val="24"/>
        </w:rPr>
        <w:t>甲、乙双方根据</w:t>
      </w:r>
      <w:r>
        <w:rPr>
          <w:rStyle w:val="47"/>
          <w:rFonts w:hint="eastAsia" w:ascii="宋体" w:hAnsi="宋体"/>
          <w:sz w:val="24"/>
          <w:szCs w:val="24"/>
          <w:u w:val="single" w:color="000000"/>
          <w:lang w:eastAsia="zh-CN"/>
        </w:rPr>
        <w:t>盐城工业职业技术学院商务数据分析软件</w:t>
      </w:r>
      <w:r>
        <w:rPr>
          <w:rStyle w:val="47"/>
          <w:rFonts w:ascii="宋体" w:hAnsi="宋体"/>
          <w:sz w:val="24"/>
          <w:szCs w:val="24"/>
        </w:rPr>
        <w:t>公开招标的结果，签署本合同。</w:t>
      </w:r>
    </w:p>
    <w:p>
      <w:pPr>
        <w:pStyle w:val="20"/>
        <w:widowControl w:val="0"/>
        <w:snapToGrid w:val="0"/>
        <w:spacing w:before="0" w:beforeAutospacing="0" w:after="0" w:afterAutospacing="0" w:line="460" w:lineRule="exact"/>
        <w:ind w:firstLine="482" w:firstLineChars="200"/>
        <w:jc w:val="both"/>
        <w:rPr>
          <w:b/>
          <w:color w:val="000000" w:themeColor="text1"/>
          <w:kern w:val="2"/>
          <w14:textFill>
            <w14:solidFill>
              <w14:schemeClr w14:val="tx1"/>
            </w14:solidFill>
          </w14:textFill>
        </w:rPr>
      </w:pPr>
      <w:r>
        <w:rPr>
          <w:rFonts w:hint="eastAsia"/>
          <w:b/>
          <w:color w:val="000000" w:themeColor="text1"/>
          <w:kern w:val="2"/>
          <w14:textFill>
            <w14:solidFill>
              <w14:schemeClr w14:val="tx1"/>
            </w14:solidFill>
          </w14:textFill>
        </w:rPr>
        <w:t>一、合同标的</w:t>
      </w:r>
    </w:p>
    <w:p>
      <w:pPr>
        <w:pStyle w:val="20"/>
        <w:widowControl w:val="0"/>
        <w:snapToGrid w:val="0"/>
        <w:spacing w:before="0" w:beforeAutospacing="0" w:after="0" w:afterAutospacing="0" w:line="460" w:lineRule="exact"/>
        <w:ind w:firstLine="480" w:firstLineChars="200"/>
        <w:jc w:val="both"/>
        <w:rPr>
          <w:rStyle w:val="47"/>
          <w:bCs/>
          <w:kern w:val="2"/>
        </w:rPr>
      </w:pPr>
      <w:r>
        <w:rPr>
          <w:rStyle w:val="47"/>
          <w:rFonts w:hint="eastAsia"/>
          <w:bCs/>
          <w:kern w:val="2"/>
        </w:rPr>
        <w:t>详见招标文件项目需求</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二、合同金额</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bCs/>
          <w:color w:val="000000" w:themeColor="text1"/>
          <w14:textFill>
            <w14:solidFill>
              <w14:schemeClr w14:val="tx1"/>
            </w14:solidFill>
          </w14:textFill>
        </w:rPr>
        <w:t>2.1</w:t>
      </w:r>
      <w:r>
        <w:rPr>
          <w:rFonts w:hint="eastAsia"/>
          <w:color w:val="000000" w:themeColor="text1"/>
          <w:kern w:val="2"/>
          <w14:textFill>
            <w14:solidFill>
              <w14:schemeClr w14:val="tx1"/>
            </w14:solidFill>
          </w14:textFill>
        </w:rPr>
        <w:t>本合同金额为（大写）：（小写）：______元人民币。</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三、技术资料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四、知识产权</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4.1乙</w:t>
      </w:r>
      <w:r>
        <w:rPr>
          <w:rFonts w:hint="eastAsia" w:ascii="宋体" w:hAnsi="宋体" w:cs="宋体"/>
          <w:color w:val="000000" w:themeColor="text1"/>
          <w:sz w:val="24"/>
          <w14:textFill>
            <w14:solidFill>
              <w14:schemeClr w14:val="tx1"/>
            </w14:solidFill>
          </w14:textFill>
        </w:rPr>
        <w:t>方应保证甲方在使用、接受本合同服务或其任何一部分时不受第三方提出侵犯其专利权、版权、商标权和工业设计权等知识产权的起诉。一旦出现侵权，由乙方负全部责任。</w:t>
      </w:r>
    </w:p>
    <w:p>
      <w:pPr>
        <w:spacing w:line="44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 乙方应积极维护甲方合法权益，除指定撰写代理人，不以任何形式向任何第三方泄露甲方任何技术资料，否则乙方将承担因泄密给甲方造成的损失。</w:t>
      </w:r>
    </w:p>
    <w:p>
      <w:pPr>
        <w:pStyle w:val="20"/>
        <w:widowControl w:val="0"/>
        <w:snapToGrid w:val="0"/>
        <w:spacing w:before="0" w:beforeAutospacing="0" w:after="0" w:afterAutospacing="0" w:line="460" w:lineRule="exact"/>
        <w:ind w:firstLine="482" w:firstLineChars="200"/>
        <w:jc w:val="both"/>
        <w:rPr>
          <w:color w:val="000000" w:themeColor="text1"/>
          <w:u w:val="single"/>
          <w14:textFill>
            <w14:solidFill>
              <w14:schemeClr w14:val="tx1"/>
            </w14:solidFill>
          </w14:textFill>
        </w:rPr>
      </w:pPr>
      <w:r>
        <w:rPr>
          <w:rFonts w:hint="eastAsia"/>
          <w:b/>
          <w:color w:val="000000" w:themeColor="text1"/>
          <w:kern w:val="2"/>
          <w14:textFill>
            <w14:solidFill>
              <w14:schemeClr w14:val="tx1"/>
            </w14:solidFill>
          </w14:textFill>
        </w:rPr>
        <w:t>五、产权担保</w:t>
      </w:r>
    </w:p>
    <w:p>
      <w:pPr>
        <w:pStyle w:val="20"/>
        <w:widowControl w:val="0"/>
        <w:snapToGrid w:val="0"/>
        <w:spacing w:before="0" w:beforeAutospacing="0" w:after="0" w:afterAutospacing="0" w:line="460" w:lineRule="exact"/>
        <w:ind w:firstLine="480" w:firstLineChars="200"/>
        <w:jc w:val="both"/>
        <w:rPr>
          <w:color w:val="000000" w:themeColor="text1"/>
          <w:u w:val="single"/>
          <w14:textFill>
            <w14:solidFill>
              <w14:schemeClr w14:val="tx1"/>
            </w14:solidFill>
          </w14:textFill>
        </w:rPr>
      </w:pPr>
      <w:r>
        <w:rPr>
          <w:rFonts w:hint="eastAsia"/>
          <w:color w:val="000000" w:themeColor="text1"/>
          <w:kern w:val="2"/>
          <w14:textFill>
            <w14:solidFill>
              <w14:schemeClr w14:val="tx1"/>
            </w14:solidFill>
          </w14:textFill>
        </w:rPr>
        <w:t>5.1乙方保证所交付的货物</w:t>
      </w:r>
      <w:r>
        <w:rPr>
          <w:rFonts w:hint="eastAsia"/>
          <w:bCs/>
          <w:color w:val="000000" w:themeColor="text1"/>
          <w:kern w:val="2"/>
          <w14:textFill>
            <w14:solidFill>
              <w14:schemeClr w14:val="tx1"/>
            </w14:solidFill>
          </w14:textFill>
        </w:rPr>
        <w:t>和服务</w:t>
      </w:r>
      <w:r>
        <w:rPr>
          <w:rFonts w:hint="eastAsia"/>
          <w:color w:val="000000" w:themeColor="text1"/>
          <w:kern w:val="2"/>
          <w14:textFill>
            <w14:solidFill>
              <w14:schemeClr w14:val="tx1"/>
            </w14:solidFill>
          </w14:textFill>
        </w:rPr>
        <w:t>的所有权完全属于乙方且无任何抵押、查封等产权瑕疵。</w:t>
      </w:r>
    </w:p>
    <w:p>
      <w:pPr>
        <w:pStyle w:val="20"/>
        <w:widowControl w:val="0"/>
        <w:snapToGrid w:val="0"/>
        <w:spacing w:before="0" w:beforeAutospacing="0" w:after="0" w:afterAutospacing="0" w:line="460" w:lineRule="exact"/>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六、履约保证金</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6.1乙方交纳人民币______元作为本合同的履约保证金（合同金额的5%）。项目验收后无息退还。</w:t>
      </w:r>
    </w:p>
    <w:p>
      <w:pPr>
        <w:snapToGrid w:val="0"/>
        <w:spacing w:line="460" w:lineRule="exact"/>
        <w:ind w:firstLine="482" w:firstLineChars="20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七、转包或分包</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7.1本合同范围的货物</w:t>
      </w:r>
      <w:r>
        <w:rPr>
          <w:rFonts w:hint="eastAsia" w:ascii="宋体" w:hAnsi="宋体" w:cs="宋体"/>
          <w:bCs/>
          <w:color w:val="000000" w:themeColor="text1"/>
          <w:sz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，应由乙方直接供应，不得转让他人供应；</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7.2 除非得到甲方的书面同意，乙方不得部分分包给他人供应。</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7.3如有转让和未经甲方同意的分包行为，甲方有权给予终止合同。</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八、质保期</w:t>
      </w:r>
    </w:p>
    <w:p>
      <w:pPr>
        <w:pStyle w:val="20"/>
        <w:widowControl w:val="0"/>
        <w:snapToGrid w:val="0"/>
        <w:spacing w:before="0" w:beforeAutospacing="0" w:after="0" w:afterAutospacing="0" w:line="460" w:lineRule="exact"/>
        <w:ind w:firstLine="480" w:firstLineChars="200"/>
        <w:jc w:val="both"/>
        <w:rPr>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8.1 质保期：提供</w:t>
      </w:r>
      <w:r>
        <w:rPr>
          <w:rFonts w:hint="eastAsia"/>
          <w:color w:val="000000" w:themeColor="text1"/>
          <w:kern w:val="2"/>
          <w:u w:val="single"/>
          <w14:textFill>
            <w14:solidFill>
              <w14:schemeClr w14:val="tx1"/>
            </w14:solidFill>
          </w14:textFill>
        </w:rPr>
        <w:t xml:space="preserve"> </w:t>
      </w:r>
      <w:r>
        <w:rPr>
          <w:rFonts w:hint="eastAsia"/>
          <w:color w:val="000000" w:themeColor="text1"/>
          <w:kern w:val="2"/>
          <w:u w:val="single"/>
          <w:lang w:val="en-US" w:eastAsia="zh-CN"/>
          <w14:textFill>
            <w14:solidFill>
              <w14:schemeClr w14:val="tx1"/>
            </w14:solidFill>
          </w14:textFill>
        </w:rPr>
        <w:t>一</w:t>
      </w:r>
      <w:r>
        <w:rPr>
          <w:rFonts w:hint="eastAsia"/>
          <w:color w:val="000000" w:themeColor="text1"/>
          <w:kern w:val="2"/>
          <w:u w:val="single"/>
          <w14:textFill>
            <w14:solidFill>
              <w14:schemeClr w14:val="tx1"/>
            </w14:solidFill>
          </w14:textFill>
        </w:rPr>
        <w:t xml:space="preserve"> </w:t>
      </w:r>
      <w:r>
        <w:rPr>
          <w:rFonts w:hint="eastAsia"/>
          <w:color w:val="000000" w:themeColor="text1"/>
          <w:kern w:val="2"/>
          <w14:textFill>
            <w14:solidFill>
              <w14:schemeClr w14:val="tx1"/>
            </w14:solidFill>
          </w14:textFill>
        </w:rPr>
        <w:t>年免费质保。（自交货验收合格之日起计）</w:t>
      </w:r>
    </w:p>
    <w:p>
      <w:pPr>
        <w:pStyle w:val="20"/>
        <w:widowControl w:val="0"/>
        <w:snapToGrid w:val="0"/>
        <w:spacing w:before="0" w:beforeAutospacing="0" w:after="0" w:afterAutospacing="0" w:line="460" w:lineRule="exact"/>
        <w:ind w:firstLine="480" w:firstLineChars="200"/>
        <w:jc w:val="both"/>
        <w:rPr>
          <w:rFonts w:hint="eastAsia"/>
          <w:color w:val="000000" w:themeColor="text1"/>
          <w:kern w:val="2"/>
          <w14:textFill>
            <w14:solidFill>
              <w14:schemeClr w14:val="tx1"/>
            </w14:solidFill>
          </w14:textFill>
        </w:rPr>
      </w:pPr>
      <w:r>
        <w:rPr>
          <w:rFonts w:hint="eastAsia"/>
          <w:color w:val="000000" w:themeColor="text1"/>
          <w:kern w:val="2"/>
          <w14:textFill>
            <w14:solidFill>
              <w14:schemeClr w14:val="tx1"/>
            </w14:solidFill>
          </w14:textFill>
        </w:rPr>
        <w:t>8.2、所有质保费用均已包含在投标报价中，供应商提供的设备在质保期内因本身的质量问题发生故障，乙方应负责免费维修。</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九、交货期</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9.1交货期:在签订合同后</w:t>
      </w:r>
      <w:r>
        <w:rPr>
          <w:rFonts w:hint="eastAsia"/>
          <w:color w:val="000000" w:themeColor="text1"/>
          <w:u w:val="single"/>
          <w:lang w:val="en-US" w:eastAsia="zh-CN"/>
          <w14:textFill>
            <w14:solidFill>
              <w14:schemeClr w14:val="tx1"/>
            </w14:solidFill>
          </w14:textFill>
        </w:rPr>
        <w:t xml:space="preserve">   </w:t>
      </w:r>
      <w:r>
        <w:rPr>
          <w:rFonts w:hint="eastAsia"/>
          <w:color w:val="000000" w:themeColor="text1"/>
          <w14:textFill>
            <w14:solidFill>
              <w14:schemeClr w14:val="tx1"/>
            </w14:solidFill>
          </w14:textFill>
        </w:rPr>
        <w:t>日历天内完成全部内容的服务工作（如甲方需要延时交付，可另行约定时间）。</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十、货款支付</w:t>
      </w:r>
    </w:p>
    <w:p>
      <w:pPr>
        <w:pStyle w:val="20"/>
        <w:widowControl w:val="0"/>
        <w:snapToGrid w:val="0"/>
        <w:spacing w:before="0" w:beforeAutospacing="0" w:after="0" w:afterAutospacing="0" w:line="460" w:lineRule="exact"/>
        <w:ind w:firstLine="480" w:firstLineChars="200"/>
        <w:jc w:val="both"/>
        <w:rPr>
          <w:rFonts w:hint="eastAsia"/>
          <w:color w:val="FF0000"/>
        </w:rPr>
      </w:pPr>
      <w:r>
        <w:rPr>
          <w:rFonts w:hint="eastAsia"/>
          <w:color w:val="000000" w:themeColor="text1"/>
          <w14:textFill>
            <w14:solidFill>
              <w14:schemeClr w14:val="tx1"/>
            </w14:solidFill>
          </w14:textFill>
        </w:rPr>
        <w:t xml:space="preserve">10.1付款方式:招标范围内容全部完成并经安装调试、培训结束，验收合格后付总价的 90%；一年后根据售后服务情况付至总价的 </w:t>
      </w:r>
      <w:r>
        <w:rPr>
          <w:rFonts w:hint="eastAsia"/>
          <w:color w:val="000000" w:themeColor="text1"/>
          <w:lang w:val="en-US" w:eastAsia="zh-CN"/>
          <w14:textFill>
            <w14:solidFill>
              <w14:schemeClr w14:val="tx1"/>
            </w14:solidFill>
          </w14:textFill>
        </w:rPr>
        <w:t>100</w:t>
      </w:r>
      <w:r>
        <w:rPr>
          <w:rFonts w:hint="eastAsia"/>
          <w:color w:val="000000" w:themeColor="text1"/>
          <w14:textFill>
            <w14:solidFill>
              <w14:schemeClr w14:val="tx1"/>
            </w14:solidFill>
          </w14:textFill>
        </w:rPr>
        <w:t>%。</w:t>
      </w:r>
      <w:r>
        <w:rPr>
          <w:rFonts w:hint="eastAsia"/>
          <w:color w:val="000000" w:themeColor="text1"/>
          <w:kern w:val="2"/>
          <w14:textFill>
            <w14:solidFill>
              <w14:schemeClr w14:val="tx1"/>
            </w14:solidFill>
          </w14:textFill>
        </w:rPr>
        <w:t>乙方必须提供增值税专用发票，否则甲方有权不付款。</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10.2当采购数量与实际使用数量不一致时，乙方应根据实际使用量供货，合同的最终结算金额按实际使用量乘以成交单价进行计算。</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十一、税费</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11.1本合同执行中的一切税费均由乙方负担。</w:t>
      </w:r>
    </w:p>
    <w:p>
      <w:pPr>
        <w:pStyle w:val="20"/>
        <w:widowControl w:val="0"/>
        <w:snapToGrid w:val="0"/>
        <w:spacing w:before="0" w:beforeAutospacing="0" w:after="0" w:afterAutospacing="0" w:line="460" w:lineRule="exact"/>
        <w:ind w:firstLine="482" w:firstLineChars="200"/>
        <w:jc w:val="both"/>
        <w:rPr>
          <w:b/>
          <w:bCs/>
          <w:color w:val="000000" w:themeColor="text1"/>
          <w:kern w:val="2"/>
          <w14:textFill>
            <w14:solidFill>
              <w14:schemeClr w14:val="tx1"/>
            </w14:solidFill>
          </w14:textFill>
        </w:rPr>
      </w:pPr>
      <w:r>
        <w:rPr>
          <w:rFonts w:hint="eastAsia"/>
          <w:b/>
          <w:bCs/>
          <w:color w:val="000000" w:themeColor="text1"/>
          <w:kern w:val="2"/>
          <w14:textFill>
            <w14:solidFill>
              <w14:schemeClr w14:val="tx1"/>
            </w14:solidFill>
          </w14:textFill>
        </w:rPr>
        <w:t>十二、质量保证及售后服务</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12.1乙方应按公开招标文件规定及响应文件承诺向甲方提供服务;若无特殊说明，则按国家有关部门最新颁布的标准及规范为准。</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12.2乙方应保证其提供的服务是全面和规范的，并完全符合公开招标文件及响应文件。如因乙方提供的服务有瑕疵造成甲方损失的,所需费用由乙方承担。</w:t>
      </w:r>
    </w:p>
    <w:p>
      <w:pPr>
        <w:pStyle w:val="20"/>
        <w:widowControl w:val="0"/>
        <w:snapToGrid w:val="0"/>
        <w:spacing w:before="0" w:beforeAutospacing="0" w:after="0" w:afterAutospacing="0" w:line="4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12.3如在使用过程中发生质量问题，乙方在接到甲方通知后在6小时内到达甲方现场提供免费上门维修服务，12小时内确保系统正常运行。</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12.4服务期限内，乙方应对所提供服务出现的质量及安全问题负责处理解决并承担一切费用。</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12.5免费服务期内，乙方为甲方提供相关人员免费培训辅导、问题解答等后续的咨询服务。</w:t>
      </w:r>
    </w:p>
    <w:p>
      <w:pPr>
        <w:snapToGrid w:val="0"/>
        <w:spacing w:line="460" w:lineRule="exact"/>
        <w:ind w:firstLine="482" w:firstLineChars="200"/>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十三、项目验收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13.1</w:t>
      </w:r>
      <w:r>
        <w:rPr>
          <w:rFonts w:hint="eastAsia" w:ascii="宋体" w:hAnsi="宋体" w:cs="宋体"/>
          <w:color w:val="000000" w:themeColor="text1"/>
          <w:sz w:val="24"/>
          <w:szCs w:val="24"/>
          <w14:textFill>
            <w14:solidFill>
              <w14:schemeClr w14:val="tx1"/>
            </w14:solidFill>
          </w14:textFill>
        </w:rPr>
        <w:t>乙方应当在合同签订后规定时间内完成服务事项，公开招标文件有约定的，从其约定。</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13.2</w:t>
      </w:r>
      <w:r>
        <w:rPr>
          <w:rFonts w:hint="eastAsia" w:ascii="宋体" w:hAnsi="宋体" w:cs="宋体"/>
          <w:color w:val="000000" w:themeColor="text1"/>
          <w:sz w:val="24"/>
          <w:szCs w:val="24"/>
          <w14:textFill>
            <w14:solidFill>
              <w14:schemeClr w14:val="tx1"/>
            </w14:solidFill>
          </w14:textFill>
        </w:rPr>
        <w:t>在交付前，乙方应作出全面检查和对验收文件进行整理，并列出清单，作为甲方验收和使用的技术条件依据。</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13.3</w:t>
      </w:r>
      <w:r>
        <w:rPr>
          <w:rFonts w:hint="eastAsia" w:ascii="宋体" w:hAnsi="宋体" w:cs="宋体"/>
          <w:color w:val="000000" w:themeColor="text1"/>
          <w:sz w:val="24"/>
          <w:szCs w:val="24"/>
          <w14:textFill>
            <w14:solidFill>
              <w14:schemeClr w14:val="tx1"/>
            </w14:solidFill>
          </w14:textFill>
        </w:rPr>
        <w:t>验收标准:按甲方公开招标文件的规定和乙方响应文件的承诺，并不低于国家相关标准。</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13.4对</w:t>
      </w:r>
      <w:r>
        <w:rPr>
          <w:rFonts w:hint="eastAsia" w:ascii="宋体" w:hAnsi="宋体" w:cs="宋体"/>
          <w:color w:val="000000" w:themeColor="text1"/>
          <w:sz w:val="24"/>
          <w:szCs w:val="24"/>
          <w14:textFill>
            <w14:solidFill>
              <w14:schemeClr w14:val="tx1"/>
            </w14:solidFill>
          </w14:textFill>
        </w:rPr>
        <w:t>于乙方要交付的服务，甲乙双方须在15个工作日内完成验收，甲方对乙方提交的服务成果依据公开招标文件上的要求、乙方响应文件的承诺和国家有关质量标准进行验收。</w:t>
      </w:r>
    </w:p>
    <w:p>
      <w:pPr>
        <w:snapToGrid w:val="0"/>
        <w:spacing w:line="46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13.5验</w:t>
      </w:r>
      <w:r>
        <w:rPr>
          <w:rFonts w:hint="eastAsia" w:ascii="宋体" w:hAnsi="宋体" w:cs="宋体"/>
          <w:color w:val="000000" w:themeColor="text1"/>
          <w:sz w:val="24"/>
          <w:szCs w:val="24"/>
          <w14:textFill>
            <w14:solidFill>
              <w14:schemeClr w14:val="tx1"/>
            </w14:solidFill>
          </w14:textFill>
        </w:rPr>
        <w:t>收时乙方必须在现场，验收完毕后作出验收结果报告。</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十四、违约责任</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14.1 甲方无正当理由拒收货物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的，甲方向乙方偿付拒收货款总值的百分之五违约金。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14.2 甲方无故逾期验收和办理合同款支付手续的,甲方应按逾期付款总额每日万分之五向乙方支付违约金。</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14.3 乙方逾期交付货物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14.4 乙方所交的货物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品种、型号、规格、技术参数、质量不符合合同规定及招标文件规定标准的，甲方有权拒收该货物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，乙方愿意更换货物但逾期交货的，按乙方逾期交货处理。乙方拒绝更换货物</w:t>
      </w:r>
      <w:r>
        <w:rPr>
          <w:rFonts w:hint="eastAsia" w:ascii="宋体" w:hAnsi="宋体" w:cs="宋体"/>
          <w:bCs/>
          <w:color w:val="000000" w:themeColor="text1"/>
          <w:sz w:val="24"/>
          <w:szCs w:val="24"/>
          <w14:textFill>
            <w14:solidFill>
              <w14:schemeClr w14:val="tx1"/>
            </w14:solidFill>
          </w14:textFill>
        </w:rPr>
        <w:t>和服务</w:t>
      </w:r>
      <w:r>
        <w:rPr>
          <w:rFonts w:hint="eastAsia" w:ascii="宋体" w:hAnsi="宋体" w:cs="宋体"/>
          <w:color w:val="000000" w:themeColor="text1"/>
          <w:sz w:val="24"/>
          <w:szCs w:val="24"/>
          <w14:textFill>
            <w14:solidFill>
              <w14:schemeClr w14:val="tx1"/>
            </w14:solidFill>
          </w14:textFill>
        </w:rPr>
        <w:t>的，甲方可单方面解除合同。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十五、不可抗力事件处理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15.1 在合同有效期内，任何一方因不可抗力事件导致不能履行合同，则合同履行期可延长，其延长期与不可抗力影响期相同。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15.2 不可抗力事件发生后，应立即通知对方，并寄送有关权威机构出具的证明。</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15.3 不可抗力事件延续120天以上，双方应通过友好协商，确定是否继续履行合同。</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十六、诉讼</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16.1 双方在执行合同中所发生的一切争议，应通过协商解决。如协商不成，可向合同签订地法院起诉，合同签订地在此约定为盐城市。</w:t>
      </w:r>
    </w:p>
    <w:p>
      <w:pPr>
        <w:pStyle w:val="20"/>
        <w:widowControl w:val="0"/>
        <w:adjustRightInd w:val="0"/>
        <w:snapToGrid w:val="0"/>
        <w:spacing w:before="0" w:beforeAutospacing="0" w:after="0" w:afterAutospacing="0" w:line="360" w:lineRule="auto"/>
        <w:ind w:firstLine="482" w:firstLineChars="200"/>
        <w:jc w:val="both"/>
        <w:rPr>
          <w:b/>
          <w:color w:val="000000" w:themeColor="text1"/>
          <w14:textFill>
            <w14:solidFill>
              <w14:schemeClr w14:val="tx1"/>
            </w14:solidFill>
          </w14:textFill>
        </w:rPr>
      </w:pPr>
      <w:r>
        <w:rPr>
          <w:rFonts w:hint="eastAsia"/>
          <w:b/>
          <w:color w:val="000000" w:themeColor="text1"/>
          <w:kern w:val="2"/>
          <w14:textFill>
            <w14:solidFill>
              <w14:schemeClr w14:val="tx1"/>
            </w14:solidFill>
          </w14:textFill>
        </w:rPr>
        <w:t>十七、合同生效及其它</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17.1 合同经双方法定代表人或授权委托代表人签字并加盖单位公章后生效。</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17.2本合同未尽事宜，遵照《中华人民共和国民法典》有关条文执行。</w:t>
      </w:r>
    </w:p>
    <w:p>
      <w:pPr>
        <w:adjustRightInd w:val="0"/>
        <w:snapToGrid w:val="0"/>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17.3 本合同正本一式二份，副本一式六份，具有同等法律效力。</w:t>
      </w:r>
    </w:p>
    <w:p>
      <w:pPr>
        <w:pStyle w:val="2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甲方：                                   乙方： </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地址：                                   地址： </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法定代表人或授权代表：                   法定代表人或授权代表：</w:t>
      </w:r>
    </w:p>
    <w:p>
      <w:pPr>
        <w:pStyle w:val="20"/>
        <w:widowControl w:val="0"/>
        <w:snapToGrid w:val="0"/>
        <w:spacing w:before="0" w:beforeAutospacing="0" w:after="0" w:afterAutospacing="0" w:line="460" w:lineRule="exact"/>
        <w:ind w:firstLine="720" w:firstLineChars="3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采购单位负责人：</w:t>
      </w:r>
    </w:p>
    <w:p>
      <w:pPr>
        <w:pStyle w:val="20"/>
        <w:widowControl w:val="0"/>
        <w:snapToGrid w:val="0"/>
        <w:spacing w:before="0" w:beforeAutospacing="0" w:after="0" w:afterAutospacing="0" w:line="460" w:lineRule="exact"/>
        <w:ind w:firstLine="480" w:firstLineChars="200"/>
        <w:jc w:val="both"/>
        <w:rPr>
          <w:color w:val="000000" w:themeColor="text1"/>
          <w14:textFill>
            <w14:solidFill>
              <w14:schemeClr w14:val="tx1"/>
            </w14:solidFill>
          </w14:textFill>
        </w:rPr>
      </w:pPr>
      <w:r>
        <w:rPr>
          <w:rFonts w:hint="eastAsia"/>
          <w:color w:val="000000" w:themeColor="text1"/>
          <w:kern w:val="2"/>
          <w14:textFill>
            <w14:solidFill>
              <w14:schemeClr w14:val="tx1"/>
            </w14:solidFill>
          </w14:textFill>
        </w:rPr>
        <w:t xml:space="preserve">  联系电话：                               联系电话：</w:t>
      </w:r>
    </w:p>
    <w:p>
      <w:pPr>
        <w:spacing w:line="460" w:lineRule="exact"/>
        <w:rPr>
          <w:rFonts w:ascii="宋体" w:hAnsi="宋体" w:cs="宋体"/>
          <w:b/>
          <w:color w:val="000000" w:themeColor="text1"/>
          <w:sz w:val="44"/>
          <w14:textFill>
            <w14:solidFill>
              <w14:schemeClr w14:val="tx1"/>
            </w14:solidFill>
          </w14:textFill>
        </w:rPr>
        <w:sectPr>
          <w:headerReference r:id="rId8" w:type="default"/>
          <w:footerReference r:id="rId9" w:type="default"/>
          <w:pgSz w:w="11906" w:h="16838"/>
          <w:pgMar w:top="1418" w:right="1417" w:bottom="1418" w:left="1417" w:header="851" w:footer="907" w:gutter="0"/>
          <w:cols w:space="720" w:num="1"/>
          <w:docGrid w:type="lines" w:linePitch="290" w:charSpace="0"/>
        </w:sectPr>
      </w:pPr>
      <w:r>
        <w:rPr>
          <w:rFonts w:hint="eastAsia" w:ascii="宋体" w:hAnsi="宋体" w:cs="宋体"/>
          <w:color w:val="000000" w:themeColor="text1"/>
          <w:sz w:val="24"/>
          <w:szCs w:val="24"/>
          <w14:textFill>
            <w14:solidFill>
              <w14:schemeClr w14:val="tx1"/>
            </w14:solidFill>
          </w14:textFill>
        </w:rPr>
        <w:t xml:space="preserve">      签订日期：      年  月  日</w:t>
      </w:r>
    </w:p>
    <w:p>
      <w:pPr>
        <w:pStyle w:val="37"/>
        <w:spacing w:line="360" w:lineRule="auto"/>
        <w:outlineLvl w:val="0"/>
        <w:rPr>
          <w:rStyle w:val="47"/>
          <w:rFonts w:ascii="宋体" w:hAnsi="宋体" w:eastAsia="宋体" w:cs="宋体"/>
          <w:b/>
          <w:sz w:val="24"/>
          <w:szCs w:val="24"/>
        </w:rPr>
      </w:pPr>
      <w:r>
        <w:rPr>
          <w:rStyle w:val="47"/>
          <w:rFonts w:hint="eastAsia" w:ascii="宋体" w:hAnsi="宋体" w:eastAsia="宋体" w:cs="宋体"/>
          <w:b/>
          <w:sz w:val="44"/>
        </w:rPr>
        <w:t>第四章 项目需求</w:t>
      </w:r>
      <w:bookmarkEnd w:id="5"/>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bookmarkStart w:id="6" w:name="_Toc32259"/>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一、项目用途：</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r>
        <w:rPr>
          <w:rFonts w:hint="eastAsia"/>
          <w:b w:val="0"/>
          <w:bCs w:val="0"/>
          <w:sz w:val="24"/>
          <w:szCs w:val="24"/>
          <w:lang w:val="en-US" w:eastAsia="zh-CN"/>
        </w:rPr>
        <w:t>省级虚拟仿真实训基地建设需要；</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r>
        <w:rPr>
          <w:rFonts w:hint="eastAsia"/>
          <w:b w:val="0"/>
          <w:bCs w:val="0"/>
          <w:sz w:val="24"/>
          <w:szCs w:val="24"/>
          <w:lang w:val="en-US" w:eastAsia="zh-CN"/>
        </w:rPr>
        <w:t>经贸管理学院《商务数据分析》课程建设需求；</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0" w:firstLineChars="200"/>
        <w:textAlignment w:val="baseline"/>
        <w:rPr>
          <w:rFonts w:hint="eastAsia"/>
          <w:b w:val="0"/>
          <w:bCs w:val="0"/>
          <w:sz w:val="24"/>
          <w:szCs w:val="24"/>
          <w:lang w:val="en-US" w:eastAsia="zh-CN"/>
        </w:rPr>
      </w:pPr>
      <w:r>
        <w:rPr>
          <w:rFonts w:hint="eastAsia"/>
          <w:b w:val="0"/>
          <w:bCs w:val="0"/>
          <w:sz w:val="24"/>
          <w:szCs w:val="24"/>
          <w:lang w:val="en-US" w:eastAsia="zh-CN"/>
        </w:rPr>
        <w:t>物流管理、电子商务、会计、金融专业大专生课程教学需要。</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rPr>
      </w:pPr>
      <w:r>
        <w:rPr>
          <w:rFonts w:hint="eastAsia"/>
          <w:b/>
          <w:bCs/>
          <w:sz w:val="24"/>
          <w:szCs w:val="24"/>
          <w:lang w:val="en-US" w:eastAsia="zh-CN"/>
        </w:rPr>
        <w:t>二</w:t>
      </w:r>
      <w:r>
        <w:rPr>
          <w:rFonts w:hint="eastAsia"/>
          <w:b/>
          <w:bCs/>
          <w:sz w:val="24"/>
          <w:szCs w:val="24"/>
        </w:rPr>
        <w:t>、</w:t>
      </w:r>
      <w:r>
        <w:rPr>
          <w:rFonts w:hint="eastAsia"/>
          <w:b/>
          <w:bCs/>
          <w:sz w:val="24"/>
          <w:szCs w:val="24"/>
          <w:lang w:val="en-US" w:eastAsia="zh-CN"/>
        </w:rPr>
        <w:t>项目内容</w:t>
      </w:r>
      <w:r>
        <w:rPr>
          <w:rFonts w:hint="eastAsia"/>
          <w:b/>
          <w:bCs/>
          <w:sz w:val="24"/>
          <w:szCs w:val="24"/>
        </w:rPr>
        <w:t>：</w:t>
      </w:r>
    </w:p>
    <w:tbl>
      <w:tblPr>
        <w:tblStyle w:val="22"/>
        <w:tblW w:w="96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7"/>
        <w:gridCol w:w="7406"/>
        <w:gridCol w:w="506"/>
        <w:gridCol w:w="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产品名称</w:t>
            </w:r>
          </w:p>
        </w:tc>
        <w:tc>
          <w:tcPr>
            <w:tcW w:w="7406"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技术参数</w:t>
            </w:r>
          </w:p>
        </w:tc>
        <w:tc>
          <w:tcPr>
            <w:tcW w:w="506"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单位</w:t>
            </w:r>
          </w:p>
        </w:tc>
        <w:tc>
          <w:tcPr>
            <w:tcW w:w="501"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商务数据分析与可视化平台</w:t>
            </w:r>
          </w:p>
          <w:p>
            <w:pPr>
              <w:spacing w:line="360" w:lineRule="auto"/>
              <w:jc w:val="center"/>
              <w:rPr>
                <w:rFonts w:asciiTheme="minorEastAsia" w:hAnsiTheme="minorEastAsia" w:cstheme="minorEastAsia"/>
                <w:bCs/>
                <w:sz w:val="24"/>
                <w:szCs w:val="24"/>
              </w:rPr>
            </w:pPr>
          </w:p>
        </w:tc>
        <w:tc>
          <w:tcPr>
            <w:tcW w:w="7406" w:type="dxa"/>
            <w:shd w:val="clear" w:color="auto" w:fill="auto"/>
            <w:vAlign w:val="center"/>
          </w:tcPr>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平台以商务数据分析类考试大纲、职业技能证书标准等要求为依据，配套丰富的题目组成海量题库，教师可以根据需求自由组合试卷，学生答卷后系统将自动生成一份职业能力评测报告。</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1、题库管理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1.1、题库支持自定义多级分类管理，对分类支持增加、删除、修改操作，建设好的题库可以调整所属分类。</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1.2、至少应支持单选、多选、填空、判断、简答等常见题型。</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1.3、建设题库时除可以手动录入外应支持模板导入功能，模板至少提供常用的excel格式。</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2、试卷管理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2.1、可以从题库选择试题进行组卷，支持在线修改试卷名称、排序、内容、添加、删除试题等。</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2.2、可根据知识点指定试题类型随机组合试卷。</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3、考试管理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3.1、可创建考试，对考试时间、考试时长进行设置，并指定考试人员、阅卷老师。</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4、考试阅卷</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4.1、系统自动对客观题进行机选判分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4.2、阅卷老师可对考试进行阅卷，对主观题进行人工评分，并可检查客观题判分情况，有修改客观题评分的权限。</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5、成绩统计</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5.1、针对每场考试有完整的数据统计查看正常考试的得分情况，并支持查看每位考生具体的答题情况。</w:t>
            </w:r>
          </w:p>
          <w:p>
            <w:pPr>
              <w:widowControl/>
              <w:spacing w:line="360" w:lineRule="auto"/>
              <w:rPr>
                <w:rFonts w:asciiTheme="minorEastAsia" w:hAnsiTheme="minorEastAsia" w:cstheme="minorEastAsia"/>
                <w:sz w:val="24"/>
                <w:szCs w:val="24"/>
              </w:rPr>
            </w:pPr>
            <w:r>
              <w:rPr>
                <w:rFonts w:hint="eastAsia" w:ascii="宋体" w:hAnsi="宋体" w:eastAsia="宋体" w:cs="Times New Roman"/>
                <w:kern w:val="0"/>
                <w:sz w:val="24"/>
                <w:szCs w:val="24"/>
              </w:rPr>
              <w:t>■</w:t>
            </w:r>
            <w:r>
              <w:rPr>
                <w:rFonts w:hint="eastAsia" w:asciiTheme="minorEastAsia" w:hAnsiTheme="minorEastAsia" w:cstheme="minorEastAsia"/>
                <w:sz w:val="24"/>
                <w:szCs w:val="24"/>
              </w:rPr>
              <w:t>6、软件具备1500道以上的商务数据分析训练题。</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7、商务数据分析视觉设计评测模块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7.1软件按照系统化、流程化的模式评测学生的视觉设计能力，学生须按顺序完成前一个模块的任务后才可进行下一个任务的训练。</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7.2软件具备装修规则及装修素材给学生查看，帮助学生进行店铺装修能力评测。</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7.3软件具备店招设置、电脑海报设置、店铺分类设置、店铺商品设置等模块，学生按照装修规则对店铺进行装修后。由老师进行店铺装修预览并打分。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8、商务数据分析经营策略评测模块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8.1行业数据：提供多平台，多国家的，多时间段的商务平台国家数据分析，包括可查看行业的浏览量、访问量、购买量和卖家行为。并通过图表的形式展示最新的行业数据（浏览指数、点击指数、购买力和卖家商品上新时间分布）。学生可使用数据横向对比趋势图对部分数据进行多数据横向对比。</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8.2商品数据：通过列表的形式展示品牌榜单数据（商品缩略图、商品标题、SKU、点击率、转化率、成本价和查看商品详情操作）。可查看该品牌详细的数据（品牌商品按点击指数的排名、品牌商品按转化率指数的排名、品牌商品按成本价的排名和查看该品牌商品的具体详情信息），学生可使用数据横向对比趋势图将以上数据通过折线图的形式展示出来。</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8.3物流数据：提供多国家区域的海运及空运物流数据，包括价格，时效，帮助学生进行相关物流成本测算，以便于提升商务数据运营及数据分析能力。</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8.4仓配数据：提供多国家区域的海外仓经营数据，包括租仓价格，尾程物流时效，物流订单破损率等，租仓价格费用以季度/每立方为单位通过图表呈现，帮助学生进行相关物流成本测算，以便于提升商务数据运营及数据分析能力。</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8.5汇率换算：提供多币种汇率换算，包括美元，英镑，卢布，日元，韩元等多币种汇率换算，帮助学生学习掌握汇率换算相关技能，合理制定商品价格，提高产品销售利润率。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8.6采购管理：软件提供大量的商品数据给学生进行商品采购。采购商品信息包括（品牌、商品、成本价）等操作。</w:t>
            </w:r>
            <w:r>
              <w:rPr>
                <w:rFonts w:hint="eastAsia" w:asciiTheme="minorEastAsia" w:hAnsiTheme="minorEastAsia" w:cstheme="minorEastAsia"/>
                <w:sz w:val="24"/>
                <w:szCs w:val="24"/>
              </w:rPr>
              <w:br w:type="textWrapping"/>
            </w:r>
            <w:r>
              <w:rPr>
                <w:rFonts w:hint="eastAsia" w:ascii="宋体" w:hAnsi="宋体" w:cs="宋体"/>
                <w:szCs w:val="21"/>
              </w:rPr>
              <w:t>▲</w:t>
            </w:r>
            <w:r>
              <w:rPr>
                <w:rFonts w:hint="eastAsia" w:asciiTheme="minorEastAsia" w:hAnsiTheme="minorEastAsia" w:cstheme="minorEastAsia"/>
                <w:sz w:val="24"/>
                <w:szCs w:val="24"/>
              </w:rPr>
              <w:t xml:space="preserve"> 8.7商品管理：支持多国家、多仓储、多物流多商品管理。帮助学生学习同时掌握各个国家的商品数据分配上架销售管理等技能，合理指定商品的销售策略。</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8.8店铺经营：支持多国家区域多平台店铺开设，包括亚马逊，速卖通，Ebay，Lazada，Shopee，Shopify平台，店铺开设信息资料以系统内置方式添加，帮助学生了解学习商务数据分析平台注册开店流程。支持多店铺共同经营，并且整体经营以季度为单位，按照全年四个季度进行数据分析与运营，每个季度的销售利润会结算到下一个周期的初始资金中，最终以四季度最终的总利润作为恒定标准，帮助学生体验完整的商务数据分析平台销售流程，提升商务数据分析平台运营思维。</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9.店铺营销评测模块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9.1软件具备多种类目的活动策划方案。</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■9.2店铺促销：学生可创建满减促销等店铺促销活动。并设置促销活动的名称、 优惠内容、商品等信息。</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9.3套装促销：可将多个商品打包成一个优惠套装进行促销销售。可设置单个商品的优惠金额及选定必买商品。</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9.4优惠券：可创建店铺优惠券，设置优惠券名称、优惠门槛及选定商品是否参与。</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10.店铺引流评测模块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■10.1展位广告趋势分析：通过数据横向对比趋势图将展位广告的趋势分析通过折线图的形式展现（展现次数、点击率、转化率）。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10.2展位广告地区分布：通过列表排名的形式将展位广告在各区域的点击率、转化率等信息展示出来。展示区域涵盖商务数据分析平台主流国家以及部分地区，实现广告流量精准投放。</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10.3搜索广告趋势分析：通过数据横向对比趋势图将搜索广告的趋势分析通过折线图的形式展现（展现次数、点击率、转化率）。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10.4搜索广告地区分布：通过列表排名的形式将搜索广告在各区域的点击率、转化率等信息展示出来。展示区域涵盖商务数据分析平台主流国家以及部分地区，实现广告流量精准投放。</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10.5展位广告热门搜索词：通过列表的形式将关键词、搜索量、平均出价、点击率、转化率等信息展示出来。</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10.6展位广告设置：可创建展位广告，设置广告单元的名称、通投出价、资源位（资源位名称、潜在买家数量、最低出价、平均出价、竞争热度、转化率、点击率）、定向推广设置（设置定向推广区域、定向推荐人群等信息）</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11.商务数据分析客户服务评测模块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11.1学生可查看该机器人客户目前浏览的商品信息（商品标题、商品主图、商品详情页、商品价格)。</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11.2软件通过学生回答的关键词自动判定学生答案的正确与否。从而评测学生的客户服务能力。</w:t>
            </w:r>
          </w:p>
          <w:p>
            <w:pPr>
              <w:widowControl/>
              <w:spacing w:line="360" w:lineRule="auto"/>
              <w:rPr>
                <w:rFonts w:ascii="宋体" w:hAnsi="宋体" w:eastAsia="宋体" w:cs="宋体"/>
                <w:kern w:val="0"/>
                <w:sz w:val="18"/>
                <w:szCs w:val="18"/>
              </w:rPr>
            </w:pPr>
            <w:r>
              <w:rPr>
                <w:rFonts w:hint="eastAsia" w:asciiTheme="minorEastAsia" w:hAnsiTheme="minorEastAsia" w:cstheme="minorEastAsia"/>
                <w:sz w:val="24"/>
                <w:szCs w:val="24"/>
              </w:rPr>
              <w:t>11.3 软件提供日语，韩语等小语种机器人提问，锻炼学生商务数据分析平台语言能力。</w:t>
            </w:r>
          </w:p>
        </w:tc>
        <w:tc>
          <w:tcPr>
            <w:tcW w:w="506" w:type="dxa"/>
            <w:shd w:val="clear" w:color="auto" w:fill="auto"/>
            <w:vAlign w:val="center"/>
          </w:tcPr>
          <w:p>
            <w:pPr>
              <w:spacing w:line="360" w:lineRule="auto"/>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套</w:t>
            </w:r>
          </w:p>
        </w:tc>
        <w:tc>
          <w:tcPr>
            <w:tcW w:w="501" w:type="dxa"/>
            <w:shd w:val="clear" w:color="auto" w:fill="auto"/>
            <w:vAlign w:val="center"/>
          </w:tcPr>
          <w:p>
            <w:pPr>
              <w:spacing w:line="360" w:lineRule="auto"/>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r>
    </w:tbl>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ind w:firstLine="482" w:firstLineChars="200"/>
        <w:textAlignment w:val="baseline"/>
        <w:rPr>
          <w:rFonts w:hint="eastAsia"/>
          <w:b/>
          <w:bCs/>
          <w:sz w:val="24"/>
          <w:szCs w:val="24"/>
          <w:lang w:val="en-US" w:eastAsia="zh-CN"/>
        </w:rPr>
      </w:pPr>
      <w:r>
        <w:rPr>
          <w:rFonts w:hint="eastAsia"/>
          <w:b/>
          <w:bCs/>
          <w:sz w:val="24"/>
          <w:szCs w:val="24"/>
          <w:lang w:val="en-US" w:eastAsia="zh-CN"/>
        </w:rPr>
        <w:t>三、售后服务及质保要求</w:t>
      </w:r>
    </w:p>
    <w:p>
      <w:pPr>
        <w:pStyle w:val="20"/>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eastAsia="宋体" w:cstheme="minorBidi"/>
          <w:kern w:val="2"/>
          <w:sz w:val="24"/>
          <w:szCs w:val="24"/>
          <w:lang w:val="en-US" w:eastAsia="zh-CN" w:bidi="ar-SA"/>
        </w:rPr>
        <w:t>1、中标人须提供1年的免费质量保证售后服务，提供整个软件系统终身免费使用服务。（自交货验收合格之日起计）</w:t>
      </w:r>
    </w:p>
    <w:p>
      <w:pPr>
        <w:pStyle w:val="20"/>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2</w:t>
      </w:r>
      <w:r>
        <w:rPr>
          <w:rFonts w:hint="eastAsia" w:ascii="Times New Roman" w:hAnsi="Times New Roman" w:eastAsia="宋体" w:cstheme="minorBidi"/>
          <w:kern w:val="2"/>
          <w:sz w:val="24"/>
          <w:szCs w:val="24"/>
          <w:lang w:val="en-US" w:eastAsia="zh-CN" w:bidi="ar-SA"/>
        </w:rPr>
        <w:t>、如在使用过程中发生质量问题，中标单位在接到甲方通知后在6小时内到达甲方现场提供免费上门维修服务，12小时内确保系统正常运行。</w:t>
      </w:r>
    </w:p>
    <w:p>
      <w:pPr>
        <w:pStyle w:val="20"/>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3</w:t>
      </w:r>
      <w:r>
        <w:rPr>
          <w:rFonts w:hint="eastAsia" w:ascii="Times New Roman" w:hAnsi="Times New Roman" w:eastAsia="宋体" w:cstheme="minorBidi"/>
          <w:kern w:val="2"/>
          <w:sz w:val="24"/>
          <w:szCs w:val="24"/>
          <w:lang w:val="en-US" w:eastAsia="zh-CN" w:bidi="ar-SA"/>
        </w:rPr>
        <w:t>、在质保期内，中标单位应对货物出现的质量及安全问题负责处理解决并承担一切费用。</w:t>
      </w:r>
    </w:p>
    <w:p>
      <w:pPr>
        <w:pStyle w:val="20"/>
        <w:spacing w:before="0" w:beforeAutospacing="0" w:after="0" w:afterAutospacing="0"/>
        <w:ind w:firstLine="480" w:firstLineChars="200"/>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4</w:t>
      </w:r>
      <w:r>
        <w:rPr>
          <w:rFonts w:hint="eastAsia" w:ascii="Times New Roman" w:hAnsi="Times New Roman" w:eastAsia="宋体" w:cstheme="minorBidi"/>
          <w:kern w:val="2"/>
          <w:sz w:val="24"/>
          <w:szCs w:val="24"/>
          <w:lang w:val="en-US" w:eastAsia="zh-CN" w:bidi="ar-SA"/>
        </w:rPr>
        <w:t>、中标单位须向甲方免费提供培训服务，确保使用者完全会使用及操作为止。</w:t>
      </w:r>
    </w:p>
    <w:p>
      <w:pPr>
        <w:pStyle w:val="20"/>
        <w:spacing w:before="0" w:beforeAutospacing="0" w:after="0" w:afterAutospacing="0"/>
        <w:ind w:left="479" w:leftChars="228"/>
        <w:rPr>
          <w:rFonts w:hint="eastAsia" w:ascii="Times New Roman" w:hAnsi="Times New Roman" w:eastAsia="宋体" w:cstheme="minorBidi"/>
          <w:kern w:val="2"/>
          <w:sz w:val="24"/>
          <w:szCs w:val="24"/>
          <w:lang w:val="en-US" w:eastAsia="zh-CN" w:bidi="ar-SA"/>
        </w:rPr>
      </w:pPr>
      <w:r>
        <w:rPr>
          <w:rFonts w:hint="eastAsia" w:ascii="Times New Roman" w:hAnsi="Times New Roman" w:cstheme="minorBidi"/>
          <w:kern w:val="2"/>
          <w:sz w:val="24"/>
          <w:szCs w:val="24"/>
          <w:lang w:val="en-US" w:eastAsia="zh-CN" w:bidi="ar-SA"/>
        </w:rPr>
        <w:t>5</w:t>
      </w:r>
      <w:r>
        <w:rPr>
          <w:rFonts w:hint="eastAsia" w:ascii="Times New Roman" w:hAnsi="Times New Roman" w:eastAsia="宋体" w:cstheme="minorBidi"/>
          <w:kern w:val="2"/>
          <w:sz w:val="24"/>
          <w:szCs w:val="24"/>
          <w:lang w:val="en-US" w:eastAsia="zh-CN" w:bidi="ar-SA"/>
        </w:rPr>
        <w:t>、质保期内，乙方免费提供系统升级服务。</w:t>
      </w: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2" w:firstLineChars="200"/>
        <w:jc w:val="both"/>
        <w:textAlignment w:val="baseline"/>
        <w:outlineLvl w:val="0"/>
        <w:rPr>
          <w:rFonts w:hint="eastAsia" w:ascii="Times New Roman" w:hAnsi="Times New Roman" w:cstheme="minorBidi"/>
          <w:b/>
          <w:bCs/>
          <w:kern w:val="2"/>
          <w:sz w:val="24"/>
          <w:szCs w:val="24"/>
          <w:lang w:val="en-US" w:eastAsia="zh-CN" w:bidi="ar-SA"/>
        </w:rPr>
      </w:pPr>
    </w:p>
    <w:p>
      <w:pPr>
        <w:pStyle w:val="9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ind w:firstLine="480" w:firstLineChars="200"/>
        <w:jc w:val="both"/>
        <w:textAlignment w:val="baseline"/>
        <w:outlineLvl w:val="0"/>
        <w:rPr>
          <w:rFonts w:hint="default" w:ascii="Times New Roman" w:hAnsi="Times New Roman" w:eastAsia="宋体" w:cstheme="minorBidi"/>
          <w:kern w:val="2"/>
          <w:sz w:val="24"/>
          <w:szCs w:val="24"/>
          <w:lang w:val="en-US" w:eastAsia="zh-CN" w:bidi="ar-SA"/>
        </w:rPr>
      </w:pPr>
    </w:p>
    <w:p>
      <w:pPr>
        <w:pStyle w:val="90"/>
        <w:spacing w:before="290" w:after="290"/>
        <w:jc w:val="both"/>
        <w:outlineLvl w:val="0"/>
        <w:rPr>
          <w:rStyle w:val="47"/>
          <w:rFonts w:cs="宋体"/>
          <w:b/>
          <w:sz w:val="44"/>
        </w:rPr>
      </w:pPr>
    </w:p>
    <w:p>
      <w:pPr>
        <w:pStyle w:val="90"/>
        <w:spacing w:before="290" w:after="290"/>
        <w:jc w:val="center"/>
        <w:outlineLvl w:val="0"/>
        <w:rPr>
          <w:rStyle w:val="47"/>
          <w:rFonts w:cs="宋体"/>
        </w:rPr>
      </w:pPr>
      <w:r>
        <w:rPr>
          <w:rStyle w:val="47"/>
          <w:rFonts w:hint="eastAsia" w:cs="宋体"/>
          <w:b/>
          <w:sz w:val="44"/>
        </w:rPr>
        <w:t>第五章  评标方法与评标标准</w:t>
      </w:r>
      <w:bookmarkEnd w:id="6"/>
    </w:p>
    <w:p>
      <w:pPr>
        <w:snapToGrid w:val="0"/>
        <w:spacing w:line="500" w:lineRule="exact"/>
        <w:ind w:firstLine="482" w:firstLineChars="200"/>
        <w:rPr>
          <w:rStyle w:val="47"/>
          <w:rFonts w:ascii="宋体" w:hAnsi="宋体" w:cs="宋体"/>
          <w:b/>
          <w:bCs/>
          <w:sz w:val="24"/>
          <w:szCs w:val="24"/>
        </w:rPr>
      </w:pPr>
      <w:r>
        <w:rPr>
          <w:rStyle w:val="47"/>
          <w:rFonts w:hint="eastAsia" w:ascii="宋体" w:hAnsi="宋体" w:cs="宋体"/>
          <w:b/>
          <w:bCs/>
          <w:sz w:val="24"/>
          <w:szCs w:val="24"/>
        </w:rPr>
        <w:t>一、评标方法与定标原则</w:t>
      </w:r>
    </w:p>
    <w:p>
      <w:pPr>
        <w:snapToGrid w:val="0"/>
        <w:spacing w:line="500" w:lineRule="exact"/>
        <w:ind w:firstLine="480" w:firstLineChars="200"/>
        <w:rPr>
          <w:rFonts w:ascii="宋体" w:hAnsi="宋体" w:cs="宋体"/>
          <w:bCs/>
          <w:sz w:val="24"/>
          <w:szCs w:val="24"/>
        </w:rPr>
      </w:pPr>
      <w:r>
        <w:rPr>
          <w:rFonts w:hint="eastAsia" w:ascii="宋体" w:hAnsi="宋体" w:cs="宋体"/>
          <w:bCs/>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snapToGrid w:val="0"/>
        <w:spacing w:line="500" w:lineRule="exact"/>
        <w:ind w:firstLine="480" w:firstLineChars="200"/>
        <w:rPr>
          <w:rFonts w:hint="eastAsia" w:ascii="宋体" w:hAnsi="宋体" w:eastAsia="宋体" w:cs="宋体"/>
          <w:bCs/>
          <w:sz w:val="24"/>
          <w:szCs w:val="24"/>
          <w:lang w:val="en-US" w:eastAsia="zh-CN"/>
        </w:rPr>
      </w:pPr>
      <w:r>
        <w:rPr>
          <w:rFonts w:hint="eastAsia" w:ascii="宋体" w:hAnsi="宋体" w:cs="宋体"/>
          <w:bCs/>
          <w:sz w:val="24"/>
          <w:szCs w:val="24"/>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w:t>
      </w:r>
      <w:r>
        <w:rPr>
          <w:rFonts w:hint="eastAsia" w:ascii="宋体" w:hAnsi="宋体" w:eastAsia="宋体" w:cs="宋体"/>
          <w:bCs/>
          <w:sz w:val="24"/>
          <w:szCs w:val="24"/>
        </w:rPr>
        <w:t>于成本报价</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"https://link.zhihu.com/?target=http://baike.baidu.com/view/89764.htm" \t "https://www.zhihu.com/question/_blank"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竞争</w:t>
      </w:r>
      <w:r>
        <w:rPr>
          <w:rFonts w:hint="eastAsia" w:ascii="宋体" w:hAnsi="宋体" w:eastAsia="宋体" w:cs="宋体"/>
          <w:bCs/>
          <w:sz w:val="24"/>
          <w:szCs w:val="24"/>
        </w:rPr>
        <w:fldChar w:fldCharType="end"/>
      </w:r>
      <w:r>
        <w:rPr>
          <w:rFonts w:hint="eastAsia" w:ascii="宋体" w:hAnsi="宋体" w:eastAsia="宋体" w:cs="宋体"/>
          <w:bCs/>
          <w:sz w:val="24"/>
          <w:szCs w:val="24"/>
        </w:rPr>
        <w:t>，其投标应作</w:t>
      </w:r>
      <w:r>
        <w:rPr>
          <w:rFonts w:hint="eastAsia" w:ascii="宋体" w:hAnsi="宋体" w:eastAsia="宋体" w:cs="宋体"/>
          <w:bCs/>
          <w:sz w:val="24"/>
          <w:szCs w:val="24"/>
        </w:rPr>
        <w:fldChar w:fldCharType="begin"/>
      </w:r>
      <w:r>
        <w:rPr>
          <w:rFonts w:hint="eastAsia" w:ascii="宋体" w:hAnsi="宋体" w:eastAsia="宋体" w:cs="宋体"/>
          <w:bCs/>
          <w:sz w:val="24"/>
          <w:szCs w:val="24"/>
        </w:rPr>
        <w:instrText xml:space="preserve"> HYPERLINK "https://link.zhihu.com/?target=http://baike.baidu.com/view/1281780.htm" \t "https://www.zhihu.com/question/_blank" </w:instrText>
      </w:r>
      <w:r>
        <w:rPr>
          <w:rFonts w:hint="eastAsia" w:ascii="宋体" w:hAnsi="宋体" w:eastAsia="宋体" w:cs="宋体"/>
          <w:bCs/>
          <w:sz w:val="24"/>
          <w:szCs w:val="24"/>
        </w:rPr>
        <w:fldChar w:fldCharType="separate"/>
      </w:r>
      <w:r>
        <w:rPr>
          <w:rFonts w:hint="eastAsia" w:ascii="宋体" w:hAnsi="宋体" w:eastAsia="宋体" w:cs="宋体"/>
          <w:bCs/>
          <w:sz w:val="24"/>
          <w:szCs w:val="24"/>
        </w:rPr>
        <w:t>废标</w:t>
      </w:r>
      <w:r>
        <w:rPr>
          <w:rFonts w:hint="eastAsia" w:ascii="宋体" w:hAnsi="宋体" w:eastAsia="宋体" w:cs="宋体"/>
          <w:bCs/>
          <w:sz w:val="24"/>
          <w:szCs w:val="24"/>
        </w:rPr>
        <w:fldChar w:fldCharType="end"/>
      </w:r>
      <w:r>
        <w:rPr>
          <w:rFonts w:hint="eastAsia" w:ascii="宋体" w:hAnsi="宋体" w:eastAsia="宋体" w:cs="宋体"/>
          <w:bCs/>
          <w:sz w:val="24"/>
          <w:szCs w:val="24"/>
        </w:rPr>
        <w:t>处理。</w:t>
      </w:r>
    </w:p>
    <w:p>
      <w:pPr>
        <w:snapToGrid w:val="0"/>
        <w:spacing w:line="500" w:lineRule="exact"/>
        <w:ind w:firstLine="482" w:firstLineChars="20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二、政府采购政策功能落实</w:t>
      </w:r>
    </w:p>
    <w:p>
      <w:pPr>
        <w:snapToGrid w:val="0"/>
        <w:spacing w:line="50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1、小微型企业价格扣除</w:t>
      </w:r>
    </w:p>
    <w:p>
      <w:pPr>
        <w:snapToGrid w:val="0"/>
        <w:spacing w:line="500" w:lineRule="exact"/>
        <w:ind w:firstLine="480" w:firstLineChars="200"/>
        <w:rPr>
          <w:rFonts w:ascii="宋体" w:hAnsi="宋体" w:cs="宋体"/>
          <w:bCs/>
          <w:sz w:val="24"/>
          <w:szCs w:val="24"/>
        </w:rPr>
      </w:pPr>
      <w:r>
        <w:rPr>
          <w:rFonts w:hint="eastAsia" w:ascii="宋体" w:hAnsi="宋体" w:eastAsia="宋体" w:cs="宋体"/>
          <w:bCs/>
          <w:sz w:val="24"/>
          <w:szCs w:val="24"/>
        </w:rPr>
        <w:t>（1）本项目对小型和微</w:t>
      </w:r>
      <w:r>
        <w:rPr>
          <w:rFonts w:hint="eastAsia" w:ascii="宋体" w:hAnsi="宋体" w:cs="宋体"/>
          <w:bCs/>
          <w:sz w:val="24"/>
          <w:szCs w:val="24"/>
        </w:rPr>
        <w:t>型企业产品给予10%的扣除价格，用扣除后的价格参与评审。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（2）供应商需按照采购文件的要求提供相应的《企业声明函》。</w:t>
      </w:r>
    </w:p>
    <w:p>
      <w:pPr>
        <w:pStyle w:val="20"/>
        <w:spacing w:before="0" w:beforeAutospacing="0" w:after="0" w:afterAutospacing="0"/>
        <w:ind w:firstLine="480" w:firstLineChars="200"/>
        <w:rPr>
          <w:b/>
          <w:bCs/>
          <w:color w:val="00B0F0"/>
          <w:szCs w:val="24"/>
          <w:u w:val="single"/>
        </w:rPr>
      </w:pPr>
      <w:r>
        <w:rPr>
          <w:rFonts w:hint="eastAsia"/>
          <w:bCs/>
          <w:szCs w:val="24"/>
        </w:rPr>
        <w:t>（3）企业标准请参照《关于印发中小企业划型标准规定的通知》（工信部联企业[2011]300号）文件规定及国家统计局关于印发《统计上大中小微型企业划分办法（2017）》的通知自行填写。</w:t>
      </w:r>
      <w:r>
        <w:rPr>
          <w:rFonts w:hint="eastAsia"/>
          <w:b/>
          <w:szCs w:val="24"/>
        </w:rPr>
        <w:t>本采购标的的所属行业为软件和信息技术服务业</w:t>
      </w:r>
      <w:r>
        <w:rPr>
          <w:rFonts w:hint="eastAsia"/>
          <w:bCs/>
          <w:szCs w:val="24"/>
        </w:rPr>
        <w:t>，如未按要求填写，不得享受价格扣除。</w:t>
      </w:r>
    </w:p>
    <w:p>
      <w:pPr>
        <w:snapToGrid w:val="0"/>
        <w:spacing w:line="360" w:lineRule="auto"/>
        <w:ind w:firstLine="480" w:firstLineChars="200"/>
        <w:rPr>
          <w:rFonts w:ascii="宋体" w:hAnsi="宋体" w:cs="宋体"/>
          <w:sz w:val="24"/>
          <w:szCs w:val="24"/>
        </w:rPr>
      </w:pPr>
      <w:r>
        <w:rPr>
          <w:rFonts w:hint="eastAsia" w:ascii="宋体" w:hAnsi="宋体" w:cs="宋体"/>
          <w:bCs/>
          <w:sz w:val="24"/>
          <w:szCs w:val="24"/>
        </w:rPr>
        <w:t>（4）</w:t>
      </w:r>
      <w:r>
        <w:rPr>
          <w:rFonts w:hint="eastAsia" w:ascii="宋体" w:hAnsi="宋体" w:cs="宋体"/>
          <w:b/>
          <w:bCs/>
          <w:sz w:val="24"/>
          <w:szCs w:val="24"/>
        </w:rPr>
        <w:t>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3、监狱和戒毒企业价格扣除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sz w:val="24"/>
          <w:szCs w:val="24"/>
        </w:rPr>
      </w:pPr>
      <w:r>
        <w:rPr>
          <w:rFonts w:hint="eastAsia" w:ascii="宋体" w:hAnsi="宋体" w:cs="宋体"/>
          <w:bCs/>
          <w:sz w:val="24"/>
          <w:szCs w:val="24"/>
        </w:rPr>
        <w:t>4、残疾人福利单位、监狱企业属于小型、微型企业的，不重复享受政策。</w:t>
      </w:r>
    </w:p>
    <w:p>
      <w:pPr>
        <w:snapToGrid w:val="0"/>
        <w:spacing w:line="500" w:lineRule="exact"/>
        <w:ind w:firstLine="480" w:firstLineChars="2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注意：（其中小型和微型企业、监狱企业最终投标价格均给予10%的扣除，并用扣除后的价格参与评审，参加政府采购活动的中小企业应当提供《中小企业声明函》，未填写中小企业声明函的在评审过程中不予认可）</w:t>
      </w:r>
    </w:p>
    <w:p>
      <w:pPr>
        <w:snapToGrid w:val="0"/>
        <w:spacing w:line="500" w:lineRule="exact"/>
        <w:ind w:firstLine="482" w:firstLineChars="200"/>
        <w:rPr>
          <w:rStyle w:val="47"/>
          <w:rFonts w:ascii="宋体" w:hAnsi="宋体" w:cs="宋体"/>
        </w:rPr>
      </w:pPr>
      <w:r>
        <w:rPr>
          <w:rStyle w:val="47"/>
          <w:rFonts w:hint="eastAsia" w:ascii="宋体" w:hAnsi="宋体" w:cs="宋体"/>
          <w:b/>
          <w:sz w:val="24"/>
          <w:szCs w:val="24"/>
        </w:rPr>
        <w:t>二、评标标准</w:t>
      </w:r>
    </w:p>
    <w:p>
      <w:pPr>
        <w:snapToGrid w:val="0"/>
        <w:spacing w:line="440" w:lineRule="exact"/>
        <w:ind w:firstLine="480" w:firstLineChars="200"/>
        <w:rPr>
          <w:rFonts w:ascii="宋体" w:hAnsi="宋体" w:cs="宋体"/>
          <w:sz w:val="24"/>
          <w:szCs w:val="24"/>
        </w:rPr>
      </w:pPr>
      <w:r>
        <w:rPr>
          <w:rFonts w:hint="eastAsia" w:ascii="宋体" w:hAnsi="宋体" w:cs="宋体"/>
          <w:snapToGrid w:val="0"/>
          <w:kern w:val="0"/>
          <w:sz w:val="24"/>
          <w:szCs w:val="24"/>
        </w:rPr>
        <w:t>本项目评分总分值为100分。</w:t>
      </w:r>
    </w:p>
    <w:tbl>
      <w:tblPr>
        <w:tblStyle w:val="22"/>
        <w:tblpPr w:leftFromText="180" w:rightFromText="180" w:vertAnchor="text" w:horzAnchor="page" w:tblpX="1620" w:tblpY="466"/>
        <w:tblOverlap w:val="never"/>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6668"/>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1271" w:type="dxa"/>
            <w:vAlign w:val="center"/>
          </w:tcPr>
          <w:p>
            <w:pPr>
              <w:jc w:val="center"/>
              <w:rPr>
                <w:rFonts w:ascii="宋体" w:hAnsi="宋体"/>
              </w:rPr>
            </w:pPr>
            <w:r>
              <w:rPr>
                <w:rFonts w:hint="eastAsia" w:ascii="宋体" w:hAnsi="宋体"/>
              </w:rPr>
              <w:t>项目</w:t>
            </w:r>
          </w:p>
        </w:tc>
        <w:tc>
          <w:tcPr>
            <w:tcW w:w="6668" w:type="dxa"/>
            <w:vAlign w:val="center"/>
          </w:tcPr>
          <w:p>
            <w:pPr>
              <w:jc w:val="center"/>
              <w:rPr>
                <w:rFonts w:ascii="宋体" w:hAnsi="宋体"/>
              </w:rPr>
            </w:pPr>
            <w:r>
              <w:rPr>
                <w:rFonts w:hint="eastAsia" w:ascii="宋体" w:hAnsi="宋体"/>
              </w:rPr>
              <w:t>评审标准</w:t>
            </w:r>
          </w:p>
        </w:tc>
        <w:tc>
          <w:tcPr>
            <w:tcW w:w="1232" w:type="dxa"/>
            <w:vAlign w:val="center"/>
          </w:tcPr>
          <w:p>
            <w:pPr>
              <w:jc w:val="center"/>
              <w:rPr>
                <w:rFonts w:ascii="宋体" w:hAnsi="宋体"/>
              </w:rPr>
            </w:pPr>
            <w:r>
              <w:rPr>
                <w:rFonts w:hint="eastAsia" w:ascii="宋体" w:hAnsi="宋体"/>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trPr>
        <w:tc>
          <w:tcPr>
            <w:tcW w:w="1271" w:type="dxa"/>
            <w:vAlign w:val="center"/>
          </w:tcPr>
          <w:p>
            <w:pPr>
              <w:jc w:val="center"/>
              <w:rPr>
                <w:rFonts w:ascii="宋体" w:hAnsi="宋体" w:eastAsia="宋体" w:cs="宋体"/>
                <w:sz w:val="24"/>
                <w:szCs w:val="24"/>
                <w:lang w:val="zh-CN" w:bidi="zh-CN"/>
              </w:rPr>
            </w:pPr>
            <w:r>
              <w:rPr>
                <w:rFonts w:hint="eastAsia" w:ascii="宋体" w:hAnsi="宋体" w:eastAsia="宋体" w:cs="宋体"/>
                <w:sz w:val="24"/>
                <w:szCs w:val="24"/>
                <w:lang w:val="zh-CN" w:bidi="zh-CN"/>
              </w:rPr>
              <w:t>价格</w:t>
            </w:r>
          </w:p>
        </w:tc>
        <w:tc>
          <w:tcPr>
            <w:tcW w:w="6668"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采用低价优先法计算，即满足采购文件要求且投标价格最低的投标报价为磋商基准价，其价格分为满分。其他供应商的价格分统一按照下列公式计算：</w:t>
            </w:r>
          </w:p>
          <w:p>
            <w:pPr>
              <w:rPr>
                <w:rFonts w:hint="default" w:ascii="宋体" w:hAnsi="宋体" w:eastAsia="宋体" w:cs="宋体"/>
                <w:sz w:val="24"/>
                <w:szCs w:val="24"/>
                <w:lang w:val="en-US" w:bidi="zh-CN"/>
              </w:rPr>
            </w:pPr>
            <w:r>
              <w:rPr>
                <w:rFonts w:hint="eastAsia" w:ascii="宋体" w:hAnsi="宋体" w:eastAsia="宋体" w:cs="宋体"/>
                <w:sz w:val="24"/>
                <w:szCs w:val="24"/>
                <w:lang w:bidi="zh-CN"/>
              </w:rPr>
              <w:t>投标</w:t>
            </w:r>
            <w:r>
              <w:rPr>
                <w:rFonts w:hint="eastAsia" w:ascii="宋体" w:hAnsi="宋体" w:eastAsia="宋体" w:cs="宋体"/>
                <w:sz w:val="24"/>
                <w:szCs w:val="24"/>
                <w:lang w:val="zh-CN" w:bidi="zh-CN"/>
              </w:rPr>
              <w:t>报价得分=(</w:t>
            </w:r>
            <w:r>
              <w:rPr>
                <w:rFonts w:hint="eastAsia" w:ascii="宋体" w:hAnsi="宋体" w:eastAsia="宋体" w:cs="宋体"/>
                <w:sz w:val="24"/>
                <w:szCs w:val="24"/>
                <w:lang w:bidi="zh-CN"/>
              </w:rPr>
              <w:t>投标</w:t>
            </w:r>
            <w:r>
              <w:rPr>
                <w:rFonts w:hint="eastAsia" w:ascii="宋体" w:hAnsi="宋体" w:eastAsia="宋体" w:cs="宋体"/>
                <w:sz w:val="24"/>
                <w:szCs w:val="24"/>
                <w:lang w:val="zh-CN" w:bidi="zh-CN"/>
              </w:rPr>
              <w:t>基准</w:t>
            </w:r>
            <w:r>
              <w:rPr>
                <w:rFonts w:hint="eastAsia" w:ascii="宋体" w:hAnsi="宋体" w:eastAsia="宋体" w:cs="宋体"/>
                <w:sz w:val="24"/>
                <w:szCs w:val="24"/>
                <w:lang w:bidi="zh-CN"/>
              </w:rPr>
              <w:t>价／最后投标报价)×</w:t>
            </w:r>
            <w:r>
              <w:rPr>
                <w:rFonts w:hint="eastAsia" w:ascii="宋体" w:hAnsi="宋体" w:cs="宋体"/>
                <w:sz w:val="24"/>
                <w:szCs w:val="24"/>
                <w:lang w:val="en-US" w:bidi="zh-CN"/>
              </w:rPr>
              <w:t>50</w:t>
            </w:r>
          </w:p>
          <w:p>
            <w:pPr>
              <w:rPr>
                <w:rFonts w:ascii="宋体" w:hAnsi="宋体" w:eastAsia="宋体" w:cs="宋体"/>
                <w:sz w:val="24"/>
                <w:szCs w:val="24"/>
                <w:lang w:val="zh-CN" w:bidi="zh-CN"/>
              </w:rPr>
            </w:pPr>
            <w:r>
              <w:rPr>
                <w:rFonts w:hint="eastAsia" w:ascii="宋体" w:hAnsi="宋体" w:eastAsia="宋体" w:cs="宋体"/>
                <w:sz w:val="24"/>
                <w:szCs w:val="24"/>
                <w:lang w:val="zh-CN" w:bidi="zh-CN"/>
              </w:rPr>
              <w:t>注：评审小组认为供应商的报价明显低于其他通过符合性审查供应商的报价，供应商不能证明其报价合理性的，评审小组将其作为无效报价处理。</w:t>
            </w:r>
          </w:p>
        </w:tc>
        <w:tc>
          <w:tcPr>
            <w:tcW w:w="1232" w:type="dxa"/>
            <w:vAlign w:val="center"/>
          </w:tcPr>
          <w:p>
            <w:pPr>
              <w:jc w:val="center"/>
              <w:rPr>
                <w:rFonts w:hint="default" w:ascii="宋体" w:hAnsi="宋体" w:eastAsiaTheme="minorEastAsia"/>
                <w:lang w:val="en-US" w:eastAsia="zh-CN"/>
              </w:rPr>
            </w:pPr>
            <w:r>
              <w:rPr>
                <w:rFonts w:hint="eastAsia" w:ascii="宋体" w:hAnsi="宋体"/>
                <w:color w:val="00000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参数响应</w:t>
            </w:r>
          </w:p>
        </w:tc>
        <w:tc>
          <w:tcPr>
            <w:tcW w:w="6668"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根据投标供应商对磋商文件服务要求响应程度，考察产品配置、技术参数。</w:t>
            </w:r>
          </w:p>
          <w:p>
            <w:pPr>
              <w:rPr>
                <w:rFonts w:ascii="宋体" w:hAnsi="宋体" w:eastAsia="宋体" w:cs="宋体"/>
                <w:sz w:val="24"/>
                <w:szCs w:val="24"/>
                <w:lang w:val="zh-CN" w:bidi="zh-CN"/>
              </w:rPr>
            </w:pPr>
            <w:r>
              <w:rPr>
                <w:rFonts w:hint="eastAsia" w:ascii="宋体" w:hAnsi="宋体" w:eastAsia="宋体" w:cs="宋体"/>
                <w:sz w:val="24"/>
                <w:szCs w:val="24"/>
                <w:lang w:val="zh-CN" w:bidi="zh-CN"/>
              </w:rPr>
              <w:t>要求提供“▲”条款软件功能界面截图的偏离情况，完全满足或优于的得</w:t>
            </w:r>
            <w:r>
              <w:rPr>
                <w:rFonts w:hint="eastAsia" w:ascii="宋体" w:hAnsi="宋体" w:eastAsia="宋体" w:cs="宋体"/>
                <w:sz w:val="24"/>
                <w:szCs w:val="24"/>
                <w:lang w:val="en-US" w:bidi="zh-CN"/>
              </w:rPr>
              <w:t>15</w:t>
            </w:r>
            <w:r>
              <w:rPr>
                <w:rFonts w:hint="eastAsia" w:ascii="宋体" w:hAnsi="宋体" w:eastAsia="宋体" w:cs="宋体"/>
                <w:sz w:val="24"/>
                <w:szCs w:val="24"/>
                <w:lang w:val="zh-CN" w:bidi="zh-CN"/>
              </w:rPr>
              <w:t>分，“▲”条款负偏离的每个扣</w:t>
            </w:r>
            <w:r>
              <w:rPr>
                <w:rFonts w:hint="eastAsia" w:ascii="宋体" w:hAnsi="宋体" w:eastAsia="宋体" w:cs="宋体"/>
                <w:sz w:val="24"/>
                <w:szCs w:val="24"/>
                <w:lang w:val="en-US" w:bidi="zh-CN"/>
              </w:rPr>
              <w:t>3</w:t>
            </w:r>
            <w:r>
              <w:rPr>
                <w:rFonts w:hint="eastAsia" w:ascii="宋体" w:hAnsi="宋体" w:eastAsia="宋体" w:cs="宋体"/>
                <w:sz w:val="24"/>
                <w:szCs w:val="24"/>
                <w:lang w:val="zh-CN" w:bidi="zh-CN"/>
              </w:rPr>
              <w:t>分，</w:t>
            </w:r>
            <w:r>
              <w:rPr>
                <w:rFonts w:hint="eastAsia" w:ascii="宋体" w:hAnsi="宋体" w:eastAsia="宋体" w:cs="宋体"/>
                <w:sz w:val="24"/>
                <w:szCs w:val="24"/>
                <w:lang w:bidi="zh-CN"/>
              </w:rPr>
              <w:t>不带</w:t>
            </w:r>
            <w:r>
              <w:rPr>
                <w:rFonts w:hint="eastAsia" w:ascii="宋体" w:hAnsi="宋体" w:eastAsia="宋体" w:cs="宋体"/>
                <w:sz w:val="24"/>
                <w:szCs w:val="24"/>
                <w:lang w:val="zh-CN" w:bidi="zh-CN"/>
              </w:rPr>
              <w:t>“▲”条款负偏离的每个扣</w:t>
            </w:r>
            <w:r>
              <w:rPr>
                <w:rFonts w:hint="eastAsia" w:ascii="宋体" w:hAnsi="宋体" w:eastAsia="宋体" w:cs="宋体"/>
                <w:sz w:val="24"/>
                <w:szCs w:val="24"/>
                <w:lang w:bidi="zh-CN"/>
              </w:rPr>
              <w:t>1</w:t>
            </w:r>
            <w:r>
              <w:rPr>
                <w:rFonts w:hint="eastAsia" w:ascii="宋体" w:hAnsi="宋体" w:eastAsia="宋体" w:cs="宋体"/>
                <w:sz w:val="24"/>
                <w:szCs w:val="24"/>
                <w:lang w:val="zh-CN" w:bidi="zh-CN"/>
              </w:rPr>
              <w:t>分，扣完该项分数为止；（</w:t>
            </w:r>
            <w:r>
              <w:rPr>
                <w:rFonts w:hint="eastAsia" w:ascii="宋体" w:hAnsi="宋体" w:eastAsia="宋体" w:cs="宋体"/>
                <w:sz w:val="24"/>
                <w:szCs w:val="24"/>
                <w:lang w:bidi="zh-CN"/>
              </w:rPr>
              <w:t>带</w:t>
            </w:r>
            <w:r>
              <w:rPr>
                <w:rFonts w:hint="eastAsia" w:ascii="宋体" w:hAnsi="宋体" w:eastAsia="宋体" w:cs="宋体"/>
                <w:sz w:val="24"/>
                <w:szCs w:val="24"/>
                <w:lang w:val="zh-CN" w:bidi="zh-CN"/>
              </w:rPr>
              <w:t>“▲”条款提供软件功能界面截图，不提供或未完整提供佐证材料的不得分。）</w:t>
            </w:r>
          </w:p>
        </w:tc>
        <w:tc>
          <w:tcPr>
            <w:tcW w:w="1232" w:type="dxa"/>
            <w:vAlign w:val="center"/>
          </w:tcPr>
          <w:p>
            <w:pPr>
              <w:jc w:val="center"/>
              <w:rPr>
                <w:rFonts w:hint="default" w:ascii="宋体" w:hAnsi="宋体" w:eastAsia="宋体"/>
                <w:color w:val="000000"/>
                <w:lang w:val="en-US" w:eastAsia="zh-CN"/>
              </w:rPr>
            </w:pPr>
            <w:r>
              <w:rPr>
                <w:rFonts w:hint="eastAsia" w:ascii="宋体" w:hAnsi="宋体" w:eastAsia="宋体"/>
                <w:color w:val="000000"/>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现场演示</w:t>
            </w:r>
          </w:p>
        </w:tc>
        <w:tc>
          <w:tcPr>
            <w:tcW w:w="6668" w:type="dxa"/>
            <w:vAlign w:val="center"/>
          </w:tcPr>
          <w:p>
            <w:pPr>
              <w:jc w:val="left"/>
              <w:rPr>
                <w:rFonts w:ascii="宋体" w:hAnsi="宋体" w:eastAsia="宋体" w:cs="Times New Roman"/>
                <w:kern w:val="0"/>
                <w:sz w:val="24"/>
                <w:szCs w:val="24"/>
              </w:rPr>
            </w:pPr>
            <w:r>
              <w:rPr>
                <w:rFonts w:hint="eastAsia" w:ascii="宋体" w:hAnsi="宋体" w:eastAsia="宋体" w:cs="Times New Roman"/>
                <w:kern w:val="0"/>
                <w:sz w:val="24"/>
                <w:szCs w:val="24"/>
              </w:rPr>
              <w:t>对技术参数里的标 “ ■”的内容进行逐条演示（演示时间不超过</w:t>
            </w:r>
            <w:r>
              <w:rPr>
                <w:rFonts w:hint="eastAsia" w:ascii="宋体" w:hAnsi="宋体" w:cs="Times New Roman"/>
                <w:kern w:val="0"/>
                <w:sz w:val="24"/>
                <w:szCs w:val="24"/>
                <w:lang w:val="en-US" w:eastAsia="zh-CN"/>
              </w:rPr>
              <w:t>7</w:t>
            </w:r>
            <w:r>
              <w:rPr>
                <w:rFonts w:hint="eastAsia" w:ascii="宋体" w:hAnsi="宋体" w:eastAsia="宋体" w:cs="Times New Roman"/>
                <w:kern w:val="0"/>
                <w:sz w:val="24"/>
                <w:szCs w:val="24"/>
              </w:rPr>
              <w:t>分钟）在满足采购人招标功能的前提下，评委根据演示情况进行综合判定。</w:t>
            </w:r>
          </w:p>
          <w:p>
            <w:pPr>
              <w:widowControl/>
              <w:rPr>
                <w:rFonts w:ascii="宋体" w:hAnsi="宋体" w:eastAsia="宋体" w:cs="Times New Roman"/>
                <w:kern w:val="0"/>
                <w:sz w:val="24"/>
                <w:szCs w:val="24"/>
              </w:rPr>
            </w:pPr>
            <w:r>
              <w:rPr>
                <w:rFonts w:hint="eastAsia" w:ascii="宋体" w:hAnsi="宋体" w:eastAsia="宋体" w:cs="Times New Roman"/>
                <w:kern w:val="0"/>
                <w:sz w:val="24"/>
                <w:szCs w:val="24"/>
              </w:rPr>
              <w:t>以下完全满足或优于的得</w:t>
            </w:r>
            <w:r>
              <w:rPr>
                <w:rFonts w:hint="eastAsia" w:ascii="宋体" w:hAnsi="宋体" w:eastAsia="宋体" w:cs="Times New Roman"/>
                <w:kern w:val="0"/>
                <w:sz w:val="24"/>
                <w:szCs w:val="24"/>
                <w:lang w:val="en-US" w:eastAsia="zh-CN"/>
              </w:rPr>
              <w:t>10</w:t>
            </w:r>
            <w:r>
              <w:rPr>
                <w:rFonts w:hint="eastAsia" w:ascii="宋体" w:hAnsi="宋体" w:eastAsia="宋体" w:cs="Times New Roman"/>
                <w:kern w:val="0"/>
                <w:sz w:val="24"/>
                <w:szCs w:val="24"/>
              </w:rPr>
              <w:t>分，“■”条款负偏离的每个扣</w:t>
            </w:r>
            <w:r>
              <w:rPr>
                <w:rFonts w:hint="eastAsia" w:ascii="宋体" w:hAnsi="宋体" w:eastAsia="宋体" w:cs="Times New Roman"/>
                <w:kern w:val="0"/>
                <w:sz w:val="24"/>
                <w:szCs w:val="24"/>
                <w:lang w:val="en-US" w:eastAsia="zh-CN"/>
              </w:rPr>
              <w:t>2</w:t>
            </w:r>
            <w:r>
              <w:rPr>
                <w:rFonts w:hint="eastAsia" w:ascii="宋体" w:hAnsi="宋体" w:eastAsia="宋体" w:cs="Times New Roman"/>
                <w:kern w:val="0"/>
                <w:sz w:val="24"/>
                <w:szCs w:val="24"/>
              </w:rPr>
              <w:t>分，扣完该项分数为止；</w:t>
            </w:r>
          </w:p>
          <w:p>
            <w:pPr>
              <w:jc w:val="left"/>
              <w:rPr>
                <w:rFonts w:ascii="宋体" w:hAnsi="宋体"/>
                <w:b/>
                <w:color w:val="000000"/>
                <w:sz w:val="24"/>
                <w:szCs w:val="20"/>
              </w:rPr>
            </w:pPr>
            <w:r>
              <w:rPr>
                <w:rFonts w:hint="eastAsia" w:ascii="宋体" w:hAnsi="宋体"/>
                <w:b/>
                <w:color w:val="000000"/>
                <w:sz w:val="24"/>
                <w:szCs w:val="20"/>
              </w:rPr>
              <w:t>附：重要产品演示参数及标准（演示时间</w:t>
            </w:r>
            <w:r>
              <w:rPr>
                <w:rFonts w:hint="eastAsia" w:ascii="宋体" w:hAnsi="宋体"/>
                <w:b/>
                <w:color w:val="000000"/>
                <w:sz w:val="24"/>
                <w:szCs w:val="20"/>
                <w:lang w:val="en-US" w:eastAsia="zh-CN"/>
              </w:rPr>
              <w:t>7</w:t>
            </w:r>
            <w:r>
              <w:rPr>
                <w:rFonts w:hint="eastAsia" w:ascii="宋体" w:hAnsi="宋体"/>
                <w:b/>
                <w:color w:val="000000"/>
                <w:sz w:val="24"/>
                <w:szCs w:val="20"/>
              </w:rPr>
              <w:t>分钟）</w:t>
            </w:r>
          </w:p>
          <w:p>
            <w:pPr>
              <w:rPr>
                <w:rFonts w:ascii="宋体" w:hAnsi="宋体"/>
                <w:b/>
                <w:color w:val="000000"/>
                <w:sz w:val="24"/>
                <w:szCs w:val="20"/>
              </w:rPr>
            </w:pPr>
            <w:r>
              <w:rPr>
                <w:rFonts w:hint="eastAsia" w:ascii="宋体" w:hAnsi="宋体"/>
                <w:b/>
                <w:color w:val="000000"/>
                <w:sz w:val="24"/>
                <w:szCs w:val="20"/>
              </w:rPr>
              <w:t xml:space="preserve">演示内容及要求说明： </w:t>
            </w:r>
          </w:p>
          <w:p>
            <w:pPr>
              <w:rPr>
                <w:rFonts w:ascii="宋体" w:hAnsi="宋体"/>
                <w:b/>
                <w:color w:val="000000"/>
                <w:sz w:val="24"/>
                <w:szCs w:val="20"/>
              </w:rPr>
            </w:pPr>
            <w:r>
              <w:rPr>
                <w:rFonts w:hint="eastAsia" w:ascii="宋体" w:hAnsi="宋体"/>
                <w:b/>
                <w:color w:val="000000"/>
                <w:sz w:val="24"/>
                <w:szCs w:val="20"/>
              </w:rPr>
              <w:t>（1）现场演示的说明：</w:t>
            </w:r>
          </w:p>
          <w:p>
            <w:pPr>
              <w:rPr>
                <w:rFonts w:ascii="宋体" w:hAnsi="宋体"/>
                <w:b/>
                <w:color w:val="000000"/>
                <w:sz w:val="24"/>
                <w:szCs w:val="20"/>
              </w:rPr>
            </w:pPr>
            <w:r>
              <w:rPr>
                <w:rFonts w:hint="eastAsia" w:ascii="宋体" w:hAnsi="宋体"/>
                <w:b/>
                <w:color w:val="000000"/>
                <w:sz w:val="24"/>
                <w:szCs w:val="20"/>
              </w:rPr>
              <w:t>演示内容见“采购项目技术要求”，演示时间限定在</w:t>
            </w:r>
            <w:r>
              <w:rPr>
                <w:rFonts w:hint="eastAsia" w:ascii="宋体" w:hAnsi="宋体"/>
                <w:b/>
                <w:color w:val="000000"/>
                <w:sz w:val="24"/>
                <w:szCs w:val="20"/>
                <w:lang w:val="en-US" w:eastAsia="zh-CN"/>
              </w:rPr>
              <w:t>7</w:t>
            </w:r>
            <w:r>
              <w:rPr>
                <w:rFonts w:hint="eastAsia" w:ascii="宋体" w:hAnsi="宋体"/>
                <w:b/>
                <w:color w:val="000000"/>
                <w:sz w:val="24"/>
                <w:szCs w:val="20"/>
              </w:rPr>
              <w:t>分钟内。本次现场演示</w:t>
            </w:r>
            <w:r>
              <w:rPr>
                <w:rFonts w:hint="eastAsia" w:ascii="宋体" w:hAnsi="宋体"/>
                <w:b/>
                <w:color w:val="000000"/>
                <w:sz w:val="24"/>
                <w:szCs w:val="20"/>
                <w:lang w:eastAsia="zh-CN"/>
              </w:rPr>
              <w:t>投标供应商</w:t>
            </w:r>
            <w:r>
              <w:rPr>
                <w:rFonts w:hint="eastAsia" w:ascii="宋体" w:hAnsi="宋体"/>
                <w:b/>
                <w:color w:val="000000"/>
                <w:sz w:val="24"/>
                <w:szCs w:val="20"/>
              </w:rPr>
              <w:t>须自备本次所使用的电脑及其他配套设备。</w:t>
            </w:r>
          </w:p>
          <w:p>
            <w:pPr>
              <w:rPr>
                <w:rFonts w:ascii="宋体" w:hAnsi="宋体"/>
                <w:b/>
                <w:color w:val="000000"/>
                <w:sz w:val="24"/>
                <w:szCs w:val="20"/>
              </w:rPr>
            </w:pPr>
            <w:r>
              <w:rPr>
                <w:rFonts w:hint="eastAsia" w:ascii="宋体" w:hAnsi="宋体"/>
                <w:b/>
                <w:color w:val="000000"/>
                <w:sz w:val="24"/>
                <w:szCs w:val="20"/>
              </w:rPr>
              <w:t>（2）现场演示注意事项：</w:t>
            </w:r>
          </w:p>
          <w:p>
            <w:pPr>
              <w:rPr>
                <w:rFonts w:ascii="宋体" w:hAnsi="宋体"/>
                <w:b/>
                <w:color w:val="000000"/>
                <w:sz w:val="24"/>
                <w:szCs w:val="20"/>
              </w:rPr>
            </w:pPr>
            <w:r>
              <w:rPr>
                <w:rFonts w:hint="eastAsia" w:ascii="宋体" w:hAnsi="宋体"/>
                <w:b/>
                <w:color w:val="000000"/>
                <w:sz w:val="24"/>
                <w:szCs w:val="20"/>
              </w:rPr>
              <w:t>1、</w:t>
            </w:r>
            <w:r>
              <w:rPr>
                <w:rFonts w:hint="eastAsia" w:ascii="宋体" w:hAnsi="宋体"/>
                <w:b/>
                <w:color w:val="000000"/>
                <w:sz w:val="24"/>
                <w:szCs w:val="20"/>
                <w:lang w:eastAsia="zh-CN"/>
              </w:rPr>
              <w:t>投标供应商</w:t>
            </w:r>
            <w:r>
              <w:rPr>
                <w:rFonts w:hint="eastAsia" w:ascii="宋体" w:hAnsi="宋体"/>
                <w:b/>
                <w:color w:val="000000"/>
                <w:sz w:val="24"/>
                <w:szCs w:val="20"/>
              </w:rPr>
              <w:t>演示的内容不得与本项目采购内容无关。</w:t>
            </w:r>
          </w:p>
          <w:p>
            <w:pPr>
              <w:rPr>
                <w:rFonts w:ascii="宋体" w:hAnsi="宋体"/>
                <w:b/>
                <w:color w:val="000000"/>
                <w:sz w:val="24"/>
                <w:szCs w:val="20"/>
              </w:rPr>
            </w:pPr>
            <w:r>
              <w:rPr>
                <w:rFonts w:hint="eastAsia" w:ascii="宋体" w:hAnsi="宋体"/>
                <w:b/>
                <w:color w:val="000000"/>
                <w:sz w:val="24"/>
                <w:szCs w:val="20"/>
              </w:rPr>
              <w:t>2、在演示过程中，</w:t>
            </w:r>
            <w:r>
              <w:rPr>
                <w:rFonts w:hint="eastAsia" w:ascii="宋体" w:hAnsi="宋体"/>
                <w:b/>
                <w:color w:val="000000"/>
                <w:sz w:val="24"/>
                <w:szCs w:val="20"/>
                <w:lang w:eastAsia="zh-CN"/>
              </w:rPr>
              <w:t>投标供应商</w:t>
            </w:r>
            <w:r>
              <w:rPr>
                <w:rFonts w:hint="eastAsia" w:ascii="宋体" w:hAnsi="宋体"/>
                <w:b/>
                <w:color w:val="000000"/>
                <w:sz w:val="24"/>
                <w:szCs w:val="20"/>
              </w:rPr>
              <w:t>不能补充提交响应文件以外的资料，评审小组不接收任何响应文件以外的资料。</w:t>
            </w:r>
          </w:p>
          <w:p>
            <w:r>
              <w:rPr>
                <w:rFonts w:hint="eastAsia" w:ascii="宋体" w:hAnsi="宋体"/>
                <w:b/>
                <w:color w:val="000000"/>
                <w:sz w:val="24"/>
                <w:szCs w:val="20"/>
              </w:rPr>
              <w:t>3、在演示过程中，评审小组不对</w:t>
            </w:r>
            <w:r>
              <w:rPr>
                <w:rFonts w:hint="eastAsia" w:ascii="宋体" w:hAnsi="宋体"/>
                <w:b/>
                <w:color w:val="000000"/>
                <w:sz w:val="24"/>
                <w:szCs w:val="20"/>
                <w:lang w:eastAsia="zh-CN"/>
              </w:rPr>
              <w:t>投标供应商</w:t>
            </w:r>
            <w:r>
              <w:rPr>
                <w:rFonts w:hint="eastAsia" w:ascii="宋体" w:hAnsi="宋体"/>
                <w:b/>
                <w:color w:val="000000"/>
                <w:sz w:val="24"/>
                <w:szCs w:val="20"/>
              </w:rPr>
              <w:t>的提问进行任何回答或解释说明，但可对</w:t>
            </w:r>
            <w:r>
              <w:rPr>
                <w:rFonts w:hint="eastAsia" w:ascii="宋体" w:hAnsi="宋体"/>
                <w:b/>
                <w:color w:val="000000"/>
                <w:sz w:val="24"/>
                <w:szCs w:val="20"/>
                <w:lang w:eastAsia="zh-CN"/>
              </w:rPr>
              <w:t>投标供应商</w:t>
            </w:r>
            <w:r>
              <w:rPr>
                <w:rFonts w:hint="eastAsia" w:ascii="宋体" w:hAnsi="宋体"/>
                <w:b/>
                <w:color w:val="000000"/>
                <w:sz w:val="24"/>
                <w:szCs w:val="20"/>
              </w:rPr>
              <w:t>提出演示要求或要求解释相关问题。</w:t>
            </w:r>
          </w:p>
        </w:tc>
        <w:tc>
          <w:tcPr>
            <w:tcW w:w="1232" w:type="dxa"/>
            <w:vAlign w:val="center"/>
          </w:tcPr>
          <w:p>
            <w:pPr>
              <w:jc w:val="center"/>
              <w:rPr>
                <w:rFonts w:hint="default" w:ascii="宋体" w:hAnsi="宋体" w:eastAsia="宋体"/>
                <w:color w:val="000000"/>
                <w:lang w:val="en-US" w:eastAsia="zh-CN"/>
              </w:rPr>
            </w:pPr>
            <w:r>
              <w:rPr>
                <w:rFonts w:hint="eastAsia"/>
                <w:color w:val="00000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restart"/>
            <w:vAlign w:val="center"/>
          </w:tcPr>
          <w:p>
            <w:pPr>
              <w:rPr>
                <w:rFonts w:ascii="宋体" w:hAnsi="宋体" w:eastAsia="宋体" w:cs="宋体"/>
                <w:sz w:val="24"/>
                <w:szCs w:val="24"/>
                <w:lang w:bidi="zh-CN"/>
              </w:rPr>
            </w:pPr>
            <w:r>
              <w:rPr>
                <w:rFonts w:hint="eastAsia" w:ascii="宋体" w:hAnsi="宋体" w:eastAsia="宋体" w:cs="宋体"/>
                <w:sz w:val="24"/>
                <w:szCs w:val="24"/>
                <w:lang w:bidi="zh-CN"/>
              </w:rPr>
              <w:t>企业实力</w:t>
            </w:r>
          </w:p>
        </w:tc>
        <w:tc>
          <w:tcPr>
            <w:tcW w:w="6668" w:type="dxa"/>
          </w:tcPr>
          <w:p>
            <w:pPr>
              <w:pStyle w:val="171"/>
              <w:rPr>
                <w:rFonts w:ascii="宋体" w:hAnsi="宋体" w:eastAsia="宋体" w:cs="Times New Roman"/>
                <w:color w:val="auto"/>
                <w:kern w:val="0"/>
                <w:szCs w:val="24"/>
              </w:rPr>
            </w:pPr>
            <w:r>
              <w:rPr>
                <w:rFonts w:hint="eastAsia" w:ascii="宋体" w:hAnsi="宋体" w:eastAsia="宋体" w:cs="Times New Roman"/>
                <w:color w:val="auto"/>
                <w:kern w:val="0"/>
                <w:szCs w:val="24"/>
              </w:rPr>
              <w:t>投标供应商具有出版教材的能力或者与具有出版教材的能力出版社有合作协议，</w:t>
            </w:r>
            <w:r>
              <w:rPr>
                <w:rFonts w:hint="eastAsia" w:ascii="宋体" w:hAnsi="宋体" w:eastAsia="宋体" w:cs="宋体"/>
                <w:szCs w:val="24"/>
              </w:rPr>
              <w:t>提供一个得</w:t>
            </w:r>
            <w:r>
              <w:rPr>
                <w:rFonts w:hint="eastAsia" w:ascii="宋体" w:hAnsi="宋体" w:eastAsia="宋体" w:cs="宋体"/>
                <w:szCs w:val="24"/>
                <w:lang w:val="en-US" w:eastAsia="zh-CN"/>
              </w:rPr>
              <w:t>1</w:t>
            </w:r>
            <w:r>
              <w:rPr>
                <w:rFonts w:hint="eastAsia" w:ascii="宋体" w:hAnsi="宋体" w:eastAsia="宋体" w:cs="宋体"/>
                <w:szCs w:val="24"/>
              </w:rPr>
              <w:t>分，最高得</w:t>
            </w:r>
            <w:r>
              <w:rPr>
                <w:rFonts w:hint="eastAsia" w:ascii="宋体" w:hAnsi="宋体" w:eastAsia="宋体" w:cs="宋体"/>
                <w:szCs w:val="24"/>
                <w:lang w:val="en-US" w:eastAsia="zh-CN"/>
              </w:rPr>
              <w:t>3</w:t>
            </w:r>
            <w:r>
              <w:rPr>
                <w:rFonts w:hint="eastAsia" w:ascii="宋体" w:hAnsi="宋体" w:eastAsia="宋体" w:cs="宋体"/>
                <w:szCs w:val="24"/>
              </w:rPr>
              <w:t>分。（提供证明材料或合作协议复印件加盖公章，否则不得分）</w:t>
            </w:r>
          </w:p>
        </w:tc>
        <w:tc>
          <w:tcPr>
            <w:tcW w:w="1232" w:type="dxa"/>
            <w:vAlign w:val="center"/>
          </w:tcPr>
          <w:p>
            <w:pPr>
              <w:jc w:val="center"/>
              <w:rPr>
                <w:rFonts w:hint="eastAsia" w:ascii="宋体" w:hAnsi="宋体" w:eastAsia="宋体"/>
                <w:lang w:eastAsia="zh-CN"/>
              </w:rPr>
            </w:pPr>
            <w:r>
              <w:rPr>
                <w:rFonts w:hint="eastAsia" w:hAnsi="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continue"/>
            <w:vAlign w:val="center"/>
          </w:tcPr>
          <w:p>
            <w:pPr>
              <w:rPr>
                <w:rFonts w:ascii="宋体" w:hAnsi="宋体" w:eastAsia="宋体" w:cs="宋体"/>
                <w:sz w:val="24"/>
                <w:szCs w:val="24"/>
                <w:lang w:val="zh-CN" w:bidi="zh-CN"/>
              </w:rPr>
            </w:pPr>
          </w:p>
        </w:tc>
        <w:tc>
          <w:tcPr>
            <w:tcW w:w="6668" w:type="dxa"/>
          </w:tcPr>
          <w:p>
            <w:pPr>
              <w:pStyle w:val="171"/>
              <w:rPr>
                <w:rFonts w:hint="eastAsia" w:ascii="宋体" w:hAnsi="宋体" w:eastAsia="宋体" w:cs="Times New Roman"/>
                <w:color w:val="000000" w:themeColor="text1"/>
                <w:kern w:val="0"/>
                <w:szCs w:val="24"/>
                <w14:textFill>
                  <w14:solidFill>
                    <w14:schemeClr w14:val="tx1"/>
                  </w14:solidFill>
                </w14:textFill>
              </w:rPr>
            </w:pPr>
            <w:r>
              <w:rPr>
                <w:rFonts w:hint="eastAsia" w:ascii="宋体" w:hAnsi="宋体" w:eastAsia="宋体" w:cs="Times New Roman"/>
                <w:color w:val="000000" w:themeColor="text1"/>
                <w:kern w:val="0"/>
                <w:szCs w:val="24"/>
                <w:lang w:val="en-US" w:eastAsia="zh-CN"/>
                <w14:textFill>
                  <w14:solidFill>
                    <w14:schemeClr w14:val="tx1"/>
                  </w14:solidFill>
                </w14:textFill>
              </w:rPr>
              <w:t>2020年1月1日以来</w:t>
            </w:r>
            <w:r>
              <w:rPr>
                <w:rFonts w:hint="eastAsia" w:ascii="宋体" w:hAnsi="宋体" w:eastAsia="宋体" w:cs="Times New Roman"/>
                <w:color w:val="000000" w:themeColor="text1"/>
                <w:kern w:val="0"/>
                <w:szCs w:val="24"/>
                <w14:textFill>
                  <w14:solidFill>
                    <w14:schemeClr w14:val="tx1"/>
                  </w14:solidFill>
                </w14:textFill>
              </w:rPr>
              <w:t>投标供应商作为国家级</w:t>
            </w:r>
            <w:r>
              <w:rPr>
                <w:rFonts w:hint="eastAsia" w:ascii="宋体" w:hAnsi="宋体" w:eastAsia="宋体" w:cs="Times New Roman"/>
                <w:color w:val="000000" w:themeColor="text1"/>
                <w:kern w:val="0"/>
                <w:szCs w:val="24"/>
                <w:lang w:val="en-US" w:eastAsia="zh-CN"/>
                <w14:textFill>
                  <w14:solidFill>
                    <w14:schemeClr w14:val="tx1"/>
                  </w14:solidFill>
                </w14:textFill>
              </w:rPr>
              <w:t>或者省级</w:t>
            </w:r>
            <w:r>
              <w:rPr>
                <w:rFonts w:hint="eastAsia" w:ascii="宋体" w:hAnsi="宋体" w:eastAsia="宋体" w:cs="Times New Roman"/>
                <w:color w:val="000000" w:themeColor="text1"/>
                <w:kern w:val="0"/>
                <w:szCs w:val="24"/>
                <w14:textFill>
                  <w14:solidFill>
                    <w14:schemeClr w14:val="tx1"/>
                  </w14:solidFill>
                </w14:textFill>
              </w:rPr>
              <w:t>赛事技术支持单位的，每提供一个证明文件得</w:t>
            </w:r>
            <w:r>
              <w:rPr>
                <w:rFonts w:hint="eastAsia" w:ascii="宋体" w:hAnsi="宋体" w:eastAsia="宋体" w:cs="Times New Roman"/>
                <w:color w:val="000000" w:themeColor="text1"/>
                <w:kern w:val="0"/>
                <w:szCs w:val="24"/>
                <w:lang w:val="en-US" w:eastAsia="zh-CN"/>
                <w14:textFill>
                  <w14:solidFill>
                    <w14:schemeClr w14:val="tx1"/>
                  </w14:solidFill>
                </w14:textFill>
              </w:rPr>
              <w:t>1</w:t>
            </w:r>
            <w:r>
              <w:rPr>
                <w:rFonts w:hint="eastAsia" w:ascii="宋体" w:hAnsi="宋体" w:eastAsia="宋体" w:cs="Times New Roman"/>
                <w:color w:val="000000" w:themeColor="text1"/>
                <w:kern w:val="0"/>
                <w:szCs w:val="24"/>
                <w14:textFill>
                  <w14:solidFill>
                    <w14:schemeClr w14:val="tx1"/>
                  </w14:solidFill>
                </w14:textFill>
              </w:rPr>
              <w:t>分</w:t>
            </w:r>
            <w:r>
              <w:rPr>
                <w:rFonts w:hint="eastAsia" w:ascii="宋体" w:hAnsi="宋体" w:eastAsia="宋体" w:cs="Times New Roman"/>
                <w:color w:val="000000" w:themeColor="text1"/>
                <w:kern w:val="0"/>
                <w:szCs w:val="24"/>
                <w:lang w:eastAsia="zh-CN"/>
                <w14:textFill>
                  <w14:solidFill>
                    <w14:schemeClr w14:val="tx1"/>
                  </w14:solidFill>
                </w14:textFill>
              </w:rPr>
              <w:t>，</w:t>
            </w:r>
            <w:r>
              <w:rPr>
                <w:rFonts w:hint="eastAsia" w:ascii="宋体" w:hAnsi="宋体" w:eastAsia="宋体" w:cs="Times New Roman"/>
                <w:color w:val="000000" w:themeColor="text1"/>
                <w:kern w:val="0"/>
                <w:szCs w:val="24"/>
                <w14:textFill>
                  <w14:solidFill>
                    <w14:schemeClr w14:val="tx1"/>
                  </w14:solidFill>
                </w14:textFill>
              </w:rPr>
              <w:t>最高得</w:t>
            </w:r>
            <w:r>
              <w:rPr>
                <w:rFonts w:hint="eastAsia" w:ascii="宋体" w:hAnsi="宋体" w:eastAsia="宋体" w:cs="Times New Roman"/>
                <w:color w:val="000000" w:themeColor="text1"/>
                <w:kern w:val="0"/>
                <w:szCs w:val="24"/>
                <w:lang w:val="en-US" w:eastAsia="zh-CN"/>
                <w14:textFill>
                  <w14:solidFill>
                    <w14:schemeClr w14:val="tx1"/>
                  </w14:solidFill>
                </w14:textFill>
              </w:rPr>
              <w:t>3</w:t>
            </w:r>
            <w:r>
              <w:rPr>
                <w:rFonts w:hint="eastAsia" w:ascii="宋体" w:hAnsi="宋体" w:eastAsia="宋体" w:cs="Times New Roman"/>
                <w:color w:val="000000" w:themeColor="text1"/>
                <w:kern w:val="0"/>
                <w:szCs w:val="24"/>
                <w14:textFill>
                  <w14:solidFill>
                    <w14:schemeClr w14:val="tx1"/>
                  </w14:solidFill>
                </w14:textFill>
              </w:rPr>
              <w:t>分。</w:t>
            </w:r>
          </w:p>
          <w:p>
            <w:pPr>
              <w:pStyle w:val="171"/>
              <w:rPr>
                <w:rFonts w:hint="eastAsia" w:ascii="宋体" w:hAnsi="宋体" w:eastAsia="宋体" w:cs="Times New Roman"/>
                <w:color w:val="auto"/>
                <w:kern w:val="0"/>
                <w:szCs w:val="24"/>
              </w:rPr>
            </w:pPr>
            <w:r>
              <w:rPr>
                <w:rFonts w:hint="eastAsia" w:ascii="宋体" w:hAnsi="宋体" w:eastAsia="宋体" w:cs="Times New Roman"/>
                <w:color w:val="000000" w:themeColor="text1"/>
                <w:kern w:val="0"/>
                <w:szCs w:val="24"/>
                <w14:textFill>
                  <w14:solidFill>
                    <w14:schemeClr w14:val="tx1"/>
                  </w14:solidFill>
                </w14:textFill>
              </w:rPr>
              <w:t>（提供证明材料复印件加盖</w:t>
            </w:r>
            <w:r>
              <w:rPr>
                <w:rFonts w:hint="eastAsia" w:ascii="宋体" w:hAnsi="宋体" w:eastAsia="宋体" w:cs="Times New Roman"/>
                <w:color w:val="000000" w:themeColor="text1"/>
                <w:kern w:val="0"/>
                <w:szCs w:val="24"/>
                <w:lang w:val="en-US" w:eastAsia="zh-CN"/>
                <w14:textFill>
                  <w14:solidFill>
                    <w14:schemeClr w14:val="tx1"/>
                  </w14:solidFill>
                </w14:textFill>
              </w:rPr>
              <w:t>投标单位</w:t>
            </w:r>
            <w:r>
              <w:rPr>
                <w:rFonts w:hint="eastAsia" w:ascii="宋体" w:hAnsi="宋体" w:eastAsia="宋体" w:cs="Times New Roman"/>
                <w:color w:val="000000" w:themeColor="text1"/>
                <w:kern w:val="0"/>
                <w:szCs w:val="24"/>
                <w14:textFill>
                  <w14:solidFill>
                    <w14:schemeClr w14:val="tx1"/>
                  </w14:solidFill>
                </w14:textFill>
              </w:rPr>
              <w:t>公章，否则不得分。）</w:t>
            </w:r>
          </w:p>
        </w:tc>
        <w:tc>
          <w:tcPr>
            <w:tcW w:w="1232" w:type="dxa"/>
            <w:vAlign w:val="center"/>
          </w:tcPr>
          <w:p>
            <w:pPr>
              <w:jc w:val="center"/>
              <w:rPr>
                <w:rFonts w:hint="eastAsia" w:ascii="宋体" w:hAnsi="宋体" w:eastAsia="宋体"/>
                <w:lang w:eastAsia="zh-CN"/>
              </w:rPr>
            </w:pPr>
            <w:r>
              <w:rPr>
                <w:rFonts w:hint="eastAsia" w:hAnsi="宋体" w:eastAsia="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71" w:type="dxa"/>
            <w:vMerge w:val="continue"/>
            <w:vAlign w:val="center"/>
          </w:tcPr>
          <w:p>
            <w:pPr>
              <w:rPr>
                <w:rFonts w:ascii="宋体" w:hAnsi="宋体" w:eastAsia="宋体" w:cs="宋体"/>
                <w:sz w:val="24"/>
                <w:szCs w:val="24"/>
                <w:lang w:val="zh-CN" w:bidi="zh-CN"/>
              </w:rPr>
            </w:pPr>
          </w:p>
        </w:tc>
        <w:tc>
          <w:tcPr>
            <w:tcW w:w="6668" w:type="dxa"/>
            <w:vAlign w:val="center"/>
          </w:tcPr>
          <w:p>
            <w:pPr>
              <w:pStyle w:val="9"/>
              <w:spacing w:line="400" w:lineRule="exact"/>
              <w:ind w:firstLine="0" w:firstLineChars="0"/>
              <w:jc w:val="both"/>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投标供应商提供本次投标相关的系统软件著作权证书的，每提供一份得1分，最高得</w:t>
            </w:r>
            <w:r>
              <w:rPr>
                <w:rFonts w:hint="eastAsia" w:ascii="宋体" w:hAnsi="宋体" w:cs="Times New Roman"/>
                <w:color w:val="auto"/>
                <w:kern w:val="0"/>
                <w:sz w:val="24"/>
                <w:szCs w:val="24"/>
                <w:lang w:val="en-US" w:eastAsia="zh-CN" w:bidi="ar-SA"/>
              </w:rPr>
              <w:t>3</w:t>
            </w:r>
            <w:r>
              <w:rPr>
                <w:rFonts w:hint="eastAsia" w:ascii="宋体" w:hAnsi="宋体" w:eastAsia="宋体" w:cs="Times New Roman"/>
                <w:color w:val="auto"/>
                <w:kern w:val="0"/>
                <w:sz w:val="24"/>
                <w:szCs w:val="24"/>
                <w:lang w:val="en-US" w:eastAsia="zh-CN" w:bidi="ar-SA"/>
              </w:rPr>
              <w:t>分。</w:t>
            </w:r>
          </w:p>
          <w:p>
            <w:pPr>
              <w:pStyle w:val="9"/>
              <w:spacing w:line="400" w:lineRule="exact"/>
              <w:ind w:firstLine="0" w:firstLineChars="0"/>
              <w:jc w:val="both"/>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（提供证书复印件加盖</w:t>
            </w:r>
            <w:r>
              <w:rPr>
                <w:rFonts w:hint="eastAsia" w:ascii="宋体" w:hAnsi="宋体" w:cs="Times New Roman"/>
                <w:color w:val="auto"/>
                <w:kern w:val="0"/>
                <w:sz w:val="24"/>
                <w:szCs w:val="24"/>
                <w:lang w:val="en-US" w:eastAsia="zh-CN" w:bidi="ar-SA"/>
              </w:rPr>
              <w:t>投标单位</w:t>
            </w:r>
            <w:r>
              <w:rPr>
                <w:rFonts w:hint="eastAsia" w:ascii="宋体" w:hAnsi="宋体" w:eastAsia="宋体" w:cs="Times New Roman"/>
                <w:color w:val="auto"/>
                <w:kern w:val="0"/>
                <w:sz w:val="24"/>
                <w:szCs w:val="24"/>
                <w:lang w:val="en-US" w:eastAsia="zh-CN" w:bidi="ar-SA"/>
              </w:rPr>
              <w:t>公章，否则不得分）</w:t>
            </w:r>
          </w:p>
        </w:tc>
        <w:tc>
          <w:tcPr>
            <w:tcW w:w="1232" w:type="dxa"/>
            <w:vAlign w:val="center"/>
          </w:tcPr>
          <w:p>
            <w:pPr>
              <w:jc w:val="center"/>
              <w:rPr>
                <w:rFonts w:hint="eastAsia" w:ascii="宋体" w:hAnsi="宋体" w:eastAsia="宋体"/>
                <w:lang w:eastAsia="zh-CN"/>
              </w:rPr>
            </w:pPr>
            <w:r>
              <w:rPr>
                <w:rFonts w:hint="eastAsia" w:ascii="宋体" w:hAnsi="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restart"/>
            <w:vAlign w:val="center"/>
          </w:tcPr>
          <w:p>
            <w:pPr>
              <w:rPr>
                <w:rFonts w:ascii="宋体" w:hAnsi="宋体" w:eastAsia="宋体" w:cs="宋体"/>
                <w:sz w:val="24"/>
                <w:szCs w:val="24"/>
                <w:lang w:bidi="zh-CN"/>
              </w:rPr>
            </w:pPr>
            <w:r>
              <w:rPr>
                <w:rFonts w:hint="eastAsia" w:ascii="宋体" w:hAnsi="宋体" w:eastAsia="宋体" w:cs="宋体"/>
                <w:sz w:val="24"/>
                <w:szCs w:val="24"/>
                <w:lang w:bidi="zh-CN"/>
              </w:rPr>
              <w:t>能力与业绩</w:t>
            </w:r>
          </w:p>
        </w:tc>
        <w:tc>
          <w:tcPr>
            <w:tcW w:w="6668" w:type="dxa"/>
            <w:vAlign w:val="center"/>
          </w:tcPr>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Hans" w:bidi="ar-SA"/>
              </w:rPr>
              <w:t>投标供应商具有有效期内的质量管理体系认证证书、环境管理体系认证证书、职业健康安全管理体系认证</w:t>
            </w:r>
            <w:r>
              <w:rPr>
                <w:rFonts w:hint="eastAsia" w:ascii="宋体" w:hAnsi="宋体" w:eastAsia="宋体" w:cs="Times New Roman"/>
                <w:color w:val="auto"/>
                <w:kern w:val="0"/>
                <w:sz w:val="24"/>
                <w:szCs w:val="24"/>
                <w:lang w:val="zh-CN" w:eastAsia="zh-CN" w:bidi="ar-SA"/>
              </w:rPr>
              <w:t>证书，每提供一个得</w:t>
            </w:r>
            <w:r>
              <w:rPr>
                <w:rFonts w:hint="eastAsia" w:ascii="宋体" w:hAnsi="宋体" w:eastAsia="宋体" w:cs="Times New Roman"/>
                <w:color w:val="auto"/>
                <w:kern w:val="0"/>
                <w:sz w:val="24"/>
                <w:szCs w:val="24"/>
                <w:lang w:val="en-US" w:eastAsia="zh-CN" w:bidi="ar-SA"/>
              </w:rPr>
              <w:t>1</w:t>
            </w:r>
            <w:r>
              <w:rPr>
                <w:rFonts w:hint="eastAsia" w:ascii="宋体" w:hAnsi="宋体" w:eastAsia="宋体" w:cs="Times New Roman"/>
                <w:color w:val="auto"/>
                <w:kern w:val="0"/>
                <w:sz w:val="24"/>
                <w:szCs w:val="24"/>
                <w:lang w:val="zh-CN" w:eastAsia="zh-CN" w:bidi="ar-SA"/>
              </w:rPr>
              <w:t>分，最高得</w:t>
            </w:r>
            <w:r>
              <w:rPr>
                <w:rFonts w:hint="eastAsia" w:ascii="宋体" w:hAnsi="宋体" w:cs="Times New Roman"/>
                <w:color w:val="auto"/>
                <w:kern w:val="0"/>
                <w:sz w:val="24"/>
                <w:szCs w:val="24"/>
                <w:lang w:val="en-US" w:eastAsia="zh-CN" w:bidi="ar-SA"/>
              </w:rPr>
              <w:t>3</w:t>
            </w:r>
            <w:r>
              <w:rPr>
                <w:rFonts w:hint="eastAsia" w:ascii="宋体" w:hAnsi="宋体" w:eastAsia="宋体" w:cs="Times New Roman"/>
                <w:color w:val="auto"/>
                <w:kern w:val="0"/>
                <w:sz w:val="24"/>
                <w:szCs w:val="24"/>
                <w:lang w:val="zh-CN" w:eastAsia="zh-CN" w:bidi="ar-SA"/>
              </w:rPr>
              <w:t>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（提供证书复印件加盖</w:t>
            </w:r>
            <w:r>
              <w:rPr>
                <w:rFonts w:hint="eastAsia" w:ascii="宋体" w:hAnsi="宋体" w:cs="Times New Roman"/>
                <w:color w:val="auto"/>
                <w:kern w:val="0"/>
                <w:sz w:val="24"/>
                <w:szCs w:val="24"/>
                <w:lang w:val="en-US" w:eastAsia="zh-CN" w:bidi="ar-SA"/>
              </w:rPr>
              <w:t>投标单位</w:t>
            </w:r>
            <w:r>
              <w:rPr>
                <w:rFonts w:hint="eastAsia" w:ascii="宋体" w:hAnsi="宋体" w:eastAsia="宋体" w:cs="Times New Roman"/>
                <w:color w:val="auto"/>
                <w:kern w:val="0"/>
                <w:sz w:val="24"/>
                <w:szCs w:val="24"/>
                <w:lang w:val="zh-CN" w:eastAsia="zh-CN" w:bidi="ar-SA"/>
              </w:rPr>
              <w:t>公章，否则不得分。）</w:t>
            </w:r>
          </w:p>
        </w:tc>
        <w:tc>
          <w:tcPr>
            <w:tcW w:w="1232" w:type="dxa"/>
            <w:vAlign w:val="center"/>
          </w:tcPr>
          <w:p>
            <w:pPr>
              <w:jc w:val="center"/>
              <w:rPr>
                <w:rFonts w:hint="eastAsia" w:ascii="宋体" w:hAnsi="宋体" w:eastAsia="宋体"/>
                <w:lang w:eastAsia="zh-CN"/>
              </w:rPr>
            </w:pPr>
            <w:r>
              <w:rPr>
                <w:rFonts w:hint="eastAsia" w:ascii="宋体" w:hAnsi="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71" w:type="dxa"/>
            <w:vMerge w:val="continue"/>
            <w:vAlign w:val="center"/>
          </w:tcPr>
          <w:p>
            <w:pPr>
              <w:rPr>
                <w:rFonts w:ascii="宋体" w:hAnsi="宋体" w:eastAsia="宋体" w:cs="宋体"/>
                <w:sz w:val="24"/>
                <w:szCs w:val="24"/>
                <w:lang w:val="zh-CN" w:bidi="zh-CN"/>
              </w:rPr>
            </w:pPr>
          </w:p>
        </w:tc>
        <w:tc>
          <w:tcPr>
            <w:tcW w:w="6668" w:type="dxa"/>
            <w:vAlign w:val="center"/>
          </w:tcPr>
          <w:p>
            <w:pP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szCs w:val="24"/>
                <w:lang w:val="en-US" w:eastAsia="zh-CN" w:bidi="ar-SA"/>
              </w:rPr>
              <w:t>投标供应商提供2020年</w:t>
            </w:r>
            <w:r>
              <w:rPr>
                <w:rFonts w:hint="eastAsia" w:ascii="宋体" w:hAnsi="宋体" w:cs="Times New Roman"/>
                <w:color w:val="auto"/>
                <w:kern w:val="0"/>
                <w:sz w:val="24"/>
                <w:szCs w:val="24"/>
                <w:lang w:val="en-US" w:eastAsia="zh-CN" w:bidi="ar-SA"/>
              </w:rPr>
              <w:t>1月1日（合同签订时间为准）</w:t>
            </w:r>
            <w:r>
              <w:rPr>
                <w:rFonts w:hint="eastAsia" w:ascii="宋体" w:hAnsi="宋体" w:eastAsia="宋体" w:cs="Times New Roman"/>
                <w:color w:val="auto"/>
                <w:kern w:val="0"/>
                <w:sz w:val="24"/>
                <w:szCs w:val="24"/>
                <w:lang w:val="en-US" w:eastAsia="zh-CN" w:bidi="ar-SA"/>
              </w:rPr>
              <w:t>以来已实施完成并签订的成功案例，提供1个得1分，最高得</w:t>
            </w:r>
            <w:r>
              <w:rPr>
                <w:rFonts w:hint="eastAsia" w:ascii="宋体" w:hAnsi="宋体" w:cs="Times New Roman"/>
                <w:color w:val="auto"/>
                <w:kern w:val="0"/>
                <w:sz w:val="24"/>
                <w:szCs w:val="24"/>
                <w:lang w:val="en-US" w:eastAsia="zh-CN" w:bidi="ar-SA"/>
              </w:rPr>
              <w:t>4</w:t>
            </w:r>
            <w:r>
              <w:rPr>
                <w:rFonts w:hint="eastAsia" w:ascii="宋体" w:hAnsi="宋体" w:eastAsia="宋体" w:cs="Times New Roman"/>
                <w:color w:val="auto"/>
                <w:kern w:val="0"/>
                <w:sz w:val="24"/>
                <w:szCs w:val="24"/>
                <w:lang w:val="en-US" w:eastAsia="zh-CN" w:bidi="ar-SA"/>
              </w:rPr>
              <w:t>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en-US" w:eastAsia="zh-CN" w:bidi="ar-SA"/>
              </w:rPr>
              <w:t>（提供合同关键页复印件和验收报告并加盖</w:t>
            </w:r>
            <w:r>
              <w:rPr>
                <w:rFonts w:hint="eastAsia" w:ascii="宋体" w:hAnsi="宋体" w:cs="Times New Roman"/>
                <w:color w:val="auto"/>
                <w:kern w:val="0"/>
                <w:sz w:val="24"/>
                <w:szCs w:val="24"/>
                <w:lang w:val="en-US" w:eastAsia="zh-CN" w:bidi="ar-SA"/>
              </w:rPr>
              <w:t>投标单位</w:t>
            </w:r>
            <w:r>
              <w:rPr>
                <w:rFonts w:hint="eastAsia" w:ascii="宋体" w:hAnsi="宋体" w:eastAsia="宋体" w:cs="Times New Roman"/>
                <w:color w:val="auto"/>
                <w:kern w:val="0"/>
                <w:sz w:val="24"/>
                <w:szCs w:val="24"/>
                <w:lang w:val="en-US" w:eastAsia="zh-CN" w:bidi="ar-SA"/>
              </w:rPr>
              <w:t>公章）</w:t>
            </w:r>
          </w:p>
        </w:tc>
        <w:tc>
          <w:tcPr>
            <w:tcW w:w="1232" w:type="dxa"/>
            <w:vAlign w:val="center"/>
          </w:tcPr>
          <w:p>
            <w:pPr>
              <w:jc w:val="center"/>
              <w:rPr>
                <w:rFonts w:hint="eastAsia" w:ascii="宋体" w:hAnsi="宋体" w:eastAsia="宋体"/>
                <w:color w:val="000000"/>
                <w:lang w:eastAsia="zh-CN"/>
              </w:rPr>
            </w:pPr>
            <w:r>
              <w:rPr>
                <w:rFonts w:hint="eastAsia" w:ascii="宋体" w:hAnsi="宋体"/>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实施方案</w:t>
            </w:r>
          </w:p>
        </w:tc>
        <w:tc>
          <w:tcPr>
            <w:tcW w:w="6668" w:type="dxa"/>
            <w:vAlign w:val="center"/>
          </w:tcPr>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根据投标供应商提供的本项目实施方案进行评分：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1、实施方案内容详实合理、贴切实际、实用性强的得</w:t>
            </w:r>
            <w:r>
              <w:rPr>
                <w:rFonts w:hint="eastAsia" w:ascii="宋体" w:hAnsi="宋体" w:eastAsia="宋体" w:cs="Times New Roman"/>
                <w:color w:val="auto"/>
                <w:kern w:val="0"/>
                <w:sz w:val="24"/>
                <w:szCs w:val="24"/>
                <w:lang w:val="en-US" w:eastAsia="zh-CN" w:bidi="ar-SA"/>
              </w:rPr>
              <w:t>3</w:t>
            </w:r>
            <w:r>
              <w:rPr>
                <w:rFonts w:hint="eastAsia" w:ascii="宋体" w:hAnsi="宋体" w:eastAsia="宋体" w:cs="Times New Roman"/>
                <w:color w:val="auto"/>
                <w:kern w:val="0"/>
                <w:sz w:val="24"/>
                <w:szCs w:val="24"/>
                <w:lang w:val="zh-CN" w:eastAsia="zh-CN" w:bidi="ar-SA"/>
              </w:rPr>
              <w:t>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2、实施方案内容较较详实，较贴切、实用性较强的得</w:t>
            </w:r>
            <w:r>
              <w:rPr>
                <w:rFonts w:hint="eastAsia" w:ascii="宋体" w:hAnsi="宋体" w:eastAsia="宋体" w:cs="Times New Roman"/>
                <w:color w:val="auto"/>
                <w:kern w:val="0"/>
                <w:sz w:val="24"/>
                <w:szCs w:val="24"/>
                <w:lang w:val="en-US" w:eastAsia="zh-CN" w:bidi="ar-SA"/>
              </w:rPr>
              <w:t>2</w:t>
            </w:r>
            <w:r>
              <w:rPr>
                <w:rFonts w:hint="eastAsia" w:ascii="宋体" w:hAnsi="宋体" w:eastAsia="宋体" w:cs="Times New Roman"/>
                <w:color w:val="auto"/>
                <w:kern w:val="0"/>
                <w:sz w:val="24"/>
                <w:szCs w:val="24"/>
                <w:lang w:val="zh-CN" w:eastAsia="zh-CN" w:bidi="ar-SA"/>
              </w:rPr>
              <w:t>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3、实施方案内容不够全面的得1分。</w:t>
            </w:r>
          </w:p>
        </w:tc>
        <w:tc>
          <w:tcPr>
            <w:tcW w:w="1232" w:type="dxa"/>
            <w:vAlign w:val="center"/>
          </w:tcPr>
          <w:p>
            <w:pPr>
              <w:jc w:val="center"/>
              <w:rPr>
                <w:rFonts w:hint="eastAsia" w:ascii="宋体" w:hAnsi="宋体" w:eastAsiaTheme="minorEastAsia"/>
                <w:lang w:eastAsia="zh-CN"/>
              </w:rPr>
            </w:pPr>
            <w:r>
              <w:rPr>
                <w:rFonts w:hint="eastAsia" w:ascii="宋体" w:hAnsi="宋体"/>
                <w:bCs/>
                <w:color w:val="000000"/>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1"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培训效果</w:t>
            </w:r>
          </w:p>
        </w:tc>
        <w:tc>
          <w:tcPr>
            <w:tcW w:w="6668" w:type="dxa"/>
            <w:vAlign w:val="center"/>
          </w:tcPr>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对投标供应商的培训计划进行评审：是否清晰、目标是否明确等。</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1、培训计划条理非常清晰，目标非常明确，知识点全面性很强，培训讲师实力强的，得</w:t>
            </w:r>
            <w:r>
              <w:rPr>
                <w:rFonts w:hint="eastAsia" w:ascii="宋体" w:hAnsi="宋体" w:eastAsia="宋体" w:cs="Times New Roman"/>
                <w:color w:val="auto"/>
                <w:kern w:val="0"/>
                <w:sz w:val="24"/>
                <w:szCs w:val="24"/>
                <w:lang w:val="en-US" w:eastAsia="zh-CN" w:bidi="ar-SA"/>
              </w:rPr>
              <w:t>3</w:t>
            </w:r>
            <w:r>
              <w:rPr>
                <w:rFonts w:hint="eastAsia" w:ascii="宋体" w:hAnsi="宋体" w:eastAsia="宋体" w:cs="Times New Roman"/>
                <w:color w:val="auto"/>
                <w:kern w:val="0"/>
                <w:sz w:val="24"/>
                <w:szCs w:val="24"/>
                <w:lang w:val="zh-CN" w:eastAsia="zh-CN" w:bidi="ar-SA"/>
              </w:rPr>
              <w:t>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2、培训计划条理比较清晰，目标比较明确，知识点全面性较强，培训讲师实力较强的，得</w:t>
            </w:r>
            <w:r>
              <w:rPr>
                <w:rFonts w:hint="eastAsia" w:ascii="宋体" w:hAnsi="宋体" w:eastAsia="宋体" w:cs="Times New Roman"/>
                <w:color w:val="auto"/>
                <w:kern w:val="0"/>
                <w:sz w:val="24"/>
                <w:szCs w:val="24"/>
                <w:lang w:val="en-US" w:eastAsia="zh-CN" w:bidi="ar-SA"/>
              </w:rPr>
              <w:t>2</w:t>
            </w:r>
            <w:r>
              <w:rPr>
                <w:rFonts w:hint="eastAsia" w:ascii="宋体" w:hAnsi="宋体" w:eastAsia="宋体" w:cs="Times New Roman"/>
                <w:color w:val="auto"/>
                <w:kern w:val="0"/>
                <w:sz w:val="24"/>
                <w:szCs w:val="24"/>
                <w:lang w:val="zh-CN" w:eastAsia="zh-CN" w:bidi="ar-SA"/>
              </w:rPr>
              <w:t>分；</w:t>
            </w:r>
          </w:p>
          <w:p>
            <w:pPr>
              <w:rPr>
                <w:rFonts w:hint="eastAsia" w:ascii="宋体" w:hAnsi="宋体" w:eastAsia="宋体" w:cs="Times New Roman"/>
                <w:color w:val="auto"/>
                <w:kern w:val="0"/>
                <w:sz w:val="24"/>
                <w:szCs w:val="24"/>
                <w:lang w:val="zh-CN" w:eastAsia="zh-CN" w:bidi="ar-SA"/>
              </w:rPr>
            </w:pPr>
            <w:r>
              <w:rPr>
                <w:rFonts w:hint="eastAsia" w:ascii="宋体" w:hAnsi="宋体" w:eastAsia="宋体" w:cs="Times New Roman"/>
                <w:color w:val="auto"/>
                <w:kern w:val="0"/>
                <w:sz w:val="24"/>
                <w:szCs w:val="24"/>
                <w:lang w:val="zh-CN" w:eastAsia="zh-CN" w:bidi="ar-SA"/>
              </w:rPr>
              <w:t>3、培训计划条理不清晰，目标不明确，知识点全面性较差，培训讲师实力较差的，得1分。</w:t>
            </w:r>
          </w:p>
        </w:tc>
        <w:tc>
          <w:tcPr>
            <w:tcW w:w="1232" w:type="dxa"/>
            <w:vAlign w:val="center"/>
          </w:tcPr>
          <w:p>
            <w:pPr>
              <w:jc w:val="center"/>
              <w:rPr>
                <w:rFonts w:hint="eastAsia" w:ascii="宋体" w:hAnsi="宋体" w:eastAsiaTheme="minorEastAsia"/>
                <w:lang w:eastAsia="zh-CN"/>
              </w:rPr>
            </w:pPr>
            <w:r>
              <w:rPr>
                <w:rFonts w:hint="eastAsia" w:ascii="宋体" w:hAnsi="宋体"/>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71"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售后保障</w:t>
            </w:r>
          </w:p>
        </w:tc>
        <w:tc>
          <w:tcPr>
            <w:tcW w:w="6668" w:type="dxa"/>
            <w:vAlign w:val="center"/>
          </w:tcPr>
          <w:p>
            <w:pPr>
              <w:rPr>
                <w:rFonts w:ascii="宋体" w:hAnsi="宋体" w:eastAsia="宋体" w:cs="宋体"/>
                <w:sz w:val="24"/>
                <w:szCs w:val="24"/>
                <w:lang w:val="zh-CN" w:bidi="zh-CN"/>
              </w:rPr>
            </w:pPr>
            <w:r>
              <w:rPr>
                <w:rFonts w:hint="eastAsia" w:ascii="宋体" w:hAnsi="宋体" w:eastAsia="宋体" w:cs="宋体"/>
                <w:sz w:val="24"/>
                <w:szCs w:val="24"/>
                <w:lang w:val="zh-CN" w:bidi="zh-CN"/>
              </w:rPr>
              <w:t>根据投标供应商提供的售后服务方案（如服务体系、服务内容、问题解决方案、专业技术人员保障及服务电话等）进行综合评分：</w:t>
            </w:r>
          </w:p>
          <w:p>
            <w:pPr>
              <w:rPr>
                <w:rFonts w:ascii="宋体" w:hAnsi="宋体" w:eastAsia="宋体" w:cs="宋体"/>
                <w:sz w:val="24"/>
                <w:szCs w:val="24"/>
                <w:lang w:val="zh-CN" w:bidi="zh-CN"/>
              </w:rPr>
            </w:pPr>
            <w:r>
              <w:rPr>
                <w:rFonts w:hint="eastAsia" w:ascii="宋体" w:hAnsi="宋体" w:eastAsia="宋体" w:cs="宋体"/>
                <w:sz w:val="24"/>
                <w:szCs w:val="24"/>
                <w:lang w:val="zh-CN" w:bidi="zh-CN"/>
              </w:rPr>
              <w:t>（1）</w:t>
            </w:r>
            <w:r>
              <w:rPr>
                <w:rFonts w:hint="eastAsia" w:ascii="宋体" w:hAnsi="宋体" w:eastAsia="宋体" w:cs="宋体"/>
                <w:sz w:val="24"/>
                <w:szCs w:val="24"/>
                <w:lang w:val="en-US" w:bidi="zh-CN"/>
              </w:rPr>
              <w:t>投标</w:t>
            </w:r>
            <w:r>
              <w:rPr>
                <w:rFonts w:hint="eastAsia" w:ascii="宋体" w:hAnsi="宋体" w:eastAsia="宋体" w:cs="宋体"/>
                <w:sz w:val="24"/>
                <w:szCs w:val="24"/>
                <w:lang w:val="zh-CN" w:bidi="zh-CN"/>
              </w:rPr>
              <w:t>供应商具备非常完善的服务体系，全面的服务内容、可行的问题解决方案、可靠的专业技术人员保障和服务电话的，得</w:t>
            </w:r>
            <w:r>
              <w:rPr>
                <w:rFonts w:hint="eastAsia" w:ascii="宋体" w:hAnsi="宋体" w:cs="宋体"/>
                <w:sz w:val="24"/>
                <w:szCs w:val="24"/>
                <w:lang w:val="en-US" w:bidi="zh-CN"/>
              </w:rPr>
              <w:t>3</w:t>
            </w:r>
            <w:r>
              <w:rPr>
                <w:rFonts w:hint="eastAsia" w:ascii="宋体" w:hAnsi="宋体" w:eastAsia="宋体" w:cs="宋体"/>
                <w:sz w:val="24"/>
                <w:szCs w:val="24"/>
                <w:lang w:val="zh-CN" w:bidi="zh-CN"/>
              </w:rPr>
              <w:t>分；</w:t>
            </w:r>
          </w:p>
          <w:p>
            <w:pPr>
              <w:rPr>
                <w:rFonts w:ascii="宋体" w:hAnsi="宋体" w:eastAsia="宋体" w:cs="宋体"/>
                <w:sz w:val="24"/>
                <w:szCs w:val="24"/>
                <w:lang w:val="zh-CN" w:bidi="zh-CN"/>
              </w:rPr>
            </w:pPr>
            <w:r>
              <w:rPr>
                <w:rFonts w:hint="eastAsia" w:ascii="宋体" w:hAnsi="宋体" w:eastAsia="宋体" w:cs="宋体"/>
                <w:sz w:val="24"/>
                <w:szCs w:val="24"/>
                <w:lang w:val="zh-CN" w:bidi="zh-CN"/>
              </w:rPr>
              <w:t>（2）</w:t>
            </w:r>
            <w:r>
              <w:rPr>
                <w:rFonts w:hint="eastAsia" w:ascii="宋体" w:hAnsi="宋体" w:eastAsia="宋体" w:cs="宋体"/>
                <w:sz w:val="24"/>
                <w:szCs w:val="24"/>
                <w:lang w:val="en-US" w:bidi="zh-CN"/>
              </w:rPr>
              <w:t>投标</w:t>
            </w:r>
            <w:r>
              <w:rPr>
                <w:rFonts w:hint="eastAsia" w:ascii="宋体" w:hAnsi="宋体" w:eastAsia="宋体" w:cs="宋体"/>
                <w:sz w:val="24"/>
                <w:szCs w:val="24"/>
                <w:lang w:val="zh-CN" w:bidi="zh-CN"/>
              </w:rPr>
              <w:t>供应商具备较为完善的服务体系，全面的服务内容、可行的问题解决方案、可靠的专业技术人员保障和服务电话的，得</w:t>
            </w:r>
            <w:r>
              <w:rPr>
                <w:rFonts w:hint="eastAsia" w:ascii="宋体" w:hAnsi="宋体" w:eastAsia="宋体" w:cs="宋体"/>
                <w:sz w:val="24"/>
                <w:szCs w:val="24"/>
                <w:lang w:val="en-US" w:bidi="zh-CN"/>
              </w:rPr>
              <w:t>2</w:t>
            </w:r>
            <w:r>
              <w:rPr>
                <w:rFonts w:hint="eastAsia" w:ascii="宋体" w:hAnsi="宋体" w:eastAsia="宋体" w:cs="宋体"/>
                <w:sz w:val="24"/>
                <w:szCs w:val="24"/>
                <w:lang w:val="zh-CN" w:bidi="zh-CN"/>
              </w:rPr>
              <w:t>分；</w:t>
            </w:r>
          </w:p>
          <w:p>
            <w:pPr>
              <w:rPr>
                <w:rFonts w:ascii="宋体" w:hAnsi="宋体" w:eastAsia="宋体" w:cs="宋体"/>
                <w:sz w:val="24"/>
                <w:szCs w:val="24"/>
                <w:lang w:val="zh-CN" w:bidi="zh-CN"/>
              </w:rPr>
            </w:pPr>
            <w:r>
              <w:rPr>
                <w:rFonts w:hint="eastAsia" w:ascii="宋体" w:hAnsi="宋体" w:eastAsia="宋体" w:cs="宋体"/>
                <w:sz w:val="24"/>
                <w:szCs w:val="24"/>
                <w:lang w:val="zh-CN" w:bidi="zh-CN"/>
              </w:rPr>
              <w:t>（3）</w:t>
            </w:r>
            <w:r>
              <w:rPr>
                <w:rFonts w:hint="eastAsia" w:ascii="宋体" w:hAnsi="宋体" w:eastAsia="宋体" w:cs="宋体"/>
                <w:sz w:val="24"/>
                <w:szCs w:val="24"/>
                <w:lang w:val="en-US" w:bidi="zh-CN"/>
              </w:rPr>
              <w:t>投标</w:t>
            </w:r>
            <w:r>
              <w:rPr>
                <w:rFonts w:hint="eastAsia" w:ascii="宋体" w:hAnsi="宋体" w:eastAsia="宋体" w:cs="宋体"/>
                <w:sz w:val="24"/>
                <w:szCs w:val="24"/>
                <w:lang w:val="zh-CN" w:bidi="zh-CN"/>
              </w:rPr>
              <w:t>供应商具备一般性的服务保障体系，服务内容一般，问题解决方案针对性和专业技术人员业务能力一般的，得1分。</w:t>
            </w:r>
          </w:p>
        </w:tc>
        <w:tc>
          <w:tcPr>
            <w:tcW w:w="1232" w:type="dxa"/>
            <w:vAlign w:val="center"/>
          </w:tcPr>
          <w:p>
            <w:pPr>
              <w:jc w:val="center"/>
              <w:rPr>
                <w:rFonts w:hint="eastAsia" w:ascii="宋体" w:hAnsi="宋体" w:eastAsiaTheme="minorEastAsia"/>
                <w:lang w:eastAsia="zh-CN"/>
              </w:rPr>
            </w:pPr>
            <w:r>
              <w:rPr>
                <w:rFonts w:hint="eastAsia" w:ascii="宋体" w:hAnsi="宋体"/>
                <w:lang w:val="en-US" w:eastAsia="zh-CN"/>
              </w:rPr>
              <w:t>3</w:t>
            </w:r>
          </w:p>
        </w:tc>
      </w:tr>
    </w:tbl>
    <w:p/>
    <w:p>
      <w:pPr>
        <w:snapToGrid w:val="0"/>
        <w:rPr>
          <w:rFonts w:ascii="宋体" w:hAnsi="宋体"/>
          <w:bCs/>
          <w:color w:val="000000"/>
          <w:kern w:val="0"/>
          <w:sz w:val="24"/>
          <w:szCs w:val="24"/>
        </w:rPr>
      </w:pPr>
      <w:r>
        <w:rPr>
          <w:rFonts w:hint="eastAsia" w:ascii="宋体" w:hAnsi="宋体"/>
          <w:bCs/>
          <w:color w:val="000000"/>
          <w:kern w:val="0"/>
          <w:sz w:val="24"/>
          <w:szCs w:val="24"/>
        </w:rPr>
        <w:t xml:space="preserve">说明： </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1、评分细则中要求提供的证明文件及资料等在响应文件中提供复印件并加盖公章，过时不予接收。</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2、评审时，未能按以上要求提供相应证明的，不作为评分依据，不得分。</w:t>
      </w:r>
    </w:p>
    <w:p>
      <w:pPr>
        <w:snapToGrid w:val="0"/>
        <w:ind w:firstLine="480" w:firstLineChars="200"/>
        <w:rPr>
          <w:rFonts w:ascii="宋体" w:hAnsi="宋体"/>
          <w:bCs/>
          <w:color w:val="000000"/>
          <w:kern w:val="0"/>
          <w:sz w:val="24"/>
          <w:szCs w:val="24"/>
        </w:rPr>
      </w:pPr>
      <w:r>
        <w:rPr>
          <w:rFonts w:hint="eastAsia" w:ascii="宋体" w:hAnsi="宋体"/>
          <w:bCs/>
          <w:color w:val="000000"/>
          <w:kern w:val="0"/>
          <w:sz w:val="24"/>
          <w:szCs w:val="24"/>
        </w:rPr>
        <w:t>3、为便于评分，请供应商按评分表样式，逐条列出证明材料所在页码，格式自定。</w:t>
      </w:r>
    </w:p>
    <w:p>
      <w:pPr>
        <w:snapToGrid w:val="0"/>
        <w:ind w:firstLine="480" w:firstLineChars="200"/>
        <w:rPr>
          <w:rFonts w:ascii="宋体" w:hAnsi="宋体"/>
          <w:bCs/>
          <w:color w:val="000000"/>
          <w:kern w:val="0"/>
          <w:sz w:val="24"/>
          <w:szCs w:val="24"/>
        </w:rPr>
      </w:pPr>
    </w:p>
    <w:p>
      <w:pPr>
        <w:pStyle w:val="37"/>
        <w:jc w:val="both"/>
        <w:rPr>
          <w:rStyle w:val="47"/>
          <w:rFonts w:ascii="宋体" w:hAnsi="宋体" w:eastAsia="宋体" w:cs="宋体"/>
          <w:b/>
          <w:sz w:val="44"/>
        </w:rPr>
      </w:pPr>
      <w:r>
        <w:rPr>
          <w:rStyle w:val="47"/>
          <w:rFonts w:hint="eastAsia" w:ascii="宋体" w:hAnsi="宋体" w:eastAsia="宋体" w:cs="宋体"/>
          <w:b/>
          <w:sz w:val="44"/>
        </w:rPr>
        <w:br w:type="page"/>
      </w:r>
    </w:p>
    <w:p>
      <w:pPr>
        <w:pStyle w:val="37"/>
        <w:outlineLvl w:val="0"/>
        <w:rPr>
          <w:rStyle w:val="47"/>
          <w:rFonts w:ascii="宋体" w:hAnsi="宋体" w:eastAsia="宋体" w:cs="宋体"/>
          <w:b/>
          <w:sz w:val="44"/>
        </w:rPr>
      </w:pPr>
      <w:bookmarkStart w:id="7" w:name="_Toc20541"/>
      <w:r>
        <w:rPr>
          <w:rStyle w:val="47"/>
          <w:rFonts w:hint="eastAsia" w:ascii="宋体" w:hAnsi="宋体" w:eastAsia="宋体" w:cs="宋体"/>
          <w:b/>
          <w:sz w:val="44"/>
        </w:rPr>
        <w:t>第六章  投标文件格式</w:t>
      </w:r>
      <w:bookmarkEnd w:id="7"/>
    </w:p>
    <w:p>
      <w:pPr>
        <w:jc w:val="center"/>
        <w:rPr>
          <w:rStyle w:val="47"/>
          <w:rFonts w:ascii="宋体" w:hAnsi="宋体" w:cs="宋体"/>
          <w:b/>
          <w:sz w:val="72"/>
        </w:rPr>
      </w:pPr>
    </w:p>
    <w:p>
      <w:pPr>
        <w:jc w:val="center"/>
        <w:outlineLvl w:val="0"/>
        <w:rPr>
          <w:rStyle w:val="47"/>
          <w:rFonts w:ascii="宋体" w:hAnsi="宋体" w:cs="宋体"/>
          <w:b/>
          <w:sz w:val="72"/>
        </w:rPr>
      </w:pPr>
      <w:bookmarkStart w:id="8" w:name="_Toc26413"/>
      <w:r>
        <w:rPr>
          <w:rStyle w:val="47"/>
          <w:rFonts w:hint="eastAsia" w:ascii="宋体" w:hAnsi="宋体" w:cs="宋体"/>
          <w:b/>
          <w:sz w:val="72"/>
        </w:rPr>
        <w:t>投  标  文  件</w:t>
      </w:r>
      <w:bookmarkEnd w:id="8"/>
    </w:p>
    <w:p>
      <w:pPr>
        <w:jc w:val="center"/>
        <w:outlineLvl w:val="0"/>
        <w:rPr>
          <w:rStyle w:val="47"/>
          <w:rFonts w:ascii="宋体" w:hAnsi="宋体" w:cs="宋体"/>
          <w:b/>
          <w:sz w:val="72"/>
        </w:rPr>
      </w:pPr>
      <w:bookmarkStart w:id="9" w:name="_Toc17655"/>
      <w:r>
        <w:rPr>
          <w:rStyle w:val="47"/>
          <w:rFonts w:hint="eastAsia" w:ascii="宋体" w:hAnsi="宋体" w:cs="宋体"/>
          <w:b/>
          <w:sz w:val="36"/>
        </w:rPr>
        <w:t>（正或副本）</w:t>
      </w:r>
      <w:bookmarkEnd w:id="9"/>
    </w:p>
    <w:p>
      <w:pPr>
        <w:jc w:val="center"/>
        <w:rPr>
          <w:rStyle w:val="47"/>
          <w:rFonts w:ascii="宋体" w:hAnsi="宋体" w:cs="宋体"/>
          <w:b/>
          <w:sz w:val="72"/>
        </w:rPr>
      </w:pPr>
    </w:p>
    <w:p>
      <w:pPr>
        <w:jc w:val="center"/>
        <w:rPr>
          <w:rStyle w:val="47"/>
          <w:rFonts w:ascii="宋体" w:hAnsi="宋体" w:cs="宋体"/>
          <w:b/>
          <w:sz w:val="36"/>
        </w:rPr>
      </w:pPr>
    </w:p>
    <w:p>
      <w:pPr>
        <w:jc w:val="center"/>
        <w:rPr>
          <w:rStyle w:val="47"/>
          <w:rFonts w:ascii="宋体" w:hAnsi="宋体" w:cs="宋体"/>
          <w:b/>
          <w:sz w:val="36"/>
        </w:rPr>
      </w:pPr>
    </w:p>
    <w:p>
      <w:pPr>
        <w:jc w:val="center"/>
        <w:rPr>
          <w:rStyle w:val="47"/>
          <w:rFonts w:ascii="宋体" w:hAnsi="宋体" w:cs="宋体"/>
          <w:b/>
          <w:sz w:val="36"/>
        </w:rPr>
      </w:pPr>
    </w:p>
    <w:p>
      <w:pPr>
        <w:ind w:firstLine="1084" w:firstLineChars="300"/>
        <w:outlineLvl w:val="0"/>
        <w:rPr>
          <w:rStyle w:val="47"/>
          <w:rFonts w:ascii="宋体" w:hAnsi="宋体" w:cs="宋体"/>
          <w:b/>
          <w:sz w:val="36"/>
        </w:rPr>
      </w:pPr>
      <w:bookmarkStart w:id="10" w:name="_Toc8567"/>
      <w:r>
        <w:rPr>
          <w:rStyle w:val="47"/>
          <w:rFonts w:hint="eastAsia" w:ascii="宋体" w:hAnsi="宋体" w:cs="宋体"/>
          <w:b/>
          <w:sz w:val="36"/>
        </w:rPr>
        <w:t>项 目 名 称：</w:t>
      </w:r>
      <w:bookmarkEnd w:id="10"/>
    </w:p>
    <w:p>
      <w:pPr>
        <w:ind w:firstLine="1084" w:firstLineChars="300"/>
        <w:outlineLvl w:val="0"/>
        <w:rPr>
          <w:rStyle w:val="47"/>
          <w:rFonts w:ascii="宋体" w:hAnsi="宋体" w:cs="宋体"/>
          <w:b/>
          <w:sz w:val="36"/>
          <w:u w:val="single" w:color="000000"/>
        </w:rPr>
      </w:pPr>
      <w:bookmarkStart w:id="11" w:name="_Toc20815"/>
      <w:r>
        <w:rPr>
          <w:rStyle w:val="47"/>
          <w:rFonts w:hint="eastAsia" w:ascii="宋体" w:hAnsi="宋体" w:cs="宋体"/>
          <w:b/>
          <w:sz w:val="36"/>
        </w:rPr>
        <w:t>招 标 编 号：</w:t>
      </w:r>
      <w:bookmarkEnd w:id="11"/>
    </w:p>
    <w:p>
      <w:pPr>
        <w:ind w:firstLine="1084" w:firstLineChars="300"/>
        <w:outlineLvl w:val="0"/>
        <w:rPr>
          <w:rStyle w:val="47"/>
          <w:rFonts w:ascii="宋体" w:hAnsi="宋体" w:cs="宋体"/>
          <w:b/>
          <w:sz w:val="36"/>
          <w:u w:val="single" w:color="000000"/>
        </w:rPr>
      </w:pPr>
      <w:bookmarkStart w:id="12" w:name="_Toc15597"/>
      <w:r>
        <w:rPr>
          <w:rStyle w:val="47"/>
          <w:rFonts w:hint="eastAsia" w:ascii="宋体" w:hAnsi="宋体" w:cs="宋体"/>
          <w:b/>
          <w:sz w:val="36"/>
        </w:rPr>
        <w:t>投标人名称 ：</w:t>
      </w:r>
      <w:bookmarkEnd w:id="12"/>
    </w:p>
    <w:p>
      <w:pPr>
        <w:ind w:firstLine="1084" w:firstLineChars="300"/>
        <w:outlineLvl w:val="0"/>
        <w:rPr>
          <w:rStyle w:val="47"/>
          <w:rFonts w:ascii="宋体" w:hAnsi="宋体" w:cs="宋体"/>
          <w:b/>
          <w:sz w:val="36"/>
        </w:rPr>
      </w:pPr>
      <w:bookmarkStart w:id="13" w:name="_Toc26387"/>
      <w:r>
        <w:rPr>
          <w:rStyle w:val="47"/>
          <w:rFonts w:hint="eastAsia" w:ascii="宋体" w:hAnsi="宋体" w:cs="宋体"/>
          <w:b/>
          <w:sz w:val="36"/>
        </w:rPr>
        <w:t>日      期 ：</w:t>
      </w:r>
      <w:bookmarkEnd w:id="13"/>
    </w:p>
    <w:p>
      <w:pPr>
        <w:spacing w:line="440" w:lineRule="exact"/>
        <w:jc w:val="center"/>
        <w:rPr>
          <w:rStyle w:val="47"/>
          <w:rFonts w:ascii="宋体" w:hAnsi="宋体" w:cs="宋体"/>
          <w:b/>
          <w:bCs/>
          <w:sz w:val="32"/>
          <w:szCs w:val="32"/>
        </w:rPr>
      </w:pPr>
    </w:p>
    <w:p>
      <w:pPr>
        <w:spacing w:line="440" w:lineRule="exact"/>
        <w:ind w:firstLine="480" w:firstLineChars="200"/>
        <w:rPr>
          <w:rStyle w:val="47"/>
          <w:rFonts w:ascii="宋体" w:hAnsi="宋体" w:cs="宋体"/>
          <w:sz w:val="24"/>
        </w:rPr>
      </w:pPr>
    </w:p>
    <w:p>
      <w:pPr>
        <w:spacing w:line="440" w:lineRule="exact"/>
        <w:ind w:firstLine="480" w:firstLineChars="200"/>
        <w:rPr>
          <w:rStyle w:val="47"/>
          <w:rFonts w:ascii="宋体" w:hAnsi="宋体" w:cs="宋体"/>
          <w:sz w:val="24"/>
        </w:rPr>
      </w:pPr>
    </w:p>
    <w:p>
      <w:pPr>
        <w:spacing w:line="440" w:lineRule="exact"/>
        <w:rPr>
          <w:rStyle w:val="47"/>
          <w:rFonts w:ascii="宋体" w:hAnsi="宋体" w:cs="宋体"/>
          <w:sz w:val="24"/>
        </w:rPr>
      </w:pPr>
    </w:p>
    <w:p>
      <w:pPr>
        <w:pStyle w:val="8"/>
        <w:rPr>
          <w:rStyle w:val="47"/>
          <w:rFonts w:ascii="宋体" w:hAnsi="宋体" w:eastAsia="宋体" w:cs="宋体"/>
          <w:b w:val="0"/>
          <w:sz w:val="24"/>
          <w:szCs w:val="21"/>
        </w:rPr>
      </w:pPr>
    </w:p>
    <w:p>
      <w:pPr>
        <w:rPr>
          <w:rStyle w:val="47"/>
          <w:rFonts w:ascii="宋体" w:hAnsi="宋体" w:cs="宋体"/>
          <w:sz w:val="24"/>
        </w:rPr>
      </w:pPr>
    </w:p>
    <w:p>
      <w:pPr>
        <w:rPr>
          <w:rStyle w:val="47"/>
          <w:rFonts w:ascii="宋体" w:hAnsi="宋体" w:cs="宋体"/>
          <w:sz w:val="24"/>
        </w:rPr>
      </w:pPr>
    </w:p>
    <w:p>
      <w:pPr>
        <w:spacing w:line="440" w:lineRule="exact"/>
        <w:jc w:val="center"/>
        <w:rPr>
          <w:rFonts w:ascii="宋体" w:hAnsi="宋体" w:cs="宋体"/>
          <w:b/>
          <w:color w:val="000000" w:themeColor="text1"/>
          <w:sz w:val="30"/>
          <w:szCs w:val="30"/>
          <w14:textFill>
            <w14:solidFill>
              <w14:schemeClr w14:val="tx1"/>
            </w14:solidFill>
          </w14:textFill>
        </w:rPr>
      </w:pPr>
      <w:bookmarkStart w:id="14" w:name="_Toc17998"/>
    </w:p>
    <w:p>
      <w:pPr>
        <w:spacing w:line="440" w:lineRule="exact"/>
        <w:jc w:val="center"/>
        <w:rPr>
          <w:rFonts w:ascii="宋体" w:hAnsi="宋体" w:cs="宋体"/>
          <w:b/>
          <w:color w:val="000000" w:themeColor="text1"/>
          <w:sz w:val="30"/>
          <w:szCs w:val="30"/>
          <w14:textFill>
            <w14:solidFill>
              <w14:schemeClr w14:val="tx1"/>
            </w14:solidFill>
          </w14:textFill>
        </w:rPr>
      </w:pPr>
    </w:p>
    <w:p>
      <w:pPr>
        <w:spacing w:line="440" w:lineRule="exact"/>
        <w:jc w:val="center"/>
        <w:rPr>
          <w:rFonts w:ascii="宋体" w:hAnsi="宋体" w:cs="宋体"/>
          <w:b/>
          <w:color w:val="000000" w:themeColor="text1"/>
          <w:sz w:val="30"/>
          <w:szCs w:val="30"/>
          <w14:textFill>
            <w14:solidFill>
              <w14:schemeClr w14:val="tx1"/>
            </w14:solidFill>
          </w14:textFill>
        </w:rPr>
      </w:pPr>
      <w:r>
        <w:rPr>
          <w:rFonts w:hint="eastAsia" w:ascii="宋体" w:hAnsi="宋体" w:cs="宋体"/>
          <w:b/>
          <w:color w:val="000000" w:themeColor="text1"/>
          <w:sz w:val="30"/>
          <w:szCs w:val="30"/>
          <w14:textFill>
            <w14:solidFill>
              <w14:schemeClr w14:val="tx1"/>
            </w14:solidFill>
          </w14:textFill>
        </w:rPr>
        <w:t>评分索引表</w:t>
      </w:r>
    </w:p>
    <w:p>
      <w:pPr>
        <w:spacing w:line="440" w:lineRule="exact"/>
        <w:jc w:val="center"/>
        <w:rPr>
          <w:rFonts w:ascii="宋体" w:hAnsi="宋体" w:cs="宋体"/>
          <w:b/>
          <w:color w:val="000000" w:themeColor="text1"/>
          <w:sz w:val="30"/>
          <w:szCs w:val="30"/>
          <w14:textFill>
            <w14:solidFill>
              <w14:schemeClr w14:val="tx1"/>
            </w14:solidFill>
          </w14:textFill>
        </w:rPr>
      </w:pPr>
    </w:p>
    <w:tbl>
      <w:tblPr>
        <w:tblStyle w:val="22"/>
        <w:tblW w:w="92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jc w:val="center"/>
              <w:rPr>
                <w:rFonts w:ascii="宋体" w:hAnsi="宋体" w:cs="宋体"/>
                <w:b/>
                <w:bCs/>
                <w:color w:val="000000" w:themeColor="text1"/>
                <w:lang w:eastAsia="zh-CN"/>
                <w14:textFill>
                  <w14:solidFill>
                    <w14:schemeClr w14:val="tx1"/>
                  </w14:solidFill>
                </w14:textFill>
              </w:rPr>
            </w:pPr>
            <w:r>
              <w:rPr>
                <w:rFonts w:hint="eastAsia" w:ascii="宋体" w:hAnsi="宋体" w:cs="宋体"/>
                <w:b/>
                <w:color w:val="000000" w:themeColor="text1"/>
                <w14:textFill>
                  <w14:solidFill>
                    <w14:schemeClr w14:val="tx1"/>
                  </w14:solidFill>
                </w14:textFill>
              </w:rPr>
              <w:t>评分项目</w:t>
            </w:r>
          </w:p>
        </w:tc>
        <w:tc>
          <w:tcPr>
            <w:tcW w:w="3570" w:type="dxa"/>
            <w:noWrap/>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kern w:val="0"/>
                <w:sz w:val="24"/>
                <w:lang w:bidi="en-US"/>
                <w14:textFill>
                  <w14:solidFill>
                    <w14:schemeClr w14:val="tx1"/>
                  </w14:solidFill>
                </w14:textFill>
              </w:rPr>
              <w:t>在投标文件中的页码位置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c>
          <w:tcPr>
            <w:tcW w:w="3570" w:type="dxa"/>
            <w:noWrap/>
          </w:tcPr>
          <w:p>
            <w:pPr>
              <w:rPr>
                <w:rFonts w:ascii="宋体" w:hAnsi="宋体" w:cs="宋体"/>
                <w:b/>
                <w:color w:val="000000" w:themeColor="text1"/>
                <w:kern w:val="0"/>
                <w:sz w:val="24"/>
                <w:lang w:bidi="en-US"/>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40" w:type="dxa"/>
            <w:gridSpan w:val="2"/>
            <w:noWrap/>
          </w:tcPr>
          <w:p>
            <w:pPr>
              <w:pStyle w:val="165"/>
              <w:shd w:val="clear" w:color="auto" w:fill="FFFFFF"/>
              <w:spacing w:line="265" w:lineRule="atLeast"/>
              <w:ind w:left="420"/>
              <w:jc w:val="both"/>
              <w:rPr>
                <w:rFonts w:ascii="宋体" w:hAnsi="宋体" w:cs="宋体"/>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noWrap/>
          </w:tcPr>
          <w:p>
            <w:pPr>
              <w:pStyle w:val="165"/>
              <w:shd w:val="clear" w:color="auto" w:fill="FFFFFF"/>
              <w:spacing w:line="265" w:lineRule="atLeast"/>
              <w:ind w:left="420"/>
              <w:rPr>
                <w:rFonts w:ascii="宋体" w:hAnsi="宋体" w:cs="宋体"/>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noWrap/>
          </w:tcPr>
          <w:p>
            <w:pPr>
              <w:pStyle w:val="165"/>
              <w:shd w:val="clear" w:color="auto" w:fill="FFFFFF"/>
              <w:spacing w:line="265" w:lineRule="atLeast"/>
              <w:ind w:left="420"/>
              <w:rPr>
                <w:rFonts w:ascii="宋体" w:hAnsi="宋体" w:cs="宋体"/>
                <w:b/>
                <w:bCs/>
                <w:color w:val="000000" w:themeColor="text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240" w:type="dxa"/>
            <w:gridSpan w:val="2"/>
            <w:noWrap/>
          </w:tcPr>
          <w:p>
            <w:pPr>
              <w:pStyle w:val="165"/>
              <w:shd w:val="clear" w:color="auto" w:fill="FFFFFF"/>
              <w:spacing w:line="265" w:lineRule="atLeast"/>
              <w:ind w:left="420"/>
              <w:jc w:val="both"/>
              <w:rPr>
                <w:rFonts w:ascii="宋体" w:hAnsi="宋体" w:cs="宋体"/>
                <w:b/>
                <w:color w:val="000000" w:themeColor="text1"/>
                <w:lang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noWrap/>
          </w:tcPr>
          <w:p>
            <w:pPr>
              <w:pStyle w:val="165"/>
              <w:shd w:val="clear" w:color="auto" w:fill="FFFFFF"/>
              <w:spacing w:line="265" w:lineRule="atLeast"/>
              <w:ind w:left="0" w:firstLine="480" w:firstLineChars="200"/>
              <w:rPr>
                <w:rFonts w:ascii="宋体" w:hAnsi="宋体" w:cs="宋体"/>
                <w:color w:val="000000" w:themeColor="text1"/>
                <w:szCs w:val="21"/>
                <w:lang w:eastAsia="zh-CN"/>
                <w14:textFill>
                  <w14:solidFill>
                    <w14:schemeClr w14:val="tx1"/>
                  </w14:solidFill>
                </w14:textFill>
              </w:rPr>
            </w:pPr>
          </w:p>
        </w:tc>
        <w:tc>
          <w:tcPr>
            <w:tcW w:w="3570" w:type="dxa"/>
            <w:noWrap/>
          </w:tcPr>
          <w:p>
            <w:pP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bottom w:val="single" w:color="auto" w:sz="4" w:space="0"/>
            </w:tcBorders>
            <w:noWrap/>
          </w:tcPr>
          <w:p>
            <w:pPr>
              <w:pStyle w:val="165"/>
              <w:shd w:val="clear" w:color="auto" w:fill="FFFFFF"/>
              <w:spacing w:line="265" w:lineRule="atLeast"/>
              <w:ind w:left="0" w:firstLine="480" w:firstLineChars="200"/>
              <w:rPr>
                <w:rFonts w:ascii="宋体" w:hAnsi="宋体" w:cs="宋体"/>
                <w:color w:val="000000" w:themeColor="text1"/>
                <w:lang w:eastAsia="zh-CN"/>
                <w14:textFill>
                  <w14:solidFill>
                    <w14:schemeClr w14:val="tx1"/>
                  </w14:solidFill>
                </w14:textFill>
              </w:rPr>
            </w:pPr>
          </w:p>
        </w:tc>
        <w:tc>
          <w:tcPr>
            <w:tcW w:w="3570" w:type="dxa"/>
            <w:tcBorders>
              <w:bottom w:val="single" w:color="auto" w:sz="4" w:space="0"/>
            </w:tcBorders>
            <w:noWrap/>
          </w:tcPr>
          <w:p>
            <w:pPr>
              <w:rPr>
                <w:rFonts w:ascii="宋体" w:hAnsi="宋体" w:cs="宋体"/>
                <w:color w:val="000000" w:themeColor="text1"/>
                <w14:textFill>
                  <w14:solidFill>
                    <w14:schemeClr w14:val="tx1"/>
                  </w14:solidFill>
                </w14:textFill>
              </w:rPr>
            </w:pPr>
          </w:p>
        </w:tc>
      </w:tr>
    </w:tbl>
    <w:p>
      <w:pPr>
        <w:rPr>
          <w:rFonts w:ascii="宋体" w:hAnsi="宋体" w:cs="宋体"/>
          <w:color w:val="000000" w:themeColor="text1"/>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bookmarkStart w:id="15" w:name="_Toc16079"/>
    </w:p>
    <w:p>
      <w:pPr>
        <w:jc w:val="center"/>
        <w:outlineLvl w:val="0"/>
        <w:rPr>
          <w:rFonts w:ascii="宋体" w:hAnsi="宋体" w:cs="宋体"/>
          <w:b/>
          <w:bCs/>
          <w:color w:val="000000" w:themeColor="text1"/>
          <w:sz w:val="32"/>
          <w:szCs w:val="32"/>
          <w14:textFill>
            <w14:solidFill>
              <w14:schemeClr w14:val="tx1"/>
            </w14:solidFill>
          </w14:textFill>
        </w:rPr>
      </w:pPr>
    </w:p>
    <w:p>
      <w:pPr>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投标主要文件目录</w:t>
      </w:r>
      <w:bookmarkEnd w:id="15"/>
    </w:p>
    <w:p>
      <w:pPr>
        <w:spacing w:line="440" w:lineRule="exact"/>
        <w:jc w:val="center"/>
        <w:rPr>
          <w:rFonts w:ascii="宋体" w:hAnsi="宋体" w:cs="宋体"/>
          <w:b/>
          <w:bCs/>
          <w:color w:val="000000" w:themeColor="text1"/>
          <w:sz w:val="32"/>
          <w:szCs w:val="32"/>
          <w14:textFill>
            <w14:solidFill>
              <w14:schemeClr w14:val="tx1"/>
            </w14:solidFill>
          </w14:textFill>
        </w:rPr>
      </w:pPr>
    </w:p>
    <w:p>
      <w:pPr>
        <w:ind w:firstLine="480" w:firstLineChars="200"/>
        <w:outlineLvl w:val="0"/>
        <w:rPr>
          <w:rFonts w:ascii="宋体" w:hAnsi="宋体" w:cs="宋体"/>
          <w:color w:val="000000" w:themeColor="text1"/>
          <w:sz w:val="24"/>
          <w14:textFill>
            <w14:solidFill>
              <w14:schemeClr w14:val="tx1"/>
            </w14:solidFill>
          </w14:textFill>
        </w:rPr>
      </w:pPr>
      <w:bookmarkStart w:id="16" w:name="_Toc8971"/>
      <w:r>
        <w:rPr>
          <w:rFonts w:hint="eastAsia" w:ascii="宋体" w:hAnsi="宋体" w:cs="宋体"/>
          <w:color w:val="000000" w:themeColor="text1"/>
          <w:sz w:val="24"/>
          <w14:textFill>
            <w14:solidFill>
              <w14:schemeClr w14:val="tx1"/>
            </w14:solidFill>
          </w14:textFill>
        </w:rPr>
        <w:t>一、</w:t>
      </w:r>
      <w:r>
        <w:rPr>
          <w:rFonts w:hint="eastAsia" w:ascii="宋体" w:hAnsi="宋体" w:cs="宋体"/>
          <w:bCs/>
          <w:color w:val="000000" w:themeColor="text1"/>
          <w:sz w:val="24"/>
          <w14:textFill>
            <w14:solidFill>
              <w14:schemeClr w14:val="tx1"/>
            </w14:solidFill>
          </w14:textFill>
        </w:rPr>
        <w:t>资信证明文件要求</w:t>
      </w:r>
      <w:bookmarkEnd w:id="16"/>
    </w:p>
    <w:p>
      <w:pPr>
        <w:ind w:firstLine="482" w:firstLineChars="200"/>
        <w:outlineLvl w:val="0"/>
        <w:rPr>
          <w:rFonts w:ascii="宋体" w:hAnsi="宋体" w:cs="宋体"/>
          <w:color w:val="000000" w:themeColor="text1"/>
          <w:sz w:val="24"/>
          <w14:textFill>
            <w14:solidFill>
              <w14:schemeClr w14:val="tx1"/>
            </w14:solidFill>
          </w14:textFill>
        </w:rPr>
      </w:pPr>
      <w:bookmarkStart w:id="17" w:name="_Toc400"/>
      <w:r>
        <w:rPr>
          <w:rFonts w:hint="eastAsia" w:ascii="宋体" w:hAnsi="宋体" w:cs="宋体"/>
          <w:b/>
          <w:bCs/>
          <w:color w:val="000000" w:themeColor="text1"/>
          <w:sz w:val="24"/>
          <w14:textFill>
            <w14:solidFill>
              <w14:schemeClr w14:val="tx1"/>
            </w14:solidFill>
          </w14:textFill>
        </w:rPr>
        <w:t>二</w:t>
      </w:r>
      <w:r>
        <w:rPr>
          <w:rFonts w:hint="eastAsia" w:ascii="宋体" w:hAnsi="宋体" w:cs="宋体"/>
          <w:color w:val="000000" w:themeColor="text1"/>
          <w:sz w:val="24"/>
          <w14:textFill>
            <w14:solidFill>
              <w14:schemeClr w14:val="tx1"/>
            </w14:solidFill>
          </w14:textFill>
        </w:rPr>
        <w:t>、资格性审查响应对照表</w:t>
      </w:r>
      <w:bookmarkEnd w:id="17"/>
    </w:p>
    <w:p>
      <w:pPr>
        <w:ind w:firstLine="480" w:firstLineChars="200"/>
        <w:outlineLvl w:val="0"/>
        <w:rPr>
          <w:rFonts w:ascii="宋体" w:hAnsi="宋体" w:cs="宋体"/>
          <w:bCs/>
          <w:color w:val="000000" w:themeColor="text1"/>
          <w:sz w:val="24"/>
          <w14:textFill>
            <w14:solidFill>
              <w14:schemeClr w14:val="tx1"/>
            </w14:solidFill>
          </w14:textFill>
        </w:rPr>
      </w:pPr>
      <w:bookmarkStart w:id="18" w:name="_Toc17993"/>
      <w:r>
        <w:rPr>
          <w:rFonts w:hint="eastAsia" w:ascii="宋体" w:hAnsi="宋体" w:cs="宋体"/>
          <w:color w:val="000000" w:themeColor="text1"/>
          <w:sz w:val="24"/>
          <w14:textFill>
            <w14:solidFill>
              <w14:schemeClr w14:val="tx1"/>
            </w14:solidFill>
          </w14:textFill>
        </w:rPr>
        <w:t>三、符合性检查响应对照表</w:t>
      </w:r>
      <w:bookmarkEnd w:id="18"/>
    </w:p>
    <w:p>
      <w:pPr>
        <w:ind w:firstLine="480" w:firstLineChars="200"/>
        <w:outlineLvl w:val="0"/>
        <w:rPr>
          <w:rFonts w:ascii="宋体" w:hAnsi="宋体" w:cs="宋体"/>
          <w:color w:val="000000" w:themeColor="text1"/>
          <w:sz w:val="24"/>
          <w14:textFill>
            <w14:solidFill>
              <w14:schemeClr w14:val="tx1"/>
            </w14:solidFill>
          </w14:textFill>
        </w:rPr>
      </w:pPr>
      <w:bookmarkStart w:id="19" w:name="_Toc4466"/>
      <w:r>
        <w:rPr>
          <w:rFonts w:hint="eastAsia" w:ascii="宋体" w:hAnsi="宋体" w:cs="宋体"/>
          <w:color w:val="000000" w:themeColor="text1"/>
          <w:sz w:val="24"/>
          <w14:textFill>
            <w14:solidFill>
              <w14:schemeClr w14:val="tx1"/>
            </w14:solidFill>
          </w14:textFill>
        </w:rPr>
        <w:t>四、投标函</w:t>
      </w:r>
      <w:bookmarkEnd w:id="19"/>
    </w:p>
    <w:p>
      <w:pPr>
        <w:ind w:firstLine="480" w:firstLineChars="200"/>
        <w:outlineLvl w:val="0"/>
        <w:rPr>
          <w:rFonts w:hint="eastAsia" w:ascii="宋体" w:hAnsi="宋体" w:eastAsia="宋体" w:cs="宋体"/>
          <w:color w:val="000000" w:themeColor="text1"/>
          <w:sz w:val="24"/>
          <w:lang w:eastAsia="zh-CN"/>
          <w14:textFill>
            <w14:solidFill>
              <w14:schemeClr w14:val="tx1"/>
            </w14:solidFill>
          </w14:textFill>
        </w:rPr>
      </w:pPr>
      <w:bookmarkStart w:id="20" w:name="_Toc30056"/>
      <w:r>
        <w:rPr>
          <w:rFonts w:hint="eastAsia" w:ascii="宋体" w:hAnsi="宋体" w:cs="宋体"/>
          <w:color w:val="000000" w:themeColor="text1"/>
          <w:sz w:val="24"/>
          <w14:textFill>
            <w14:solidFill>
              <w14:schemeClr w14:val="tx1"/>
            </w14:solidFill>
          </w14:textFill>
        </w:rPr>
        <w:t>五</w:t>
      </w:r>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开标一览表</w:t>
      </w:r>
      <w:bookmarkEnd w:id="20"/>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中小企业声明函</w:t>
      </w:r>
    </w:p>
    <w:p>
      <w:pPr>
        <w:ind w:firstLine="480" w:firstLineChars="200"/>
        <w:outlineLvl w:val="0"/>
        <w:rPr>
          <w:rFonts w:ascii="宋体" w:hAnsi="宋体" w:cs="宋体"/>
          <w:color w:val="000000" w:themeColor="text1"/>
          <w:sz w:val="24"/>
          <w14:textFill>
            <w14:solidFill>
              <w14:schemeClr w14:val="tx1"/>
            </w14:solidFill>
          </w14:textFill>
        </w:rPr>
      </w:pPr>
      <w:bookmarkStart w:id="21" w:name="_Toc1256"/>
      <w:r>
        <w:rPr>
          <w:rFonts w:hint="eastAsia" w:ascii="宋体" w:hAnsi="宋体" w:cs="宋体"/>
          <w:color w:val="000000" w:themeColor="text1"/>
          <w:sz w:val="24"/>
          <w14:textFill>
            <w14:solidFill>
              <w14:schemeClr w14:val="tx1"/>
            </w14:solidFill>
          </w14:textFill>
        </w:rPr>
        <w:t>六、投标配置与分项报价表</w:t>
      </w:r>
      <w:bookmarkEnd w:id="21"/>
    </w:p>
    <w:p>
      <w:pPr>
        <w:ind w:firstLine="480" w:firstLineChars="200"/>
        <w:outlineLvl w:val="0"/>
        <w:rPr>
          <w:rFonts w:ascii="宋体" w:hAnsi="宋体" w:cs="宋体"/>
          <w:color w:val="000000" w:themeColor="text1"/>
          <w:sz w:val="24"/>
          <w14:textFill>
            <w14:solidFill>
              <w14:schemeClr w14:val="tx1"/>
            </w14:solidFill>
          </w14:textFill>
        </w:rPr>
      </w:pPr>
      <w:bookmarkStart w:id="22" w:name="_Toc16688"/>
      <w:r>
        <w:rPr>
          <w:rFonts w:hint="eastAsia" w:ascii="宋体" w:hAnsi="宋体" w:cs="宋体"/>
          <w:color w:val="000000" w:themeColor="text1"/>
          <w:sz w:val="24"/>
          <w14:textFill>
            <w14:solidFill>
              <w14:schemeClr w14:val="tx1"/>
            </w14:solidFill>
          </w14:textFill>
        </w:rPr>
        <w:t>七</w:t>
      </w:r>
      <w:r>
        <w:rPr>
          <w:rFonts w:hint="eastAsia" w:ascii="宋体" w:hAnsi="宋体" w:cs="宋体"/>
          <w:color w:val="000000" w:themeColor="text1"/>
          <w:sz w:val="24"/>
          <w:szCs w:val="24"/>
          <w14:textFill>
            <w14:solidFill>
              <w14:schemeClr w14:val="tx1"/>
            </w14:solidFill>
          </w14:textFill>
        </w:rPr>
        <w:t>、技术参数响应及偏离表</w:t>
      </w:r>
      <w:bookmarkEnd w:id="22"/>
    </w:p>
    <w:p>
      <w:pPr>
        <w:ind w:firstLine="480" w:firstLineChars="200"/>
        <w:outlineLvl w:val="0"/>
        <w:rPr>
          <w:rFonts w:ascii="宋体" w:hAnsi="宋体" w:cs="宋体"/>
          <w:color w:val="000000" w:themeColor="text1"/>
          <w:sz w:val="24"/>
          <w14:textFill>
            <w14:solidFill>
              <w14:schemeClr w14:val="tx1"/>
            </w14:solidFill>
          </w14:textFill>
        </w:rPr>
      </w:pPr>
      <w:bookmarkStart w:id="23" w:name="_Toc13614"/>
      <w:r>
        <w:rPr>
          <w:rFonts w:hint="eastAsia" w:ascii="宋体" w:hAnsi="宋体" w:cs="宋体"/>
          <w:color w:val="000000" w:themeColor="text1"/>
          <w:sz w:val="24"/>
          <w14:textFill>
            <w14:solidFill>
              <w14:schemeClr w14:val="tx1"/>
            </w14:solidFill>
          </w14:textFill>
        </w:rPr>
        <w:t>八、商务条款响应及偏离表</w:t>
      </w:r>
      <w:bookmarkEnd w:id="23"/>
    </w:p>
    <w:p>
      <w:pPr>
        <w:ind w:firstLine="480" w:firstLineChars="200"/>
        <w:outlineLvl w:val="0"/>
        <w:rPr>
          <w:rFonts w:ascii="宋体" w:hAnsi="宋体" w:cs="宋体"/>
          <w:color w:val="000000" w:themeColor="text1"/>
          <w:sz w:val="24"/>
          <w14:textFill>
            <w14:solidFill>
              <w14:schemeClr w14:val="tx1"/>
            </w14:solidFill>
          </w14:textFill>
        </w:rPr>
      </w:pPr>
      <w:bookmarkStart w:id="24" w:name="_Toc25377"/>
      <w:r>
        <w:rPr>
          <w:rFonts w:hint="eastAsia" w:ascii="宋体" w:hAnsi="宋体" w:cs="宋体"/>
          <w:color w:val="000000" w:themeColor="text1"/>
          <w:sz w:val="24"/>
          <w14:textFill>
            <w14:solidFill>
              <w14:schemeClr w14:val="tx1"/>
            </w14:solidFill>
          </w14:textFill>
        </w:rPr>
        <w:t>九、技术方案、服务承诺、培训承诺等</w:t>
      </w:r>
      <w:bookmarkEnd w:id="24"/>
    </w:p>
    <w:p>
      <w:pPr>
        <w:spacing w:line="440" w:lineRule="exact"/>
        <w:ind w:firstLine="480" w:firstLineChars="200"/>
        <w:outlineLvl w:val="0"/>
        <w:rPr>
          <w:rFonts w:ascii="宋体" w:hAnsi="宋体" w:cs="宋体"/>
          <w:color w:val="000000" w:themeColor="text1"/>
          <w:sz w:val="24"/>
          <w14:textFill>
            <w14:solidFill>
              <w14:schemeClr w14:val="tx1"/>
            </w14:solidFill>
          </w14:textFill>
        </w:rPr>
      </w:pPr>
      <w:bookmarkStart w:id="25" w:name="_Toc28209"/>
      <w:r>
        <w:rPr>
          <w:rFonts w:hint="eastAsia" w:ascii="宋体" w:hAnsi="宋体" w:cs="宋体"/>
          <w:color w:val="000000" w:themeColor="text1"/>
          <w:sz w:val="24"/>
          <w:szCs w:val="24"/>
          <w14:textFill>
            <w14:solidFill>
              <w14:schemeClr w14:val="tx1"/>
            </w14:solidFill>
          </w14:textFill>
        </w:rPr>
        <w:t>十</w:t>
      </w:r>
      <w:bookmarkEnd w:id="25"/>
      <w:bookmarkStart w:id="26" w:name="_Toc13879"/>
      <w:r>
        <w:rPr>
          <w:rFonts w:hint="eastAsia" w:ascii="宋体" w:hAnsi="宋体" w:cs="宋体"/>
          <w:color w:val="000000" w:themeColor="text1"/>
          <w:sz w:val="24"/>
          <w14:textFill>
            <w14:solidFill>
              <w14:schemeClr w14:val="tx1"/>
            </w14:solidFill>
          </w14:textFill>
        </w:rPr>
        <w:t>、盐城市政府采购事前信用承诺书</w:t>
      </w:r>
      <w:bookmarkEnd w:id="26"/>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p>
    <w:bookmarkEnd w:id="14"/>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27" w:name="_Toc27319"/>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b/>
          <w:bCs/>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一、</w:t>
      </w:r>
      <w:r>
        <w:rPr>
          <w:rFonts w:hint="eastAsia" w:ascii="宋体" w:hAnsi="宋体" w:cs="宋体"/>
          <w:b/>
          <w:bCs/>
          <w:color w:val="000000" w:themeColor="text1"/>
          <w:sz w:val="32"/>
          <w:szCs w:val="32"/>
          <w14:textFill>
            <w14:solidFill>
              <w14:schemeClr w14:val="tx1"/>
            </w14:solidFill>
          </w14:textFill>
        </w:rPr>
        <w:t>资信证明文件要求</w:t>
      </w:r>
      <w:bookmarkEnd w:id="27"/>
    </w:p>
    <w:p>
      <w:pPr>
        <w:snapToGrid w:val="0"/>
        <w:spacing w:before="50" w:after="50"/>
        <w:rPr>
          <w:rFonts w:ascii="宋体" w:hAnsi="宋体" w:cs="宋体"/>
          <w:i/>
          <w:color w:val="000000" w:themeColor="text1"/>
          <w:szCs w:val="24"/>
          <w:u w:val="single"/>
          <w14:textFill>
            <w14:solidFill>
              <w14:schemeClr w14:val="tx1"/>
            </w14:solidFill>
          </w14:textFill>
        </w:rPr>
      </w:pPr>
    </w:p>
    <w:p>
      <w:pPr>
        <w:snapToGrid w:val="0"/>
        <w:spacing w:line="500" w:lineRule="exact"/>
        <w:ind w:firstLine="482" w:firstLineChars="200"/>
        <w:rPr>
          <w:rFonts w:ascii="宋体" w:hAnsi="宋体" w:cs="宋体"/>
          <w:color w:val="000000" w:themeColor="text1"/>
          <w:sz w:val="24"/>
          <w:szCs w:val="20"/>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1、实质性资格证明文件目录</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文件1 法人或者其他组织的营业执照等证明文件，自然人的身份证明（复印件）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文件2 上一年度财务状况报表（复印件，成立不满一年不需提供）</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文件3 依法缴纳税收和社会保障资金的相关材料（复印件）</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文件4 具备履行合同所必需的设备和专业技术能力的书面声明</w:t>
      </w:r>
    </w:p>
    <w:p>
      <w:pPr>
        <w:snapToGrid w:val="0"/>
        <w:spacing w:line="500" w:lineRule="exact"/>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文件5 参加政府采购活动前 3 年内在经营活动中没有重大违法记录的书面声明</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文件6 法人授权书</w:t>
      </w:r>
    </w:p>
    <w:p>
      <w:pPr>
        <w:snapToGrid w:val="0"/>
        <w:spacing w:line="500" w:lineRule="exact"/>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文件7</w:t>
      </w:r>
      <w:r>
        <w:rPr>
          <w:rFonts w:hint="eastAsia" w:ascii="宋体" w:hAnsi="宋体" w:cs="宋体"/>
          <w:b/>
          <w:bCs/>
          <w:color w:val="000000" w:themeColor="text1"/>
          <w:sz w:val="24"/>
          <w:szCs w:val="24"/>
          <w14:textFill>
            <w14:solidFill>
              <w14:schemeClr w14:val="tx1"/>
            </w14:solidFill>
          </w14:textFill>
        </w:rPr>
        <w:t>未被“信用中国”网站（www.creditchina.gov.cn）列入失信被执行人、重大税收违法案件当事人名单、政府采购严重失信行为记录名单的网上查询截图（查询日期为采购公告发布之日当天或以后任一时间）。</w:t>
      </w:r>
    </w:p>
    <w:p>
      <w:pPr>
        <w:snapToGrid w:val="0"/>
        <w:spacing w:line="500" w:lineRule="exact"/>
        <w:ind w:firstLine="480" w:firstLineChars="200"/>
        <w:jc w:val="left"/>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文件8 招标文件中规定要求提供的证明材料和投标人认为需要提供的其他材料</w:t>
      </w:r>
    </w:p>
    <w:p>
      <w:pPr>
        <w:pStyle w:val="10"/>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39"/>
        <w:spacing w:line="240" w:lineRule="atLeast"/>
        <w:rPr>
          <w:rStyle w:val="47"/>
          <w:rFonts w:ascii="宋体" w:hAnsi="宋体" w:cs="宋体"/>
          <w:sz w:val="24"/>
          <w:szCs w:val="24"/>
        </w:rPr>
      </w:pPr>
    </w:p>
    <w:p>
      <w:pPr>
        <w:pStyle w:val="6"/>
        <w:jc w:val="center"/>
        <w:rPr>
          <w:rFonts w:ascii="宋体" w:hAnsi="宋体" w:cs="宋体"/>
          <w:b w:val="0"/>
          <w:bCs w:val="0"/>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具备履行合同所必需的设备和专业技术能力的书面声明</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主要设备有：。</w:t>
      </w:r>
    </w:p>
    <w:p>
      <w:pPr>
        <w:spacing w:line="460" w:lineRule="exact"/>
        <w:ind w:firstLine="492"/>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主要专业技术能力有：。</w:t>
      </w: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ind w:firstLine="492"/>
        <w:rPr>
          <w:rFonts w:ascii="宋体" w:hAnsi="宋体" w:cs="宋体"/>
          <w:bCs/>
          <w:color w:val="000000" w:themeColor="text1"/>
          <w:sz w:val="24"/>
          <w:szCs w:val="24"/>
          <w14:textFill>
            <w14:solidFill>
              <w14:schemeClr w14:val="tx1"/>
            </w14:solidFill>
          </w14:textFill>
        </w:rPr>
      </w:pP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供应商名称（公章）：</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jc w:val="righ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参加政府采购活动前 3 年内在经营活动中没有重大违法记录的书面声明</w:t>
      </w:r>
    </w:p>
    <w:p>
      <w:pPr>
        <w:spacing w:line="460" w:lineRule="exact"/>
        <w:rPr>
          <w:rFonts w:ascii="宋体" w:hAnsi="宋体" w:cs="宋体"/>
          <w:b/>
          <w:bCs/>
          <w:color w:val="000000" w:themeColor="text1"/>
          <w:sz w:val="28"/>
          <w:szCs w:val="28"/>
          <w14:textFill>
            <w14:solidFill>
              <w14:schemeClr w14:val="tx1"/>
            </w14:solidFill>
          </w14:textFill>
        </w:rPr>
      </w:pPr>
    </w:p>
    <w:p>
      <w:pPr>
        <w:jc w:val="center"/>
        <w:rPr>
          <w:rFonts w:ascii="宋体" w:hAnsi="宋体" w:cs="宋体"/>
          <w:b/>
          <w:bCs/>
          <w:color w:val="000000" w:themeColor="text1"/>
          <w:sz w:val="44"/>
          <w:szCs w:val="44"/>
          <w14:textFill>
            <w14:solidFill>
              <w14:schemeClr w14:val="tx1"/>
            </w14:solidFill>
          </w14:textFill>
        </w:rPr>
      </w:pPr>
      <w:r>
        <w:rPr>
          <w:rFonts w:hint="eastAsia" w:ascii="宋体" w:hAnsi="宋体" w:cs="宋体"/>
          <w:b/>
          <w:bCs/>
          <w:color w:val="000000" w:themeColor="text1"/>
          <w:sz w:val="44"/>
          <w:szCs w:val="44"/>
          <w14:textFill>
            <w14:solidFill>
              <w14:schemeClr w14:val="tx1"/>
            </w14:solidFill>
          </w14:textFill>
        </w:rPr>
        <w:t>声  明</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我公司郑重声明：参加本次政府采购活动前 3 年内，我公司在经营活动中没有因违法经营受到刑事处罚或者责令停产停业、吊销许可证或者执照、较大数额罚款等行政处罚。</w:t>
      </w:r>
    </w:p>
    <w:p>
      <w:pPr>
        <w:spacing w:line="460" w:lineRule="exact"/>
        <w:rPr>
          <w:rFonts w:ascii="宋体" w:hAnsi="宋体" w:cs="宋体"/>
          <w:bCs/>
          <w:color w:val="000000" w:themeColor="text1"/>
          <w:sz w:val="24"/>
          <w:szCs w:val="24"/>
          <w14:textFill>
            <w14:solidFill>
              <w14:schemeClr w14:val="tx1"/>
            </w14:solidFill>
          </w14:textFill>
        </w:rPr>
      </w:pP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供应商名称（公章）：</w:t>
      </w:r>
    </w:p>
    <w:p>
      <w:pPr>
        <w:spacing w:line="460" w:lineRule="exact"/>
        <w:ind w:firstLine="3120" w:firstLineChars="1300"/>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授权代表签字：</w:t>
      </w:r>
    </w:p>
    <w:p>
      <w:pPr>
        <w:spacing w:line="460" w:lineRule="exac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                          日期：</w:t>
      </w:r>
      <w:r>
        <w:rPr>
          <w:rFonts w:hint="eastAsia" w:ascii="宋体" w:hAnsi="宋体" w:cs="宋体"/>
          <w:bCs/>
          <w:color w:val="000000" w:themeColor="text1"/>
          <w:sz w:val="24"/>
          <w:szCs w:val="24"/>
          <w:u w:val="single"/>
          <w14:textFill>
            <w14:solidFill>
              <w14:schemeClr w14:val="tx1"/>
            </w14:solidFill>
          </w14:textFill>
        </w:rPr>
        <w:t xml:space="preserve">           年    月    日</w:t>
      </w: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8"/>
          <w:szCs w:val="28"/>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p>
    <w:p>
      <w:pPr>
        <w:pStyle w:val="6"/>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法人授权书</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本授权书声明：____________（供应商名称）授权________________（被授权人的姓名）为我方就</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号项目采购活动的合法代理人，以本公司名义全权处理一切与该项目采购有关的事务。</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本授权书于______年____月____日起生效，特此声明。</w:t>
      </w: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代理人（被授权人）：_______________________</w:t>
      </w:r>
    </w:p>
    <w:p>
      <w:pPr>
        <w:pStyle w:val="166"/>
        <w:ind w:firstLine="0" w:firstLineChars="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14:textFill>
            <w14:solidFill>
              <w14:schemeClr w14:val="tx1"/>
            </w14:solidFill>
          </w14:textFill>
        </w:rPr>
      </w:pPr>
    </w:p>
    <w:p>
      <w:pPr>
        <w:pStyle w:val="166"/>
        <w:ind w:firstLine="0" w:firstLineChars="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授权单位盖章：_________________________________</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单位名称：_____________________________________</w:t>
      </w:r>
    </w:p>
    <w:p>
      <w:pPr>
        <w:pStyle w:val="166"/>
        <w:ind w:firstLine="480"/>
        <w:rPr>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地址：</w:t>
      </w:r>
    </w:p>
    <w:p>
      <w:pPr>
        <w:pStyle w:val="166"/>
        <w:ind w:firstLine="48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日期：                    </w:t>
      </w:r>
    </w:p>
    <w:p>
      <w:pPr>
        <w:pStyle w:val="6"/>
        <w:rPr>
          <w:rFonts w:ascii="宋体" w:hAnsi="宋体" w:cs="宋体"/>
          <w:color w:val="000000" w:themeColor="text1"/>
          <w:sz w:val="24"/>
          <w:szCs w:val="24"/>
          <w14:textFill>
            <w14:solidFill>
              <w14:schemeClr w14:val="tx1"/>
            </w14:solidFill>
          </w14:textFill>
        </w:rPr>
      </w:pPr>
      <w:bookmarkStart w:id="28" w:name="_Hlt26955070"/>
      <w:bookmarkEnd w:id="28"/>
      <w:bookmarkStart w:id="29" w:name="_格式3__银行出具的资信证明"/>
      <w:bookmarkEnd w:id="29"/>
      <w:bookmarkStart w:id="30" w:name="_Hlt26671380"/>
      <w:bookmarkEnd w:id="30"/>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460" w:lineRule="exact"/>
        <w:rPr>
          <w:rFonts w:ascii="宋体" w:hAnsi="宋体" w:cs="宋体"/>
          <w:bCs/>
          <w:color w:val="000000" w:themeColor="text1"/>
          <w:sz w:val="24"/>
          <w14:textFill>
            <w14:solidFill>
              <w14:schemeClr w14:val="tx1"/>
            </w14:solidFill>
          </w14:textFill>
        </w:rPr>
      </w:pPr>
    </w:p>
    <w:p>
      <w:pPr>
        <w:spacing w:line="560" w:lineRule="exact"/>
        <w:rPr>
          <w:rFonts w:ascii="宋体" w:hAnsi="宋体" w:cs="宋体"/>
          <w:bCs/>
          <w:color w:val="000000" w:themeColor="text1"/>
          <w:sz w:val="24"/>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1" w:name="_Toc3822"/>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二、资格性审查响应对照表（格式）</w:t>
      </w:r>
      <w:bookmarkEnd w:id="31"/>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资格性审查响应内容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pacing w:line="440" w:lineRule="exact"/>
        <w:ind w:firstLine="480" w:firstLineChars="200"/>
        <w:rPr>
          <w:rFonts w:ascii="宋体" w:hAnsi="宋体" w:cs="宋体"/>
          <w:color w:val="000000" w:themeColor="text1"/>
          <w:sz w:val="2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rPr>
          <w:rFonts w:ascii="宋体" w:hAnsi="宋体" w:cs="宋体"/>
          <w:color w:val="000000" w:themeColor="text1"/>
          <w:sz w:val="32"/>
          <w:szCs w:val="32"/>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2" w:name="_Toc26324"/>
      <w:r>
        <w:rPr>
          <w:rFonts w:hint="eastAsia" w:ascii="宋体" w:hAnsi="宋体" w:cs="宋体"/>
          <w:color w:val="000000" w:themeColor="text1"/>
          <w:sz w:val="32"/>
          <w:szCs w:val="32"/>
          <w14:textFill>
            <w14:solidFill>
              <w14:schemeClr w14:val="tx1"/>
            </w14:solidFill>
          </w14:textFill>
        </w:rPr>
        <w:t>三、符合性检查响应对照表（格式）</w:t>
      </w:r>
      <w:bookmarkEnd w:id="32"/>
    </w:p>
    <w:p>
      <w:pPr>
        <w:ind w:firstLine="309"/>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投标人全称（加盖公章）：</w:t>
      </w:r>
    </w:p>
    <w:tbl>
      <w:tblPr>
        <w:tblStyle w:val="22"/>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序号</w:t>
            </w:r>
          </w:p>
        </w:tc>
        <w:tc>
          <w:tcPr>
            <w:tcW w:w="5447"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符合性检查响应内容</w:t>
            </w:r>
          </w:p>
        </w:tc>
        <w:tc>
          <w:tcPr>
            <w:tcW w:w="1680"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是否响应</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（填是或者否）</w:t>
            </w:r>
          </w:p>
        </w:tc>
        <w:tc>
          <w:tcPr>
            <w:tcW w:w="1785" w:type="dxa"/>
            <w:noWrap/>
            <w:vAlign w:val="center"/>
          </w:tcPr>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投标文件中的</w:t>
            </w:r>
          </w:p>
          <w:p>
            <w:pPr>
              <w:snapToGrid w:val="0"/>
              <w:spacing w:line="240" w:lineRule="atLeast"/>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1</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b/>
                <w:color w:val="000000" w:themeColor="text1"/>
                <w14:textFill>
                  <w14:solidFill>
                    <w14:schemeClr w14:val="tx1"/>
                  </w14:solidFill>
                </w14:textFill>
              </w:rPr>
            </w:pPr>
          </w:p>
        </w:tc>
        <w:tc>
          <w:tcPr>
            <w:tcW w:w="1785" w:type="dxa"/>
            <w:noWrap/>
            <w:vAlign w:val="center"/>
          </w:tcPr>
          <w:p>
            <w:pPr>
              <w:jc w:val="center"/>
              <w:rPr>
                <w:rFonts w:ascii="宋体" w:hAnsi="宋体" w:cs="宋体"/>
                <w:b/>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2</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3</w:t>
            </w:r>
          </w:p>
        </w:tc>
        <w:tc>
          <w:tcPr>
            <w:tcW w:w="5447" w:type="dxa"/>
            <w:noWrap/>
            <w:vAlign w:val="center"/>
          </w:tcPr>
          <w:p>
            <w:pPr>
              <w:spacing w:line="480" w:lineRule="exac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4</w:t>
            </w:r>
          </w:p>
        </w:tc>
        <w:tc>
          <w:tcPr>
            <w:tcW w:w="5447" w:type="dxa"/>
            <w:noWrap/>
            <w:vAlign w:val="center"/>
          </w:tcPr>
          <w:p>
            <w:pPr>
              <w:spacing w:line="360" w:lineRule="auto"/>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5</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6</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646" w:type="dxa"/>
            <w:noWrap/>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7</w:t>
            </w:r>
          </w:p>
        </w:tc>
        <w:tc>
          <w:tcPr>
            <w:tcW w:w="5447" w:type="dxa"/>
            <w:noWrap/>
            <w:vAlign w:val="center"/>
          </w:tcPr>
          <w:p>
            <w:pPr>
              <w:snapToGrid w:val="0"/>
              <w:spacing w:line="590" w:lineRule="atLeast"/>
              <w:jc w:val="center"/>
              <w:rPr>
                <w:rFonts w:ascii="宋体" w:hAnsi="宋体" w:cs="宋体"/>
                <w:iCs/>
                <w:color w:val="000000" w:themeColor="text1"/>
                <w:sz w:val="24"/>
                <w:szCs w:val="24"/>
                <w14:textFill>
                  <w14:solidFill>
                    <w14:schemeClr w14:val="tx1"/>
                  </w14:solidFill>
                </w14:textFill>
              </w:rPr>
            </w:pPr>
            <w:r>
              <w:rPr>
                <w:rFonts w:hint="eastAsia" w:ascii="宋体" w:hAnsi="宋体" w:cs="宋体"/>
                <w:iCs/>
                <w:color w:val="000000" w:themeColor="text1"/>
                <w:sz w:val="24"/>
                <w:szCs w:val="24"/>
                <w14:textFill>
                  <w14:solidFill>
                    <w14:schemeClr w14:val="tx1"/>
                  </w14:solidFill>
                </w14:textFill>
              </w:rPr>
              <w:t>招标文件中的其他实质性要求</w:t>
            </w:r>
          </w:p>
        </w:tc>
        <w:tc>
          <w:tcPr>
            <w:tcW w:w="1680" w:type="dxa"/>
            <w:noWrap/>
            <w:vAlign w:val="center"/>
          </w:tcPr>
          <w:p>
            <w:pPr>
              <w:jc w:val="center"/>
              <w:rPr>
                <w:rFonts w:ascii="宋体" w:hAnsi="宋体" w:cs="宋体"/>
                <w:color w:val="000000" w:themeColor="text1"/>
                <w14:textFill>
                  <w14:solidFill>
                    <w14:schemeClr w14:val="tx1"/>
                  </w14:solidFill>
                </w14:textFill>
              </w:rPr>
            </w:pPr>
          </w:p>
        </w:tc>
        <w:tc>
          <w:tcPr>
            <w:tcW w:w="1785" w:type="dxa"/>
            <w:noWrap/>
            <w:vAlign w:val="center"/>
          </w:tcPr>
          <w:p>
            <w:pPr>
              <w:jc w:val="center"/>
              <w:rPr>
                <w:rFonts w:ascii="宋体" w:hAnsi="宋体" w:cs="宋体"/>
                <w:color w:val="000000" w:themeColor="text1"/>
                <w14:textFill>
                  <w14:solidFill>
                    <w14:schemeClr w14:val="tx1"/>
                  </w14:solidFill>
                </w14:textFill>
              </w:rPr>
            </w:pPr>
          </w:p>
        </w:tc>
      </w:tr>
    </w:tbl>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44"/>
          <w14:textFill>
            <w14:solidFill>
              <w14:schemeClr w14:val="tx1"/>
            </w14:solidFill>
          </w14:textFill>
        </w:rPr>
      </w:pPr>
    </w:p>
    <w:p>
      <w:pPr>
        <w:snapToGrid w:val="0"/>
        <w:spacing w:before="50" w:after="5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sz w:val="32"/>
          <w:szCs w:val="32"/>
          <w14:textFill>
            <w14:solidFill>
              <w14:schemeClr w14:val="tx1"/>
            </w14:solidFill>
          </w14:textFill>
        </w:rPr>
      </w:pPr>
    </w:p>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33" w:name="_Toc13422"/>
      <w:r>
        <w:rPr>
          <w:rFonts w:hint="eastAsia" w:ascii="宋体" w:hAnsi="宋体" w:cs="宋体"/>
          <w:color w:val="000000" w:themeColor="text1"/>
          <w:sz w:val="32"/>
          <w:szCs w:val="32"/>
          <w14:textFill>
            <w14:solidFill>
              <w14:schemeClr w14:val="tx1"/>
            </w14:solidFill>
          </w14:textFill>
        </w:rPr>
        <w:t>四、投标函（格式）</w:t>
      </w:r>
      <w:bookmarkEnd w:id="33"/>
    </w:p>
    <w:p>
      <w:pPr>
        <w:pStyle w:val="167"/>
        <w:spacing w:before="0" w:after="0" w:line="420" w:lineRule="exact"/>
        <w:ind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致：</w:t>
      </w:r>
      <w:r>
        <w:rPr>
          <w:rFonts w:hint="eastAsia" w:ascii="宋体" w:hAnsi="宋体" w:cs="宋体"/>
          <w:color w:val="000000" w:themeColor="text1"/>
          <w:kern w:val="2"/>
          <w:u w:val="single"/>
          <w14:textFill>
            <w14:solidFill>
              <w14:schemeClr w14:val="tx1"/>
            </w14:solidFill>
          </w14:textFill>
        </w:rPr>
        <w:t>盐城工业职业技术学院</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根据贵方的</w:t>
      </w:r>
      <w:r>
        <w:rPr>
          <w:rFonts w:hint="eastAsia" w:ascii="宋体" w:hAnsi="宋体" w:cs="宋体"/>
          <w:color w:val="000000" w:themeColor="text1"/>
          <w:kern w:val="2"/>
          <w:u w:val="single"/>
          <w14:textFill>
            <w14:solidFill>
              <w14:schemeClr w14:val="tx1"/>
            </w14:solidFill>
          </w14:textFill>
        </w:rPr>
        <w:t xml:space="preserve">     号</w:t>
      </w:r>
      <w:r>
        <w:rPr>
          <w:rFonts w:hint="eastAsia" w:ascii="宋体" w:hAnsi="宋体" w:cs="宋体"/>
          <w:color w:val="000000" w:themeColor="text1"/>
          <w:kern w:val="2"/>
          <w14:textFill>
            <w14:solidFill>
              <w14:schemeClr w14:val="tx1"/>
            </w14:solidFill>
          </w14:textFill>
        </w:rPr>
        <w:t>招标文件，正式授权下述签字人_________________(姓名)代表我方______________（投标人的名称），全权处理本次项目投标的有关事宜。</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据此函，__________签字人兹宣布同意如下：</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1.按招标文件规定的各项要求，向买方提供所需货物与服务。</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2.我们完全理解贵方不一定将合同授予最低报价的投标人。</w:t>
      </w:r>
    </w:p>
    <w:p>
      <w:pPr>
        <w:pStyle w:val="167"/>
        <w:spacing w:before="0" w:after="0" w:line="420" w:lineRule="exact"/>
        <w:ind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3.我们已详细审核全部招标文件及其有效补充文件，我们知道必须放弃提出含糊不清或误解问题的权利。</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4.我们同意从规定的开标日期起遵循本投标文件，并在规定的投标有效期期满之前均具有约束力。</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5.如果在开标后规定的投标有效期内撤回投标或中标后拒绝签订合同，</w:t>
      </w:r>
      <w:r>
        <w:rPr>
          <w:rFonts w:hint="eastAsia" w:ascii="宋体" w:hAnsi="宋体" w:cs="宋体"/>
          <w:color w:val="000000" w:themeColor="text1"/>
          <w14:textFill>
            <w14:solidFill>
              <w14:schemeClr w14:val="tx1"/>
            </w14:solidFill>
          </w14:textFill>
        </w:rPr>
        <w:t>则按照国家相关法律法规受到相应处罚</w:t>
      </w:r>
      <w:r>
        <w:rPr>
          <w:rFonts w:hint="eastAsia" w:ascii="宋体" w:hAnsi="宋体" w:cs="宋体"/>
          <w:color w:val="000000" w:themeColor="text1"/>
          <w:kern w:val="2"/>
          <w14:textFill>
            <w14:solidFill>
              <w14:schemeClr w14:val="tx1"/>
            </w14:solidFill>
          </w14:textFill>
        </w:rPr>
        <w:t>。</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6.同意向贵方提供贵方可能另外要求的与投标有关的任何证据或资料，并保证我方已提供和将要提供的文件是真实的、准确的。</w:t>
      </w:r>
    </w:p>
    <w:p>
      <w:pPr>
        <w:pStyle w:val="167"/>
        <w:spacing w:before="0" w:after="0" w:line="420" w:lineRule="exact"/>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7.一旦我方中标,我方将根据招标文件的规定，严格履行合同的责任和义务,并保证在招标文件规定的时间完成项目，交付买方验收、使用。</w:t>
      </w:r>
    </w:p>
    <w:p>
      <w:pPr>
        <w:pStyle w:val="167"/>
        <w:spacing w:before="0" w:after="0" w:line="420" w:lineRule="exact"/>
        <w:ind w:left="425" w:firstLine="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8.与本投标有关的正式通讯地址为：</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地          址：</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邮          编：</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电          话：</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传          真：</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投标人开户行：</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账          户：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投标人授权代表姓名（签字）：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 xml:space="preserve">投标人名称（公章）： </w:t>
      </w:r>
    </w:p>
    <w:p>
      <w:pPr>
        <w:pStyle w:val="167"/>
        <w:spacing w:before="0" w:after="0" w:line="420" w:lineRule="exact"/>
        <w:ind w:left="420" w:leftChars="200" w:firstLineChars="200"/>
        <w:rPr>
          <w:rFonts w:ascii="宋体" w:hAnsi="宋体" w:cs="宋体"/>
          <w:color w:val="000000" w:themeColor="text1"/>
          <w:kern w:val="2"/>
          <w14:textFill>
            <w14:solidFill>
              <w14:schemeClr w14:val="tx1"/>
            </w14:solidFill>
          </w14:textFill>
        </w:rPr>
      </w:pPr>
      <w:r>
        <w:rPr>
          <w:rFonts w:hint="eastAsia" w:ascii="宋体" w:hAnsi="宋体" w:cs="宋体"/>
          <w:color w:val="000000" w:themeColor="text1"/>
          <w:kern w:val="2"/>
          <w14:textFill>
            <w14:solidFill>
              <w14:schemeClr w14:val="tx1"/>
            </w14:solidFill>
          </w14:textFill>
        </w:rPr>
        <w:t>日           期：________年____月____日</w:t>
      </w:r>
    </w:p>
    <w:p>
      <w:pPr>
        <w:snapToGrid w:val="0"/>
        <w:spacing w:before="50" w:after="145"/>
        <w:jc w:val="left"/>
        <w:rPr>
          <w:rStyle w:val="47"/>
          <w:rFonts w:ascii="宋体" w:hAnsi="宋体" w:cs="宋体"/>
          <w:sz w:val="24"/>
          <w:szCs w:val="20"/>
        </w:rPr>
      </w:pPr>
    </w:p>
    <w:p>
      <w:pPr>
        <w:jc w:val="center"/>
        <w:rPr>
          <w:rStyle w:val="47"/>
          <w:rFonts w:ascii="宋体" w:hAnsi="宋体" w:cs="宋体"/>
          <w:b/>
          <w:sz w:val="32"/>
          <w:szCs w:val="32"/>
        </w:rPr>
      </w:pPr>
    </w:p>
    <w:p>
      <w:pPr>
        <w:pStyle w:val="2"/>
      </w:pPr>
    </w:p>
    <w:p>
      <w:pPr>
        <w:snapToGrid w:val="0"/>
        <w:spacing w:before="50" w:after="50"/>
        <w:rPr>
          <w:rStyle w:val="47"/>
          <w:rFonts w:ascii="宋体" w:hAnsi="宋体" w:cs="宋体"/>
          <w:sz w:val="32"/>
          <w:szCs w:val="32"/>
        </w:rPr>
      </w:pPr>
    </w:p>
    <w:p>
      <w:pPr>
        <w:snapToGrid w:val="0"/>
        <w:spacing w:before="50" w:after="50"/>
        <w:jc w:val="center"/>
        <w:outlineLvl w:val="0"/>
        <w:rPr>
          <w:rStyle w:val="47"/>
          <w:rFonts w:ascii="宋体" w:hAnsi="宋体" w:cs="宋体"/>
          <w:sz w:val="32"/>
          <w:szCs w:val="32"/>
        </w:rPr>
      </w:pPr>
      <w:bookmarkStart w:id="34" w:name="_Toc3373"/>
    </w:p>
    <w:p>
      <w:pPr>
        <w:snapToGrid w:val="0"/>
        <w:spacing w:before="50" w:after="50"/>
        <w:jc w:val="center"/>
        <w:outlineLvl w:val="0"/>
        <w:rPr>
          <w:rStyle w:val="47"/>
          <w:rFonts w:ascii="宋体" w:hAnsi="宋体" w:cs="宋体"/>
          <w:sz w:val="32"/>
          <w:szCs w:val="32"/>
        </w:rPr>
      </w:pPr>
      <w:r>
        <w:rPr>
          <w:rStyle w:val="47"/>
          <w:rFonts w:hint="eastAsia" w:ascii="宋体" w:hAnsi="宋体" w:cs="宋体"/>
          <w:sz w:val="32"/>
          <w:szCs w:val="32"/>
        </w:rPr>
        <w:t>五、开标一览表（格式）</w:t>
      </w:r>
      <w:bookmarkEnd w:id="34"/>
    </w:p>
    <w:p>
      <w:pPr>
        <w:snapToGrid w:val="0"/>
        <w:spacing w:before="50" w:after="50"/>
        <w:jc w:val="center"/>
        <w:rPr>
          <w:rStyle w:val="47"/>
          <w:rFonts w:ascii="宋体" w:hAnsi="宋体" w:cs="宋体"/>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szCs w:val="28"/>
              </w:rPr>
            </w:pPr>
            <w:r>
              <w:rPr>
                <w:rStyle w:val="47"/>
                <w:rFonts w:hint="eastAsia" w:ascii="宋体" w:hAnsi="宋体" w:cs="宋体"/>
                <w:b/>
                <w:bCs/>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7"/>
                <w:rFonts w:ascii="宋体" w:hAnsi="宋体" w:cs="宋体"/>
                <w:b/>
                <w:bCs/>
                <w:szCs w:val="28"/>
              </w:rPr>
            </w:pPr>
            <w:r>
              <w:rPr>
                <w:rStyle w:val="47"/>
                <w:rFonts w:hint="eastAsia" w:ascii="宋体" w:hAnsi="宋体" w:cs="宋体"/>
                <w:b/>
                <w:bCs/>
                <w:szCs w:val="28"/>
              </w:rPr>
              <w:t>是否提供《企业类型声明函》：</w:t>
            </w:r>
            <w:r>
              <w:rPr>
                <w:rStyle w:val="47"/>
                <w:rFonts w:hint="eastAsia" w:ascii="宋体" w:hAnsi="宋体" w:cs="宋体"/>
                <w:b/>
                <w:bCs/>
                <w:szCs w:val="28"/>
                <w:u w:val="single"/>
              </w:rPr>
              <w:t xml:space="preserve"> 是/否 见（   ）页</w:t>
            </w:r>
          </w:p>
        </w:tc>
      </w:tr>
    </w:tbl>
    <w:p>
      <w:pPr>
        <w:spacing w:line="240" w:lineRule="atLeast"/>
        <w:rPr>
          <w:rStyle w:val="47"/>
          <w:rFonts w:ascii="宋体" w:hAnsi="宋体" w:cs="宋体"/>
          <w:szCs w:val="28"/>
        </w:rPr>
      </w:pPr>
    </w:p>
    <w:p>
      <w:pPr>
        <w:spacing w:line="240" w:lineRule="atLeast"/>
        <w:rPr>
          <w:rStyle w:val="47"/>
          <w:rFonts w:ascii="宋体" w:hAnsi="宋体" w:cs="宋体"/>
          <w:szCs w:val="28"/>
        </w:rPr>
      </w:pPr>
      <w:r>
        <w:rPr>
          <w:rStyle w:val="47"/>
          <w:rFonts w:hint="eastAsia" w:ascii="宋体" w:hAnsi="宋体" w:cs="宋体"/>
          <w:szCs w:val="28"/>
        </w:rPr>
        <w:t>填写说明：</w:t>
      </w:r>
    </w:p>
    <w:p>
      <w:pPr>
        <w:numPr>
          <w:ilvl w:val="0"/>
          <w:numId w:val="4"/>
        </w:numPr>
        <w:rPr>
          <w:rStyle w:val="47"/>
          <w:rFonts w:ascii="宋体" w:hAnsi="宋体" w:cs="宋体"/>
          <w:sz w:val="24"/>
        </w:rPr>
      </w:pPr>
      <w:r>
        <w:rPr>
          <w:rStyle w:val="47"/>
          <w:rFonts w:hint="eastAsia" w:ascii="宋体" w:hAnsi="宋体" w:cs="宋体"/>
          <w:sz w:val="24"/>
        </w:rPr>
        <w:t>开标一览表不得填报选择性报价，否则将作为无效投标；</w:t>
      </w:r>
    </w:p>
    <w:p>
      <w:pPr>
        <w:numPr>
          <w:ilvl w:val="0"/>
          <w:numId w:val="4"/>
        </w:numPr>
        <w:rPr>
          <w:rStyle w:val="47"/>
          <w:rFonts w:ascii="宋体" w:hAnsi="宋体" w:cs="宋体"/>
          <w:sz w:val="24"/>
        </w:rPr>
      </w:pPr>
      <w:r>
        <w:rPr>
          <w:rStyle w:val="47"/>
          <w:rFonts w:hint="eastAsia" w:ascii="宋体" w:hAnsi="宋体" w:cs="宋体"/>
          <w:sz w:val="24"/>
        </w:rPr>
        <w:t>开标一览表中报价与投标分项明细报价表中不符时时，以开标一览表为准；</w:t>
      </w:r>
    </w:p>
    <w:p>
      <w:pPr>
        <w:ind w:firstLine="2640" w:firstLineChars="600"/>
        <w:rPr>
          <w:rStyle w:val="47"/>
          <w:rFonts w:ascii="宋体" w:hAnsi="宋体" w:cs="宋体"/>
          <w:sz w:val="44"/>
        </w:rPr>
      </w:pPr>
    </w:p>
    <w:p>
      <w:pPr>
        <w:ind w:firstLine="480"/>
        <w:rPr>
          <w:rStyle w:val="47"/>
          <w:rFonts w:ascii="宋体" w:hAnsi="宋体" w:cs="宋体"/>
          <w:sz w:val="24"/>
        </w:rPr>
      </w:pPr>
    </w:p>
    <w:p>
      <w:pPr>
        <w:ind w:firstLine="480"/>
        <w:rPr>
          <w:rStyle w:val="47"/>
          <w:rFonts w:ascii="宋体" w:hAnsi="宋体" w:cs="宋体"/>
          <w:sz w:val="24"/>
        </w:rPr>
      </w:pPr>
    </w:p>
    <w:p>
      <w:pPr>
        <w:ind w:firstLine="480"/>
        <w:jc w:val="center"/>
        <w:rPr>
          <w:rStyle w:val="47"/>
          <w:rFonts w:ascii="宋体" w:hAnsi="宋体" w:cs="宋体"/>
          <w:sz w:val="24"/>
        </w:rPr>
      </w:pPr>
      <w:r>
        <w:rPr>
          <w:rStyle w:val="47"/>
          <w:rFonts w:hint="eastAsia" w:ascii="宋体" w:hAnsi="宋体" w:cs="宋体"/>
          <w:bCs/>
          <w:sz w:val="24"/>
        </w:rPr>
        <w:t xml:space="preserve">                                        供应商名称（公章）：</w:t>
      </w:r>
    </w:p>
    <w:p>
      <w:pPr>
        <w:ind w:firstLine="480"/>
        <w:rPr>
          <w:rStyle w:val="47"/>
          <w:rFonts w:ascii="宋体" w:hAnsi="宋体" w:cs="宋体"/>
          <w:sz w:val="24"/>
        </w:rPr>
      </w:pPr>
      <w:r>
        <w:rPr>
          <w:rStyle w:val="47"/>
          <w:rFonts w:hint="eastAsia" w:ascii="宋体" w:hAnsi="宋体" w:cs="宋体"/>
          <w:sz w:val="24"/>
        </w:rPr>
        <w:t xml:space="preserve">                                              日期： 年月日</w:t>
      </w:r>
    </w:p>
    <w:p>
      <w:pPr>
        <w:pStyle w:val="2"/>
      </w:pPr>
    </w:p>
    <w:p/>
    <w:p>
      <w:pPr>
        <w:pStyle w:val="8"/>
      </w:pPr>
    </w:p>
    <w:p/>
    <w:p>
      <w:pPr>
        <w:rPr>
          <w:rFonts w:ascii="宋体" w:hAnsi="宋体" w:cs="宋体"/>
          <w:b/>
          <w:sz w:val="24"/>
          <w:szCs w:val="24"/>
        </w:rPr>
      </w:pPr>
      <w:bookmarkStart w:id="35" w:name="_Toc13776"/>
      <w:bookmarkStart w:id="36" w:name="_Toc515647824"/>
      <w:bookmarkStart w:id="37" w:name="_Toc11803"/>
      <w:bookmarkStart w:id="38" w:name="_Toc10977"/>
    </w:p>
    <w:bookmarkEnd w:id="35"/>
    <w:bookmarkEnd w:id="36"/>
    <w:bookmarkEnd w:id="37"/>
    <w:bookmarkEnd w:id="38"/>
    <w:p>
      <w:pPr>
        <w:pStyle w:val="5"/>
        <w:pageBreakBefore/>
        <w:rPr>
          <w:rFonts w:hint="default" w:ascii="宋体" w:hAnsi="宋体" w:eastAsia="宋体" w:cs="宋体"/>
          <w:bCs w:val="0"/>
          <w:color w:val="000000" w:themeColor="text1"/>
          <w:sz w:val="32"/>
          <w:szCs w:val="32"/>
          <w14:textFill>
            <w14:solidFill>
              <w14:schemeClr w14:val="tx1"/>
            </w14:solidFill>
          </w14:textFill>
        </w:rPr>
      </w:pPr>
      <w:r>
        <w:rPr>
          <w:rFonts w:ascii="宋体" w:hAnsi="宋体" w:eastAsia="宋体" w:cs="宋体"/>
          <w:bCs w:val="0"/>
          <w:color w:val="000000" w:themeColor="text1"/>
          <w:sz w:val="32"/>
          <w:szCs w:val="32"/>
          <w14:textFill>
            <w14:solidFill>
              <w14:schemeClr w14:val="tx1"/>
            </w14:solidFill>
          </w14:textFill>
        </w:rPr>
        <w:t>中小企业声明</w:t>
      </w:r>
    </w:p>
    <w:p>
      <w:pPr>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附件：1、中小企业声明函（服务）</w:t>
      </w:r>
    </w:p>
    <w:p>
      <w:pPr>
        <w:spacing w:line="360" w:lineRule="auto"/>
        <w:ind w:firstLine="420" w:firstLineChars="200"/>
        <w:outlineLvl w:val="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附件：2、《残疾人福利性单位声明函》（格式）</w:t>
      </w: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spacing w:line="360" w:lineRule="auto"/>
        <w:rPr>
          <w:rFonts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注：采购标的的所属行业为</w:t>
      </w:r>
      <w:r>
        <w:rPr>
          <w:rFonts w:hint="eastAsia"/>
          <w:b/>
          <w:szCs w:val="24"/>
        </w:rPr>
        <w:t>软件和信息技术服务业</w:t>
      </w:r>
      <w:r>
        <w:rPr>
          <w:rFonts w:hint="eastAsia" w:ascii="宋体" w:hAnsi="宋体" w:cs="宋体"/>
          <w:b/>
          <w:bCs/>
          <w:color w:val="000000" w:themeColor="text1"/>
          <w14:textFill>
            <w14:solidFill>
              <w14:schemeClr w14:val="tx1"/>
            </w14:solidFill>
          </w14:textFill>
        </w:rPr>
        <w:t>，根据《关于印发中小企业划型标准规定的通知》（工信部联企业[2011]300号）文件规定及国家统计局关于印发《统计上大中小微型企业划分办法（2017）》的通知规定的划分标准填写。</w:t>
      </w: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p>
    <w:p>
      <w:pPr>
        <w:pStyle w:val="20"/>
        <w:shd w:val="clear" w:color="auto" w:fill="FFFFFF"/>
        <w:spacing w:before="0" w:beforeAutospacing="0" w:after="0" w:afterAutospacing="0" w:line="560" w:lineRule="atLeast"/>
        <w:jc w:val="both"/>
        <w:rPr>
          <w:b/>
          <w:color w:val="000000" w:themeColor="text1"/>
          <w:shd w:val="clear" w:color="auto" w:fill="FFFFFF"/>
          <w14:textFill>
            <w14:solidFill>
              <w14:schemeClr w14:val="tx1"/>
            </w14:solidFill>
          </w14:textFill>
        </w:rPr>
      </w:pPr>
      <w:r>
        <w:rPr>
          <w:rFonts w:hint="eastAsia"/>
          <w:b/>
          <w:color w:val="000000" w:themeColor="text1"/>
          <w:shd w:val="clear" w:color="auto" w:fill="FFFFFF"/>
          <w14:textFill>
            <w14:solidFill>
              <w14:schemeClr w14:val="tx1"/>
            </w14:solidFill>
          </w14:textFill>
        </w:rPr>
        <w:t>附件1：</w:t>
      </w:r>
      <w:r>
        <w:rPr>
          <w:rFonts w:hint="eastAsia"/>
          <w:b/>
          <w:bCs/>
          <w:color w:val="000000" w:themeColor="text1"/>
          <w14:textFill>
            <w14:solidFill>
              <w14:schemeClr w14:val="tx1"/>
            </w14:solidFill>
          </w14:textFill>
        </w:rPr>
        <w:t>中小企业声明函（货物）</w:t>
      </w:r>
    </w:p>
    <w:p>
      <w:pPr>
        <w:spacing w:line="560" w:lineRule="exact"/>
        <w:jc w:val="center"/>
        <w:rPr>
          <w:rFonts w:hint="eastAsia" w:ascii="宋体" w:hAnsi="宋体"/>
          <w:b/>
          <w:bCs/>
          <w:sz w:val="32"/>
          <w:szCs w:val="32"/>
          <w:highlight w:val="none"/>
        </w:rPr>
      </w:pPr>
      <w:r>
        <w:rPr>
          <w:rFonts w:hint="eastAsia" w:ascii="宋体" w:hAnsi="宋体"/>
          <w:b/>
          <w:bCs/>
          <w:sz w:val="32"/>
          <w:szCs w:val="32"/>
          <w:highlight w:val="none"/>
        </w:rPr>
        <w:t>中小企业声明函（</w:t>
      </w:r>
      <w:r>
        <w:rPr>
          <w:rFonts w:hint="eastAsia" w:ascii="宋体" w:hAnsi="宋体"/>
          <w:b/>
          <w:bCs/>
          <w:sz w:val="32"/>
          <w:szCs w:val="32"/>
          <w:highlight w:val="none"/>
          <w:lang w:val="en-US" w:eastAsia="zh-CN"/>
        </w:rPr>
        <w:t>服务</w:t>
      </w:r>
      <w:r>
        <w:rPr>
          <w:rFonts w:hint="eastAsia" w:ascii="宋体" w:hAnsi="宋体"/>
          <w:b/>
          <w:bCs/>
          <w:sz w:val="32"/>
          <w:szCs w:val="32"/>
          <w:highlight w:val="none"/>
        </w:rPr>
        <w:t>）</w:t>
      </w:r>
    </w:p>
    <w:p>
      <w:pPr>
        <w:spacing w:line="560" w:lineRule="exact"/>
        <w:rPr>
          <w:rFonts w:hint="eastAsia" w:ascii="宋体" w:hAnsi="宋体"/>
          <w:b/>
          <w:bCs/>
          <w:sz w:val="28"/>
          <w:szCs w:val="28"/>
          <w:highlight w:val="none"/>
        </w:rPr>
      </w:pP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本公司郑重声明，根据《政府采购促进中小企业发展管理办法》（财库﹝2020﹞46 号）的规定，本公司参加</w:t>
      </w:r>
      <w:r>
        <w:rPr>
          <w:rFonts w:hint="eastAsia" w:ascii="宋体" w:hAnsi="宋体" w:cs="宋体"/>
          <w:sz w:val="24"/>
          <w:szCs w:val="24"/>
          <w:highlight w:val="none"/>
          <w:u w:val="single"/>
        </w:rPr>
        <w:t>（单位名称）</w:t>
      </w:r>
      <w:r>
        <w:rPr>
          <w:rFonts w:hint="eastAsia" w:ascii="宋体" w:hAnsi="宋体" w:cs="宋体"/>
          <w:sz w:val="24"/>
          <w:szCs w:val="24"/>
          <w:highlight w:val="none"/>
        </w:rPr>
        <w:t>的</w:t>
      </w:r>
      <w:r>
        <w:rPr>
          <w:rFonts w:hint="eastAsia" w:ascii="宋体" w:hAnsi="宋体" w:cs="宋体"/>
          <w:sz w:val="24"/>
          <w:szCs w:val="24"/>
          <w:highlight w:val="none"/>
          <w:u w:val="single"/>
        </w:rPr>
        <w:t>（项目名称）</w:t>
      </w:r>
      <w:r>
        <w:rPr>
          <w:rFonts w:hint="eastAsia" w:ascii="宋体" w:hAnsi="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numPr>
          <w:ilvl w:val="0"/>
          <w:numId w:val="5"/>
        </w:numPr>
        <w:ind w:firstLine="480" w:firstLineChars="200"/>
        <w:jc w:val="left"/>
        <w:rPr>
          <w:rFonts w:hint="eastAsia" w:ascii="宋体" w:hAnsi="宋体" w:cs="宋体"/>
          <w:sz w:val="24"/>
          <w:szCs w:val="24"/>
          <w:highlight w:val="none"/>
        </w:rPr>
      </w:pPr>
      <w:r>
        <w:rPr>
          <w:rFonts w:hint="eastAsia" w:ascii="宋体" w:hAnsi="宋体" w:cs="宋体"/>
          <w:i/>
          <w:iCs/>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i/>
          <w:iCs/>
          <w:sz w:val="24"/>
          <w:szCs w:val="24"/>
          <w:highlight w:val="none"/>
          <w:u w:val="single"/>
        </w:rPr>
        <w:t>（采购文件中明确的所属行业）</w:t>
      </w:r>
      <w:r>
        <w:rPr>
          <w:rFonts w:hint="eastAsia" w:ascii="宋体" w:hAnsi="宋体" w:cs="宋体"/>
          <w:sz w:val="24"/>
          <w:szCs w:val="24"/>
          <w:highlight w:val="none"/>
        </w:rPr>
        <w:t>行业；承接（承接）企业为</w:t>
      </w:r>
      <w:r>
        <w:rPr>
          <w:rFonts w:hint="eastAsia" w:ascii="宋体" w:hAnsi="宋体" w:cs="宋体"/>
          <w:i/>
          <w:iCs/>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i/>
          <w:iCs/>
          <w:sz w:val="24"/>
          <w:szCs w:val="24"/>
          <w:highlight w:val="none"/>
          <w:u w:val="single"/>
        </w:rPr>
        <w:t>（中型企业、小型企业、微型企业）</w:t>
      </w:r>
      <w:r>
        <w:rPr>
          <w:rFonts w:hint="eastAsia" w:ascii="宋体" w:hAnsi="宋体" w:cs="宋体"/>
          <w:sz w:val="24"/>
          <w:szCs w:val="24"/>
          <w:highlight w:val="none"/>
        </w:rPr>
        <w:t>；</w:t>
      </w:r>
    </w:p>
    <w:p>
      <w:pPr>
        <w:widowControl/>
        <w:numPr>
          <w:ilvl w:val="0"/>
          <w:numId w:val="5"/>
        </w:numPr>
        <w:ind w:firstLine="480" w:firstLineChars="200"/>
        <w:jc w:val="left"/>
        <w:rPr>
          <w:rFonts w:hint="eastAsia" w:ascii="宋体" w:hAnsi="宋体" w:cs="宋体"/>
          <w:sz w:val="24"/>
          <w:szCs w:val="24"/>
          <w:highlight w:val="none"/>
        </w:rPr>
      </w:pPr>
      <w:r>
        <w:rPr>
          <w:rFonts w:hint="eastAsia" w:ascii="宋体" w:hAnsi="宋体" w:cs="宋体"/>
          <w:i/>
          <w:iCs/>
          <w:sz w:val="24"/>
          <w:szCs w:val="24"/>
          <w:highlight w:val="none"/>
          <w:u w:val="single"/>
        </w:rPr>
        <w:t xml:space="preserve">（标的名称） </w:t>
      </w:r>
      <w:r>
        <w:rPr>
          <w:rFonts w:hint="eastAsia" w:ascii="宋体" w:hAnsi="宋体" w:cs="宋体"/>
          <w:sz w:val="24"/>
          <w:szCs w:val="24"/>
          <w:highlight w:val="none"/>
        </w:rPr>
        <w:t>，属于</w:t>
      </w:r>
      <w:r>
        <w:rPr>
          <w:rFonts w:hint="eastAsia" w:ascii="宋体" w:hAnsi="宋体" w:cs="宋体"/>
          <w:i/>
          <w:iCs/>
          <w:sz w:val="24"/>
          <w:szCs w:val="24"/>
          <w:highlight w:val="none"/>
          <w:u w:val="single"/>
        </w:rPr>
        <w:t>（采购文件中明确的所属行业）</w:t>
      </w:r>
      <w:r>
        <w:rPr>
          <w:rFonts w:hint="eastAsia" w:ascii="宋体" w:hAnsi="宋体" w:cs="宋体"/>
          <w:sz w:val="24"/>
          <w:szCs w:val="24"/>
          <w:highlight w:val="none"/>
        </w:rPr>
        <w:t>行业；承接（承接）企业为</w:t>
      </w:r>
      <w:r>
        <w:rPr>
          <w:rFonts w:hint="eastAsia" w:ascii="宋体" w:hAnsi="宋体" w:cs="宋体"/>
          <w:i/>
          <w:iCs/>
          <w:sz w:val="24"/>
          <w:szCs w:val="24"/>
          <w:highlight w:val="none"/>
          <w:u w:val="single"/>
        </w:rPr>
        <w:t>（企业名称）</w:t>
      </w:r>
      <w:r>
        <w:rPr>
          <w:rFonts w:hint="eastAsia" w:ascii="宋体" w:hAnsi="宋体" w:cs="宋体"/>
          <w:sz w:val="24"/>
          <w:szCs w:val="24"/>
          <w:highlight w:val="none"/>
        </w:rPr>
        <w:t>，从业人员</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i/>
          <w:iCs/>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i/>
          <w:iCs/>
          <w:sz w:val="24"/>
          <w:szCs w:val="24"/>
          <w:highlight w:val="none"/>
          <w:u w:val="single"/>
        </w:rPr>
        <w:t>（中型企业、小型企业、微型企业）</w:t>
      </w:r>
      <w:r>
        <w:rPr>
          <w:rFonts w:hint="eastAsia" w:ascii="宋体" w:hAnsi="宋体" w:cs="宋体"/>
          <w:sz w:val="24"/>
          <w:szCs w:val="24"/>
          <w:highlight w:val="none"/>
        </w:rPr>
        <w:t>；</w:t>
      </w: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w:t>
      </w: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pPr>
        <w:widowControl/>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pPr>
        <w:widowControl/>
        <w:ind w:firstLine="4080" w:firstLineChars="1700"/>
        <w:jc w:val="left"/>
        <w:rPr>
          <w:rFonts w:hint="eastAsia" w:ascii="宋体" w:hAnsi="宋体" w:cs="宋体"/>
          <w:sz w:val="24"/>
          <w:szCs w:val="24"/>
          <w:highlight w:val="none"/>
        </w:rPr>
      </w:pPr>
      <w:r>
        <w:rPr>
          <w:rFonts w:hint="eastAsia" w:ascii="宋体" w:hAnsi="宋体" w:cs="宋体"/>
          <w:sz w:val="24"/>
          <w:szCs w:val="24"/>
          <w:highlight w:val="none"/>
        </w:rPr>
        <w:t>企业名称（盖章）：</w:t>
      </w:r>
    </w:p>
    <w:p>
      <w:pPr>
        <w:widowControl/>
        <w:ind w:firstLine="4080" w:firstLineChars="1700"/>
        <w:jc w:val="left"/>
        <w:rPr>
          <w:rFonts w:hint="eastAsia" w:ascii="宋体" w:hAnsi="宋体" w:cs="宋体"/>
          <w:sz w:val="24"/>
          <w:szCs w:val="24"/>
          <w:highlight w:val="none"/>
        </w:rPr>
      </w:pPr>
      <w:r>
        <w:rPr>
          <w:rFonts w:hint="eastAsia" w:ascii="宋体" w:hAnsi="宋体" w:cs="宋体"/>
          <w:sz w:val="24"/>
          <w:szCs w:val="24"/>
          <w:highlight w:val="none"/>
        </w:rPr>
        <w:t>日期：</w:t>
      </w:r>
    </w:p>
    <w:p>
      <w:pPr>
        <w:spacing w:line="560" w:lineRule="exact"/>
        <w:jc w:val="center"/>
        <w:rPr>
          <w:rFonts w:hint="eastAsia" w:ascii="宋体" w:hAnsi="宋体"/>
          <w:b/>
          <w:bCs/>
          <w:highlight w:val="none"/>
        </w:rPr>
      </w:pPr>
      <w:r>
        <w:rPr>
          <w:rFonts w:hint="eastAsia" w:ascii="宋体" w:hAnsi="宋体"/>
          <w:b/>
          <w:bCs/>
          <w:highlight w:val="none"/>
        </w:rPr>
        <w:t>从业人员、营业收入、资产总额填报上一年度数据，无上一年度数据的新成立企业可不填报。</w:t>
      </w:r>
    </w:p>
    <w:p>
      <w:pPr>
        <w:spacing w:line="360" w:lineRule="auto"/>
        <w:jc w:val="center"/>
        <w:rPr>
          <w:rFonts w:hint="eastAsia" w:ascii="宋体" w:hAnsi="宋体"/>
          <w:b/>
          <w:bCs/>
          <w:color w:val="000000"/>
          <w:sz w:val="32"/>
          <w:szCs w:val="32"/>
          <w:highlight w:val="none"/>
        </w:rPr>
      </w:pPr>
    </w:p>
    <w:p>
      <w:pPr>
        <w:spacing w:line="360" w:lineRule="auto"/>
        <w:jc w:val="center"/>
        <w:rPr>
          <w:rFonts w:hint="eastAsia" w:ascii="宋体" w:hAnsi="宋体"/>
          <w:b/>
          <w:bCs/>
          <w:color w:val="000000"/>
          <w:sz w:val="32"/>
          <w:szCs w:val="32"/>
          <w:highlight w:val="none"/>
        </w:rPr>
      </w:pPr>
    </w:p>
    <w:p>
      <w:pPr>
        <w:pStyle w:val="20"/>
        <w:shd w:val="clear" w:color="auto" w:fill="FFFFFF"/>
        <w:spacing w:before="0" w:beforeAutospacing="0" w:after="0" w:afterAutospacing="0" w:line="560" w:lineRule="atLeast"/>
        <w:jc w:val="center"/>
        <w:rPr>
          <w:color w:val="000000" w:themeColor="text1"/>
          <w:sz w:val="21"/>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p>
    <w:p>
      <w:pPr>
        <w:spacing w:line="360" w:lineRule="auto"/>
        <w:outlineLvl w:val="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附件2、残疾人福利性单位声明函</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残疾人福利性单位声明函</w:t>
      </w:r>
    </w:p>
    <w:p>
      <w:pPr>
        <w:spacing w:line="360" w:lineRule="auto"/>
        <w:ind w:firstLine="482" w:firstLineChars="200"/>
        <w:jc w:val="center"/>
        <w:rPr>
          <w:rFonts w:ascii="宋体" w:hAnsi="宋体" w:cs="宋体"/>
          <w:b/>
          <w:color w:val="000000" w:themeColor="text1"/>
          <w:sz w:val="24"/>
          <w:szCs w:val="24"/>
          <w14:textFill>
            <w14:solidFill>
              <w14:schemeClr w14:val="tx1"/>
            </w14:solidFill>
          </w14:textFill>
        </w:rPr>
      </w:pP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14:textFill>
            <w14:solidFill>
              <w14:schemeClr w14:val="tx1"/>
            </w14:solidFill>
          </w14:textFill>
        </w:rPr>
      </w:pPr>
    </w:p>
    <w:p>
      <w:pPr>
        <w:spacing w:line="360" w:lineRule="auto"/>
        <w:ind w:firstLine="3960" w:firstLineChars="1650"/>
        <w:rPr>
          <w:rStyle w:val="159"/>
          <w:rFonts w:ascii="宋体" w:hAnsi="宋体" w:cs="宋体"/>
          <w:color w:val="000000" w:themeColor="text1"/>
          <w:sz w:val="24"/>
          <w:szCs w:val="24"/>
          <w:u w:val="single"/>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残疾人福利性</w:t>
      </w:r>
      <w:r>
        <w:rPr>
          <w:rFonts w:hint="eastAsia" w:ascii="宋体" w:hAnsi="宋体" w:cs="宋体"/>
          <w:color w:val="000000" w:themeColor="text1"/>
          <w:sz w:val="24"/>
          <w:szCs w:val="24"/>
          <w14:textFill>
            <w14:solidFill>
              <w14:schemeClr w14:val="tx1"/>
            </w14:solidFill>
          </w14:textFill>
        </w:rPr>
        <w:t>单位名称（盖章）：</w:t>
      </w:r>
    </w:p>
    <w:p>
      <w:pPr>
        <w:spacing w:line="360" w:lineRule="auto"/>
        <w:ind w:firstLine="3960" w:firstLineChars="165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日</w:t>
      </w:r>
      <w:r>
        <w:rPr>
          <w:rStyle w:val="159"/>
          <w:rFonts w:hint="eastAsia" w:ascii="宋体" w:hAnsi="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14:textFill>
            <w14:solidFill>
              <w14:schemeClr w14:val="tx1"/>
            </w14:solidFill>
          </w14:textFill>
        </w:rPr>
        <w:t> 期：</w:t>
      </w:r>
    </w:p>
    <w:p>
      <w:pPr>
        <w:rPr>
          <w:color w:val="000000" w:themeColor="text1"/>
          <w14:textFill>
            <w14:solidFill>
              <w14:schemeClr w14:val="tx1"/>
            </w14:solidFill>
          </w14:textFill>
        </w:rPr>
        <w:sectPr>
          <w:headerReference r:id="rId10" w:type="default"/>
          <w:footerReference r:id="rId11" w:type="default"/>
          <w:pgSz w:w="11906" w:h="16838"/>
          <w:pgMar w:top="1417" w:right="1588" w:bottom="1417" w:left="1365" w:header="851" w:footer="907" w:gutter="0"/>
          <w:cols w:space="720" w:num="1"/>
          <w:docGrid w:type="lines" w:linePitch="290" w:charSpace="0"/>
        </w:sectPr>
      </w:pPr>
    </w:p>
    <w:p>
      <w:pPr>
        <w:snapToGrid w:val="0"/>
        <w:spacing w:before="50" w:after="50"/>
        <w:rPr>
          <w:rFonts w:ascii="宋体" w:hAnsi="宋体"/>
          <w:color w:val="000000" w:themeColor="text1"/>
          <w:sz w:val="32"/>
          <w:szCs w:val="32"/>
          <w14:textFill>
            <w14:solidFill>
              <w14:schemeClr w14:val="tx1"/>
            </w14:solidFill>
          </w14:textFill>
        </w:rPr>
      </w:pPr>
      <w:bookmarkStart w:id="39" w:name="_Toc3073"/>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t>六、投标产品配置及分项报价表</w:t>
      </w:r>
      <w:bookmarkEnd w:id="39"/>
    </w:p>
    <w:tbl>
      <w:tblPr>
        <w:tblStyle w:val="22"/>
        <w:tblW w:w="108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97"/>
        <w:gridCol w:w="6803"/>
        <w:gridCol w:w="615"/>
        <w:gridCol w:w="465"/>
        <w:gridCol w:w="960"/>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产品名称</w:t>
            </w:r>
          </w:p>
        </w:tc>
        <w:tc>
          <w:tcPr>
            <w:tcW w:w="6803"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技术参数</w:t>
            </w:r>
          </w:p>
        </w:tc>
        <w:tc>
          <w:tcPr>
            <w:tcW w:w="615"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单位</w:t>
            </w:r>
          </w:p>
        </w:tc>
        <w:tc>
          <w:tcPr>
            <w:tcW w:w="465" w:type="dxa"/>
            <w:shd w:val="clear" w:color="auto" w:fill="auto"/>
            <w:vAlign w:val="center"/>
          </w:tcPr>
          <w:p>
            <w:pPr>
              <w:spacing w:line="360" w:lineRule="auto"/>
              <w:jc w:val="center"/>
              <w:rPr>
                <w:rFonts w:ascii="宋体" w:hAnsi="宋体" w:eastAsia="宋体" w:cs="宋体"/>
                <w:b/>
                <w:color w:val="000000"/>
                <w:sz w:val="24"/>
                <w:szCs w:val="24"/>
              </w:rPr>
            </w:pPr>
            <w:r>
              <w:rPr>
                <w:rFonts w:hint="eastAsia" w:ascii="宋体" w:hAnsi="宋体" w:eastAsia="宋体" w:cs="宋体"/>
                <w:b/>
                <w:color w:val="000000"/>
                <w:sz w:val="24"/>
                <w:szCs w:val="24"/>
              </w:rPr>
              <w:t>数量</w:t>
            </w:r>
          </w:p>
        </w:tc>
        <w:tc>
          <w:tcPr>
            <w:tcW w:w="960" w:type="dxa"/>
            <w:shd w:val="clear" w:color="auto" w:fill="auto"/>
            <w:vAlign w:val="center"/>
          </w:tcPr>
          <w:p>
            <w:pPr>
              <w:spacing w:line="360" w:lineRule="auto"/>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单价（元）</w:t>
            </w:r>
          </w:p>
        </w:tc>
        <w:tc>
          <w:tcPr>
            <w:tcW w:w="811" w:type="dxa"/>
            <w:shd w:val="clear" w:color="auto" w:fill="auto"/>
            <w:vAlign w:val="center"/>
          </w:tcPr>
          <w:p>
            <w:pPr>
              <w:spacing w:line="360" w:lineRule="auto"/>
              <w:jc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97" w:type="dxa"/>
            <w:shd w:val="clear" w:color="auto" w:fill="auto"/>
            <w:vAlign w:val="center"/>
          </w:tcPr>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商务数据分析与可视化平台</w:t>
            </w:r>
          </w:p>
          <w:p>
            <w:pPr>
              <w:spacing w:line="360" w:lineRule="auto"/>
              <w:jc w:val="center"/>
              <w:rPr>
                <w:rFonts w:asciiTheme="minorEastAsia" w:hAnsiTheme="minorEastAsia" w:cstheme="minorEastAsia"/>
                <w:bCs/>
                <w:sz w:val="24"/>
                <w:szCs w:val="24"/>
              </w:rPr>
            </w:pPr>
          </w:p>
        </w:tc>
        <w:tc>
          <w:tcPr>
            <w:tcW w:w="6803" w:type="dxa"/>
            <w:shd w:val="clear" w:color="auto" w:fill="auto"/>
            <w:vAlign w:val="center"/>
          </w:tcPr>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平台以商务数据分析类考试大纲、职业技能证书标准等要求为依据，配套丰富的题目组成海量题库，教师可以根据需求自由组合试卷，学生答卷后系统将自动生成一份职业能力评测报告。</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1、题库管理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1.1、题库支持自定义多级分类管理，对分类支持增加、删除、修改操作，建设好的题库可以调整所属分类。</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1.2、至少应支持单选、多选、填空、判断、简答等常见题型。</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1.3、建设题库时除可以手动录入外应支持模板导入功能，模板至少提供常用的excel格式。</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2、试卷管理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2.1、可以从题库选择试题进行组卷，支持在线修改试卷名称、排序、内容、添加、删除试题等。</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2.2、可根据知识点指定试题类型随机组合试卷。</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3、考试管理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3.1、可创建考试，对考试时间、考试时长进行设置，并指定考试人员、阅卷老师。</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4、考试阅卷</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4.1、系统自动对客观题进行机选判分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4.2、阅卷老师可对考试进行阅卷，对主观题进行人工评分，并可检查客观题判分情况，有修改客观题评分的权限。</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5、成绩统计</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5.1、针对每场考试有完整的数据统计查看正常考试的得分情况，并支持查看每位考生具体的答题情况。</w:t>
            </w:r>
          </w:p>
          <w:p>
            <w:pPr>
              <w:widowControl/>
              <w:spacing w:line="360" w:lineRule="auto"/>
              <w:rPr>
                <w:rFonts w:asciiTheme="minorEastAsia" w:hAnsiTheme="minorEastAsia" w:cstheme="minorEastAsia"/>
                <w:sz w:val="24"/>
                <w:szCs w:val="24"/>
              </w:rPr>
            </w:pPr>
            <w:r>
              <w:rPr>
                <w:rFonts w:hint="eastAsia" w:ascii="宋体" w:hAnsi="宋体" w:eastAsia="宋体" w:cs="Times New Roman"/>
                <w:kern w:val="0"/>
                <w:sz w:val="24"/>
                <w:szCs w:val="24"/>
              </w:rPr>
              <w:t>■</w:t>
            </w:r>
            <w:r>
              <w:rPr>
                <w:rFonts w:hint="eastAsia" w:asciiTheme="minorEastAsia" w:hAnsiTheme="minorEastAsia" w:cstheme="minorEastAsia"/>
                <w:sz w:val="24"/>
                <w:szCs w:val="24"/>
              </w:rPr>
              <w:t>6、软件具备1500道以上的商务数据分析训练题。</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7、商务数据分析视觉设计评测模块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7.1软件按照系统化、流程化的模式评测学生的视觉设计能力，学生须按顺序完成前一个模块的任务后才可进行下一个任务的训练。</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7.2软件具备装修规则及装修素材给学生查看，帮助学生进行店铺装修能力评测。</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7.3软件具备店招设置、电脑海报设置、店铺分类设置、店铺商品设置等模块，学生按照装修规则对店铺进行装修后。由老师进行店铺装修预览并打分。</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8、商务数据分析经营策略评测模块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8.1行业数据：提供多平台，多国家的，多时间段的商务平台国家数据分析，包括可查看行业的浏览量、访问量、购买量和卖家行为。并通过图表的形式展示最新的行业数据（浏览指数、点击指数、购买力和卖家商品上新时间分布）。学生可使用数据横向对比趋势图对部分数据进行多数据横向对比。</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8.2商品数据：通过列表的形式展示品牌榜单数据（商品缩略图、商品标题、SKU、点击率、转化率、成本价和查看商品详情操作）。可查看该品牌详细的数据（品牌商品按点击指数的排名、品牌商品按转化率指数的排名、品牌商品按成本价的排名和查看该品牌商品的具体详情信息），学生可使用数据横向对比趋势图将以上数据通过折线图的形式展示出来。</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8.3物流数据：提供多国家区域的海运及空运物流数据，包括价格，时效，帮助学生进行相关物流成本测算，以便于提升商务数据运营及数据分析能力。</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8.4仓配数据：提供多国家区域的海外仓经营数据，包括租仓价格，尾程物流时效，物流订单破损率等，租仓价格费用以季度/每立方为单位通过图表呈现，帮助学生进行相关物流成本测算，以便于提升商务数据运营及数据分析能力。</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8.5汇率换算：提供多币种汇率换算，包括美元，英镑，卢布，日元，韩元等多币种汇率换算，帮助学生学习掌握汇率换算相关技能，合理制定商品价格，提高产品销售利润率。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8.6采购管理：软件提供大量的商品数据给学生进行商品采购。采购商品信息包括（品牌、商品、成本价）等操作。</w:t>
            </w:r>
            <w:r>
              <w:rPr>
                <w:rFonts w:hint="eastAsia" w:asciiTheme="minorEastAsia" w:hAnsiTheme="minorEastAsia" w:cstheme="minorEastAsia"/>
                <w:sz w:val="24"/>
                <w:szCs w:val="24"/>
              </w:rPr>
              <w:br w:type="textWrapping"/>
            </w:r>
            <w:r>
              <w:rPr>
                <w:rFonts w:hint="eastAsia" w:ascii="宋体" w:hAnsi="宋体" w:cs="宋体"/>
                <w:szCs w:val="21"/>
              </w:rPr>
              <w:t>▲</w:t>
            </w:r>
            <w:r>
              <w:rPr>
                <w:rFonts w:hint="eastAsia" w:asciiTheme="minorEastAsia" w:hAnsiTheme="minorEastAsia" w:cstheme="minorEastAsia"/>
                <w:sz w:val="24"/>
                <w:szCs w:val="24"/>
              </w:rPr>
              <w:t xml:space="preserve"> 8.7商品管理：支持多国家、多仓储、多物流多商品管理。帮助学生学习同时掌握各个国家的商品数据分配上架销售管理等技能，合理指定商品的销售策略。</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8.8店铺经营：支持多国家区域多平台店铺开设，包括亚马逊，速卖通，Ebay，Lazada，Shopee，Shopify平台，店铺开设信息资料以系统内置方式添加，帮助学生了解学习商务数据分析平台注册开店流程。支持多店铺共同经营，并且整体经营以季度为单位，按照全年四个季度进行数据分析与运营，每个季度的销售利润会结算到下一个周期的初始资金中，最终以四季度最终的总利润作为恒定标准，帮助学生体验完整的商务数据分析平台销售流程，提升商务数据分析平台运营思维。</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9.店铺营销评测模块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9.1软件具备多种类目的活动策划方案。</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■9.2店铺促销：学生可创建满减促销等店铺促销活动。并设置促销活动的名称、 优惠内容、商品等信息。</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9.3套装促销：可将多个商品打包成一个优惠套装进行促销销售。可设置单个商品的优惠金额及选定必买商品。</w:t>
            </w:r>
          </w:p>
          <w:p>
            <w:pPr>
              <w:widowControl/>
              <w:spacing w:line="360" w:lineRule="auto"/>
              <w:rPr>
                <w:rFonts w:asciiTheme="minorEastAsia" w:hAnsiTheme="minorEastAsia" w:cstheme="minorEastAsia"/>
                <w:sz w:val="24"/>
                <w:szCs w:val="24"/>
              </w:rPr>
            </w:pPr>
            <w:r>
              <w:rPr>
                <w:rFonts w:hint="eastAsia" w:ascii="宋体" w:hAnsi="宋体" w:cs="宋体"/>
                <w:szCs w:val="21"/>
              </w:rPr>
              <w:t>▲</w:t>
            </w:r>
            <w:r>
              <w:rPr>
                <w:rFonts w:hint="eastAsia" w:asciiTheme="minorEastAsia" w:hAnsiTheme="minorEastAsia" w:cstheme="minorEastAsia"/>
                <w:sz w:val="24"/>
                <w:szCs w:val="24"/>
              </w:rPr>
              <w:t>9.4优惠券：可创建店铺优惠券，设置优惠券名称、优惠门槛及选定商品是否参与。</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10.店铺引流评测模块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■10.1展位广告趋势分析：通过数据横向对比趋势图将展位广告的趋势分析通过折线图的形式展现（展现次数、点击率、转化率）。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10.2展位广告地区分布：通过列表排名的形式将展位广告在各区域的点击率、转化率等信息展示出来。展示区域涵盖商务数据分析平台主流国家以及部分地区，实现广告流量精准投放。</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10.3搜索广告趋势分析：通过数据横向对比趋势图将搜索广告的趋势分析通过折线图的形式展现（展现次数、点击率、转化率）。</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10.4搜索广告地区分布：通过列表排名的形式将搜索广告在各区域的点击率、转化率等信息展示出来。展示区域涵盖商务数据分析平台主流国家以及部分地区，实现广告流量精准投放。</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10.5展位广告热门搜索词：通过列表的形式将关键词、搜索量、平均出价、点击率、转化率等信息展示出来。</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10.6展位广告设置：可创建展位广告，设置广告单元的名称、通投出价、资源位（资源位名称、潜在买家数量、最低出价、平均出价、竞争热度、转化率、点击率）、定向推广设置（设置定向推广区域、定向推荐人群等信息）</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11.商务数据分析客户服务评测模块</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11.1学生可查看该机器人客户目前浏览的商品信息（商品标题、商品主图、商品详情页、商品价格)。</w:t>
            </w:r>
          </w:p>
          <w:p>
            <w:pPr>
              <w:widowControl/>
              <w:spacing w:line="360" w:lineRule="auto"/>
              <w:rPr>
                <w:rFonts w:asciiTheme="minorEastAsia" w:hAnsiTheme="minorEastAsia" w:cstheme="minorEastAsia"/>
                <w:sz w:val="24"/>
                <w:szCs w:val="24"/>
              </w:rPr>
            </w:pPr>
            <w:r>
              <w:rPr>
                <w:rFonts w:hint="eastAsia" w:asciiTheme="minorEastAsia" w:hAnsiTheme="minorEastAsia" w:cstheme="minorEastAsia"/>
                <w:sz w:val="24"/>
                <w:szCs w:val="24"/>
              </w:rPr>
              <w:t>11.2软件通过学生回答的关键词自动判定学生答案的正确与否。从而评测学生的客户服务能力。</w:t>
            </w:r>
          </w:p>
          <w:p>
            <w:pPr>
              <w:widowControl/>
              <w:spacing w:line="360" w:lineRule="auto"/>
              <w:rPr>
                <w:rFonts w:ascii="宋体" w:hAnsi="宋体" w:eastAsia="宋体" w:cs="宋体"/>
                <w:kern w:val="0"/>
                <w:sz w:val="18"/>
                <w:szCs w:val="18"/>
              </w:rPr>
            </w:pPr>
            <w:r>
              <w:rPr>
                <w:rFonts w:hint="eastAsia" w:asciiTheme="minorEastAsia" w:hAnsiTheme="minorEastAsia" w:cstheme="minorEastAsia"/>
                <w:sz w:val="24"/>
                <w:szCs w:val="24"/>
              </w:rPr>
              <w:t>11.3 软件提供日语，韩语等小语种机器人提问，锻炼学生商务数据分析平台语言能力。</w:t>
            </w:r>
          </w:p>
        </w:tc>
        <w:tc>
          <w:tcPr>
            <w:tcW w:w="615" w:type="dxa"/>
            <w:shd w:val="clear" w:color="auto" w:fill="auto"/>
            <w:vAlign w:val="center"/>
          </w:tcPr>
          <w:p>
            <w:pPr>
              <w:spacing w:line="360" w:lineRule="auto"/>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套</w:t>
            </w:r>
          </w:p>
        </w:tc>
        <w:tc>
          <w:tcPr>
            <w:tcW w:w="465" w:type="dxa"/>
            <w:shd w:val="clear" w:color="auto" w:fill="auto"/>
            <w:vAlign w:val="center"/>
          </w:tcPr>
          <w:p>
            <w:pPr>
              <w:spacing w:line="360" w:lineRule="auto"/>
              <w:jc w:val="center"/>
              <w:rPr>
                <w:rFonts w:asciiTheme="minorEastAsia" w:hAnsiTheme="minorEastAsia" w:cstheme="minorEastAsia"/>
                <w:color w:val="000000"/>
                <w:sz w:val="24"/>
                <w:szCs w:val="24"/>
              </w:rPr>
            </w:pPr>
            <w:r>
              <w:rPr>
                <w:rFonts w:hint="eastAsia" w:asciiTheme="minorEastAsia" w:hAnsiTheme="minorEastAsia" w:cstheme="minorEastAsia"/>
                <w:color w:val="000000"/>
                <w:sz w:val="24"/>
                <w:szCs w:val="24"/>
              </w:rPr>
              <w:t>1</w:t>
            </w:r>
          </w:p>
        </w:tc>
        <w:tc>
          <w:tcPr>
            <w:tcW w:w="960" w:type="dxa"/>
            <w:shd w:val="clear" w:color="auto" w:fill="auto"/>
            <w:vAlign w:val="center"/>
          </w:tcPr>
          <w:p>
            <w:pPr>
              <w:spacing w:line="360" w:lineRule="auto"/>
              <w:jc w:val="center"/>
              <w:rPr>
                <w:rFonts w:hint="eastAsia" w:asciiTheme="minorEastAsia" w:hAnsiTheme="minorEastAsia" w:cstheme="minorEastAsia"/>
                <w:color w:val="000000"/>
                <w:sz w:val="24"/>
                <w:szCs w:val="24"/>
              </w:rPr>
            </w:pPr>
          </w:p>
        </w:tc>
        <w:tc>
          <w:tcPr>
            <w:tcW w:w="811" w:type="dxa"/>
            <w:shd w:val="clear" w:color="auto" w:fill="auto"/>
            <w:vAlign w:val="center"/>
          </w:tcPr>
          <w:p>
            <w:pPr>
              <w:spacing w:line="360" w:lineRule="auto"/>
              <w:jc w:val="center"/>
              <w:rPr>
                <w:rFonts w:hint="eastAsia" w:asciiTheme="minorEastAsia" w:hAnsiTheme="minorEastAsia" w:cstheme="minorEastAsia"/>
                <w:color w:val="000000"/>
                <w:sz w:val="24"/>
                <w:szCs w:val="24"/>
              </w:rPr>
            </w:pPr>
          </w:p>
        </w:tc>
      </w:tr>
    </w:tbl>
    <w:p>
      <w:pPr>
        <w:snapToGrid w:val="0"/>
        <w:spacing w:before="50" w:after="50"/>
        <w:jc w:val="center"/>
        <w:rPr>
          <w:rFonts w:ascii="宋体" w:hAnsi="宋体" w:cs="宋体"/>
          <w:color w:val="000000" w:themeColor="text1"/>
          <w:sz w:val="32"/>
          <w:szCs w:val="32"/>
          <w14:textFill>
            <w14:solidFill>
              <w14:schemeClr w14:val="tx1"/>
            </w14:solidFill>
          </w14:textFill>
        </w:rPr>
      </w:pPr>
    </w:p>
    <w:p>
      <w:pPr>
        <w:jc w:val="left"/>
        <w:rPr>
          <w:sz w:val="28"/>
          <w:szCs w:val="36"/>
        </w:rPr>
      </w:pPr>
      <w:r>
        <w:rPr>
          <w:rFonts w:hint="eastAsia"/>
          <w:sz w:val="28"/>
          <w:szCs w:val="36"/>
        </w:rPr>
        <w:t>投标单位：（公章）</w:t>
      </w:r>
    </w:p>
    <w:p>
      <w:pPr>
        <w:rPr>
          <w:rFonts w:hint="eastAsia" w:eastAsia="宋体"/>
          <w:sz w:val="28"/>
          <w:szCs w:val="36"/>
          <w:lang w:val="en-US" w:eastAsia="zh-CN"/>
        </w:rPr>
      </w:pPr>
      <w:r>
        <w:rPr>
          <w:rFonts w:hint="eastAsia"/>
          <w:sz w:val="28"/>
          <w:szCs w:val="36"/>
          <w:lang w:val="en-US" w:eastAsia="zh-CN"/>
        </w:rPr>
        <w:t>法定代表人（签章）：</w:t>
      </w:r>
    </w:p>
    <w:p>
      <w:pPr>
        <w:rPr>
          <w:rFonts w:hint="eastAsia"/>
          <w:sz w:val="28"/>
          <w:szCs w:val="36"/>
        </w:rPr>
      </w:pPr>
    </w:p>
    <w:p>
      <w:pPr>
        <w:rPr>
          <w:sz w:val="28"/>
          <w:szCs w:val="36"/>
        </w:rPr>
      </w:pPr>
      <w:r>
        <w:rPr>
          <w:rFonts w:hint="eastAsia"/>
          <w:sz w:val="28"/>
          <w:szCs w:val="36"/>
        </w:rPr>
        <w:t>投标单位联系人：           电话：</w:t>
      </w:r>
    </w:p>
    <w:p>
      <w:pPr>
        <w:rPr>
          <w:rFonts w:hint="eastAsia"/>
          <w:sz w:val="28"/>
          <w:szCs w:val="36"/>
        </w:rPr>
      </w:pPr>
      <w:r>
        <w:rPr>
          <w:rFonts w:hint="eastAsia"/>
          <w:sz w:val="28"/>
          <w:szCs w:val="36"/>
        </w:rPr>
        <w:t>投标单位地址：</w:t>
      </w:r>
    </w:p>
    <w:p>
      <w:pPr>
        <w:ind w:firstLine="4480" w:firstLineChars="1600"/>
        <w:rPr>
          <w:sz w:val="28"/>
          <w:szCs w:val="36"/>
        </w:rPr>
      </w:pPr>
      <w:r>
        <w:rPr>
          <w:rFonts w:hint="eastAsia"/>
          <w:sz w:val="28"/>
          <w:szCs w:val="36"/>
        </w:rPr>
        <w:t>日期：202</w:t>
      </w:r>
      <w:r>
        <w:rPr>
          <w:rFonts w:hint="eastAsia"/>
          <w:sz w:val="28"/>
          <w:szCs w:val="36"/>
          <w:lang w:val="en-US" w:eastAsia="zh-CN"/>
        </w:rPr>
        <w:t>3</w:t>
      </w:r>
      <w:r>
        <w:rPr>
          <w:rFonts w:hint="eastAsia"/>
          <w:sz w:val="28"/>
          <w:szCs w:val="36"/>
        </w:rPr>
        <w:t>年</w:t>
      </w:r>
      <w:r>
        <w:rPr>
          <w:rFonts w:hint="eastAsia"/>
          <w:sz w:val="28"/>
          <w:szCs w:val="36"/>
          <w:lang w:val="en-US" w:eastAsia="zh-CN"/>
        </w:rPr>
        <w:t xml:space="preserve">  </w:t>
      </w:r>
      <w:r>
        <w:rPr>
          <w:rFonts w:hint="eastAsia"/>
          <w:sz w:val="28"/>
          <w:szCs w:val="36"/>
        </w:rPr>
        <w:t>月</w:t>
      </w:r>
      <w:r>
        <w:rPr>
          <w:rFonts w:hint="eastAsia"/>
          <w:sz w:val="28"/>
          <w:szCs w:val="36"/>
          <w:lang w:val="en-US" w:eastAsia="zh-CN"/>
        </w:rPr>
        <w:t xml:space="preserve">  </w:t>
      </w:r>
      <w:r>
        <w:rPr>
          <w:rFonts w:hint="eastAsia"/>
          <w:sz w:val="28"/>
          <w:szCs w:val="36"/>
        </w:rPr>
        <w:t>日</w:t>
      </w:r>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bookmarkStart w:id="40" w:name="_Toc17355"/>
    </w:p>
    <w:p>
      <w:pPr>
        <w:snapToGrid w:val="0"/>
        <w:spacing w:before="50" w:after="50"/>
        <w:jc w:val="center"/>
        <w:outlineLvl w:val="0"/>
        <w:rPr>
          <w:rFonts w:hint="eastAsia" w:ascii="宋体" w:hAnsi="宋体" w:cs="宋体"/>
          <w:color w:val="000000" w:themeColor="text1"/>
          <w:sz w:val="32"/>
          <w:szCs w:val="32"/>
          <w14:textFill>
            <w14:solidFill>
              <w14:schemeClr w14:val="tx1"/>
            </w14:solidFill>
          </w14:textFill>
        </w:rPr>
      </w:pPr>
    </w:p>
    <w:bookmarkEnd w:id="40"/>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1" w:name="_Toc8363"/>
      <w:bookmarkStart w:id="42" w:name="_Toc462564146"/>
      <w:r>
        <w:rPr>
          <w:rFonts w:hint="eastAsia" w:ascii="宋体" w:hAnsi="宋体" w:cs="宋体"/>
          <w:color w:val="000000" w:themeColor="text1"/>
          <w:sz w:val="32"/>
          <w:szCs w:val="32"/>
          <w:lang w:val="en-US" w:eastAsia="zh-CN"/>
          <w14:textFill>
            <w14:solidFill>
              <w14:schemeClr w14:val="tx1"/>
            </w14:solidFill>
          </w14:textFill>
        </w:rPr>
        <w:t>七</w:t>
      </w:r>
      <w:r>
        <w:rPr>
          <w:rFonts w:hint="eastAsia" w:ascii="宋体" w:hAnsi="宋体" w:cs="宋体"/>
          <w:color w:val="000000" w:themeColor="text1"/>
          <w:sz w:val="32"/>
          <w:szCs w:val="32"/>
          <w14:textFill>
            <w14:solidFill>
              <w14:schemeClr w14:val="tx1"/>
            </w14:solidFill>
          </w14:textFill>
        </w:rPr>
        <w:t>、</w:t>
      </w:r>
      <w:bookmarkEnd w:id="41"/>
      <w:bookmarkEnd w:id="42"/>
      <w:bookmarkStart w:id="43" w:name="_格式2__法定代表人授权书"/>
      <w:bookmarkEnd w:id="43"/>
      <w:r>
        <w:rPr>
          <w:rFonts w:hint="eastAsia" w:ascii="宋体" w:hAnsi="宋体" w:cs="宋体"/>
          <w:color w:val="000000" w:themeColor="text1"/>
          <w:sz w:val="32"/>
          <w:szCs w:val="32"/>
          <w14:textFill>
            <w14:solidFill>
              <w14:schemeClr w14:val="tx1"/>
            </w14:solidFill>
          </w14:textFill>
        </w:rPr>
        <w:t>技术参数响应及偏离表（如有）</w:t>
      </w:r>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852"/>
        <w:gridCol w:w="2852"/>
        <w:gridCol w:w="1308"/>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序号</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招标要求</w:t>
            </w:r>
          </w:p>
        </w:tc>
        <w:tc>
          <w:tcPr>
            <w:tcW w:w="2852"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投标响应</w:t>
            </w:r>
          </w:p>
        </w:tc>
        <w:tc>
          <w:tcPr>
            <w:tcW w:w="1308" w:type="dxa"/>
            <w:noWrap/>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超出、符合或偏离</w:t>
            </w:r>
          </w:p>
        </w:tc>
        <w:tc>
          <w:tcPr>
            <w:tcW w:w="1173" w:type="dxa"/>
            <w:noWrap/>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2852" w:type="dxa"/>
            <w:noWrap/>
          </w:tcPr>
          <w:p>
            <w:pPr>
              <w:jc w:val="center"/>
              <w:rPr>
                <w:rFonts w:ascii="宋体" w:hAnsi="宋体" w:cs="宋体"/>
                <w:color w:val="000000" w:themeColor="text1"/>
                <w:sz w:val="24"/>
                <w:szCs w:val="24"/>
                <w14:textFill>
                  <w14:solidFill>
                    <w14:schemeClr w14:val="tx1"/>
                  </w14:solidFill>
                </w14:textFill>
              </w:rPr>
            </w:pPr>
          </w:p>
        </w:tc>
        <w:tc>
          <w:tcPr>
            <w:tcW w:w="1308" w:type="dxa"/>
            <w:noWrap/>
          </w:tcPr>
          <w:p>
            <w:pPr>
              <w:jc w:val="center"/>
              <w:rPr>
                <w:rFonts w:ascii="宋体" w:hAnsi="宋体" w:cs="宋体"/>
                <w:color w:val="000000" w:themeColor="text1"/>
                <w:sz w:val="24"/>
                <w:szCs w:val="24"/>
                <w14:textFill>
                  <w14:solidFill>
                    <w14:schemeClr w14:val="tx1"/>
                  </w14:solidFill>
                </w14:textFill>
              </w:rPr>
            </w:pPr>
          </w:p>
        </w:tc>
        <w:tc>
          <w:tcPr>
            <w:tcW w:w="1173" w:type="dxa"/>
            <w:noWrap/>
          </w:tcPr>
          <w:p>
            <w:pPr>
              <w:jc w:val="center"/>
              <w:rPr>
                <w:rFonts w:ascii="宋体" w:hAnsi="宋体" w:cs="宋体"/>
                <w:color w:val="000000" w:themeColor="text1"/>
                <w:sz w:val="24"/>
                <w:szCs w:val="24"/>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注：1、按照基本技术要求详细填列。</w:t>
      </w:r>
    </w:p>
    <w:p>
      <w:pPr>
        <w:numPr>
          <w:ilvl w:val="0"/>
          <w:numId w:val="6"/>
        </w:num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行数不够，可自行添加。</w:t>
      </w:r>
    </w:p>
    <w:p>
      <w:pPr>
        <w:spacing w:line="360" w:lineRule="auto"/>
        <w:ind w:firstLine="48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3、技术偏离表应针对项目需求逐条应答。</w:t>
      </w:r>
    </w:p>
    <w:p>
      <w:pPr>
        <w:rPr>
          <w:rFonts w:ascii="宋体" w:hAnsi="宋体" w:cs="宋体"/>
          <w:color w:val="000000" w:themeColor="text1"/>
          <w:sz w:val="24"/>
          <w:szCs w:val="24"/>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jc w:val="center"/>
        <w:rPr>
          <w:rFonts w:ascii="宋体" w:hAnsi="宋体" w:cs="宋体"/>
          <w:b/>
          <w:color w:val="000000" w:themeColor="text1"/>
          <w:sz w:val="36"/>
          <w14:textFill>
            <w14:solidFill>
              <w14:schemeClr w14:val="tx1"/>
            </w14:solidFill>
          </w14:textFill>
        </w:rPr>
      </w:pPr>
    </w:p>
    <w:p>
      <w:pPr>
        <w:snapToGrid w:val="0"/>
        <w:spacing w:before="50" w:after="50"/>
        <w:jc w:val="center"/>
        <w:outlineLvl w:val="0"/>
        <w:rPr>
          <w:rFonts w:ascii="宋体" w:hAnsi="宋体" w:cs="宋体"/>
          <w:color w:val="000000" w:themeColor="text1"/>
          <w:sz w:val="32"/>
          <w:szCs w:val="32"/>
          <w14:textFill>
            <w14:solidFill>
              <w14:schemeClr w14:val="tx1"/>
            </w14:solidFill>
          </w14:textFill>
        </w:rPr>
      </w:pPr>
      <w:bookmarkStart w:id="44" w:name="_Toc20796"/>
      <w:r>
        <w:rPr>
          <w:rFonts w:hint="eastAsia" w:ascii="宋体" w:hAnsi="宋体" w:cs="宋体"/>
          <w:color w:val="000000" w:themeColor="text1"/>
          <w:sz w:val="32"/>
          <w:szCs w:val="32"/>
          <w14:textFill>
            <w14:solidFill>
              <w14:schemeClr w14:val="tx1"/>
            </w14:solidFill>
          </w14:textFill>
        </w:rPr>
        <w:t>八、商务条款响应及偏离表（如有）</w:t>
      </w:r>
      <w:bookmarkEnd w:id="44"/>
    </w:p>
    <w:p>
      <w:pPr>
        <w:jc w:val="center"/>
        <w:rPr>
          <w:rFonts w:ascii="宋体" w:hAnsi="宋体" w:cs="宋体"/>
          <w:color w:val="000000" w:themeColor="text1"/>
          <w:sz w:val="24"/>
          <w:szCs w:val="24"/>
          <w14:textFill>
            <w14:solidFill>
              <w14:schemeClr w14:val="tx1"/>
            </w14:solidFill>
          </w14:textFill>
        </w:rPr>
      </w:pPr>
    </w:p>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投标人全称（加盖公章）：        </w:t>
      </w:r>
    </w:p>
    <w:tbl>
      <w:tblPr>
        <w:tblStyle w:val="22"/>
        <w:tblW w:w="852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招标文件要求</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是否响应</w:t>
            </w: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质保期</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售后技术服务要求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交货时间</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合同签订后天内</w:t>
            </w: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交货地点</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p>
          <w:p>
            <w:pPr>
              <w:snapToGrid w:val="0"/>
              <w:spacing w:before="149" w:beforeLines="50"/>
              <w:rPr>
                <w:rFonts w:ascii="宋体" w:hAnsi="宋体" w:cs="宋体"/>
                <w:color w:val="000000" w:themeColor="text1"/>
                <w:sz w:val="24"/>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ind w:left="43"/>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付款方式</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szCs w:val="20"/>
                <w14:textFill>
                  <w14:solidFill>
                    <w14:schemeClr w14:val="tx1"/>
                  </w14:solidFill>
                </w14:textFill>
              </w:rPr>
              <w:t>投标货币</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备品备件及耗材等要求</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r>
              <w:rPr>
                <w:rFonts w:hint="eastAsia" w:ascii="宋体" w:hAnsi="宋体" w:cs="宋体"/>
                <w:color w:val="000000" w:themeColor="text1"/>
                <w:sz w:val="24"/>
                <w14:textFill>
                  <w14:solidFill>
                    <w14:schemeClr w14:val="tx1"/>
                  </w14:solidFill>
                </w14:textFill>
              </w:rPr>
              <w:t>其他</w:t>
            </w:r>
          </w:p>
        </w:tc>
        <w:tc>
          <w:tcPr>
            <w:tcW w:w="270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126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c>
          <w:tcPr>
            <w:tcW w:w="3020" w:type="dxa"/>
            <w:tcBorders>
              <w:top w:val="single" w:color="auto" w:sz="4" w:space="0"/>
              <w:left w:val="single" w:color="auto" w:sz="4" w:space="0"/>
              <w:bottom w:val="single" w:color="auto" w:sz="4" w:space="0"/>
              <w:right w:val="single" w:color="auto" w:sz="4" w:space="0"/>
            </w:tcBorders>
            <w:noWrap/>
          </w:tcPr>
          <w:p>
            <w:pPr>
              <w:snapToGrid w:val="0"/>
              <w:spacing w:before="149" w:beforeLines="50"/>
              <w:rPr>
                <w:rFonts w:ascii="宋体" w:hAnsi="宋体" w:cs="宋体"/>
                <w:color w:val="000000" w:themeColor="text1"/>
                <w:sz w:val="24"/>
                <w:szCs w:val="20"/>
                <w14:textFill>
                  <w14:solidFill>
                    <w14:schemeClr w14:val="tx1"/>
                  </w14:solidFill>
                </w14:textFill>
              </w:rPr>
            </w:pPr>
          </w:p>
        </w:tc>
      </w:tr>
    </w:tbl>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法定代表人或授权代表签字：</w:t>
      </w: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pStyle w:val="7"/>
        <w:rPr>
          <w:rFonts w:ascii="宋体" w:hAnsi="宋体" w:cs="宋体"/>
          <w:color w:val="000000" w:themeColor="text1"/>
          <w14:textFill>
            <w14:solidFill>
              <w14:schemeClr w14:val="tx1"/>
            </w14:solidFill>
          </w14:textFill>
        </w:rPr>
      </w:pPr>
    </w:p>
    <w:p>
      <w:pPr>
        <w:spacing w:line="480" w:lineRule="auto"/>
        <w:rPr>
          <w:rFonts w:ascii="宋体" w:hAnsi="宋体" w:cs="宋体"/>
          <w:color w:val="000000" w:themeColor="text1"/>
          <w:sz w:val="30"/>
          <w14:textFill>
            <w14:solidFill>
              <w14:schemeClr w14:val="tx1"/>
            </w14:solidFill>
          </w14:textFill>
        </w:rPr>
      </w:pPr>
      <w:bookmarkStart w:id="45" w:name="_Hlt26609389"/>
      <w:bookmarkEnd w:id="45"/>
      <w:bookmarkStart w:id="46" w:name="_Hlt26955066"/>
      <w:bookmarkEnd w:id="46"/>
      <w:bookmarkStart w:id="47" w:name="_Hlt26580838"/>
      <w:bookmarkEnd w:id="47"/>
      <w:bookmarkStart w:id="48" w:name="_Hlt26671343"/>
      <w:bookmarkEnd w:id="48"/>
      <w:bookmarkStart w:id="49" w:name="_Hlt26782999"/>
      <w:bookmarkEnd w:id="49"/>
      <w:bookmarkStart w:id="50" w:name="_Hlt26609391"/>
      <w:bookmarkEnd w:id="50"/>
      <w:bookmarkStart w:id="51" w:name="_Hlt26955056"/>
      <w:bookmarkEnd w:id="51"/>
      <w:bookmarkStart w:id="52" w:name="_Hlt26955064"/>
      <w:bookmarkEnd w:id="52"/>
      <w:bookmarkStart w:id="53" w:name="_Hlt26671372"/>
      <w:bookmarkEnd w:id="53"/>
      <w:bookmarkStart w:id="54" w:name="_Hlt26671374"/>
      <w:bookmarkEnd w:id="54"/>
      <w:bookmarkStart w:id="55" w:name="_Hlt24879081"/>
      <w:bookmarkEnd w:id="55"/>
    </w:p>
    <w:p>
      <w:pPr>
        <w:pStyle w:val="7"/>
        <w:ind w:firstLine="0"/>
        <w:rPr>
          <w:rFonts w:ascii="宋体" w:hAnsi="宋体" w:cs="宋体"/>
          <w:color w:val="000000" w:themeColor="text1"/>
          <w:sz w:val="24"/>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 w:val="32"/>
          <w:szCs w:val="32"/>
          <w14:textFill>
            <w14:solidFill>
              <w14:schemeClr w14:val="tx1"/>
            </w14:solidFill>
          </w14:textFill>
        </w:rPr>
        <w:br w:type="page"/>
      </w:r>
      <w:r>
        <w:rPr>
          <w:rFonts w:hint="eastAsia" w:ascii="宋体" w:hAnsi="宋体" w:cs="宋体"/>
          <w:color w:val="000000" w:themeColor="text1"/>
          <w:sz w:val="32"/>
          <w:szCs w:val="32"/>
          <w14:textFill>
            <w14:solidFill>
              <w14:schemeClr w14:val="tx1"/>
            </w14:solidFill>
          </w14:textFill>
        </w:rPr>
        <w:t>九、技术方案、服务承诺等</w:t>
      </w: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napToGrid w:val="0"/>
        <w:spacing w:before="50" w:after="50"/>
        <w:ind w:left="2520"/>
        <w:outlineLvl w:val="0"/>
        <w:rPr>
          <w:rFonts w:ascii="宋体" w:hAnsi="宋体" w:cs="宋体"/>
          <w:color w:val="000000" w:themeColor="text1"/>
          <w:sz w:val="32"/>
          <w:szCs w:val="32"/>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pStyle w:val="9"/>
        <w:rPr>
          <w:rFonts w:ascii="宋体" w:hAnsi="宋体" w:cs="宋体"/>
          <w:color w:val="000000" w:themeColor="text1"/>
          <w14:textFill>
            <w14:solidFill>
              <w14:schemeClr w14:val="tx1"/>
            </w14:solidFill>
          </w14:textFill>
        </w:rPr>
      </w:pPr>
    </w:p>
    <w:p>
      <w:pPr>
        <w:spacing w:line="460" w:lineRule="exact"/>
        <w:outlineLvl w:val="0"/>
        <w:rPr>
          <w:rFonts w:ascii="宋体" w:hAnsi="宋体" w:cs="宋体"/>
          <w:color w:val="000000" w:themeColor="text1"/>
          <w:sz w:val="32"/>
          <w14:textFill>
            <w14:solidFill>
              <w14:schemeClr w14:val="tx1"/>
            </w14:solidFill>
          </w14:textFill>
        </w:rPr>
      </w:pPr>
      <w:bookmarkStart w:id="56" w:name="_Toc22033"/>
    </w:p>
    <w:p>
      <w:pPr>
        <w:spacing w:line="460" w:lineRule="exact"/>
        <w:ind w:firstLine="640" w:firstLineChars="200"/>
        <w:jc w:val="center"/>
        <w:outlineLvl w:val="0"/>
        <w:rPr>
          <w:rFonts w:ascii="宋体" w:hAnsi="宋体" w:cs="宋体"/>
          <w:color w:val="000000" w:themeColor="text1"/>
          <w:sz w:val="32"/>
          <w14:textFill>
            <w14:solidFill>
              <w14:schemeClr w14:val="tx1"/>
            </w14:solidFill>
          </w14:textFill>
        </w:rPr>
      </w:pPr>
      <w:r>
        <w:rPr>
          <w:rFonts w:hint="eastAsia" w:ascii="宋体" w:hAnsi="宋体" w:cs="宋体"/>
          <w:color w:val="000000" w:themeColor="text1"/>
          <w:sz w:val="32"/>
          <w:lang w:val="en-US" w:eastAsia="zh-CN"/>
          <w14:textFill>
            <w14:solidFill>
              <w14:schemeClr w14:val="tx1"/>
            </w14:solidFill>
          </w14:textFill>
        </w:rPr>
        <w:t>十</w:t>
      </w:r>
      <w:r>
        <w:rPr>
          <w:rFonts w:hint="eastAsia" w:ascii="宋体" w:hAnsi="宋体" w:cs="宋体"/>
          <w:color w:val="000000" w:themeColor="text1"/>
          <w:sz w:val="32"/>
          <w14:textFill>
            <w14:solidFill>
              <w14:schemeClr w14:val="tx1"/>
            </w14:solidFill>
          </w14:textFill>
        </w:rPr>
        <w:t>、盐城市政府采购事前信用承诺书</w:t>
      </w:r>
      <w:bookmarkEnd w:id="56"/>
    </w:p>
    <w:p>
      <w:pPr>
        <w:spacing w:line="460" w:lineRule="exact"/>
        <w:ind w:firstLine="640" w:firstLineChars="200"/>
        <w:jc w:val="left"/>
        <w:rPr>
          <w:rFonts w:ascii="宋体" w:hAnsi="宋体" w:cs="宋体"/>
          <w:color w:val="000000" w:themeColor="text1"/>
          <w:sz w:val="32"/>
          <w14:textFill>
            <w14:solidFill>
              <w14:schemeClr w14:val="tx1"/>
            </w14:solidFill>
          </w14:textFill>
        </w:rPr>
      </w:pP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为营造我市公开、公平、公正、诚实守信的政府采购交易环境，树立诚信守法的投标人形象，本人代表本单位作出以下承诺：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（二）本单位无涉及政府采购活动的违法、违规不良记录，我公司及相关负责人无因存在重大隐患整改不力、发生有重大社会影响生产安全事故或其他严重违法违规行为而被列入失信联合惩戒的不良记录；</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（三）严格依照国家和省、市关于政府采购的法律、法规、规章、规范性文件，参加政府采购投标活动；积极履行社会责任，促进廉政建设；</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（四）严格遵守即时信息公示规定，及时维护和更新维护和更新盐城市政府采购网中与本单位相关的信息；</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自我约束、自我管理，守合同、重信用，自觉维护政府采购交易的良好秩序，与参与本次政府采购活动的其他供应商不存在直接控股或管理关系，不参与围标串标、弄虚作假、骗取中标、干扰评标、违约毁约等行为；</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（六）自觉接受政府、行业组织、社会公众、新闻舆论的监督；</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（八）本人已认真阅读了上述承诺，并向本单位员工作了宣传教育。</w:t>
      </w:r>
    </w:p>
    <w:p>
      <w:pPr>
        <w:adjustRightInd w:val="0"/>
        <w:snapToGrid w:val="0"/>
        <w:spacing w:line="360" w:lineRule="auto"/>
        <w:ind w:firstLine="480" w:firstLineChars="200"/>
        <w:jc w:val="left"/>
        <w:rPr>
          <w:rFonts w:ascii="宋体" w:hAnsi="宋体" w:cs="宋体"/>
          <w:color w:val="000000" w:themeColor="text1"/>
          <w:sz w:val="24"/>
          <w:szCs w:val="24"/>
          <w14:textFill>
            <w14:solidFill>
              <w14:schemeClr w14:val="tx1"/>
            </w14:solidFill>
          </w14:textFill>
        </w:rPr>
      </w:pPr>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7" w:name="_Toc1790"/>
      <w:r>
        <w:rPr>
          <w:rFonts w:hint="eastAsia" w:ascii="宋体" w:hAnsi="宋体" w:cs="宋体"/>
          <w:color w:val="000000" w:themeColor="text1"/>
          <w:sz w:val="24"/>
          <w:szCs w:val="24"/>
          <w14:textFill>
            <w14:solidFill>
              <w14:schemeClr w14:val="tx1"/>
            </w14:solidFill>
          </w14:textFill>
        </w:rPr>
        <w:t>法定代表人签名：</w:t>
      </w:r>
      <w:bookmarkEnd w:id="57"/>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8" w:name="_Toc27882"/>
      <w:r>
        <w:rPr>
          <w:rFonts w:hint="eastAsia" w:ascii="宋体" w:hAnsi="宋体" w:cs="宋体"/>
          <w:color w:val="000000" w:themeColor="text1"/>
          <w:sz w:val="24"/>
          <w:szCs w:val="24"/>
          <w14:textFill>
            <w14:solidFill>
              <w14:schemeClr w14:val="tx1"/>
            </w14:solidFill>
          </w14:textFill>
        </w:rPr>
        <w:t>单位名称（盖章）：</w:t>
      </w:r>
      <w:bookmarkEnd w:id="58"/>
    </w:p>
    <w:p>
      <w:pPr>
        <w:adjustRightInd w:val="0"/>
        <w:snapToGrid w:val="0"/>
        <w:spacing w:line="360" w:lineRule="auto"/>
        <w:ind w:firstLine="480" w:firstLineChars="200"/>
        <w:jc w:val="center"/>
        <w:outlineLvl w:val="0"/>
        <w:rPr>
          <w:rFonts w:ascii="宋体" w:hAnsi="宋体" w:cs="宋体"/>
          <w:color w:val="000000" w:themeColor="text1"/>
          <w:sz w:val="24"/>
          <w:szCs w:val="24"/>
          <w14:textFill>
            <w14:solidFill>
              <w14:schemeClr w14:val="tx1"/>
            </w14:solidFill>
          </w14:textFill>
        </w:rPr>
      </w:pPr>
      <w:bookmarkStart w:id="59" w:name="_Toc385"/>
      <w:r>
        <w:rPr>
          <w:rFonts w:hint="eastAsia" w:ascii="宋体" w:hAnsi="宋体" w:cs="宋体"/>
          <w:color w:val="000000" w:themeColor="text1"/>
          <w:sz w:val="24"/>
          <w:szCs w:val="24"/>
          <w14:textFill>
            <w14:solidFill>
              <w14:schemeClr w14:val="tx1"/>
            </w14:solidFill>
          </w14:textFill>
        </w:rPr>
        <w:t>年    月    日</w:t>
      </w:r>
      <w:bookmarkEnd w:id="59"/>
    </w:p>
    <w:p>
      <w:pPr>
        <w:pStyle w:val="141"/>
        <w:jc w:val="both"/>
        <w:rPr>
          <w:rStyle w:val="47"/>
          <w:rFonts w:ascii="宋体" w:hAnsi="宋体" w:cs="宋体"/>
          <w:color w:val="auto"/>
        </w:rPr>
      </w:pPr>
    </w:p>
    <w:sectPr>
      <w:footerReference r:id="rId14" w:type="first"/>
      <w:headerReference r:id="rId12" w:type="default"/>
      <w:footerReference r:id="rId13"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Text Box 1037"/>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OqXm5zwAAAAUBAAAPAAAAAAAAAAEAIAAAACIAAABkcnMvZG93bnJldi54bWxQSwECFAAUAAAA&#10;CACHTuJAR6JkLfcBAAAGBAAADgAAAAAAAAABACAAAAAeAQAAZHJzL2Uyb0RvYy54bWxQSwUGAAAA&#10;AAYABgBZAQAAhw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57785" cy="131445"/>
              <wp:effectExtent l="0" t="0" r="0" b="0"/>
              <wp:wrapNone/>
              <wp:docPr id="6" name="Text Box 1038"/>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6"/>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38" o:spid="_x0000_s1026" o:spt="202" type="#_x0000_t202" style="position:absolute;left:0pt;margin-top:0pt;height:10.35pt;width:4.55pt;mso-position-horizontal:center;mso-position-horizontal-relative:margin;mso-wrap-style:none;z-index:25166540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OLBJqr9AQAAAwQAAA4AAAAAAAAAAQAgAAAAHwEAAGRycy9lMm9Eb2MueG1s&#10;UEsFBgAAAAAGAAYAWQEAAI4FA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i/>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5"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20</w:t>
                          </w:r>
                          <w:r>
                            <w:fldChar w:fldCharType="end"/>
                          </w:r>
                        </w:p>
                      </w:txbxContent>
                    </wps:txbx>
                    <wps:bodyPr rot="0" vert="horz" wrap="none" lIns="0" tIns="0" rIns="0" bIns="0" anchor="t" anchorCtr="0" upright="1">
                      <a:spAutoFit/>
                    </wps:bodyPr>
                  </wps:wsp>
                </a:graphicData>
              </a:graphic>
            </wp:anchor>
          </w:drawing>
        </mc:Choice>
        <mc:Fallback>
          <w:pict>
            <v:shape id="Text Box 103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WKN1h/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Text Box 103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27</w:t>
                          </w:r>
                          <w:r>
                            <w:fldChar w:fldCharType="end"/>
                          </w:r>
                        </w:p>
                      </w:txbxContent>
                    </wps:txbx>
                    <wps:bodyPr rot="0" vert="horz" wrap="none" lIns="0" tIns="0" rIns="0" bIns="0" anchor="t" anchorCtr="0" upright="1">
                      <a:spAutoFit/>
                    </wps:bodyPr>
                  </wps:wsp>
                </a:graphicData>
              </a:graphic>
            </wp:anchor>
          </w:drawing>
        </mc:Choice>
        <mc:Fallback>
          <w:pict>
            <v:shape id="Text Box 1033" o:spid="_x0000_s1026"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Cbpg8f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27</w:t>
                    </w:r>
                    <w:r>
                      <w:fldChar w:fldCharType="end"/>
                    </w:r>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03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6"/>
                          </w:pPr>
                          <w:r>
                            <w:fldChar w:fldCharType="begin"/>
                          </w:r>
                          <w:r>
                            <w:instrText xml:space="preserve"> PAGE  \* MERGEFORMAT </w:instrText>
                          </w:r>
                          <w:r>
                            <w:fldChar w:fldCharType="separate"/>
                          </w:r>
                          <w:r>
                            <w:t>- 1 -</w:t>
                          </w:r>
                          <w:r>
                            <w:fldChar w:fldCharType="end"/>
                          </w:r>
                        </w:p>
                      </w:txbxContent>
                    </wps:txbx>
                    <wps:bodyPr rot="0" vert="horz" wrap="none" lIns="0" tIns="0" rIns="0" bIns="0" anchor="t" anchorCtr="0" upright="1">
                      <a:spAutoFit/>
                    </wps:bodyPr>
                  </wps:wsp>
                </a:graphicData>
              </a:graphic>
            </wp:anchor>
          </w:drawing>
        </mc:Choice>
        <mc:Fallback>
          <w:pict>
            <v:shape id="Text Box 103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6pebnPAAAABQEAAA8AAAAAAAAAAQAgAAAAIgAAAGRycy9kb3ducmV2LnhtbFBLAQIUABQAAAAI&#10;AIdO4kB51B6+9gEAAAYEAAAOAAAAAAAAAAEAIAAAAB4BAABkcnMvZTJvRG9jLnhtbFBLBQYAAAAA&#10;BgAGAFkBAACGBQ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Text Box 103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6"/>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1035"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D5X5J0AAAAAMBAAAPAAAAAAAAAAEAIAAAACIAAABkcnMvZG93bnJldi54bWxQSwEC&#10;FAAUAAAACACHTuJArutvHvwBAAAEBAAADgAAAAAAAAABACAAAAAfAQAAZHJzL2Uyb0RvYy54bWxQ&#10;SwUGAAAAAAYABgBZAQAAjQUAAAAA&#10;">
              <v:fill on="f" focussize="0,0"/>
              <v:stroke on="f"/>
              <v:imagedata o:title=""/>
              <o:lock v:ext="edit" aspectratio="f"/>
              <v:textbox inset="0mm,0mm,0mm,0mm" style="mso-fit-shape-to-text:t;">
                <w:txbxContent>
                  <w:p>
                    <w:pPr>
                      <w:pStyle w:val="16"/>
                    </w:pPr>
                    <w:r>
                      <w:fldChar w:fldCharType="begin"/>
                    </w:r>
                    <w:r>
                      <w:instrText xml:space="preserve"> PAGE  \* MERGEFORMAT </w:instrText>
                    </w:r>
                    <w:r>
                      <w:fldChar w:fldCharType="separate"/>
                    </w:r>
                    <w:r>
                      <w:t>47</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w="6350">
                        <a:noFill/>
                      </a:ln>
                      <a:effectLst/>
                    </wps:spPr>
                    <wps:txbx>
                      <w:txbxContent>
                        <w:p>
                          <w:pPr>
                            <w:pStyle w:val="1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dxhddIAAAADAQAADwAAAAAAAAABACAAAAAiAAAAZHJzL2Rvd25yZXYueG1s&#10;UEsBAhQAFAAAAAgAh07iQJ4loek3AgAAYwQAAA4AAAAAAAAAAQAgAAAAIQEAAGRycy9lMm9Eb2Mu&#10;eG1sUEsFBgAAAAAGAAYAWQEAAMoFAAAAAA==&#10;">
              <v:fill on="f" focussize="0,0"/>
              <v:stroke on="f" weight="0.5pt"/>
              <v:imagedata o:title=""/>
              <o:lock v:ext="edit" aspectratio="f"/>
              <v:textbox inset="0mm,0mm,0mm,0mm" style="mso-fit-shape-to-text:t;">
                <w:txbxContent>
                  <w:p>
                    <w:pPr>
                      <w:pStyle w:val="16"/>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2023-</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0"/>
      </w:pBdr>
      <w:rPr>
        <w:rFonts w:ascii="隶书" w:hAnsi="隶书" w:eastAsia="隶书" w:cs="隶书"/>
        <w:sz w:val="24"/>
        <w:szCs w:val="24"/>
      </w:rPr>
    </w:pPr>
    <w:r>
      <w:rPr>
        <w:rFonts w:hint="eastAsia" w:ascii="隶书" w:hAnsi="隶书" w:eastAsia="隶书" w:cs="隶书"/>
        <w:sz w:val="24"/>
        <w:szCs w:val="24"/>
      </w:rPr>
      <w:t>2023-</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widowControl w:val="0"/>
      <w:pBdr>
        <w:bottom w:val="single" w:color="auto" w:sz="6" w:space="1"/>
      </w:pBdr>
      <w:tabs>
        <w:tab w:val="center" w:pos="4153"/>
        <w:tab w:val="right" w:pos="8306"/>
      </w:tabs>
      <w:snapToGrid w:val="0"/>
      <w:spacing w:before="0" w:beforeAutospacing="0" w:after="0" w:afterAutospacing="0"/>
      <w:jc w:val="center"/>
      <w:rPr>
        <w:rFonts w:eastAsia="隶书"/>
        <w:color w:val="FF0000"/>
        <w:spacing w:val="40"/>
        <w:sz w:val="21"/>
      </w:rPr>
    </w:pPr>
    <w:r>
      <w:rPr>
        <w:rFonts w:hint="eastAsia" w:ascii="Times New Roman" w:hAnsi="Times New Roman" w:eastAsia="隶书" w:cs="Times New Roman"/>
        <w:spacing w:val="40"/>
        <w:kern w:val="2"/>
        <w:sz w:val="21"/>
      </w:rPr>
      <w:t>2023-</w:t>
    </w:r>
    <w:r>
      <w:rPr>
        <w:rFonts w:hint="eastAsia" w:ascii="Times New Roman" w:hAnsi="Times New Roman" w:eastAsia="隶书" w:cs="Times New Roman"/>
        <w:spacing w:val="40"/>
        <w:kern w:val="2"/>
        <w:sz w:val="21"/>
        <w:lang w:eastAsia="zh-CN"/>
      </w:rPr>
      <w:t>031W</w:t>
    </w:r>
    <w:r>
      <w:rPr>
        <w:rFonts w:hint="eastAsia" w:ascii="Times New Roman" w:hAnsi="隶书" w:eastAsia="隶书" w:cs="隶书"/>
        <w:color w:val="000000"/>
        <w:spacing w:val="40"/>
        <w:kern w:val="2"/>
        <w:sz w:val="21"/>
      </w:rPr>
      <w:t>招标文件</w:t>
    </w:r>
  </w:p>
  <w:p>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rFonts w:hint="eastAsia" w:ascii="隶书" w:hAnsi="隶书" w:eastAsia="隶书" w:cs="隶书"/>
        <w:sz w:val="24"/>
        <w:szCs w:val="24"/>
      </w:rPr>
      <w:t>202</w:t>
    </w:r>
    <w:r>
      <w:rPr>
        <w:rFonts w:hint="eastAsia" w:ascii="隶书" w:hAnsi="隶书" w:eastAsia="隶书" w:cs="隶书"/>
        <w:sz w:val="24"/>
        <w:szCs w:val="24"/>
        <w:lang w:val="en-US" w:eastAsia="zh-CN"/>
      </w:rPr>
      <w:t>3</w:t>
    </w:r>
    <w:r>
      <w:rPr>
        <w:rFonts w:hint="eastAsia" w:ascii="隶书" w:hAnsi="隶书" w:eastAsia="隶书" w:cs="隶书"/>
        <w:sz w:val="24"/>
        <w:szCs w:val="24"/>
      </w:rPr>
      <w:t>-</w:t>
    </w:r>
    <w:r>
      <w:rPr>
        <w:rFonts w:hint="eastAsia" w:ascii="隶书" w:hAnsi="隶书" w:eastAsia="隶书" w:cs="隶书"/>
        <w:sz w:val="24"/>
        <w:szCs w:val="24"/>
        <w:lang w:eastAsia="zh-CN"/>
      </w:rPr>
      <w:t>031W</w:t>
    </w:r>
    <w:r>
      <w:rPr>
        <w:rFonts w:hint="eastAsia" w:ascii="隶书" w:hAnsi="隶书" w:eastAsia="隶书" w:cs="隶书"/>
        <w:sz w:val="24"/>
        <w:szCs w:val="24"/>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17ED7"/>
    <w:multiLevelType w:val="singleLevel"/>
    <w:tmpl w:val="BE717ED7"/>
    <w:lvl w:ilvl="0" w:tentative="0">
      <w:start w:val="1"/>
      <w:numFmt w:val="decimal"/>
      <w:lvlText w:val="%1."/>
      <w:lvlJc w:val="left"/>
      <w:pPr>
        <w:tabs>
          <w:tab w:val="left" w:pos="312"/>
        </w:tabs>
      </w:pPr>
    </w:lvl>
  </w:abstractNum>
  <w:abstractNum w:abstractNumId="1">
    <w:nsid w:val="06784D56"/>
    <w:multiLevelType w:val="singleLevel"/>
    <w:tmpl w:val="06784D56"/>
    <w:lvl w:ilvl="0" w:tentative="0">
      <w:start w:val="1"/>
      <w:numFmt w:val="upperLetter"/>
      <w:pStyle w:val="85"/>
      <w:lvlText w:val="附录%1."/>
      <w:lvlJc w:val="left"/>
      <w:pPr>
        <w:tabs>
          <w:tab w:val="left" w:pos="907"/>
        </w:tabs>
        <w:ind w:left="907" w:hanging="907"/>
        <w:textAlignment w:val="baseline"/>
      </w:pPr>
    </w:lvl>
  </w:abstractNum>
  <w:abstractNum w:abstractNumId="2">
    <w:nsid w:val="08AB285A"/>
    <w:multiLevelType w:val="multilevel"/>
    <w:tmpl w:val="08AB285A"/>
    <w:lvl w:ilvl="0" w:tentative="0">
      <w:start w:val="2"/>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5"/>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3"/>
      <w:suff w:val="nothing"/>
      <w:lvlText w:val=""/>
      <w:lvlJc w:val="left"/>
      <w:pPr>
        <w:ind w:left="0" w:firstLine="0"/>
        <w:textAlignment w:val="baseline"/>
      </w:pPr>
    </w:lvl>
    <w:lvl w:ilvl="6" w:tentative="0">
      <w:start w:val="1"/>
      <w:numFmt w:val="decimal"/>
      <w:pStyle w:val="44"/>
      <w:suff w:val="nothing"/>
      <w:lvlText w:val=""/>
      <w:lvlJc w:val="left"/>
      <w:pPr>
        <w:ind w:left="0" w:firstLine="0"/>
        <w:textAlignment w:val="baseline"/>
      </w:pPr>
    </w:lvl>
    <w:lvl w:ilvl="7" w:tentative="0">
      <w:start w:val="1"/>
      <w:numFmt w:val="decimal"/>
      <w:pStyle w:val="45"/>
      <w:suff w:val="nothing"/>
      <w:lvlText w:val=""/>
      <w:lvlJc w:val="left"/>
      <w:pPr>
        <w:ind w:left="0" w:firstLine="0"/>
        <w:textAlignment w:val="baseline"/>
      </w:pPr>
    </w:lvl>
    <w:lvl w:ilvl="8" w:tentative="0">
      <w:start w:val="1"/>
      <w:numFmt w:val="decimal"/>
      <w:pStyle w:val="46"/>
      <w:suff w:val="nothing"/>
      <w:lvlText w:val=""/>
      <w:lvlJc w:val="left"/>
      <w:pPr>
        <w:ind w:left="0" w:firstLine="0"/>
        <w:textAlignment w:val="baseline"/>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5"/>
  <w:drawingGridVerticalSpacing w:val="149"/>
  <w:displayHorizontalDrawingGridEvery w:val="1"/>
  <w:displayVerticalDrawingGridEvery w:val="1"/>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MzBiZTYyYTQ5ODVmZWE4MzI5ZDNkOGMwYTkzMDIifQ=="/>
  </w:docVars>
  <w:rsids>
    <w:rsidRoot w:val="00F868A9"/>
    <w:rsid w:val="00003AB4"/>
    <w:rsid w:val="00045760"/>
    <w:rsid w:val="000570EF"/>
    <w:rsid w:val="0007632E"/>
    <w:rsid w:val="00091821"/>
    <w:rsid w:val="000B38C7"/>
    <w:rsid w:val="000E2680"/>
    <w:rsid w:val="0011280D"/>
    <w:rsid w:val="00131057"/>
    <w:rsid w:val="001726A6"/>
    <w:rsid w:val="00177C98"/>
    <w:rsid w:val="001925C5"/>
    <w:rsid w:val="001A2403"/>
    <w:rsid w:val="001D5807"/>
    <w:rsid w:val="00217C7C"/>
    <w:rsid w:val="00223C79"/>
    <w:rsid w:val="00233923"/>
    <w:rsid w:val="00241131"/>
    <w:rsid w:val="002745BB"/>
    <w:rsid w:val="00275521"/>
    <w:rsid w:val="002800DE"/>
    <w:rsid w:val="002931A2"/>
    <w:rsid w:val="002A07A1"/>
    <w:rsid w:val="002C41D3"/>
    <w:rsid w:val="003118E6"/>
    <w:rsid w:val="003220F7"/>
    <w:rsid w:val="00325BAB"/>
    <w:rsid w:val="0033044B"/>
    <w:rsid w:val="003367B6"/>
    <w:rsid w:val="00360929"/>
    <w:rsid w:val="003A223F"/>
    <w:rsid w:val="003A63FB"/>
    <w:rsid w:val="003A7ED9"/>
    <w:rsid w:val="003C4320"/>
    <w:rsid w:val="003D4620"/>
    <w:rsid w:val="00410119"/>
    <w:rsid w:val="004112BF"/>
    <w:rsid w:val="00426342"/>
    <w:rsid w:val="004269CB"/>
    <w:rsid w:val="004521C1"/>
    <w:rsid w:val="004558DC"/>
    <w:rsid w:val="00467A1B"/>
    <w:rsid w:val="00472EDC"/>
    <w:rsid w:val="00475E78"/>
    <w:rsid w:val="004772F8"/>
    <w:rsid w:val="004A24CE"/>
    <w:rsid w:val="004C48B9"/>
    <w:rsid w:val="004D0D5A"/>
    <w:rsid w:val="004D2539"/>
    <w:rsid w:val="004D2FC9"/>
    <w:rsid w:val="004D573F"/>
    <w:rsid w:val="004E2324"/>
    <w:rsid w:val="004F3B21"/>
    <w:rsid w:val="005277A9"/>
    <w:rsid w:val="005352A8"/>
    <w:rsid w:val="00544757"/>
    <w:rsid w:val="005B06C2"/>
    <w:rsid w:val="005B2CFB"/>
    <w:rsid w:val="005F3329"/>
    <w:rsid w:val="00606780"/>
    <w:rsid w:val="00623144"/>
    <w:rsid w:val="006308FE"/>
    <w:rsid w:val="00637636"/>
    <w:rsid w:val="006B0AC7"/>
    <w:rsid w:val="006C13AB"/>
    <w:rsid w:val="006E3A7B"/>
    <w:rsid w:val="00721560"/>
    <w:rsid w:val="00780C34"/>
    <w:rsid w:val="00782B4B"/>
    <w:rsid w:val="00791354"/>
    <w:rsid w:val="007B3E85"/>
    <w:rsid w:val="0081482D"/>
    <w:rsid w:val="00814D01"/>
    <w:rsid w:val="008307F9"/>
    <w:rsid w:val="00860E15"/>
    <w:rsid w:val="00864D58"/>
    <w:rsid w:val="00891713"/>
    <w:rsid w:val="008C14CD"/>
    <w:rsid w:val="008C29CC"/>
    <w:rsid w:val="008D617C"/>
    <w:rsid w:val="008E3DAB"/>
    <w:rsid w:val="009069A2"/>
    <w:rsid w:val="00913371"/>
    <w:rsid w:val="009343EF"/>
    <w:rsid w:val="0097078B"/>
    <w:rsid w:val="0099206B"/>
    <w:rsid w:val="009C11B1"/>
    <w:rsid w:val="00A1183C"/>
    <w:rsid w:val="00A41EC5"/>
    <w:rsid w:val="00A51F32"/>
    <w:rsid w:val="00A6255B"/>
    <w:rsid w:val="00AA7C70"/>
    <w:rsid w:val="00AE15AF"/>
    <w:rsid w:val="00AE261D"/>
    <w:rsid w:val="00AF2F44"/>
    <w:rsid w:val="00AF368F"/>
    <w:rsid w:val="00AF482F"/>
    <w:rsid w:val="00B357E1"/>
    <w:rsid w:val="00B715BD"/>
    <w:rsid w:val="00B719DD"/>
    <w:rsid w:val="00B8533E"/>
    <w:rsid w:val="00BA7076"/>
    <w:rsid w:val="00BC3E9F"/>
    <w:rsid w:val="00C05334"/>
    <w:rsid w:val="00C157C0"/>
    <w:rsid w:val="00C31CC3"/>
    <w:rsid w:val="00C37A67"/>
    <w:rsid w:val="00C945B7"/>
    <w:rsid w:val="00CB1BB5"/>
    <w:rsid w:val="00CC6812"/>
    <w:rsid w:val="00CC72B1"/>
    <w:rsid w:val="00CD691E"/>
    <w:rsid w:val="00D358BD"/>
    <w:rsid w:val="00D57961"/>
    <w:rsid w:val="00D613B4"/>
    <w:rsid w:val="00D676B7"/>
    <w:rsid w:val="00D71667"/>
    <w:rsid w:val="00D7365D"/>
    <w:rsid w:val="00D75F94"/>
    <w:rsid w:val="00DD536A"/>
    <w:rsid w:val="00DE7A25"/>
    <w:rsid w:val="00DF61E5"/>
    <w:rsid w:val="00E0626D"/>
    <w:rsid w:val="00E124F9"/>
    <w:rsid w:val="00E4006C"/>
    <w:rsid w:val="00E675DD"/>
    <w:rsid w:val="00E742E3"/>
    <w:rsid w:val="00E918E1"/>
    <w:rsid w:val="00E9328D"/>
    <w:rsid w:val="00EA1A99"/>
    <w:rsid w:val="00EA2ECC"/>
    <w:rsid w:val="00EC1238"/>
    <w:rsid w:val="00EE1E73"/>
    <w:rsid w:val="00F05A81"/>
    <w:rsid w:val="00F3123B"/>
    <w:rsid w:val="00F5340F"/>
    <w:rsid w:val="00F539A2"/>
    <w:rsid w:val="00F661FE"/>
    <w:rsid w:val="00F66810"/>
    <w:rsid w:val="00F868A9"/>
    <w:rsid w:val="00F944E6"/>
    <w:rsid w:val="00FA774C"/>
    <w:rsid w:val="00FA7AFD"/>
    <w:rsid w:val="00FD0CEF"/>
    <w:rsid w:val="00FE6BDE"/>
    <w:rsid w:val="00FF1275"/>
    <w:rsid w:val="00FF194A"/>
    <w:rsid w:val="00FF1E0C"/>
    <w:rsid w:val="01A15B08"/>
    <w:rsid w:val="01AF4254"/>
    <w:rsid w:val="020866C9"/>
    <w:rsid w:val="02094A42"/>
    <w:rsid w:val="031F6792"/>
    <w:rsid w:val="048A02DF"/>
    <w:rsid w:val="05E53B14"/>
    <w:rsid w:val="06AA3A95"/>
    <w:rsid w:val="077C4CBC"/>
    <w:rsid w:val="08677D62"/>
    <w:rsid w:val="08C118B6"/>
    <w:rsid w:val="08FC324B"/>
    <w:rsid w:val="0AE41970"/>
    <w:rsid w:val="0BA17C72"/>
    <w:rsid w:val="0D7B4325"/>
    <w:rsid w:val="0E261538"/>
    <w:rsid w:val="0F5541A7"/>
    <w:rsid w:val="10837167"/>
    <w:rsid w:val="11195798"/>
    <w:rsid w:val="11C53F90"/>
    <w:rsid w:val="11F94916"/>
    <w:rsid w:val="12082FD7"/>
    <w:rsid w:val="13165211"/>
    <w:rsid w:val="134F427F"/>
    <w:rsid w:val="1394626A"/>
    <w:rsid w:val="15376E13"/>
    <w:rsid w:val="15EB1115"/>
    <w:rsid w:val="18041C24"/>
    <w:rsid w:val="18AE66DE"/>
    <w:rsid w:val="190453A1"/>
    <w:rsid w:val="19B05279"/>
    <w:rsid w:val="19D21F7E"/>
    <w:rsid w:val="1B2A6182"/>
    <w:rsid w:val="1B336F50"/>
    <w:rsid w:val="1B7B3068"/>
    <w:rsid w:val="1BC2228E"/>
    <w:rsid w:val="1BCB2C50"/>
    <w:rsid w:val="1C475CCD"/>
    <w:rsid w:val="1C4A5552"/>
    <w:rsid w:val="1C7D77A6"/>
    <w:rsid w:val="1C9B22E3"/>
    <w:rsid w:val="1DA73FC9"/>
    <w:rsid w:val="1DEF65CF"/>
    <w:rsid w:val="1E9675D8"/>
    <w:rsid w:val="1EBA0E38"/>
    <w:rsid w:val="1F2B6305"/>
    <w:rsid w:val="20D6799C"/>
    <w:rsid w:val="21F8049E"/>
    <w:rsid w:val="230A6FF9"/>
    <w:rsid w:val="23B833C4"/>
    <w:rsid w:val="24313F27"/>
    <w:rsid w:val="24B6415E"/>
    <w:rsid w:val="25593628"/>
    <w:rsid w:val="25795E15"/>
    <w:rsid w:val="2580449D"/>
    <w:rsid w:val="25963607"/>
    <w:rsid w:val="25CA7E76"/>
    <w:rsid w:val="26E77117"/>
    <w:rsid w:val="27845BBD"/>
    <w:rsid w:val="27994014"/>
    <w:rsid w:val="27C52CB5"/>
    <w:rsid w:val="27F35805"/>
    <w:rsid w:val="2805529A"/>
    <w:rsid w:val="284E1359"/>
    <w:rsid w:val="28DC1054"/>
    <w:rsid w:val="2C8D1691"/>
    <w:rsid w:val="2D433E79"/>
    <w:rsid w:val="2D65606C"/>
    <w:rsid w:val="2EB102D0"/>
    <w:rsid w:val="2ED17DCD"/>
    <w:rsid w:val="2EFB2475"/>
    <w:rsid w:val="2F1F4980"/>
    <w:rsid w:val="3076600E"/>
    <w:rsid w:val="307F7677"/>
    <w:rsid w:val="31176B77"/>
    <w:rsid w:val="35877A81"/>
    <w:rsid w:val="359A7184"/>
    <w:rsid w:val="3744261E"/>
    <w:rsid w:val="3872122D"/>
    <w:rsid w:val="387555EA"/>
    <w:rsid w:val="38CF3E86"/>
    <w:rsid w:val="39755785"/>
    <w:rsid w:val="3A8C4051"/>
    <w:rsid w:val="3B5326F5"/>
    <w:rsid w:val="3BCB58D4"/>
    <w:rsid w:val="3E0024E3"/>
    <w:rsid w:val="3E037FB0"/>
    <w:rsid w:val="3E0554C3"/>
    <w:rsid w:val="3E0702BE"/>
    <w:rsid w:val="3F183ABD"/>
    <w:rsid w:val="4032153F"/>
    <w:rsid w:val="40396E60"/>
    <w:rsid w:val="404E3DFB"/>
    <w:rsid w:val="4142108B"/>
    <w:rsid w:val="41D76922"/>
    <w:rsid w:val="42557B5A"/>
    <w:rsid w:val="427B4E0F"/>
    <w:rsid w:val="44C30D5C"/>
    <w:rsid w:val="459D47D3"/>
    <w:rsid w:val="461012F9"/>
    <w:rsid w:val="468F36CE"/>
    <w:rsid w:val="472C4FB8"/>
    <w:rsid w:val="477544A9"/>
    <w:rsid w:val="488F2B38"/>
    <w:rsid w:val="4ABE6E0A"/>
    <w:rsid w:val="4AFB3500"/>
    <w:rsid w:val="4CDF4FD7"/>
    <w:rsid w:val="4D2F7C0C"/>
    <w:rsid w:val="4D8959A6"/>
    <w:rsid w:val="4E703810"/>
    <w:rsid w:val="4FC31F86"/>
    <w:rsid w:val="4FEA69E5"/>
    <w:rsid w:val="534665F2"/>
    <w:rsid w:val="53582700"/>
    <w:rsid w:val="53D00760"/>
    <w:rsid w:val="53DB1BAB"/>
    <w:rsid w:val="54C806C5"/>
    <w:rsid w:val="5B570B4A"/>
    <w:rsid w:val="5BE80287"/>
    <w:rsid w:val="5C01420A"/>
    <w:rsid w:val="5C1127CB"/>
    <w:rsid w:val="5C172F4C"/>
    <w:rsid w:val="5C2B17E4"/>
    <w:rsid w:val="5C2B35EA"/>
    <w:rsid w:val="5CAB212A"/>
    <w:rsid w:val="5CCD4DBA"/>
    <w:rsid w:val="5D51151E"/>
    <w:rsid w:val="5E284F41"/>
    <w:rsid w:val="5FE20012"/>
    <w:rsid w:val="5FF4555F"/>
    <w:rsid w:val="60FB0A31"/>
    <w:rsid w:val="61A26709"/>
    <w:rsid w:val="620339A9"/>
    <w:rsid w:val="620E4996"/>
    <w:rsid w:val="622D342E"/>
    <w:rsid w:val="623936FD"/>
    <w:rsid w:val="6303194F"/>
    <w:rsid w:val="63483C8F"/>
    <w:rsid w:val="63E15DFA"/>
    <w:rsid w:val="63E27DDC"/>
    <w:rsid w:val="640D6BEF"/>
    <w:rsid w:val="650125BE"/>
    <w:rsid w:val="65FB497A"/>
    <w:rsid w:val="67E64767"/>
    <w:rsid w:val="681206DC"/>
    <w:rsid w:val="687674CE"/>
    <w:rsid w:val="689E2536"/>
    <w:rsid w:val="68F024D8"/>
    <w:rsid w:val="68F142E6"/>
    <w:rsid w:val="69142D6C"/>
    <w:rsid w:val="692A771C"/>
    <w:rsid w:val="6940082B"/>
    <w:rsid w:val="6A984F03"/>
    <w:rsid w:val="6ADF6879"/>
    <w:rsid w:val="6B08451F"/>
    <w:rsid w:val="6BA77477"/>
    <w:rsid w:val="6BB04F86"/>
    <w:rsid w:val="6D05497A"/>
    <w:rsid w:val="6EB62D31"/>
    <w:rsid w:val="6F370BF8"/>
    <w:rsid w:val="712C0DAB"/>
    <w:rsid w:val="716D77F8"/>
    <w:rsid w:val="72BA3B44"/>
    <w:rsid w:val="72F77251"/>
    <w:rsid w:val="73383726"/>
    <w:rsid w:val="73E906CA"/>
    <w:rsid w:val="74A5063C"/>
    <w:rsid w:val="74F57373"/>
    <w:rsid w:val="752F59CE"/>
    <w:rsid w:val="756048F2"/>
    <w:rsid w:val="758F5CF3"/>
    <w:rsid w:val="76BE394D"/>
    <w:rsid w:val="76CB0355"/>
    <w:rsid w:val="76E30B32"/>
    <w:rsid w:val="7710100F"/>
    <w:rsid w:val="78B0457A"/>
    <w:rsid w:val="797D5EA1"/>
    <w:rsid w:val="7B2D3BB7"/>
    <w:rsid w:val="7B4231CA"/>
    <w:rsid w:val="7B545202"/>
    <w:rsid w:val="7C14555E"/>
    <w:rsid w:val="7E514D2D"/>
    <w:rsid w:val="7E753B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5">
    <w:name w:val="heading 2"/>
    <w:basedOn w:val="4"/>
    <w:next w:val="1"/>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7"/>
    <w:qFormat/>
    <w:uiPriority w:val="1"/>
    <w:pPr>
      <w:spacing w:line="357" w:lineRule="exact"/>
      <w:ind w:left="774"/>
      <w:outlineLvl w:val="2"/>
    </w:pPr>
    <w:rPr>
      <w:b/>
      <w:bCs/>
      <w:sz w:val="28"/>
      <w:szCs w:val="28"/>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rFonts w:ascii="宋体" w:hAnsi="宋体" w:eastAsia="宋体"/>
      <w:sz w:val="21"/>
      <w:szCs w:val="20"/>
    </w:rPr>
  </w:style>
  <w:style w:type="paragraph" w:styleId="3">
    <w:name w:val="Body Text Indent"/>
    <w:basedOn w:val="1"/>
    <w:qFormat/>
    <w:uiPriority w:val="0"/>
    <w:pPr>
      <w:ind w:firstLine="645"/>
    </w:pPr>
    <w:rPr>
      <w:rFonts w:ascii="楷体_GB2312" w:eastAsia="楷体_GB2312"/>
      <w:sz w:val="32"/>
      <w:szCs w:val="32"/>
    </w:rPr>
  </w:style>
  <w:style w:type="paragraph" w:styleId="7">
    <w:name w:val="Normal Indent"/>
    <w:basedOn w:val="1"/>
    <w:qFormat/>
    <w:uiPriority w:val="0"/>
    <w:pPr>
      <w:ind w:firstLine="420"/>
    </w:pPr>
  </w:style>
  <w:style w:type="paragraph" w:styleId="9">
    <w:name w:val="Body Text"/>
    <w:basedOn w:val="1"/>
    <w:next w:val="1"/>
    <w:qFormat/>
    <w:uiPriority w:val="1"/>
    <w:rPr>
      <w:sz w:val="28"/>
      <w:szCs w:val="28"/>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49"/>
    <w:qFormat/>
    <w:uiPriority w:val="0"/>
    <w:rPr>
      <w:sz w:val="18"/>
      <w:szCs w:val="18"/>
    </w:rPr>
  </w:style>
  <w:style w:type="paragraph" w:styleId="16">
    <w:name w:val="footer"/>
    <w:basedOn w:val="1"/>
    <w:link w:val="76"/>
    <w:qFormat/>
    <w:uiPriority w:val="0"/>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77"/>
    <w:qFormat/>
    <w:uiPriority w:val="0"/>
    <w:pPr>
      <w:pBdr>
        <w:bottom w:val="single" w:color="000000" w:sz="6" w:space="1"/>
      </w:pBdr>
      <w:tabs>
        <w:tab w:val="center" w:pos="4153"/>
        <w:tab w:val="right" w:pos="8306"/>
      </w:tabs>
      <w:snapToGrid w:val="0"/>
      <w:jc w:val="center"/>
    </w:pPr>
    <w:rPr>
      <w:sz w:val="18"/>
      <w:szCs w:val="18"/>
    </w:rPr>
  </w:style>
  <w:style w:type="paragraph" w:styleId="19">
    <w:name w:val="List"/>
    <w:basedOn w:val="1"/>
    <w:qFormat/>
    <w:uiPriority w:val="0"/>
    <w:pPr>
      <w:ind w:left="200" w:hanging="200" w:hangingChars="200"/>
    </w:pPr>
  </w:style>
  <w:style w:type="paragraph" w:styleId="20">
    <w:name w:val="Normal (Web)"/>
    <w:basedOn w:val="1"/>
    <w:qFormat/>
    <w:uiPriority w:val="99"/>
    <w:pPr>
      <w:spacing w:before="100" w:beforeAutospacing="1" w:after="100" w:afterAutospacing="1"/>
      <w:jc w:val="left"/>
    </w:pPr>
    <w:rPr>
      <w:rFonts w:ascii="宋体" w:hAnsi="宋体" w:cs="宋体"/>
      <w:kern w:val="0"/>
      <w:sz w:val="24"/>
    </w:rPr>
  </w:style>
  <w:style w:type="paragraph" w:styleId="21">
    <w:name w:val="Body Text First Indent"/>
    <w:basedOn w:val="9"/>
    <w:qFormat/>
    <w:uiPriority w:val="99"/>
    <w:pPr>
      <w:ind w:firstLine="420" w:firstLineChars="100"/>
    </w:p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rFonts w:cs="Times New Roman"/>
      <w:b/>
      <w:bCs/>
    </w:rPr>
  </w:style>
  <w:style w:type="character" w:styleId="26">
    <w:name w:val="page number"/>
    <w:basedOn w:val="24"/>
    <w:qFormat/>
    <w:uiPriority w:val="0"/>
  </w:style>
  <w:style w:type="character" w:styleId="27">
    <w:name w:val="FollowedHyperlink"/>
    <w:qFormat/>
    <w:uiPriority w:val="0"/>
    <w:rPr>
      <w:color w:val="800080"/>
    </w:rPr>
  </w:style>
  <w:style w:type="character" w:styleId="28">
    <w:name w:val="Emphasis"/>
    <w:qFormat/>
    <w:uiPriority w:val="0"/>
  </w:style>
  <w:style w:type="character" w:styleId="29">
    <w:name w:val="Hyperlink"/>
    <w:qFormat/>
    <w:uiPriority w:val="0"/>
    <w:rPr>
      <w:color w:val="0000FF"/>
    </w:rPr>
  </w:style>
  <w:style w:type="paragraph" w:customStyle="1" w:styleId="30">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1">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2">
    <w:name w:val="BlockQuote"/>
    <w:basedOn w:val="1"/>
    <w:qFormat/>
    <w:uiPriority w:val="0"/>
    <w:pPr>
      <w:spacing w:after="120"/>
      <w:ind w:left="1440" w:leftChars="700" w:right="1440" w:rightChars="700"/>
    </w:pPr>
  </w:style>
  <w:style w:type="paragraph" w:customStyle="1" w:styleId="33">
    <w:name w:val="一级条标题"/>
    <w:basedOn w:val="34"/>
    <w:next w:val="3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5">
    <w:name w:val="段"/>
    <w:next w:val="36"/>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6">
    <w:name w:val="正文 A"/>
    <w:next w:val="35"/>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7">
    <w:name w:val="Heading1"/>
    <w:basedOn w:val="1"/>
    <w:next w:val="1"/>
    <w:link w:val="65"/>
    <w:qFormat/>
    <w:uiPriority w:val="0"/>
    <w:pPr>
      <w:keepNext/>
      <w:jc w:val="center"/>
    </w:pPr>
    <w:rPr>
      <w:rFonts w:ascii="楷体_GB2312" w:eastAsia="楷体_GB2312"/>
      <w:sz w:val="28"/>
      <w:szCs w:val="28"/>
    </w:rPr>
  </w:style>
  <w:style w:type="paragraph" w:customStyle="1" w:styleId="38">
    <w:name w:val="Heading2"/>
    <w:basedOn w:val="1"/>
    <w:next w:val="39"/>
    <w:qFormat/>
    <w:uiPriority w:val="0"/>
    <w:pPr>
      <w:keepNext/>
      <w:keepLines/>
      <w:spacing w:before="260" w:after="260" w:line="416" w:lineRule="auto"/>
      <w:jc w:val="center"/>
    </w:pPr>
    <w:rPr>
      <w:rFonts w:ascii="Arial" w:hAnsi="Arial" w:eastAsia="幼圆" w:cs="Arial"/>
      <w:b/>
      <w:bCs/>
      <w:sz w:val="44"/>
      <w:szCs w:val="44"/>
    </w:rPr>
  </w:style>
  <w:style w:type="paragraph" w:customStyle="1" w:styleId="39">
    <w:name w:val="NormalIndent"/>
    <w:basedOn w:val="1"/>
    <w:link w:val="67"/>
    <w:qFormat/>
    <w:uiPriority w:val="0"/>
    <w:pPr>
      <w:ind w:firstLine="420"/>
    </w:pPr>
  </w:style>
  <w:style w:type="paragraph" w:customStyle="1" w:styleId="40">
    <w:name w:val="Heading3"/>
    <w:basedOn w:val="1"/>
    <w:next w:val="39"/>
    <w:link w:val="68"/>
    <w:qFormat/>
    <w:uiPriority w:val="0"/>
    <w:pPr>
      <w:keepNext/>
      <w:keepLines/>
      <w:spacing w:before="260" w:after="260" w:line="416" w:lineRule="auto"/>
    </w:pPr>
    <w:rPr>
      <w:rFonts w:cs="Times New Roman"/>
      <w:b/>
      <w:bCs/>
      <w:sz w:val="32"/>
      <w:szCs w:val="32"/>
    </w:rPr>
  </w:style>
  <w:style w:type="paragraph" w:customStyle="1" w:styleId="41">
    <w:name w:val="Heading4"/>
    <w:basedOn w:val="1"/>
    <w:next w:val="39"/>
    <w:link w:val="69"/>
    <w:qFormat/>
    <w:uiPriority w:val="0"/>
    <w:pPr>
      <w:keepNext/>
      <w:keepLines/>
      <w:spacing w:before="280" w:after="290" w:line="376" w:lineRule="auto"/>
    </w:pPr>
    <w:rPr>
      <w:rFonts w:ascii="Cambria" w:hAnsi="Cambria"/>
      <w:b/>
      <w:sz w:val="28"/>
      <w:szCs w:val="28"/>
    </w:rPr>
  </w:style>
  <w:style w:type="paragraph" w:customStyle="1" w:styleId="42">
    <w:name w:val="Heading5"/>
    <w:basedOn w:val="1"/>
    <w:next w:val="1"/>
    <w:qFormat/>
    <w:uiPriority w:val="0"/>
    <w:pPr>
      <w:keepNext/>
    </w:pPr>
    <w:rPr>
      <w:rFonts w:ascii="宋体"/>
      <w:color w:val="000000"/>
      <w:kern w:val="0"/>
      <w:sz w:val="28"/>
      <w:szCs w:val="28"/>
    </w:rPr>
  </w:style>
  <w:style w:type="paragraph" w:customStyle="1" w:styleId="43">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4">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5">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6">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7">
    <w:name w:val="NormalCharacter"/>
    <w:semiHidden/>
    <w:qFormat/>
    <w:uiPriority w:val="0"/>
  </w:style>
  <w:style w:type="table" w:customStyle="1" w:styleId="48">
    <w:name w:val="TableNormal"/>
    <w:semiHidden/>
    <w:qFormat/>
    <w:uiPriority w:val="0"/>
    <w:tblPr>
      <w:tblCellMar>
        <w:top w:w="0" w:type="dxa"/>
        <w:left w:w="0" w:type="dxa"/>
        <w:bottom w:w="0" w:type="dxa"/>
        <w:right w:w="0" w:type="dxa"/>
      </w:tblCellMar>
    </w:tblPr>
  </w:style>
  <w:style w:type="character" w:customStyle="1" w:styleId="49">
    <w:name w:val="htmlSamp"/>
    <w:qFormat/>
    <w:uiPriority w:val="0"/>
    <w:rPr>
      <w:rFonts w:ascii="monospace" w:hAnsi="monospace" w:eastAsia="monospace"/>
    </w:rPr>
  </w:style>
  <w:style w:type="character" w:customStyle="1" w:styleId="50">
    <w:name w:val="PageNumber"/>
    <w:basedOn w:val="47"/>
    <w:qFormat/>
    <w:uiPriority w:val="0"/>
  </w:style>
  <w:style w:type="character" w:customStyle="1" w:styleId="51">
    <w:name w:val="HtmlVar"/>
    <w:qFormat/>
    <w:uiPriority w:val="0"/>
  </w:style>
  <w:style w:type="character" w:customStyle="1" w:styleId="52">
    <w:name w:val="HtmlKbd"/>
    <w:qFormat/>
    <w:uiPriority w:val="0"/>
    <w:rPr>
      <w:rFonts w:ascii="monospace" w:hAnsi="monospace" w:eastAsia="monospace"/>
      <w:sz w:val="20"/>
    </w:rPr>
  </w:style>
  <w:style w:type="character" w:customStyle="1" w:styleId="53">
    <w:name w:val="HtmlDfn"/>
    <w:qFormat/>
    <w:uiPriority w:val="0"/>
  </w:style>
  <w:style w:type="character" w:customStyle="1" w:styleId="54">
    <w:name w:val="HtmlCite"/>
    <w:qFormat/>
    <w:uiPriority w:val="0"/>
  </w:style>
  <w:style w:type="character" w:customStyle="1" w:styleId="55">
    <w:name w:val="HtmlAcronym"/>
    <w:basedOn w:val="47"/>
    <w:qFormat/>
    <w:uiPriority w:val="0"/>
  </w:style>
  <w:style w:type="character" w:customStyle="1" w:styleId="56">
    <w:name w:val="HtmlTt"/>
    <w:qFormat/>
    <w:uiPriority w:val="0"/>
    <w:rPr>
      <w:rFonts w:ascii="monospace" w:hAnsi="monospace" w:eastAsia="monospace"/>
      <w:sz w:val="20"/>
    </w:rPr>
  </w:style>
  <w:style w:type="character" w:customStyle="1" w:styleId="57">
    <w:name w:val="AnnotationReference"/>
    <w:semiHidden/>
    <w:qFormat/>
    <w:uiPriority w:val="0"/>
    <w:rPr>
      <w:sz w:val="21"/>
      <w:szCs w:val="21"/>
    </w:rPr>
  </w:style>
  <w:style w:type="character" w:customStyle="1" w:styleId="58">
    <w:name w:val="HtmlCode"/>
    <w:qFormat/>
    <w:uiPriority w:val="0"/>
    <w:rPr>
      <w:rFonts w:ascii="monospace" w:hAnsi="monospace" w:eastAsia="monospace"/>
      <w:sz w:val="20"/>
    </w:rPr>
  </w:style>
  <w:style w:type="character" w:customStyle="1" w:styleId="59">
    <w:name w:val="UserStyle_0"/>
    <w:link w:val="60"/>
    <w:qFormat/>
    <w:locked/>
    <w:uiPriority w:val="0"/>
    <w:rPr>
      <w:rFonts w:ascii="Calibri" w:hAnsi="Calibri"/>
      <w:sz w:val="24"/>
      <w:szCs w:val="24"/>
      <w:lang w:eastAsia="en-US" w:bidi="en-US"/>
    </w:rPr>
  </w:style>
  <w:style w:type="paragraph" w:customStyle="1" w:styleId="60">
    <w:name w:val="UserStyle_1"/>
    <w:basedOn w:val="1"/>
    <w:link w:val="59"/>
    <w:qFormat/>
    <w:uiPriority w:val="0"/>
    <w:pPr>
      <w:ind w:left="720"/>
      <w:contextualSpacing/>
      <w:jc w:val="left"/>
    </w:pPr>
    <w:rPr>
      <w:kern w:val="0"/>
      <w:sz w:val="24"/>
      <w:szCs w:val="24"/>
      <w:lang w:eastAsia="en-US" w:bidi="en-US"/>
    </w:rPr>
  </w:style>
  <w:style w:type="character" w:customStyle="1" w:styleId="61">
    <w:name w:val="UserStyle_2"/>
    <w:basedOn w:val="47"/>
    <w:qFormat/>
    <w:uiPriority w:val="0"/>
  </w:style>
  <w:style w:type="character" w:customStyle="1" w:styleId="62">
    <w:name w:val="UserStyle_3"/>
    <w:basedOn w:val="47"/>
    <w:qFormat/>
    <w:uiPriority w:val="0"/>
  </w:style>
  <w:style w:type="character" w:customStyle="1" w:styleId="63">
    <w:name w:val="UserStyle_4"/>
    <w:link w:val="64"/>
    <w:qFormat/>
    <w:uiPriority w:val="0"/>
    <w:rPr>
      <w:rFonts w:eastAsia="宋体"/>
      <w:kern w:val="2"/>
      <w:sz w:val="21"/>
      <w:szCs w:val="21"/>
      <w:lang w:val="en-US" w:eastAsia="zh-CN" w:bidi="ar-SA"/>
    </w:rPr>
  </w:style>
  <w:style w:type="paragraph" w:customStyle="1" w:styleId="64">
    <w:name w:val="NavPane"/>
    <w:basedOn w:val="1"/>
    <w:link w:val="63"/>
    <w:semiHidden/>
    <w:qFormat/>
    <w:uiPriority w:val="0"/>
    <w:pPr>
      <w:shd w:val="clear" w:color="auto" w:fill="000080"/>
    </w:pPr>
  </w:style>
  <w:style w:type="character" w:customStyle="1" w:styleId="65">
    <w:name w:val="UserStyle_5"/>
    <w:link w:val="37"/>
    <w:qFormat/>
    <w:uiPriority w:val="0"/>
    <w:rPr>
      <w:rFonts w:ascii="楷体_GB2312" w:eastAsia="楷体_GB2312"/>
      <w:kern w:val="2"/>
      <w:sz w:val="28"/>
      <w:szCs w:val="28"/>
    </w:rPr>
  </w:style>
  <w:style w:type="character" w:customStyle="1" w:styleId="66">
    <w:name w:val="UserStyle_6"/>
    <w:qFormat/>
    <w:uiPriority w:val="0"/>
    <w:rPr>
      <w:color w:val="999999"/>
    </w:rPr>
  </w:style>
  <w:style w:type="character" w:customStyle="1" w:styleId="67">
    <w:name w:val="UserStyle_7"/>
    <w:link w:val="39"/>
    <w:qFormat/>
    <w:uiPriority w:val="0"/>
    <w:rPr>
      <w:kern w:val="2"/>
      <w:sz w:val="21"/>
      <w:szCs w:val="21"/>
    </w:rPr>
  </w:style>
  <w:style w:type="character" w:customStyle="1" w:styleId="68">
    <w:name w:val="UserStyle_8"/>
    <w:link w:val="40"/>
    <w:qFormat/>
    <w:uiPriority w:val="0"/>
    <w:rPr>
      <w:rFonts w:eastAsia="宋体" w:cs="Times New Roman"/>
      <w:b/>
      <w:bCs/>
      <w:kern w:val="2"/>
      <w:sz w:val="32"/>
      <w:szCs w:val="32"/>
      <w:lang w:val="en-US" w:eastAsia="zh-CN" w:bidi="ar-SA"/>
    </w:rPr>
  </w:style>
  <w:style w:type="character" w:customStyle="1" w:styleId="69">
    <w:name w:val="UserStyle_9"/>
    <w:link w:val="41"/>
    <w:qFormat/>
    <w:uiPriority w:val="0"/>
    <w:rPr>
      <w:rFonts w:ascii="Cambria" w:hAnsi="Cambria" w:eastAsia="宋体"/>
      <w:b/>
      <w:kern w:val="2"/>
      <w:sz w:val="28"/>
      <w:szCs w:val="28"/>
    </w:rPr>
  </w:style>
  <w:style w:type="character" w:customStyle="1" w:styleId="70">
    <w:name w:val="UserStyle_10"/>
    <w:link w:val="71"/>
    <w:semiHidden/>
    <w:qFormat/>
    <w:uiPriority w:val="0"/>
    <w:rPr>
      <w:kern w:val="2"/>
      <w:sz w:val="21"/>
      <w:szCs w:val="21"/>
    </w:rPr>
  </w:style>
  <w:style w:type="paragraph" w:customStyle="1" w:styleId="71">
    <w:name w:val="AnnotationText"/>
    <w:basedOn w:val="1"/>
    <w:link w:val="70"/>
    <w:semiHidden/>
    <w:qFormat/>
    <w:uiPriority w:val="0"/>
    <w:pPr>
      <w:jc w:val="left"/>
    </w:pPr>
  </w:style>
  <w:style w:type="character" w:customStyle="1" w:styleId="72">
    <w:name w:val="UserStyle_11"/>
    <w:link w:val="73"/>
    <w:qFormat/>
    <w:uiPriority w:val="0"/>
    <w:rPr>
      <w:rFonts w:ascii="宋体" w:hAnsi="Courier New"/>
      <w:kern w:val="2"/>
      <w:sz w:val="21"/>
      <w:szCs w:val="21"/>
    </w:rPr>
  </w:style>
  <w:style w:type="paragraph" w:customStyle="1" w:styleId="73">
    <w:name w:val="PlainText"/>
    <w:basedOn w:val="1"/>
    <w:link w:val="72"/>
    <w:qFormat/>
    <w:uiPriority w:val="0"/>
    <w:rPr>
      <w:rFonts w:ascii="宋体" w:hAnsi="Courier New"/>
    </w:rPr>
  </w:style>
  <w:style w:type="character" w:customStyle="1" w:styleId="74">
    <w:name w:val="UserStyle_12"/>
    <w:link w:val="75"/>
    <w:semiHidden/>
    <w:qFormat/>
    <w:uiPriority w:val="0"/>
    <w:rPr>
      <w:kern w:val="2"/>
      <w:sz w:val="18"/>
      <w:szCs w:val="18"/>
    </w:rPr>
  </w:style>
  <w:style w:type="paragraph" w:customStyle="1" w:styleId="75">
    <w:name w:val="Acetate"/>
    <w:basedOn w:val="1"/>
    <w:link w:val="74"/>
    <w:semiHidden/>
    <w:qFormat/>
    <w:uiPriority w:val="0"/>
    <w:rPr>
      <w:sz w:val="18"/>
      <w:szCs w:val="18"/>
    </w:rPr>
  </w:style>
  <w:style w:type="character" w:customStyle="1" w:styleId="76">
    <w:name w:val="页脚 Char"/>
    <w:link w:val="16"/>
    <w:qFormat/>
    <w:uiPriority w:val="0"/>
    <w:rPr>
      <w:kern w:val="2"/>
      <w:sz w:val="18"/>
      <w:szCs w:val="18"/>
    </w:rPr>
  </w:style>
  <w:style w:type="character" w:customStyle="1" w:styleId="77">
    <w:name w:val="页眉 Char"/>
    <w:link w:val="18"/>
    <w:qFormat/>
    <w:uiPriority w:val="0"/>
    <w:rPr>
      <w:kern w:val="2"/>
      <w:sz w:val="18"/>
      <w:szCs w:val="18"/>
    </w:rPr>
  </w:style>
  <w:style w:type="character" w:customStyle="1" w:styleId="78">
    <w:name w:val="UserStyle_15"/>
    <w:qFormat/>
    <w:uiPriority w:val="0"/>
    <w:rPr>
      <w:rFonts w:ascii="宋体" w:hAnsi="宋体" w:eastAsia="宋体"/>
      <w:sz w:val="28"/>
      <w:szCs w:val="28"/>
      <w:lang w:val="en-US" w:eastAsia="zh-CN" w:bidi="ar-SA"/>
    </w:rPr>
  </w:style>
  <w:style w:type="character" w:customStyle="1" w:styleId="79">
    <w:name w:val="UserStyle_16"/>
    <w:basedOn w:val="47"/>
    <w:qFormat/>
    <w:uiPriority w:val="0"/>
    <w:rPr>
      <w:rFonts w:ascii="宋体" w:hAnsi="宋体" w:eastAsia="宋体"/>
      <w:color w:val="000000"/>
      <w:sz w:val="22"/>
      <w:szCs w:val="22"/>
    </w:rPr>
  </w:style>
  <w:style w:type="character" w:customStyle="1" w:styleId="80">
    <w:name w:val="UserStyle_17"/>
    <w:qFormat/>
    <w:uiPriority w:val="0"/>
    <w:rPr>
      <w:shd w:val="clear" w:color="auto" w:fill="EEEEEE"/>
    </w:rPr>
  </w:style>
  <w:style w:type="character" w:customStyle="1" w:styleId="81">
    <w:name w:val="UserStyle_18"/>
    <w:link w:val="82"/>
    <w:qFormat/>
    <w:uiPriority w:val="0"/>
    <w:rPr>
      <w:rFonts w:ascii="Tahoma" w:hAnsi="Tahoma" w:eastAsia="宋体"/>
      <w:kern w:val="2"/>
      <w:sz w:val="24"/>
      <w:szCs w:val="24"/>
      <w:lang w:val="en-US" w:eastAsia="zh-CN" w:bidi="ar-SA"/>
    </w:rPr>
  </w:style>
  <w:style w:type="paragraph" w:customStyle="1" w:styleId="82">
    <w:name w:val="UserStyle_19"/>
    <w:basedOn w:val="64"/>
    <w:link w:val="81"/>
    <w:qFormat/>
    <w:uiPriority w:val="0"/>
    <w:pPr>
      <w:snapToGrid w:val="0"/>
      <w:spacing w:line="360" w:lineRule="auto"/>
    </w:pPr>
    <w:rPr>
      <w:rFonts w:ascii="Tahoma" w:hAnsi="Tahoma"/>
      <w:sz w:val="24"/>
      <w:szCs w:val="24"/>
    </w:rPr>
  </w:style>
  <w:style w:type="character" w:customStyle="1" w:styleId="83">
    <w:name w:val="UserStyle_20"/>
    <w:qFormat/>
    <w:uiPriority w:val="0"/>
    <w:rPr>
      <w:rFonts w:eastAsia="宋体"/>
      <w:b/>
      <w:spacing w:val="-2"/>
      <w:sz w:val="24"/>
      <w:lang w:val="en-US" w:eastAsia="zh-CN" w:bidi="ar-SA"/>
    </w:rPr>
  </w:style>
  <w:style w:type="character" w:customStyle="1" w:styleId="84">
    <w:name w:val="UserStyle_21"/>
    <w:link w:val="85"/>
    <w:qFormat/>
    <w:uiPriority w:val="0"/>
    <w:rPr>
      <w:b/>
      <w:kern w:val="2"/>
      <w:sz w:val="30"/>
      <w:szCs w:val="28"/>
      <w:lang w:val="en-US" w:eastAsia="zh-CN" w:bidi="ar-SA"/>
    </w:rPr>
  </w:style>
  <w:style w:type="paragraph" w:customStyle="1" w:styleId="85">
    <w:name w:val="UserStyle_22"/>
    <w:next w:val="1"/>
    <w:link w:val="84"/>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6">
    <w:name w:val="UserStyle_23"/>
    <w:basedOn w:val="47"/>
    <w:qFormat/>
    <w:uiPriority w:val="0"/>
  </w:style>
  <w:style w:type="paragraph" w:customStyle="1" w:styleId="87">
    <w:name w:val="TOC4"/>
    <w:basedOn w:val="1"/>
    <w:next w:val="1"/>
    <w:semiHidden/>
    <w:qFormat/>
    <w:uiPriority w:val="0"/>
    <w:pPr>
      <w:ind w:left="630"/>
      <w:jc w:val="left"/>
    </w:pPr>
  </w:style>
  <w:style w:type="paragraph" w:customStyle="1" w:styleId="88">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9">
    <w:name w:val="BodyTextIndent2"/>
    <w:basedOn w:val="1"/>
    <w:qFormat/>
    <w:uiPriority w:val="0"/>
    <w:pPr>
      <w:ind w:left="630" w:firstLine="645"/>
    </w:pPr>
    <w:rPr>
      <w:rFonts w:ascii="Arial" w:hAnsi="Arial" w:eastAsia="仿宋_GB2312"/>
      <w:sz w:val="32"/>
      <w:szCs w:val="32"/>
    </w:rPr>
  </w:style>
  <w:style w:type="paragraph" w:customStyle="1" w:styleId="90">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1">
    <w:name w:val="EnvelopeReturn"/>
    <w:basedOn w:val="1"/>
    <w:qFormat/>
    <w:uiPriority w:val="0"/>
    <w:pPr>
      <w:snapToGrid w:val="0"/>
    </w:pPr>
    <w:rPr>
      <w:rFonts w:ascii="Arial" w:hAnsi="Arial"/>
    </w:rPr>
  </w:style>
  <w:style w:type="paragraph" w:customStyle="1" w:styleId="92">
    <w:name w:val="BodyTextIndent"/>
    <w:basedOn w:val="1"/>
    <w:next w:val="91"/>
    <w:qFormat/>
    <w:uiPriority w:val="0"/>
    <w:pPr>
      <w:ind w:firstLine="645"/>
    </w:pPr>
    <w:rPr>
      <w:rFonts w:ascii="楷体_GB2312" w:eastAsia="楷体_GB2312"/>
      <w:sz w:val="32"/>
      <w:szCs w:val="32"/>
    </w:rPr>
  </w:style>
  <w:style w:type="paragraph" w:customStyle="1" w:styleId="93">
    <w:name w:val="BodyText3"/>
    <w:basedOn w:val="1"/>
    <w:qFormat/>
    <w:uiPriority w:val="0"/>
    <w:rPr>
      <w:rFonts w:ascii="仿宋_GB2312" w:hAnsi="Arial" w:eastAsia="仿宋_GB2312"/>
      <w:sz w:val="32"/>
      <w:szCs w:val="32"/>
    </w:rPr>
  </w:style>
  <w:style w:type="paragraph" w:customStyle="1" w:styleId="94">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5">
    <w:name w:val="List2"/>
    <w:basedOn w:val="1"/>
    <w:qFormat/>
    <w:uiPriority w:val="0"/>
    <w:pPr>
      <w:ind w:left="100" w:leftChars="200" w:hanging="200" w:hangingChars="200"/>
    </w:pPr>
  </w:style>
  <w:style w:type="paragraph" w:customStyle="1" w:styleId="96">
    <w:name w:val="List3"/>
    <w:basedOn w:val="1"/>
    <w:qFormat/>
    <w:uiPriority w:val="0"/>
    <w:pPr>
      <w:ind w:left="100" w:leftChars="400" w:hanging="200" w:hangingChars="200"/>
    </w:pPr>
  </w:style>
  <w:style w:type="paragraph" w:customStyle="1" w:styleId="97">
    <w:name w:val="Index1"/>
    <w:basedOn w:val="1"/>
    <w:next w:val="1"/>
    <w:semiHidden/>
    <w:qFormat/>
    <w:uiPriority w:val="0"/>
    <w:pPr>
      <w:spacing w:line="240" w:lineRule="atLeast"/>
    </w:pPr>
    <w:rPr>
      <w:rFonts w:cs="Times New Roman"/>
      <w:b/>
      <w:bCs/>
    </w:rPr>
  </w:style>
  <w:style w:type="paragraph" w:customStyle="1" w:styleId="98">
    <w:name w:val="BodyText2"/>
    <w:basedOn w:val="1"/>
    <w:qFormat/>
    <w:uiPriority w:val="0"/>
    <w:pPr>
      <w:jc w:val="center"/>
    </w:pPr>
    <w:rPr>
      <w:rFonts w:ascii="楷体_GB2312" w:eastAsia="楷体_GB2312"/>
      <w:sz w:val="28"/>
      <w:szCs w:val="28"/>
    </w:rPr>
  </w:style>
  <w:style w:type="paragraph" w:customStyle="1" w:styleId="99">
    <w:name w:val="ToCaption"/>
    <w:basedOn w:val="1"/>
    <w:next w:val="1"/>
    <w:semiHidden/>
    <w:qFormat/>
    <w:uiPriority w:val="0"/>
    <w:pPr>
      <w:ind w:left="840" w:hanging="420"/>
    </w:pPr>
  </w:style>
  <w:style w:type="paragraph" w:customStyle="1" w:styleId="100">
    <w:name w:val="BodyTextIndent3"/>
    <w:basedOn w:val="1"/>
    <w:qFormat/>
    <w:uiPriority w:val="0"/>
    <w:pPr>
      <w:ind w:left="645" w:firstLine="645"/>
    </w:pPr>
    <w:rPr>
      <w:rFonts w:ascii="Arial" w:hAnsi="Arial" w:eastAsia="仿宋_GB2312"/>
      <w:color w:val="FFFF00"/>
      <w:sz w:val="32"/>
      <w:szCs w:val="32"/>
    </w:rPr>
  </w:style>
  <w:style w:type="paragraph" w:customStyle="1" w:styleId="101">
    <w:name w:val="TOC6"/>
    <w:basedOn w:val="1"/>
    <w:next w:val="1"/>
    <w:semiHidden/>
    <w:qFormat/>
    <w:uiPriority w:val="0"/>
    <w:pPr>
      <w:ind w:left="1050"/>
      <w:jc w:val="left"/>
    </w:pPr>
  </w:style>
  <w:style w:type="paragraph" w:customStyle="1" w:styleId="102">
    <w:name w:val="BodyText1I2"/>
    <w:basedOn w:val="92"/>
    <w:qFormat/>
    <w:uiPriority w:val="0"/>
    <w:pPr>
      <w:spacing w:line="360" w:lineRule="auto"/>
      <w:ind w:firstLine="420" w:firstLineChars="200"/>
    </w:pPr>
    <w:rPr>
      <w:rFonts w:ascii="宋体" w:hAnsi="宋体" w:eastAsia="宋体"/>
      <w:sz w:val="21"/>
      <w:szCs w:val="20"/>
    </w:rPr>
  </w:style>
  <w:style w:type="paragraph" w:customStyle="1" w:styleId="103">
    <w:name w:val="AnnotationSubject"/>
    <w:basedOn w:val="71"/>
    <w:next w:val="71"/>
    <w:semiHidden/>
    <w:qFormat/>
    <w:uiPriority w:val="0"/>
    <w:rPr>
      <w:rFonts w:cs="Times New Roman"/>
      <w:b/>
      <w:bCs/>
    </w:rPr>
  </w:style>
  <w:style w:type="paragraph" w:customStyle="1" w:styleId="104">
    <w:name w:val="TOC2"/>
    <w:basedOn w:val="1"/>
    <w:next w:val="1"/>
    <w:semiHidden/>
    <w:qFormat/>
    <w:uiPriority w:val="0"/>
    <w:pPr>
      <w:ind w:left="210"/>
      <w:jc w:val="left"/>
    </w:pPr>
    <w:rPr>
      <w:smallCaps/>
      <w:szCs w:val="24"/>
    </w:rPr>
  </w:style>
  <w:style w:type="paragraph" w:customStyle="1" w:styleId="105">
    <w:name w:val="TOC8"/>
    <w:basedOn w:val="1"/>
    <w:next w:val="1"/>
    <w:semiHidden/>
    <w:qFormat/>
    <w:uiPriority w:val="0"/>
    <w:pPr>
      <w:ind w:left="1470"/>
      <w:jc w:val="left"/>
    </w:pPr>
  </w:style>
  <w:style w:type="paragraph" w:customStyle="1" w:styleId="106">
    <w:name w:val="TOC7"/>
    <w:basedOn w:val="1"/>
    <w:next w:val="1"/>
    <w:semiHidden/>
    <w:qFormat/>
    <w:uiPriority w:val="0"/>
    <w:pPr>
      <w:ind w:left="1260"/>
      <w:jc w:val="left"/>
    </w:pPr>
  </w:style>
  <w:style w:type="paragraph" w:customStyle="1" w:styleId="107">
    <w:name w:val="BodyText"/>
    <w:basedOn w:val="1"/>
    <w:qFormat/>
    <w:uiPriority w:val="0"/>
    <w:rPr>
      <w:rFonts w:ascii="楷体_GB2312" w:hAnsi="Arial" w:eastAsia="楷体_GB2312"/>
      <w:sz w:val="28"/>
      <w:szCs w:val="28"/>
    </w:rPr>
  </w:style>
  <w:style w:type="paragraph" w:customStyle="1" w:styleId="108">
    <w:name w:val="TOC9"/>
    <w:basedOn w:val="1"/>
    <w:next w:val="1"/>
    <w:semiHidden/>
    <w:qFormat/>
    <w:uiPriority w:val="0"/>
    <w:pPr>
      <w:ind w:left="1680"/>
      <w:jc w:val="left"/>
    </w:pPr>
  </w:style>
  <w:style w:type="paragraph" w:customStyle="1" w:styleId="109">
    <w:name w:val="TOC3"/>
    <w:basedOn w:val="1"/>
    <w:next w:val="1"/>
    <w:semiHidden/>
    <w:qFormat/>
    <w:uiPriority w:val="0"/>
    <w:pPr>
      <w:ind w:left="420"/>
      <w:jc w:val="left"/>
    </w:pPr>
    <w:rPr>
      <w:i/>
      <w:iCs/>
      <w:szCs w:val="24"/>
    </w:rPr>
  </w:style>
  <w:style w:type="paragraph" w:customStyle="1" w:styleId="110">
    <w:name w:val="TOC5"/>
    <w:basedOn w:val="1"/>
    <w:next w:val="1"/>
    <w:semiHidden/>
    <w:qFormat/>
    <w:uiPriority w:val="0"/>
    <w:pPr>
      <w:ind w:left="840"/>
      <w:jc w:val="left"/>
    </w:pPr>
  </w:style>
  <w:style w:type="paragraph" w:customStyle="1" w:styleId="111">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2">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3">
    <w:name w:val="179"/>
    <w:basedOn w:val="1"/>
    <w:qFormat/>
    <w:uiPriority w:val="0"/>
    <w:pPr>
      <w:ind w:left="720"/>
      <w:contextualSpacing/>
      <w:jc w:val="left"/>
    </w:pPr>
    <w:rPr>
      <w:rFonts w:ascii="Calibri" w:hAnsi="Calibri"/>
      <w:kern w:val="0"/>
      <w:sz w:val="24"/>
      <w:szCs w:val="24"/>
      <w:lang w:eastAsia="en-US" w:bidi="en-US"/>
    </w:rPr>
  </w:style>
  <w:style w:type="paragraph" w:customStyle="1" w:styleId="114">
    <w:name w:val="UserStyle_26"/>
    <w:basedOn w:val="1"/>
    <w:qFormat/>
    <w:uiPriority w:val="0"/>
    <w:pPr>
      <w:tabs>
        <w:tab w:val="left" w:pos="-720"/>
      </w:tabs>
    </w:pPr>
    <w:rPr>
      <w:spacing w:val="-3"/>
      <w:kern w:val="0"/>
      <w:sz w:val="24"/>
      <w:szCs w:val="20"/>
      <w:lang w:val="en-AU" w:eastAsia="en-US"/>
    </w:rPr>
  </w:style>
  <w:style w:type="paragraph" w:customStyle="1" w:styleId="115">
    <w:name w:val="UserStyle_27"/>
    <w:basedOn w:val="1"/>
    <w:next w:val="1"/>
    <w:qFormat/>
    <w:uiPriority w:val="0"/>
    <w:pPr>
      <w:jc w:val="center"/>
    </w:pPr>
    <w:rPr>
      <w:sz w:val="24"/>
    </w:rPr>
  </w:style>
  <w:style w:type="paragraph" w:customStyle="1" w:styleId="116">
    <w:name w:val="UserStyle_28"/>
    <w:basedOn w:val="1"/>
    <w:qFormat/>
    <w:uiPriority w:val="0"/>
    <w:pPr>
      <w:jc w:val="left"/>
    </w:pPr>
    <w:rPr>
      <w:kern w:val="0"/>
      <w:sz w:val="20"/>
      <w:szCs w:val="20"/>
      <w:lang w:val="de-DE" w:eastAsia="de-DE"/>
    </w:rPr>
  </w:style>
  <w:style w:type="paragraph" w:customStyle="1" w:styleId="117">
    <w:name w:val="UserStyle_29"/>
    <w:basedOn w:val="1"/>
    <w:qFormat/>
    <w:uiPriority w:val="0"/>
    <w:pPr>
      <w:tabs>
        <w:tab w:val="left" w:pos="360"/>
      </w:tabs>
      <w:ind w:firstLine="200" w:firstLineChars="200"/>
    </w:pPr>
    <w:rPr>
      <w:sz w:val="28"/>
      <w:szCs w:val="30"/>
    </w:rPr>
  </w:style>
  <w:style w:type="paragraph" w:customStyle="1" w:styleId="118">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9">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0">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1">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2">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3">
    <w:name w:val="UserStyle_35"/>
    <w:basedOn w:val="115"/>
    <w:qFormat/>
    <w:uiPriority w:val="0"/>
    <w:pPr>
      <w:jc w:val="left"/>
    </w:pPr>
  </w:style>
  <w:style w:type="paragraph" w:customStyle="1" w:styleId="124">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5">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6">
    <w:name w:val="UserStyle_38"/>
    <w:basedOn w:val="1"/>
    <w:qFormat/>
    <w:uiPriority w:val="0"/>
    <w:pPr>
      <w:spacing w:before="120"/>
      <w:jc w:val="left"/>
    </w:pPr>
    <w:rPr>
      <w:rFonts w:cs="Times New Roman"/>
      <w:bCs/>
      <w:kern w:val="0"/>
      <w:sz w:val="20"/>
      <w:szCs w:val="20"/>
      <w:lang w:val="de-DE" w:eastAsia="de-DE"/>
    </w:rPr>
  </w:style>
  <w:style w:type="paragraph" w:customStyle="1" w:styleId="127">
    <w:name w:val="UserStyle_39"/>
    <w:basedOn w:val="64"/>
    <w:qFormat/>
    <w:uiPriority w:val="0"/>
    <w:pPr>
      <w:snapToGrid w:val="0"/>
      <w:spacing w:line="360" w:lineRule="auto"/>
    </w:pPr>
    <w:rPr>
      <w:rFonts w:ascii="Tahoma" w:hAnsi="Tahoma"/>
      <w:sz w:val="24"/>
      <w:szCs w:val="24"/>
    </w:rPr>
  </w:style>
  <w:style w:type="paragraph" w:customStyle="1" w:styleId="128">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9">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0">
    <w:name w:val="UserStyle_42"/>
    <w:basedOn w:val="1"/>
    <w:qFormat/>
    <w:uiPriority w:val="0"/>
    <w:pPr>
      <w:snapToGrid w:val="0"/>
      <w:jc w:val="left"/>
    </w:pPr>
    <w:rPr>
      <w:rFonts w:ascii="Arial Unicode MS" w:hAnsi="Arial Unicode MS"/>
      <w:szCs w:val="24"/>
    </w:rPr>
  </w:style>
  <w:style w:type="paragraph" w:customStyle="1" w:styleId="131">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2">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3">
    <w:name w:val="UserStyle_45"/>
    <w:basedOn w:val="64"/>
    <w:qFormat/>
    <w:uiPriority w:val="0"/>
    <w:rPr>
      <w:rFonts w:ascii="Tahoma" w:hAnsi="Tahoma"/>
      <w:sz w:val="24"/>
      <w:szCs w:val="24"/>
    </w:rPr>
  </w:style>
  <w:style w:type="paragraph" w:customStyle="1" w:styleId="134">
    <w:name w:val="UserStyle_46"/>
    <w:basedOn w:val="1"/>
    <w:qFormat/>
    <w:uiPriority w:val="0"/>
    <w:pPr>
      <w:spacing w:line="360" w:lineRule="auto"/>
    </w:pPr>
    <w:rPr>
      <w:kern w:val="0"/>
      <w:sz w:val="24"/>
      <w:szCs w:val="20"/>
    </w:rPr>
  </w:style>
  <w:style w:type="paragraph" w:customStyle="1" w:styleId="135">
    <w:name w:val="UserStyle_47"/>
    <w:basedOn w:val="1"/>
    <w:qFormat/>
    <w:uiPriority w:val="0"/>
    <w:pPr>
      <w:numPr>
        <w:ilvl w:val="0"/>
        <w:numId w:val="3"/>
      </w:numPr>
    </w:pPr>
    <w:rPr>
      <w:rFonts w:ascii="宋体" w:hAnsi="宋体"/>
      <w:kern w:val="0"/>
    </w:rPr>
  </w:style>
  <w:style w:type="paragraph" w:customStyle="1" w:styleId="136">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7">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8">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9">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0">
    <w:name w:val="UserStyle_52"/>
    <w:basedOn w:val="1"/>
    <w:next w:val="100"/>
    <w:qFormat/>
    <w:uiPriority w:val="0"/>
    <w:pPr>
      <w:spacing w:line="360" w:lineRule="auto"/>
      <w:ind w:firstLine="420"/>
    </w:pPr>
    <w:rPr>
      <w:color w:val="FF0000"/>
      <w:sz w:val="24"/>
      <w:szCs w:val="24"/>
    </w:rPr>
  </w:style>
  <w:style w:type="paragraph" w:customStyle="1" w:styleId="141">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2">
    <w:name w:val="UserStyle_54"/>
    <w:basedOn w:val="1"/>
    <w:next w:val="107"/>
    <w:qFormat/>
    <w:uiPriority w:val="0"/>
    <w:pPr>
      <w:spacing w:after="120"/>
    </w:pPr>
    <w:rPr>
      <w:rFonts w:ascii="宋体" w:hAnsi="Arial" w:cs="Times New Roman"/>
      <w:bCs/>
      <w:iCs/>
      <w:szCs w:val="24"/>
    </w:rPr>
  </w:style>
  <w:style w:type="paragraph" w:customStyle="1" w:styleId="143">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4">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5">
    <w:name w:val="TableGrid"/>
    <w:basedOn w:val="48"/>
    <w:qFormat/>
    <w:uiPriority w:val="0"/>
    <w:tblPr>
      <w:tblCellMar>
        <w:top w:w="0" w:type="dxa"/>
        <w:left w:w="0" w:type="dxa"/>
        <w:bottom w:w="0" w:type="dxa"/>
        <w:right w:w="0" w:type="dxa"/>
      </w:tblCellMar>
    </w:tblPr>
  </w:style>
  <w:style w:type="paragraph" w:styleId="146">
    <w:name w:val="List Paragraph"/>
    <w:basedOn w:val="1"/>
    <w:qFormat/>
    <w:uiPriority w:val="34"/>
    <w:pPr>
      <w:ind w:left="720"/>
      <w:contextualSpacing/>
      <w:jc w:val="left"/>
    </w:pPr>
    <w:rPr>
      <w:rFonts w:ascii="Calibri" w:hAnsi="Calibri"/>
      <w:kern w:val="0"/>
      <w:sz w:val="24"/>
      <w:lang w:eastAsia="en-US" w:bidi="en-US"/>
    </w:rPr>
  </w:style>
  <w:style w:type="paragraph" w:customStyle="1" w:styleId="147">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8">
    <w:name w:val="正文1"/>
    <w:basedOn w:val="1"/>
    <w:qFormat/>
    <w:uiPriority w:val="0"/>
    <w:pPr>
      <w:spacing w:line="440" w:lineRule="exact"/>
      <w:ind w:right="-167" w:rightChars="-167"/>
    </w:pPr>
    <w:rPr>
      <w:b/>
    </w:rPr>
  </w:style>
  <w:style w:type="character" w:customStyle="1" w:styleId="149">
    <w:name w:val="批注框文本 Char"/>
    <w:basedOn w:val="24"/>
    <w:link w:val="15"/>
    <w:qFormat/>
    <w:uiPriority w:val="0"/>
    <w:rPr>
      <w:rFonts w:cstheme="minorBidi"/>
      <w:kern w:val="2"/>
      <w:sz w:val="18"/>
      <w:szCs w:val="18"/>
    </w:rPr>
  </w:style>
  <w:style w:type="character" w:customStyle="1" w:styleId="150">
    <w:name w:val="nth-of-type(2)"/>
    <w:basedOn w:val="24"/>
    <w:qFormat/>
    <w:uiPriority w:val="0"/>
  </w:style>
  <w:style w:type="character" w:customStyle="1" w:styleId="151">
    <w:name w:val="nth-of-type(2)1"/>
    <w:basedOn w:val="24"/>
    <w:qFormat/>
    <w:uiPriority w:val="0"/>
  </w:style>
  <w:style w:type="character" w:customStyle="1" w:styleId="152">
    <w:name w:val="nth-of-type(2)2"/>
    <w:basedOn w:val="24"/>
    <w:qFormat/>
    <w:uiPriority w:val="0"/>
  </w:style>
  <w:style w:type="character" w:customStyle="1" w:styleId="153">
    <w:name w:val="nth-of-type(2)3"/>
    <w:basedOn w:val="24"/>
    <w:qFormat/>
    <w:uiPriority w:val="0"/>
  </w:style>
  <w:style w:type="character" w:customStyle="1" w:styleId="154">
    <w:name w:val="nth-of-type(1)"/>
    <w:basedOn w:val="24"/>
    <w:qFormat/>
    <w:uiPriority w:val="0"/>
  </w:style>
  <w:style w:type="character" w:customStyle="1" w:styleId="155">
    <w:name w:val="nth-of-type(1)1"/>
    <w:basedOn w:val="24"/>
    <w:qFormat/>
    <w:uiPriority w:val="0"/>
  </w:style>
  <w:style w:type="character" w:customStyle="1" w:styleId="156">
    <w:name w:val="nth-of-type(1)2"/>
    <w:basedOn w:val="24"/>
    <w:qFormat/>
    <w:uiPriority w:val="0"/>
  </w:style>
  <w:style w:type="character" w:customStyle="1" w:styleId="157">
    <w:name w:val="first-of-type"/>
    <w:basedOn w:val="24"/>
    <w:qFormat/>
    <w:uiPriority w:val="0"/>
  </w:style>
  <w:style w:type="character" w:customStyle="1" w:styleId="158">
    <w:name w:val="first-of-type1"/>
    <w:basedOn w:val="24"/>
    <w:qFormat/>
    <w:uiPriority w:val="0"/>
  </w:style>
  <w:style w:type="character" w:customStyle="1" w:styleId="159">
    <w:name w:val="apple-converted-space"/>
    <w:basedOn w:val="24"/>
    <w:qFormat/>
    <w:uiPriority w:val="0"/>
  </w:style>
  <w:style w:type="paragraph" w:customStyle="1" w:styleId="160">
    <w:name w:val="纯文本1"/>
    <w:basedOn w:val="1"/>
    <w:qFormat/>
    <w:uiPriority w:val="0"/>
    <w:rPr>
      <w:rFonts w:ascii="宋体" w:hAnsi="Courier New"/>
      <w:sz w:val="28"/>
    </w:rPr>
  </w:style>
  <w:style w:type="paragraph" w:customStyle="1" w:styleId="161">
    <w:name w:val="Table Paragraph"/>
    <w:basedOn w:val="1"/>
    <w:qFormat/>
    <w:uiPriority w:val="1"/>
    <w:rPr>
      <w:rFonts w:cs="Times New Roman"/>
      <w:szCs w:val="24"/>
    </w:rPr>
  </w:style>
  <w:style w:type="paragraph" w:customStyle="1" w:styleId="162">
    <w:name w:val="WPSOffice手动目录 1"/>
    <w:qFormat/>
    <w:uiPriority w:val="0"/>
    <w:rPr>
      <w:rFonts w:ascii="Times New Roman" w:hAnsi="Times New Roman" w:eastAsia="宋体" w:cs="Times New Roman"/>
      <w:lang w:val="en-US" w:eastAsia="zh-CN" w:bidi="ar-SA"/>
    </w:rPr>
  </w:style>
  <w:style w:type="paragraph" w:customStyle="1" w:styleId="163">
    <w:name w:val="z-窗体顶端1"/>
    <w:basedOn w:val="1"/>
    <w:next w:val="1"/>
    <w:qFormat/>
    <w:uiPriority w:val="0"/>
    <w:pPr>
      <w:pBdr>
        <w:bottom w:val="single" w:color="auto" w:sz="6" w:space="1"/>
      </w:pBdr>
      <w:jc w:val="center"/>
    </w:pPr>
    <w:rPr>
      <w:rFonts w:ascii="Arial"/>
      <w:vanish/>
      <w:sz w:val="16"/>
    </w:rPr>
  </w:style>
  <w:style w:type="paragraph" w:customStyle="1" w:styleId="164">
    <w:name w:val="正文0"/>
    <w:basedOn w:val="1"/>
    <w:qFormat/>
    <w:uiPriority w:val="0"/>
    <w:pPr>
      <w:spacing w:line="360" w:lineRule="auto"/>
      <w:ind w:firstLine="424" w:firstLineChars="202"/>
      <w:jc w:val="left"/>
      <w:textAlignment w:val="center"/>
    </w:pPr>
    <w:rPr>
      <w:rFonts w:ascii="Arial" w:hAnsi="Arial" w:eastAsia="新宋体" w:cs="Times New Roman"/>
    </w:rPr>
  </w:style>
  <w:style w:type="paragraph" w:customStyle="1" w:styleId="165">
    <w:name w:val="列出段落1"/>
    <w:basedOn w:val="1"/>
    <w:qFormat/>
    <w:uiPriority w:val="0"/>
    <w:pPr>
      <w:ind w:left="720"/>
      <w:contextualSpacing/>
      <w:jc w:val="left"/>
    </w:pPr>
    <w:rPr>
      <w:rFonts w:ascii="Calibri" w:hAnsi="Calibri"/>
      <w:kern w:val="0"/>
      <w:sz w:val="24"/>
      <w:szCs w:val="24"/>
      <w:lang w:eastAsia="en-US" w:bidi="en-US"/>
    </w:rPr>
  </w:style>
  <w:style w:type="paragraph" w:customStyle="1" w:styleId="166">
    <w:name w:val="Char"/>
    <w:basedOn w:val="1"/>
    <w:qFormat/>
    <w:uiPriority w:val="0"/>
    <w:pPr>
      <w:tabs>
        <w:tab w:val="left" w:pos="360"/>
      </w:tabs>
      <w:ind w:firstLine="200" w:firstLineChars="200"/>
    </w:pPr>
    <w:rPr>
      <w:sz w:val="28"/>
      <w:szCs w:val="30"/>
    </w:rPr>
  </w:style>
  <w:style w:type="paragraph" w:customStyle="1" w:styleId="167">
    <w:name w:val="普通正文"/>
    <w:basedOn w:val="1"/>
    <w:qFormat/>
    <w:uiPriority w:val="0"/>
    <w:pPr>
      <w:adjustRightInd w:val="0"/>
      <w:spacing w:before="120" w:after="120" w:line="360" w:lineRule="auto"/>
      <w:ind w:firstLine="480"/>
      <w:jc w:val="left"/>
    </w:pPr>
    <w:rPr>
      <w:rFonts w:ascii="Arial" w:hAnsi="Arial"/>
      <w:kern w:val="0"/>
      <w:sz w:val="24"/>
      <w:szCs w:val="24"/>
    </w:rPr>
  </w:style>
  <w:style w:type="paragraph" w:customStyle="1" w:styleId="168">
    <w:name w:val="列出段落3"/>
    <w:basedOn w:val="1"/>
    <w:qFormat/>
    <w:uiPriority w:val="99"/>
    <w:pPr>
      <w:ind w:firstLine="420" w:firstLineChars="200"/>
    </w:pPr>
    <w:rPr>
      <w:rFonts w:ascii="Times New Roman" w:hAnsi="Times New Roman" w:eastAsia="宋体" w:cs="Times New Roman"/>
      <w:szCs w:val="24"/>
    </w:rPr>
  </w:style>
  <w:style w:type="paragraph" w:customStyle="1" w:styleId="1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70">
    <w:name w:val="正文116"/>
    <w:basedOn w:val="1"/>
    <w:qFormat/>
    <w:uiPriority w:val="0"/>
    <w:pPr>
      <w:adjustRightInd w:val="0"/>
      <w:spacing w:line="318" w:lineRule="atLeast"/>
      <w:ind w:left="369" w:firstLine="369" w:firstLineChars="200"/>
    </w:pPr>
    <w:rPr>
      <w:rFonts w:ascii="宋体" w:hAnsi="宋体" w:eastAsia="宋体" w:cs="宋体"/>
      <w:szCs w:val="20"/>
    </w:rPr>
  </w:style>
  <w:style w:type="paragraph" w:customStyle="1" w:styleId="171">
    <w:name w:val="正文格式"/>
    <w:basedOn w:val="1"/>
    <w:qFormat/>
    <w:uiPriority w:val="0"/>
    <w:pPr>
      <w:spacing w:line="400" w:lineRule="exact"/>
      <w:jc w:val="left"/>
    </w:pPr>
    <w:rPr>
      <w:rFonts w:ascii="仿宋" w:hAnsi="仿宋" w:eastAsia="仿宋"/>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ycgy</Company>
  <Pages>54</Pages>
  <Words>22747</Words>
  <Characters>24079</Characters>
  <Lines>172</Lines>
  <Paragraphs>48</Paragraphs>
  <TotalTime>6</TotalTime>
  <ScaleCrop>false</ScaleCrop>
  <LinksUpToDate>false</LinksUpToDate>
  <CharactersWithSpaces>26254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2023-08-24T22:38:00Z</dcterms:created>
  <dc:creator>Administrator</dc:creator>
  <cp:lastModifiedBy>赵萌</cp:lastModifiedBy>
  <cp:lastPrinted>2022-11-29T08:36:00Z</cp:lastPrinted>
  <dcterms:modified xsi:type="dcterms:W3CDTF">2023-11-01T02:29:20Z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58B7BB02D33E4700B1F72270856B9636</vt:lpwstr>
  </property>
</Properties>
</file>