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3" w:firstLineChars="200"/>
        <w:rPr>
          <w:rFonts w:ascii="宋体" w:hAnsi="宋体" w:cs="宋体"/>
          <w:b/>
          <w:color w:val="000000" w:themeColor="text1"/>
          <w:sz w:val="36"/>
        </w:rPr>
      </w:pPr>
      <w:r>
        <w:rPr>
          <w:rFonts w:hint="eastAsia" w:ascii="宋体" w:hAnsi="宋体" w:cs="宋体"/>
          <w:b/>
          <w:color w:val="000000" w:themeColor="text1"/>
          <w:sz w:val="36"/>
        </w:rPr>
        <w:t>项目编号：2022-0</w:t>
      </w:r>
      <w:r>
        <w:rPr>
          <w:rFonts w:hint="eastAsia" w:ascii="宋体" w:hAnsi="宋体" w:cs="宋体"/>
          <w:b/>
          <w:color w:val="000000" w:themeColor="text1"/>
          <w:sz w:val="36"/>
          <w:lang w:val="en-US" w:eastAsia="zh-CN"/>
        </w:rPr>
        <w:t>42</w:t>
      </w:r>
      <w:r>
        <w:rPr>
          <w:rFonts w:hint="eastAsia" w:ascii="宋体" w:hAnsi="宋体" w:cs="宋体"/>
          <w:b/>
          <w:color w:val="000000" w:themeColor="text1"/>
          <w:sz w:val="36"/>
        </w:rPr>
        <w:t>Q</w:t>
      </w:r>
    </w:p>
    <w:p>
      <w:pPr>
        <w:jc w:val="center"/>
        <w:rPr>
          <w:rFonts w:ascii="宋体" w:hAnsi="宋体" w:cs="宋体"/>
          <w:b/>
          <w:color w:val="000000" w:themeColor="text1"/>
          <w:sz w:val="32"/>
        </w:rPr>
      </w:pPr>
    </w:p>
    <w:p>
      <w:pPr>
        <w:ind w:left="2525" w:leftChars="342" w:hanging="1807" w:hangingChars="500"/>
        <w:rPr>
          <w:rFonts w:ascii="宋体" w:hAnsi="宋体" w:cs="宋体"/>
          <w:b/>
          <w:color w:val="000000" w:themeColor="text1"/>
          <w:sz w:val="36"/>
          <w:szCs w:val="36"/>
        </w:rPr>
      </w:pPr>
    </w:p>
    <w:p>
      <w:pPr>
        <w:ind w:left="2164" w:leftChars="342" w:hanging="1446" w:hangingChars="400"/>
        <w:rPr>
          <w:rFonts w:hint="eastAsia" w:ascii="宋体" w:hAnsi="宋体" w:eastAsia="宋体" w:cs="宋体"/>
          <w:b/>
          <w:color w:val="000000" w:themeColor="text1"/>
          <w:sz w:val="36"/>
          <w:szCs w:val="36"/>
          <w:lang w:eastAsia="zh-CN"/>
        </w:rPr>
      </w:pPr>
      <w:r>
        <w:rPr>
          <w:rFonts w:hint="eastAsia" w:ascii="宋体" w:hAnsi="宋体" w:cs="宋体"/>
          <w:b/>
          <w:color w:val="000000" w:themeColor="text1"/>
          <w:sz w:val="36"/>
          <w:szCs w:val="36"/>
        </w:rPr>
        <w:t>项目名称：</w:t>
      </w:r>
      <w:r>
        <w:rPr>
          <w:rFonts w:hint="eastAsia" w:ascii="宋体" w:hAnsi="宋体" w:cs="宋体"/>
          <w:b/>
          <w:color w:val="000000" w:themeColor="text1"/>
          <w:sz w:val="36"/>
          <w:szCs w:val="36"/>
          <w:lang w:eastAsia="zh-CN"/>
        </w:rPr>
        <w:t>盐城工业职业技术学院钢结构施工虚拟仿真实训软件</w:t>
      </w:r>
    </w:p>
    <w:p>
      <w:pPr>
        <w:ind w:firstLine="602" w:firstLineChars="200"/>
        <w:rPr>
          <w:rFonts w:ascii="宋体" w:hAnsi="宋体" w:cs="宋体"/>
          <w:b/>
          <w:color w:val="000000" w:themeColor="text1"/>
          <w:sz w:val="30"/>
          <w:szCs w:val="30"/>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spacing w:line="460" w:lineRule="exact"/>
        <w:ind w:firstLine="723" w:firstLineChars="200"/>
        <w:jc w:val="center"/>
        <w:rPr>
          <w:rFonts w:ascii="宋体" w:hAnsi="宋体" w:cs="宋体"/>
          <w:b/>
          <w:color w:val="000000" w:themeColor="text1"/>
          <w:sz w:val="36"/>
          <w:szCs w:val="36"/>
        </w:rPr>
      </w:pPr>
      <w:r>
        <w:rPr>
          <w:rFonts w:hint="eastAsia" w:ascii="宋体" w:hAnsi="宋体" w:cs="宋体"/>
          <w:b/>
          <w:color w:val="000000" w:themeColor="text1"/>
          <w:sz w:val="36"/>
          <w:szCs w:val="36"/>
        </w:rPr>
        <w:t>盐城工业职业技术学院</w:t>
      </w:r>
    </w:p>
    <w:p>
      <w:pPr>
        <w:spacing w:line="460" w:lineRule="exact"/>
        <w:ind w:firstLine="723" w:firstLineChars="200"/>
        <w:jc w:val="center"/>
        <w:rPr>
          <w:rFonts w:ascii="宋体" w:hAnsi="宋体" w:cs="宋体"/>
          <w:color w:val="000000" w:themeColor="text1"/>
        </w:rPr>
      </w:pPr>
      <w:r>
        <w:rPr>
          <w:rFonts w:hint="eastAsia" w:ascii="宋体" w:hAnsi="宋体" w:cs="宋体"/>
          <w:b/>
          <w:color w:val="000000" w:themeColor="text1"/>
          <w:sz w:val="36"/>
          <w:szCs w:val="36"/>
        </w:rPr>
        <w:t>江苏全盛工程造价事务所有限公司</w:t>
      </w: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 xml:space="preserve"> 2022年</w:t>
      </w:r>
      <w:r>
        <w:rPr>
          <w:rFonts w:hint="eastAsia" w:ascii="宋体" w:hAnsi="宋体" w:cs="宋体"/>
          <w:b/>
          <w:color w:val="000000" w:themeColor="text1"/>
          <w:sz w:val="36"/>
          <w:szCs w:val="36"/>
          <w:lang w:val="en-US" w:eastAsia="zh-CN"/>
        </w:rPr>
        <w:t>11</w:t>
      </w:r>
      <w:r>
        <w:rPr>
          <w:rFonts w:hint="eastAsia" w:ascii="宋体" w:hAnsi="宋体" w:cs="宋体"/>
          <w:b/>
          <w:color w:val="000000" w:themeColor="text1"/>
          <w:sz w:val="36"/>
          <w:szCs w:val="36"/>
        </w:rPr>
        <w:t>月</w:t>
      </w:r>
      <w:r>
        <w:rPr>
          <w:rFonts w:hint="eastAsia" w:ascii="宋体" w:hAnsi="宋体" w:cs="宋体"/>
          <w:b/>
          <w:color w:val="000000" w:themeColor="text1"/>
          <w:sz w:val="36"/>
          <w:szCs w:val="36"/>
          <w:lang w:val="en-US" w:eastAsia="zh-CN"/>
        </w:rPr>
        <w:t>9</w:t>
      </w:r>
      <w:r>
        <w:rPr>
          <w:rFonts w:hint="eastAsia" w:ascii="宋体" w:hAnsi="宋体" w:cs="宋体"/>
          <w:b/>
          <w:color w:val="000000" w:themeColor="text1"/>
          <w:sz w:val="36"/>
          <w:szCs w:val="36"/>
        </w:rPr>
        <w:t>日</w:t>
      </w:r>
    </w:p>
    <w:p>
      <w:pPr>
        <w:spacing w:line="480" w:lineRule="auto"/>
        <w:jc w:val="center"/>
        <w:outlineLvl w:val="0"/>
        <w:rPr>
          <w:rFonts w:ascii="宋体" w:hAnsi="宋体" w:cs="宋体"/>
          <w:b/>
          <w:color w:val="000000" w:themeColor="text1"/>
          <w:sz w:val="44"/>
        </w:rPr>
        <w:sectPr>
          <w:headerReference r:id="rId3" w:type="default"/>
          <w:footerReference r:id="rId4" w:type="default"/>
          <w:footerReference r:id="rId5" w:type="even"/>
          <w:pgSz w:w="11906" w:h="16838"/>
          <w:pgMar w:top="1418" w:right="1417" w:bottom="1418" w:left="1417" w:header="851" w:footer="907" w:gutter="0"/>
          <w:pgNumType w:start="1"/>
          <w:cols w:space="720" w:num="1"/>
          <w:docGrid w:type="lines" w:linePitch="290" w:charSpace="0"/>
        </w:sectPr>
      </w:pPr>
      <w:bookmarkStart w:id="0" w:name="_Toc12283"/>
      <w:bookmarkStart w:id="1" w:name="_Toc120614210"/>
      <w:bookmarkStart w:id="2" w:name="_Toc20823272"/>
      <w:bookmarkStart w:id="3" w:name="_Toc513029200"/>
      <w:bookmarkStart w:id="4" w:name="_Toc479757206"/>
      <w:bookmarkStart w:id="5" w:name="_Toc16938516"/>
      <w:bookmarkStart w:id="6" w:name="_Toc523127445"/>
    </w:p>
    <w:p>
      <w:pPr>
        <w:spacing w:line="480" w:lineRule="auto"/>
        <w:jc w:val="center"/>
        <w:outlineLvl w:val="0"/>
        <w:rPr>
          <w:rFonts w:ascii="宋体" w:hAnsi="宋体" w:cs="宋体"/>
          <w:b/>
          <w:color w:val="000000" w:themeColor="text1"/>
          <w:sz w:val="44"/>
        </w:rPr>
      </w:pPr>
      <w:r>
        <w:rPr>
          <w:rFonts w:hint="eastAsia" w:ascii="宋体" w:hAnsi="宋体" w:cs="宋体"/>
          <w:b/>
          <w:color w:val="000000" w:themeColor="text1"/>
          <w:sz w:val="44"/>
        </w:rPr>
        <w:t>总  目  录</w:t>
      </w:r>
      <w:bookmarkEnd w:id="0"/>
    </w:p>
    <w:p>
      <w:pPr>
        <w:spacing w:line="480" w:lineRule="auto"/>
        <w:rPr>
          <w:rFonts w:ascii="宋体" w:hAnsi="宋体" w:cs="宋体"/>
          <w:b/>
          <w:color w:val="000000" w:themeColor="text1"/>
          <w:sz w:val="28"/>
        </w:rPr>
      </w:pPr>
    </w:p>
    <w:sdt>
      <w:sdtPr>
        <w:rPr>
          <w:rFonts w:hint="eastAsia" w:ascii="宋体" w:hAnsi="宋体" w:eastAsia="楷体_GB2312" w:cs="宋体"/>
          <w:color w:val="000000" w:themeColor="text1"/>
          <w:sz w:val="28"/>
          <w:szCs w:val="28"/>
        </w:rPr>
        <w:id w:val="147461667"/>
        <w:docPartObj>
          <w:docPartGallery w:val="Table of Contents"/>
          <w:docPartUnique/>
        </w:docPartObj>
      </w:sdtPr>
      <w:sdtEndPr>
        <w:rPr>
          <w:rFonts w:hint="eastAsia" w:ascii="宋体" w:hAnsi="宋体" w:eastAsia="楷体_GB2312" w:cs="宋体"/>
          <w:bCs/>
          <w:color w:val="000000" w:themeColor="text1"/>
          <w:sz w:val="28"/>
          <w:szCs w:val="28"/>
        </w:rPr>
      </w:sdtEndPr>
      <w:sdtContent>
        <w:p>
          <w:pPr>
            <w:jc w:val="center"/>
            <w:rPr>
              <w:rFonts w:ascii="宋体" w:hAnsi="宋体" w:cs="宋体"/>
              <w:color w:val="000000" w:themeColor="text1"/>
            </w:rPr>
          </w:pPr>
        </w:p>
        <w:p>
          <w:pPr>
            <w:pStyle w:val="120"/>
            <w:tabs>
              <w:tab w:val="right" w:leader="dot" w:pos="9072"/>
            </w:tabs>
            <w:rPr>
              <w:rFonts w:ascii="宋体" w:hAnsi="宋体" w:cs="宋体"/>
              <w:color w:val="000000" w:themeColor="text1"/>
            </w:rPr>
          </w:pPr>
          <w:r>
            <w:rPr>
              <w:rFonts w:hint="eastAsia" w:ascii="宋体" w:hAnsi="宋体" w:cs="宋体"/>
              <w:bCs/>
              <w:color w:val="000000" w:themeColor="text1"/>
              <w:sz w:val="44"/>
            </w:rPr>
            <w:fldChar w:fldCharType="begin"/>
          </w:r>
          <w:r>
            <w:rPr>
              <w:rFonts w:hint="eastAsia" w:ascii="宋体" w:hAnsi="宋体" w:cs="宋体"/>
              <w:bCs/>
              <w:color w:val="000000" w:themeColor="text1"/>
              <w:sz w:val="44"/>
            </w:rPr>
            <w:instrText xml:space="preserve">TOC \o "1-1" \h \u </w:instrText>
          </w:r>
          <w:r>
            <w:rPr>
              <w:rFonts w:hint="eastAsia" w:ascii="宋体" w:hAnsi="宋体" w:cs="宋体"/>
              <w:bCs/>
              <w:color w:val="000000" w:themeColor="text1"/>
              <w:sz w:val="44"/>
            </w:rPr>
            <w:fldChar w:fldCharType="separate"/>
          </w: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"_Toc16364" </w:instrText>
          </w:r>
          <w:r>
            <w:fldChar w:fldCharType="separate"/>
          </w:r>
          <w:r>
            <w:rPr>
              <w:rFonts w:hint="eastAsia" w:ascii="宋体" w:hAnsi="宋体" w:cs="宋体"/>
              <w:b/>
              <w:color w:val="000000" w:themeColor="text1"/>
              <w:sz w:val="36"/>
              <w:szCs w:val="36"/>
            </w:rPr>
            <w:t>第一章</w:t>
          </w:r>
          <w:r>
            <w:rPr>
              <w:rFonts w:hint="eastAsia" w:ascii="宋体" w:hAnsi="宋体" w:cs="宋体"/>
              <w:bCs/>
              <w:color w:val="000000" w:themeColor="text1"/>
              <w:sz w:val="36"/>
              <w:szCs w:val="36"/>
            </w:rPr>
            <w:t xml:space="preserve">  招标公告</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_Toc16364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"_Toc8631" </w:instrText>
          </w:r>
          <w:r>
            <w:fldChar w:fldCharType="separate"/>
          </w:r>
          <w:r>
            <w:rPr>
              <w:rFonts w:hint="eastAsia" w:ascii="宋体" w:hAnsi="宋体" w:cs="宋体"/>
              <w:b/>
              <w:bCs/>
              <w:color w:val="000000" w:themeColor="text1"/>
              <w:sz w:val="36"/>
              <w:szCs w:val="36"/>
            </w:rPr>
            <w:t>第二章</w:t>
          </w:r>
          <w:r>
            <w:rPr>
              <w:rFonts w:hint="eastAsia" w:ascii="宋体" w:hAnsi="宋体" w:cs="宋体"/>
              <w:color w:val="000000" w:themeColor="text1"/>
              <w:sz w:val="36"/>
              <w:szCs w:val="36"/>
            </w:rPr>
            <w:t xml:space="preserve">  投标人须知</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_Toc8631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"_Toc602" </w:instrText>
          </w:r>
          <w:r>
            <w:fldChar w:fldCharType="separate"/>
          </w:r>
          <w:r>
            <w:rPr>
              <w:rFonts w:hint="eastAsia" w:ascii="宋体" w:hAnsi="宋体" w:cs="宋体"/>
              <w:b/>
              <w:bCs/>
              <w:color w:val="000000" w:themeColor="text1"/>
              <w:sz w:val="36"/>
              <w:szCs w:val="36"/>
            </w:rPr>
            <w:t>第三章</w:t>
          </w:r>
          <w:r>
            <w:rPr>
              <w:rFonts w:hint="eastAsia" w:ascii="宋体" w:hAnsi="宋体" w:cs="宋体"/>
              <w:color w:val="000000" w:themeColor="text1"/>
              <w:sz w:val="36"/>
              <w:szCs w:val="36"/>
            </w:rPr>
            <w:t xml:space="preserve">  合同条款及格式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_Toc602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16</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"_Toc574" </w:instrText>
          </w:r>
          <w:r>
            <w:fldChar w:fldCharType="separate"/>
          </w:r>
          <w:r>
            <w:rPr>
              <w:rFonts w:hint="eastAsia" w:ascii="宋体" w:hAnsi="宋体" w:cs="宋体"/>
              <w:b/>
              <w:bCs/>
              <w:color w:val="000000" w:themeColor="text1"/>
              <w:sz w:val="36"/>
              <w:szCs w:val="36"/>
            </w:rPr>
            <w:t>第四章</w:t>
          </w:r>
          <w:r>
            <w:rPr>
              <w:rFonts w:hint="eastAsia" w:ascii="宋体" w:hAnsi="宋体" w:cs="宋体"/>
              <w:color w:val="000000" w:themeColor="text1"/>
              <w:sz w:val="36"/>
              <w:szCs w:val="36"/>
            </w:rPr>
            <w:t xml:space="preserve"> </w:t>
          </w:r>
          <w:r>
            <w:rPr>
              <w:rFonts w:ascii="宋体" w:hAnsi="宋体" w:cs="宋体"/>
              <w:color w:val="000000" w:themeColor="text1"/>
              <w:sz w:val="36"/>
              <w:szCs w:val="36"/>
            </w:rPr>
            <w:t xml:space="preserve"> </w:t>
          </w:r>
          <w:r>
            <w:rPr>
              <w:rFonts w:hint="eastAsia" w:ascii="宋体" w:hAnsi="宋体" w:cs="宋体"/>
              <w:color w:val="000000" w:themeColor="text1"/>
              <w:sz w:val="36"/>
              <w:szCs w:val="36"/>
            </w:rPr>
            <w:t>项目技术需求</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_Toc574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22</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fldChar w:fldCharType="begin"/>
          </w:r>
          <w:r>
            <w:instrText xml:space="preserve"> HYPERLINK \l "_Toc4016" </w:instrText>
          </w:r>
          <w:r>
            <w:fldChar w:fldCharType="separate"/>
          </w:r>
          <w:r>
            <w:rPr>
              <w:rFonts w:hint="eastAsia" w:ascii="宋体" w:hAnsi="宋体" w:cs="宋体"/>
              <w:b/>
              <w:bCs/>
              <w:color w:val="000000" w:themeColor="text1"/>
              <w:sz w:val="36"/>
              <w:szCs w:val="36"/>
            </w:rPr>
            <w:t>第五章</w:t>
          </w:r>
          <w:r>
            <w:rPr>
              <w:rFonts w:hint="eastAsia" w:ascii="宋体" w:hAnsi="宋体" w:cs="宋体"/>
              <w:color w:val="000000" w:themeColor="text1"/>
              <w:sz w:val="36"/>
              <w:szCs w:val="36"/>
            </w:rPr>
            <w:t xml:space="preserve">  评标方法与评标标准</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_Toc4016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23</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rPr>
          </w:pPr>
          <w:r>
            <w:fldChar w:fldCharType="begin"/>
          </w:r>
          <w:r>
            <w:instrText xml:space="preserve"> HYPERLINK \l "_Toc22937" </w:instrText>
          </w:r>
          <w:r>
            <w:fldChar w:fldCharType="separate"/>
          </w:r>
          <w:r>
            <w:rPr>
              <w:rFonts w:hint="eastAsia" w:ascii="宋体" w:hAnsi="宋体" w:cs="宋体"/>
              <w:b/>
              <w:bCs/>
              <w:color w:val="000000" w:themeColor="text1"/>
              <w:sz w:val="36"/>
              <w:szCs w:val="36"/>
            </w:rPr>
            <w:t>第六章</w:t>
          </w:r>
          <w:r>
            <w:rPr>
              <w:rFonts w:hint="eastAsia" w:ascii="宋体" w:hAnsi="宋体" w:cs="宋体"/>
              <w:color w:val="000000" w:themeColor="text1"/>
              <w:sz w:val="36"/>
              <w:szCs w:val="36"/>
            </w:rPr>
            <w:t xml:space="preserve">  投标文件格式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_Toc22937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27</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3"/>
            <w:jc w:val="both"/>
            <w:rPr>
              <w:rFonts w:ascii="宋体" w:hAnsi="宋体" w:cs="宋体"/>
              <w:bCs/>
              <w:color w:val="000000" w:themeColor="text1"/>
            </w:rPr>
          </w:pPr>
          <w:r>
            <w:rPr>
              <w:rFonts w:hint="eastAsia" w:ascii="宋体" w:hAnsi="宋体" w:eastAsia="宋体" w:cs="宋体"/>
              <w:bCs/>
              <w:color w:val="000000" w:themeColor="text1"/>
            </w:rPr>
            <w:fldChar w:fldCharType="end"/>
          </w:r>
        </w:p>
      </w:sdtContent>
    </w:sdt>
    <w:p>
      <w:pPr>
        <w:rPr>
          <w:color w:val="000000" w:themeColor="text1"/>
        </w:rPr>
      </w:pPr>
    </w:p>
    <w:p>
      <w:pPr>
        <w:tabs>
          <w:tab w:val="right" w:pos="9072"/>
        </w:tabs>
        <w:jc w:val="left"/>
        <w:rPr>
          <w:color w:val="000000" w:themeColor="text1"/>
        </w:rPr>
        <w:sectPr>
          <w:footerReference r:id="rId6" w:type="default"/>
          <w:pgSz w:w="11906" w:h="16838"/>
          <w:pgMar w:top="1418" w:right="1417" w:bottom="1418" w:left="1417" w:header="851" w:footer="907" w:gutter="0"/>
          <w:pgNumType w:start="1"/>
          <w:cols w:space="720" w:num="1"/>
          <w:docGrid w:type="lines" w:linePitch="290" w:charSpace="0"/>
        </w:sectPr>
      </w:pPr>
      <w:r>
        <w:rPr>
          <w:rFonts w:hint="eastAsia"/>
          <w:color w:val="000000" w:themeColor="text1"/>
        </w:rPr>
        <w:tab/>
      </w:r>
    </w:p>
    <w:bookmarkEnd w:id="1"/>
    <w:p>
      <w:pPr>
        <w:pStyle w:val="3"/>
        <w:numPr>
          <w:ilvl w:val="0"/>
          <w:numId w:val="4"/>
        </w:numPr>
        <w:rPr>
          <w:rFonts w:ascii="宋体" w:hAnsi="宋体" w:eastAsia="宋体" w:cs="宋体"/>
          <w:b/>
          <w:bCs/>
          <w:color w:val="000000" w:themeColor="text1"/>
          <w:sz w:val="44"/>
          <w:szCs w:val="44"/>
        </w:rPr>
      </w:pPr>
      <w:bookmarkStart w:id="7" w:name="_Toc16364"/>
      <w:r>
        <w:rPr>
          <w:rFonts w:hint="eastAsia" w:ascii="宋体" w:hAnsi="宋体" w:eastAsia="宋体" w:cs="宋体"/>
          <w:b/>
          <w:bCs/>
          <w:color w:val="000000" w:themeColor="text1"/>
          <w:sz w:val="44"/>
          <w:szCs w:val="44"/>
        </w:rPr>
        <w:t>招标公告</w:t>
      </w:r>
      <w:bookmarkEnd w:id="7"/>
      <w:bookmarkStart w:id="8" w:name="_Toc28359001"/>
      <w:bookmarkStart w:id="9" w:name="_Toc9682"/>
      <w:bookmarkStart w:id="10" w:name="_Toc35393789"/>
    </w:p>
    <w:p>
      <w:pPr>
        <w:pStyle w:val="3"/>
        <w:ind w:firstLine="843" w:firstLineChars="300"/>
        <w:rPr>
          <w:rFonts w:ascii="宋体" w:hAnsi="宋体" w:eastAsia="宋体" w:cs="宋体"/>
          <w:b/>
          <w:bCs/>
          <w:color w:val="000000" w:themeColor="text1"/>
        </w:rPr>
      </w:pPr>
      <w:r>
        <w:rPr>
          <w:rFonts w:hint="eastAsia" w:ascii="宋体" w:hAnsi="宋体" w:eastAsia="宋体" w:cs="宋体"/>
          <w:b/>
          <w:bCs/>
          <w:color w:val="000000" w:themeColor="text1"/>
          <w:lang w:eastAsia="zh-CN"/>
        </w:rPr>
        <w:t>盐城工业职业技术学院钢结构施工虚拟仿真实训软件</w:t>
      </w:r>
      <w:r>
        <w:rPr>
          <w:rFonts w:hint="eastAsia" w:ascii="宋体" w:hAnsi="宋体" w:eastAsia="宋体" w:cs="宋体"/>
          <w:b/>
          <w:bCs/>
          <w:color w:val="000000" w:themeColor="text1"/>
        </w:rPr>
        <w:t>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u w:val="single"/>
          <w:lang w:eastAsia="zh-CN"/>
        </w:rPr>
        <w:t>盐城工业职业技术学院钢结构施工虚拟仿真实训软件</w:t>
      </w:r>
      <w:r>
        <w:rPr>
          <w:rFonts w:hint="eastAsia" w:ascii="宋体" w:hAnsi="宋体" w:cs="宋体"/>
          <w:bCs/>
          <w:color w:val="000000" w:themeColor="text1"/>
          <w:sz w:val="24"/>
          <w:szCs w:val="24"/>
        </w:rPr>
        <w:t>的潜在投标人应在</w:t>
      </w:r>
      <w:r>
        <w:rPr>
          <w:rFonts w:hint="eastAsia" w:ascii="宋体" w:hAnsi="宋体" w:cs="宋体"/>
          <w:bCs/>
          <w:color w:val="000000" w:themeColor="text1"/>
          <w:sz w:val="24"/>
          <w:szCs w:val="24"/>
          <w:u w:val="single"/>
        </w:rPr>
        <w:t>盐城工业职业技术学院招标采购网</w:t>
      </w:r>
      <w:r>
        <w:rPr>
          <w:rFonts w:hint="eastAsia" w:ascii="宋体" w:hAnsi="宋体" w:cs="宋体"/>
          <w:bCs/>
          <w:color w:val="000000" w:themeColor="text1"/>
          <w:sz w:val="24"/>
          <w:szCs w:val="24"/>
        </w:rPr>
        <w:t>获</w:t>
      </w:r>
      <w:r>
        <w:rPr>
          <w:rFonts w:hint="eastAsia" w:ascii="宋体" w:hAnsi="宋体" w:cs="宋体"/>
          <w:color w:val="000000" w:themeColor="text1"/>
          <w:sz w:val="24"/>
          <w:szCs w:val="24"/>
        </w:rPr>
        <w:t>取招标文件，并于</w:t>
      </w: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2</w:t>
      </w:r>
      <w:r>
        <w:rPr>
          <w:rFonts w:hint="eastAsia" w:ascii="宋体" w:hAnsi="宋体" w:cs="宋体"/>
          <w:bCs/>
          <w:color w:val="000000" w:themeColor="text1"/>
          <w:sz w:val="24"/>
          <w:szCs w:val="24"/>
          <w:u w:val="single"/>
        </w:rPr>
        <w:t>日</w:t>
      </w:r>
      <w:r>
        <w:rPr>
          <w:rFonts w:hint="eastAsia" w:ascii="宋体" w:hAnsi="宋体" w:cs="宋体"/>
          <w:bCs/>
          <w:color w:val="000000" w:themeColor="text1"/>
          <w:sz w:val="24"/>
          <w:szCs w:val="24"/>
          <w:u w:val="single"/>
          <w:lang w:val="en-US" w:eastAsia="zh-CN"/>
        </w:rPr>
        <w:t>9</w:t>
      </w:r>
      <w:r>
        <w:rPr>
          <w:rFonts w:hint="eastAsia" w:ascii="宋体" w:hAnsi="宋体" w:cs="宋体"/>
          <w:bCs/>
          <w:color w:val="000000" w:themeColor="text1"/>
          <w:sz w:val="24"/>
          <w:szCs w:val="24"/>
          <w:u w:val="single"/>
        </w:rPr>
        <w:t>点00分（</w:t>
      </w:r>
      <w:r>
        <w:rPr>
          <w:rFonts w:hint="eastAsia" w:ascii="宋体" w:hAnsi="宋体" w:cs="宋体"/>
          <w:bCs/>
          <w:color w:val="000000" w:themeColor="text1"/>
          <w:sz w:val="24"/>
          <w:szCs w:val="24"/>
        </w:rPr>
        <w:t>北京时间）前递交投标文件</w:t>
      </w:r>
      <w:r>
        <w:rPr>
          <w:rFonts w:hint="eastAsia" w:ascii="宋体" w:hAnsi="宋体" w:cs="宋体"/>
          <w:color w:val="000000" w:themeColor="text1"/>
          <w:sz w:val="24"/>
          <w:szCs w:val="24"/>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rPr>
      </w:pPr>
      <w:bookmarkStart w:id="11" w:name="_Toc17573"/>
      <w:bookmarkStart w:id="12" w:name="_Toc28359002"/>
      <w:bookmarkStart w:id="13" w:name="_Toc35393790"/>
      <w:bookmarkStart w:id="14" w:name="_Toc28359079"/>
      <w:bookmarkStart w:id="15" w:name="_Toc35393621"/>
      <w:bookmarkStart w:id="16" w:name="_Hlk24379207"/>
      <w:r>
        <w:rPr>
          <w:rFonts w:hint="eastAsia" w:ascii="宋体" w:hAnsi="宋体" w:eastAsia="宋体" w:cs="宋体"/>
          <w:b/>
          <w:bCs/>
          <w:color w:val="000000" w:themeColor="text1"/>
          <w:sz w:val="24"/>
          <w:szCs w:val="24"/>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rPr>
        <w:t>项目编号：</w:t>
      </w:r>
      <w:r>
        <w:rPr>
          <w:rFonts w:hint="eastAsia" w:ascii="宋体" w:hAnsi="宋体" w:cs="宋体"/>
          <w:color w:val="000000" w:themeColor="text1"/>
          <w:sz w:val="24"/>
          <w:szCs w:val="24"/>
          <w:u w:val="single"/>
        </w:rPr>
        <w:t>2022-0</w:t>
      </w:r>
      <w:r>
        <w:rPr>
          <w:rFonts w:hint="eastAsia" w:ascii="宋体" w:hAnsi="宋体" w:cs="宋体"/>
          <w:color w:val="000000" w:themeColor="text1"/>
          <w:sz w:val="24"/>
          <w:szCs w:val="24"/>
          <w:u w:val="single"/>
          <w:lang w:val="en-US" w:eastAsia="zh-CN"/>
        </w:rPr>
        <w:t>42</w:t>
      </w:r>
      <w:r>
        <w:rPr>
          <w:rFonts w:hint="eastAsia" w:ascii="宋体" w:hAnsi="宋体" w:cs="宋体"/>
          <w:color w:val="000000" w:themeColor="text1"/>
          <w:sz w:val="24"/>
          <w:szCs w:val="24"/>
          <w:u w:val="single"/>
        </w:rPr>
        <w:t>Q</w:t>
      </w:r>
    </w:p>
    <w:p>
      <w:pPr>
        <w:spacing w:line="460" w:lineRule="exact"/>
        <w:ind w:firstLine="480" w:firstLineChars="200"/>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项目名称：</w:t>
      </w:r>
      <w:r>
        <w:rPr>
          <w:rFonts w:hint="eastAsia" w:ascii="宋体" w:hAnsi="宋体" w:cs="宋体"/>
          <w:bCs/>
          <w:color w:val="000000" w:themeColor="text1"/>
          <w:sz w:val="24"/>
          <w:szCs w:val="24"/>
          <w:u w:val="single"/>
          <w:lang w:eastAsia="zh-CN"/>
        </w:rPr>
        <w:t>盐城工业职业技术学院钢结构施工虚拟仿真实训软件</w:t>
      </w:r>
    </w:p>
    <w:bookmarkEnd w:id="16"/>
    <w:p>
      <w:pPr>
        <w:pStyle w:val="40"/>
        <w:spacing w:before="0" w:beforeAutospacing="0" w:after="0" w:afterAutospacing="0"/>
        <w:ind w:firstLine="480" w:firstLineChars="200"/>
        <w:rPr>
          <w:color w:val="000000" w:themeColor="text1"/>
          <w:u w:val="single"/>
        </w:rPr>
      </w:pPr>
      <w:r>
        <w:rPr>
          <w:rFonts w:hint="eastAsia"/>
          <w:color w:val="000000" w:themeColor="text1"/>
        </w:rPr>
        <w:t>预算金额：最高限价</w:t>
      </w:r>
      <w:r>
        <w:rPr>
          <w:rFonts w:hint="eastAsia" w:ascii="仿宋" w:hAnsi="仿宋" w:eastAsia="仿宋" w:cs="仿宋"/>
          <w:color w:val="000000" w:themeColor="text1"/>
          <w:u w:val="single"/>
        </w:rPr>
        <w:t>20</w:t>
      </w:r>
      <w:r>
        <w:rPr>
          <w:rFonts w:hint="eastAsia"/>
          <w:color w:val="000000" w:themeColor="text1"/>
          <w:kern w:val="2"/>
          <w:u w:val="single"/>
        </w:rPr>
        <w:t>万元</w:t>
      </w:r>
      <w:r>
        <w:rPr>
          <w:rFonts w:hint="eastAsia"/>
          <w:color w:val="000000" w:themeColor="text1"/>
          <w:kern w:val="2"/>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采购需求：</w:t>
      </w:r>
      <w:r>
        <w:rPr>
          <w:rFonts w:hint="eastAsia" w:ascii="宋体" w:hAnsi="宋体" w:cs="宋体"/>
          <w:bCs/>
          <w:color w:val="000000" w:themeColor="text1"/>
          <w:sz w:val="24"/>
          <w:szCs w:val="24"/>
          <w:lang w:eastAsia="zh-CN"/>
        </w:rPr>
        <w:t>盐城工业职业技术学院钢结构施工虚拟仿真实训软件</w:t>
      </w:r>
      <w:r>
        <w:rPr>
          <w:rStyle w:val="115"/>
          <w:rFonts w:hint="eastAsia" w:ascii="宋体" w:hAnsi="宋体" w:cs="宋体"/>
          <w:color w:val="000000" w:themeColor="text1"/>
          <w:sz w:val="24"/>
          <w:szCs w:val="24"/>
        </w:rPr>
        <w:t>的采购、供应、运输、安装及就位、调试、维保、售前、售后等相关伴随服务，具体产品名称、数量、规格及技术参数等以招标文件及报价清单为准，采购人保留对上述采购规模进行调整的权利。（详见采购清单）。</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合同履行期限：</w:t>
      </w:r>
      <w:r>
        <w:rPr>
          <w:rStyle w:val="115"/>
          <w:rFonts w:hint="eastAsia" w:ascii="宋体" w:hAnsi="宋体" w:cs="宋体"/>
          <w:color w:val="000000" w:themeColor="text1"/>
          <w:sz w:val="24"/>
          <w:szCs w:val="24"/>
          <w:u w:val="single"/>
        </w:rPr>
        <w:t xml:space="preserve"> 项目合同签订后90天内完成设备的供货、 安装及调试。（如甲方需要延时交付，可另行约定时间）</w:t>
      </w:r>
      <w:r>
        <w:rPr>
          <w:rStyle w:val="115"/>
          <w:rFonts w:hint="eastAsia" w:ascii="宋体" w:hAnsi="宋体" w:cs="宋体"/>
          <w:color w:val="000000" w:themeColor="text1"/>
          <w:sz w:val="24"/>
          <w:szCs w:val="24"/>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本项目不接受联合体投标。</w:t>
      </w:r>
      <w:bookmarkStart w:id="17" w:name="_Toc35393791"/>
      <w:bookmarkStart w:id="18" w:name="_Toc35393622"/>
      <w:bookmarkStart w:id="19" w:name="_Toc28359080"/>
      <w:bookmarkStart w:id="20" w:name="_Toc28359003"/>
      <w:bookmarkStart w:id="21" w:name="_Toc28359081"/>
      <w:bookmarkStart w:id="22" w:name="_Toc35393623"/>
      <w:bookmarkStart w:id="23" w:name="_Toc35393792"/>
      <w:bookmarkStart w:id="24" w:name="_Toc28359004"/>
    </w:p>
    <w:bookmarkEnd w:id="17"/>
    <w:bookmarkEnd w:id="18"/>
    <w:bookmarkEnd w:id="19"/>
    <w:bookmarkEnd w:id="20"/>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rPr>
      </w:pPr>
      <w:bookmarkStart w:id="25" w:name="_Toc28359005"/>
      <w:bookmarkStart w:id="26" w:name="_Toc28359082"/>
      <w:bookmarkStart w:id="27" w:name="_Toc35393624"/>
      <w:bookmarkStart w:id="28" w:name="_Toc35393793"/>
      <w:r>
        <w:rPr>
          <w:rFonts w:hint="eastAsia" w:ascii="宋体" w:hAnsi="宋体" w:cs="宋体"/>
          <w:color w:val="000000" w:themeColor="text1"/>
          <w:sz w:val="24"/>
          <w:szCs w:val="24"/>
        </w:rPr>
        <w:t>3.本项目的特定资格要求：</w:t>
      </w:r>
      <w:bookmarkStart w:id="267" w:name="_GoBack"/>
      <w:bookmarkEnd w:id="267"/>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rPr>
      </w:pPr>
      <w:bookmarkStart w:id="29" w:name="_Toc392"/>
      <w:r>
        <w:rPr>
          <w:rFonts w:hint="eastAsia" w:ascii="宋体" w:hAnsi="宋体" w:cs="宋体"/>
          <w:b/>
          <w:bCs/>
          <w:color w:val="000000" w:themeColor="text1"/>
          <w:sz w:val="24"/>
          <w:szCs w:val="24"/>
        </w:rPr>
        <w:t>三、获取招标文件</w:t>
      </w:r>
      <w:bookmarkEnd w:id="29"/>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时间：自公告之日起至投标截止时间前1日</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地点：盐城工业职业技术学院招标采购网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报名时间及地点：本公告发布后凡具备上述资格条件，并自愿参加本项目投标的投标人应于2022年</w:t>
      </w:r>
      <w:r>
        <w:rPr>
          <w:rFonts w:hint="eastAsia" w:ascii="宋体" w:hAnsi="宋体" w:cs="宋体"/>
          <w:color w:val="000000" w:themeColor="text1"/>
          <w:sz w:val="24"/>
          <w:szCs w:val="24"/>
          <w:lang w:val="en-US" w:eastAsia="zh-CN"/>
        </w:rPr>
        <w:t>11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10</w:t>
      </w:r>
      <w:r>
        <w:rPr>
          <w:rFonts w:hint="eastAsia" w:ascii="宋体" w:hAnsi="宋体" w:cs="宋体"/>
          <w:color w:val="000000" w:themeColor="text1"/>
          <w:sz w:val="24"/>
          <w:szCs w:val="24"/>
        </w:rPr>
        <w:t>日至2022年</w:t>
      </w:r>
      <w:r>
        <w:rPr>
          <w:rFonts w:hint="eastAsia" w:ascii="宋体" w:hAnsi="宋体" w:cs="宋体"/>
          <w:color w:val="000000" w:themeColor="text1"/>
          <w:sz w:val="24"/>
          <w:szCs w:val="24"/>
          <w:lang w:val="en-US" w:eastAsia="zh-CN"/>
        </w:rPr>
        <w:t>11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27</w:t>
      </w:r>
      <w:r>
        <w:rPr>
          <w:rFonts w:hint="eastAsia" w:ascii="宋体" w:hAnsi="宋体" w:cs="宋体"/>
          <w:color w:val="000000" w:themeColor="text1"/>
          <w:sz w:val="24"/>
          <w:szCs w:val="24"/>
        </w:rPr>
        <w:t>日（早上8:30-下午18：00）委派本单位正式人员携带单位介绍信或授权委托书到江苏全盛工程造价事务所有限公司报名且购买招标文件，逾期报名的不予接收。招标文件售价500元/份，售后不退。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30" w:name="_Toc7670"/>
      <w:r>
        <w:rPr>
          <w:rFonts w:hint="eastAsia" w:ascii="宋体" w:hAnsi="宋体" w:eastAsia="宋体" w:cs="宋体"/>
          <w:b/>
          <w:bCs/>
          <w:color w:val="000000" w:themeColor="text1"/>
          <w:sz w:val="24"/>
          <w:szCs w:val="24"/>
        </w:rPr>
        <w:t>四、提交投标文件</w:t>
      </w:r>
      <w:bookmarkEnd w:id="25"/>
      <w:bookmarkEnd w:id="26"/>
      <w:r>
        <w:rPr>
          <w:rFonts w:hint="eastAsia" w:ascii="宋体" w:hAnsi="宋体" w:eastAsia="宋体" w:cs="宋体"/>
          <w:b/>
          <w:bCs/>
          <w:color w:val="000000" w:themeColor="text1"/>
          <w:sz w:val="24"/>
          <w:szCs w:val="24"/>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2</w:t>
      </w:r>
      <w:r>
        <w:rPr>
          <w:rFonts w:hint="eastAsia" w:ascii="宋体" w:hAnsi="宋体" w:cs="宋体"/>
          <w:bCs/>
          <w:color w:val="000000" w:themeColor="text1"/>
          <w:sz w:val="24"/>
          <w:szCs w:val="24"/>
          <w:u w:val="single"/>
        </w:rPr>
        <w:t>日</w:t>
      </w:r>
      <w:r>
        <w:rPr>
          <w:rFonts w:hint="eastAsia" w:ascii="宋体" w:hAnsi="宋体" w:cs="宋体"/>
          <w:bCs/>
          <w:color w:val="000000" w:themeColor="text1"/>
          <w:sz w:val="24"/>
          <w:szCs w:val="24"/>
          <w:u w:val="single"/>
          <w:lang w:val="en-US" w:eastAsia="zh-CN"/>
        </w:rPr>
        <w:t>9</w:t>
      </w:r>
      <w:r>
        <w:rPr>
          <w:rFonts w:hint="eastAsia" w:ascii="宋体" w:hAnsi="宋体" w:cs="宋体"/>
          <w:bCs/>
          <w:color w:val="000000" w:themeColor="text1"/>
          <w:sz w:val="24"/>
          <w:szCs w:val="24"/>
          <w:u w:val="single"/>
        </w:rPr>
        <w:t>点00分</w:t>
      </w:r>
      <w:r>
        <w:rPr>
          <w:rFonts w:hint="eastAsia" w:ascii="宋体" w:hAnsi="宋体" w:cs="宋体"/>
          <w:color w:val="000000" w:themeColor="text1"/>
          <w:sz w:val="24"/>
          <w:szCs w:val="24"/>
        </w:rPr>
        <w:t>（北京时间）</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1" w:name="_Toc12763"/>
      <w:bookmarkStart w:id="32" w:name="_Toc28359084"/>
      <w:bookmarkStart w:id="33" w:name="_Toc35393625"/>
      <w:bookmarkStart w:id="34" w:name="_Toc28359007"/>
      <w:bookmarkStart w:id="35" w:name="_Toc35393794"/>
      <w:r>
        <w:rPr>
          <w:rFonts w:hint="eastAsia" w:ascii="宋体" w:hAnsi="宋体" w:eastAsia="宋体" w:cs="宋体"/>
          <w:b/>
          <w:bCs/>
          <w:color w:val="000000" w:themeColor="text1"/>
          <w:sz w:val="24"/>
          <w:szCs w:val="24"/>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6" w:name="_Toc35393795"/>
      <w:bookmarkStart w:id="37" w:name="_Toc21328"/>
      <w:bookmarkStart w:id="38" w:name="_Toc35393626"/>
      <w:bookmarkStart w:id="39" w:name="_Toc35393796"/>
      <w:bookmarkStart w:id="40" w:name="_Toc28359008"/>
      <w:bookmarkStart w:id="41" w:name="_Toc28359085"/>
      <w:bookmarkStart w:id="42" w:name="_Toc35393627"/>
      <w:r>
        <w:rPr>
          <w:rFonts w:hint="eastAsia" w:ascii="宋体" w:hAnsi="宋体" w:eastAsia="宋体" w:cs="宋体"/>
          <w:b/>
          <w:bCs/>
          <w:color w:val="000000" w:themeColor="text1"/>
          <w:sz w:val="24"/>
          <w:szCs w:val="24"/>
        </w:rPr>
        <w:t>六、其他补充事宜</w:t>
      </w:r>
      <w:bookmarkEnd w:id="36"/>
      <w:bookmarkEnd w:id="37"/>
      <w:bookmarkEnd w:id="38"/>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（1）投标前10天内与确诊/疑似病例或无症状感染者有密切接触的人员，以及与密切接触者接触的次密切接触者，一律不得进校。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（2）投标前10天内接触过境外归国人员（未解除隔离的），按次密切接触者处置，一律不得进校。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（3）投标前7天内有疫情中高风险地区（以开标前一日权威发布的疫情风险等级区域划分为依据）旅居史的人员，一律不得进校。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Theme="minorEastAsia" w:hAnsiTheme="minorEastAsia" w:eastAsiaTheme="minorEastAsia" w:cstheme="minorEastAsia"/>
          <w:color w:val="000000" w:themeColor="text1"/>
          <w:sz w:val="24"/>
          <w:szCs w:val="24"/>
        </w:rPr>
        <w:t>（5）投标前7天内出现发热或呼吸道症状的人员，经当地医院就诊治疗，排除新</w:t>
      </w:r>
      <w:r>
        <w:rPr>
          <w:rStyle w:val="115"/>
          <w:rFonts w:hint="eastAsia" w:ascii="宋体" w:hAnsi="宋体" w:cs="宋体"/>
          <w:color w:val="000000" w:themeColor="text1"/>
          <w:sz w:val="24"/>
          <w:szCs w:val="24"/>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（8）各投标项目授权代表限1人进入校园，项目授权代表进入校园时须全程佩戴口罩，做好手部消毒及投标文件等消毒防护工作。</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（10）投标人未如实报告个人信息，承担相应责任和法律后果，引发问题学校可取消其中标资格。</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请各投标人预留好相应时间，配合做好上述管控措施。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rPr>
      </w:pPr>
      <w:r>
        <w:rPr>
          <w:rStyle w:val="115"/>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43" w:name="_Toc19826"/>
      <w:r>
        <w:rPr>
          <w:rFonts w:hint="eastAsia" w:ascii="宋体" w:hAnsi="宋体" w:eastAsia="宋体" w:cs="宋体"/>
          <w:b/>
          <w:bCs/>
          <w:color w:val="000000" w:themeColor="text1"/>
          <w:sz w:val="24"/>
          <w:szCs w:val="24"/>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rPr>
      </w:pPr>
      <w:bookmarkStart w:id="44" w:name="_Toc35393637"/>
      <w:bookmarkStart w:id="45" w:name="_Toc28359096"/>
      <w:bookmarkStart w:id="46" w:name="_Toc35393806"/>
      <w:bookmarkStart w:id="47" w:name="_Toc28359019"/>
      <w:r>
        <w:rPr>
          <w:rFonts w:hint="eastAsia" w:ascii="宋体" w:hAnsi="宋体" w:cs="宋体"/>
          <w:color w:val="000000" w:themeColor="text1"/>
          <w:sz w:val="24"/>
          <w:szCs w:val="24"/>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名称：盐城工业职业技术学院</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w:t>
      </w:r>
      <w:r>
        <w:rPr>
          <w:rStyle w:val="115"/>
          <w:rFonts w:hint="eastAsia" w:ascii="宋体" w:hAnsi="宋体"/>
          <w:color w:val="000000" w:themeColor="text1"/>
          <w:sz w:val="24"/>
          <w:szCs w:val="24"/>
        </w:rPr>
        <w:t>盐城市解放南路285号</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联系人：赵老师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联系电话：0515-88588707</w:t>
      </w:r>
    </w:p>
    <w:p>
      <w:pPr>
        <w:spacing w:line="460" w:lineRule="exact"/>
        <w:ind w:firstLine="480" w:firstLineChars="200"/>
        <w:rPr>
          <w:rFonts w:ascii="宋体" w:hAnsi="宋体" w:cs="宋体"/>
          <w:color w:val="000000" w:themeColor="text1"/>
          <w:sz w:val="24"/>
          <w:szCs w:val="24"/>
        </w:rPr>
      </w:pPr>
      <w:bookmarkStart w:id="48" w:name="_Toc28359097"/>
      <w:bookmarkStart w:id="49" w:name="_Toc35393638"/>
      <w:bookmarkStart w:id="50" w:name="_Toc35393807"/>
      <w:bookmarkStart w:id="51" w:name="_Toc28359020"/>
      <w:r>
        <w:rPr>
          <w:rFonts w:hint="eastAsia" w:ascii="宋体" w:hAnsi="宋体" w:cs="宋体"/>
          <w:color w:val="000000" w:themeColor="text1"/>
          <w:sz w:val="24"/>
          <w:szCs w:val="24"/>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rPr>
      </w:pPr>
      <w:bookmarkStart w:id="52" w:name="_Toc28359098"/>
      <w:bookmarkStart w:id="53" w:name="_Toc28359021"/>
      <w:bookmarkStart w:id="54" w:name="_Toc35393808"/>
      <w:bookmarkStart w:id="55" w:name="_Toc35393639"/>
      <w:r>
        <w:rPr>
          <w:rFonts w:hint="eastAsia" w:ascii="宋体" w:hAnsi="宋体" w:cs="宋体"/>
          <w:color w:val="000000" w:themeColor="text1"/>
          <w:sz w:val="24"/>
          <w:szCs w:val="24"/>
        </w:rPr>
        <w:t>名称：江苏全盛工程造价事务所有限公司</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地址：盐城市人民南路华邦国际东厦A区22楼2203室</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联系人：朱玲娜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联系电话：18751450656</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3.项目联系方式</w:t>
      </w:r>
      <w:bookmarkEnd w:id="52"/>
      <w:bookmarkEnd w:id="53"/>
      <w:bookmarkEnd w:id="54"/>
      <w:bookmarkEnd w:id="55"/>
    </w:p>
    <w:p>
      <w:pPr>
        <w:spacing w:line="460" w:lineRule="exact"/>
        <w:ind w:firstLine="480" w:firstLineChars="200"/>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项目联系人：顾</w:t>
      </w:r>
      <w:r>
        <w:rPr>
          <w:rFonts w:hint="eastAsia" w:ascii="宋体" w:hAnsi="宋体" w:cs="宋体"/>
          <w:color w:val="000000" w:themeColor="text1"/>
          <w:sz w:val="24"/>
          <w:szCs w:val="24"/>
          <w:lang w:val="en-US" w:eastAsia="zh-CN"/>
        </w:rPr>
        <w:t>老师</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联系电话：15050559397</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对项目需求部分的询问、质疑请向项目联系人提出，由项目联系人答复</w:t>
      </w:r>
      <w:bookmarkEnd w:id="2"/>
      <w:bookmarkEnd w:id="3"/>
      <w:bookmarkEnd w:id="4"/>
      <w:bookmarkEnd w:id="5"/>
      <w:bookmarkEnd w:id="6"/>
      <w:bookmarkStart w:id="56" w:name="_Toc513029242"/>
      <w:bookmarkStart w:id="57" w:name="_Toc479757207"/>
      <w:bookmarkStart w:id="58" w:name="_Toc16938558"/>
      <w:bookmarkStart w:id="59" w:name="_Toc20823314"/>
      <w:bookmarkStart w:id="60" w:name="_Toc120614221"/>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
        <w:spacing w:before="0" w:after="0" w:line="240" w:lineRule="auto"/>
        <w:jc w:val="both"/>
        <w:rPr>
          <w:rFonts w:ascii="宋体" w:hAnsi="宋体" w:eastAsia="宋体" w:cs="宋体"/>
          <w:color w:val="000000" w:themeColor="text1"/>
        </w:rPr>
      </w:pPr>
      <w:bookmarkStart w:id="61" w:name="_Toc8631"/>
    </w:p>
    <w:p>
      <w:pPr>
        <w:pStyle w:val="4"/>
        <w:spacing w:before="0" w:after="0" w:line="240" w:lineRule="auto"/>
        <w:ind w:firstLine="2209" w:firstLineChars="500"/>
        <w:jc w:val="both"/>
        <w:rPr>
          <w:rFonts w:ascii="宋体" w:hAnsi="宋体" w:eastAsia="宋体" w:cs="宋体"/>
          <w:b w:val="0"/>
          <w:bCs w:val="0"/>
          <w:color w:val="000000" w:themeColor="text1"/>
        </w:rPr>
      </w:pPr>
      <w:r>
        <w:rPr>
          <w:rFonts w:hint="eastAsia" w:ascii="宋体" w:hAnsi="宋体" w:eastAsia="宋体" w:cs="宋体"/>
          <w:color w:val="000000" w:themeColor="text1"/>
        </w:rPr>
        <w:t xml:space="preserve">第二章  </w:t>
      </w:r>
      <w:bookmarkStart w:id="62" w:name="_Toc16938518"/>
      <w:bookmarkStart w:id="63" w:name="_Toc20823274"/>
      <w:bookmarkStart w:id="64" w:name="_Toc513029202"/>
      <w:bookmarkStart w:id="65" w:name="_Toc120614213"/>
      <w:r>
        <w:rPr>
          <w:rFonts w:hint="eastAsia" w:ascii="宋体" w:hAnsi="宋体" w:eastAsia="宋体" w:cs="宋体"/>
          <w:color w:val="000000" w:themeColor="text1"/>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rPr>
      </w:pPr>
      <w:bookmarkStart w:id="66" w:name="_Toc513029203"/>
      <w:bookmarkStart w:id="67" w:name="_Toc16938519"/>
      <w:bookmarkStart w:id="68" w:name="_Toc20823275"/>
      <w:bookmarkStart w:id="69" w:name="_Toc120614214"/>
      <w:r>
        <w:rPr>
          <w:rFonts w:hint="eastAsia" w:ascii="宋体" w:hAnsi="宋体" w:cs="宋体"/>
          <w:color w:val="000000" w:themeColor="text1"/>
          <w:sz w:val="24"/>
          <w:szCs w:val="24"/>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rPr>
      </w:pPr>
      <w:bookmarkStart w:id="70" w:name="_Hlt16619475"/>
      <w:bookmarkEnd w:id="70"/>
      <w:bookmarkStart w:id="71" w:name="_Toc458694821"/>
      <w:bookmarkStart w:id="72" w:name="_Toc16938520"/>
      <w:bookmarkStart w:id="73" w:name="_Toc513029204"/>
      <w:bookmarkStart w:id="74" w:name="_Toc20823276"/>
      <w:r>
        <w:rPr>
          <w:rFonts w:hint="eastAsia" w:ascii="宋体" w:hAnsi="宋体" w:cs="宋体"/>
          <w:b w:val="0"/>
          <w:color w:val="000000" w:themeColor="text1"/>
          <w:sz w:val="24"/>
          <w:szCs w:val="24"/>
        </w:rPr>
        <w:t>1</w:t>
      </w:r>
      <w:bookmarkEnd w:id="71"/>
      <w:r>
        <w:rPr>
          <w:rFonts w:hint="eastAsia" w:ascii="宋体" w:hAnsi="宋体" w:cs="宋体"/>
          <w:b w:val="0"/>
          <w:color w:val="000000" w:themeColor="text1"/>
          <w:sz w:val="24"/>
          <w:szCs w:val="24"/>
        </w:rPr>
        <w:t>、招标方式</w:t>
      </w:r>
      <w:bookmarkEnd w:id="72"/>
      <w:bookmarkEnd w:id="73"/>
      <w:bookmarkEnd w:id="74"/>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rPr>
      </w:pPr>
      <w:bookmarkStart w:id="75" w:name="_Toc16938521"/>
      <w:bookmarkStart w:id="76" w:name="_Toc20823277"/>
      <w:bookmarkStart w:id="77" w:name="_Toc513029205"/>
      <w:r>
        <w:rPr>
          <w:rFonts w:hint="eastAsia" w:ascii="宋体" w:hAnsi="宋体" w:cs="宋体"/>
          <w:b w:val="0"/>
          <w:color w:val="000000" w:themeColor="text1"/>
          <w:sz w:val="24"/>
          <w:szCs w:val="24"/>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rPr>
      </w:pPr>
      <w:bookmarkStart w:id="78" w:name="_Toc20823278"/>
      <w:bookmarkStart w:id="79" w:name="_Toc16938522"/>
      <w:bookmarkStart w:id="80" w:name="_Toc513029206"/>
      <w:r>
        <w:rPr>
          <w:rFonts w:hint="eastAsia" w:ascii="宋体" w:hAnsi="宋体" w:cs="宋体"/>
          <w:b w:val="0"/>
          <w:color w:val="000000" w:themeColor="text1"/>
          <w:sz w:val="24"/>
          <w:szCs w:val="24"/>
        </w:rPr>
        <w:t>3、适用法律</w:t>
      </w:r>
      <w:bookmarkEnd w:id="78"/>
      <w:bookmarkEnd w:id="79"/>
      <w:bookmarkEnd w:id="80"/>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rPr>
      </w:pPr>
      <w:bookmarkStart w:id="81" w:name="_Toc20823279"/>
      <w:bookmarkStart w:id="82" w:name="_Toc462564067"/>
      <w:bookmarkStart w:id="83" w:name="_Toc16938523"/>
      <w:bookmarkStart w:id="84" w:name="_Toc513029207"/>
      <w:r>
        <w:rPr>
          <w:rFonts w:hint="eastAsia" w:ascii="宋体" w:hAnsi="宋体" w:cs="宋体"/>
          <w:b w:val="0"/>
          <w:color w:val="000000" w:themeColor="text1"/>
          <w:sz w:val="24"/>
          <w:szCs w:val="24"/>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4.1</w:t>
      </w:r>
      <w:r>
        <w:rPr>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5、招标文件的约束力</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6、招标文件的解释</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rPr>
      </w:pPr>
      <w:bookmarkStart w:id="85" w:name="_Toc120614215"/>
      <w:bookmarkStart w:id="86" w:name="_Toc16938525"/>
      <w:bookmarkStart w:id="87" w:name="_Toc513029209"/>
      <w:bookmarkStart w:id="88" w:name="_Toc20823281"/>
      <w:r>
        <w:rPr>
          <w:rFonts w:hint="eastAsia" w:ascii="宋体" w:hAnsi="宋体" w:cs="宋体"/>
          <w:color w:val="000000" w:themeColor="text1"/>
          <w:sz w:val="24"/>
          <w:szCs w:val="24"/>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rPr>
      </w:pPr>
      <w:bookmarkStart w:id="89" w:name="_Toc20823282"/>
      <w:bookmarkStart w:id="90" w:name="_Toc16938526"/>
      <w:bookmarkStart w:id="91" w:name="_Toc513029210"/>
      <w:r>
        <w:rPr>
          <w:rFonts w:hint="eastAsia" w:ascii="宋体" w:hAnsi="宋体" w:cs="宋体"/>
          <w:b w:val="0"/>
          <w:color w:val="000000" w:themeColor="text1"/>
          <w:sz w:val="24"/>
          <w:szCs w:val="24"/>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7.1</w:t>
      </w:r>
      <w:r>
        <w:rPr>
          <w:rFonts w:hint="eastAsia" w:ascii="宋体" w:hAnsi="宋体" w:cs="宋体"/>
          <w:color w:val="000000" w:themeColor="text1"/>
          <w:sz w:val="24"/>
          <w:szCs w:val="24"/>
        </w:rPr>
        <w:t xml:space="preserve"> 招标文件有以下部分组成：</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（4）项目技术要求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7.2</w:t>
      </w:r>
      <w:r>
        <w:rPr>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92" w:name="_Toc513029211"/>
      <w:bookmarkStart w:id="93" w:name="_Toc16938527"/>
      <w:bookmarkStart w:id="94" w:name="_Toc462564070"/>
      <w:bookmarkStart w:id="95" w:name="_Toc20823283"/>
      <w:r>
        <w:rPr>
          <w:rFonts w:hint="eastAsia" w:ascii="宋体" w:hAnsi="宋体" w:cs="宋体"/>
          <w:b w:val="0"/>
          <w:color w:val="000000" w:themeColor="text1"/>
          <w:sz w:val="24"/>
          <w:szCs w:val="24"/>
        </w:rPr>
        <w:t>8、招标文件的</w:t>
      </w:r>
      <w:bookmarkEnd w:id="92"/>
      <w:bookmarkEnd w:id="93"/>
      <w:bookmarkEnd w:id="94"/>
      <w:bookmarkEnd w:id="95"/>
      <w:r>
        <w:rPr>
          <w:rFonts w:hint="eastAsia" w:ascii="宋体" w:hAnsi="宋体" w:cs="宋体"/>
          <w:b w:val="0"/>
          <w:color w:val="000000" w:themeColor="text1"/>
          <w:sz w:val="24"/>
          <w:szCs w:val="24"/>
        </w:rPr>
        <w:t>询问</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8.1</w:t>
      </w:r>
      <w:r>
        <w:rPr>
          <w:rFonts w:hint="eastAsia" w:ascii="宋体" w:hAnsi="宋体" w:cs="宋体"/>
          <w:color w:val="000000" w:themeColor="text1"/>
          <w:sz w:val="24"/>
          <w:szCs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rPr>
      </w:pPr>
      <w:bookmarkStart w:id="96" w:name="_Toc20823284"/>
      <w:bookmarkStart w:id="97" w:name="_Toc513029212"/>
      <w:bookmarkStart w:id="98" w:name="_Toc462564071"/>
      <w:bookmarkStart w:id="99" w:name="_Toc16938528"/>
      <w:r>
        <w:rPr>
          <w:rFonts w:hint="eastAsia" w:ascii="宋体" w:hAnsi="宋体" w:cs="宋体"/>
          <w:b w:val="0"/>
          <w:color w:val="000000" w:themeColor="text1"/>
          <w:sz w:val="24"/>
          <w:szCs w:val="24"/>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9.1</w:t>
      </w:r>
      <w:r>
        <w:rPr>
          <w:rFonts w:hint="eastAsia" w:ascii="宋体" w:hAnsi="宋体" w:cs="宋体"/>
          <w:color w:val="000000" w:themeColor="text1"/>
          <w:sz w:val="24"/>
          <w:szCs w:val="24"/>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9.2</w:t>
      </w:r>
      <w:r>
        <w:rPr>
          <w:rFonts w:hint="eastAsia" w:ascii="宋体" w:hAnsi="宋体" w:cs="宋体"/>
          <w:color w:val="000000" w:themeColor="text1"/>
          <w:sz w:val="24"/>
          <w:szCs w:val="24"/>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rPr>
      </w:pPr>
      <w:bookmarkStart w:id="100" w:name="_Toc462564072"/>
      <w:bookmarkStart w:id="101" w:name="_Toc120614216"/>
      <w:bookmarkStart w:id="102" w:name="_Toc513029213"/>
      <w:bookmarkStart w:id="103" w:name="_Toc16938529"/>
      <w:bookmarkStart w:id="104" w:name="_Toc20823285"/>
      <w:r>
        <w:rPr>
          <w:rFonts w:hint="eastAsia" w:ascii="宋体" w:hAnsi="宋体" w:cs="宋体"/>
          <w:color w:val="000000" w:themeColor="text1"/>
          <w:sz w:val="24"/>
          <w:szCs w:val="24"/>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rPr>
      </w:pPr>
      <w:bookmarkStart w:id="105" w:name="_Toc16938530"/>
      <w:bookmarkStart w:id="106" w:name="_Toc513029214"/>
      <w:bookmarkStart w:id="107" w:name="_Toc20823286"/>
      <w:bookmarkStart w:id="108" w:name="_Toc462564073"/>
      <w:r>
        <w:rPr>
          <w:rFonts w:hint="eastAsia" w:ascii="宋体" w:hAnsi="宋体" w:cs="宋体"/>
          <w:b w:val="0"/>
          <w:color w:val="000000" w:themeColor="text1"/>
          <w:sz w:val="24"/>
          <w:szCs w:val="24"/>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10.1</w:t>
      </w:r>
      <w:r>
        <w:rPr>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10.2</w:t>
      </w:r>
      <w:r>
        <w:rPr>
          <w:rFonts w:hint="eastAsia" w:ascii="宋体" w:hAnsi="宋体" w:cs="宋体"/>
          <w:color w:val="000000" w:themeColor="text1"/>
          <w:sz w:val="24"/>
          <w:szCs w:val="24"/>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rPr>
      </w:pPr>
      <w:bookmarkStart w:id="109" w:name="_Toc16938531"/>
      <w:bookmarkStart w:id="110" w:name="_Toc20823287"/>
      <w:bookmarkStart w:id="111" w:name="_Toc462564074"/>
      <w:bookmarkStart w:id="112" w:name="_Toc513029215"/>
      <w:r>
        <w:rPr>
          <w:rFonts w:hint="eastAsia" w:ascii="宋体" w:hAnsi="宋体" w:cs="宋体"/>
          <w:b w:val="0"/>
          <w:color w:val="000000" w:themeColor="text1"/>
          <w:sz w:val="24"/>
          <w:szCs w:val="24"/>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11.1</w:t>
      </w:r>
      <w:r>
        <w:rPr>
          <w:rFonts w:hint="eastAsia" w:ascii="宋体" w:hAnsi="宋体" w:cs="宋体"/>
          <w:color w:val="000000" w:themeColor="text1"/>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rPr>
      </w:pPr>
      <w:r>
        <w:rPr>
          <w:rFonts w:hint="eastAsia" w:ascii="宋体" w:hAnsi="宋体" w:cs="宋体"/>
          <w:color w:val="000000" w:themeColor="text1"/>
          <w:sz w:val="24"/>
          <w:szCs w:val="24"/>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rPr>
      </w:pPr>
      <w:bookmarkStart w:id="113" w:name="_Hlt26668975"/>
      <w:bookmarkEnd w:id="113"/>
      <w:bookmarkStart w:id="114" w:name="_Hlt26954838"/>
      <w:bookmarkEnd w:id="114"/>
      <w:bookmarkStart w:id="115" w:name="_Hlt26670360"/>
      <w:bookmarkEnd w:id="115"/>
      <w:bookmarkStart w:id="116" w:name="_Toc14577357"/>
      <w:bookmarkStart w:id="117" w:name="_Toc49090509"/>
      <w:bookmarkStart w:id="118" w:name="_Toc513029219"/>
      <w:bookmarkStart w:id="119" w:name="_Toc14577354"/>
      <w:bookmarkStart w:id="120" w:name="_Toc513029216"/>
      <w:bookmarkStart w:id="121" w:name="_Toc49090507"/>
      <w:r>
        <w:rPr>
          <w:rFonts w:hint="eastAsia" w:ascii="宋体" w:hAnsi="宋体" w:cs="宋体"/>
          <w:b w:val="0"/>
          <w:color w:val="000000" w:themeColor="text1"/>
          <w:sz w:val="24"/>
          <w:szCs w:val="24"/>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w:t>
      </w:r>
      <w:bookmarkStart w:id="122" w:name="_Hlt26668999"/>
      <w:bookmarkEnd w:id="122"/>
      <w:r>
        <w:rPr>
          <w:rFonts w:hint="eastAsia" w:ascii="宋体" w:hAnsi="宋体" w:cs="宋体"/>
          <w:color w:val="000000" w:themeColor="text1"/>
          <w:sz w:val="24"/>
          <w:szCs w:val="24"/>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12.5证明投标人所提供货物及服务与招标文件的要求相一致的文件可以是手册、图纸、文字资料和数据</w:t>
      </w:r>
      <w:r>
        <w:rPr>
          <w:rFonts w:hint="eastAsia" w:ascii="宋体" w:hAnsi="宋体" w:cs="宋体"/>
          <w:bCs/>
          <w:color w:val="000000" w:themeColor="text1"/>
          <w:sz w:val="24"/>
          <w:szCs w:val="24"/>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rPr>
      </w:pPr>
      <w:bookmarkStart w:id="123" w:name="_Toc14577355"/>
      <w:bookmarkStart w:id="124" w:name="_Toc49090508"/>
      <w:r>
        <w:rPr>
          <w:rFonts w:hint="eastAsia" w:ascii="宋体" w:hAnsi="宋体" w:cs="宋体"/>
          <w:b w:val="0"/>
          <w:color w:val="000000" w:themeColor="text1"/>
          <w:sz w:val="24"/>
          <w:szCs w:val="24"/>
        </w:rPr>
        <w:t>13、供货一览表和投标配置与分项报价</w:t>
      </w:r>
      <w:bookmarkEnd w:id="123"/>
      <w:bookmarkStart w:id="125" w:name="_Hlt26670373"/>
      <w:bookmarkEnd w:id="125"/>
      <w:r>
        <w:rPr>
          <w:rFonts w:hint="eastAsia" w:ascii="宋体" w:hAnsi="宋体" w:cs="宋体"/>
          <w:b w:val="0"/>
          <w:color w:val="000000" w:themeColor="text1"/>
          <w:sz w:val="24"/>
          <w:szCs w:val="24"/>
        </w:rPr>
        <w:t>表</w:t>
      </w:r>
      <w:bookmarkEnd w:id="124"/>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126" w:name="_Hlt26954840"/>
      <w:bookmarkEnd w:id="126"/>
      <w:r>
        <w:rPr>
          <w:rFonts w:hint="eastAsia" w:ascii="宋体" w:hAnsi="宋体" w:cs="宋体"/>
          <w:color w:val="000000" w:themeColor="text1"/>
          <w:sz w:val="24"/>
          <w:szCs w:val="24"/>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13.2</w:t>
      </w:r>
      <w:r>
        <w:rPr>
          <w:rFonts w:hint="eastAsia" w:ascii="宋体" w:hAnsi="宋体" w:cs="宋体"/>
          <w:color w:val="000000" w:themeColor="text1"/>
          <w:sz w:val="24"/>
          <w:szCs w:val="24"/>
        </w:rPr>
        <w:t xml:space="preserve"> 标的物</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13.5</w:t>
      </w:r>
      <w:r>
        <w:rPr>
          <w:rFonts w:hint="eastAsia" w:ascii="宋体" w:hAnsi="宋体" w:cs="宋体"/>
          <w:bCs/>
          <w:color w:val="000000" w:themeColor="text1"/>
          <w:sz w:val="24"/>
          <w:szCs w:val="24"/>
        </w:rPr>
        <w:t>投标货币</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投标文件中的货物</w:t>
      </w:r>
      <w:r>
        <w:rPr>
          <w:rFonts w:hint="eastAsia" w:ascii="宋体" w:hAnsi="宋体" w:cs="宋体"/>
          <w:color w:val="000000" w:themeColor="text1"/>
          <w:sz w:val="24"/>
          <w:szCs w:val="24"/>
        </w:rPr>
        <w:t>及服务</w:t>
      </w:r>
      <w:r>
        <w:rPr>
          <w:rFonts w:hint="eastAsia" w:ascii="宋体" w:hAnsi="宋体" w:cs="宋体"/>
          <w:bCs/>
          <w:color w:val="000000" w:themeColor="text1"/>
          <w:sz w:val="24"/>
          <w:szCs w:val="24"/>
        </w:rPr>
        <w:t>单价和总价无特殊规定的采用人民币报价，以元为单位标注。</w:t>
      </w:r>
      <w:r>
        <w:rPr>
          <w:rFonts w:hint="eastAsia" w:ascii="宋体" w:hAnsi="宋体" w:cs="宋体"/>
          <w:color w:val="000000" w:themeColor="text1"/>
          <w:sz w:val="24"/>
          <w:szCs w:val="24"/>
        </w:rPr>
        <w:t>招标文件中另有规定的按规定执行。</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bCs/>
          <w:color w:val="000000" w:themeColor="text1"/>
          <w:sz w:val="24"/>
          <w:szCs w:val="24"/>
        </w:rPr>
        <w:t xml:space="preserve"> 投标配置与分项报价表上的价格应按下列方式分开填写</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bookmarkStart w:id="128" w:name="_Hlt26954842"/>
      <w:bookmarkEnd w:id="128"/>
      <w:bookmarkStart w:id="129" w:name="_Hlt26670403"/>
      <w:bookmarkEnd w:id="129"/>
      <w:bookmarkStart w:id="130" w:name="_Hlt26668983"/>
      <w:bookmarkEnd w:id="130"/>
      <w:bookmarkStart w:id="131" w:name="_Hlt26954844"/>
      <w:bookmarkEnd w:id="131"/>
      <w:bookmarkStart w:id="132" w:name="_Hlt26670425"/>
      <w:bookmarkEnd w:id="132"/>
      <w:r>
        <w:rPr>
          <w:rFonts w:hint="eastAsia" w:ascii="宋体" w:hAnsi="宋体" w:cs="宋体"/>
          <w:bCs/>
          <w:color w:val="000000" w:themeColor="text1"/>
          <w:sz w:val="24"/>
          <w:szCs w:val="24"/>
        </w:rPr>
        <w:t xml:space="preserve">13.6.1 </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13.6.2</w:t>
      </w:r>
      <w:r>
        <w:rPr>
          <w:rFonts w:hint="eastAsia" w:ascii="宋体" w:hAnsi="宋体" w:cs="宋体"/>
          <w:bCs/>
          <w:color w:val="000000" w:themeColor="text1"/>
          <w:sz w:val="24"/>
          <w:szCs w:val="24"/>
        </w:rPr>
        <w:t>项目单价按投标配置及分项报价表中要求填报。</w:t>
      </w:r>
      <w:bookmarkStart w:id="133" w:name="_Hlt26954848"/>
      <w:bookmarkEnd w:id="133"/>
      <w:bookmarkStart w:id="134" w:name="_Hlt26954846"/>
      <w:bookmarkEnd w:id="134"/>
      <w:bookmarkStart w:id="135" w:name="_Hlt26670482"/>
      <w:bookmarkEnd w:id="135"/>
      <w:bookmarkStart w:id="136" w:name="_Hlt26954731"/>
      <w:bookmarkEnd w:id="136"/>
      <w:bookmarkStart w:id="137" w:name="_Hlt26670486"/>
      <w:bookmarkEnd w:id="137"/>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lang w:val="zh-CN"/>
        </w:rPr>
        <w:t>14.1</w:t>
      </w:r>
      <w:r>
        <w:rPr>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w:t>
      </w:r>
      <w:r>
        <w:rPr>
          <w:rFonts w:hint="eastAsia" w:ascii="宋体" w:hAnsi="宋体" w:cs="宋体"/>
          <w:color w:val="000000" w:themeColor="text1"/>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15、1</w:t>
      </w:r>
      <w:r>
        <w:rPr>
          <w:rFonts w:hint="eastAsia" w:ascii="宋体" w:hAnsi="宋体" w:cs="宋体"/>
          <w:color w:val="000000" w:themeColor="text1"/>
          <w:sz w:val="24"/>
          <w:szCs w:val="24"/>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rPr>
      </w:pPr>
      <w:bookmarkStart w:id="138" w:name="_Toc49090510"/>
      <w:bookmarkStart w:id="139" w:name="_Toc14577359"/>
      <w:r>
        <w:rPr>
          <w:rFonts w:hint="eastAsia" w:ascii="宋体" w:hAnsi="宋体" w:cs="宋体"/>
          <w:b w:val="0"/>
          <w:color w:val="000000" w:themeColor="text1"/>
          <w:sz w:val="24"/>
          <w:szCs w:val="24"/>
        </w:rPr>
        <w:t>16、投标函和开标一览表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16.1</w:t>
      </w:r>
      <w:r>
        <w:rPr>
          <w:rFonts w:hint="eastAsia" w:ascii="宋体" w:hAnsi="宋体" w:cs="宋体"/>
          <w:color w:val="000000" w:themeColor="text1"/>
          <w:sz w:val="24"/>
          <w:szCs w:val="24"/>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rPr>
      </w:pPr>
      <w:bookmarkStart w:id="140" w:name="_Hlt26670489"/>
      <w:bookmarkEnd w:id="140"/>
      <w:bookmarkStart w:id="141" w:name="_Hlt26954850"/>
      <w:bookmarkEnd w:id="141"/>
      <w:bookmarkStart w:id="142" w:name="_Hlt26954734"/>
      <w:bookmarkEnd w:id="142"/>
      <w:bookmarkStart w:id="143" w:name="_Toc49090511"/>
      <w:bookmarkStart w:id="144" w:name="_Toc14577360"/>
      <w:r>
        <w:rPr>
          <w:rFonts w:hint="eastAsia" w:ascii="宋体" w:hAnsi="宋体" w:cs="宋体"/>
          <w:b w:val="0"/>
          <w:color w:val="000000" w:themeColor="text1"/>
          <w:sz w:val="24"/>
          <w:szCs w:val="24"/>
        </w:rPr>
        <w:t>17、投标有效期</w:t>
      </w:r>
      <w:bookmarkEnd w:id="143"/>
      <w:bookmarkEnd w:id="144"/>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17.1</w:t>
      </w:r>
      <w:r>
        <w:rPr>
          <w:rFonts w:hint="eastAsia" w:ascii="宋体" w:hAnsi="宋体" w:cs="宋体"/>
          <w:bCs/>
          <w:color w:val="000000" w:themeColor="text1"/>
          <w:sz w:val="24"/>
          <w:szCs w:val="24"/>
        </w:rPr>
        <w:t xml:space="preserve"> 投标有效期为采购人或采购代理机构规定的开标之日后</w:t>
      </w:r>
      <w:r>
        <w:rPr>
          <w:rFonts w:hint="eastAsia" w:ascii="宋体" w:hAnsi="宋体" w:cs="宋体"/>
          <w:b/>
          <w:color w:val="000000" w:themeColor="text1"/>
          <w:sz w:val="24"/>
          <w:szCs w:val="24"/>
          <w:u w:val="single"/>
        </w:rPr>
        <w:t>六十（60）天</w:t>
      </w:r>
      <w:r>
        <w:rPr>
          <w:rFonts w:hint="eastAsia" w:ascii="宋体" w:hAnsi="宋体" w:cs="宋体"/>
          <w:bCs/>
          <w:color w:val="000000" w:themeColor="text1"/>
          <w:sz w:val="24"/>
          <w:szCs w:val="24"/>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17.2</w:t>
      </w:r>
      <w:r>
        <w:rPr>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rPr>
        <w:t>采购人或采购代理机构在接到投标人书面答复后，将在原投标有效期满后五日内</w:t>
      </w:r>
      <w:r>
        <w:rPr>
          <w:rFonts w:hint="eastAsia" w:ascii="宋体" w:hAnsi="宋体" w:cs="宋体"/>
          <w:b/>
          <w:bCs/>
          <w:color w:val="000000" w:themeColor="text1"/>
          <w:sz w:val="24"/>
          <w:szCs w:val="24"/>
        </w:rPr>
        <w:t>无息退还其投标保证金</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rPr>
        <w:t>，同时受投标有效期约束的所有权利与义务均延长至新的有效期</w:t>
      </w:r>
      <w:r>
        <w:rPr>
          <w:rFonts w:hint="eastAsia" w:ascii="宋体" w:hAnsi="宋体" w:cs="宋体"/>
          <w:bCs/>
          <w:color w:val="000000" w:themeColor="text1"/>
          <w:sz w:val="24"/>
          <w:szCs w:val="24"/>
        </w:rPr>
        <w:t>。</w:t>
      </w:r>
    </w:p>
    <w:p>
      <w:pPr>
        <w:pStyle w:val="7"/>
        <w:spacing w:before="0" w:after="0" w:line="440" w:lineRule="exact"/>
        <w:ind w:firstLine="480" w:firstLineChars="200"/>
        <w:rPr>
          <w:rFonts w:ascii="宋体" w:hAnsi="宋体" w:cs="宋体"/>
          <w:b w:val="0"/>
          <w:color w:val="000000" w:themeColor="text1"/>
          <w:sz w:val="24"/>
          <w:szCs w:val="24"/>
        </w:rPr>
      </w:pPr>
      <w:bookmarkStart w:id="145" w:name="_Hlt26954852"/>
      <w:bookmarkEnd w:id="145"/>
      <w:bookmarkStart w:id="146" w:name="_Hlt26954739"/>
      <w:bookmarkEnd w:id="146"/>
      <w:bookmarkStart w:id="147" w:name="_Toc49090512"/>
      <w:bookmarkStart w:id="148" w:name="_Toc14577361"/>
      <w:r>
        <w:rPr>
          <w:rFonts w:hint="eastAsia" w:ascii="宋体" w:hAnsi="宋体" w:cs="宋体"/>
          <w:b w:val="0"/>
          <w:color w:val="000000" w:themeColor="text1"/>
          <w:sz w:val="24"/>
          <w:szCs w:val="24"/>
        </w:rPr>
        <w:t>18、投标文件份数和签署</w:t>
      </w:r>
      <w:bookmarkEnd w:id="147"/>
      <w:bookmarkEnd w:id="148"/>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18.2投标文件正本中，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18.3</w:t>
      </w:r>
      <w:r>
        <w:rPr>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rPr>
      </w:pPr>
      <w:bookmarkStart w:id="149" w:name="_Toc16938540"/>
      <w:bookmarkStart w:id="150" w:name="_Toc20823296"/>
      <w:bookmarkStart w:id="151" w:name="_Toc120614217"/>
      <w:bookmarkStart w:id="152" w:name="_Toc513029224"/>
      <w:r>
        <w:rPr>
          <w:rFonts w:hint="eastAsia" w:ascii="宋体" w:hAnsi="宋体" w:cs="宋体"/>
          <w:color w:val="000000" w:themeColor="text1"/>
          <w:sz w:val="24"/>
          <w:szCs w:val="24"/>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rPr>
      </w:pPr>
      <w:bookmarkStart w:id="153" w:name="_Toc462564084"/>
      <w:bookmarkStart w:id="154" w:name="_Toc513029225"/>
      <w:bookmarkStart w:id="155" w:name="_Toc16938541"/>
      <w:bookmarkStart w:id="156" w:name="_Toc20823297"/>
      <w:r>
        <w:rPr>
          <w:rFonts w:hint="eastAsia" w:ascii="宋体" w:hAnsi="宋体" w:cs="宋体"/>
          <w:b w:val="0"/>
          <w:color w:val="000000" w:themeColor="text1"/>
          <w:sz w:val="24"/>
          <w:szCs w:val="24"/>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19.1</w:t>
      </w:r>
      <w:r>
        <w:rPr>
          <w:rFonts w:hint="eastAsia" w:ascii="宋体" w:hAnsi="宋体" w:cs="宋体"/>
          <w:bCs/>
          <w:color w:val="000000" w:themeColor="text1"/>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w:t>
      </w:r>
      <w:r>
        <w:rPr>
          <w:rFonts w:hint="eastAsia" w:ascii="宋体" w:hAnsi="宋体" w:cs="宋体"/>
          <w:bCs/>
          <w:color w:val="000000" w:themeColor="text1"/>
          <w:sz w:val="24"/>
          <w:szCs w:val="24"/>
        </w:rPr>
        <w:t xml:space="preserve"> 密封的投标文件应：</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19.2.2  注明投标项目名称、标书编号及包号。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19.2.3</w:t>
      </w:r>
      <w:r>
        <w:rPr>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rPr>
      </w:pPr>
      <w:bookmarkStart w:id="157" w:name="_Toc16938542"/>
      <w:bookmarkStart w:id="158" w:name="_Toc513029226"/>
      <w:bookmarkStart w:id="159" w:name="_Toc20823298"/>
      <w:r>
        <w:rPr>
          <w:rFonts w:hint="eastAsia" w:ascii="宋体" w:hAnsi="宋体" w:cs="宋体"/>
          <w:b w:val="0"/>
          <w:color w:val="000000" w:themeColor="text1"/>
          <w:sz w:val="24"/>
          <w:szCs w:val="24"/>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20.1</w:t>
      </w:r>
      <w:r>
        <w:rPr>
          <w:rFonts w:hint="eastAsia" w:ascii="宋体" w:hAnsi="宋体" w:cs="宋体"/>
          <w:bCs/>
          <w:color w:val="000000" w:themeColor="text1"/>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20.2</w:t>
      </w:r>
      <w:r>
        <w:rPr>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rPr>
      </w:pPr>
      <w:bookmarkStart w:id="160" w:name="_Toc513029227"/>
      <w:bookmarkStart w:id="161" w:name="_Toc16938543"/>
      <w:bookmarkStart w:id="162" w:name="_Toc20823299"/>
      <w:r>
        <w:rPr>
          <w:rFonts w:hint="eastAsia" w:ascii="宋体" w:hAnsi="宋体" w:cs="宋体"/>
          <w:b w:val="0"/>
          <w:color w:val="000000" w:themeColor="text1"/>
          <w:sz w:val="24"/>
          <w:szCs w:val="24"/>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21.1</w:t>
      </w:r>
      <w:r>
        <w:rPr>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rPr>
      </w:pPr>
      <w:bookmarkStart w:id="163" w:name="_Toc20823300"/>
      <w:bookmarkStart w:id="164" w:name="_Toc513029228"/>
      <w:bookmarkStart w:id="165" w:name="_Toc16938544"/>
      <w:r>
        <w:rPr>
          <w:rFonts w:hint="eastAsia" w:ascii="宋体" w:hAnsi="宋体" w:cs="宋体"/>
          <w:b w:val="0"/>
          <w:color w:val="000000" w:themeColor="text1"/>
          <w:sz w:val="24"/>
          <w:szCs w:val="24"/>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22.1</w:t>
      </w:r>
      <w:r>
        <w:rPr>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22.2</w:t>
      </w:r>
      <w:r>
        <w:rPr>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22.3</w:t>
      </w:r>
      <w:r>
        <w:rPr>
          <w:rFonts w:hint="eastAsia" w:ascii="宋体" w:hAnsi="宋体" w:cs="宋体"/>
          <w:bCs/>
          <w:color w:val="000000" w:themeColor="text1"/>
          <w:sz w:val="24"/>
          <w:szCs w:val="24"/>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22.4</w:t>
      </w:r>
      <w:r>
        <w:rPr>
          <w:rFonts w:hint="eastAsia" w:ascii="宋体" w:hAnsi="宋体" w:cs="宋体"/>
          <w:bCs/>
          <w:color w:val="000000" w:themeColor="text1"/>
          <w:sz w:val="24"/>
          <w:szCs w:val="24"/>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rPr>
      </w:pPr>
      <w:bookmarkStart w:id="166" w:name="_Toc513029229"/>
      <w:bookmarkStart w:id="167" w:name="_Toc16938545"/>
      <w:bookmarkStart w:id="168" w:name="_Toc120614218"/>
      <w:bookmarkStart w:id="169" w:name="_Toc20823301"/>
      <w:r>
        <w:rPr>
          <w:rFonts w:hint="eastAsia" w:ascii="宋体" w:hAnsi="宋体" w:cs="宋体"/>
          <w:color w:val="000000" w:themeColor="text1"/>
          <w:sz w:val="24"/>
          <w:szCs w:val="24"/>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rPr>
      </w:pPr>
      <w:bookmarkStart w:id="170" w:name="_Toc513029230"/>
      <w:bookmarkStart w:id="171" w:name="_Toc16938546"/>
      <w:bookmarkStart w:id="172" w:name="_Toc20823302"/>
      <w:r>
        <w:rPr>
          <w:rFonts w:hint="eastAsia" w:ascii="宋体" w:hAnsi="宋体" w:cs="宋体"/>
          <w:b w:val="0"/>
          <w:color w:val="000000" w:themeColor="text1"/>
          <w:sz w:val="24"/>
          <w:szCs w:val="24"/>
        </w:rPr>
        <w:t>23、开标</w:t>
      </w:r>
      <w:bookmarkEnd w:id="170"/>
      <w:bookmarkEnd w:id="171"/>
      <w:bookmarkEnd w:id="172"/>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w:t>
      </w:r>
      <w:r>
        <w:rPr>
          <w:rFonts w:hint="eastAsia" w:ascii="宋体" w:hAnsi="宋体" w:cs="宋体"/>
          <w:bCs/>
          <w:color w:val="000000" w:themeColor="text1"/>
          <w:sz w:val="24"/>
          <w:szCs w:val="24"/>
        </w:rPr>
        <w:t xml:space="preserve"> 采购人和采购代理机构将在招标公告中规定的时间和地点组织公开开标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w:t>
      </w:r>
      <w:r>
        <w:rPr>
          <w:rFonts w:hint="eastAsia" w:ascii="宋体" w:hAnsi="宋体" w:cs="宋体"/>
          <w:b/>
          <w:color w:val="000000" w:themeColor="text1"/>
          <w:sz w:val="24"/>
          <w:szCs w:val="24"/>
        </w:rPr>
        <w:t>(需提供单位授权函)</w:t>
      </w:r>
      <w:r>
        <w:rPr>
          <w:rFonts w:hint="eastAsia" w:ascii="宋体" w:hAnsi="宋体" w:cs="宋体"/>
          <w:color w:val="000000" w:themeColor="text1"/>
          <w:sz w:val="24"/>
          <w:szCs w:val="24"/>
        </w:rPr>
        <w:t>、监管代表、投标人代表等参加。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23.3</w:t>
      </w:r>
      <w:r>
        <w:rPr>
          <w:rFonts w:hint="eastAsia" w:ascii="宋体" w:hAnsi="宋体" w:cs="宋体"/>
          <w:bCs/>
          <w:color w:val="000000" w:themeColor="text1"/>
          <w:sz w:val="24"/>
          <w:szCs w:val="24"/>
        </w:rPr>
        <w:t>按照规定同意撤回的投标将不予开封。</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rPr>
      </w:pPr>
      <w:bookmarkStart w:id="173" w:name="_Toc16938547"/>
      <w:bookmarkStart w:id="174" w:name="_Toc513029231"/>
      <w:bookmarkStart w:id="175" w:name="_Toc20823303"/>
      <w:r>
        <w:rPr>
          <w:rFonts w:hint="eastAsia" w:ascii="宋体" w:hAnsi="宋体" w:cs="宋体"/>
          <w:b w:val="0"/>
          <w:color w:val="000000" w:themeColor="text1"/>
          <w:sz w:val="24"/>
          <w:szCs w:val="24"/>
        </w:rPr>
        <w:t>24、资格审查</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24.1</w:t>
      </w:r>
      <w:r>
        <w:rPr>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rPr>
      </w:pPr>
      <w:r>
        <w:rPr>
          <w:rFonts w:hint="eastAsia" w:ascii="宋体" w:hAnsi="宋体" w:cs="宋体"/>
          <w:color w:val="000000" w:themeColor="text1"/>
          <w:sz w:val="24"/>
          <w:szCs w:val="24"/>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25、评标委员会</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26.1</w:t>
      </w:r>
      <w:r>
        <w:rPr>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rPr>
      </w:pPr>
      <w:bookmarkStart w:id="176" w:name="_Toc513029232"/>
      <w:bookmarkStart w:id="177" w:name="_Toc20823304"/>
      <w:bookmarkStart w:id="178" w:name="_Toc16938548"/>
      <w:r>
        <w:rPr>
          <w:rFonts w:hint="eastAsia" w:ascii="宋体" w:hAnsi="宋体" w:cs="宋体"/>
          <w:b w:val="0"/>
          <w:color w:val="000000" w:themeColor="text1"/>
          <w:sz w:val="24"/>
          <w:szCs w:val="24"/>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179" w:name="_Toc16938549"/>
      <w:bookmarkStart w:id="180" w:name="_Toc20823305"/>
      <w:bookmarkStart w:id="181" w:name="_Toc513029233"/>
      <w:r>
        <w:rPr>
          <w:rFonts w:hint="eastAsia" w:ascii="宋体" w:hAnsi="宋体" w:cs="宋体"/>
          <w:b w:val="0"/>
          <w:color w:val="000000" w:themeColor="text1"/>
          <w:sz w:val="24"/>
          <w:szCs w:val="24"/>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28.4</w:t>
      </w:r>
      <w:r>
        <w:rPr>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（2）大写金额和小写金额不一致的，以大写金额为准。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同时出现两种以上错误的，按照前款规定的顺序修正。</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28.6</w:t>
      </w:r>
      <w:r>
        <w:rPr>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28.7</w:t>
      </w:r>
      <w:r>
        <w:rPr>
          <w:rFonts w:hint="eastAsia" w:ascii="宋体" w:hAnsi="宋体" w:cs="宋体"/>
          <w:b/>
          <w:color w:val="000000" w:themeColor="text1"/>
          <w:sz w:val="24"/>
          <w:szCs w:val="24"/>
        </w:rPr>
        <w:t>采用最低评标价法的采购项目，</w:t>
      </w:r>
      <w:r>
        <w:rPr>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使用综合评分法的采购项目，</w:t>
      </w:r>
      <w:r>
        <w:rPr>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非单一产品采购项目，</w:t>
      </w:r>
      <w:r>
        <w:rPr>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rPr>
      </w:pPr>
      <w:bookmarkStart w:id="182" w:name="_Toc20823306"/>
      <w:bookmarkStart w:id="183" w:name="_Toc16938550"/>
      <w:bookmarkStart w:id="184" w:name="_Toc513029234"/>
      <w:r>
        <w:rPr>
          <w:rFonts w:hint="eastAsia" w:ascii="宋体" w:hAnsi="宋体" w:cs="宋体"/>
          <w:b w:val="0"/>
          <w:color w:val="000000" w:themeColor="text1"/>
          <w:sz w:val="24"/>
          <w:szCs w:val="24"/>
        </w:rPr>
        <w:t>29、</w:t>
      </w:r>
      <w:bookmarkEnd w:id="182"/>
      <w:bookmarkEnd w:id="183"/>
      <w:bookmarkEnd w:id="184"/>
      <w:r>
        <w:rPr>
          <w:rFonts w:hint="eastAsia" w:ascii="宋体" w:hAnsi="宋体" w:cs="宋体"/>
          <w:b w:val="0"/>
          <w:color w:val="000000" w:themeColor="text1"/>
          <w:sz w:val="24"/>
          <w:szCs w:val="24"/>
        </w:rPr>
        <w:t>无效投标条款和废标条款</w:t>
      </w:r>
    </w:p>
    <w:p>
      <w:pPr>
        <w:spacing w:line="440" w:lineRule="exact"/>
        <w:ind w:firstLine="480" w:firstLineChars="200"/>
        <w:rPr>
          <w:rFonts w:ascii="宋体" w:hAnsi="宋体" w:cs="宋体"/>
          <w:bCs/>
          <w:color w:val="000000" w:themeColor="text1"/>
          <w:sz w:val="24"/>
          <w:szCs w:val="24"/>
        </w:rPr>
      </w:pPr>
      <w:bookmarkStart w:id="185" w:name="_Toc513029235"/>
      <w:bookmarkStart w:id="186" w:name="_Toc16938551"/>
      <w:bookmarkStart w:id="187" w:name="_Toc20823307"/>
      <w:r>
        <w:rPr>
          <w:rFonts w:hint="eastAsia" w:ascii="宋体" w:hAnsi="宋体" w:cs="宋体"/>
          <w:bCs/>
          <w:color w:val="000000" w:themeColor="text1"/>
          <w:sz w:val="24"/>
          <w:szCs w:val="24"/>
        </w:rPr>
        <w:t>29.1无效投标条款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29.1.1未按照招标文件规定要求密封、签署、盖章的；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29.1.2投标人在报价时采用选择性报价；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29.1.3投标人不具备招标文件中规定资格要求的；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rPr>
      </w:pPr>
      <w:r>
        <w:rPr>
          <w:rFonts w:hint="eastAsia" w:ascii="宋体" w:hAnsi="宋体" w:cs="宋体"/>
          <w:bCs/>
          <w:color w:val="000000" w:themeColor="text1"/>
          <w:sz w:val="24"/>
          <w:szCs w:val="24"/>
        </w:rPr>
        <w:t>29.1.5未通过符合性检查的；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29.1.7 投标人串通投标；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29.1.8 投标文件含有采购人不能接受的附加条件的。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29.2废标条款：                                                                                                                                                                                                                                                                                                                                                                                                                                                                                                                                                                                                                                                                                                                                                                                                                                                                                                                                                                                                                                                                                                                                                                                                                                                                                                                                                                                                                                                                         </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29.2.2出现影响采购公正的违法、违规行为的；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29.2.3因重大变故，采购任务取消的；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rPr>
      </w:pPr>
      <w:bookmarkStart w:id="188" w:name="_Toc120614219"/>
      <w:r>
        <w:rPr>
          <w:rFonts w:hint="eastAsia" w:ascii="宋体" w:hAnsi="宋体" w:cs="宋体"/>
          <w:color w:val="000000" w:themeColor="text1"/>
          <w:sz w:val="24"/>
          <w:szCs w:val="24"/>
        </w:rPr>
        <w:t>六、</w:t>
      </w:r>
      <w:bookmarkEnd w:id="185"/>
      <w:bookmarkEnd w:id="186"/>
      <w:bookmarkEnd w:id="187"/>
      <w:r>
        <w:rPr>
          <w:rFonts w:hint="eastAsia" w:ascii="宋体" w:hAnsi="宋体" w:cs="宋体"/>
          <w:color w:val="000000" w:themeColor="text1"/>
          <w:sz w:val="24"/>
          <w:szCs w:val="24"/>
        </w:rPr>
        <w:t>定标</w:t>
      </w:r>
      <w:bookmarkEnd w:id="188"/>
    </w:p>
    <w:p>
      <w:pPr>
        <w:pStyle w:val="7"/>
        <w:spacing w:before="0" w:after="0" w:line="440" w:lineRule="exact"/>
        <w:ind w:firstLine="480" w:firstLineChars="200"/>
        <w:rPr>
          <w:rFonts w:ascii="宋体" w:hAnsi="宋体" w:cs="宋体"/>
          <w:b w:val="0"/>
          <w:color w:val="000000" w:themeColor="text1"/>
          <w:sz w:val="24"/>
          <w:szCs w:val="24"/>
        </w:rPr>
      </w:pPr>
      <w:bookmarkStart w:id="189" w:name="_Toc513029238"/>
      <w:bookmarkStart w:id="190" w:name="_Toc16938554"/>
      <w:bookmarkStart w:id="191" w:name="_Toc20823310"/>
      <w:r>
        <w:rPr>
          <w:rFonts w:hint="eastAsia" w:ascii="宋体" w:hAnsi="宋体" w:cs="宋体"/>
          <w:b w:val="0"/>
          <w:color w:val="000000" w:themeColor="text1"/>
          <w:sz w:val="24"/>
          <w:szCs w:val="24"/>
        </w:rPr>
        <w:t>30、</w:t>
      </w:r>
      <w:bookmarkEnd w:id="189"/>
      <w:r>
        <w:rPr>
          <w:rFonts w:hint="eastAsia" w:ascii="宋体" w:hAnsi="宋体" w:cs="宋体"/>
          <w:b w:val="0"/>
          <w:color w:val="000000" w:themeColor="text1"/>
          <w:sz w:val="24"/>
          <w:szCs w:val="24"/>
        </w:rPr>
        <w:t>确定</w:t>
      </w:r>
      <w:bookmarkEnd w:id="190"/>
      <w:bookmarkEnd w:id="191"/>
      <w:r>
        <w:rPr>
          <w:rFonts w:hint="eastAsia" w:ascii="宋体" w:hAnsi="宋体" w:cs="宋体"/>
          <w:b w:val="0"/>
          <w:color w:val="000000" w:themeColor="text1"/>
          <w:sz w:val="24"/>
          <w:szCs w:val="24"/>
        </w:rPr>
        <w:t>中标单位</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30.3采购人</w:t>
      </w:r>
      <w:r>
        <w:rPr>
          <w:rFonts w:hint="eastAsia" w:ascii="宋体" w:hAnsi="宋体" w:cs="宋体"/>
          <w:color w:val="000000" w:themeColor="text1"/>
          <w:sz w:val="24"/>
          <w:szCs w:val="24"/>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30.4.1提供虚假材料谋取中标的；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30.4.5与采购人或者其他供应商恶意串通的；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30.4.6采取不正当手段诋毁、排挤其他供应商的；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30.5. </w:t>
      </w:r>
      <w:r>
        <w:rPr>
          <w:rFonts w:hint="eastAsia" w:ascii="宋体" w:hAnsi="宋体" w:cs="宋体"/>
          <w:color w:val="000000" w:themeColor="text1"/>
          <w:kern w:val="0"/>
          <w:sz w:val="24"/>
          <w:szCs w:val="24"/>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31、质疑处理</w:t>
      </w:r>
      <w:bookmarkEnd w:id="192"/>
      <w:r>
        <w:rPr>
          <w:rFonts w:hint="eastAsia" w:ascii="宋体" w:hAnsi="宋体" w:cs="宋体"/>
          <w:b w:val="0"/>
          <w:color w:val="000000" w:themeColor="text1"/>
          <w:sz w:val="24"/>
          <w:szCs w:val="24"/>
        </w:rPr>
        <w:tab/>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31.1.1</w:t>
      </w:r>
      <w:r>
        <w:rPr>
          <w:rFonts w:hint="eastAsia" w:ascii="宋体" w:hAnsi="宋体" w:cs="宋体"/>
          <w:color w:val="000000" w:themeColor="text1"/>
          <w:kern w:val="0"/>
          <w:sz w:val="24"/>
          <w:szCs w:val="24"/>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31.1.2</w:t>
      </w:r>
      <w:r>
        <w:rPr>
          <w:rFonts w:hint="eastAsia" w:ascii="宋体" w:hAnsi="宋体" w:cs="宋体"/>
          <w:color w:val="000000" w:themeColor="text1"/>
          <w:kern w:val="0"/>
          <w:sz w:val="24"/>
          <w:szCs w:val="24"/>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31.1.3</w:t>
      </w:r>
      <w:r>
        <w:rPr>
          <w:rFonts w:hint="eastAsia" w:ascii="宋体" w:hAnsi="宋体" w:cs="宋体"/>
          <w:color w:val="000000" w:themeColor="text1"/>
          <w:kern w:val="0"/>
          <w:sz w:val="24"/>
          <w:szCs w:val="24"/>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31.4质疑函应当包括下列内容：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31.4.2具体的质疑事项及明确的请求；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31.4.4提起质疑的日期；</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32、中标通知书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rPr>
      </w:pPr>
      <w:bookmarkStart w:id="193" w:name="_Toc120614220"/>
      <w:bookmarkStart w:id="194" w:name="_Toc16938552"/>
      <w:bookmarkStart w:id="195" w:name="_Toc20823308"/>
      <w:bookmarkStart w:id="196" w:name="_Toc513029236"/>
      <w:r>
        <w:rPr>
          <w:rFonts w:hint="eastAsia" w:ascii="宋体" w:hAnsi="宋体" w:cs="宋体"/>
          <w:color w:val="000000" w:themeColor="text1"/>
          <w:sz w:val="24"/>
          <w:szCs w:val="24"/>
        </w:rPr>
        <w:t>七、合同</w:t>
      </w:r>
      <w:bookmarkEnd w:id="193"/>
      <w:r>
        <w:rPr>
          <w:rFonts w:hint="eastAsia" w:ascii="宋体" w:hAnsi="宋体" w:cs="宋体"/>
          <w:color w:val="000000" w:themeColor="text1"/>
          <w:sz w:val="24"/>
          <w:szCs w:val="24"/>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rPr>
      </w:pPr>
      <w:bookmarkStart w:id="197" w:name="_Toc16938553"/>
      <w:bookmarkStart w:id="198" w:name="_Toc513029237"/>
      <w:bookmarkStart w:id="199" w:name="_Toc20823309"/>
      <w:r>
        <w:rPr>
          <w:rFonts w:hint="eastAsia" w:ascii="宋体" w:hAnsi="宋体" w:cs="宋体"/>
          <w:b w:val="0"/>
          <w:color w:val="000000" w:themeColor="text1"/>
          <w:sz w:val="24"/>
          <w:szCs w:val="24"/>
        </w:rPr>
        <w:t>33. 签订合同</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33</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34、货物和服务的追加、减少和添购。</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35、履约保证金</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adjustRightInd w:val="0"/>
        <w:snapToGrid w:val="0"/>
        <w:spacing w:line="360" w:lineRule="auto"/>
        <w:ind w:firstLine="480" w:firstLineChars="200"/>
        <w:rPr>
          <w:rFonts w:ascii="宋体" w:hAnsi="宋体" w:cs="宋体"/>
          <w:color w:val="000000" w:themeColor="text1"/>
          <w:sz w:val="24"/>
          <w:szCs w:val="24"/>
        </w:rPr>
      </w:pPr>
    </w:p>
    <w:p>
      <w:pPr>
        <w:pStyle w:val="6"/>
        <w:adjustRightInd w:val="0"/>
        <w:snapToGrid w:val="0"/>
        <w:spacing w:line="360" w:lineRule="auto"/>
        <w:ind w:firstLine="480" w:firstLineChars="200"/>
        <w:rPr>
          <w:rFonts w:ascii="宋体" w:hAnsi="宋体" w:cs="宋体"/>
          <w:color w:val="000000" w:themeColor="text1"/>
          <w:sz w:val="24"/>
        </w:rPr>
      </w:pPr>
    </w:p>
    <w:p>
      <w:pPr>
        <w:pStyle w:val="3"/>
        <w:jc w:val="center"/>
        <w:rPr>
          <w:rFonts w:ascii="宋体" w:hAnsi="宋体" w:eastAsia="宋体" w:cs="宋体"/>
          <w:b/>
          <w:color w:val="000000" w:themeColor="text1"/>
          <w:sz w:val="44"/>
        </w:rPr>
      </w:pPr>
      <w:bookmarkStart w:id="200" w:name="_Toc602"/>
      <w:r>
        <w:rPr>
          <w:rFonts w:hint="eastAsia" w:ascii="宋体" w:hAnsi="宋体" w:eastAsia="宋体" w:cs="宋体"/>
          <w:b/>
          <w:color w:val="000000" w:themeColor="text1"/>
          <w:sz w:val="44"/>
        </w:rPr>
        <w:t>第三章  合同条款及</w:t>
      </w:r>
      <w:bookmarkEnd w:id="56"/>
      <w:bookmarkEnd w:id="57"/>
      <w:bookmarkEnd w:id="58"/>
      <w:bookmarkEnd w:id="59"/>
      <w:bookmarkEnd w:id="60"/>
      <w:r>
        <w:rPr>
          <w:rFonts w:hint="eastAsia" w:ascii="宋体" w:hAnsi="宋体" w:eastAsia="宋体" w:cs="宋体"/>
          <w:b/>
          <w:color w:val="000000" w:themeColor="text1"/>
          <w:sz w:val="44"/>
        </w:rPr>
        <w:t>格式</w:t>
      </w:r>
      <w:bookmarkEnd w:id="200"/>
    </w:p>
    <w:p>
      <w:pPr>
        <w:spacing w:line="440" w:lineRule="exact"/>
        <w:ind w:firstLine="480" w:firstLineChars="200"/>
        <w:rPr>
          <w:rFonts w:ascii="宋体" w:hAnsi="宋体" w:cs="宋体"/>
          <w:b/>
          <w:color w:val="000000" w:themeColor="text1"/>
          <w:sz w:val="30"/>
        </w:rPr>
      </w:pPr>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rPr>
      </w:pPr>
      <w:bookmarkStart w:id="201" w:name="_Toc6096"/>
      <w:r>
        <w:rPr>
          <w:rFonts w:hint="eastAsia" w:ascii="宋体" w:hAnsi="宋体" w:cs="宋体"/>
          <w:b/>
          <w:color w:val="000000" w:themeColor="text1"/>
          <w:sz w:val="30"/>
        </w:rPr>
        <w:t>采购合同</w:t>
      </w:r>
      <w:bookmarkEnd w:id="201"/>
    </w:p>
    <w:p>
      <w:pPr>
        <w:spacing w:line="440" w:lineRule="exact"/>
        <w:ind w:firstLine="480" w:firstLineChars="200"/>
        <w:rPr>
          <w:rFonts w:hint="eastAsia" w:ascii="宋体" w:hAnsi="宋体" w:eastAsia="宋体" w:cs="宋体"/>
          <w:bCs/>
          <w:color w:val="000000" w:themeColor="text1"/>
          <w:sz w:val="24"/>
          <w:u w:val="single"/>
          <w:lang w:eastAsia="zh-CN"/>
        </w:rPr>
      </w:pPr>
      <w:r>
        <w:rPr>
          <w:rFonts w:hint="eastAsia" w:ascii="宋体" w:hAnsi="宋体" w:cs="宋体"/>
          <w:bCs/>
          <w:color w:val="000000" w:themeColor="text1"/>
          <w:sz w:val="24"/>
        </w:rPr>
        <w:t>项目名称：</w:t>
      </w:r>
      <w:r>
        <w:rPr>
          <w:rFonts w:hint="eastAsia" w:ascii="宋体" w:hAnsi="宋体" w:cs="宋体"/>
          <w:bCs/>
          <w:color w:val="000000" w:themeColor="text1"/>
          <w:sz w:val="24"/>
          <w:u w:val="single"/>
          <w:lang w:eastAsia="zh-CN"/>
        </w:rPr>
        <w:t>盐城工业职业技术学院钢结构施工虚拟仿真实训软件</w:t>
      </w:r>
    </w:p>
    <w:p>
      <w:pPr>
        <w:pStyle w:val="40"/>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r>
        <w:rPr>
          <w:rFonts w:hint="eastAsia"/>
          <w:color w:val="000000" w:themeColor="text1"/>
          <w:kern w:val="2"/>
          <w:u w:val="single"/>
        </w:rPr>
        <w:t>2022-0</w:t>
      </w:r>
      <w:r>
        <w:rPr>
          <w:rFonts w:hint="eastAsia"/>
          <w:color w:val="000000" w:themeColor="text1"/>
          <w:kern w:val="2"/>
          <w:u w:val="single"/>
          <w:lang w:val="en-US" w:eastAsia="zh-CN"/>
        </w:rPr>
        <w:t>42</w:t>
      </w:r>
      <w:r>
        <w:rPr>
          <w:rFonts w:hint="eastAsia"/>
          <w:color w:val="000000" w:themeColor="text1"/>
          <w:kern w:val="2"/>
          <w:u w:val="single"/>
        </w:rPr>
        <w:t>Q</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bCs/>
          <w:color w:val="000000" w:themeColor="text1"/>
          <w:sz w:val="24"/>
          <w:lang w:eastAsia="zh-CN"/>
        </w:rPr>
        <w:t>盐城工业职业技术学院钢结构施工虚拟仿真实训软件</w:t>
      </w:r>
      <w:r>
        <w:rPr>
          <w:rFonts w:hint="eastAsia" w:ascii="宋体" w:hAnsi="宋体" w:cs="宋体"/>
          <w:color w:val="000000" w:themeColor="text1"/>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spacing w:line="440" w:lineRule="exact"/>
        <w:ind w:firstLine="420" w:firstLineChars="200"/>
        <w:rPr>
          <w:color w:val="000000" w:themeColor="text1"/>
        </w:rPr>
      </w:pPr>
      <w:r>
        <w:rPr>
          <w:rFonts w:hint="eastAsia"/>
          <w:color w:val="000000" w:themeColor="text1"/>
        </w:rPr>
        <w:t>1.1 项目名称：</w:t>
      </w:r>
      <w:r>
        <w:rPr>
          <w:rFonts w:hint="eastAsia" w:ascii="宋体" w:hAnsi="宋体" w:cs="宋体"/>
          <w:bCs/>
          <w:color w:val="000000" w:themeColor="text1"/>
          <w:sz w:val="24"/>
          <w:u w:val="single"/>
          <w:lang w:eastAsia="zh-CN"/>
        </w:rPr>
        <w:t>盐城工业职业技术学院钢结构施工虚拟仿真实训软件</w:t>
      </w:r>
      <w:r>
        <w:rPr>
          <w:rFonts w:hint="eastAsia"/>
          <w:color w:val="000000" w:themeColor="text1"/>
          <w:u w:val="single"/>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2.1 本合同金额为（大写）：</w:t>
      </w:r>
      <w:r>
        <w:rPr>
          <w:rFonts w:hint="eastAsia"/>
          <w:color w:val="000000" w:themeColor="text1"/>
          <w:kern w:val="2"/>
          <w:u w:val="single"/>
        </w:rPr>
        <w:t xml:space="preserve">            </w:t>
      </w:r>
      <w:r>
        <w:rPr>
          <w:rFonts w:hint="eastAsia"/>
          <w:color w:val="000000" w:themeColor="text1"/>
          <w:kern w:val="2"/>
        </w:rPr>
        <w:t>（小写）：______元人民币或其他币种。</w:t>
      </w:r>
    </w:p>
    <w:p>
      <w:pPr>
        <w:spacing w:line="360" w:lineRule="auto"/>
        <w:ind w:firstLine="480" w:firstLineChars="200"/>
        <w:rPr>
          <w:rFonts w:ascii="宋体" w:hAnsi="宋体" w:cs="宋体"/>
          <w:color w:val="000000" w:themeColor="text1"/>
        </w:rPr>
      </w:pPr>
      <w:r>
        <w:rPr>
          <w:rFonts w:hint="eastAsia" w:ascii="宋体" w:hAnsi="宋体" w:cs="宋体"/>
          <w:color w:val="000000" w:themeColor="text1"/>
          <w:sz w:val="24"/>
          <w:szCs w:val="24"/>
        </w:rPr>
        <w:t>2.2 本合同金额按实结算。</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szCs w:val="21"/>
        </w:rPr>
        <w:t>和服务</w:t>
      </w:r>
      <w:r>
        <w:rPr>
          <w:rFonts w:hint="eastAsia"/>
          <w:color w:val="000000" w:themeColor="text1"/>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6.1乙方交纳人民币______元作为本合同的履约保证金（合同金额的5%），项目验收合格后无息退还。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八、质保期</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8.1 质保期：质保期</w:t>
      </w:r>
      <w:r>
        <w:rPr>
          <w:rFonts w:hint="eastAsia"/>
          <w:color w:val="000000" w:themeColor="text1"/>
          <w:kern w:val="2"/>
          <w:u w:val="single"/>
        </w:rPr>
        <w:t xml:space="preserve">  5  </w:t>
      </w:r>
      <w:r>
        <w:rPr>
          <w:rFonts w:hint="eastAsia"/>
          <w:color w:val="000000" w:themeColor="text1"/>
          <w:kern w:val="2"/>
        </w:rPr>
        <w:t>年（具体以投标时承诺为准）。（自交货验收合格之日起计）</w:t>
      </w:r>
    </w:p>
    <w:p>
      <w:pPr>
        <w:widowControl/>
        <w:spacing w:line="500" w:lineRule="exact"/>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8.3、中标人须设有维修服务电话</w:t>
      </w:r>
      <w:r>
        <w:rPr>
          <w:rFonts w:hint="eastAsia"/>
          <w:color w:val="000000" w:themeColor="text1"/>
        </w:rPr>
        <w:t>，负责解答用户在设备使用中遇到的问题，及时提出解决问题的建议和操作方法。</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8.4、售后服务响应时间：如设备出现故障，电话响应无法解决，中标人必须在接报修电话24 小时到现场并解决问题。</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九、交货期、交货方式及交货地点</w:t>
      </w:r>
    </w:p>
    <w:p>
      <w:pPr>
        <w:pStyle w:val="40"/>
        <w:spacing w:before="0" w:beforeAutospacing="0" w:after="0" w:afterAutospacing="0" w:line="500" w:lineRule="exact"/>
        <w:ind w:firstLine="480" w:firstLineChars="200"/>
        <w:rPr>
          <w:color w:val="000000" w:themeColor="text1"/>
        </w:rPr>
      </w:pPr>
      <w:r>
        <w:rPr>
          <w:rFonts w:hint="eastAsia"/>
          <w:color w:val="000000" w:themeColor="text1"/>
        </w:rPr>
        <w:t>9.1 交货期：</w:t>
      </w:r>
      <w:r>
        <w:rPr>
          <w:rFonts w:ascii="Times New Roman" w:hAnsi="Times New Roman"/>
          <w:bCs/>
          <w:szCs w:val="28"/>
        </w:rPr>
        <w:t>自收到中标通知书90个工作日内交货和安装培训，提交的货物依据招标文件上的技术规格要求和国家有关质量标准进行现场初步验收，外观、说明书符合招标文件技术要求的，给予签收，初步验收不合格的不予签收；交货前供应商应对产品作出全面检查和对验收文件进行整理，并列出清单，作为采购方收货验收和使用的技术条件依据，检验的结果应随货物交给采购单位。</w:t>
      </w:r>
      <w:r>
        <w:rPr>
          <w:rFonts w:hint="eastAsia"/>
          <w:color w:val="000000" w:themeColor="text1"/>
        </w:rPr>
        <w:t>（如甲方需要延时交付，可另行约定时间）</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9.2 交货方式：</w:t>
      </w:r>
      <w:r>
        <w:rPr>
          <w:rFonts w:hint="eastAsia"/>
          <w:color w:val="000000" w:themeColor="text1"/>
          <w:kern w:val="2"/>
          <w:lang w:eastAsia="zh-TW"/>
        </w:rPr>
        <w:t>送货上门、安装与调试</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9.3 交货地点：</w:t>
      </w:r>
      <w:r>
        <w:rPr>
          <w:rFonts w:hint="eastAsia"/>
          <w:color w:val="000000" w:themeColor="text1"/>
          <w:kern w:val="2"/>
          <w:lang w:eastAsia="zh-TW"/>
        </w:rPr>
        <w:t>甲方指定地点。</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40"/>
        <w:spacing w:before="0" w:beforeAutospacing="0" w:after="0" w:afterAutospacing="0"/>
        <w:ind w:firstLine="480" w:firstLineChars="200"/>
        <w:rPr>
          <w:color w:val="000000" w:themeColor="text1"/>
          <w:kern w:val="2"/>
        </w:rPr>
      </w:pPr>
      <w:r>
        <w:rPr>
          <w:rFonts w:hint="eastAsia"/>
          <w:color w:val="000000" w:themeColor="text1"/>
          <w:kern w:val="2"/>
        </w:rPr>
        <w:t>10.1</w:t>
      </w:r>
      <w:r>
        <w:rPr>
          <w:rFonts w:hint="eastAsia"/>
          <w:color w:val="000000" w:themeColor="text1"/>
          <w:kern w:val="2"/>
          <w:lang w:eastAsia="zh-TW"/>
        </w:rPr>
        <w:t>招标范围内容全部完成并经安装调试、培训结束，验收合格后付总价的</w:t>
      </w:r>
      <w:r>
        <w:rPr>
          <w:rFonts w:hint="eastAsia"/>
          <w:color w:val="000000" w:themeColor="text1"/>
          <w:kern w:val="2"/>
        </w:rPr>
        <w:t>9</w:t>
      </w:r>
      <w:r>
        <w:rPr>
          <w:rFonts w:hint="eastAsia"/>
          <w:color w:val="000000" w:themeColor="text1"/>
          <w:kern w:val="2"/>
          <w:lang w:eastAsia="zh-TW"/>
        </w:rPr>
        <w:t>0%；余款一年后根据售后服务情况付总价的</w:t>
      </w:r>
      <w:r>
        <w:rPr>
          <w:rFonts w:hint="eastAsia"/>
          <w:color w:val="000000" w:themeColor="text1"/>
          <w:kern w:val="2"/>
        </w:rPr>
        <w:t>5</w:t>
      </w:r>
      <w:r>
        <w:rPr>
          <w:rFonts w:hint="eastAsia"/>
          <w:color w:val="000000" w:themeColor="text1"/>
          <w:kern w:val="2"/>
          <w:lang w:eastAsia="zh-TW"/>
        </w:rPr>
        <w:t>%</w:t>
      </w:r>
      <w:r>
        <w:rPr>
          <w:rFonts w:hint="eastAsia"/>
          <w:color w:val="000000" w:themeColor="text1"/>
          <w:kern w:val="2"/>
        </w:rPr>
        <w:t>； 质保期满后</w:t>
      </w:r>
      <w:r>
        <w:rPr>
          <w:rFonts w:hint="eastAsia"/>
          <w:color w:val="000000" w:themeColor="text1"/>
          <w:kern w:val="2"/>
          <w:lang w:eastAsia="zh-TW"/>
        </w:rPr>
        <w:t>根据售后服务情况付总价的5%。</w:t>
      </w:r>
      <w:r>
        <w:rPr>
          <w:rFonts w:hint="eastAsia"/>
          <w:color w:val="000000" w:themeColor="text1"/>
          <w:kern w:val="2"/>
        </w:rPr>
        <w:t>乙方必须提供增值税专用发票，否则甲方有权不付款。</w:t>
      </w:r>
    </w:p>
    <w:p>
      <w:pPr>
        <w:snapToGrid w:val="0"/>
        <w:spacing w:line="460" w:lineRule="exact"/>
        <w:ind w:firstLine="480" w:firstLineChars="200"/>
        <w:rPr>
          <w:rFonts w:ascii="宋体" w:hAnsi="宋体" w:cs="宋体"/>
          <w:b/>
          <w:bCs/>
          <w:color w:val="000000" w:themeColor="text1"/>
          <w:sz w:val="24"/>
          <w:szCs w:val="24"/>
        </w:rPr>
      </w:pPr>
      <w:r>
        <w:rPr>
          <w:rFonts w:hint="eastAsia" w:ascii="宋体" w:hAnsi="宋体" w:cs="宋体"/>
          <w:color w:val="000000" w:themeColor="text1"/>
          <w:sz w:val="24"/>
          <w:szCs w:val="24"/>
        </w:rPr>
        <w:t>10.2当采购数量与实际使用数量不一致时，乙方应根据实际使用量供货，合同的最终结算金额按实际使用量乘以成交单价进行计算。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十一、税费</w:t>
      </w:r>
    </w:p>
    <w:p>
      <w:pPr>
        <w:snapToGrid w:val="0"/>
        <w:spacing w:line="460"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numPr>
          <w:ilvl w:val="0"/>
          <w:numId w:val="5"/>
        </w:numPr>
        <w:snapToGrid w:val="0"/>
        <w:spacing w:line="460" w:lineRule="exact"/>
        <w:ind w:firstLine="422" w:firstLineChars="200"/>
        <w:rPr>
          <w:rFonts w:hint="eastAsia"/>
          <w:b/>
          <w:color w:val="000000" w:themeColor="text1"/>
          <w:kern w:val="2"/>
        </w:rPr>
      </w:pPr>
      <w:r>
        <w:rPr>
          <w:rFonts w:hint="eastAsia"/>
          <w:b/>
          <w:color w:val="000000" w:themeColor="text1"/>
          <w:kern w:val="2"/>
        </w:rPr>
        <w:t>质量保证及售后服务</w:t>
      </w:r>
    </w:p>
    <w:p>
      <w:pPr>
        <w:numPr>
          <w:ilvl w:val="0"/>
          <w:numId w:val="0"/>
        </w:numPr>
        <w:snapToGrid w:val="0"/>
        <w:spacing w:line="46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12.1 乙方应按招标文件规定的货物性能、技术要求、质量标准向甲方</w:t>
      </w:r>
      <w:r>
        <w:rPr>
          <w:rFonts w:hint="eastAsia" w:ascii="宋体" w:hAnsi="宋体" w:cs="宋体"/>
          <w:bCs/>
          <w:color w:val="000000" w:themeColor="text1"/>
          <w:sz w:val="24"/>
          <w:szCs w:val="24"/>
        </w:rPr>
        <w:t>提供的货物（含配件）应是全新的、未使用过的原装合格正品，开箱后，如</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发现有任何问题（如外观有损伤），</w:t>
      </w:r>
      <w:r>
        <w:rPr>
          <w:rFonts w:hint="eastAsia" w:ascii="宋体" w:hAnsi="宋体" w:cs="宋体"/>
          <w:color w:val="000000" w:themeColor="text1"/>
          <w:sz w:val="24"/>
          <w:szCs w:val="24"/>
        </w:rPr>
        <w:t>乙方</w:t>
      </w:r>
      <w:r>
        <w:rPr>
          <w:rFonts w:hint="eastAsia" w:ascii="宋体" w:hAnsi="宋体" w:cs="宋体"/>
          <w:bCs/>
          <w:color w:val="000000" w:themeColor="text1"/>
          <w:sz w:val="24"/>
          <w:szCs w:val="24"/>
        </w:rPr>
        <w:t>必须立即以同样型号的货物在</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⑶退货处理：乙方应退还甲方支付的合同款，同时应承担该货物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rPr>
      </w:pPr>
      <w:r>
        <w:rPr>
          <w:rFonts w:hint="eastAsia" w:ascii="宋体" w:hAnsi="宋体" w:cs="宋体"/>
          <w:bCs/>
          <w:color w:val="000000" w:themeColor="text1"/>
          <w:sz w:val="24"/>
          <w:szCs w:val="24"/>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b/>
          <w:color w:val="000000" w:themeColor="text1"/>
        </w:rPr>
      </w:pPr>
      <w:r>
        <w:rPr>
          <w:rFonts w:hint="eastAsia" w:ascii="宋体" w:hAnsi="宋体" w:cs="宋体"/>
          <w:color w:val="000000" w:themeColor="text1"/>
          <w:sz w:val="24"/>
          <w:szCs w:val="24"/>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十三、安装、调试和验收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甲方对乙方提交的货物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13.5 验收时乙方必须在现场，验收完毕后作出验收结果报告；验收费用由甲乙双方协商解决。</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十四、货物包装、发运及运输</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在交付甲方前发生的风险均由乙方负责。</w:t>
      </w:r>
    </w:p>
    <w:p>
      <w:pPr>
        <w:adjustRightInd w:val="0"/>
        <w:snapToGrid w:val="0"/>
        <w:spacing w:line="360" w:lineRule="auto"/>
        <w:ind w:firstLine="480" w:firstLineChars="200"/>
        <w:rPr>
          <w:b/>
          <w:color w:val="000000" w:themeColor="text1"/>
          <w:kern w:val="2"/>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十八、合同生效及其它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18.3 本合同正本一式二份，副本一式六份，具有同等法律效力。</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
        <w:numPr>
          <w:ilvl w:val="0"/>
          <w:numId w:val="6"/>
        </w:numPr>
        <w:ind w:firstLine="2871" w:firstLineChars="650"/>
        <w:jc w:val="both"/>
        <w:rPr>
          <w:rFonts w:ascii="宋体" w:hAnsi="宋体" w:eastAsia="宋体" w:cs="宋体"/>
          <w:b/>
          <w:color w:val="000000" w:themeColor="text1"/>
          <w:sz w:val="44"/>
        </w:rPr>
      </w:pPr>
      <w:bookmarkStart w:id="202" w:name="_Toc16938590"/>
      <w:bookmarkStart w:id="203" w:name="_Toc20823346"/>
      <w:bookmarkStart w:id="204" w:name="_Toc574"/>
      <w:bookmarkStart w:id="205" w:name="_Toc120614244"/>
      <w:bookmarkStart w:id="206" w:name="_Toc462564139"/>
      <w:bookmarkStart w:id="207" w:name="_Toc479757211"/>
      <w:r>
        <w:rPr>
          <w:rFonts w:hint="eastAsia" w:ascii="宋体" w:hAnsi="宋体" w:eastAsia="宋体" w:cs="宋体"/>
          <w:b/>
          <w:color w:val="000000" w:themeColor="text1"/>
          <w:sz w:val="44"/>
        </w:rPr>
        <w:t>项目技术需求</w:t>
      </w:r>
      <w:bookmarkEnd w:id="202"/>
      <w:bookmarkEnd w:id="203"/>
      <w:bookmarkEnd w:id="204"/>
      <w:bookmarkEnd w:id="205"/>
    </w:p>
    <w:p>
      <w:pPr>
        <w:numPr>
          <w:ilvl w:val="0"/>
          <w:numId w:val="7"/>
        </w:numPr>
        <w:spacing w:line="440" w:lineRule="exact"/>
        <w:ind w:firstLine="482" w:firstLineChars="200"/>
        <w:rPr>
          <w:rFonts w:ascii="宋体" w:hAnsi="宋体" w:cs="宋体"/>
          <w:b/>
          <w:bCs/>
          <w:color w:val="000000" w:themeColor="text1"/>
          <w:sz w:val="24"/>
          <w:szCs w:val="24"/>
        </w:rPr>
      </w:pPr>
      <w:bookmarkStart w:id="208" w:name="_Toc120614281"/>
      <w:bookmarkStart w:id="209" w:name="_Toc49090575"/>
      <w:bookmarkStart w:id="210" w:name="_Toc26554093"/>
      <w:r>
        <w:rPr>
          <w:rFonts w:hint="eastAsia" w:ascii="宋体" w:hAnsi="宋体" w:cs="宋体"/>
          <w:b/>
          <w:bCs/>
          <w:color w:val="000000" w:themeColor="text1"/>
          <w:sz w:val="24"/>
          <w:szCs w:val="24"/>
        </w:rPr>
        <w:t>项目具体技术要求</w:t>
      </w:r>
    </w:p>
    <w:tbl>
      <w:tblPr>
        <w:tblStyle w:val="4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3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right="210"/>
              <w:jc w:val="center"/>
              <w:rPr>
                <w:rFonts w:ascii="仿宋" w:hAnsi="仿宋" w:eastAsia="仿宋" w:cs="宋体"/>
                <w:b/>
                <w:color w:val="000000"/>
              </w:rPr>
            </w:pPr>
            <w:r>
              <w:rPr>
                <w:rFonts w:hint="eastAsia" w:ascii="仿宋" w:hAnsi="仿宋" w:eastAsia="仿宋" w:cs="宋体"/>
                <w:b/>
                <w:color w:val="000000"/>
              </w:rPr>
              <w:t>设备名称</w:t>
            </w:r>
          </w:p>
        </w:tc>
        <w:tc>
          <w:tcPr>
            <w:tcW w:w="7371" w:type="dxa"/>
            <w:vAlign w:val="center"/>
          </w:tcPr>
          <w:p>
            <w:pPr>
              <w:ind w:right="210"/>
              <w:jc w:val="center"/>
              <w:rPr>
                <w:rFonts w:ascii="仿宋" w:hAnsi="仿宋" w:eastAsia="仿宋" w:cs="宋体"/>
                <w:b/>
                <w:color w:val="000000"/>
              </w:rPr>
            </w:pPr>
            <w:r>
              <w:rPr>
                <w:rFonts w:hint="eastAsia" w:ascii="仿宋" w:hAnsi="仿宋" w:eastAsia="仿宋" w:cs="宋体"/>
                <w:b/>
                <w:color w:val="000000"/>
              </w:rPr>
              <w:t>技术要求</w:t>
            </w:r>
          </w:p>
        </w:tc>
        <w:tc>
          <w:tcPr>
            <w:tcW w:w="850" w:type="dxa"/>
            <w:vAlign w:val="center"/>
          </w:tcPr>
          <w:p>
            <w:pPr>
              <w:ind w:right="210"/>
              <w:jc w:val="center"/>
              <w:rPr>
                <w:rFonts w:ascii="仿宋" w:hAnsi="仿宋" w:eastAsia="仿宋" w:cs="宋体"/>
                <w:b/>
                <w:color w:val="000000"/>
              </w:rPr>
            </w:pPr>
            <w:r>
              <w:rPr>
                <w:rFonts w:hint="eastAsia" w:ascii="仿宋" w:hAnsi="仿宋" w:eastAsia="仿宋" w:cs="宋体"/>
                <w:b/>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ind w:right="210"/>
              <w:jc w:val="center"/>
              <w:rPr>
                <w:rFonts w:cs="宋体" w:asciiTheme="minorEastAsia" w:hAnsiTheme="minorEastAsia"/>
                <w:bCs/>
                <w:color w:val="000000" w:themeColor="text1"/>
              </w:rPr>
            </w:pPr>
            <w:r>
              <w:rPr>
                <w:rFonts w:hint="eastAsia" w:cs="宋体" w:asciiTheme="minorEastAsia" w:hAnsiTheme="minorEastAsia"/>
                <w:bCs/>
                <w:color w:val="000000" w:themeColor="text1"/>
              </w:rPr>
              <w:t>钢结构施工虚拟仿真软件</w:t>
            </w:r>
          </w:p>
        </w:tc>
        <w:tc>
          <w:tcPr>
            <w:tcW w:w="7371" w:type="dxa"/>
          </w:tcPr>
          <w:p>
            <w:pPr>
              <w:ind w:right="210"/>
              <w:jc w:val="left"/>
              <w:rPr>
                <w:rFonts w:cs="宋体" w:asciiTheme="minorEastAsia" w:hAnsiTheme="minorEastAsia"/>
                <w:b/>
                <w:color w:val="000000" w:themeColor="text1"/>
              </w:rPr>
            </w:pPr>
            <w:r>
              <w:rPr>
                <w:rFonts w:hint="eastAsia" w:cs="宋体" w:asciiTheme="minorEastAsia" w:hAnsiTheme="minorEastAsia"/>
                <w:b/>
                <w:color w:val="000000" w:themeColor="text1"/>
              </w:rPr>
              <w:t>（一）基本配置功能要求指标：</w:t>
            </w:r>
          </w:p>
          <w:p>
            <w:pPr>
              <w:ind w:right="210" w:firstLine="210" w:firstLineChars="100"/>
              <w:jc w:val="left"/>
              <w:rPr>
                <w:bCs/>
                <w:color w:val="000000" w:themeColor="text1"/>
              </w:rPr>
            </w:pPr>
            <w:r>
              <w:rPr>
                <w:bCs/>
                <w:color w:val="000000" w:themeColor="text1"/>
              </w:rPr>
              <w:t>（1）支持实现电脑端、web端、手机端协同教学，教师可在管理后台发布任务供学生练习考核；</w:t>
            </w:r>
          </w:p>
          <w:p>
            <w:pPr>
              <w:ind w:right="210" w:firstLine="210" w:firstLineChars="100"/>
              <w:jc w:val="left"/>
              <w:rPr>
                <w:bCs/>
                <w:color w:val="000000" w:themeColor="text1"/>
              </w:rPr>
            </w:pPr>
            <w:r>
              <w:rPr>
                <w:bCs/>
                <w:color w:val="000000" w:themeColor="text1"/>
              </w:rPr>
              <w:t>（2）具备资源库功能，钢结构教学实施过程中所涉及到的教学资源、图纸、施工方案、各种记录以及其他文件资料等均可在系统中存储和显示，并支持下载。</w:t>
            </w:r>
          </w:p>
          <w:p>
            <w:pPr>
              <w:ind w:right="210" w:firstLine="210" w:firstLineChars="100"/>
              <w:jc w:val="left"/>
              <w:rPr>
                <w:bCs/>
                <w:color w:val="000000" w:themeColor="text1"/>
              </w:rPr>
            </w:pPr>
            <w:r>
              <w:rPr>
                <w:bCs/>
                <w:color w:val="000000" w:themeColor="text1"/>
              </w:rPr>
              <w:t>（3）具备虚拟仿真场景下的视角切换功能，支持在钢结构生产与施工的不同阶段，多方位、多视角查看生产与施工情况。</w:t>
            </w:r>
          </w:p>
          <w:p>
            <w:pPr>
              <w:ind w:right="210" w:firstLine="210" w:firstLineChars="100"/>
              <w:jc w:val="left"/>
              <w:rPr>
                <w:bCs/>
                <w:color w:val="000000" w:themeColor="text1"/>
              </w:rPr>
            </w:pPr>
            <w:r>
              <w:rPr>
                <w:bCs/>
                <w:color w:val="000000" w:themeColor="text1"/>
              </w:rPr>
              <w:t>（4）具备地图概览功能，且地图中有功能分区，可以实现场景的快速跳转。</w:t>
            </w:r>
          </w:p>
          <w:p>
            <w:pPr>
              <w:ind w:right="210" w:firstLine="210" w:firstLineChars="100"/>
              <w:jc w:val="left"/>
              <w:rPr>
                <w:bCs/>
                <w:color w:val="000000" w:themeColor="text1"/>
              </w:rPr>
            </w:pPr>
            <w:r>
              <w:rPr>
                <w:bCs/>
                <w:color w:val="000000" w:themeColor="text1"/>
              </w:rPr>
              <w:t>（5）系统可支持教学、分阶段实训、综合考核三种模式，每种模式均能实现虚仿场景的实操实训，各模式之间可自由切换应用。</w:t>
            </w:r>
          </w:p>
          <w:p>
            <w:pPr>
              <w:ind w:right="210" w:firstLine="210" w:firstLineChars="100"/>
              <w:jc w:val="left"/>
              <w:rPr>
                <w:bCs/>
                <w:color w:val="000000" w:themeColor="text1"/>
              </w:rPr>
            </w:pPr>
            <w:r>
              <w:rPr>
                <w:bCs/>
                <w:color w:val="000000" w:themeColor="text1"/>
              </w:rPr>
              <w:t>（6）教学模式包含各学习模块的理论学习与互动练习，可以查看仿真模型和微课；分阶段实训模式可进行阶段任务的操作练习；考评模式可进行理论考试和实训操作考核，系统能够自动评分并记录成绩。</w:t>
            </w:r>
          </w:p>
          <w:p>
            <w:pPr>
              <w:ind w:right="210" w:firstLine="210" w:firstLineChars="100"/>
              <w:jc w:val="left"/>
              <w:rPr>
                <w:bCs/>
                <w:color w:val="000000" w:themeColor="text1"/>
              </w:rPr>
            </w:pPr>
            <w:r>
              <w:rPr>
                <w:bCs/>
                <w:color w:val="000000" w:themeColor="text1"/>
              </w:rPr>
              <w:t>（7）系统支持资源及时更新，可以对更新的资源模块进行及时下载和学习，避免重新安装系统等繁琐操作。</w:t>
            </w:r>
          </w:p>
          <w:p>
            <w:pPr>
              <w:ind w:right="210"/>
              <w:jc w:val="left"/>
              <w:rPr>
                <w:b/>
                <w:color w:val="000000" w:themeColor="text1"/>
              </w:rPr>
            </w:pPr>
            <w:r>
              <w:rPr>
                <w:b/>
                <w:color w:val="000000" w:themeColor="text1"/>
              </w:rPr>
              <w:t>（二）模块清单</w:t>
            </w:r>
          </w:p>
          <w:p>
            <w:pPr>
              <w:ind w:right="210" w:firstLine="420" w:firstLineChars="200"/>
              <w:jc w:val="left"/>
              <w:rPr>
                <w:bCs/>
                <w:color w:val="000000" w:themeColor="text1"/>
              </w:rPr>
            </w:pPr>
            <w:r>
              <w:rPr>
                <w:bCs/>
                <w:color w:val="000000" w:themeColor="text1"/>
              </w:rPr>
              <w:t>平台须至少包含钢结构识图、钢结构材料介绍、钢结构构件制作、构件施工安装与涂装四个基本模块的三维仿真、题库、案例资料等教学资源。系统还需配置钢结构应用案例用于课堂案例教学。各模块的需求如下：</w:t>
            </w:r>
          </w:p>
          <w:p>
            <w:pPr>
              <w:ind w:right="210" w:firstLine="210" w:firstLineChars="100"/>
              <w:jc w:val="left"/>
              <w:rPr>
                <w:bCs/>
                <w:color w:val="000000" w:themeColor="text1"/>
              </w:rPr>
            </w:pPr>
            <w:r>
              <w:rPr>
                <w:bCs/>
                <w:color w:val="000000" w:themeColor="text1"/>
              </w:rPr>
              <w:t>1、钢结构识图</w:t>
            </w:r>
          </w:p>
          <w:p>
            <w:pPr>
              <w:ind w:right="210" w:firstLine="210" w:firstLineChars="100"/>
              <w:jc w:val="left"/>
              <w:rPr>
                <w:bCs/>
                <w:color w:val="000000" w:themeColor="text1"/>
              </w:rPr>
            </w:pPr>
            <w:r>
              <w:rPr>
                <w:bCs/>
                <w:color w:val="000000" w:themeColor="text1"/>
              </w:rPr>
              <w:t>（1）施工图</w:t>
            </w:r>
          </w:p>
          <w:p>
            <w:pPr>
              <w:ind w:right="210" w:firstLine="630" w:firstLineChars="300"/>
              <w:jc w:val="left"/>
              <w:rPr>
                <w:bCs/>
                <w:color w:val="000000" w:themeColor="text1"/>
              </w:rPr>
            </w:pPr>
            <w:r>
              <w:rPr>
                <w:rFonts w:hint="eastAsia"/>
                <w:bCs/>
                <w:color w:val="000000" w:themeColor="text1"/>
              </w:rPr>
              <w:t>须包含</w:t>
            </w:r>
            <w:r>
              <w:rPr>
                <w:bCs/>
                <w:color w:val="000000" w:themeColor="text1"/>
              </w:rPr>
              <w:t>门式刚架</w:t>
            </w:r>
            <w:r>
              <w:rPr>
                <w:rFonts w:hint="eastAsia"/>
                <w:bCs/>
                <w:color w:val="000000" w:themeColor="text1"/>
              </w:rPr>
              <w:t>、</w:t>
            </w:r>
            <w:r>
              <w:rPr>
                <w:bCs/>
                <w:color w:val="000000" w:themeColor="text1"/>
              </w:rPr>
              <w:t>钢结构框架</w:t>
            </w:r>
            <w:r>
              <w:rPr>
                <w:rFonts w:hint="eastAsia"/>
                <w:bCs/>
                <w:color w:val="000000" w:themeColor="text1"/>
              </w:rPr>
              <w:t>、</w:t>
            </w:r>
            <w:r>
              <w:rPr>
                <w:bCs/>
                <w:color w:val="000000" w:themeColor="text1"/>
              </w:rPr>
              <w:t>钢结构网架</w:t>
            </w:r>
          </w:p>
          <w:p>
            <w:pPr>
              <w:ind w:right="210" w:firstLine="210" w:firstLineChars="100"/>
              <w:jc w:val="left"/>
              <w:rPr>
                <w:bCs/>
                <w:color w:val="000000" w:themeColor="text1"/>
              </w:rPr>
            </w:pPr>
            <w:r>
              <w:rPr>
                <w:bCs/>
                <w:color w:val="000000" w:themeColor="text1"/>
              </w:rPr>
              <w:t>（2）构件图</w:t>
            </w:r>
          </w:p>
          <w:p>
            <w:pPr>
              <w:ind w:right="210" w:firstLine="630" w:firstLineChars="300"/>
              <w:jc w:val="left"/>
              <w:rPr>
                <w:bCs/>
                <w:color w:val="000000" w:themeColor="text1"/>
              </w:rPr>
            </w:pPr>
            <w:r>
              <w:rPr>
                <w:rFonts w:hint="eastAsia"/>
                <w:bCs/>
                <w:color w:val="000000" w:themeColor="text1"/>
              </w:rPr>
              <w:t>须包含</w:t>
            </w:r>
            <w:r>
              <w:rPr>
                <w:bCs/>
                <w:color w:val="000000" w:themeColor="text1"/>
              </w:rPr>
              <w:t>钢柱</w:t>
            </w:r>
            <w:r>
              <w:rPr>
                <w:rFonts w:hint="eastAsia"/>
                <w:bCs/>
                <w:color w:val="000000" w:themeColor="text1"/>
              </w:rPr>
              <w:t>、</w:t>
            </w:r>
            <w:r>
              <w:rPr>
                <w:bCs/>
                <w:color w:val="000000" w:themeColor="text1"/>
              </w:rPr>
              <w:t>钢梁</w:t>
            </w:r>
            <w:r>
              <w:rPr>
                <w:rFonts w:hint="eastAsia"/>
                <w:bCs/>
                <w:color w:val="000000" w:themeColor="text1"/>
              </w:rPr>
              <w:t>、</w:t>
            </w:r>
            <w:r>
              <w:rPr>
                <w:bCs/>
                <w:color w:val="000000" w:themeColor="text1"/>
              </w:rPr>
              <w:t xml:space="preserve"> 楼梯</w:t>
            </w:r>
          </w:p>
          <w:p>
            <w:pPr>
              <w:ind w:right="210" w:firstLine="210" w:firstLineChars="100"/>
              <w:jc w:val="left"/>
              <w:rPr>
                <w:bCs/>
                <w:color w:val="000000" w:themeColor="text1"/>
              </w:rPr>
            </w:pPr>
            <w:r>
              <w:rPr>
                <w:bCs/>
                <w:color w:val="000000" w:themeColor="text1"/>
              </w:rPr>
              <w:t>（3）节点详图</w:t>
            </w:r>
          </w:p>
          <w:p>
            <w:pPr>
              <w:ind w:right="210" w:firstLine="630" w:firstLineChars="300"/>
              <w:jc w:val="left"/>
              <w:rPr>
                <w:bCs/>
                <w:color w:val="000000" w:themeColor="text1"/>
              </w:rPr>
            </w:pPr>
            <w:r>
              <w:rPr>
                <w:rFonts w:hint="eastAsia"/>
                <w:bCs/>
                <w:color w:val="000000" w:themeColor="text1"/>
              </w:rPr>
              <w:t>须包含</w:t>
            </w:r>
            <w:r>
              <w:rPr>
                <w:bCs/>
                <w:color w:val="000000" w:themeColor="text1"/>
              </w:rPr>
              <w:t>柱脚节点、梁柱节点、梁梁节点、支撑节点、拼接节点</w:t>
            </w:r>
          </w:p>
          <w:p>
            <w:pPr>
              <w:ind w:right="210" w:firstLine="210" w:firstLineChars="100"/>
              <w:jc w:val="left"/>
              <w:rPr>
                <w:bCs/>
                <w:color w:val="000000" w:themeColor="text1"/>
              </w:rPr>
            </w:pPr>
            <w:r>
              <w:rPr>
                <w:bCs/>
                <w:color w:val="000000" w:themeColor="text1"/>
              </w:rPr>
              <w:t>2、钢结构材料介绍</w:t>
            </w:r>
          </w:p>
          <w:p>
            <w:pPr>
              <w:ind w:right="210" w:firstLine="210" w:firstLineChars="100"/>
              <w:jc w:val="left"/>
              <w:rPr>
                <w:bCs/>
                <w:color w:val="000000" w:themeColor="text1"/>
              </w:rPr>
            </w:pPr>
            <w:r>
              <w:rPr>
                <w:bCs/>
                <w:color w:val="000000" w:themeColor="text1"/>
              </w:rPr>
              <w:t>（1）钢结构承重材料</w:t>
            </w:r>
          </w:p>
          <w:p>
            <w:pPr>
              <w:ind w:right="210" w:firstLine="210" w:firstLineChars="100"/>
              <w:jc w:val="left"/>
              <w:rPr>
                <w:bCs/>
                <w:color w:val="000000" w:themeColor="text1"/>
              </w:rPr>
            </w:pPr>
            <w:r>
              <w:rPr>
                <w:bCs/>
                <w:color w:val="000000" w:themeColor="text1"/>
              </w:rPr>
              <w:t>（2）钢结构焊接材料</w:t>
            </w:r>
          </w:p>
          <w:p>
            <w:pPr>
              <w:ind w:right="210" w:firstLine="210" w:firstLineChars="100"/>
              <w:jc w:val="left"/>
              <w:rPr>
                <w:bCs/>
                <w:color w:val="000000" w:themeColor="text1"/>
              </w:rPr>
            </w:pPr>
            <w:r>
              <w:rPr>
                <w:bCs/>
                <w:color w:val="000000" w:themeColor="text1"/>
              </w:rPr>
              <w:t>（3）钢结构连接紧固件</w:t>
            </w:r>
          </w:p>
          <w:p>
            <w:pPr>
              <w:ind w:right="210" w:firstLine="210" w:firstLineChars="100"/>
              <w:jc w:val="left"/>
              <w:rPr>
                <w:bCs/>
                <w:color w:val="000000" w:themeColor="text1"/>
              </w:rPr>
            </w:pPr>
            <w:r>
              <w:rPr>
                <w:bCs/>
                <w:color w:val="000000" w:themeColor="text1"/>
              </w:rPr>
              <w:t>3、钢结构构件制作</w:t>
            </w:r>
          </w:p>
          <w:p>
            <w:pPr>
              <w:ind w:right="210" w:firstLine="210" w:firstLineChars="100"/>
              <w:jc w:val="left"/>
              <w:rPr>
                <w:bCs/>
                <w:color w:val="000000" w:themeColor="text1"/>
              </w:rPr>
            </w:pPr>
            <w:r>
              <w:rPr>
                <w:bCs/>
                <w:color w:val="000000" w:themeColor="text1"/>
              </w:rPr>
              <w:t>（1）钢结构工厂与设备介绍</w:t>
            </w:r>
          </w:p>
          <w:p>
            <w:pPr>
              <w:ind w:right="210" w:firstLine="210" w:firstLineChars="100"/>
              <w:jc w:val="left"/>
              <w:rPr>
                <w:bCs/>
                <w:color w:val="000000" w:themeColor="text1"/>
              </w:rPr>
            </w:pPr>
            <w:r>
              <w:rPr>
                <w:bCs/>
                <w:color w:val="000000" w:themeColor="text1"/>
              </w:rPr>
              <w:t>（</w:t>
            </w:r>
            <w:r>
              <w:rPr>
                <w:rFonts w:hint="eastAsia"/>
                <w:bCs/>
                <w:color w:val="000000" w:themeColor="text1"/>
              </w:rPr>
              <w:t>2</w:t>
            </w:r>
            <w:r>
              <w:rPr>
                <w:bCs/>
                <w:color w:val="000000" w:themeColor="text1"/>
              </w:rPr>
              <w:t>）构件制作</w:t>
            </w:r>
          </w:p>
          <w:p>
            <w:pPr>
              <w:ind w:right="210" w:firstLine="210" w:firstLineChars="100"/>
              <w:jc w:val="left"/>
              <w:rPr>
                <w:bCs/>
                <w:color w:val="000000" w:themeColor="text1"/>
              </w:rPr>
            </w:pPr>
            <w:r>
              <w:rPr>
                <w:rFonts w:hint="eastAsia"/>
                <w:bCs/>
                <w:color w:val="000000" w:themeColor="text1"/>
              </w:rPr>
              <w:t>须包含</w:t>
            </w:r>
            <w:r>
              <w:rPr>
                <w:bCs/>
                <w:color w:val="000000" w:themeColor="text1"/>
              </w:rPr>
              <w:t>焊接H型钢柱制作、焊接箱型柱制作、构件预拼装</w:t>
            </w:r>
            <w:r>
              <w:rPr>
                <w:rFonts w:hint="eastAsia"/>
                <w:bCs/>
                <w:color w:val="000000" w:themeColor="text1"/>
              </w:rPr>
              <w:t>的微课教学与虚拟仿真互动。</w:t>
            </w:r>
          </w:p>
          <w:p>
            <w:pPr>
              <w:ind w:right="210" w:firstLine="210" w:firstLineChars="100"/>
              <w:jc w:val="left"/>
              <w:rPr>
                <w:bCs/>
                <w:color w:val="000000" w:themeColor="text1"/>
              </w:rPr>
            </w:pPr>
            <w:r>
              <w:rPr>
                <w:bCs/>
                <w:color w:val="000000" w:themeColor="text1"/>
              </w:rPr>
              <w:t>4、构件施工安装与涂装</w:t>
            </w:r>
          </w:p>
          <w:p>
            <w:pPr>
              <w:ind w:right="210" w:firstLine="210" w:firstLineChars="100"/>
              <w:jc w:val="left"/>
              <w:rPr>
                <w:bCs/>
                <w:color w:val="000000" w:themeColor="text1"/>
              </w:rPr>
            </w:pPr>
            <w:r>
              <w:rPr>
                <w:bCs/>
                <w:color w:val="000000" w:themeColor="text1"/>
              </w:rPr>
              <w:t>（1）单层钢结构工业厂房施工</w:t>
            </w:r>
          </w:p>
          <w:p>
            <w:pPr>
              <w:ind w:right="210" w:firstLine="210" w:firstLineChars="100"/>
              <w:jc w:val="left"/>
              <w:rPr>
                <w:bCs/>
                <w:color w:val="000000" w:themeColor="text1"/>
              </w:rPr>
            </w:pPr>
            <w:r>
              <w:rPr>
                <w:bCs/>
                <w:color w:val="000000" w:themeColor="text1"/>
              </w:rPr>
              <w:t>（2）高层装配式钢结构住宅施工</w:t>
            </w:r>
          </w:p>
          <w:p>
            <w:pPr>
              <w:ind w:right="210" w:firstLine="210" w:firstLineChars="100"/>
              <w:jc w:val="left"/>
              <w:rPr>
                <w:bCs/>
                <w:color w:val="000000" w:themeColor="text1"/>
              </w:rPr>
            </w:pPr>
            <w:r>
              <w:rPr>
                <w:bCs/>
                <w:color w:val="000000" w:themeColor="text1"/>
              </w:rPr>
              <w:t>（3）超高层钢结构建筑施工</w:t>
            </w:r>
          </w:p>
          <w:p>
            <w:pPr>
              <w:ind w:right="210" w:firstLine="210" w:firstLineChars="100"/>
              <w:jc w:val="left"/>
              <w:rPr>
                <w:bCs/>
                <w:color w:val="000000" w:themeColor="text1"/>
              </w:rPr>
            </w:pPr>
            <w:r>
              <w:rPr>
                <w:bCs/>
                <w:color w:val="000000" w:themeColor="text1"/>
              </w:rPr>
              <w:t>（4）大跨度空间钢结构施工</w:t>
            </w:r>
          </w:p>
          <w:p>
            <w:pPr>
              <w:ind w:right="210" w:firstLine="210" w:firstLineChars="100"/>
              <w:jc w:val="left"/>
              <w:rPr>
                <w:bCs/>
                <w:color w:val="000000" w:themeColor="text1"/>
              </w:rPr>
            </w:pPr>
            <w:r>
              <w:rPr>
                <w:bCs/>
                <w:color w:val="000000" w:themeColor="text1"/>
              </w:rPr>
              <w:t>（5）钢结构除锈</w:t>
            </w:r>
            <w:r>
              <w:rPr>
                <w:rFonts w:hint="eastAsia"/>
                <w:bCs/>
                <w:color w:val="000000" w:themeColor="text1"/>
              </w:rPr>
              <w:t>、</w:t>
            </w:r>
            <w:r>
              <w:rPr>
                <w:bCs/>
                <w:color w:val="000000" w:themeColor="text1"/>
              </w:rPr>
              <w:t>喷漆与防火涂料施工</w:t>
            </w:r>
          </w:p>
          <w:p>
            <w:pPr>
              <w:ind w:right="210" w:firstLine="210" w:firstLineChars="100"/>
              <w:jc w:val="left"/>
              <w:rPr>
                <w:bCs/>
                <w:color w:val="000000" w:themeColor="text1"/>
              </w:rPr>
            </w:pPr>
            <w:r>
              <w:rPr>
                <w:bCs/>
                <w:color w:val="000000" w:themeColor="text1"/>
              </w:rPr>
              <w:t>5、钢结构应用案例</w:t>
            </w:r>
          </w:p>
          <w:p>
            <w:pPr>
              <w:pStyle w:val="2"/>
              <w:ind w:firstLine="210" w:firstLineChars="100"/>
              <w:rPr>
                <w:rFonts w:ascii="宋体" w:hAnsi="宋体" w:eastAsia="宋体"/>
                <w:color w:val="000000" w:themeColor="text1"/>
                <w:sz w:val="21"/>
                <w:szCs w:val="21"/>
              </w:rPr>
            </w:pPr>
            <w:r>
              <w:rPr>
                <w:rFonts w:hint="eastAsia" w:ascii="宋体" w:hAnsi="宋体" w:eastAsia="宋体"/>
                <w:color w:val="000000" w:themeColor="text1"/>
                <w:sz w:val="21"/>
                <w:szCs w:val="21"/>
              </w:rPr>
              <w:t>须至少包含一个钢结构工程应用案例。</w:t>
            </w:r>
          </w:p>
        </w:tc>
        <w:tc>
          <w:tcPr>
            <w:tcW w:w="850" w:type="dxa"/>
            <w:vAlign w:val="center"/>
          </w:tcPr>
          <w:p>
            <w:pPr>
              <w:ind w:right="210"/>
              <w:jc w:val="center"/>
              <w:rPr>
                <w:rFonts w:cs="宋体" w:asciiTheme="minorEastAsia" w:hAnsiTheme="minorEastAsia"/>
                <w:bCs/>
                <w:color w:val="000000" w:themeColor="text1"/>
              </w:rPr>
            </w:pPr>
            <w:r>
              <w:rPr>
                <w:rFonts w:hint="eastAsia" w:cs="宋体" w:asciiTheme="minorEastAsia" w:hAnsiTheme="minorEastAsia"/>
                <w:bCs/>
                <w:color w:val="000000" w:themeColor="text1"/>
              </w:rPr>
              <w:t>5</w:t>
            </w:r>
            <w:r>
              <w:rPr>
                <w:rFonts w:cs="宋体" w:asciiTheme="minorEastAsia" w:hAnsiTheme="minorEastAsia"/>
                <w:bCs/>
                <w:color w:val="000000" w:themeColor="text1"/>
              </w:rPr>
              <w:t>0</w:t>
            </w:r>
            <w:r>
              <w:rPr>
                <w:rFonts w:hint="eastAsia" w:cs="宋体" w:asciiTheme="minorEastAsia" w:hAnsiTheme="minorEastAsia"/>
                <w:bCs/>
                <w:color w:val="000000" w:themeColor="text1"/>
              </w:rPr>
              <w:t>节点</w:t>
            </w:r>
          </w:p>
        </w:tc>
      </w:tr>
    </w:tbl>
    <w:p>
      <w:pPr>
        <w:spacing w:line="400" w:lineRule="exact"/>
        <w:jc w:val="left"/>
        <w:rPr>
          <w:rFonts w:ascii="宋体" w:hAnsi="宋体" w:cs="宋体"/>
          <w:b/>
          <w:color w:val="000000" w:themeColor="text1"/>
          <w:szCs w:val="24"/>
        </w:rPr>
      </w:pPr>
      <w:r>
        <w:rPr>
          <w:rFonts w:hint="eastAsia" w:ascii="宋体" w:hAnsi="宋体" w:cs="宋体"/>
          <w:b/>
          <w:color w:val="000000" w:themeColor="text1"/>
          <w:szCs w:val="24"/>
        </w:rPr>
        <w:t>备注：</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1、投标费用包括乙方安装、调试、培训、质保期服务、各项税费、交通费、管理费及合同实施过程中不可预见费用等。</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2、货物名称内容必须与投标文件中货物名称内容一致。</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3、本项目需开具增值税专用发票。</w:t>
      </w:r>
    </w:p>
    <w:p>
      <w:pPr>
        <w:pStyle w:val="2"/>
        <w:ind w:firstLine="210" w:firstLineChars="100"/>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4、投标人须提供响应本项目各条技术要求的软件操作界面截图或其他佐证材料以及技术参数偏离表。</w:t>
      </w:r>
    </w:p>
    <w:p>
      <w:pPr>
        <w:pStyle w:val="40"/>
        <w:spacing w:before="0" w:beforeAutospacing="0" w:after="0" w:afterAutospacing="0"/>
        <w:ind w:firstLine="420"/>
        <w:rPr>
          <w:color w:val="000000" w:themeColor="text1"/>
          <w:kern w:val="2"/>
        </w:rPr>
      </w:pPr>
      <w:r>
        <w:rPr>
          <w:rFonts w:hint="eastAsia"/>
          <w:b/>
          <w:bCs/>
          <w:color w:val="000000" w:themeColor="text1"/>
          <w:kern w:val="2"/>
        </w:rPr>
        <w:t>二、售后服务及质保要求</w:t>
      </w:r>
    </w:p>
    <w:p>
      <w:pPr>
        <w:adjustRightInd w:val="0"/>
        <w:snapToGrid w:val="0"/>
        <w:spacing w:line="360" w:lineRule="auto"/>
        <w:ind w:firstLine="480" w:firstLineChars="200"/>
        <w:rPr>
          <w:rFonts w:ascii="宋体" w:hAnsi="宋体" w:cs="宋体"/>
          <w:color w:val="000000" w:themeColor="text1"/>
          <w:sz w:val="24"/>
          <w:szCs w:val="24"/>
        </w:rPr>
      </w:pPr>
      <w:bookmarkStart w:id="211" w:name="_Toc4016"/>
      <w:r>
        <w:rPr>
          <w:rFonts w:hint="eastAsia" w:ascii="宋体" w:hAnsi="宋体" w:cs="宋体"/>
          <w:color w:val="000000" w:themeColor="text1"/>
          <w:sz w:val="24"/>
          <w:szCs w:val="24"/>
        </w:rPr>
        <w:t>1、按照国家规定的标准和标书规定的标准执行。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2、按招标文件规定的软件技术要求、质量标准向采购方提供未经使用的全新产品。并向甲方提供质量保证书、出厂合格证。</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3、供应商提供的软件在质保期内因本身的质量问题发生故障，乙方应负责免费维修。供应商应对提供的软件免费安装、免费调试、免费培训、免费提供软件学习资料。</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4、软件如在使用过程中发生质量问题，供应商应在接到采购方通知后24小时内到达现场。</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  5、质保期五年，质保期内乙方应对软件免费升级，质保期满软件如需升级，升级费用不得超过软件合同价与当期价中较低值的10%。</w:t>
      </w:r>
    </w:p>
    <w:p>
      <w:pPr>
        <w:pStyle w:val="2"/>
      </w:pPr>
    </w:p>
    <w:p/>
    <w:p>
      <w:pPr>
        <w:pStyle w:val="2"/>
      </w:pPr>
    </w:p>
    <w:p/>
    <w:p>
      <w:pPr>
        <w:pStyle w:val="2"/>
      </w:pPr>
    </w:p>
    <w:p/>
    <w:p>
      <w:pPr>
        <w:pStyle w:val="2"/>
      </w:pPr>
    </w:p>
    <w:p/>
    <w:p>
      <w:pPr>
        <w:pStyle w:val="2"/>
      </w:pPr>
    </w:p>
    <w:p/>
    <w:p>
      <w:pPr>
        <w:pStyle w:val="2"/>
      </w:pPr>
    </w:p>
    <w:p/>
    <w:p>
      <w:pPr>
        <w:pStyle w:val="40"/>
        <w:jc w:val="center"/>
        <w:outlineLvl w:val="0"/>
        <w:rPr>
          <w:b/>
          <w:color w:val="000000" w:themeColor="text1"/>
          <w:sz w:val="44"/>
        </w:rPr>
      </w:pPr>
      <w:r>
        <w:rPr>
          <w:rFonts w:hint="eastAsia"/>
          <w:b/>
          <w:color w:val="000000" w:themeColor="text1"/>
          <w:sz w:val="44"/>
        </w:rPr>
        <w:t>第五章  评标方法与评标标准</w:t>
      </w:r>
      <w:bookmarkEnd w:id="211"/>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一、评标方法与定标原则</w:t>
      </w:r>
    </w:p>
    <w:p>
      <w:pPr>
        <w:snapToGrid w:val="0"/>
        <w:spacing w:line="500" w:lineRule="exact"/>
        <w:ind w:firstLine="480" w:firstLineChars="200"/>
        <w:rPr>
          <w:rStyle w:val="115"/>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40"/>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40"/>
        <w:spacing w:before="0" w:beforeAutospacing="0" w:after="0" w:afterAutospacing="0"/>
        <w:ind w:firstLine="480" w:firstLineChars="200"/>
        <w:rPr>
          <w:b/>
          <w:bCs/>
          <w:color w:val="00B0F0"/>
          <w:u w:val="single"/>
        </w:rPr>
      </w:pPr>
      <w:r>
        <w:rPr>
          <w:rFonts w:hint="eastAsia"/>
          <w:bCs/>
        </w:rPr>
        <w:t>（3）企业标准请参照《关于印发中小企业划型标准规定的通知》（工信部联企业[2011]300号）文件规定自行填写。</w:t>
      </w:r>
      <w:r>
        <w:rPr>
          <w:rFonts w:hint="eastAsia"/>
          <w:b/>
        </w:rPr>
        <w:t>本采购标的的所属行业为软件和信息技术服务业</w:t>
      </w:r>
      <w:r>
        <w:rPr>
          <w:rFonts w:hint="eastAsia"/>
          <w:bCs/>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二、评标标准</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本项目评分总分值为100分。</w:t>
      </w:r>
    </w:p>
    <w:tbl>
      <w:tblPr>
        <w:tblStyle w:val="4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0"/>
        <w:gridCol w:w="1046"/>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26" w:type="dxa"/>
            <w:vAlign w:val="center"/>
          </w:tcPr>
          <w:p>
            <w:pPr>
              <w:jc w:val="center"/>
              <w:rPr>
                <w:color w:val="000000"/>
              </w:rPr>
            </w:pPr>
            <w:r>
              <w:rPr>
                <w:color w:val="000000"/>
              </w:rPr>
              <w:t>序号</w:t>
            </w:r>
          </w:p>
        </w:tc>
        <w:tc>
          <w:tcPr>
            <w:tcW w:w="860" w:type="dxa"/>
            <w:vAlign w:val="center"/>
          </w:tcPr>
          <w:p>
            <w:pPr>
              <w:jc w:val="center"/>
              <w:rPr>
                <w:color w:val="000000"/>
              </w:rPr>
            </w:pPr>
            <w:r>
              <w:rPr>
                <w:color w:val="000000"/>
              </w:rPr>
              <w:t>评分</w:t>
            </w:r>
          </w:p>
          <w:p>
            <w:pPr>
              <w:jc w:val="center"/>
              <w:rPr>
                <w:color w:val="000000"/>
              </w:rPr>
            </w:pPr>
            <w:r>
              <w:rPr>
                <w:color w:val="000000"/>
              </w:rPr>
              <w:t>因素</w:t>
            </w:r>
          </w:p>
        </w:tc>
        <w:tc>
          <w:tcPr>
            <w:tcW w:w="1046" w:type="dxa"/>
            <w:vAlign w:val="center"/>
          </w:tcPr>
          <w:p>
            <w:pPr>
              <w:jc w:val="center"/>
              <w:rPr>
                <w:color w:val="000000"/>
              </w:rPr>
            </w:pPr>
            <w:r>
              <w:rPr>
                <w:color w:val="000000"/>
              </w:rPr>
              <w:t>分值</w:t>
            </w:r>
          </w:p>
        </w:tc>
        <w:tc>
          <w:tcPr>
            <w:tcW w:w="7161" w:type="dxa"/>
            <w:vAlign w:val="center"/>
          </w:tcPr>
          <w:p>
            <w:pPr>
              <w:jc w:val="center"/>
              <w:rPr>
                <w:color w:val="000000"/>
              </w:rPr>
            </w:pPr>
            <w:r>
              <w:rPr>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79" w:hRule="atLeast"/>
          <w:jc w:val="center"/>
        </w:trPr>
        <w:tc>
          <w:tcPr>
            <w:tcW w:w="426" w:type="dxa"/>
            <w:vAlign w:val="center"/>
          </w:tcPr>
          <w:p>
            <w:pPr>
              <w:jc w:val="center"/>
              <w:rPr>
                <w:color w:val="000000"/>
              </w:rPr>
            </w:pPr>
            <w:r>
              <w:rPr>
                <w:color w:val="000000"/>
              </w:rPr>
              <w:t>1</w:t>
            </w:r>
          </w:p>
        </w:tc>
        <w:tc>
          <w:tcPr>
            <w:tcW w:w="860" w:type="dxa"/>
            <w:vAlign w:val="center"/>
          </w:tcPr>
          <w:p>
            <w:pPr>
              <w:jc w:val="center"/>
              <w:rPr>
                <w:color w:val="000000"/>
              </w:rPr>
            </w:pPr>
            <w:r>
              <w:rPr>
                <w:color w:val="000000"/>
              </w:rPr>
              <w:t>价格部分</w:t>
            </w:r>
          </w:p>
          <w:p>
            <w:pPr>
              <w:rPr>
                <w:color w:val="000000"/>
              </w:rPr>
            </w:pPr>
            <w:r>
              <w:rPr>
                <w:color w:val="000000"/>
              </w:rPr>
              <w:t>（50分）</w:t>
            </w:r>
          </w:p>
        </w:tc>
        <w:tc>
          <w:tcPr>
            <w:tcW w:w="1046" w:type="dxa"/>
            <w:vAlign w:val="center"/>
          </w:tcPr>
          <w:p>
            <w:pPr>
              <w:jc w:val="center"/>
              <w:rPr>
                <w:color w:val="000000"/>
              </w:rPr>
            </w:pPr>
            <w:r>
              <w:rPr>
                <w:color w:val="000000"/>
              </w:rPr>
              <w:t>投标报价</w:t>
            </w:r>
          </w:p>
          <w:p>
            <w:pPr>
              <w:jc w:val="center"/>
              <w:rPr>
                <w:color w:val="000000"/>
              </w:rPr>
            </w:pPr>
            <w:r>
              <w:rPr>
                <w:color w:val="000000"/>
              </w:rPr>
              <w:t>（50分）</w:t>
            </w:r>
          </w:p>
        </w:tc>
        <w:tc>
          <w:tcPr>
            <w:tcW w:w="7161" w:type="dxa"/>
            <w:vAlign w:val="center"/>
          </w:tcPr>
          <w:p>
            <w:pPr>
              <w:spacing w:line="320" w:lineRule="exact"/>
              <w:ind w:firstLine="420" w:firstLineChars="200"/>
              <w:rPr>
                <w:rFonts w:ascii="宋体" w:hAnsi="宋体" w:cs="宋体"/>
                <w:color w:val="000000" w:themeColor="text1"/>
              </w:rPr>
            </w:pPr>
            <w:r>
              <w:rPr>
                <w:rFonts w:hint="eastAsia" w:ascii="宋体" w:hAnsi="宋体" w:cs="宋体"/>
                <w:color w:val="000000" w:themeColor="text1"/>
              </w:rPr>
              <w:t>所有有效投标报价中满足招标文件要求，价格最低的投标报价为评标基准价，其价格分为50分，其他投标人的价格分按照下列公式计算（计算结果四舍五入保留两位小数）。</w:t>
            </w:r>
          </w:p>
          <w:p>
            <w:pPr>
              <w:rPr>
                <w:color w:val="000000"/>
              </w:rPr>
            </w:pPr>
            <w:r>
              <w:rPr>
                <w:rFonts w:hint="eastAsia" w:ascii="宋体" w:hAnsi="宋体" w:cs="宋体"/>
                <w:color w:val="000000" w:themeColor="text1"/>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94" w:hRule="atLeast"/>
          <w:jc w:val="center"/>
        </w:trPr>
        <w:tc>
          <w:tcPr>
            <w:tcW w:w="426" w:type="dxa"/>
            <w:vMerge w:val="restart"/>
            <w:vAlign w:val="center"/>
          </w:tcPr>
          <w:p>
            <w:pPr>
              <w:jc w:val="center"/>
              <w:rPr>
                <w:color w:val="000000"/>
              </w:rPr>
            </w:pPr>
            <w:r>
              <w:rPr>
                <w:color w:val="000000"/>
              </w:rPr>
              <w:t>2</w:t>
            </w:r>
          </w:p>
        </w:tc>
        <w:tc>
          <w:tcPr>
            <w:tcW w:w="860" w:type="dxa"/>
            <w:vMerge w:val="restart"/>
            <w:vAlign w:val="center"/>
          </w:tcPr>
          <w:p>
            <w:pPr>
              <w:rPr>
                <w:color w:val="000000"/>
              </w:rPr>
            </w:pPr>
            <w:r>
              <w:rPr>
                <w:color w:val="000000"/>
              </w:rPr>
              <w:t>商务部分</w:t>
            </w:r>
          </w:p>
          <w:p>
            <w:pPr>
              <w:rPr>
                <w:color w:val="000000"/>
              </w:rPr>
            </w:pPr>
            <w:r>
              <w:rPr>
                <w:color w:val="000000"/>
              </w:rPr>
              <w:t>（20分）</w:t>
            </w:r>
          </w:p>
        </w:tc>
        <w:tc>
          <w:tcPr>
            <w:tcW w:w="1046" w:type="dxa"/>
            <w:vAlign w:val="center"/>
          </w:tcPr>
          <w:p>
            <w:pPr>
              <w:jc w:val="center"/>
              <w:rPr>
                <w:color w:val="000000"/>
              </w:rPr>
            </w:pPr>
            <w:r>
              <w:rPr>
                <w:rFonts w:hint="eastAsia"/>
              </w:rPr>
              <w:t>技术安全保障</w:t>
            </w:r>
            <w:r>
              <w:t>（5分）</w:t>
            </w:r>
          </w:p>
        </w:tc>
        <w:tc>
          <w:tcPr>
            <w:tcW w:w="7161" w:type="dxa"/>
            <w:vAlign w:val="center"/>
          </w:tcPr>
          <w:p>
            <w:pPr>
              <w:rPr>
                <w:color w:val="000000" w:themeColor="text1"/>
              </w:rPr>
            </w:pPr>
            <w:r>
              <w:rPr>
                <w:rFonts w:hint="eastAsia"/>
              </w:rPr>
              <w:t>（</w:t>
            </w:r>
            <w:r>
              <w:rPr>
                <w:rFonts w:hint="eastAsia"/>
                <w:color w:val="000000" w:themeColor="text1"/>
              </w:rPr>
              <w:t>1）具备有效期内的信息安全管理体系认证证书加2分。</w:t>
            </w:r>
          </w:p>
          <w:p>
            <w:pPr>
              <w:rPr>
                <w:color w:val="000000" w:themeColor="text1"/>
              </w:rPr>
            </w:pPr>
            <w:r>
              <w:rPr>
                <w:rFonts w:hint="eastAsia"/>
                <w:color w:val="000000" w:themeColor="text1"/>
              </w:rPr>
              <w:t>（2）具有信息系统安全等级保护备案证明二级及以上的加3分。</w:t>
            </w:r>
          </w:p>
          <w:p>
            <w:pPr>
              <w:rPr>
                <w:color w:val="000000"/>
              </w:rPr>
            </w:pPr>
            <w:r>
              <w:rPr>
                <w:rFonts w:hint="eastAsia"/>
                <w:color w:val="000000" w:themeColor="text1"/>
              </w:rPr>
              <w:t>评审依据：需提供证书扫描件加盖投标单位公章。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75"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jc w:val="center"/>
              <w:rPr>
                <w:color w:val="000000"/>
              </w:rPr>
            </w:pPr>
            <w:r>
              <w:rPr>
                <w:color w:val="000000"/>
              </w:rPr>
              <w:t>软件升级</w:t>
            </w:r>
          </w:p>
          <w:p>
            <w:pPr>
              <w:jc w:val="center"/>
              <w:rPr>
                <w:color w:val="000000"/>
              </w:rPr>
            </w:pPr>
            <w:r>
              <w:rPr>
                <w:color w:val="000000"/>
              </w:rPr>
              <w:t>服务</w:t>
            </w:r>
          </w:p>
          <w:p>
            <w:pPr>
              <w:jc w:val="center"/>
              <w:rPr>
                <w:color w:val="000000"/>
              </w:rPr>
            </w:pPr>
            <w:r>
              <w:rPr>
                <w:color w:val="000000"/>
              </w:rPr>
              <w:t>（5分）</w:t>
            </w:r>
          </w:p>
        </w:tc>
        <w:tc>
          <w:tcPr>
            <w:tcW w:w="7161" w:type="dxa"/>
            <w:vAlign w:val="center"/>
          </w:tcPr>
          <w:p>
            <w:pPr>
              <w:rPr>
                <w:color w:val="000000"/>
              </w:rPr>
            </w:pPr>
            <w:r>
              <w:rPr>
                <w:rFonts w:hint="eastAsia"/>
                <w:color w:val="000000"/>
              </w:rPr>
              <w:t>（1）投标人提供的所有软件产品不涉及知识产权纠纷，质保期内软件不限版本不限次数升级和维护（不收取额外费用），投标人负责保修其产品及其附件（非收费上门服务），质保期满若提供永久免费升级服务，得3分；升级费用不超过软件合同价与当期价中较低值的10%的，得2分。</w:t>
            </w:r>
          </w:p>
          <w:p>
            <w:pPr>
              <w:rPr>
                <w:color w:val="000000"/>
              </w:rPr>
            </w:pPr>
            <w:r>
              <w:rPr>
                <w:rFonts w:hint="eastAsia"/>
                <w:color w:val="000000"/>
              </w:rPr>
              <w:t>（2）</w:t>
            </w:r>
            <w:r>
              <w:rPr>
                <w:color w:val="000000"/>
              </w:rPr>
              <w:t>如</w:t>
            </w:r>
            <w:r>
              <w:rPr>
                <w:rFonts w:hint="eastAsia"/>
                <w:color w:val="000000"/>
              </w:rPr>
              <w:t>在质保期内</w:t>
            </w:r>
            <w:r>
              <w:rPr>
                <w:color w:val="000000"/>
              </w:rPr>
              <w:t>投标人推出功能可替代招标人此次采购软件的新软件，投标人负责为招标人免费安装相同节点数的新产品，同时继续履行合同中约定的相关售后服务内容（不收取额外费用）</w:t>
            </w:r>
            <w:r>
              <w:rPr>
                <w:rFonts w:hint="eastAsia"/>
                <w:color w:val="000000"/>
              </w:rPr>
              <w:t>；质保期外投标人推出功能可替代招标人此次采购软件的新软件，投标人负责为招标人安装相同节点数的新产品，费用不得超过原软件合同价与新软件当期价中较低值的10%，得2分。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550"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jc w:val="center"/>
              <w:rPr>
                <w:color w:val="000000"/>
              </w:rPr>
            </w:pPr>
            <w:r>
              <w:rPr>
                <w:color w:val="000000"/>
              </w:rPr>
              <w:t>售后服务方面其他承诺</w:t>
            </w:r>
          </w:p>
          <w:p>
            <w:pPr>
              <w:jc w:val="center"/>
              <w:rPr>
                <w:color w:val="000000"/>
              </w:rPr>
            </w:pPr>
            <w:r>
              <w:rPr>
                <w:color w:val="000000"/>
              </w:rPr>
              <w:t>（2分）</w:t>
            </w:r>
          </w:p>
        </w:tc>
        <w:tc>
          <w:tcPr>
            <w:tcW w:w="7161" w:type="dxa"/>
            <w:vAlign w:val="center"/>
          </w:tcPr>
          <w:p>
            <w:pPr>
              <w:rPr>
                <w:color w:val="000000" w:themeColor="text1"/>
              </w:rPr>
            </w:pPr>
            <w:r>
              <w:rPr>
                <w:rFonts w:hint="eastAsia"/>
                <w:color w:val="000000" w:themeColor="text1"/>
              </w:rPr>
              <w:t>（1）售后服务方案具体明确，针对性强，售后服务人员能力强，服务体系完整度高，保障性强，有具体的服务承诺及违约责任措施的得</w:t>
            </w:r>
            <w:r>
              <w:rPr>
                <w:rFonts w:hint="eastAsia"/>
                <w:color w:val="000000" w:themeColor="text1"/>
                <w:lang w:val="en-US" w:eastAsia="zh-CN"/>
              </w:rPr>
              <w:t>1（不含）-2</w:t>
            </w:r>
            <w:r>
              <w:rPr>
                <w:rFonts w:hint="eastAsia"/>
                <w:color w:val="000000" w:themeColor="text1"/>
              </w:rPr>
              <w:t>分。</w:t>
            </w:r>
          </w:p>
          <w:p>
            <w:pPr>
              <w:rPr>
                <w:color w:val="000000"/>
              </w:rPr>
            </w:pPr>
            <w:r>
              <w:rPr>
                <w:rFonts w:hint="eastAsia"/>
                <w:color w:val="000000" w:themeColor="text1"/>
              </w:rPr>
              <w:t>（2）具有售后服务方案，针对性差，售后服务体系完整度及保障性差，无售后服务承诺及违约责任措施的得0-1分。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96"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jc w:val="center"/>
              <w:rPr>
                <w:color w:val="000000"/>
              </w:rPr>
            </w:pPr>
            <w:r>
              <w:rPr>
                <w:color w:val="000000"/>
              </w:rPr>
              <w:t>公司</w:t>
            </w:r>
            <w:r>
              <w:rPr>
                <w:rFonts w:hint="eastAsia"/>
                <w:color w:val="000000"/>
              </w:rPr>
              <w:t>实力</w:t>
            </w:r>
          </w:p>
          <w:p>
            <w:pPr>
              <w:jc w:val="center"/>
              <w:rPr>
                <w:color w:val="000000"/>
              </w:rPr>
            </w:pPr>
            <w:r>
              <w:rPr>
                <w:color w:val="000000"/>
              </w:rPr>
              <w:t>（5分）</w:t>
            </w:r>
          </w:p>
        </w:tc>
        <w:tc>
          <w:tcPr>
            <w:tcW w:w="7161" w:type="dxa"/>
            <w:vAlign w:val="center"/>
          </w:tcPr>
          <w:p>
            <w:pPr>
              <w:rPr>
                <w:color w:val="000000"/>
              </w:rPr>
            </w:pPr>
            <w:r>
              <w:rPr>
                <w:rFonts w:hint="eastAsia"/>
                <w:color w:val="000000"/>
              </w:rPr>
              <w:t>（1）取得与本项目相关的专利、软件著作权，其中发明专利每项得1分，软件著作权每项得0.5分，总分不超过2分。</w:t>
            </w:r>
          </w:p>
          <w:p>
            <w:pPr>
              <w:rPr>
                <w:color w:val="000000" w:themeColor="text1"/>
              </w:rPr>
            </w:pPr>
            <w:r>
              <w:rPr>
                <w:rFonts w:hint="eastAsia"/>
                <w:color w:val="000000"/>
              </w:rPr>
              <w:t>（2）提</w:t>
            </w:r>
            <w:r>
              <w:rPr>
                <w:rFonts w:hint="eastAsia"/>
                <w:color w:val="000000" w:themeColor="text1"/>
              </w:rPr>
              <w:t>供信用评级机构出具的信用评级报告为AAA级的得1分；</w:t>
            </w:r>
          </w:p>
          <w:p>
            <w:pPr>
              <w:rPr>
                <w:color w:val="000000"/>
              </w:rPr>
            </w:pPr>
            <w:r>
              <w:rPr>
                <w:rFonts w:hint="eastAsia"/>
                <w:color w:val="000000"/>
              </w:rPr>
              <w:t>（3）</w:t>
            </w:r>
            <w:r>
              <w:rPr>
                <w:rFonts w:hint="eastAsia" w:ascii="宋体" w:hAnsi="宋体"/>
                <w:color w:val="000000" w:themeColor="text1"/>
              </w:rPr>
              <w:t>通过高新技术企业认证</w:t>
            </w:r>
            <w:r>
              <w:rPr>
                <w:rFonts w:hint="eastAsia"/>
                <w:color w:val="000000"/>
              </w:rPr>
              <w:t>得1分；</w:t>
            </w:r>
          </w:p>
          <w:p>
            <w:pPr>
              <w:keepNext/>
              <w:keepLines/>
              <w:outlineLvl w:val="3"/>
              <w:rPr>
                <w:rFonts w:ascii="宋体" w:hAnsi="宋体" w:cs="Arial"/>
                <w:color w:val="000000" w:themeColor="text1"/>
              </w:rPr>
            </w:pPr>
            <w:r>
              <w:rPr>
                <w:rFonts w:hint="eastAsia" w:ascii="宋体" w:hAnsi="宋体" w:cs="Arial"/>
                <w:color w:val="000000" w:themeColor="text1"/>
              </w:rPr>
              <w:t>（4）具有软件企业认定证书得1分。</w:t>
            </w:r>
          </w:p>
          <w:p>
            <w:pPr>
              <w:pStyle w:val="7"/>
              <w:spacing w:before="0" w:after="0" w:line="240" w:lineRule="auto"/>
              <w:rPr>
                <w:rFonts w:ascii="宋体" w:hAnsi="宋体"/>
                <w:b w:val="0"/>
                <w:color w:val="000000"/>
                <w:sz w:val="21"/>
                <w:szCs w:val="21"/>
              </w:rPr>
            </w:pPr>
            <w:r>
              <w:rPr>
                <w:rFonts w:hint="eastAsia" w:ascii="Times New Roman" w:hAnsi="Times New Roman" w:eastAsiaTheme="minorEastAsia" w:cstheme="minorBidi"/>
                <w:b w:val="0"/>
                <w:color w:val="000000" w:themeColor="text1"/>
                <w:sz w:val="21"/>
                <w:szCs w:val="22"/>
              </w:rPr>
              <w:t>（以上</w:t>
            </w:r>
            <w:r>
              <w:rPr>
                <w:rFonts w:hint="eastAsia" w:ascii="Times New Roman" w:hAnsi="Times New Roman" w:eastAsiaTheme="minorEastAsia" w:cstheme="minorBidi"/>
                <w:b w:val="0"/>
                <w:color w:val="000000"/>
                <w:sz w:val="21"/>
                <w:szCs w:val="22"/>
              </w:rPr>
              <w:t>提供相关证明材料复印件并加盖投标单位公章，不提供的不得分）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208" w:hRule="atLeast"/>
          <w:jc w:val="center"/>
        </w:trPr>
        <w:tc>
          <w:tcPr>
            <w:tcW w:w="426" w:type="dxa"/>
            <w:vMerge w:val="continue"/>
            <w:vAlign w:val="center"/>
          </w:tcPr>
          <w:p>
            <w:pPr>
              <w:rPr>
                <w:color w:val="000000"/>
              </w:rPr>
            </w:pPr>
          </w:p>
        </w:tc>
        <w:tc>
          <w:tcPr>
            <w:tcW w:w="860" w:type="dxa"/>
            <w:vMerge w:val="continue"/>
            <w:vAlign w:val="center"/>
          </w:tcPr>
          <w:p>
            <w:pPr>
              <w:rPr>
                <w:color w:val="000000"/>
              </w:rPr>
            </w:pPr>
          </w:p>
        </w:tc>
        <w:tc>
          <w:tcPr>
            <w:tcW w:w="1046" w:type="dxa"/>
            <w:vAlign w:val="center"/>
          </w:tcPr>
          <w:p>
            <w:pPr>
              <w:rPr>
                <w:color w:val="000000"/>
              </w:rPr>
            </w:pPr>
            <w:r>
              <w:rPr>
                <w:color w:val="000000"/>
              </w:rPr>
              <w:t>业绩部分</w:t>
            </w:r>
          </w:p>
          <w:p>
            <w:pPr>
              <w:rPr>
                <w:color w:val="000000"/>
              </w:rPr>
            </w:pPr>
            <w:r>
              <w:rPr>
                <w:color w:val="000000"/>
              </w:rPr>
              <w:t>（3分）</w:t>
            </w:r>
          </w:p>
        </w:tc>
        <w:tc>
          <w:tcPr>
            <w:tcW w:w="7161" w:type="dxa"/>
          </w:tcPr>
          <w:p>
            <w:pPr>
              <w:rPr>
                <w:color w:val="000000" w:themeColor="text1"/>
              </w:rPr>
            </w:pPr>
            <w:r>
              <w:rPr>
                <w:rFonts w:hint="eastAsia"/>
                <w:color w:val="000000" w:themeColor="text1"/>
              </w:rPr>
              <w:t>提供201</w:t>
            </w:r>
            <w:r>
              <w:rPr>
                <w:color w:val="000000" w:themeColor="text1"/>
              </w:rPr>
              <w:t>9</w:t>
            </w:r>
            <w:r>
              <w:rPr>
                <w:rFonts w:hint="eastAsia"/>
                <w:color w:val="000000" w:themeColor="text1"/>
              </w:rPr>
              <w:t>年以来同类采购此软件的合同复印件，每提供1份合同得1分，最高3分。（需提供合同复印件加盖投标单位公章）没有提供以上要求合同的此项不得分。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restart"/>
            <w:vAlign w:val="center"/>
          </w:tcPr>
          <w:p>
            <w:pPr>
              <w:jc w:val="center"/>
              <w:rPr>
                <w:color w:val="000000"/>
              </w:rPr>
            </w:pPr>
            <w:r>
              <w:rPr>
                <w:color w:val="000000"/>
              </w:rPr>
              <w:t>3</w:t>
            </w:r>
          </w:p>
        </w:tc>
        <w:tc>
          <w:tcPr>
            <w:tcW w:w="860" w:type="dxa"/>
            <w:vMerge w:val="restart"/>
            <w:vAlign w:val="center"/>
          </w:tcPr>
          <w:p>
            <w:pPr>
              <w:rPr>
                <w:color w:val="000000"/>
              </w:rPr>
            </w:pPr>
            <w:r>
              <w:rPr>
                <w:color w:val="000000"/>
              </w:rPr>
              <w:t>技术部分</w:t>
            </w:r>
          </w:p>
          <w:p>
            <w:pPr>
              <w:rPr>
                <w:color w:val="000000"/>
              </w:rPr>
            </w:pPr>
            <w:r>
              <w:rPr>
                <w:color w:val="000000"/>
              </w:rPr>
              <w:t>（30分）</w:t>
            </w:r>
          </w:p>
        </w:tc>
        <w:tc>
          <w:tcPr>
            <w:tcW w:w="1046" w:type="dxa"/>
            <w:vAlign w:val="center"/>
          </w:tcPr>
          <w:p>
            <w:pPr>
              <w:rPr>
                <w:color w:val="000000"/>
              </w:rPr>
            </w:pPr>
            <w:r>
              <w:rPr>
                <w:rFonts w:hint="eastAsia"/>
              </w:rPr>
              <w:t>参数响应（</w:t>
            </w:r>
            <w:r>
              <w:t>21</w:t>
            </w:r>
            <w:r>
              <w:rPr>
                <w:rFonts w:hint="eastAsia"/>
              </w:rPr>
              <w:t>分）</w:t>
            </w:r>
          </w:p>
        </w:tc>
        <w:tc>
          <w:tcPr>
            <w:tcW w:w="7161" w:type="dxa"/>
            <w:vAlign w:val="center"/>
          </w:tcPr>
          <w:p>
            <w:pPr>
              <w:rPr>
                <w:color w:val="000000" w:themeColor="text1"/>
              </w:rPr>
            </w:pPr>
            <w:r>
              <w:rPr>
                <w:rFonts w:hint="eastAsia"/>
                <w:color w:val="000000" w:themeColor="text1"/>
              </w:rPr>
              <w:t>根据投标人提供的技术参数偏离表及其他响应技术要求的佐证材料进行评定，满足招标文件所有的技术指标、参数要求的得</w:t>
            </w:r>
            <w:r>
              <w:rPr>
                <w:color w:val="000000" w:themeColor="text1"/>
              </w:rPr>
              <w:t>21</w:t>
            </w:r>
            <w:r>
              <w:rPr>
                <w:rFonts w:hint="eastAsia"/>
                <w:color w:val="000000" w:themeColor="text1"/>
              </w:rPr>
              <w:t>分，有一项不满足扣</w:t>
            </w:r>
            <w:r>
              <w:rPr>
                <w:color w:val="000000" w:themeColor="text1"/>
              </w:rPr>
              <w:t>1</w:t>
            </w:r>
            <w:r>
              <w:rPr>
                <w:rFonts w:hint="eastAsia"/>
                <w:color w:val="000000" w:themeColor="text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48" w:hRule="atLeast"/>
          <w:jc w:val="center"/>
        </w:trPr>
        <w:tc>
          <w:tcPr>
            <w:tcW w:w="426" w:type="dxa"/>
            <w:vMerge w:val="continue"/>
            <w:vAlign w:val="center"/>
          </w:tcPr>
          <w:p>
            <w:pPr>
              <w:jc w:val="center"/>
              <w:rPr>
                <w:color w:val="000000"/>
              </w:rPr>
            </w:pPr>
          </w:p>
        </w:tc>
        <w:tc>
          <w:tcPr>
            <w:tcW w:w="860" w:type="dxa"/>
            <w:vMerge w:val="continue"/>
            <w:vAlign w:val="center"/>
          </w:tcPr>
          <w:p>
            <w:pPr>
              <w:rPr>
                <w:color w:val="000000"/>
              </w:rPr>
            </w:pPr>
          </w:p>
        </w:tc>
        <w:tc>
          <w:tcPr>
            <w:tcW w:w="1046" w:type="dxa"/>
            <w:vAlign w:val="center"/>
          </w:tcPr>
          <w:p>
            <w:pPr>
              <w:rPr>
                <w:color w:val="000000"/>
              </w:rPr>
            </w:pPr>
            <w:r>
              <w:rPr>
                <w:rFonts w:hint="eastAsia"/>
              </w:rPr>
              <w:t>功能演示（</w:t>
            </w:r>
            <w:r>
              <w:t>9</w:t>
            </w:r>
            <w:r>
              <w:rPr>
                <w:rFonts w:hint="eastAsia"/>
              </w:rPr>
              <w:t>分）</w:t>
            </w:r>
          </w:p>
        </w:tc>
        <w:tc>
          <w:tcPr>
            <w:tcW w:w="7161" w:type="dxa"/>
            <w:vAlign w:val="center"/>
          </w:tcPr>
          <w:p>
            <w:pPr>
              <w:rPr>
                <w:color w:val="000000" w:themeColor="text1"/>
              </w:rPr>
            </w:pPr>
            <w:r>
              <w:rPr>
                <w:rFonts w:hint="eastAsia"/>
                <w:color w:val="000000" w:themeColor="text1"/>
              </w:rPr>
              <w:t>演示时间10分钟左右，专家随机抽取模块列表中的三条参数进行演示，未演示或不满足，每条扣</w:t>
            </w:r>
            <w:r>
              <w:rPr>
                <w:color w:val="000000" w:themeColor="text1"/>
              </w:rPr>
              <w:t>3</w:t>
            </w:r>
            <w:r>
              <w:rPr>
                <w:rFonts w:hint="eastAsia"/>
                <w:color w:val="000000" w:themeColor="text1"/>
              </w:rPr>
              <w:t>分；基本满足，每条打分区间</w:t>
            </w:r>
            <w:r>
              <w:rPr>
                <w:color w:val="000000" w:themeColor="text1"/>
              </w:rPr>
              <w:t>1.8</w:t>
            </w:r>
            <w:r>
              <w:rPr>
                <w:rFonts w:hint="eastAsia"/>
                <w:color w:val="000000" w:themeColor="text1"/>
              </w:rPr>
              <w:t>分-</w:t>
            </w:r>
            <w:r>
              <w:rPr>
                <w:color w:val="000000" w:themeColor="text1"/>
              </w:rPr>
              <w:t>2.4</w:t>
            </w:r>
            <w:r>
              <w:rPr>
                <w:rFonts w:hint="eastAsia"/>
                <w:color w:val="000000" w:themeColor="text1"/>
              </w:rPr>
              <w:t>分，精确到小数点后1位。</w:t>
            </w:r>
          </w:p>
        </w:tc>
      </w:tr>
    </w:tbl>
    <w:p>
      <w:pPr>
        <w:snapToGrid w:val="0"/>
        <w:rPr>
          <w:rFonts w:ascii="宋体" w:hAnsi="宋体" w:cs="宋体"/>
          <w:bCs/>
          <w:color w:val="000000" w:themeColor="text1"/>
          <w:sz w:val="24"/>
          <w:szCs w:val="24"/>
        </w:rPr>
      </w:pPr>
      <w:r>
        <w:rPr>
          <w:rFonts w:hint="eastAsia" w:ascii="宋体" w:hAnsi="宋体" w:cs="宋体"/>
          <w:bCs/>
          <w:color w:val="000000" w:themeColor="text1"/>
          <w:sz w:val="24"/>
          <w:szCs w:val="24"/>
        </w:rPr>
        <w:t>说明：</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1、若供应商提供虚假资料，一经查实取消其中标候选人资格，并向相关主管部门汇报。</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2、中标单位不得转包、分包，如果发现有转包、分包情况，则取消其中标候选人资格，并向相关主管部门汇报。</w:t>
      </w:r>
    </w:p>
    <w:p>
      <w:pPr>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w:t>
      </w:r>
      <w:r>
        <w:rPr>
          <w:rFonts w:hint="eastAsia" w:ascii="宋体" w:hAnsi="宋体" w:cs="宋体"/>
          <w:color w:val="000000" w:themeColor="text1"/>
          <w:sz w:val="24"/>
          <w:szCs w:val="24"/>
          <w:lang w:val="zh-CN"/>
        </w:rPr>
        <w:t>、中标公告期内，中标单位需向采购单位提供产品相关证明文件原件以供审核，如有不实采购人有权取消其中标资格。</w:t>
      </w:r>
    </w:p>
    <w:p>
      <w:pPr>
        <w:pStyle w:val="44"/>
        <w:rPr>
          <w:rFonts w:cs="宋体"/>
          <w:color w:val="000000" w:themeColor="text1"/>
        </w:rPr>
      </w:pPr>
    </w:p>
    <w:p>
      <w:pPr>
        <w:pStyle w:val="44"/>
        <w:ind w:firstLine="720" w:firstLineChars="300"/>
        <w:rPr>
          <w:rFonts w:cs="宋体"/>
          <w:color w:val="000000" w:themeColor="text1"/>
          <w:sz w:val="24"/>
          <w:szCs w:val="24"/>
        </w:rPr>
      </w:pPr>
    </w:p>
    <w:p>
      <w:pPr>
        <w:widowControl/>
        <w:jc w:val="left"/>
        <w:rPr>
          <w:rFonts w:ascii="宋体" w:hAnsi="宋体" w:cs="宋体"/>
          <w:b/>
          <w:color w:val="000000" w:themeColor="text1"/>
          <w:sz w:val="44"/>
        </w:rPr>
      </w:pPr>
      <w:bookmarkStart w:id="212" w:name="_Toc22937"/>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hint="eastAsia" w:ascii="宋体" w:hAnsi="宋体" w:eastAsia="宋体" w:cs="宋体"/>
          <w:b/>
          <w:color w:val="000000" w:themeColor="text1"/>
          <w:sz w:val="44"/>
        </w:rPr>
      </w:pPr>
    </w:p>
    <w:p>
      <w:pPr>
        <w:pStyle w:val="3"/>
        <w:ind w:firstLine="2209" w:firstLineChars="500"/>
        <w:jc w:val="both"/>
        <w:rPr>
          <w:rFonts w:ascii="宋体" w:hAnsi="宋体" w:eastAsia="宋体" w:cs="宋体"/>
          <w:b/>
          <w:color w:val="000000" w:themeColor="text1"/>
          <w:sz w:val="44"/>
        </w:rPr>
      </w:pPr>
      <w:r>
        <w:rPr>
          <w:rFonts w:hint="eastAsia" w:ascii="宋体" w:hAnsi="宋体" w:eastAsia="宋体" w:cs="宋体"/>
          <w:b/>
          <w:color w:val="000000" w:themeColor="text1"/>
          <w:sz w:val="44"/>
        </w:rPr>
        <w:t>第六章  投标</w:t>
      </w:r>
      <w:bookmarkEnd w:id="208"/>
      <w:bookmarkEnd w:id="209"/>
      <w:bookmarkEnd w:id="210"/>
      <w:r>
        <w:rPr>
          <w:rFonts w:hint="eastAsia" w:ascii="宋体" w:hAnsi="宋体" w:eastAsia="宋体" w:cs="宋体"/>
          <w:b/>
          <w:color w:val="000000" w:themeColor="text1"/>
          <w:sz w:val="44"/>
        </w:rPr>
        <w:t>文件格式</w:t>
      </w:r>
      <w:bookmarkEnd w:id="212"/>
    </w:p>
    <w:p>
      <w:pPr>
        <w:jc w:val="center"/>
        <w:rPr>
          <w:rFonts w:ascii="宋体" w:hAnsi="宋体" w:cs="宋体"/>
          <w:b/>
          <w:color w:val="000000" w:themeColor="text1"/>
          <w:sz w:val="72"/>
        </w:rPr>
      </w:pPr>
      <w:bookmarkStart w:id="213" w:name="_Hlt26671244"/>
      <w:bookmarkEnd w:id="213"/>
      <w:bookmarkStart w:id="214" w:name="_Hlt26955039"/>
      <w:bookmarkEnd w:id="214"/>
      <w:bookmarkStart w:id="215" w:name="_Toc120614282"/>
      <w:bookmarkStart w:id="216" w:name="_Toc49090576"/>
      <w:bookmarkStart w:id="217" w:name="_Toc26554094"/>
    </w:p>
    <w:p>
      <w:pPr>
        <w:jc w:val="center"/>
        <w:outlineLvl w:val="0"/>
        <w:rPr>
          <w:rFonts w:ascii="宋体" w:hAnsi="宋体" w:cs="宋体"/>
          <w:b/>
          <w:color w:val="000000" w:themeColor="text1"/>
          <w:sz w:val="72"/>
        </w:rPr>
      </w:pPr>
      <w:bookmarkStart w:id="218" w:name="_Toc23509"/>
      <w:r>
        <w:rPr>
          <w:rFonts w:hint="eastAsia" w:ascii="宋体" w:hAnsi="宋体" w:cs="宋体"/>
          <w:b/>
          <w:color w:val="000000" w:themeColor="text1"/>
          <w:sz w:val="72"/>
        </w:rPr>
        <w:t>投  标  文  件</w:t>
      </w:r>
      <w:bookmarkEnd w:id="218"/>
    </w:p>
    <w:p>
      <w:pPr>
        <w:jc w:val="center"/>
        <w:outlineLvl w:val="0"/>
        <w:rPr>
          <w:rFonts w:ascii="宋体" w:hAnsi="宋体" w:cs="宋体"/>
          <w:b/>
          <w:color w:val="000000" w:themeColor="text1"/>
          <w:sz w:val="72"/>
        </w:rPr>
      </w:pPr>
      <w:bookmarkStart w:id="219" w:name="_Toc20782"/>
      <w:r>
        <w:rPr>
          <w:rFonts w:hint="eastAsia" w:ascii="宋体" w:hAnsi="宋体" w:cs="宋体"/>
          <w:b/>
          <w:color w:val="000000" w:themeColor="text1"/>
          <w:sz w:val="36"/>
        </w:rPr>
        <w:t>（正或副本）</w:t>
      </w:r>
      <w:bookmarkEnd w:id="219"/>
    </w:p>
    <w:p>
      <w:pPr>
        <w:jc w:val="center"/>
        <w:rPr>
          <w:rFonts w:ascii="宋体" w:hAnsi="宋体" w:cs="宋体"/>
          <w:b/>
          <w:color w:val="000000" w:themeColor="text1"/>
          <w:sz w:val="72"/>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firstLine="1084" w:firstLineChars="300"/>
        <w:outlineLvl w:val="0"/>
        <w:rPr>
          <w:rFonts w:ascii="宋体" w:hAnsi="宋体" w:cs="宋体"/>
          <w:b/>
          <w:color w:val="000000" w:themeColor="text1"/>
          <w:sz w:val="36"/>
        </w:rPr>
      </w:pPr>
      <w:bookmarkStart w:id="220" w:name="_Toc26923"/>
      <w:r>
        <w:rPr>
          <w:rFonts w:hint="eastAsia" w:ascii="宋体" w:hAnsi="宋体" w:cs="宋体"/>
          <w:b/>
          <w:color w:val="000000" w:themeColor="text1"/>
          <w:sz w:val="36"/>
        </w:rPr>
        <w:t>项 目 名 称：</w:t>
      </w:r>
      <w:bookmarkEnd w:id="220"/>
    </w:p>
    <w:p>
      <w:pPr>
        <w:ind w:firstLine="1084" w:firstLineChars="300"/>
        <w:outlineLvl w:val="0"/>
        <w:rPr>
          <w:rFonts w:ascii="宋体" w:hAnsi="宋体" w:cs="宋体"/>
          <w:b/>
          <w:color w:val="000000" w:themeColor="text1"/>
          <w:sz w:val="36"/>
          <w:u w:val="single"/>
        </w:rPr>
      </w:pPr>
      <w:bookmarkStart w:id="221" w:name="_Toc13450"/>
      <w:r>
        <w:rPr>
          <w:rFonts w:hint="eastAsia" w:ascii="宋体" w:hAnsi="宋体" w:cs="宋体"/>
          <w:b/>
          <w:color w:val="000000" w:themeColor="text1"/>
          <w:sz w:val="36"/>
        </w:rPr>
        <w:t>招 标 编 号：</w:t>
      </w:r>
      <w:bookmarkEnd w:id="221"/>
    </w:p>
    <w:p>
      <w:pPr>
        <w:ind w:firstLine="1084" w:firstLineChars="300"/>
        <w:outlineLvl w:val="0"/>
        <w:rPr>
          <w:rFonts w:ascii="宋体" w:hAnsi="宋体" w:cs="宋体"/>
          <w:b/>
          <w:color w:val="000000" w:themeColor="text1"/>
          <w:sz w:val="36"/>
          <w:u w:val="single"/>
        </w:rPr>
      </w:pPr>
      <w:bookmarkStart w:id="222" w:name="_Toc26135"/>
      <w:r>
        <w:rPr>
          <w:rFonts w:hint="eastAsia" w:ascii="宋体" w:hAnsi="宋体" w:cs="宋体"/>
          <w:b/>
          <w:color w:val="000000" w:themeColor="text1"/>
          <w:sz w:val="36"/>
        </w:rPr>
        <w:t>投标人名称 ：</w:t>
      </w:r>
      <w:bookmarkEnd w:id="222"/>
    </w:p>
    <w:p>
      <w:pPr>
        <w:ind w:firstLine="1084" w:firstLineChars="300"/>
        <w:outlineLvl w:val="0"/>
        <w:rPr>
          <w:rFonts w:ascii="宋体" w:hAnsi="宋体" w:cs="宋体"/>
          <w:b/>
          <w:color w:val="000000" w:themeColor="text1"/>
          <w:sz w:val="36"/>
        </w:rPr>
      </w:pPr>
      <w:bookmarkStart w:id="223" w:name="_Toc28004"/>
      <w:r>
        <w:rPr>
          <w:rFonts w:hint="eastAsia" w:ascii="宋体" w:hAnsi="宋体" w:cs="宋体"/>
          <w:b/>
          <w:color w:val="000000" w:themeColor="text1"/>
          <w:sz w:val="36"/>
        </w:rPr>
        <w:t>日      期 ：</w:t>
      </w:r>
      <w:bookmarkEnd w:id="223"/>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ind w:firstLine="1084" w:firstLineChars="300"/>
        <w:jc w:val="center"/>
        <w:outlineLvl w:val="0"/>
        <w:rPr>
          <w:rFonts w:ascii="宋体" w:hAnsi="宋体" w:cs="宋体"/>
          <w:b/>
          <w:bCs/>
          <w:color w:val="000000" w:themeColor="text1"/>
          <w:sz w:val="32"/>
          <w:szCs w:val="32"/>
        </w:rPr>
      </w:pPr>
      <w:r>
        <w:rPr>
          <w:rFonts w:hint="eastAsia" w:ascii="宋体" w:hAnsi="宋体" w:cs="宋体"/>
          <w:b/>
          <w:color w:val="000000" w:themeColor="text1"/>
          <w:sz w:val="36"/>
          <w:u w:val="single"/>
        </w:rPr>
        <w:br w:type="page"/>
      </w:r>
      <w:bookmarkStart w:id="224" w:name="_Toc16079"/>
      <w:r>
        <w:rPr>
          <w:rFonts w:hint="eastAsia" w:ascii="宋体" w:hAnsi="宋体" w:cs="宋体"/>
          <w:b/>
          <w:bCs/>
          <w:color w:val="000000" w:themeColor="text1"/>
          <w:sz w:val="32"/>
          <w:szCs w:val="32"/>
        </w:rPr>
        <w:t>投标主要文件目录</w:t>
      </w:r>
      <w:bookmarkEnd w:id="224"/>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225"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225"/>
    </w:p>
    <w:p>
      <w:pPr>
        <w:ind w:firstLine="482" w:firstLineChars="200"/>
        <w:outlineLvl w:val="0"/>
        <w:rPr>
          <w:rFonts w:ascii="宋体" w:hAnsi="宋体" w:cs="宋体"/>
          <w:color w:val="000000" w:themeColor="text1"/>
          <w:sz w:val="24"/>
        </w:rPr>
      </w:pPr>
      <w:bookmarkStart w:id="226"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226"/>
    </w:p>
    <w:p>
      <w:pPr>
        <w:ind w:firstLine="480" w:firstLineChars="200"/>
        <w:outlineLvl w:val="0"/>
        <w:rPr>
          <w:rFonts w:ascii="宋体" w:hAnsi="宋体" w:cs="宋体"/>
          <w:bCs/>
          <w:color w:val="000000" w:themeColor="text1"/>
          <w:sz w:val="24"/>
        </w:rPr>
      </w:pPr>
      <w:bookmarkStart w:id="227" w:name="_Toc17993"/>
      <w:r>
        <w:rPr>
          <w:rFonts w:hint="eastAsia" w:ascii="宋体" w:hAnsi="宋体" w:cs="宋体"/>
          <w:color w:val="000000" w:themeColor="text1"/>
          <w:sz w:val="24"/>
        </w:rPr>
        <w:t>三、符合性检查响应对照表</w:t>
      </w:r>
      <w:bookmarkEnd w:id="227"/>
    </w:p>
    <w:p>
      <w:pPr>
        <w:ind w:firstLine="480" w:firstLineChars="200"/>
        <w:outlineLvl w:val="0"/>
        <w:rPr>
          <w:rFonts w:ascii="宋体" w:hAnsi="宋体" w:cs="宋体"/>
          <w:color w:val="000000" w:themeColor="text1"/>
          <w:sz w:val="24"/>
        </w:rPr>
      </w:pPr>
      <w:bookmarkStart w:id="228" w:name="_Toc4466"/>
      <w:r>
        <w:rPr>
          <w:rFonts w:hint="eastAsia" w:ascii="宋体" w:hAnsi="宋体" w:cs="宋体"/>
          <w:color w:val="000000" w:themeColor="text1"/>
          <w:sz w:val="24"/>
        </w:rPr>
        <w:t>四、投标函</w:t>
      </w:r>
      <w:bookmarkEnd w:id="228"/>
    </w:p>
    <w:p>
      <w:pPr>
        <w:ind w:firstLine="480" w:firstLineChars="200"/>
        <w:outlineLvl w:val="0"/>
        <w:rPr>
          <w:rFonts w:ascii="宋体" w:hAnsi="宋体" w:cs="宋体"/>
          <w:color w:val="000000" w:themeColor="text1"/>
          <w:sz w:val="24"/>
        </w:rPr>
      </w:pPr>
      <w:bookmarkStart w:id="229"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229"/>
    </w:p>
    <w:p>
      <w:pPr>
        <w:ind w:firstLine="480" w:firstLineChars="200"/>
        <w:outlineLvl w:val="0"/>
        <w:rPr>
          <w:rFonts w:ascii="宋体" w:hAnsi="宋体" w:cs="宋体"/>
          <w:color w:val="000000" w:themeColor="text1"/>
          <w:sz w:val="24"/>
        </w:rPr>
      </w:pPr>
      <w:bookmarkStart w:id="230" w:name="_Toc1256"/>
      <w:r>
        <w:rPr>
          <w:rFonts w:hint="eastAsia" w:ascii="宋体" w:hAnsi="宋体" w:cs="宋体"/>
          <w:color w:val="000000" w:themeColor="text1"/>
          <w:sz w:val="24"/>
        </w:rPr>
        <w:t>六、投标配置与分项报价表</w:t>
      </w:r>
      <w:bookmarkEnd w:id="230"/>
    </w:p>
    <w:p>
      <w:pPr>
        <w:ind w:firstLine="480" w:firstLineChars="200"/>
        <w:outlineLvl w:val="0"/>
        <w:rPr>
          <w:rFonts w:ascii="宋体" w:hAnsi="宋体" w:cs="宋体"/>
          <w:color w:val="000000" w:themeColor="text1"/>
          <w:sz w:val="24"/>
        </w:rPr>
      </w:pPr>
      <w:bookmarkStart w:id="231"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31"/>
    </w:p>
    <w:p>
      <w:pPr>
        <w:ind w:firstLine="480" w:firstLineChars="200"/>
        <w:outlineLvl w:val="0"/>
        <w:rPr>
          <w:rFonts w:ascii="宋体" w:hAnsi="宋体" w:cs="宋体"/>
          <w:color w:val="000000" w:themeColor="text1"/>
          <w:sz w:val="24"/>
        </w:rPr>
      </w:pPr>
      <w:bookmarkStart w:id="232" w:name="_Toc13614"/>
      <w:r>
        <w:rPr>
          <w:rFonts w:hint="eastAsia" w:ascii="宋体" w:hAnsi="宋体" w:cs="宋体"/>
          <w:color w:val="000000" w:themeColor="text1"/>
          <w:sz w:val="24"/>
        </w:rPr>
        <w:t>八、商务条款响应及偏离表</w:t>
      </w:r>
      <w:bookmarkEnd w:id="232"/>
    </w:p>
    <w:p>
      <w:pPr>
        <w:ind w:firstLine="480" w:firstLineChars="200"/>
        <w:outlineLvl w:val="0"/>
        <w:rPr>
          <w:rFonts w:ascii="宋体" w:hAnsi="宋体" w:cs="宋体"/>
          <w:color w:val="000000" w:themeColor="text1"/>
          <w:sz w:val="24"/>
        </w:rPr>
      </w:pPr>
      <w:bookmarkStart w:id="233" w:name="_Toc25377"/>
      <w:r>
        <w:rPr>
          <w:rFonts w:hint="eastAsia" w:ascii="宋体" w:hAnsi="宋体" w:cs="宋体"/>
          <w:color w:val="000000" w:themeColor="text1"/>
          <w:sz w:val="24"/>
        </w:rPr>
        <w:t>九、技术方案、服务承诺、培训承诺等</w:t>
      </w:r>
      <w:bookmarkEnd w:id="233"/>
    </w:p>
    <w:p>
      <w:pPr>
        <w:ind w:firstLine="480" w:firstLineChars="200"/>
        <w:outlineLvl w:val="0"/>
        <w:rPr>
          <w:rFonts w:ascii="宋体" w:hAnsi="宋体" w:cs="宋体"/>
          <w:color w:val="000000" w:themeColor="text1"/>
        </w:rPr>
      </w:pPr>
      <w:bookmarkStart w:id="234" w:name="_Toc28209"/>
      <w:r>
        <w:rPr>
          <w:rFonts w:hint="eastAsia" w:ascii="宋体" w:hAnsi="宋体" w:cs="宋体"/>
          <w:color w:val="000000" w:themeColor="text1"/>
          <w:sz w:val="24"/>
          <w:szCs w:val="24"/>
        </w:rPr>
        <w:t>十、中小企业声明函</w:t>
      </w:r>
      <w:bookmarkEnd w:id="234"/>
    </w:p>
    <w:p>
      <w:pPr>
        <w:spacing w:line="440" w:lineRule="exact"/>
        <w:ind w:firstLine="480" w:firstLineChars="200"/>
        <w:outlineLvl w:val="0"/>
        <w:rPr>
          <w:rFonts w:ascii="宋体" w:hAnsi="宋体" w:cs="宋体"/>
          <w:color w:val="000000" w:themeColor="text1"/>
          <w:sz w:val="24"/>
        </w:rPr>
      </w:pPr>
      <w:bookmarkStart w:id="235" w:name="_Toc13879"/>
      <w:r>
        <w:rPr>
          <w:rFonts w:hint="eastAsia" w:ascii="宋体" w:hAnsi="宋体" w:cs="宋体"/>
          <w:color w:val="000000" w:themeColor="text1"/>
          <w:sz w:val="24"/>
        </w:rPr>
        <w:t>十一、盐城市政府采购事前信用承诺书</w:t>
      </w:r>
      <w:bookmarkEnd w:id="235"/>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24"/>
        </w:rPr>
        <w:br w:type="page"/>
      </w:r>
      <w:bookmarkStart w:id="236" w:name="_Toc27319"/>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36"/>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
        <w:rPr>
          <w:rFonts w:ascii="宋体" w:hAnsi="宋体" w:eastAsia="宋体" w:cs="宋体"/>
          <w:color w:val="000000" w:themeColor="text1"/>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ind w:firstLine="0"/>
        <w:rPr>
          <w:rFonts w:ascii="宋体" w:hAnsi="宋体" w:cs="宋体"/>
          <w:color w:val="000000" w:themeColor="text1"/>
          <w:sz w:val="24"/>
          <w:szCs w:val="24"/>
        </w:rPr>
      </w:pPr>
    </w:p>
    <w:p>
      <w:pPr>
        <w:pStyle w:val="5"/>
        <w:jc w:val="center"/>
        <w:rPr>
          <w:rFonts w:ascii="宋体" w:hAnsi="宋体" w:cs="宋体"/>
          <w:b w:val="0"/>
          <w:bCs w:val="0"/>
          <w:color w:val="000000" w:themeColor="text1"/>
          <w:sz w:val="28"/>
          <w:szCs w:val="28"/>
        </w:rPr>
      </w:pPr>
      <w:r>
        <w:rPr>
          <w:rFonts w:hint="eastAsia" w:ascii="宋体" w:hAnsi="宋体" w:cs="宋体"/>
          <w:color w:val="000000" w:themeColor="text1"/>
          <w:sz w:val="28"/>
          <w:szCs w:val="28"/>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br w:type="page"/>
      </w:r>
      <w:r>
        <w:rPr>
          <w:rFonts w:hint="eastAsia" w:ascii="宋体" w:hAnsi="宋体" w:cs="宋体"/>
          <w:color w:val="000000" w:themeColor="text1"/>
          <w:sz w:val="28"/>
          <w:szCs w:val="28"/>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t>法人授权书</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rPr>
        <w:t>2022-0</w:t>
      </w:r>
      <w:r>
        <w:rPr>
          <w:rFonts w:hint="eastAsia" w:ascii="宋体" w:hAnsi="宋体" w:cs="宋体"/>
          <w:color w:val="000000" w:themeColor="text1"/>
          <w:sz w:val="24"/>
          <w:szCs w:val="24"/>
          <w:u w:val="single"/>
          <w:lang w:val="en-US" w:eastAsia="zh-CN"/>
        </w:rPr>
        <w:t>42</w:t>
      </w:r>
      <w:r>
        <w:rPr>
          <w:rFonts w:hint="eastAsia" w:ascii="宋体" w:hAnsi="宋体" w:cs="宋体"/>
          <w:color w:val="000000" w:themeColor="text1"/>
          <w:sz w:val="24"/>
          <w:szCs w:val="24"/>
          <w:u w:val="single"/>
        </w:rPr>
        <w:t>Q</w:t>
      </w:r>
      <w:r>
        <w:rPr>
          <w:rFonts w:hint="eastAsia" w:ascii="宋体" w:hAnsi="宋体" w:cs="宋体"/>
          <w:color w:val="000000" w:themeColor="text1"/>
          <w:sz w:val="24"/>
          <w:szCs w:val="24"/>
        </w:rPr>
        <w:t>号项目采购活动的合法代理人，以本公司名义全权处理一切与该项目采购有关的事务。</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89"/>
        <w:ind w:firstLine="0" w:firstLineChars="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sz w:val="24"/>
          <w:szCs w:val="24"/>
        </w:rPr>
      </w:pPr>
      <w:bookmarkStart w:id="237" w:name="_Hlt26671380"/>
      <w:bookmarkEnd w:id="237"/>
      <w:bookmarkStart w:id="238" w:name="_格式3__银行出具的资信证明"/>
      <w:bookmarkEnd w:id="238"/>
      <w:bookmarkStart w:id="239" w:name="_Hlt26955070"/>
      <w:bookmarkEnd w:id="239"/>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240" w:name="_Toc3822"/>
      <w:r>
        <w:rPr>
          <w:rFonts w:hint="eastAsia" w:ascii="宋体" w:hAnsi="宋体" w:cs="宋体"/>
          <w:color w:val="000000" w:themeColor="text1"/>
          <w:sz w:val="32"/>
          <w:szCs w:val="32"/>
        </w:rPr>
        <w:t>二、资格性审查响应对照表（格式）</w:t>
      </w:r>
      <w:bookmarkEnd w:id="240"/>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215"/>
    <w:bookmarkEnd w:id="216"/>
    <w:bookmarkEnd w:id="217"/>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1" w:name="_Toc26324"/>
      <w:r>
        <w:rPr>
          <w:rFonts w:hint="eastAsia" w:ascii="宋体" w:hAnsi="宋体" w:cs="宋体"/>
          <w:color w:val="000000" w:themeColor="text1"/>
          <w:sz w:val="32"/>
          <w:szCs w:val="32"/>
        </w:rPr>
        <w:t>三、符合性检查响应对照表（格式）</w:t>
      </w:r>
      <w:bookmarkEnd w:id="241"/>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bookmarkStart w:id="242" w:name="_Toc120614284"/>
    </w:p>
    <w:p>
      <w:pPr>
        <w:snapToGrid w:val="0"/>
        <w:spacing w:before="50" w:after="50"/>
        <w:rPr>
          <w:rFonts w:ascii="宋体" w:hAnsi="宋体" w:cs="宋体"/>
          <w:color w:val="000000" w:themeColor="text1"/>
          <w:sz w:val="24"/>
          <w:szCs w:val="24"/>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3" w:name="_Toc13422"/>
      <w:r>
        <w:rPr>
          <w:rFonts w:hint="eastAsia" w:ascii="宋体" w:hAnsi="宋体" w:cs="宋体"/>
          <w:color w:val="000000" w:themeColor="text1"/>
          <w:sz w:val="32"/>
          <w:szCs w:val="32"/>
        </w:rPr>
        <w:t>四、投标函（格式）</w:t>
      </w:r>
      <w:bookmarkEnd w:id="243"/>
    </w:p>
    <w:p>
      <w:pPr>
        <w:pStyle w:val="98"/>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2022-0Q号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afterLines="50"/>
        <w:jc w:val="left"/>
        <w:rPr>
          <w:rFonts w:ascii="宋体" w:hAnsi="宋体" w:cs="宋体"/>
          <w:color w:val="000000" w:themeColor="text1"/>
          <w:sz w:val="24"/>
          <w:szCs w:val="24"/>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color w:val="000000" w:themeColor="text1"/>
          <w:sz w:val="32"/>
          <w:szCs w:val="32"/>
        </w:rPr>
      </w:pPr>
    </w:p>
    <w:p>
      <w:pPr>
        <w:numPr>
          <w:ilvl w:val="0"/>
          <w:numId w:val="8"/>
        </w:numPr>
        <w:snapToGrid w:val="0"/>
        <w:spacing w:before="50" w:after="50"/>
        <w:jc w:val="center"/>
        <w:outlineLvl w:val="0"/>
        <w:rPr>
          <w:rFonts w:ascii="宋体" w:hAnsi="宋体" w:cs="宋体"/>
          <w:color w:val="000000" w:themeColor="text1"/>
          <w:sz w:val="32"/>
          <w:szCs w:val="32"/>
        </w:rPr>
      </w:pPr>
      <w:bookmarkStart w:id="244" w:name="_Toc8939"/>
      <w:r>
        <w:rPr>
          <w:rFonts w:hint="eastAsia" w:ascii="宋体" w:hAnsi="宋体" w:cs="宋体"/>
          <w:color w:val="000000" w:themeColor="text1"/>
          <w:sz w:val="32"/>
          <w:szCs w:val="32"/>
        </w:rPr>
        <w:t>开标一览表（格式）</w:t>
      </w:r>
      <w:bookmarkEnd w:id="244"/>
    </w:p>
    <w:p>
      <w:pPr>
        <w:pStyle w:val="3"/>
        <w:jc w:val="both"/>
        <w:rPr>
          <w:rFonts w:ascii="宋体" w:hAnsi="宋体" w:eastAsia="宋体" w:cs="宋体"/>
          <w:color w:val="000000" w:themeColor="text1"/>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rPr>
            </w:pPr>
            <w:r>
              <w:rPr>
                <w:rStyle w:val="115"/>
                <w:rFonts w:hint="eastAsia" w:ascii="宋体" w:hAnsi="宋体" w:cs="宋体"/>
                <w:b/>
                <w:bCs/>
                <w:color w:val="000000" w:themeColor="text1"/>
                <w:sz w:val="24"/>
                <w:szCs w:val="24"/>
              </w:rPr>
              <w:t>项目投标报价：（大写）</w:t>
            </w:r>
            <w:r>
              <w:rPr>
                <w:rStyle w:val="115"/>
                <w:rFonts w:hint="eastAsia" w:ascii="宋体" w:hAnsi="宋体" w:cs="宋体"/>
                <w:color w:val="000000" w:themeColor="text1"/>
                <w:sz w:val="24"/>
                <w:szCs w:val="24"/>
              </w:rPr>
              <w:t>_____</w:t>
            </w:r>
            <w:r>
              <w:rPr>
                <w:rStyle w:val="115"/>
                <w:rFonts w:hint="eastAsia" w:ascii="宋体" w:hAnsi="宋体" w:cs="宋体"/>
                <w:b/>
                <w:bCs/>
                <w:color w:val="000000" w:themeColor="text1"/>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Cs w:val="28"/>
              </w:rPr>
            </w:pPr>
            <w:r>
              <w:rPr>
                <w:rStyle w:val="115"/>
                <w:rFonts w:hint="eastAsia" w:ascii="宋体" w:hAnsi="宋体" w:cs="宋体"/>
                <w:b/>
                <w:bCs/>
                <w:color w:val="000000" w:themeColor="text1"/>
                <w:szCs w:val="28"/>
              </w:rPr>
              <w:t>是否提供《中小企业声明函》：是 / 否   ，见（       ）页。</w:t>
            </w:r>
          </w:p>
        </w:tc>
      </w:tr>
    </w:tbl>
    <w:p>
      <w:pPr>
        <w:spacing w:line="180" w:lineRule="atLeast"/>
        <w:rPr>
          <w:rFonts w:ascii="宋体" w:hAnsi="宋体" w:cs="宋体"/>
          <w:color w:val="000000" w:themeColor="text1"/>
          <w:szCs w:val="28"/>
        </w:rPr>
      </w:pPr>
    </w:p>
    <w:p>
      <w:pPr>
        <w:spacing w:line="180" w:lineRule="atLeast"/>
        <w:rPr>
          <w:rFonts w:ascii="宋体" w:hAnsi="宋体" w:cs="宋体"/>
          <w:color w:val="000000" w:themeColor="text1"/>
          <w:szCs w:val="28"/>
        </w:rPr>
      </w:pPr>
      <w:r>
        <w:rPr>
          <w:rFonts w:hint="eastAsia" w:ascii="宋体" w:hAnsi="宋体" w:cs="宋体"/>
          <w:color w:val="000000" w:themeColor="text1"/>
          <w:szCs w:val="28"/>
        </w:rPr>
        <w:t>填写说明：</w:t>
      </w:r>
    </w:p>
    <w:p>
      <w:pPr>
        <w:numPr>
          <w:ilvl w:val="0"/>
          <w:numId w:val="9"/>
        </w:numPr>
        <w:rPr>
          <w:rFonts w:ascii="宋体" w:hAns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9"/>
        </w:numPr>
        <w:rPr>
          <w:rFonts w:ascii="宋体" w:hAnsi="宋体" w:cs="宋体"/>
          <w:color w:val="000000" w:themeColor="text1"/>
          <w:sz w:val="24"/>
        </w:rPr>
      </w:pPr>
      <w:r>
        <w:rPr>
          <w:rFonts w:hint="eastAsia" w:ascii="宋体" w:hAnsi="宋体" w:cs="宋体"/>
          <w:color w:val="000000" w:themeColor="text1"/>
          <w:sz w:val="24"/>
        </w:rPr>
        <w:t>开标一览表中报价与投标分项明细报价表中不符时时，以开标一览表为准；</w:t>
      </w:r>
    </w:p>
    <w:p>
      <w:pPr>
        <w:ind w:firstLine="2640" w:firstLineChars="600"/>
        <w:rPr>
          <w:rFonts w:ascii="宋体" w:hAnsi="宋体" w:cs="宋体"/>
          <w:color w:val="000000" w:themeColor="text1"/>
          <w:sz w:val="44"/>
        </w:rPr>
      </w:pPr>
    </w:p>
    <w:p>
      <w:pPr>
        <w:ind w:firstLine="480"/>
        <w:rPr>
          <w:rFonts w:ascii="宋体" w:hAnsi="宋体" w:cs="宋体"/>
          <w:color w:val="000000" w:themeColor="text1"/>
          <w:sz w:val="24"/>
        </w:rPr>
      </w:pPr>
    </w:p>
    <w:p>
      <w:pPr>
        <w:ind w:firstLine="480"/>
        <w:rPr>
          <w:rFonts w:ascii="宋体" w:hAnsi="宋体" w:cs="宋体"/>
          <w:color w:val="000000" w:themeColor="text1"/>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年月日</w:t>
      </w:r>
    </w:p>
    <w:p>
      <w:pPr>
        <w:snapToGrid w:val="0"/>
        <w:spacing w:before="50" w:after="50"/>
        <w:rPr>
          <w:rFonts w:ascii="宋体" w:hAnsi="宋体" w:cs="宋体"/>
          <w:color w:val="000000" w:themeColor="text1"/>
          <w:sz w:val="32"/>
          <w:szCs w:val="32"/>
        </w:rPr>
      </w:pPr>
    </w:p>
    <w:p>
      <w:pPr>
        <w:rPr>
          <w:rFonts w:ascii="宋体" w:hAnsi="宋体" w:cs="宋体"/>
          <w:color w:val="000000" w:themeColor="text1"/>
          <w:sz w:val="32"/>
          <w:szCs w:val="32"/>
        </w:rPr>
      </w:pPr>
    </w:p>
    <w:p>
      <w:pPr>
        <w:pStyle w:val="4"/>
        <w:pageBreakBefore/>
        <w:rPr>
          <w:rFonts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r>
        <w:rPr>
          <w:rFonts w:hint="eastAsia"/>
          <w:b/>
          <w:color w:val="000000" w:themeColor="text1"/>
          <w:shd w:val="clear" w:color="auto" w:fill="FFFFFF"/>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22"/>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22"/>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rPr>
      </w:pPr>
      <w:bookmarkStart w:id="245"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245"/>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10"/>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bookmarkEnd w:id="242"/>
    <w:p>
      <w:pPr>
        <w:widowControl/>
        <w:jc w:val="left"/>
        <w:rPr>
          <w:rFonts w:ascii="宋体" w:hAnsi="宋体" w:cs="宋体"/>
          <w:color w:val="000000" w:themeColor="text1"/>
          <w:sz w:val="32"/>
          <w:szCs w:val="32"/>
        </w:rPr>
      </w:pPr>
      <w:bookmarkStart w:id="246" w:name="_Hlt26955054"/>
      <w:bookmarkEnd w:id="246"/>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7" w:name="_Toc17355"/>
      <w:r>
        <w:rPr>
          <w:rFonts w:hint="eastAsia" w:ascii="宋体" w:hAnsi="宋体" w:cs="宋体"/>
          <w:color w:val="000000" w:themeColor="text1"/>
          <w:sz w:val="32"/>
          <w:szCs w:val="32"/>
        </w:rPr>
        <w:t>七、技术参数响应及偏离表（如有）</w:t>
      </w:r>
      <w:bookmarkEnd w:id="247"/>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10"/>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248" w:name="_Toc20796"/>
      <w:r>
        <w:rPr>
          <w:rFonts w:hint="eastAsia" w:ascii="宋体" w:hAnsi="宋体" w:cs="宋体"/>
          <w:color w:val="000000" w:themeColor="text1"/>
          <w:sz w:val="32"/>
          <w:szCs w:val="32"/>
        </w:rPr>
        <w:t>八、商务条款响应及偏离表（如有）</w:t>
      </w:r>
      <w:bookmarkEnd w:id="248"/>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249" w:name="_Hlt26782999"/>
      <w:bookmarkEnd w:id="249"/>
      <w:bookmarkStart w:id="250" w:name="_Hlt24879081"/>
      <w:bookmarkEnd w:id="250"/>
      <w:bookmarkStart w:id="251" w:name="_Hlt26955056"/>
      <w:bookmarkEnd w:id="251"/>
      <w:bookmarkStart w:id="252" w:name="_Hlt26609389"/>
      <w:bookmarkEnd w:id="252"/>
      <w:bookmarkStart w:id="253" w:name="_Hlt26955066"/>
      <w:bookmarkEnd w:id="253"/>
      <w:bookmarkStart w:id="254" w:name="_Hlt26671372"/>
      <w:bookmarkEnd w:id="254"/>
      <w:bookmarkStart w:id="255" w:name="_Hlt26955064"/>
      <w:bookmarkEnd w:id="255"/>
      <w:bookmarkStart w:id="256" w:name="_Hlt26580838"/>
      <w:bookmarkEnd w:id="256"/>
      <w:bookmarkStart w:id="257" w:name="_Hlt26609391"/>
      <w:bookmarkEnd w:id="257"/>
      <w:bookmarkStart w:id="258" w:name="_Hlt26671374"/>
      <w:bookmarkEnd w:id="258"/>
      <w:bookmarkStart w:id="259" w:name="_Hlt26671343"/>
      <w:bookmarkEnd w:id="259"/>
      <w:bookmarkStart w:id="260" w:name="_Toc462564146"/>
    </w:p>
    <w:p>
      <w:pPr>
        <w:pStyle w:val="6"/>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261" w:name="_Toc8363"/>
      <w:r>
        <w:rPr>
          <w:rFonts w:hint="eastAsia" w:ascii="宋体" w:hAnsi="宋体" w:cs="宋体"/>
          <w:color w:val="000000" w:themeColor="text1"/>
          <w:sz w:val="32"/>
          <w:szCs w:val="32"/>
        </w:rPr>
        <w:t>九、技术方案、服务承诺等</w:t>
      </w:r>
      <w:bookmarkEnd w:id="206"/>
      <w:bookmarkEnd w:id="207"/>
      <w:bookmarkEnd w:id="260"/>
      <w:bookmarkEnd w:id="261"/>
      <w:bookmarkStart w:id="262" w:name="_格式2__法定代表人授权书"/>
      <w:bookmarkEnd w:id="262"/>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numPr>
          <w:ilvl w:val="0"/>
          <w:numId w:val="11"/>
        </w:numPr>
        <w:snapToGrid w:val="0"/>
        <w:spacing w:before="50" w:after="50"/>
        <w:outlineLvl w:val="0"/>
        <w:rPr>
          <w:rFonts w:hAnsi="宋体" w:cs="宋体"/>
          <w:b/>
          <w:bCs/>
          <w:color w:val="000000" w:themeColor="text1"/>
        </w:rPr>
        <w:sectPr>
          <w:footerReference r:id="rId11" w:type="first"/>
          <w:footerReference r:id="rId10" w:type="default"/>
          <w:pgSz w:w="11906" w:h="16838"/>
          <w:pgMar w:top="1417" w:right="1587" w:bottom="1417" w:left="1366" w:header="851" w:footer="907" w:gutter="0"/>
          <w:pgNumType w:fmt="decimal"/>
          <w:cols w:space="0" w:num="1"/>
          <w:titlePg/>
          <w:docGrid w:type="lines" w:linePitch="298" w:charSpace="0"/>
        </w:sectPr>
      </w:pPr>
    </w:p>
    <w:p>
      <w:pPr>
        <w:widowControl/>
        <w:spacing w:line="460" w:lineRule="exact"/>
        <w:outlineLvl w:val="0"/>
        <w:rPr>
          <w:rFonts w:ascii="宋体" w:hAnsi="宋体" w:cs="宋体"/>
          <w:color w:val="000000" w:themeColor="text1"/>
          <w:sz w:val="32"/>
        </w:rPr>
      </w:pPr>
      <w:bookmarkStart w:id="263" w:name="_Toc22033"/>
    </w:p>
    <w:p>
      <w:pPr>
        <w:widowControl/>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rPr>
      </w:pP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4" w:name="_Toc1790"/>
      <w:r>
        <w:rPr>
          <w:rFonts w:hint="eastAsia" w:ascii="宋体" w:hAnsi="宋体" w:cs="宋体"/>
          <w:color w:val="000000" w:themeColor="text1"/>
          <w:sz w:val="24"/>
          <w:szCs w:val="24"/>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5" w:name="_Toc27882"/>
      <w:r>
        <w:rPr>
          <w:rFonts w:hint="eastAsia" w:ascii="宋体" w:hAnsi="宋体" w:cs="宋体"/>
          <w:color w:val="000000" w:themeColor="text1"/>
          <w:sz w:val="24"/>
          <w:szCs w:val="24"/>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6" w:name="_Toc385"/>
      <w:r>
        <w:rPr>
          <w:rFonts w:hint="eastAsia" w:ascii="宋体" w:hAnsi="宋体" w:cs="宋体"/>
          <w:color w:val="000000" w:themeColor="text1"/>
          <w:sz w:val="24"/>
          <w:szCs w:val="24"/>
        </w:rPr>
        <w:t>年    月    日</w:t>
      </w:r>
      <w:bookmarkEnd w:id="266"/>
    </w:p>
    <w:p>
      <w:pPr>
        <w:pStyle w:val="2"/>
        <w:rPr>
          <w:rFonts w:ascii="宋体" w:hAnsi="宋体" w:eastAsia="宋体" w:cs="宋体"/>
          <w:color w:val="000000" w:themeColor="text1"/>
        </w:rPr>
      </w:pPr>
    </w:p>
    <w:sectPr>
      <w:footerReference r:id="rId12" w:type="default"/>
      <w:pgSz w:w="11906" w:h="16838"/>
      <w:pgMar w:top="1417" w:right="1588" w:bottom="1417"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1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22</w:t>
                </w:r>
                <w:r>
                  <w:fldChar w:fldCharType="end"/>
                </w:r>
              </w:p>
            </w:txbxContent>
          </v:textbox>
        </v:shape>
      </w:pict>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4" o:spid="_x0000_s103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5" o:spid="_x0000_s103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42</w:t>
                </w:r>
                <w:r>
                  <w:fldChar w:fldCharType="end"/>
                </w:r>
              </w:p>
            </w:txbxContent>
          </v:textbox>
        </v:shape>
      </w:pict>
    </w: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29"/>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6" o:spid="_x0000_s103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42</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42</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AE273C1F"/>
    <w:multiLevelType w:val="singleLevel"/>
    <w:tmpl w:val="AE273C1F"/>
    <w:lvl w:ilvl="0" w:tentative="0">
      <w:start w:val="12"/>
      <w:numFmt w:val="chineseCounting"/>
      <w:suff w:val="nothing"/>
      <w:lvlText w:val="%1、"/>
      <w:lvlJc w:val="left"/>
      <w:rPr>
        <w:rFonts w:hint="eastAsia"/>
      </w:rPr>
    </w:lvl>
  </w:abstractNum>
  <w:abstractNum w:abstractNumId="2">
    <w:nsid w:val="BE321FD4"/>
    <w:multiLevelType w:val="singleLevel"/>
    <w:tmpl w:val="BE321FD4"/>
    <w:lvl w:ilvl="0" w:tentative="0">
      <w:start w:val="1"/>
      <w:numFmt w:val="chineseCounting"/>
      <w:suff w:val="nothing"/>
      <w:lvlText w:val="%1、"/>
      <w:lvlJc w:val="left"/>
      <w:rPr>
        <w:rFonts w:hint="eastAsia"/>
      </w:rPr>
    </w:lvl>
  </w:abstractNum>
  <w:abstractNum w:abstractNumId="3">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4">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644F86A"/>
    <w:multiLevelType w:val="singleLevel"/>
    <w:tmpl w:val="1644F86A"/>
    <w:lvl w:ilvl="0" w:tentative="0">
      <w:start w:val="4"/>
      <w:numFmt w:val="chineseCounting"/>
      <w:suff w:val="space"/>
      <w:lvlText w:val="第%1章"/>
      <w:lvlJc w:val="left"/>
      <w:rPr>
        <w:rFonts w:hint="eastAsia"/>
      </w:rPr>
    </w:lvl>
  </w:abstractNum>
  <w:abstractNum w:abstractNumId="6">
    <w:nsid w:val="23CA3DFE"/>
    <w:multiLevelType w:val="singleLevel"/>
    <w:tmpl w:val="23CA3DFE"/>
    <w:lvl w:ilvl="0" w:tentative="0">
      <w:start w:val="1"/>
      <w:numFmt w:val="decimal"/>
      <w:lvlText w:val="%1、"/>
      <w:lvlJc w:val="left"/>
      <w:pPr>
        <w:tabs>
          <w:tab w:val="left" w:pos="480"/>
        </w:tabs>
        <w:ind w:left="480" w:hanging="480"/>
      </w:pPr>
    </w:lvl>
  </w:abstractNum>
  <w:abstractNum w:abstractNumId="7">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8">
    <w:nsid w:val="34620FCE"/>
    <w:multiLevelType w:val="singleLevel"/>
    <w:tmpl w:val="34620FCE"/>
    <w:lvl w:ilvl="0" w:tentative="0">
      <w:start w:val="5"/>
      <w:numFmt w:val="chineseCounting"/>
      <w:suff w:val="nothing"/>
      <w:lvlText w:val="%1、"/>
      <w:lvlJc w:val="left"/>
      <w:rPr>
        <w:rFonts w:hint="eastAsia"/>
      </w:rPr>
    </w:lvl>
  </w:abstractNum>
  <w:abstractNum w:abstractNumId="9">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10"/>
  </w:num>
  <w:num w:numId="2">
    <w:abstractNumId w:val="3"/>
  </w:num>
  <w:num w:numId="3">
    <w:abstractNumId w:val="9"/>
  </w:num>
  <w:num w:numId="4">
    <w:abstractNumId w:val="0"/>
  </w:num>
  <w:num w:numId="5">
    <w:abstractNumId w:val="1"/>
  </w:num>
  <w:num w:numId="6">
    <w:abstractNumId w:val="5"/>
  </w:num>
  <w:num w:numId="7">
    <w:abstractNumId w:val="2"/>
  </w:num>
  <w:num w:numId="8">
    <w:abstractNumId w:val="8"/>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398"/>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048C"/>
    <w:rsid w:val="000B1517"/>
    <w:rsid w:val="000B7486"/>
    <w:rsid w:val="000B7669"/>
    <w:rsid w:val="000C0376"/>
    <w:rsid w:val="000C0CA5"/>
    <w:rsid w:val="000C1440"/>
    <w:rsid w:val="000C3447"/>
    <w:rsid w:val="000C3B7F"/>
    <w:rsid w:val="000C4A8C"/>
    <w:rsid w:val="000C6DBE"/>
    <w:rsid w:val="000C73FF"/>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06D92"/>
    <w:rsid w:val="00110803"/>
    <w:rsid w:val="00113C44"/>
    <w:rsid w:val="00115161"/>
    <w:rsid w:val="00115439"/>
    <w:rsid w:val="00116CC8"/>
    <w:rsid w:val="00116DBE"/>
    <w:rsid w:val="001209A8"/>
    <w:rsid w:val="00120B27"/>
    <w:rsid w:val="001216F8"/>
    <w:rsid w:val="0012335D"/>
    <w:rsid w:val="00126079"/>
    <w:rsid w:val="00127195"/>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1AE8"/>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C7C11"/>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0ED5"/>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66B06"/>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630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3F6983"/>
    <w:rsid w:val="004007DB"/>
    <w:rsid w:val="00400C8B"/>
    <w:rsid w:val="004018B8"/>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46DC"/>
    <w:rsid w:val="00595052"/>
    <w:rsid w:val="005966F6"/>
    <w:rsid w:val="00597A56"/>
    <w:rsid w:val="00597AD8"/>
    <w:rsid w:val="005A0E90"/>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14A"/>
    <w:rsid w:val="00730623"/>
    <w:rsid w:val="00731ABA"/>
    <w:rsid w:val="00734AAC"/>
    <w:rsid w:val="0073782C"/>
    <w:rsid w:val="00737840"/>
    <w:rsid w:val="00737E98"/>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56B1B"/>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775"/>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2AF"/>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0E6"/>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1E7"/>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565"/>
    <w:rsid w:val="00D74CC2"/>
    <w:rsid w:val="00D7540F"/>
    <w:rsid w:val="00D76F78"/>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2A"/>
    <w:rsid w:val="00E847CA"/>
    <w:rsid w:val="00E84A4E"/>
    <w:rsid w:val="00E8533E"/>
    <w:rsid w:val="00E85B02"/>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2C040B5"/>
    <w:rsid w:val="03240C83"/>
    <w:rsid w:val="036C5B85"/>
    <w:rsid w:val="038D4024"/>
    <w:rsid w:val="03CD2A40"/>
    <w:rsid w:val="05EB7A33"/>
    <w:rsid w:val="061A3A5E"/>
    <w:rsid w:val="06DA0035"/>
    <w:rsid w:val="06DD2A3E"/>
    <w:rsid w:val="06FC0BD1"/>
    <w:rsid w:val="07537D8D"/>
    <w:rsid w:val="07E970E1"/>
    <w:rsid w:val="092819AB"/>
    <w:rsid w:val="099005DD"/>
    <w:rsid w:val="099E54B7"/>
    <w:rsid w:val="0AB14695"/>
    <w:rsid w:val="0AB438A8"/>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7A031CF"/>
    <w:rsid w:val="18184CED"/>
    <w:rsid w:val="183D0EAD"/>
    <w:rsid w:val="19E2542C"/>
    <w:rsid w:val="1B5B23C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26B4585"/>
    <w:rsid w:val="22C87508"/>
    <w:rsid w:val="23B25BC1"/>
    <w:rsid w:val="24684E55"/>
    <w:rsid w:val="246F00C4"/>
    <w:rsid w:val="248E7DC8"/>
    <w:rsid w:val="24FD3BFF"/>
    <w:rsid w:val="256A51B9"/>
    <w:rsid w:val="27233DA8"/>
    <w:rsid w:val="275978C1"/>
    <w:rsid w:val="275F3615"/>
    <w:rsid w:val="27C4770A"/>
    <w:rsid w:val="28A8690F"/>
    <w:rsid w:val="29395EDB"/>
    <w:rsid w:val="295A6C21"/>
    <w:rsid w:val="296E77CC"/>
    <w:rsid w:val="29D578F1"/>
    <w:rsid w:val="2A046F50"/>
    <w:rsid w:val="2A186894"/>
    <w:rsid w:val="2B556D8B"/>
    <w:rsid w:val="2BAC4606"/>
    <w:rsid w:val="2BF94B05"/>
    <w:rsid w:val="2C4A2609"/>
    <w:rsid w:val="2CD43621"/>
    <w:rsid w:val="2D025BA4"/>
    <w:rsid w:val="2D1D6F93"/>
    <w:rsid w:val="2D255B2E"/>
    <w:rsid w:val="2D433FFD"/>
    <w:rsid w:val="2D9E4D2B"/>
    <w:rsid w:val="2E656801"/>
    <w:rsid w:val="2E8A07BD"/>
    <w:rsid w:val="2EC152C1"/>
    <w:rsid w:val="2EEB0553"/>
    <w:rsid w:val="2F056EEE"/>
    <w:rsid w:val="2F2213F4"/>
    <w:rsid w:val="306D6FBD"/>
    <w:rsid w:val="30806A8E"/>
    <w:rsid w:val="308F4CF9"/>
    <w:rsid w:val="30D763BF"/>
    <w:rsid w:val="3163741B"/>
    <w:rsid w:val="32093A30"/>
    <w:rsid w:val="321310F1"/>
    <w:rsid w:val="3223166E"/>
    <w:rsid w:val="32522AEA"/>
    <w:rsid w:val="34711F4D"/>
    <w:rsid w:val="347A7879"/>
    <w:rsid w:val="34EA0C07"/>
    <w:rsid w:val="35577B35"/>
    <w:rsid w:val="35D935F1"/>
    <w:rsid w:val="37105028"/>
    <w:rsid w:val="385139BD"/>
    <w:rsid w:val="398F69F5"/>
    <w:rsid w:val="39957D5B"/>
    <w:rsid w:val="3A0663B5"/>
    <w:rsid w:val="3A323F12"/>
    <w:rsid w:val="3AF93623"/>
    <w:rsid w:val="3B343338"/>
    <w:rsid w:val="3BB731E4"/>
    <w:rsid w:val="3BCE35E5"/>
    <w:rsid w:val="3C5D2E55"/>
    <w:rsid w:val="3C7025C7"/>
    <w:rsid w:val="3C8B7266"/>
    <w:rsid w:val="3D102ED4"/>
    <w:rsid w:val="3D8457B7"/>
    <w:rsid w:val="3D9703B1"/>
    <w:rsid w:val="3DA45504"/>
    <w:rsid w:val="3E2F6470"/>
    <w:rsid w:val="3F1B3A07"/>
    <w:rsid w:val="40195DA0"/>
    <w:rsid w:val="40965737"/>
    <w:rsid w:val="4132380B"/>
    <w:rsid w:val="420B6D31"/>
    <w:rsid w:val="42431CC8"/>
    <w:rsid w:val="42BD1230"/>
    <w:rsid w:val="4355594B"/>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3B5BD0"/>
    <w:rsid w:val="49BF2877"/>
    <w:rsid w:val="4A0601AC"/>
    <w:rsid w:val="4AC93AEC"/>
    <w:rsid w:val="4AF02B05"/>
    <w:rsid w:val="4AFF7111"/>
    <w:rsid w:val="4B494A5A"/>
    <w:rsid w:val="4C3E4531"/>
    <w:rsid w:val="4CD47C7E"/>
    <w:rsid w:val="4DB13004"/>
    <w:rsid w:val="4DF70AF7"/>
    <w:rsid w:val="4E30322A"/>
    <w:rsid w:val="4E4E42A3"/>
    <w:rsid w:val="4F0B1C83"/>
    <w:rsid w:val="50440F93"/>
    <w:rsid w:val="50623A14"/>
    <w:rsid w:val="513D15FA"/>
    <w:rsid w:val="515F22AF"/>
    <w:rsid w:val="51877C0C"/>
    <w:rsid w:val="51B97CC5"/>
    <w:rsid w:val="51D100F5"/>
    <w:rsid w:val="52195C5B"/>
    <w:rsid w:val="534A15B2"/>
    <w:rsid w:val="535A22F5"/>
    <w:rsid w:val="53715A8B"/>
    <w:rsid w:val="5408165A"/>
    <w:rsid w:val="549D746D"/>
    <w:rsid w:val="54E7304B"/>
    <w:rsid w:val="55280D7F"/>
    <w:rsid w:val="555C23D1"/>
    <w:rsid w:val="55926BA1"/>
    <w:rsid w:val="561E09E9"/>
    <w:rsid w:val="5697129D"/>
    <w:rsid w:val="58083964"/>
    <w:rsid w:val="589C3B71"/>
    <w:rsid w:val="58C26E9B"/>
    <w:rsid w:val="59167B6E"/>
    <w:rsid w:val="59C564D6"/>
    <w:rsid w:val="5A127462"/>
    <w:rsid w:val="5AB31D37"/>
    <w:rsid w:val="5AD12546"/>
    <w:rsid w:val="5CA05437"/>
    <w:rsid w:val="5D2D3F61"/>
    <w:rsid w:val="5D8D128E"/>
    <w:rsid w:val="5DCD0713"/>
    <w:rsid w:val="5E262CED"/>
    <w:rsid w:val="5E347ADF"/>
    <w:rsid w:val="5E4467FA"/>
    <w:rsid w:val="5E91745A"/>
    <w:rsid w:val="5EA23BE9"/>
    <w:rsid w:val="5EAA3CE9"/>
    <w:rsid w:val="5FC23A99"/>
    <w:rsid w:val="5FC30FE5"/>
    <w:rsid w:val="60C2301D"/>
    <w:rsid w:val="60F954CA"/>
    <w:rsid w:val="61185BB1"/>
    <w:rsid w:val="615A7538"/>
    <w:rsid w:val="615E5DBA"/>
    <w:rsid w:val="619B3E34"/>
    <w:rsid w:val="61B24459"/>
    <w:rsid w:val="62FA104D"/>
    <w:rsid w:val="639413D1"/>
    <w:rsid w:val="63CE1FF0"/>
    <w:rsid w:val="64283A5F"/>
    <w:rsid w:val="64740760"/>
    <w:rsid w:val="649E033F"/>
    <w:rsid w:val="65573289"/>
    <w:rsid w:val="65625852"/>
    <w:rsid w:val="65846229"/>
    <w:rsid w:val="66A56E0D"/>
    <w:rsid w:val="67010561"/>
    <w:rsid w:val="67455BA7"/>
    <w:rsid w:val="67CB0233"/>
    <w:rsid w:val="68485D83"/>
    <w:rsid w:val="69026EF3"/>
    <w:rsid w:val="69BA15C7"/>
    <w:rsid w:val="69D8078F"/>
    <w:rsid w:val="6A2E5B11"/>
    <w:rsid w:val="6A41228D"/>
    <w:rsid w:val="6A4E2E77"/>
    <w:rsid w:val="6AB663FC"/>
    <w:rsid w:val="6B047A4E"/>
    <w:rsid w:val="6B0A6015"/>
    <w:rsid w:val="6BEA0B22"/>
    <w:rsid w:val="6BF5735C"/>
    <w:rsid w:val="6C2F6BD5"/>
    <w:rsid w:val="6C480AB5"/>
    <w:rsid w:val="6D69131E"/>
    <w:rsid w:val="6D754FE7"/>
    <w:rsid w:val="6D8132A7"/>
    <w:rsid w:val="6DFB7772"/>
    <w:rsid w:val="6E826BC5"/>
    <w:rsid w:val="6EC77533"/>
    <w:rsid w:val="6EE1672F"/>
    <w:rsid w:val="6F1D4630"/>
    <w:rsid w:val="6F80131E"/>
    <w:rsid w:val="70123A7A"/>
    <w:rsid w:val="705B7179"/>
    <w:rsid w:val="715B18B1"/>
    <w:rsid w:val="715E40B2"/>
    <w:rsid w:val="71EC79AC"/>
    <w:rsid w:val="72B536B2"/>
    <w:rsid w:val="72C03C99"/>
    <w:rsid w:val="73273E54"/>
    <w:rsid w:val="7338289F"/>
    <w:rsid w:val="73F12F09"/>
    <w:rsid w:val="7459405D"/>
    <w:rsid w:val="74B83223"/>
    <w:rsid w:val="754C46B4"/>
    <w:rsid w:val="75906F6B"/>
    <w:rsid w:val="75B5488B"/>
    <w:rsid w:val="75CE2848"/>
    <w:rsid w:val="77864E38"/>
    <w:rsid w:val="779B3589"/>
    <w:rsid w:val="77BD39B5"/>
    <w:rsid w:val="77C4170E"/>
    <w:rsid w:val="77FA1D4F"/>
    <w:rsid w:val="782F2B70"/>
    <w:rsid w:val="78830CAE"/>
    <w:rsid w:val="789C09C7"/>
    <w:rsid w:val="78AD72C7"/>
    <w:rsid w:val="78D6061E"/>
    <w:rsid w:val="795534C5"/>
    <w:rsid w:val="79FD13E9"/>
    <w:rsid w:val="7A743D1D"/>
    <w:rsid w:val="7BBB6F0C"/>
    <w:rsid w:val="7C8426BA"/>
    <w:rsid w:val="7CE231D6"/>
    <w:rsid w:val="7E1E3B10"/>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6">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7"/>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9"/>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2"/>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字符"/>
    <w:link w:val="6"/>
    <w:qFormat/>
    <w:uiPriority w:val="0"/>
    <w:rPr>
      <w:kern w:val="2"/>
      <w:sz w:val="21"/>
      <w:szCs w:val="21"/>
    </w:rPr>
  </w:style>
  <w:style w:type="character" w:customStyle="1" w:styleId="65">
    <w:name w:val="标题 3 字符"/>
    <w:link w:val="5"/>
    <w:qFormat/>
    <w:uiPriority w:val="0"/>
    <w:rPr>
      <w:rFonts w:eastAsia="宋体"/>
      <w:b/>
      <w:bCs/>
      <w:kern w:val="2"/>
      <w:sz w:val="32"/>
      <w:szCs w:val="32"/>
      <w:lang w:val="en-US" w:eastAsia="zh-CN" w:bidi="ar-SA"/>
    </w:rPr>
  </w:style>
  <w:style w:type="character" w:customStyle="1" w:styleId="66">
    <w:name w:val="标题 4 字符"/>
    <w:link w:val="7"/>
    <w:qFormat/>
    <w:uiPriority w:val="0"/>
    <w:rPr>
      <w:rFonts w:ascii="Cambria" w:hAnsi="Cambria" w:eastAsia="宋体" w:cs="Times New Roman"/>
      <w:b/>
      <w:kern w:val="2"/>
      <w:sz w:val="28"/>
      <w:szCs w:val="28"/>
    </w:rPr>
  </w:style>
  <w:style w:type="character" w:customStyle="1" w:styleId="67">
    <w:name w:val="文档结构图 字符"/>
    <w:link w:val="15"/>
    <w:qFormat/>
    <w:uiPriority w:val="0"/>
    <w:rPr>
      <w:rFonts w:eastAsia="宋体"/>
      <w:kern w:val="2"/>
      <w:sz w:val="21"/>
      <w:szCs w:val="21"/>
      <w:lang w:val="en-US" w:eastAsia="zh-CN" w:bidi="ar-SA"/>
    </w:rPr>
  </w:style>
  <w:style w:type="character" w:customStyle="1" w:styleId="68">
    <w:name w:val="纯文本 字符"/>
    <w:link w:val="24"/>
    <w:qFormat/>
    <w:uiPriority w:val="0"/>
    <w:rPr>
      <w:rFonts w:ascii="宋体" w:hAnsi="Courier New" w:cs="Courier New"/>
      <w:kern w:val="2"/>
      <w:sz w:val="21"/>
      <w:szCs w:val="21"/>
    </w:rPr>
  </w:style>
  <w:style w:type="character" w:customStyle="1" w:styleId="69">
    <w:name w:val="页脚 字符"/>
    <w:link w:val="29"/>
    <w:qFormat/>
    <w:uiPriority w:val="0"/>
    <w:rPr>
      <w:kern w:val="2"/>
      <w:sz w:val="18"/>
      <w:szCs w:val="18"/>
    </w:rPr>
  </w:style>
  <w:style w:type="character" w:customStyle="1" w:styleId="70">
    <w:name w:val="页眉 字符"/>
    <w:link w:val="30"/>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5"/>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5"/>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2"/>
    <w:qFormat/>
    <w:uiPriority w:val="0"/>
    <w:pPr>
      <w:spacing w:after="120"/>
    </w:pPr>
    <w:rPr>
      <w:rFonts w:ascii="宋体" w:hAnsi="Arial"/>
      <w:bCs/>
      <w:iCs/>
      <w:szCs w:val="24"/>
    </w:rPr>
  </w:style>
  <w:style w:type="paragraph" w:customStyle="1" w:styleId="103">
    <w:name w:val="Char1"/>
    <w:basedOn w:val="15"/>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5"/>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 w:type="paragraph" w:customStyle="1" w:styleId="123">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2" textRotate="1"/>
    <customShpInfo spid="_x0000_s1033" textRotate="1"/>
    <customShpInfo spid="_x0000_s1034" textRotate="1"/>
    <customShpInfo spid="_x0000_s1035" textRotate="1"/>
    <customShpInfo spid="_x0000_s1029"/>
    <customShpInfo spid="_x0000_s103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Pages>48</Pages>
  <Words>21647</Words>
  <Characters>22868</Characters>
  <Lines>187</Lines>
  <Paragraphs>52</Paragraphs>
  <TotalTime>7</TotalTime>
  <ScaleCrop>false</ScaleCrop>
  <LinksUpToDate>false</LinksUpToDate>
  <CharactersWithSpaces>24971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2022-11-09T08:57:59Z</dcterms:modified>
  <dc:title>江苏卫生信息系统业务软件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8400234576B2478F8ACA41C75A0DC4D3</vt:lpwstr>
  </property>
</Properties>
</file>