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tabs>
          <w:tab w:val="left" w:pos="7642"/>
        </w:tabs>
        <w:ind w:firstLine="0"/>
        <w:rPr>
          <w:rFonts w:ascii="宋体"/>
          <w:b/>
          <w:sz w:val="52"/>
          <w:szCs w:val="52"/>
        </w:rPr>
      </w:pPr>
      <w:r>
        <w:rPr>
          <w:rFonts w:ascii="宋体"/>
          <w:b/>
          <w:sz w:val="52"/>
          <w:szCs w:val="52"/>
        </w:rPr>
        <w:tab/>
      </w:r>
    </w:p>
    <w:p>
      <w:pPr>
        <w:pStyle w:val="74"/>
        <w:ind w:firstLine="0"/>
        <w:jc w:val="center"/>
        <w:rPr>
          <w:rFonts w:ascii="宋体"/>
          <w:b/>
          <w:sz w:val="52"/>
          <w:szCs w:val="52"/>
        </w:rPr>
      </w:pPr>
    </w:p>
    <w:p>
      <w:pPr>
        <w:pStyle w:val="74"/>
        <w:ind w:firstLine="0"/>
        <w:jc w:val="center"/>
        <w:rPr>
          <w:rFonts w:ascii="宋体"/>
          <w:b/>
          <w:sz w:val="52"/>
          <w:szCs w:val="52"/>
        </w:rPr>
      </w:pPr>
    </w:p>
    <w:p>
      <w:pPr>
        <w:pStyle w:val="74"/>
        <w:ind w:firstLine="0"/>
        <w:jc w:val="center"/>
        <w:rPr>
          <w:rFonts w:eastAsia="黑体"/>
          <w:b/>
          <w:bCs/>
          <w:sz w:val="84"/>
        </w:rPr>
      </w:pPr>
      <w:r>
        <w:rPr>
          <w:rFonts w:hint="eastAsia" w:eastAsia="黑体"/>
          <w:b/>
          <w:bCs/>
          <w:sz w:val="84"/>
        </w:rPr>
        <w:t>竞争性磋商文件</w:t>
      </w:r>
    </w:p>
    <w:p>
      <w:pPr>
        <w:pStyle w:val="74"/>
        <w:ind w:firstLine="0"/>
        <w:rPr>
          <w:rFonts w:ascii="宋体"/>
          <w:b/>
          <w:bCs/>
          <w:sz w:val="32"/>
          <w:szCs w:val="32"/>
        </w:rPr>
      </w:pPr>
    </w:p>
    <w:p>
      <w:pPr>
        <w:pStyle w:val="74"/>
        <w:ind w:firstLine="0"/>
        <w:rPr>
          <w:rFonts w:ascii="宋体"/>
          <w:b/>
          <w:bCs/>
          <w:sz w:val="32"/>
          <w:szCs w:val="32"/>
        </w:rPr>
      </w:pPr>
    </w:p>
    <w:p>
      <w:pPr>
        <w:pStyle w:val="74"/>
        <w:ind w:firstLine="0"/>
        <w:rPr>
          <w:rFonts w:ascii="宋体"/>
          <w:b/>
          <w:bCs/>
          <w:sz w:val="32"/>
          <w:szCs w:val="32"/>
        </w:rPr>
      </w:pPr>
    </w:p>
    <w:p>
      <w:pPr>
        <w:pStyle w:val="74"/>
        <w:ind w:firstLine="0"/>
        <w:jc w:val="center"/>
        <w:rPr>
          <w:b/>
          <w:bCs/>
          <w:sz w:val="32"/>
          <w:szCs w:val="32"/>
        </w:rPr>
      </w:pPr>
      <w:r>
        <w:rPr>
          <w:rFonts w:hint="eastAsia"/>
          <w:b/>
          <w:bCs/>
          <w:sz w:val="32"/>
          <w:szCs w:val="32"/>
        </w:rPr>
        <w:t>项目名称：盐城工业职业技术学院纺织设备HMI端操作</w:t>
      </w:r>
    </w:p>
    <w:p>
      <w:pPr>
        <w:pStyle w:val="74"/>
        <w:ind w:firstLine="0"/>
        <w:jc w:val="center"/>
        <w:rPr>
          <w:b/>
          <w:bCs/>
          <w:sz w:val="32"/>
          <w:szCs w:val="32"/>
        </w:rPr>
      </w:pPr>
      <w:r>
        <w:rPr>
          <w:rFonts w:hint="eastAsia"/>
          <w:b/>
          <w:bCs/>
          <w:sz w:val="32"/>
          <w:szCs w:val="32"/>
        </w:rPr>
        <w:t>模拟系统开发</w:t>
      </w:r>
    </w:p>
    <w:p>
      <w:pPr>
        <w:pStyle w:val="74"/>
        <w:ind w:firstLine="0"/>
        <w:jc w:val="center"/>
        <w:rPr>
          <w:b/>
          <w:bCs/>
          <w:sz w:val="32"/>
          <w:szCs w:val="32"/>
        </w:rPr>
      </w:pPr>
    </w:p>
    <w:p>
      <w:pPr>
        <w:pStyle w:val="74"/>
        <w:ind w:firstLine="0"/>
        <w:jc w:val="center"/>
        <w:rPr>
          <w:rFonts w:hint="eastAsia" w:eastAsia="宋体"/>
          <w:b/>
          <w:bCs/>
          <w:sz w:val="32"/>
          <w:szCs w:val="32"/>
          <w:u w:val="single"/>
          <w:lang w:eastAsia="zh-CN"/>
        </w:rPr>
      </w:pPr>
      <w:r>
        <w:rPr>
          <w:rFonts w:hint="eastAsia"/>
          <w:b/>
          <w:bCs/>
          <w:sz w:val="32"/>
          <w:szCs w:val="32"/>
        </w:rPr>
        <w:t>项目编号：</w:t>
      </w:r>
      <w:r>
        <w:rPr>
          <w:b/>
          <w:bCs/>
          <w:sz w:val="32"/>
          <w:szCs w:val="32"/>
        </w:rPr>
        <w:t>2018-</w:t>
      </w:r>
      <w:r>
        <w:rPr>
          <w:rFonts w:hint="eastAsia"/>
          <w:b/>
          <w:bCs/>
          <w:sz w:val="32"/>
          <w:szCs w:val="32"/>
          <w:lang w:eastAsia="zh-CN"/>
        </w:rPr>
        <w:t>008S-2</w:t>
      </w:r>
    </w:p>
    <w:p>
      <w:pPr>
        <w:pStyle w:val="74"/>
        <w:ind w:firstLine="0"/>
        <w:jc w:val="center"/>
        <w:rPr>
          <w:b/>
          <w:bCs/>
          <w:sz w:val="32"/>
        </w:rPr>
      </w:pPr>
    </w:p>
    <w:p>
      <w:pPr>
        <w:pStyle w:val="74"/>
        <w:ind w:firstLine="0"/>
        <w:jc w:val="center"/>
        <w:rPr>
          <w:b/>
          <w:bCs/>
          <w:sz w:val="32"/>
        </w:rPr>
      </w:pPr>
    </w:p>
    <w:p>
      <w:pPr>
        <w:pStyle w:val="74"/>
        <w:ind w:firstLine="0"/>
        <w:jc w:val="center"/>
        <w:rPr>
          <w:b/>
          <w:bCs/>
          <w:sz w:val="32"/>
        </w:rPr>
      </w:pPr>
    </w:p>
    <w:p>
      <w:pPr>
        <w:pStyle w:val="74"/>
        <w:ind w:firstLine="0"/>
        <w:jc w:val="center"/>
        <w:rPr>
          <w:b/>
          <w:bCs/>
          <w:sz w:val="32"/>
        </w:rPr>
      </w:pPr>
    </w:p>
    <w:p>
      <w:pPr>
        <w:pStyle w:val="74"/>
        <w:ind w:firstLine="0"/>
        <w:jc w:val="center"/>
        <w:rPr>
          <w:b/>
          <w:bCs/>
          <w:sz w:val="32"/>
        </w:rPr>
      </w:pPr>
      <w:r>
        <w:rPr>
          <w:rFonts w:hint="eastAsia"/>
          <w:b/>
          <w:bCs/>
          <w:sz w:val="32"/>
        </w:rPr>
        <w:t>盐城工业职业技术学院</w:t>
      </w:r>
    </w:p>
    <w:p>
      <w:pPr>
        <w:pStyle w:val="74"/>
        <w:ind w:firstLine="0"/>
        <w:jc w:val="center"/>
        <w:rPr>
          <w:b/>
          <w:bCs/>
          <w:sz w:val="32"/>
        </w:rPr>
      </w:pPr>
      <w:r>
        <w:rPr>
          <w:rFonts w:hint="eastAsia"/>
          <w:b/>
          <w:bCs/>
          <w:sz w:val="32"/>
        </w:rPr>
        <w:t>江苏双清工程造价咨询有限公司</w:t>
      </w:r>
    </w:p>
    <w:p>
      <w:pPr>
        <w:pStyle w:val="74"/>
        <w:ind w:firstLine="0"/>
        <w:jc w:val="center"/>
        <w:rPr>
          <w:b/>
          <w:bCs/>
          <w:sz w:val="32"/>
        </w:rPr>
      </w:pPr>
      <w:r>
        <w:rPr>
          <w:b/>
          <w:bCs/>
          <w:sz w:val="32"/>
        </w:rPr>
        <w:t>2018</w:t>
      </w:r>
      <w:r>
        <w:rPr>
          <w:rFonts w:hint="eastAsia"/>
          <w:b/>
          <w:bCs/>
          <w:sz w:val="32"/>
        </w:rPr>
        <w:t>年1</w:t>
      </w:r>
      <w:r>
        <w:rPr>
          <w:rFonts w:hint="eastAsia"/>
          <w:b/>
          <w:bCs/>
          <w:sz w:val="32"/>
          <w:lang w:val="en-US" w:eastAsia="zh-CN"/>
        </w:rPr>
        <w:t>2</w:t>
      </w:r>
      <w:r>
        <w:rPr>
          <w:rFonts w:hint="eastAsia"/>
          <w:b/>
          <w:bCs/>
          <w:sz w:val="32"/>
        </w:rPr>
        <w:t>月</w:t>
      </w:r>
      <w:r>
        <w:rPr>
          <w:rFonts w:hint="eastAsia"/>
          <w:b/>
          <w:bCs/>
          <w:sz w:val="32"/>
          <w:lang w:val="en-US" w:eastAsia="zh-CN"/>
        </w:rPr>
        <w:t>14</w:t>
      </w:r>
      <w:r>
        <w:rPr>
          <w:rFonts w:hint="eastAsia"/>
          <w:b/>
          <w:bCs/>
          <w:sz w:val="32"/>
        </w:rPr>
        <w:t>日</w:t>
      </w:r>
    </w:p>
    <w:p>
      <w:pPr>
        <w:pStyle w:val="74"/>
        <w:ind w:firstLine="0"/>
        <w:jc w:val="center"/>
        <w:rPr>
          <w:b/>
          <w:bCs/>
          <w:sz w:val="32"/>
        </w:rPr>
      </w:pPr>
    </w:p>
    <w:p>
      <w:pPr>
        <w:pStyle w:val="74"/>
        <w:ind w:firstLine="0"/>
        <w:jc w:val="center"/>
        <w:rPr>
          <w:b/>
          <w:bCs/>
          <w:sz w:val="32"/>
        </w:rPr>
      </w:pPr>
    </w:p>
    <w:p>
      <w:pPr>
        <w:jc w:val="center"/>
        <w:rPr>
          <w:rFonts w:ascii="宋体"/>
          <w:b/>
          <w:sz w:val="44"/>
          <w:szCs w:val="44"/>
        </w:rPr>
      </w:pPr>
    </w:p>
    <w:p>
      <w:pPr>
        <w:spacing w:line="276" w:lineRule="auto"/>
        <w:rPr>
          <w:rFonts w:ascii="黑体" w:hAnsi="Arial" w:eastAsia="黑体"/>
          <w:b/>
          <w:sz w:val="44"/>
          <w:szCs w:val="21"/>
        </w:rPr>
      </w:pPr>
    </w:p>
    <w:p>
      <w:pPr>
        <w:spacing w:line="276" w:lineRule="auto"/>
        <w:jc w:val="center"/>
        <w:rPr>
          <w:rFonts w:ascii="黑体" w:hAnsi="Arial" w:eastAsia="黑体"/>
          <w:b/>
          <w:sz w:val="44"/>
          <w:szCs w:val="21"/>
        </w:rPr>
      </w:pPr>
      <w:r>
        <w:rPr>
          <w:rFonts w:hint="eastAsia" w:ascii="黑体" w:hAnsi="Arial" w:eastAsia="黑体"/>
          <w:b/>
          <w:sz w:val="44"/>
          <w:szCs w:val="21"/>
        </w:rPr>
        <w:t>总目录</w:t>
      </w:r>
    </w:p>
    <w:p>
      <w:pPr>
        <w:spacing w:line="276" w:lineRule="auto"/>
        <w:ind w:firstLine="3313" w:firstLineChars="750"/>
        <w:rPr>
          <w:rFonts w:ascii="宋体"/>
          <w:b/>
          <w:sz w:val="44"/>
          <w:szCs w:val="44"/>
        </w:rPr>
      </w:pP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第一章竞争性磋商采购公告……………………</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第二章磋商须知…………………………………</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第三章合同条款及格式…………………………</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第四章项目需求…………………………………</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第五章评审方法和评审标准……………………</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第六章竞争性磋商响应文件格式………………</w:t>
      </w:r>
    </w:p>
    <w:p>
      <w:pPr>
        <w:spacing w:line="276" w:lineRule="auto"/>
        <w:rPr>
          <w:rFonts w:ascii="宋体"/>
        </w:rPr>
      </w:pPr>
    </w:p>
    <w:p>
      <w:pPr>
        <w:jc w:val="center"/>
        <w:rPr>
          <w:rFonts w:ascii="宋体"/>
        </w:rPr>
      </w:pPr>
      <w:r>
        <w:rPr>
          <w:rFonts w:ascii="宋体"/>
        </w:rPr>
        <w:br w:type="page"/>
      </w:r>
    </w:p>
    <w:p>
      <w:pPr>
        <w:pStyle w:val="2"/>
        <w:jc w:val="center"/>
        <w:rPr>
          <w:rFonts w:ascii="黑体" w:eastAsia="黑体"/>
          <w:sz w:val="44"/>
          <w:szCs w:val="44"/>
        </w:rPr>
      </w:pPr>
    </w:p>
    <w:p>
      <w:pPr>
        <w:pStyle w:val="2"/>
        <w:jc w:val="center"/>
        <w:rPr>
          <w:rFonts w:ascii="黑体" w:eastAsia="黑体"/>
          <w:bCs/>
          <w:sz w:val="44"/>
          <w:szCs w:val="44"/>
        </w:rPr>
      </w:pPr>
      <w:r>
        <w:rPr>
          <w:rFonts w:hint="eastAsia" w:ascii="黑体" w:eastAsia="黑体"/>
          <w:sz w:val="44"/>
          <w:szCs w:val="44"/>
        </w:rPr>
        <w:t>第一章竞争性磋商采购公告</w:t>
      </w:r>
    </w:p>
    <w:p>
      <w:pPr>
        <w:tabs>
          <w:tab w:val="left" w:pos="900"/>
        </w:tabs>
        <w:spacing w:line="500" w:lineRule="exact"/>
        <w:ind w:firstLine="480" w:firstLineChars="200"/>
        <w:rPr>
          <w:rFonts w:ascii="宋体" w:hAnsi="宋体"/>
          <w:sz w:val="24"/>
        </w:rPr>
      </w:pPr>
      <w:r>
        <w:rPr>
          <w:rFonts w:hint="eastAsia" w:ascii="宋体" w:hAnsi="宋体"/>
          <w:sz w:val="24"/>
        </w:rPr>
        <w:t>根据盐城工业职业技术学院下达的政府采购计划，江苏双清工程造价咨询有限公司受盐城工业职业技术学院的委托，决定就其所需的盐城工业职业技术学院纺织设备HMI端操作模拟系统开发项目实施竞争性磋商采购，欢迎符合条件的供应商参加磋商。</w:t>
      </w:r>
    </w:p>
    <w:p>
      <w:pPr>
        <w:tabs>
          <w:tab w:val="left" w:pos="900"/>
        </w:tabs>
        <w:spacing w:line="500" w:lineRule="exact"/>
        <w:ind w:firstLine="482" w:firstLineChars="200"/>
        <w:rPr>
          <w:rFonts w:ascii="宋体" w:hAnsi="宋体"/>
          <w:b/>
          <w:bCs/>
          <w:sz w:val="24"/>
        </w:rPr>
      </w:pPr>
      <w:r>
        <w:rPr>
          <w:rFonts w:hint="eastAsia" w:ascii="宋体" w:hAnsi="宋体"/>
          <w:b/>
          <w:bCs/>
          <w:sz w:val="24"/>
        </w:rPr>
        <w:t>一、采购项目名称及编号</w:t>
      </w:r>
    </w:p>
    <w:p>
      <w:pPr>
        <w:tabs>
          <w:tab w:val="left" w:pos="900"/>
        </w:tabs>
        <w:spacing w:line="500" w:lineRule="exact"/>
        <w:ind w:firstLine="480" w:firstLineChars="200"/>
        <w:rPr>
          <w:rFonts w:ascii="宋体" w:hAnsi="宋体"/>
          <w:sz w:val="24"/>
        </w:rPr>
      </w:pPr>
      <w:r>
        <w:rPr>
          <w:rFonts w:hint="eastAsia" w:ascii="宋体" w:hAnsi="宋体"/>
          <w:sz w:val="24"/>
        </w:rPr>
        <w:t>项目名称：盐城工业职业技术学院纺织设备HMI端操作模拟系统开发项目</w:t>
      </w:r>
    </w:p>
    <w:p>
      <w:pPr>
        <w:tabs>
          <w:tab w:val="left" w:pos="900"/>
        </w:tabs>
        <w:spacing w:line="500" w:lineRule="exact"/>
        <w:ind w:firstLine="480" w:firstLineChars="200"/>
        <w:rPr>
          <w:rFonts w:hint="eastAsia" w:ascii="宋体" w:hAnsi="宋体" w:eastAsia="宋体"/>
          <w:sz w:val="24"/>
          <w:lang w:eastAsia="zh-CN"/>
        </w:rPr>
      </w:pPr>
      <w:r>
        <w:rPr>
          <w:rFonts w:hint="eastAsia" w:ascii="宋体" w:hAnsi="宋体"/>
          <w:sz w:val="24"/>
        </w:rPr>
        <w:t>标书编号：</w:t>
      </w:r>
      <w:r>
        <w:rPr>
          <w:rFonts w:ascii="宋体" w:hAnsi="宋体"/>
          <w:sz w:val="24"/>
        </w:rPr>
        <w:t>2018-</w:t>
      </w:r>
      <w:r>
        <w:rPr>
          <w:rFonts w:hint="eastAsia" w:ascii="宋体" w:hAnsi="宋体"/>
          <w:sz w:val="24"/>
          <w:lang w:eastAsia="zh-CN"/>
        </w:rPr>
        <w:t>008S-2</w:t>
      </w:r>
    </w:p>
    <w:p>
      <w:pPr>
        <w:tabs>
          <w:tab w:val="left" w:pos="900"/>
        </w:tabs>
        <w:spacing w:line="500" w:lineRule="exact"/>
        <w:ind w:firstLine="482" w:firstLineChars="200"/>
        <w:rPr>
          <w:rFonts w:ascii="宋体" w:hAnsi="宋体"/>
          <w:b/>
          <w:bCs/>
          <w:sz w:val="24"/>
        </w:rPr>
      </w:pPr>
      <w:r>
        <w:rPr>
          <w:rFonts w:hint="eastAsia" w:ascii="宋体" w:hAnsi="宋体"/>
          <w:b/>
          <w:bCs/>
          <w:sz w:val="24"/>
        </w:rPr>
        <w:t>二、采购项目（简要说明）及预算金额</w:t>
      </w:r>
      <w:bookmarkStart w:id="0" w:name="_Toc14577347"/>
      <w:bookmarkStart w:id="1" w:name="_Toc61149549"/>
      <w:bookmarkStart w:id="2" w:name="_Toc513029209"/>
    </w:p>
    <w:p>
      <w:pPr>
        <w:tabs>
          <w:tab w:val="left" w:pos="900"/>
        </w:tabs>
        <w:spacing w:line="500" w:lineRule="exact"/>
        <w:ind w:firstLine="480" w:firstLineChars="200"/>
        <w:rPr>
          <w:rFonts w:ascii="宋体" w:hAnsi="宋体" w:cs="宋体"/>
          <w:sz w:val="24"/>
        </w:rPr>
      </w:pPr>
      <w:r>
        <w:rPr>
          <w:rFonts w:hint="eastAsia" w:ascii="宋体" w:hAnsi="宋体"/>
          <w:sz w:val="24"/>
        </w:rPr>
        <w:t>本项目主要为</w:t>
      </w:r>
      <w:r>
        <w:rPr>
          <w:rFonts w:hint="eastAsia" w:ascii="宋体" w:hAnsi="宋体"/>
          <w:bCs/>
          <w:sz w:val="24"/>
          <w:szCs w:val="21"/>
        </w:rPr>
        <w:t>盐城工业职业技术学院纺织设备HMI端操作模拟系统的开发、制作、采购、集成、安装、调试、培训、验收等伴随服务，</w:t>
      </w:r>
      <w:r>
        <w:rPr>
          <w:rFonts w:hint="eastAsia" w:ascii="宋体" w:hAnsi="宋体" w:cs="宋体"/>
          <w:sz w:val="24"/>
        </w:rPr>
        <w:t>详情见招标文件项目需求部分。主要用为省级产教融合实训平台项目使用，实现行业先进设备人机界面进行教学；满足教师信息化教学、学生实验实训、学生创新创业训练需求。</w:t>
      </w:r>
    </w:p>
    <w:p>
      <w:pPr>
        <w:snapToGrid w:val="0"/>
        <w:spacing w:line="500" w:lineRule="exact"/>
        <w:ind w:firstLine="480" w:firstLineChars="200"/>
        <w:rPr>
          <w:rFonts w:ascii="宋体" w:hAnsi="宋体" w:cs="宋体"/>
          <w:sz w:val="24"/>
        </w:rPr>
      </w:pPr>
      <w:r>
        <w:rPr>
          <w:rFonts w:hint="eastAsia" w:ascii="宋体" w:hAnsi="宋体" w:cs="宋体"/>
          <w:sz w:val="24"/>
        </w:rPr>
        <w:t>预算价约</w:t>
      </w:r>
      <w:r>
        <w:rPr>
          <w:rFonts w:hint="eastAsia" w:ascii="宋体" w:hAnsi="宋体" w:cs="宋体"/>
          <w:sz w:val="24"/>
          <w:u w:val="single"/>
        </w:rPr>
        <w:t>30</w:t>
      </w:r>
      <w:r>
        <w:rPr>
          <w:rFonts w:hint="eastAsia" w:ascii="宋体" w:hAnsi="宋体" w:cs="宋体"/>
          <w:sz w:val="24"/>
        </w:rPr>
        <w:t>万元；投标人的投标报价不得超过预算价。</w:t>
      </w:r>
    </w:p>
    <w:p>
      <w:pPr>
        <w:tabs>
          <w:tab w:val="left" w:pos="900"/>
        </w:tabs>
        <w:spacing w:line="500" w:lineRule="exact"/>
        <w:ind w:firstLine="482" w:firstLineChars="200"/>
        <w:rPr>
          <w:rFonts w:ascii="宋体" w:hAnsi="宋体"/>
          <w:b/>
          <w:bCs/>
          <w:sz w:val="24"/>
        </w:rPr>
      </w:pPr>
      <w:r>
        <w:rPr>
          <w:rFonts w:hint="eastAsia" w:ascii="宋体" w:hAnsi="宋体"/>
          <w:b/>
          <w:bCs/>
          <w:sz w:val="24"/>
        </w:rPr>
        <w:t>三、合格磋商供应商资格要求</w:t>
      </w:r>
    </w:p>
    <w:p>
      <w:pPr>
        <w:tabs>
          <w:tab w:val="left" w:pos="900"/>
        </w:tabs>
        <w:spacing w:line="500" w:lineRule="exact"/>
        <w:ind w:firstLine="480" w:firstLineChars="200"/>
        <w:rPr>
          <w:rFonts w:ascii="宋体" w:hAnsi="宋体"/>
          <w:b/>
          <w:bCs/>
          <w:sz w:val="24"/>
        </w:rPr>
      </w:pPr>
      <w:r>
        <w:rPr>
          <w:rFonts w:hint="eastAsia" w:ascii="宋体" w:hAnsi="宋体"/>
          <w:bCs/>
          <w:sz w:val="24"/>
        </w:rPr>
        <w:t>（一）符合政府采购法第二十二条第一款规定的条件，并提供下列材料：</w:t>
      </w:r>
    </w:p>
    <w:p>
      <w:pPr>
        <w:tabs>
          <w:tab w:val="left" w:pos="900"/>
        </w:tabs>
        <w:spacing w:line="500" w:lineRule="exact"/>
        <w:ind w:firstLine="480" w:firstLineChars="200"/>
        <w:rPr>
          <w:rFonts w:ascii="宋体" w:hAnsi="宋体"/>
          <w:b/>
          <w:bCs/>
          <w:sz w:val="24"/>
        </w:rPr>
      </w:pPr>
      <w:r>
        <w:rPr>
          <w:rFonts w:ascii="宋体" w:hAnsi="宋体"/>
          <w:bCs/>
          <w:sz w:val="24"/>
        </w:rPr>
        <w:t>1</w:t>
      </w:r>
      <w:r>
        <w:rPr>
          <w:rFonts w:hint="eastAsia" w:ascii="宋体" w:hAnsi="宋体"/>
          <w:bCs/>
          <w:sz w:val="24"/>
        </w:rPr>
        <w:t>、法人或者其他组织的营业执照等证明文件，自然人的身份证明；</w:t>
      </w:r>
    </w:p>
    <w:p>
      <w:pPr>
        <w:tabs>
          <w:tab w:val="left" w:pos="900"/>
        </w:tabs>
        <w:spacing w:line="500" w:lineRule="exact"/>
        <w:ind w:firstLine="480" w:firstLineChars="200"/>
        <w:rPr>
          <w:rFonts w:ascii="宋体" w:hAnsi="宋体"/>
          <w:b/>
          <w:bCs/>
          <w:sz w:val="24"/>
        </w:rPr>
      </w:pPr>
      <w:r>
        <w:rPr>
          <w:rFonts w:ascii="宋体" w:hAnsi="宋体"/>
          <w:bCs/>
          <w:sz w:val="24"/>
        </w:rPr>
        <w:t>2</w:t>
      </w:r>
      <w:r>
        <w:rPr>
          <w:rFonts w:hint="eastAsia" w:ascii="宋体" w:hAnsi="宋体"/>
          <w:bCs/>
          <w:sz w:val="24"/>
        </w:rPr>
        <w:t>、上一年度的财务状况报表（成立不满一年不需提供）；</w:t>
      </w:r>
    </w:p>
    <w:p>
      <w:pPr>
        <w:tabs>
          <w:tab w:val="left" w:pos="900"/>
        </w:tabs>
        <w:spacing w:line="500" w:lineRule="exact"/>
        <w:ind w:firstLine="480" w:firstLineChars="200"/>
        <w:rPr>
          <w:rFonts w:ascii="宋体" w:hAnsi="宋体"/>
          <w:b/>
          <w:bCs/>
          <w:sz w:val="24"/>
        </w:rPr>
      </w:pPr>
      <w:r>
        <w:rPr>
          <w:rFonts w:ascii="宋体" w:hAnsi="宋体"/>
          <w:bCs/>
          <w:sz w:val="24"/>
        </w:rPr>
        <w:t>3</w:t>
      </w:r>
      <w:r>
        <w:rPr>
          <w:rFonts w:hint="eastAsia" w:ascii="宋体" w:hAnsi="宋体"/>
          <w:bCs/>
          <w:sz w:val="24"/>
        </w:rPr>
        <w:t>、依法缴纳税收和社会保障资金的相关材料；</w:t>
      </w:r>
    </w:p>
    <w:p>
      <w:pPr>
        <w:tabs>
          <w:tab w:val="left" w:pos="900"/>
        </w:tabs>
        <w:spacing w:line="500" w:lineRule="exact"/>
        <w:ind w:firstLine="480" w:firstLineChars="200"/>
        <w:rPr>
          <w:rFonts w:ascii="宋体" w:hAnsi="宋体"/>
          <w:b/>
          <w:bCs/>
          <w:sz w:val="24"/>
        </w:rPr>
      </w:pPr>
      <w:r>
        <w:rPr>
          <w:rFonts w:ascii="宋体" w:hAnsi="宋体"/>
          <w:bCs/>
          <w:sz w:val="24"/>
        </w:rPr>
        <w:t>4</w:t>
      </w:r>
      <w:r>
        <w:rPr>
          <w:rFonts w:hint="eastAsia" w:ascii="宋体" w:hAnsi="宋体"/>
          <w:bCs/>
          <w:sz w:val="24"/>
        </w:rPr>
        <w:t>、具备履行合同所必需的设备和专业技术能力的书面声明；</w:t>
      </w:r>
    </w:p>
    <w:p>
      <w:pPr>
        <w:tabs>
          <w:tab w:val="left" w:pos="900"/>
        </w:tabs>
        <w:spacing w:line="500" w:lineRule="exact"/>
        <w:ind w:firstLine="480" w:firstLineChars="200"/>
        <w:rPr>
          <w:rFonts w:ascii="宋体" w:hAnsi="宋体"/>
          <w:b/>
          <w:bCs/>
          <w:sz w:val="24"/>
        </w:rPr>
      </w:pPr>
      <w:r>
        <w:rPr>
          <w:rFonts w:ascii="宋体" w:hAnsi="宋体"/>
          <w:bCs/>
          <w:sz w:val="24"/>
        </w:rPr>
        <w:t>5</w:t>
      </w:r>
      <w:r>
        <w:rPr>
          <w:rFonts w:hint="eastAsia" w:ascii="宋体" w:hAnsi="宋体"/>
          <w:bCs/>
          <w:sz w:val="24"/>
        </w:rPr>
        <w:t>、参加政府采购活动前</w:t>
      </w:r>
      <w:r>
        <w:rPr>
          <w:rFonts w:ascii="宋体" w:hAnsi="宋体"/>
          <w:bCs/>
          <w:sz w:val="24"/>
        </w:rPr>
        <w:t>3</w:t>
      </w:r>
      <w:r>
        <w:rPr>
          <w:rFonts w:hint="eastAsia" w:ascii="宋体" w:hAnsi="宋体"/>
          <w:bCs/>
          <w:sz w:val="24"/>
        </w:rPr>
        <w:t>年内在经营活动中没有重大违法记录的书面声明；</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（二）其他资格条件：</w:t>
      </w:r>
    </w:p>
    <w:p>
      <w:pPr>
        <w:tabs>
          <w:tab w:val="left" w:pos="900"/>
        </w:tabs>
        <w:spacing w:line="500" w:lineRule="exact"/>
        <w:ind w:firstLine="480" w:firstLineChars="200"/>
        <w:rPr>
          <w:rFonts w:ascii="宋体" w:hAnsi="宋体" w:cs="宋体"/>
          <w:bCs/>
          <w:sz w:val="24"/>
        </w:rPr>
      </w:pPr>
      <w:r>
        <w:rPr>
          <w:rFonts w:hint="eastAsia" w:ascii="宋体" w:hAnsi="宋体"/>
          <w:color w:val="000000"/>
          <w:sz w:val="24"/>
        </w:rPr>
        <w:t>1、</w:t>
      </w:r>
      <w:r>
        <w:rPr>
          <w:rFonts w:hint="eastAsia" w:ascii="宋体" w:hAnsi="宋体" w:cs="宋体"/>
          <w:bCs/>
          <w:sz w:val="24"/>
        </w:rPr>
        <w:t>未被“信用中国”网站（</w:t>
      </w:r>
      <w:r>
        <w:rPr>
          <w:rFonts w:ascii="宋体" w:hAnsi="宋体" w:cs="宋体"/>
          <w:bCs/>
          <w:sz w:val="24"/>
        </w:rPr>
        <w:t>www.creditchina.gov.cn</w:t>
      </w:r>
      <w:r>
        <w:rPr>
          <w:rFonts w:hint="eastAsia" w:ascii="宋体" w:hAnsi="宋体" w:cs="宋体"/>
          <w:bCs/>
          <w:sz w:val="24"/>
        </w:rPr>
        <w:t>）列入失信被执行人、重大税收违法案件当事人名单、政府采购严重失信行为记录名单。</w:t>
      </w:r>
    </w:p>
    <w:p>
      <w:pPr>
        <w:snapToGrid w:val="0"/>
        <w:spacing w:line="500" w:lineRule="exact"/>
        <w:ind w:firstLine="480" w:firstLineChars="200"/>
        <w:rPr>
          <w:rFonts w:ascii="宋体" w:hAnsi="宋体" w:cs="宋体"/>
          <w:bCs/>
          <w:sz w:val="24"/>
        </w:rPr>
      </w:pPr>
      <w:r>
        <w:rPr>
          <w:rFonts w:hint="eastAsia" w:ascii="宋体" w:hAnsi="宋体" w:cs="宋体"/>
          <w:color w:val="000000"/>
          <w:sz w:val="24"/>
        </w:rPr>
        <w:t>2、</w:t>
      </w:r>
      <w:r>
        <w:rPr>
          <w:rFonts w:ascii="宋体" w:hAnsi="宋体" w:cs="宋体"/>
          <w:color w:val="000000"/>
          <w:sz w:val="24"/>
        </w:rPr>
        <w:t>具有法人资格，有</w:t>
      </w:r>
      <w:r>
        <w:rPr>
          <w:rFonts w:hint="eastAsia" w:ascii="宋体" w:hAnsi="宋体" w:cs="宋体"/>
          <w:color w:val="000000"/>
          <w:sz w:val="24"/>
        </w:rPr>
        <w:t>类似</w:t>
      </w:r>
      <w:r>
        <w:rPr>
          <w:rFonts w:ascii="宋体" w:hAnsi="宋体" w:cs="宋体"/>
          <w:color w:val="000000"/>
          <w:sz w:val="24"/>
        </w:rPr>
        <w:t>软件</w:t>
      </w:r>
      <w:r>
        <w:rPr>
          <w:rFonts w:hint="eastAsia" w:ascii="宋体" w:hAnsi="宋体" w:cs="宋体"/>
          <w:color w:val="000000"/>
          <w:sz w:val="24"/>
        </w:rPr>
        <w:t>的开发经验，具备履行合同所必需的设备和专业技术能力，磋商时应提供相关代表性证明文件（不超过3件）。</w:t>
      </w:r>
    </w:p>
    <w:p>
      <w:pPr>
        <w:tabs>
          <w:tab w:val="left" w:pos="900"/>
        </w:tabs>
        <w:spacing w:line="500" w:lineRule="exact"/>
        <w:ind w:firstLine="480" w:firstLineChars="200"/>
        <w:rPr>
          <w:rFonts w:ascii="宋体" w:hAnsi="宋体" w:cs="宋体"/>
          <w:bCs/>
          <w:sz w:val="24"/>
        </w:rPr>
      </w:pPr>
      <w:r>
        <w:rPr>
          <w:rFonts w:hint="eastAsia" w:ascii="宋体" w:hAnsi="宋体" w:cs="Arial"/>
          <w:sz w:val="24"/>
          <w:szCs w:val="20"/>
        </w:rPr>
        <w:t>（三）本项目</w:t>
      </w:r>
      <w:r>
        <w:rPr>
          <w:rFonts w:hint="eastAsia" w:ascii="宋体" w:hAnsi="宋体" w:cs="Arial"/>
          <w:sz w:val="24"/>
          <w:szCs w:val="20"/>
          <w:u w:val="single"/>
        </w:rPr>
        <w:t>不接受</w:t>
      </w:r>
      <w:r>
        <w:rPr>
          <w:rFonts w:hint="eastAsia" w:ascii="宋体" w:hAnsi="宋体" w:cs="Arial"/>
          <w:sz w:val="24"/>
          <w:szCs w:val="20"/>
        </w:rPr>
        <w:t xml:space="preserve">联合体参与磋商。 </w:t>
      </w:r>
    </w:p>
    <w:p>
      <w:pPr>
        <w:tabs>
          <w:tab w:val="left" w:pos="900"/>
        </w:tabs>
        <w:spacing w:line="500" w:lineRule="exact"/>
        <w:ind w:firstLine="482" w:firstLineChars="200"/>
        <w:rPr>
          <w:rFonts w:ascii="宋体" w:hAnsi="宋体" w:cs="宋体"/>
          <w:bCs/>
          <w:sz w:val="24"/>
        </w:rPr>
      </w:pPr>
      <w:r>
        <w:rPr>
          <w:rFonts w:hint="eastAsia" w:ascii="宋体" w:hAnsi="宋体"/>
          <w:b/>
          <w:bCs/>
          <w:sz w:val="24"/>
        </w:rPr>
        <w:t>四、磋商文件提供信息</w:t>
      </w:r>
    </w:p>
    <w:p>
      <w:pPr>
        <w:snapToGrid w:val="0"/>
        <w:spacing w:line="500" w:lineRule="exact"/>
        <w:ind w:firstLine="480" w:firstLineChars="200"/>
        <w:rPr>
          <w:rFonts w:ascii="宋体" w:hAnsi="宋体" w:cs="Arial"/>
          <w:sz w:val="24"/>
          <w:szCs w:val="20"/>
        </w:rPr>
      </w:pPr>
      <w:r>
        <w:rPr>
          <w:rFonts w:hint="eastAsia" w:ascii="宋体" w:hAnsi="宋体"/>
          <w:sz w:val="24"/>
        </w:rPr>
        <w:t>本</w:t>
      </w:r>
      <w:r>
        <w:rPr>
          <w:rFonts w:hint="eastAsia" w:ascii="宋体" w:hAnsi="宋体" w:cs="Arial"/>
          <w:sz w:val="24"/>
          <w:szCs w:val="20"/>
        </w:rPr>
        <w:t>磋商文件提供及公告期限：自竞争性磋商公告在</w:t>
      </w:r>
      <w:r>
        <w:rPr>
          <w:rFonts w:hint="eastAsia" w:ascii="宋体" w:hAnsi="宋体" w:cs="宋体"/>
          <w:bCs/>
          <w:sz w:val="24"/>
        </w:rPr>
        <w:t>“盐城市政府采购网”和“盐城工业职业技术学院招标采购网”</w:t>
      </w:r>
      <w:r>
        <w:rPr>
          <w:rFonts w:hint="eastAsia" w:ascii="宋体" w:hAnsi="宋体" w:cs="Arial"/>
          <w:sz w:val="24"/>
          <w:szCs w:val="20"/>
        </w:rPr>
        <w:t>发布之日起</w:t>
      </w:r>
      <w:r>
        <w:rPr>
          <w:rFonts w:ascii="宋体" w:hAnsi="宋体" w:cs="Arial"/>
          <w:sz w:val="24"/>
          <w:szCs w:val="20"/>
        </w:rPr>
        <w:t>5</w:t>
      </w:r>
      <w:r>
        <w:rPr>
          <w:rFonts w:hint="eastAsia" w:ascii="宋体" w:hAnsi="宋体" w:cs="Arial"/>
          <w:sz w:val="24"/>
          <w:szCs w:val="20"/>
        </w:rPr>
        <w:t>个工作日。磋商文件在</w:t>
      </w:r>
      <w:r>
        <w:rPr>
          <w:rFonts w:hint="eastAsia" w:ascii="宋体" w:hAnsi="宋体" w:cs="宋体"/>
          <w:bCs/>
          <w:sz w:val="24"/>
        </w:rPr>
        <w:t>“盐城市政府采购网”和“盐城工业职业技术学院招标采购网”</w:t>
      </w:r>
      <w:r>
        <w:rPr>
          <w:rFonts w:hint="eastAsia" w:ascii="宋体" w:hAnsi="宋体" w:cs="Arial"/>
          <w:sz w:val="24"/>
          <w:szCs w:val="20"/>
        </w:rPr>
        <w:t>上下载</w:t>
      </w:r>
      <w:r>
        <w:rPr>
          <w:rFonts w:hint="eastAsia" w:ascii="宋体" w:hAnsi="宋体" w:cs="宋体"/>
          <w:bCs/>
          <w:sz w:val="24"/>
        </w:rPr>
        <w:t>（招标文件工本费300元在磋商现场现金交纳）</w:t>
      </w:r>
      <w:r>
        <w:rPr>
          <w:rFonts w:hint="eastAsia" w:ascii="宋体" w:hAnsi="宋体" w:cs="Arial"/>
          <w:sz w:val="24"/>
          <w:szCs w:val="20"/>
        </w:rPr>
        <w:t>，有关本次磋商的事项若存在澄清或修改，敬请及时关注</w:t>
      </w:r>
      <w:r>
        <w:rPr>
          <w:rFonts w:hint="eastAsia" w:ascii="宋体" w:hAnsi="宋体" w:cs="宋体"/>
          <w:bCs/>
          <w:sz w:val="24"/>
        </w:rPr>
        <w:t>“盐城市政府采购网”和“盐城工业职业技术学院招标采购网”</w:t>
      </w:r>
      <w:r>
        <w:rPr>
          <w:rFonts w:hint="eastAsia" w:ascii="宋体" w:hAnsi="宋体" w:cs="Arial"/>
          <w:sz w:val="24"/>
          <w:szCs w:val="20"/>
        </w:rPr>
        <w:t>发布的信息更正公告。</w:t>
      </w:r>
    </w:p>
    <w:p>
      <w:pPr>
        <w:snapToGrid w:val="0"/>
        <w:spacing w:line="500" w:lineRule="exact"/>
        <w:ind w:firstLine="482" w:firstLineChars="200"/>
        <w:rPr>
          <w:rFonts w:ascii="宋体" w:cs="Arial"/>
          <w:sz w:val="24"/>
          <w:szCs w:val="20"/>
        </w:rPr>
      </w:pPr>
      <w:r>
        <w:rPr>
          <w:rFonts w:hint="eastAsia" w:ascii="宋体" w:hAnsi="宋体"/>
          <w:b/>
          <w:bCs/>
          <w:sz w:val="24"/>
        </w:rPr>
        <w:t>五、磋商响应文件接收截止时间和地点</w:t>
      </w:r>
    </w:p>
    <w:p>
      <w:pPr>
        <w:snapToGrid w:val="0"/>
        <w:spacing w:line="500" w:lineRule="exact"/>
        <w:ind w:firstLine="480" w:firstLineChars="200"/>
        <w:rPr>
          <w:rFonts w:ascii="宋体" w:cs="Arial"/>
          <w:sz w:val="24"/>
          <w:szCs w:val="20"/>
        </w:rPr>
      </w:pPr>
      <w:r>
        <w:rPr>
          <w:rFonts w:hint="eastAsia" w:ascii="宋体" w:hAnsi="宋体"/>
          <w:sz w:val="24"/>
        </w:rPr>
        <w:t>（一）响应文件接收时间：</w:t>
      </w:r>
      <w:r>
        <w:rPr>
          <w:rFonts w:ascii="宋体" w:hAnsi="宋体"/>
          <w:sz w:val="24"/>
        </w:rPr>
        <w:t>201</w:t>
      </w:r>
      <w:r>
        <w:rPr>
          <w:rFonts w:hint="eastAsia" w:ascii="宋体" w:hAnsi="宋体"/>
          <w:sz w:val="24"/>
          <w:lang w:val="en-US" w:eastAsia="zh-CN"/>
        </w:rPr>
        <w:t>8</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r>
        <w:rPr>
          <w:rFonts w:hint="eastAsia" w:ascii="宋体" w:hAnsi="宋体"/>
          <w:sz w:val="24"/>
          <w:lang w:val="en-US" w:eastAsia="zh-CN"/>
        </w:rPr>
        <w:t>14</w:t>
      </w:r>
      <w:r>
        <w:rPr>
          <w:rFonts w:hint="eastAsia" w:ascii="宋体" w:hAnsi="宋体"/>
          <w:sz w:val="24"/>
        </w:rPr>
        <w:t>：30时</w:t>
      </w:r>
    </w:p>
    <w:p>
      <w:pPr>
        <w:snapToGrid w:val="0"/>
        <w:spacing w:line="500" w:lineRule="exact"/>
        <w:ind w:firstLine="480" w:firstLineChars="200"/>
        <w:rPr>
          <w:rFonts w:ascii="宋体" w:cs="Arial"/>
          <w:sz w:val="24"/>
          <w:szCs w:val="20"/>
        </w:rPr>
      </w:pPr>
      <w:r>
        <w:rPr>
          <w:rFonts w:hint="eastAsia" w:ascii="宋体" w:hAnsi="宋体"/>
          <w:sz w:val="24"/>
        </w:rPr>
        <w:t>（二）响应文件接收截止时间：</w:t>
      </w:r>
      <w:r>
        <w:rPr>
          <w:rFonts w:ascii="宋体" w:hAnsi="宋体"/>
          <w:sz w:val="24"/>
        </w:rPr>
        <w:t>201</w:t>
      </w:r>
      <w:r>
        <w:rPr>
          <w:rFonts w:hint="eastAsia" w:ascii="宋体" w:hAnsi="宋体"/>
          <w:sz w:val="24"/>
          <w:lang w:val="en-US" w:eastAsia="zh-CN"/>
        </w:rPr>
        <w:t>8</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r>
        <w:rPr>
          <w:rFonts w:hint="eastAsia" w:ascii="宋体" w:hAnsi="宋体"/>
          <w:sz w:val="24"/>
          <w:lang w:val="en-US" w:eastAsia="zh-CN"/>
        </w:rPr>
        <w:t>15</w:t>
      </w:r>
      <w:r>
        <w:rPr>
          <w:rFonts w:hint="eastAsia" w:ascii="宋体" w:hAnsi="宋体"/>
          <w:sz w:val="24"/>
        </w:rPr>
        <w:t>时</w:t>
      </w:r>
    </w:p>
    <w:p>
      <w:pPr>
        <w:snapToGrid w:val="0"/>
        <w:spacing w:line="500" w:lineRule="exact"/>
        <w:ind w:firstLine="480" w:firstLineChars="200"/>
        <w:rPr>
          <w:rFonts w:ascii="宋体" w:cs="Arial"/>
          <w:sz w:val="24"/>
          <w:szCs w:val="20"/>
        </w:rPr>
      </w:pPr>
      <w:r>
        <w:rPr>
          <w:rFonts w:hint="eastAsia" w:ascii="宋体" w:hAnsi="宋体"/>
          <w:sz w:val="24"/>
        </w:rPr>
        <w:t>（三）响应文件接收及磋商地点：</w:t>
      </w:r>
      <w:r>
        <w:rPr>
          <w:rFonts w:hint="eastAsia" w:ascii="宋体" w:hAnsi="宋体" w:cs="宋体"/>
          <w:sz w:val="24"/>
        </w:rPr>
        <w:t>盐城工业职业技术学院（盐城市解放南路285号）图书馆三楼第二会议室</w:t>
      </w:r>
      <w:r>
        <w:rPr>
          <w:rFonts w:hint="eastAsia" w:ascii="宋体" w:hAnsi="宋体"/>
          <w:sz w:val="24"/>
        </w:rPr>
        <w:t>；</w:t>
      </w:r>
    </w:p>
    <w:p>
      <w:pPr>
        <w:snapToGrid w:val="0"/>
        <w:spacing w:line="500" w:lineRule="exact"/>
        <w:ind w:firstLine="482" w:firstLineChars="200"/>
        <w:rPr>
          <w:rFonts w:ascii="宋体" w:cs="Arial"/>
          <w:sz w:val="24"/>
          <w:szCs w:val="20"/>
        </w:rPr>
      </w:pPr>
      <w:r>
        <w:rPr>
          <w:rFonts w:hint="eastAsia" w:ascii="宋体" w:hAnsi="宋体"/>
          <w:b/>
          <w:bCs/>
          <w:sz w:val="24"/>
        </w:rPr>
        <w:t>六、磋商响应文件开启信息</w:t>
      </w:r>
    </w:p>
    <w:p>
      <w:pPr>
        <w:snapToGrid w:val="0"/>
        <w:spacing w:line="500" w:lineRule="exact"/>
        <w:ind w:firstLine="480" w:firstLineChars="200"/>
        <w:rPr>
          <w:rFonts w:ascii="宋体" w:cs="Arial"/>
          <w:sz w:val="24"/>
          <w:szCs w:val="20"/>
        </w:rPr>
      </w:pPr>
      <w:r>
        <w:rPr>
          <w:rFonts w:hint="eastAsia" w:ascii="宋体" w:hAnsi="宋体"/>
          <w:sz w:val="24"/>
        </w:rPr>
        <w:t>（一）响应文件开启时间：</w:t>
      </w:r>
      <w:r>
        <w:rPr>
          <w:rFonts w:ascii="宋体" w:hAnsi="宋体"/>
          <w:sz w:val="24"/>
        </w:rPr>
        <w:t>201</w:t>
      </w:r>
      <w:r>
        <w:rPr>
          <w:rFonts w:hint="eastAsia" w:ascii="宋体" w:hAnsi="宋体"/>
          <w:sz w:val="24"/>
          <w:lang w:val="en-US" w:eastAsia="zh-CN"/>
        </w:rPr>
        <w:t>8</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r>
        <w:rPr>
          <w:rFonts w:hint="eastAsia" w:ascii="宋体" w:hAnsi="宋体"/>
          <w:sz w:val="24"/>
          <w:lang w:val="en-US" w:eastAsia="zh-CN"/>
        </w:rPr>
        <w:t>15</w:t>
      </w:r>
      <w:r>
        <w:rPr>
          <w:rFonts w:hint="eastAsia" w:ascii="宋体" w:hAnsi="宋体"/>
          <w:sz w:val="24"/>
        </w:rPr>
        <w:t>时</w:t>
      </w:r>
    </w:p>
    <w:p>
      <w:pPr>
        <w:snapToGrid w:val="0"/>
        <w:spacing w:line="500" w:lineRule="exact"/>
        <w:ind w:firstLine="480" w:firstLineChars="200"/>
        <w:rPr>
          <w:rFonts w:ascii="宋体" w:cs="Arial"/>
          <w:sz w:val="24"/>
          <w:szCs w:val="20"/>
        </w:rPr>
      </w:pPr>
      <w:r>
        <w:rPr>
          <w:rFonts w:hint="eastAsia" w:ascii="宋体" w:hAnsi="宋体"/>
          <w:sz w:val="24"/>
        </w:rPr>
        <w:t>（二）响应文件开启地点：</w:t>
      </w:r>
      <w:r>
        <w:rPr>
          <w:rFonts w:hint="eastAsia" w:ascii="宋体" w:hAnsi="宋体" w:cs="宋体"/>
          <w:sz w:val="24"/>
        </w:rPr>
        <w:t>盐城工业职业技术学院（盐城市解放南路285号）图书馆三楼第二会议室；</w:t>
      </w:r>
    </w:p>
    <w:p>
      <w:pPr>
        <w:snapToGrid w:val="0"/>
        <w:spacing w:line="500" w:lineRule="exact"/>
        <w:ind w:firstLine="482" w:firstLineChars="200"/>
        <w:rPr>
          <w:rFonts w:ascii="宋体" w:cs="Arial"/>
          <w:sz w:val="24"/>
          <w:szCs w:val="20"/>
        </w:rPr>
      </w:pPr>
      <w:r>
        <w:rPr>
          <w:rFonts w:hint="eastAsia" w:ascii="宋体" w:hAnsi="宋体"/>
          <w:b/>
          <w:bCs/>
          <w:sz w:val="24"/>
        </w:rPr>
        <w:t>七、本次磋商采购联系事项</w:t>
      </w:r>
    </w:p>
    <w:p>
      <w:pPr>
        <w:snapToGrid w:val="0"/>
        <w:spacing w:line="500" w:lineRule="exact"/>
        <w:ind w:firstLine="480" w:firstLineChars="200"/>
        <w:rPr>
          <w:rFonts w:ascii="宋体" w:cs="Arial"/>
          <w:sz w:val="24"/>
          <w:szCs w:val="20"/>
        </w:rPr>
      </w:pPr>
      <w:r>
        <w:rPr>
          <w:rFonts w:hint="eastAsia" w:ascii="宋体" w:hAnsi="宋体"/>
          <w:sz w:val="24"/>
        </w:rPr>
        <w:t>（一）采购人项目联系人：</w:t>
      </w:r>
      <w:r>
        <w:rPr>
          <w:rFonts w:hint="eastAsia" w:ascii="宋体" w:hAnsi="宋体" w:cs="宋体"/>
          <w:sz w:val="24"/>
        </w:rPr>
        <w:t>徐帅</w:t>
      </w:r>
      <w:r>
        <w:rPr>
          <w:rFonts w:hint="eastAsia" w:ascii="宋体" w:hAnsi="宋体"/>
          <w:sz w:val="24"/>
        </w:rPr>
        <w:t>，联系电话：</w:t>
      </w:r>
      <w:r>
        <w:rPr>
          <w:rFonts w:hint="eastAsia" w:ascii="宋体" w:hAnsi="宋体" w:cs="宋体"/>
          <w:sz w:val="24"/>
        </w:rPr>
        <w:t>15161978150</w:t>
      </w:r>
      <w:r>
        <w:rPr>
          <w:rFonts w:hint="eastAsia" w:ascii="宋体" w:hAnsi="宋体"/>
          <w:sz w:val="24"/>
        </w:rPr>
        <w:t>；</w:t>
      </w:r>
    </w:p>
    <w:p>
      <w:pPr>
        <w:spacing w:line="500" w:lineRule="exact"/>
        <w:ind w:firstLine="480" w:firstLineChars="200"/>
        <w:rPr>
          <w:rFonts w:ascii="宋体" w:hAnsi="宋体" w:cs="宋体"/>
          <w:sz w:val="24"/>
        </w:rPr>
      </w:pPr>
      <w:r>
        <w:rPr>
          <w:rFonts w:hint="eastAsia" w:ascii="宋体" w:hAnsi="宋体" w:cs="宋体"/>
          <w:sz w:val="24"/>
        </w:rPr>
        <w:t>采购人招标联系人：赵萌，联系电话：0515-88588707；</w:t>
      </w:r>
    </w:p>
    <w:p>
      <w:pPr>
        <w:spacing w:line="500" w:lineRule="exact"/>
        <w:ind w:firstLine="480" w:firstLineChars="200"/>
        <w:rPr>
          <w:rFonts w:ascii="宋体" w:hAnsi="宋体" w:cs="宋体"/>
          <w:sz w:val="24"/>
        </w:rPr>
      </w:pPr>
      <w:r>
        <w:rPr>
          <w:rFonts w:hint="eastAsia" w:ascii="宋体" w:hAnsi="宋体" w:cs="宋体"/>
          <w:sz w:val="24"/>
        </w:rPr>
        <w:t>采购人地址：盐城工业职业技术学院图文信息中心六楼604室；</w:t>
      </w:r>
    </w:p>
    <w:p>
      <w:pPr>
        <w:spacing w:line="500" w:lineRule="exact"/>
        <w:ind w:firstLine="480" w:firstLineChars="200"/>
        <w:rPr>
          <w:rFonts w:ascii="宋体" w:hAnsi="宋体" w:cs="宋体"/>
          <w:sz w:val="24"/>
        </w:rPr>
      </w:pPr>
      <w:r>
        <w:rPr>
          <w:rFonts w:hint="eastAsia" w:ascii="宋体" w:hAnsi="宋体" w:cs="宋体"/>
          <w:sz w:val="24"/>
        </w:rPr>
        <w:t>（二）采购代理机构联系人：尤鸿望， 联系电话：0515-88200316；</w:t>
      </w:r>
    </w:p>
    <w:p>
      <w:pPr>
        <w:tabs>
          <w:tab w:val="left" w:pos="900"/>
        </w:tabs>
        <w:spacing w:line="500" w:lineRule="exact"/>
        <w:ind w:firstLine="480" w:firstLineChars="200"/>
        <w:rPr>
          <w:rFonts w:ascii="宋体" w:hAnsi="宋体" w:cs="宋体"/>
          <w:sz w:val="24"/>
        </w:rPr>
      </w:pPr>
      <w:r>
        <w:rPr>
          <w:rFonts w:hint="eastAsia" w:ascii="宋体" w:hAnsi="宋体" w:cs="宋体"/>
          <w:sz w:val="24"/>
        </w:rPr>
        <w:t xml:space="preserve">采购代理机构联系地址：盐城市紫薇广场C区7楼。 </w:t>
      </w:r>
    </w:p>
    <w:p>
      <w:pPr>
        <w:snapToGrid w:val="0"/>
        <w:spacing w:line="500" w:lineRule="exact"/>
        <w:ind w:firstLine="482" w:firstLineChars="200"/>
        <w:rPr>
          <w:rFonts w:ascii="宋体" w:cs="Arial"/>
          <w:sz w:val="24"/>
          <w:szCs w:val="20"/>
        </w:rPr>
      </w:pPr>
      <w:r>
        <w:rPr>
          <w:rFonts w:hint="eastAsia" w:ascii="宋体" w:hAnsi="宋体"/>
          <w:b/>
          <w:sz w:val="24"/>
        </w:rPr>
        <w:t>对项目需求部分的询问、质疑请向采购人项目联系人提出，询问、质疑由采购人项目联系人负责答复</w:t>
      </w:r>
      <w:r>
        <w:rPr>
          <w:rFonts w:hint="eastAsia" w:ascii="宋体" w:hAnsi="宋体"/>
          <w:sz w:val="24"/>
        </w:rPr>
        <w:t>。</w:t>
      </w:r>
    </w:p>
    <w:p>
      <w:pPr>
        <w:snapToGrid w:val="0"/>
        <w:spacing w:line="500" w:lineRule="exact"/>
        <w:ind w:firstLine="482" w:firstLineChars="200"/>
        <w:rPr>
          <w:rFonts w:ascii="宋体" w:cs="Arial"/>
          <w:sz w:val="24"/>
          <w:szCs w:val="20"/>
        </w:rPr>
      </w:pPr>
      <w:r>
        <w:rPr>
          <w:rFonts w:hint="eastAsia" w:ascii="宋体" w:hAnsi="宋体"/>
          <w:b/>
          <w:bCs/>
          <w:sz w:val="24"/>
        </w:rPr>
        <w:t>八、本次磋商响应文件制作份数要求</w:t>
      </w:r>
    </w:p>
    <w:p>
      <w:pPr>
        <w:snapToGrid w:val="0"/>
        <w:spacing w:line="500" w:lineRule="exact"/>
        <w:ind w:firstLine="480" w:firstLineChars="200"/>
        <w:rPr>
          <w:rFonts w:ascii="宋体" w:cs="Arial"/>
          <w:sz w:val="24"/>
          <w:szCs w:val="20"/>
        </w:rPr>
      </w:pPr>
      <w:r>
        <w:rPr>
          <w:rFonts w:hint="eastAsia" w:ascii="宋体" w:hAnsi="宋体"/>
          <w:sz w:val="24"/>
        </w:rPr>
        <w:t>正本份数：</w:t>
      </w:r>
      <w:r>
        <w:rPr>
          <w:rFonts w:ascii="宋体" w:hAnsi="宋体"/>
          <w:sz w:val="24"/>
        </w:rPr>
        <w:t>1</w:t>
      </w:r>
      <w:r>
        <w:rPr>
          <w:rFonts w:hint="eastAsia" w:ascii="宋体" w:hAnsi="宋体"/>
          <w:sz w:val="24"/>
        </w:rPr>
        <w:t>份    副本份数：2份</w:t>
      </w:r>
    </w:p>
    <w:p>
      <w:pPr>
        <w:snapToGrid w:val="0"/>
        <w:spacing w:line="500" w:lineRule="exact"/>
        <w:ind w:firstLine="482" w:firstLineChars="200"/>
        <w:rPr>
          <w:rFonts w:ascii="宋体" w:cs="Arial"/>
          <w:sz w:val="24"/>
          <w:szCs w:val="20"/>
        </w:rPr>
      </w:pPr>
      <w:r>
        <w:rPr>
          <w:rFonts w:hint="eastAsia" w:ascii="宋体" w:hAnsi="宋体"/>
          <w:b/>
          <w:bCs/>
          <w:sz w:val="24"/>
        </w:rPr>
        <w:t>九、本次磋商保证金要求：</w:t>
      </w:r>
    </w:p>
    <w:p>
      <w:pPr>
        <w:snapToGrid w:val="0"/>
        <w:spacing w:line="500" w:lineRule="exact"/>
        <w:ind w:firstLine="480" w:firstLineChars="200"/>
        <w:rPr>
          <w:rFonts w:ascii="宋体" w:cs="Arial"/>
          <w:sz w:val="24"/>
          <w:szCs w:val="20"/>
        </w:rPr>
      </w:pPr>
      <w:r>
        <w:rPr>
          <w:rFonts w:hint="eastAsia" w:ascii="宋体" w:hAnsi="宋体"/>
          <w:sz w:val="24"/>
        </w:rPr>
        <w:t>本次磋商收取保证金。本次磋商保证金金额为</w:t>
      </w:r>
      <w:r>
        <w:rPr>
          <w:rFonts w:hint="eastAsia" w:ascii="宋体" w:hAnsi="宋体"/>
          <w:b/>
          <w:sz w:val="24"/>
        </w:rPr>
        <w:t>人民币叁仟元整</w:t>
      </w:r>
      <w:r>
        <w:rPr>
          <w:rFonts w:hint="eastAsia" w:ascii="宋体" w:hAnsi="宋体"/>
          <w:sz w:val="24"/>
        </w:rPr>
        <w:t>，磋商保证金必须在磋商响应文件提交截止期前与磋商文件一起送达磋商响应文件接收地点（不要密封在响应文件中）。</w:t>
      </w:r>
    </w:p>
    <w:p>
      <w:pPr>
        <w:snapToGrid w:val="0"/>
        <w:spacing w:line="500" w:lineRule="exact"/>
        <w:ind w:firstLine="480" w:firstLineChars="200"/>
        <w:rPr>
          <w:rFonts w:ascii="宋体" w:hAnsi="宋体"/>
          <w:sz w:val="24"/>
        </w:rPr>
      </w:pPr>
      <w:r>
        <w:rPr>
          <w:rFonts w:hint="eastAsia" w:ascii="宋体" w:hAnsi="宋体"/>
          <w:sz w:val="24"/>
        </w:rPr>
        <w:t>磋商保证金必须采用有效银行本票或银行汇票，不接受电汇、转账、现金、现金交款单、支票或其他形式的保证金。各磋商供应商须在响应文件接收截止时间前将磋商保证金从磋商供应商本单位的基本账户上汇出（不入账），以磋商供应商汇出资金的银行日期为准，且保证金汇出单位必须与磋商供应商名称一致，</w:t>
      </w:r>
      <w:r>
        <w:rPr>
          <w:rFonts w:hint="eastAsia" w:ascii="宋体" w:hAnsi="宋体" w:cs="Arial"/>
          <w:kern w:val="0"/>
          <w:sz w:val="24"/>
        </w:rPr>
        <w:t>收款人名称：</w:t>
      </w:r>
      <w:r>
        <w:rPr>
          <w:rFonts w:hint="eastAsia" w:ascii="宋体" w:hAnsi="宋体" w:cs="宋体"/>
          <w:sz w:val="24"/>
        </w:rPr>
        <w:t>江苏双清工程造价咨询有限公司，开户行：中国银行股份有限公司盐城分行，账号：513158208001</w:t>
      </w:r>
      <w:r>
        <w:rPr>
          <w:rFonts w:hint="eastAsia" w:ascii="宋体" w:hAnsi="宋体"/>
          <w:sz w:val="24"/>
        </w:rPr>
        <w:t>。响应文件接收截止时间前，各磋商供应商将有效银行本票或银行汇票原件、基本账户的银行开户许可证复印件（加盖单位公章）带至开标现场交工作人员核验，未按上述要求交纳磋商保证金的，将被视为非响应性投标而予以拒绝。</w:t>
      </w:r>
    </w:p>
    <w:p>
      <w:pPr>
        <w:snapToGrid w:val="0"/>
        <w:spacing w:line="500" w:lineRule="exact"/>
        <w:ind w:firstLine="480" w:firstLineChars="200"/>
        <w:rPr>
          <w:rFonts w:ascii="宋体" w:hAnsi="宋体"/>
          <w:sz w:val="24"/>
        </w:rPr>
      </w:pPr>
      <w:r>
        <w:rPr>
          <w:rFonts w:hint="eastAsia" w:ascii="宋体" w:hAnsi="宋体"/>
          <w:sz w:val="24"/>
        </w:rPr>
        <w:t>磋商保证金退还方式：未中标人的磋商保证金现场退还，中标人的磋商保证金在签订合同并交纳招标代理服务费后，凭合同原件及交费凭证至招标代理机构财务部退还。</w:t>
      </w:r>
    </w:p>
    <w:p>
      <w:pPr>
        <w:snapToGrid w:val="0"/>
        <w:spacing w:line="500" w:lineRule="exact"/>
        <w:ind w:firstLine="480" w:firstLineChars="200"/>
        <w:rPr>
          <w:rFonts w:ascii="宋体" w:hAnsi="宋体"/>
          <w:sz w:val="24"/>
        </w:rPr>
      </w:pPr>
    </w:p>
    <w:p>
      <w:pPr>
        <w:spacing w:line="500" w:lineRule="exact"/>
        <w:ind w:firstLine="360" w:firstLineChars="150"/>
        <w:jc w:val="right"/>
        <w:rPr>
          <w:rFonts w:ascii="宋体" w:cs="Arial"/>
          <w:sz w:val="24"/>
          <w:szCs w:val="20"/>
        </w:rPr>
      </w:pPr>
      <w:r>
        <w:rPr>
          <w:rFonts w:hint="eastAsia" w:ascii="宋体" w:hAnsi="宋体" w:cs="Arial"/>
          <w:sz w:val="24"/>
          <w:szCs w:val="20"/>
        </w:rPr>
        <w:t>盐城工业职业技术学院</w:t>
      </w:r>
    </w:p>
    <w:p>
      <w:pPr>
        <w:spacing w:line="500" w:lineRule="exact"/>
        <w:ind w:firstLine="360" w:firstLineChars="150"/>
        <w:jc w:val="right"/>
        <w:rPr>
          <w:rFonts w:ascii="宋体" w:cs="Arial"/>
          <w:sz w:val="24"/>
          <w:szCs w:val="20"/>
        </w:rPr>
      </w:pPr>
      <w:r>
        <w:rPr>
          <w:rFonts w:hint="eastAsia" w:ascii="宋体" w:hAnsi="宋体" w:cs="Arial"/>
          <w:sz w:val="24"/>
          <w:szCs w:val="20"/>
        </w:rPr>
        <w:t>江苏双清工程造价咨询有限公司</w:t>
      </w:r>
    </w:p>
    <w:p>
      <w:pPr>
        <w:spacing w:line="500" w:lineRule="exact"/>
        <w:ind w:firstLine="360" w:firstLineChars="150"/>
        <w:jc w:val="right"/>
        <w:rPr>
          <w:rFonts w:ascii="黑体" w:eastAsia="黑体"/>
          <w:sz w:val="44"/>
          <w:szCs w:val="44"/>
        </w:rPr>
      </w:pPr>
      <w:r>
        <w:rPr>
          <w:rFonts w:ascii="宋体" w:hAnsi="宋体" w:cs="Arial"/>
          <w:sz w:val="24"/>
          <w:szCs w:val="20"/>
        </w:rPr>
        <w:t xml:space="preserve">                                  2018</w:t>
      </w:r>
      <w:r>
        <w:rPr>
          <w:rFonts w:hint="eastAsia" w:ascii="宋体" w:hAnsi="宋体" w:cs="Arial"/>
          <w:sz w:val="24"/>
          <w:szCs w:val="20"/>
        </w:rPr>
        <w:t>年1</w:t>
      </w:r>
      <w:r>
        <w:rPr>
          <w:rFonts w:hint="eastAsia" w:ascii="宋体" w:hAnsi="宋体" w:cs="Arial"/>
          <w:sz w:val="24"/>
          <w:szCs w:val="20"/>
          <w:lang w:val="en-US" w:eastAsia="zh-CN"/>
        </w:rPr>
        <w:t>2</w:t>
      </w:r>
      <w:r>
        <w:rPr>
          <w:rFonts w:hint="eastAsia" w:ascii="宋体" w:hAnsi="宋体" w:cs="Arial"/>
          <w:sz w:val="24"/>
          <w:szCs w:val="20"/>
        </w:rPr>
        <w:t>月</w:t>
      </w:r>
      <w:r>
        <w:rPr>
          <w:rFonts w:hint="eastAsia" w:ascii="宋体" w:hAnsi="宋体" w:cs="Arial"/>
          <w:sz w:val="24"/>
          <w:szCs w:val="20"/>
          <w:lang w:val="en-US" w:eastAsia="zh-CN"/>
        </w:rPr>
        <w:t>14</w:t>
      </w:r>
      <w:r>
        <w:rPr>
          <w:rFonts w:hint="eastAsia" w:ascii="宋体" w:hAnsi="宋体" w:cs="Arial"/>
          <w:sz w:val="24"/>
          <w:szCs w:val="20"/>
        </w:rPr>
        <w:t>日</w:t>
      </w:r>
      <w:bookmarkStart w:id="3" w:name="_Hlt26954824"/>
      <w:bookmarkEnd w:id="3"/>
      <w:bookmarkStart w:id="4" w:name="_Hlt26954907"/>
      <w:bookmarkEnd w:id="4"/>
      <w:bookmarkStart w:id="5" w:name="_Hlt26668836"/>
      <w:bookmarkEnd w:id="5"/>
      <w:bookmarkStart w:id="6" w:name="_Hlt26954810"/>
      <w:bookmarkEnd w:id="6"/>
      <w:bookmarkStart w:id="7" w:name="_Hlt26670330"/>
      <w:bookmarkEnd w:id="7"/>
    </w:p>
    <w:p>
      <w:pPr>
        <w:spacing w:line="360" w:lineRule="auto"/>
        <w:jc w:val="center"/>
        <w:rPr>
          <w:rFonts w:ascii="宋体"/>
        </w:rPr>
      </w:pPr>
      <w:r>
        <w:rPr>
          <w:rFonts w:ascii="黑体" w:eastAsia="黑体"/>
          <w:sz w:val="44"/>
          <w:szCs w:val="44"/>
        </w:rPr>
        <w:br w:type="page"/>
      </w:r>
    </w:p>
    <w:p>
      <w:pPr>
        <w:pStyle w:val="2"/>
        <w:spacing w:line="360" w:lineRule="auto"/>
        <w:jc w:val="center"/>
        <w:rPr>
          <w:rFonts w:ascii="宋体" w:hAnsi="宋体" w:eastAsia="宋体" w:cs="宋体"/>
        </w:rPr>
      </w:pPr>
    </w:p>
    <w:p>
      <w:pPr>
        <w:pStyle w:val="2"/>
        <w:spacing w:line="360" w:lineRule="auto"/>
        <w:jc w:val="center"/>
        <w:rPr>
          <w:rFonts w:ascii="黑体" w:eastAsia="黑体"/>
          <w:sz w:val="44"/>
          <w:szCs w:val="44"/>
        </w:rPr>
      </w:pPr>
      <w:r>
        <w:rPr>
          <w:rFonts w:hint="eastAsia" w:ascii="黑体" w:eastAsia="黑体"/>
          <w:sz w:val="44"/>
          <w:szCs w:val="44"/>
        </w:rPr>
        <w:t>第二章磋商须知</w:t>
      </w:r>
    </w:p>
    <w:p>
      <w:pPr>
        <w:snapToGrid w:val="0"/>
        <w:spacing w:line="360" w:lineRule="auto"/>
        <w:ind w:firstLine="480" w:firstLineChars="200"/>
        <w:jc w:val="center"/>
        <w:rPr>
          <w:rFonts w:hAnsi="宋体" w:cs="宋体"/>
          <w:kern w:val="0"/>
          <w:sz w:val="24"/>
        </w:rPr>
      </w:pPr>
      <w:r>
        <w:rPr>
          <w:rFonts w:hint="eastAsia" w:hAnsi="宋体" w:cs="宋体"/>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kern w:val="0"/>
          <w:sz w:val="24"/>
        </w:rPr>
      </w:pPr>
      <w:r>
        <w:rPr>
          <w:rFonts w:hint="eastAsia" w:hAnsi="宋体" w:cs="宋体"/>
          <w:b/>
          <w:kern w:val="0"/>
          <w:sz w:val="24"/>
        </w:rPr>
        <w:t>一、总则</w:t>
      </w:r>
    </w:p>
    <w:p>
      <w:pPr>
        <w:spacing w:line="360" w:lineRule="auto"/>
        <w:ind w:firstLine="480" w:firstLineChars="200"/>
        <w:rPr>
          <w:rFonts w:ascii="宋体"/>
          <w:sz w:val="24"/>
        </w:rPr>
      </w:pPr>
      <w:r>
        <w:rPr>
          <w:rFonts w:ascii="宋体" w:hAnsi="宋体"/>
          <w:sz w:val="24"/>
        </w:rPr>
        <w:t>1</w:t>
      </w:r>
      <w:r>
        <w:rPr>
          <w:rFonts w:hint="eastAsia" w:ascii="宋体" w:hAnsi="宋体"/>
          <w:sz w:val="24"/>
        </w:rPr>
        <w:t>、适用范围</w:t>
      </w:r>
    </w:p>
    <w:p>
      <w:pPr>
        <w:spacing w:line="360" w:lineRule="auto"/>
        <w:ind w:firstLine="480" w:firstLineChars="200"/>
        <w:rPr>
          <w:rFonts w:ascii="宋体"/>
          <w:sz w:val="24"/>
        </w:rPr>
      </w:pPr>
      <w:r>
        <w:rPr>
          <w:rFonts w:ascii="宋体" w:hAnsi="宋体"/>
          <w:sz w:val="24"/>
        </w:rPr>
        <w:t xml:space="preserve">1.1 </w:t>
      </w:r>
      <w:r>
        <w:rPr>
          <w:rFonts w:hint="eastAsia" w:ascii="宋体" w:hAnsi="宋体"/>
          <w:sz w:val="24"/>
        </w:rPr>
        <w:t>本竞争性磋商文件（以下简称磋商文件）仅适用此项目。</w:t>
      </w:r>
    </w:p>
    <w:p>
      <w:pPr>
        <w:spacing w:line="360" w:lineRule="auto"/>
        <w:ind w:firstLine="480" w:firstLineChars="200"/>
        <w:rPr>
          <w:rFonts w:ascii="宋体"/>
          <w:sz w:val="24"/>
        </w:rPr>
      </w:pPr>
      <w:r>
        <w:rPr>
          <w:rFonts w:ascii="宋体" w:hAnsi="宋体"/>
          <w:sz w:val="24"/>
        </w:rPr>
        <w:t xml:space="preserve">1.2 </w:t>
      </w:r>
      <w:r>
        <w:rPr>
          <w:rFonts w:hint="eastAsia" w:ascii="宋体" w:hAnsi="宋体"/>
          <w:sz w:val="24"/>
        </w:rPr>
        <w:t>本项目按照项目分包，分别确定各分包成交供应商。</w:t>
      </w:r>
    </w:p>
    <w:p>
      <w:pPr>
        <w:spacing w:line="360" w:lineRule="auto"/>
        <w:ind w:firstLine="480" w:firstLineChars="200"/>
        <w:rPr>
          <w:rFonts w:ascii="宋体"/>
          <w:sz w:val="24"/>
        </w:rPr>
      </w:pPr>
      <w:r>
        <w:rPr>
          <w:rFonts w:ascii="宋体" w:hAnsi="宋体"/>
          <w:sz w:val="24"/>
        </w:rPr>
        <w:t xml:space="preserve"> 2</w:t>
      </w:r>
      <w:r>
        <w:rPr>
          <w:rFonts w:hint="eastAsia" w:ascii="宋体" w:hAnsi="宋体"/>
          <w:sz w:val="24"/>
        </w:rPr>
        <w:t>、项目采购方式</w:t>
      </w:r>
    </w:p>
    <w:p>
      <w:pPr>
        <w:spacing w:line="360" w:lineRule="auto"/>
        <w:ind w:firstLine="480" w:firstLineChars="200"/>
        <w:rPr>
          <w:rFonts w:ascii="宋体"/>
          <w:sz w:val="24"/>
        </w:rPr>
      </w:pPr>
      <w:r>
        <w:rPr>
          <w:rFonts w:hint="eastAsia" w:ascii="宋体" w:hAnsi="宋体"/>
          <w:sz w:val="24"/>
        </w:rPr>
        <w:t>本次采购采取竞争性磋商的方式。</w:t>
      </w:r>
    </w:p>
    <w:p>
      <w:pPr>
        <w:spacing w:line="360" w:lineRule="auto"/>
        <w:ind w:firstLine="480" w:firstLineChars="200"/>
        <w:rPr>
          <w:rFonts w:ascii="宋体"/>
          <w:sz w:val="24"/>
        </w:rPr>
      </w:pPr>
      <w:r>
        <w:rPr>
          <w:rFonts w:ascii="宋体" w:hAnsi="宋体"/>
          <w:sz w:val="24"/>
        </w:rPr>
        <w:t>3</w:t>
      </w:r>
      <w:r>
        <w:rPr>
          <w:rFonts w:hint="eastAsia" w:ascii="宋体" w:hAnsi="宋体"/>
          <w:sz w:val="24"/>
        </w:rPr>
        <w:t>、合格的磋商供应商</w:t>
      </w:r>
    </w:p>
    <w:p>
      <w:pPr>
        <w:spacing w:line="360" w:lineRule="auto"/>
        <w:ind w:firstLine="480" w:firstLineChars="200"/>
        <w:rPr>
          <w:rFonts w:ascii="宋体"/>
          <w:sz w:val="24"/>
        </w:rPr>
      </w:pPr>
      <w:r>
        <w:rPr>
          <w:rFonts w:ascii="宋体" w:hAnsi="宋体"/>
          <w:sz w:val="24"/>
        </w:rPr>
        <w:t>3.1</w:t>
      </w:r>
      <w:r>
        <w:rPr>
          <w:rFonts w:hint="eastAsia" w:ascii="宋体" w:hAnsi="宋体"/>
          <w:sz w:val="24"/>
        </w:rPr>
        <w:t>满足本磋商文件“竞争性磋商采购公告”中合格磋商供应商资格要求的规定。</w:t>
      </w:r>
    </w:p>
    <w:p>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满足本磋商文件实质性要求和条件的规定。</w:t>
      </w:r>
    </w:p>
    <w:p>
      <w:pPr>
        <w:spacing w:line="360" w:lineRule="auto"/>
        <w:ind w:firstLine="480" w:firstLineChars="200"/>
        <w:rPr>
          <w:rFonts w:ascii="宋体"/>
          <w:sz w:val="24"/>
        </w:rPr>
      </w:pPr>
      <w:r>
        <w:rPr>
          <w:rFonts w:ascii="宋体" w:hAnsi="宋体"/>
          <w:sz w:val="24"/>
        </w:rPr>
        <w:t>4</w:t>
      </w:r>
      <w:r>
        <w:rPr>
          <w:rFonts w:hint="eastAsia" w:ascii="宋体" w:hAnsi="宋体"/>
          <w:sz w:val="24"/>
        </w:rPr>
        <w:t>、参加磋商费用</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sz w:val="24"/>
        </w:rPr>
      </w:pPr>
      <w:r>
        <w:rPr>
          <w:rFonts w:ascii="宋体" w:hAnsi="宋体"/>
          <w:sz w:val="24"/>
        </w:rPr>
        <w:t>4.2</w:t>
      </w:r>
      <w:r>
        <w:rPr>
          <w:rFonts w:hint="eastAsia" w:ascii="宋体" w:hAnsi="宋体"/>
          <w:sz w:val="24"/>
        </w:rPr>
        <w:t>本项目的招标代理服务费（收费标准按中标价的1.5%×42%计取，如低于3000元的直接按3000计取）由中标人承担，各磋商供应商在投标报价时自行综合考虑分摊含进投标报价中，且不得单列，在开具中标通知书前一次性交纳。</w:t>
      </w:r>
    </w:p>
    <w:p>
      <w:pPr>
        <w:spacing w:line="360" w:lineRule="auto"/>
        <w:ind w:firstLine="480" w:firstLineChars="200"/>
        <w:rPr>
          <w:rFonts w:ascii="宋体"/>
          <w:sz w:val="24"/>
        </w:rPr>
      </w:pPr>
      <w:r>
        <w:rPr>
          <w:rFonts w:ascii="宋体" w:hAnsi="宋体"/>
          <w:sz w:val="24"/>
        </w:rPr>
        <w:t>5</w:t>
      </w:r>
      <w:r>
        <w:rPr>
          <w:rFonts w:hint="eastAsia" w:ascii="宋体" w:hAnsi="宋体"/>
          <w:sz w:val="24"/>
        </w:rPr>
        <w:t>、磋商文件的约束力</w:t>
      </w:r>
    </w:p>
    <w:p>
      <w:pPr>
        <w:spacing w:line="360" w:lineRule="auto"/>
        <w:ind w:firstLine="480" w:firstLineChars="200"/>
        <w:rPr>
          <w:rFonts w:asci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sz w:val="24"/>
        </w:rPr>
      </w:pPr>
      <w:r>
        <w:rPr>
          <w:rFonts w:ascii="宋体" w:hAnsi="宋体"/>
          <w:sz w:val="24"/>
        </w:rPr>
        <w:t>6</w:t>
      </w:r>
      <w:r>
        <w:rPr>
          <w:rFonts w:hint="eastAsia" w:ascii="宋体" w:hAnsi="宋体"/>
          <w:sz w:val="24"/>
        </w:rPr>
        <w:t>、</w:t>
      </w:r>
      <w:bookmarkStart w:id="8" w:name="_Toc462564070"/>
      <w:bookmarkStart w:id="9" w:name="_Toc513029211"/>
      <w:bookmarkStart w:id="10" w:name="_Toc16938527"/>
      <w:bookmarkStart w:id="11" w:name="_Toc20823283"/>
      <w:r>
        <w:rPr>
          <w:rFonts w:hint="eastAsia" w:ascii="宋体" w:hAnsi="宋体"/>
          <w:sz w:val="24"/>
        </w:rPr>
        <w:t>磋商文件的</w:t>
      </w:r>
      <w:bookmarkEnd w:id="8"/>
      <w:bookmarkEnd w:id="9"/>
      <w:bookmarkEnd w:id="10"/>
      <w:bookmarkEnd w:id="11"/>
      <w:r>
        <w:rPr>
          <w:rFonts w:hint="eastAsia" w:ascii="宋体" w:hAnsi="宋体"/>
          <w:sz w:val="24"/>
        </w:rPr>
        <w:t>询问及修改</w:t>
      </w:r>
    </w:p>
    <w:p>
      <w:pPr>
        <w:spacing w:line="360" w:lineRule="auto"/>
        <w:ind w:firstLine="480" w:firstLineChars="200"/>
        <w:rPr>
          <w:rFonts w:ascii="宋体"/>
          <w:sz w:val="24"/>
        </w:rPr>
      </w:pPr>
      <w:r>
        <w:rPr>
          <w:rFonts w:ascii="宋体" w:hAnsi="宋体"/>
          <w:sz w:val="24"/>
        </w:rPr>
        <w:t>6.1</w:t>
      </w:r>
      <w:r>
        <w:rPr>
          <w:rFonts w:hint="eastAsia" w:ascii="宋体" w:hAnsi="宋体"/>
          <w:sz w:val="24"/>
        </w:rPr>
        <w:t>任何要求对磋商文件进行询问的供应商，均应在提交首次响应文件截止时间五日前按采购邀请中的通讯地址，向采购人或</w:t>
      </w:r>
      <w:r>
        <w:rPr>
          <w:rFonts w:hint="eastAsia" w:hAnsi="宋体" w:cs="宋体"/>
          <w:kern w:val="0"/>
          <w:sz w:val="24"/>
        </w:rPr>
        <w:t>采购代理机构</w:t>
      </w:r>
      <w:r>
        <w:rPr>
          <w:rFonts w:hint="eastAsia" w:ascii="宋体" w:hAnsi="宋体"/>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sz w:val="24"/>
        </w:rPr>
        <w:t>“盐城市政府采购网”和“盐城工业职业技术学院招标采购网”</w:t>
      </w:r>
      <w:r>
        <w:rPr>
          <w:rFonts w:hint="eastAsia" w:ascii="宋体" w:hAnsi="宋体"/>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sz w:val="24"/>
        </w:rPr>
      </w:pPr>
      <w:r>
        <w:rPr>
          <w:rFonts w:ascii="宋体" w:hAnsi="宋体"/>
          <w:sz w:val="24"/>
        </w:rPr>
        <w:t>6.2</w:t>
      </w:r>
      <w:r>
        <w:rPr>
          <w:rFonts w:hint="eastAsia" w:hAnsi="宋体" w:cs="宋体"/>
          <w:kern w:val="0"/>
          <w:sz w:val="24"/>
        </w:rPr>
        <w:t>采购代理机构</w:t>
      </w:r>
      <w:r>
        <w:rPr>
          <w:rFonts w:hint="eastAsia" w:ascii="宋体" w:hAnsi="宋体"/>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sz w:val="24"/>
        </w:rPr>
      </w:pPr>
      <w:r>
        <w:rPr>
          <w:rFonts w:ascii="宋体" w:hAnsi="宋体"/>
          <w:sz w:val="24"/>
        </w:rPr>
        <w:t>7</w:t>
      </w:r>
      <w:r>
        <w:rPr>
          <w:rFonts w:hint="eastAsia" w:ascii="宋体" w:hAnsi="宋体"/>
          <w:sz w:val="24"/>
        </w:rPr>
        <w:t>、磋商文件的解释</w:t>
      </w:r>
    </w:p>
    <w:p>
      <w:pPr>
        <w:spacing w:line="360" w:lineRule="auto"/>
        <w:ind w:firstLine="480" w:firstLineChars="200"/>
        <w:rPr>
          <w:rFonts w:ascii="宋体"/>
          <w:sz w:val="24"/>
        </w:rPr>
      </w:pPr>
      <w:r>
        <w:rPr>
          <w:rFonts w:hAnsi="宋体" w:cs="宋体"/>
          <w:kern w:val="0"/>
          <w:sz w:val="24"/>
        </w:rPr>
        <w:t xml:space="preserve">7.1 </w:t>
      </w:r>
      <w:r>
        <w:rPr>
          <w:rFonts w:hint="eastAsia" w:hAnsi="宋体" w:cs="宋体"/>
          <w:kern w:val="0"/>
          <w:sz w:val="24"/>
        </w:rPr>
        <w:t>本磋商文件由采购人负责解释。</w:t>
      </w:r>
      <w:bookmarkStart w:id="12" w:name="_Toc513029213"/>
      <w:bookmarkStart w:id="13" w:name="_Toc462564072"/>
      <w:bookmarkStart w:id="14" w:name="_Toc14577351"/>
      <w:bookmarkStart w:id="15" w:name="_Toc61149553"/>
    </w:p>
    <w:p>
      <w:pPr>
        <w:spacing w:line="360" w:lineRule="auto"/>
        <w:ind w:firstLine="482" w:firstLineChars="200"/>
        <w:rPr>
          <w:rFonts w:ascii="宋体"/>
          <w:sz w:val="24"/>
        </w:rPr>
      </w:pPr>
      <w:r>
        <w:rPr>
          <w:rFonts w:hint="eastAsia" w:hAnsi="宋体" w:cs="宋体"/>
          <w:b/>
          <w:kern w:val="0"/>
          <w:sz w:val="24"/>
        </w:rPr>
        <w:t>二、磋商响应文件的编制</w:t>
      </w:r>
      <w:bookmarkEnd w:id="12"/>
      <w:bookmarkEnd w:id="13"/>
      <w:bookmarkEnd w:id="14"/>
      <w:bookmarkEnd w:id="15"/>
      <w:r>
        <w:rPr>
          <w:rFonts w:hint="eastAsia" w:hAnsi="宋体" w:cs="宋体"/>
          <w:b/>
          <w:kern w:val="0"/>
          <w:sz w:val="24"/>
        </w:rPr>
        <w:t>及保证金收取</w:t>
      </w:r>
      <w:bookmarkStart w:id="16" w:name="_Toc513029223"/>
      <w:bookmarkStart w:id="17" w:name="_Toc14577361"/>
      <w:bookmarkStart w:id="18" w:name="_Toc61149561"/>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、磋商响应文件份数和签署</w:t>
      </w:r>
      <w:bookmarkEnd w:id="16"/>
      <w:bookmarkEnd w:id="17"/>
      <w:bookmarkEnd w:id="18"/>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磋商供应商应严格按照采购邀请要求准备磋商响应文件（以下简称响应文件），每份响应文件须清楚地标明“正本”或“副本”字样。</w:t>
      </w:r>
    </w:p>
    <w:p>
      <w:pPr>
        <w:spacing w:line="360" w:lineRule="auto"/>
        <w:ind w:firstLine="480" w:firstLineChars="200"/>
        <w:rPr>
          <w:rFonts w:ascii="宋体"/>
          <w:sz w:val="24"/>
        </w:rPr>
      </w:pPr>
      <w:r>
        <w:rPr>
          <w:rFonts w:hint="eastAsia" w:hAnsi="宋体" w:cs="宋体"/>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sz w:val="24"/>
        </w:rPr>
      </w:pPr>
      <w:r>
        <w:rPr>
          <w:rFonts w:hAnsi="宋体" w:cs="宋体"/>
          <w:kern w:val="0"/>
          <w:sz w:val="24"/>
        </w:rPr>
        <w:t xml:space="preserve">1.2 </w:t>
      </w:r>
      <w:r>
        <w:rPr>
          <w:rFonts w:hint="eastAsia" w:hAnsi="宋体" w:cs="宋体"/>
          <w:kern w:val="0"/>
          <w:sz w:val="24"/>
        </w:rPr>
        <w:t>除磋商供应商对错处做必要修改外，响应文件不得行间插字、涂改或增删。如有修改错漏处，必须由响应文件签署人签字或盖章。</w:t>
      </w:r>
      <w:bookmarkStart w:id="19" w:name="_Toc462564074"/>
      <w:bookmarkStart w:id="20" w:name="_Toc61149555"/>
      <w:bookmarkStart w:id="21" w:name="_Toc513029215"/>
      <w:bookmarkStart w:id="22" w:name="_Toc14577353"/>
      <w:bookmarkStart w:id="23" w:name="_Toc14577352"/>
      <w:bookmarkStart w:id="24" w:name="_Toc462564073"/>
      <w:bookmarkStart w:id="25" w:name="_Toc61149554"/>
      <w:bookmarkStart w:id="26" w:name="_Toc513029214"/>
    </w:p>
    <w:p>
      <w:pPr>
        <w:spacing w:line="360" w:lineRule="auto"/>
        <w:ind w:firstLine="480" w:firstLineChars="200"/>
        <w:rPr>
          <w:rFonts w:ascii="宋体"/>
          <w:color w:val="000000" w:themeColor="text1"/>
          <w:sz w:val="24"/>
        </w:rPr>
      </w:pPr>
      <w:r>
        <w:rPr>
          <w:rFonts w:hAnsi="宋体" w:cs="宋体"/>
          <w:color w:val="000000" w:themeColor="text1"/>
          <w:kern w:val="0"/>
          <w:sz w:val="24"/>
        </w:rPr>
        <w:t>2</w:t>
      </w:r>
      <w:r>
        <w:rPr>
          <w:rFonts w:hint="eastAsia" w:hAnsi="宋体" w:cs="宋体"/>
          <w:color w:val="000000" w:themeColor="text1"/>
          <w:kern w:val="0"/>
          <w:sz w:val="24"/>
        </w:rPr>
        <w:t>、响应文件</w:t>
      </w:r>
      <w:bookmarkEnd w:id="19"/>
      <w:bookmarkEnd w:id="20"/>
      <w:bookmarkEnd w:id="21"/>
      <w:bookmarkEnd w:id="22"/>
      <w:r>
        <w:rPr>
          <w:rFonts w:hint="eastAsia" w:hAnsi="宋体" w:cs="宋体"/>
          <w:color w:val="000000" w:themeColor="text1"/>
          <w:kern w:val="0"/>
          <w:sz w:val="24"/>
        </w:rPr>
        <w:t>编制要求</w:t>
      </w:r>
      <w:bookmarkEnd w:id="23"/>
      <w:bookmarkEnd w:id="24"/>
      <w:bookmarkEnd w:id="25"/>
      <w:bookmarkEnd w:id="26"/>
    </w:p>
    <w:p>
      <w:pPr>
        <w:spacing w:line="360" w:lineRule="auto"/>
        <w:ind w:firstLine="480" w:firstLineChars="200"/>
        <w:rPr>
          <w:rFonts w:ascii="宋体"/>
          <w:color w:val="000000" w:themeColor="text1"/>
          <w:sz w:val="24"/>
        </w:rPr>
      </w:pPr>
      <w:r>
        <w:rPr>
          <w:rFonts w:hAnsi="宋体" w:cs="宋体"/>
          <w:color w:val="000000" w:themeColor="text1"/>
          <w:kern w:val="0"/>
          <w:sz w:val="24"/>
        </w:rPr>
        <w:t>2.1</w:t>
      </w:r>
      <w:r>
        <w:rPr>
          <w:rFonts w:hint="eastAsia" w:hAnsi="宋体" w:cs="宋体"/>
          <w:color w:val="000000" w:themeColor="text1"/>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color w:val="000000" w:themeColor="text1"/>
          <w:sz w:val="24"/>
        </w:rPr>
      </w:pPr>
      <w:r>
        <w:rPr>
          <w:rFonts w:hAnsi="宋体" w:cs="宋体"/>
          <w:color w:val="000000" w:themeColor="text1"/>
          <w:kern w:val="0"/>
          <w:sz w:val="24"/>
        </w:rPr>
        <w:t xml:space="preserve">2.2 </w:t>
      </w:r>
      <w:r>
        <w:rPr>
          <w:rFonts w:hint="eastAsia" w:hAnsi="宋体" w:cs="宋体"/>
          <w:color w:val="000000" w:themeColor="text1"/>
          <w:kern w:val="0"/>
          <w:sz w:val="24"/>
        </w:rPr>
        <w:t>除技术性能另有规定外，响应文件所使用的度量衡单位，均须采用国家法定计量单位。</w:t>
      </w:r>
      <w:bookmarkStart w:id="27" w:name="_Toc14577357"/>
      <w:bookmarkStart w:id="28" w:name="_Toc513029219"/>
      <w:bookmarkStart w:id="29" w:name="_Toc61149558"/>
      <w:bookmarkStart w:id="30" w:name="_Toc14577355"/>
      <w:bookmarkStart w:id="31" w:name="_Toc61149557"/>
      <w:bookmarkStart w:id="32" w:name="_Toc513029217"/>
    </w:p>
    <w:p>
      <w:pPr>
        <w:spacing w:line="360" w:lineRule="auto"/>
        <w:ind w:firstLine="480" w:firstLineChars="200"/>
        <w:rPr>
          <w:rFonts w:ascii="宋体"/>
          <w:color w:val="000000" w:themeColor="text1"/>
          <w:sz w:val="24"/>
        </w:rPr>
      </w:pPr>
      <w:r>
        <w:rPr>
          <w:rFonts w:hAnsi="宋体" w:cs="宋体"/>
          <w:color w:val="000000" w:themeColor="text1"/>
          <w:kern w:val="0"/>
          <w:sz w:val="24"/>
        </w:rPr>
        <w:t>3</w:t>
      </w:r>
      <w:r>
        <w:rPr>
          <w:rFonts w:hint="eastAsia" w:hAnsi="宋体" w:cs="宋体"/>
          <w:color w:val="000000" w:themeColor="text1"/>
          <w:kern w:val="0"/>
          <w:sz w:val="24"/>
        </w:rPr>
        <w:t>、参加磋商供应商资格的文件</w:t>
      </w:r>
      <w:bookmarkEnd w:id="27"/>
      <w:bookmarkEnd w:id="28"/>
      <w:bookmarkEnd w:id="29"/>
      <w:r>
        <w:rPr>
          <w:rFonts w:hint="eastAsia" w:hAnsi="宋体" w:cs="宋体"/>
          <w:color w:val="000000" w:themeColor="text1"/>
          <w:kern w:val="0"/>
          <w:sz w:val="24"/>
        </w:rPr>
        <w:t>证明</w:t>
      </w:r>
    </w:p>
    <w:p>
      <w:pPr>
        <w:spacing w:line="360" w:lineRule="auto"/>
        <w:ind w:firstLine="480" w:firstLineChars="200"/>
        <w:rPr>
          <w:rFonts w:ascii="宋体"/>
          <w:color w:val="000000" w:themeColor="text1"/>
          <w:sz w:val="24"/>
        </w:rPr>
      </w:pPr>
      <w:r>
        <w:rPr>
          <w:rFonts w:hAnsi="宋体" w:cs="宋体"/>
          <w:color w:val="000000" w:themeColor="text1"/>
          <w:kern w:val="0"/>
          <w:sz w:val="24"/>
        </w:rPr>
        <w:t>3.1</w:t>
      </w:r>
      <w:r>
        <w:rPr>
          <w:rFonts w:hint="eastAsia" w:hAnsi="宋体" w:cs="宋体"/>
          <w:color w:val="000000" w:themeColor="text1"/>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color w:val="000000" w:themeColor="text1"/>
          <w:sz w:val="24"/>
        </w:rPr>
      </w:pPr>
      <w:r>
        <w:rPr>
          <w:rFonts w:hAnsi="宋体" w:cs="宋体"/>
          <w:color w:val="000000" w:themeColor="text1"/>
          <w:kern w:val="0"/>
          <w:sz w:val="24"/>
        </w:rPr>
        <w:t>3.2</w:t>
      </w:r>
      <w:r>
        <w:rPr>
          <w:rFonts w:hint="eastAsia" w:hAnsi="宋体" w:cs="宋体"/>
          <w:color w:val="000000" w:themeColor="text1"/>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color w:val="000000" w:themeColor="text1"/>
          <w:sz w:val="24"/>
        </w:rPr>
      </w:pPr>
      <w:r>
        <w:rPr>
          <w:rFonts w:hAnsi="宋体" w:cs="宋体"/>
          <w:color w:val="000000" w:themeColor="text1"/>
          <w:kern w:val="0"/>
          <w:sz w:val="24"/>
        </w:rPr>
        <w:t>3.3</w:t>
      </w:r>
      <w:r>
        <w:rPr>
          <w:rFonts w:hint="eastAsia" w:hAnsi="宋体" w:cs="宋体"/>
          <w:color w:val="000000" w:themeColor="text1"/>
          <w:kern w:val="0"/>
          <w:sz w:val="24"/>
        </w:rPr>
        <w:t>磋商供应商应填写并提交磋商文件所附的“资信证明文件”。</w:t>
      </w:r>
    </w:p>
    <w:p>
      <w:pPr>
        <w:spacing w:line="360" w:lineRule="auto"/>
        <w:ind w:firstLine="480" w:firstLineChars="200"/>
        <w:rPr>
          <w:rFonts w:ascii="宋体"/>
          <w:color w:val="000000" w:themeColor="text1"/>
          <w:sz w:val="24"/>
        </w:rPr>
      </w:pPr>
      <w:r>
        <w:rPr>
          <w:rFonts w:hAnsi="宋体" w:cs="宋体"/>
          <w:color w:val="000000" w:themeColor="text1"/>
          <w:kern w:val="0"/>
          <w:sz w:val="24"/>
        </w:rPr>
        <w:t>4</w:t>
      </w:r>
      <w:r>
        <w:rPr>
          <w:rFonts w:hint="eastAsia" w:hAnsi="宋体" w:cs="宋体"/>
          <w:color w:val="000000" w:themeColor="text1"/>
          <w:kern w:val="0"/>
          <w:sz w:val="24"/>
        </w:rPr>
        <w:t>、</w:t>
      </w:r>
      <w:bookmarkEnd w:id="30"/>
      <w:bookmarkEnd w:id="31"/>
      <w:bookmarkEnd w:id="32"/>
      <w:r>
        <w:rPr>
          <w:rFonts w:hint="eastAsia" w:hAnsi="宋体" w:cs="宋体"/>
          <w:color w:val="000000" w:themeColor="text1"/>
          <w:kern w:val="0"/>
          <w:sz w:val="24"/>
        </w:rPr>
        <w:t>投标报价表</w:t>
      </w:r>
    </w:p>
    <w:p>
      <w:pPr>
        <w:spacing w:line="360" w:lineRule="auto"/>
        <w:ind w:firstLine="480" w:firstLineChars="200"/>
        <w:rPr>
          <w:rFonts w:ascii="宋体"/>
          <w:color w:val="000000" w:themeColor="text1"/>
          <w:sz w:val="24"/>
        </w:rPr>
      </w:pPr>
      <w:r>
        <w:rPr>
          <w:rFonts w:hAnsi="宋体" w:cs="宋体"/>
          <w:color w:val="000000" w:themeColor="text1"/>
          <w:kern w:val="0"/>
          <w:sz w:val="24"/>
        </w:rPr>
        <w:t>4.1</w:t>
      </w:r>
      <w:r>
        <w:rPr>
          <w:rFonts w:hint="eastAsia" w:hAnsi="宋体" w:cs="宋体"/>
          <w:color w:val="000000" w:themeColor="text1"/>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color w:val="000000" w:themeColor="text1"/>
          <w:sz w:val="24"/>
        </w:rPr>
      </w:pPr>
      <w:r>
        <w:rPr>
          <w:rFonts w:hAnsi="宋体" w:cs="宋体"/>
          <w:color w:val="000000" w:themeColor="text1"/>
          <w:kern w:val="0"/>
          <w:sz w:val="24"/>
        </w:rPr>
        <w:t>4.2</w:t>
      </w:r>
      <w:r>
        <w:rPr>
          <w:rFonts w:hint="eastAsia" w:hAnsi="宋体" w:cs="宋体"/>
          <w:color w:val="000000" w:themeColor="text1"/>
          <w:kern w:val="0"/>
          <w:sz w:val="24"/>
        </w:rPr>
        <w:t>标的物</w:t>
      </w:r>
    </w:p>
    <w:p>
      <w:pPr>
        <w:spacing w:line="360" w:lineRule="auto"/>
        <w:ind w:firstLine="480" w:firstLineChars="200"/>
        <w:rPr>
          <w:rFonts w:ascii="宋体"/>
          <w:color w:val="000000" w:themeColor="text1"/>
          <w:sz w:val="24"/>
        </w:rPr>
      </w:pPr>
      <w:r>
        <w:rPr>
          <w:rFonts w:hint="eastAsia" w:hAnsi="宋体" w:cs="宋体"/>
          <w:color w:val="000000" w:themeColor="text1"/>
          <w:kern w:val="0"/>
          <w:sz w:val="24"/>
        </w:rPr>
        <w:t>详见项目需求。</w:t>
      </w:r>
    </w:p>
    <w:p>
      <w:pPr>
        <w:spacing w:line="360" w:lineRule="auto"/>
        <w:ind w:firstLine="480" w:firstLineChars="200"/>
        <w:rPr>
          <w:rFonts w:ascii="宋体"/>
          <w:sz w:val="24"/>
        </w:rPr>
      </w:pPr>
      <w:r>
        <w:rPr>
          <w:rFonts w:hAnsi="宋体" w:cs="宋体"/>
          <w:kern w:val="0"/>
          <w:sz w:val="24"/>
        </w:rPr>
        <w:t>4.3</w:t>
      </w:r>
      <w:r>
        <w:rPr>
          <w:rFonts w:hint="eastAsia" w:hAnsi="宋体" w:cs="宋体"/>
          <w:kern w:val="0"/>
          <w:sz w:val="24"/>
        </w:rPr>
        <w:t>有关费用处理</w:t>
      </w:r>
    </w:p>
    <w:p>
      <w:pPr>
        <w:spacing w:line="360" w:lineRule="auto"/>
        <w:ind w:firstLine="480" w:firstLineChars="200"/>
        <w:rPr>
          <w:rFonts w:ascii="宋体"/>
          <w:sz w:val="24"/>
        </w:rPr>
      </w:pPr>
      <w:r>
        <w:rPr>
          <w:rFonts w:hint="eastAsia" w:hAnsi="宋体" w:cs="宋体"/>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sz w:val="24"/>
        </w:rPr>
      </w:pPr>
      <w:r>
        <w:rPr>
          <w:rFonts w:hAnsi="宋体" w:cs="宋体"/>
          <w:kern w:val="0"/>
          <w:sz w:val="24"/>
        </w:rPr>
        <w:t>4.4</w:t>
      </w:r>
      <w:r>
        <w:rPr>
          <w:rFonts w:hint="eastAsia" w:hAnsi="宋体" w:cs="宋体"/>
          <w:kern w:val="0"/>
          <w:sz w:val="24"/>
        </w:rPr>
        <w:t>其它费用处理</w:t>
      </w:r>
    </w:p>
    <w:p>
      <w:pPr>
        <w:spacing w:line="360" w:lineRule="auto"/>
        <w:ind w:firstLine="480" w:firstLineChars="200"/>
        <w:rPr>
          <w:rFonts w:ascii="宋体"/>
          <w:sz w:val="24"/>
        </w:rPr>
      </w:pPr>
      <w:r>
        <w:rPr>
          <w:rFonts w:hint="eastAsia" w:hAnsi="宋体" w:cs="宋体"/>
          <w:kern w:val="0"/>
          <w:sz w:val="24"/>
        </w:rPr>
        <w:t>磋商文件未列明，而磋商供应商认为必须的费用也须列入报价。</w:t>
      </w:r>
    </w:p>
    <w:p>
      <w:pPr>
        <w:spacing w:line="360" w:lineRule="auto"/>
        <w:ind w:firstLine="480" w:firstLineChars="200"/>
        <w:rPr>
          <w:rFonts w:ascii="宋体"/>
          <w:sz w:val="24"/>
        </w:rPr>
      </w:pPr>
      <w:r>
        <w:rPr>
          <w:rFonts w:hAnsi="宋体" w:cs="宋体"/>
          <w:kern w:val="0"/>
          <w:sz w:val="24"/>
        </w:rPr>
        <w:t>4.5</w:t>
      </w:r>
      <w:r>
        <w:rPr>
          <w:rFonts w:hint="eastAsia" w:hAnsi="宋体" w:cs="宋体"/>
          <w:kern w:val="0"/>
          <w:sz w:val="24"/>
        </w:rPr>
        <w:t>报价采用的货币</w:t>
      </w:r>
    </w:p>
    <w:p>
      <w:pPr>
        <w:spacing w:line="360" w:lineRule="auto"/>
        <w:ind w:firstLine="480" w:firstLineChars="200"/>
        <w:rPr>
          <w:rFonts w:ascii="宋体"/>
          <w:sz w:val="24"/>
        </w:rPr>
      </w:pPr>
      <w:r>
        <w:rPr>
          <w:rFonts w:hint="eastAsia" w:hAnsi="宋体" w:cs="宋体"/>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sz w:val="24"/>
        </w:rPr>
      </w:pPr>
      <w:r>
        <w:rPr>
          <w:rFonts w:hAnsi="宋体" w:cs="宋体"/>
          <w:kern w:val="0"/>
          <w:sz w:val="24"/>
        </w:rPr>
        <w:t xml:space="preserve">4.6 </w:t>
      </w:r>
      <w:r>
        <w:rPr>
          <w:rFonts w:hint="eastAsia" w:hAnsi="宋体" w:cs="宋体"/>
          <w:kern w:val="0"/>
          <w:sz w:val="24"/>
        </w:rPr>
        <w:t>磋商响应报价表上的价格应按磋商文件规定填写。</w:t>
      </w:r>
      <w:bookmarkStart w:id="33" w:name="_Toc513029221"/>
      <w:bookmarkStart w:id="34" w:name="_Toc61149559"/>
      <w:bookmarkStart w:id="35" w:name="_Toc14577359"/>
    </w:p>
    <w:p>
      <w:pPr>
        <w:spacing w:line="360" w:lineRule="auto"/>
        <w:ind w:firstLine="480" w:firstLineChars="200"/>
        <w:rPr>
          <w:rFonts w:ascii="宋体"/>
          <w:sz w:val="24"/>
        </w:rPr>
      </w:pPr>
      <w:r>
        <w:rPr>
          <w:rFonts w:hAnsi="宋体" w:cs="宋体"/>
          <w:kern w:val="0"/>
          <w:sz w:val="24"/>
        </w:rPr>
        <w:t>5</w:t>
      </w:r>
      <w:r>
        <w:rPr>
          <w:rFonts w:hint="eastAsia" w:hAnsi="宋体" w:cs="宋体"/>
          <w:kern w:val="0"/>
          <w:sz w:val="24"/>
        </w:rPr>
        <w:t>、项目需求响应方案</w:t>
      </w:r>
    </w:p>
    <w:p>
      <w:pPr>
        <w:spacing w:line="360" w:lineRule="auto"/>
        <w:ind w:firstLine="480" w:firstLineChars="200"/>
        <w:rPr>
          <w:rFonts w:ascii="宋体"/>
          <w:sz w:val="24"/>
        </w:rPr>
      </w:pPr>
      <w:r>
        <w:rPr>
          <w:rFonts w:hAnsi="宋体" w:cs="宋体"/>
          <w:kern w:val="0"/>
          <w:sz w:val="24"/>
        </w:rPr>
        <w:t>5.1</w:t>
      </w:r>
      <w:r>
        <w:rPr>
          <w:rFonts w:hint="eastAsia" w:hAnsi="宋体" w:cs="宋体"/>
          <w:kern w:val="0"/>
          <w:sz w:val="24"/>
        </w:rPr>
        <w:t>提供为完成本项目的总体实施方案。</w:t>
      </w:r>
    </w:p>
    <w:p>
      <w:pPr>
        <w:spacing w:line="360" w:lineRule="auto"/>
        <w:ind w:firstLine="480" w:firstLineChars="200"/>
        <w:rPr>
          <w:rFonts w:hAnsi="宋体" w:cs="宋体"/>
          <w:kern w:val="0"/>
          <w:sz w:val="24"/>
        </w:rPr>
      </w:pPr>
      <w:r>
        <w:rPr>
          <w:rFonts w:hAnsi="宋体" w:cs="宋体"/>
          <w:kern w:val="0"/>
          <w:sz w:val="24"/>
        </w:rPr>
        <w:t>5.2</w:t>
      </w:r>
      <w:r>
        <w:rPr>
          <w:rFonts w:hint="eastAsia" w:hAnsi="宋体" w:cs="宋体"/>
          <w:kern w:val="0"/>
          <w:sz w:val="24"/>
        </w:rPr>
        <w:t>对磋商文件中项目需求的技术与商务条款要求逐项作出应答，并提供依据或说明。</w:t>
      </w:r>
    </w:p>
    <w:p>
      <w:pPr>
        <w:spacing w:line="360" w:lineRule="auto"/>
        <w:ind w:firstLine="480" w:firstLineChars="200"/>
        <w:rPr>
          <w:rFonts w:ascii="宋体"/>
          <w:sz w:val="24"/>
        </w:rPr>
      </w:pPr>
      <w:r>
        <w:rPr>
          <w:rFonts w:hAnsi="宋体" w:cs="宋体"/>
          <w:kern w:val="0"/>
          <w:sz w:val="24"/>
        </w:rPr>
        <w:t>5.3</w:t>
      </w:r>
      <w:r>
        <w:rPr>
          <w:rFonts w:hint="eastAsia" w:hAnsi="宋体" w:cs="宋体"/>
          <w:kern w:val="0"/>
          <w:sz w:val="24"/>
        </w:rPr>
        <w:t>磋商供应商认为需要的其他技术文件或说明。</w:t>
      </w:r>
    </w:p>
    <w:p>
      <w:pPr>
        <w:spacing w:line="360" w:lineRule="auto"/>
        <w:ind w:firstLine="480" w:firstLineChars="200"/>
        <w:rPr>
          <w:rFonts w:ascii="宋体"/>
          <w:sz w:val="24"/>
        </w:rPr>
      </w:pPr>
      <w:r>
        <w:rPr>
          <w:rFonts w:hAnsi="宋体" w:cs="宋体"/>
          <w:kern w:val="0"/>
          <w:sz w:val="24"/>
        </w:rPr>
        <w:t>6</w:t>
      </w:r>
      <w:r>
        <w:rPr>
          <w:rFonts w:hint="eastAsia" w:hAnsi="宋体" w:cs="宋体"/>
          <w:kern w:val="0"/>
          <w:sz w:val="24"/>
        </w:rPr>
        <w:t>、磋商保证金</w:t>
      </w:r>
      <w:bookmarkEnd w:id="33"/>
      <w:bookmarkEnd w:id="34"/>
      <w:bookmarkEnd w:id="35"/>
    </w:p>
    <w:p>
      <w:pPr>
        <w:spacing w:line="360" w:lineRule="auto"/>
        <w:ind w:firstLine="480" w:firstLineChars="200"/>
        <w:rPr>
          <w:rFonts w:ascii="宋体"/>
          <w:sz w:val="24"/>
        </w:rPr>
      </w:pPr>
      <w:r>
        <w:rPr>
          <w:rFonts w:hAnsi="宋体" w:cs="宋体"/>
          <w:kern w:val="0"/>
          <w:sz w:val="24"/>
        </w:rPr>
        <w:t>6.1</w:t>
      </w:r>
      <w:r>
        <w:rPr>
          <w:rFonts w:hint="eastAsia" w:hAnsi="宋体" w:cs="宋体"/>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spacing w:line="360" w:lineRule="auto"/>
        <w:ind w:firstLine="480" w:firstLineChars="200"/>
        <w:rPr>
          <w:rFonts w:hAnsi="宋体" w:cs="宋体"/>
          <w:kern w:val="0"/>
          <w:sz w:val="24"/>
        </w:rPr>
      </w:pPr>
      <w:r>
        <w:rPr>
          <w:rFonts w:hAnsi="宋体" w:cs="宋体"/>
          <w:kern w:val="0"/>
          <w:sz w:val="24"/>
        </w:rPr>
        <w:t>6.2</w:t>
      </w:r>
      <w:r>
        <w:rPr>
          <w:rFonts w:hint="eastAsia" w:hAnsi="宋体" w:cs="宋体"/>
          <w:kern w:val="0"/>
          <w:sz w:val="24"/>
        </w:rPr>
        <w:t>参加磋商采购所需交纳的保证金必须是人民币，磋商保证金的交纳形式见采购邀请。</w:t>
      </w:r>
    </w:p>
    <w:p>
      <w:pPr>
        <w:spacing w:line="360" w:lineRule="auto"/>
        <w:ind w:firstLine="480" w:firstLineChars="200"/>
        <w:rPr>
          <w:rFonts w:ascii="宋体"/>
          <w:sz w:val="24"/>
        </w:rPr>
      </w:pPr>
      <w:r>
        <w:rPr>
          <w:rFonts w:hAnsi="宋体" w:cs="宋体"/>
          <w:kern w:val="0"/>
          <w:sz w:val="24"/>
        </w:rPr>
        <w:t>6.3</w:t>
      </w:r>
      <w:r>
        <w:rPr>
          <w:rFonts w:hint="eastAsia" w:hAnsi="宋体" w:cs="宋体"/>
          <w:kern w:val="0"/>
          <w:sz w:val="24"/>
        </w:rPr>
        <w:t>在磋商时，对在响应文件递交截止时间以前未按磋商文件要求提交磋商保证金的响应文件，采购人将视其为无效响应文件而予以拒绝。</w:t>
      </w:r>
    </w:p>
    <w:p>
      <w:pPr>
        <w:spacing w:line="360" w:lineRule="auto"/>
        <w:ind w:firstLine="480" w:firstLineChars="200"/>
        <w:rPr>
          <w:rFonts w:hAnsi="宋体" w:cs="宋体"/>
          <w:kern w:val="0"/>
          <w:sz w:val="24"/>
        </w:rPr>
      </w:pPr>
      <w:r>
        <w:rPr>
          <w:rFonts w:hAnsi="宋体" w:cs="宋体"/>
          <w:kern w:val="0"/>
          <w:sz w:val="24"/>
        </w:rPr>
        <w:t>6.4</w:t>
      </w:r>
      <w:r>
        <w:rPr>
          <w:rFonts w:hint="eastAsia" w:hAnsi="宋体" w:cs="宋体"/>
          <w:kern w:val="0"/>
          <w:sz w:val="24"/>
        </w:rPr>
        <w:t>下列任何情况发生时，磋商保证金不予退还：</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）磋商供应商在磋商响应有效期内无正当理由撤回其响应文件或者在磋商过程中无正当理由退出磋商活动（磋商供应商在提交最后报价之前退出磋商的除外）；</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）为谋取最终成交，磋商供应商在整个磋商过程中提供的相关文件被确认是虚假的、不真实的；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）参加磋商的供应商之间被证实有串通、欺诈行为或者恶意进行竞争，影响采购人合法权益的；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4</w:t>
      </w:r>
      <w:r>
        <w:rPr>
          <w:rFonts w:hint="eastAsia" w:hAnsi="宋体" w:cs="宋体"/>
          <w:kern w:val="0"/>
          <w:sz w:val="24"/>
        </w:rPr>
        <w:t>）整个采购活动中采取不正当手段诋毁、排挤其他供应商的；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5</w:t>
      </w:r>
      <w:r>
        <w:rPr>
          <w:rFonts w:hint="eastAsia" w:hAnsi="宋体" w:cs="宋体"/>
          <w:kern w:val="0"/>
          <w:sz w:val="24"/>
        </w:rPr>
        <w:t>）与采购人、采购代理机构相关工作人员恶意串通的；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6</w:t>
      </w:r>
      <w:r>
        <w:rPr>
          <w:rFonts w:hint="eastAsia" w:hAnsi="宋体" w:cs="宋体"/>
          <w:kern w:val="0"/>
          <w:sz w:val="24"/>
        </w:rPr>
        <w:t>）向采购人、采购代理机构相关工作人员行贿或者提供其他不正当利益的；</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7</w:t>
      </w:r>
      <w:r>
        <w:rPr>
          <w:rFonts w:hint="eastAsia" w:hAnsi="宋体" w:cs="宋体"/>
          <w:kern w:val="0"/>
          <w:sz w:val="24"/>
        </w:rPr>
        <w:t>）成交供应商在规定期限内未能根据规定签订合同；</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8</w:t>
      </w:r>
      <w:r>
        <w:rPr>
          <w:rFonts w:hint="eastAsia" w:hAnsi="宋体" w:cs="宋体"/>
          <w:kern w:val="0"/>
          <w:sz w:val="24"/>
        </w:rPr>
        <w:t>）成交供应商在规定期限内未能根据规定交纳履约保证金。</w:t>
      </w:r>
      <w:bookmarkStart w:id="36" w:name="_Toc513029224"/>
      <w:bookmarkStart w:id="37" w:name="_Toc14577362"/>
      <w:bookmarkStart w:id="38" w:name="_Toc61149562"/>
    </w:p>
    <w:p>
      <w:pPr>
        <w:spacing w:line="360" w:lineRule="auto"/>
        <w:ind w:firstLine="482" w:firstLineChars="200"/>
        <w:rPr>
          <w:rFonts w:ascii="宋体"/>
          <w:sz w:val="24"/>
        </w:rPr>
      </w:pPr>
      <w:r>
        <w:rPr>
          <w:rFonts w:hint="eastAsia" w:hAnsi="宋体" w:cs="宋体"/>
          <w:b/>
          <w:kern w:val="0"/>
          <w:sz w:val="24"/>
        </w:rPr>
        <w:t>三、响应文件的递交</w:t>
      </w:r>
      <w:bookmarkEnd w:id="36"/>
      <w:bookmarkEnd w:id="37"/>
      <w:bookmarkEnd w:id="38"/>
      <w:bookmarkStart w:id="39" w:name="_Toc513029225"/>
      <w:bookmarkStart w:id="40" w:name="_Toc14577363"/>
      <w:bookmarkStart w:id="41" w:name="_Toc61149563"/>
      <w:bookmarkStart w:id="42" w:name="_Toc462564084"/>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、响应文件的密封和标记</w:t>
      </w:r>
      <w:bookmarkEnd w:id="39"/>
      <w:bookmarkEnd w:id="40"/>
      <w:bookmarkEnd w:id="41"/>
      <w:bookmarkEnd w:id="42"/>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磋商供应商应严格按照采购邀请要求的份数准备响应文件，每份响应文件须清楚地标明“正本”或“副本”字样。一旦正本和副本不符，以正本为准。磋商供应商应将响应文件正本和所有副本密封。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sz w:val="24"/>
        </w:rPr>
      </w:pPr>
      <w:r>
        <w:rPr>
          <w:rFonts w:hAnsi="宋体" w:cs="宋体"/>
          <w:kern w:val="0"/>
          <w:sz w:val="24"/>
        </w:rPr>
        <w:t>1.2</w:t>
      </w:r>
      <w:r>
        <w:rPr>
          <w:rFonts w:hint="eastAsia" w:hAnsi="宋体" w:cs="宋体"/>
          <w:kern w:val="0"/>
          <w:sz w:val="24"/>
        </w:rPr>
        <w:t>密封的响应文件应：</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）按采购邀请中注明的地址送达规定地点；</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）注明参加磋商项目名称、磋商文件编号及参加的分包号；</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）密封包装上应写明磋商供应商名称。</w:t>
      </w:r>
    </w:p>
    <w:p>
      <w:pPr>
        <w:spacing w:line="360" w:lineRule="auto"/>
        <w:ind w:firstLine="480" w:firstLineChars="200"/>
        <w:rPr>
          <w:rFonts w:ascii="宋体"/>
          <w:sz w:val="24"/>
        </w:rPr>
      </w:pPr>
      <w:r>
        <w:rPr>
          <w:rFonts w:hAnsi="宋体" w:cs="宋体"/>
          <w:kern w:val="0"/>
          <w:sz w:val="24"/>
        </w:rPr>
        <w:t>1.3</w:t>
      </w:r>
      <w:r>
        <w:rPr>
          <w:rFonts w:hint="eastAsia" w:hAnsi="宋体" w:cs="宋体"/>
          <w:kern w:val="0"/>
          <w:sz w:val="24"/>
        </w:rPr>
        <w:t>如果密封包装未按要求密封和加写标记，采购人对误投或过早启封概不负责。对由此造成提前开封的响应文件，采购人将予以拒绝。</w:t>
      </w:r>
      <w:bookmarkStart w:id="43" w:name="_Toc61149564"/>
      <w:bookmarkStart w:id="44" w:name="_Toc14577364"/>
      <w:bookmarkStart w:id="45" w:name="_Toc513029226"/>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w:t>
      </w:r>
      <w:bookmarkEnd w:id="43"/>
      <w:bookmarkEnd w:id="44"/>
      <w:bookmarkEnd w:id="45"/>
      <w:r>
        <w:rPr>
          <w:rFonts w:hint="eastAsia" w:hAnsi="宋体" w:cs="宋体"/>
          <w:kern w:val="0"/>
          <w:sz w:val="24"/>
        </w:rPr>
        <w:t>响应文件开启时间</w:t>
      </w:r>
    </w:p>
    <w:p>
      <w:pPr>
        <w:spacing w:line="360" w:lineRule="auto"/>
        <w:ind w:left="120" w:leftChars="57" w:firstLine="360" w:firstLineChars="150"/>
        <w:rPr>
          <w:rFonts w:hAnsi="宋体" w:cs="宋体"/>
          <w:kern w:val="0"/>
          <w:sz w:val="24"/>
        </w:rPr>
      </w:pPr>
      <w:r>
        <w:rPr>
          <w:rFonts w:hAnsi="宋体" w:cs="宋体"/>
          <w:kern w:val="0"/>
          <w:sz w:val="24"/>
        </w:rPr>
        <w:t>2.1</w:t>
      </w:r>
      <w:r>
        <w:rPr>
          <w:rFonts w:hint="eastAsia" w:hAnsi="宋体" w:cs="宋体"/>
          <w:kern w:val="0"/>
          <w:sz w:val="24"/>
        </w:rPr>
        <w:t>采购人收到响应文件的时间不得迟于本磋商文件规定的响应文件接收截止时间。</w:t>
      </w:r>
    </w:p>
    <w:p>
      <w:pPr>
        <w:spacing w:line="360" w:lineRule="auto"/>
        <w:ind w:left="120" w:leftChars="57" w:firstLine="360" w:firstLineChars="150"/>
        <w:rPr>
          <w:rFonts w:ascii="宋体"/>
          <w:sz w:val="24"/>
        </w:rPr>
      </w:pPr>
      <w:r>
        <w:rPr>
          <w:rFonts w:hAnsi="宋体" w:cs="宋体"/>
          <w:kern w:val="0"/>
          <w:sz w:val="24"/>
        </w:rPr>
        <w:t>2.2</w:t>
      </w:r>
      <w:r>
        <w:rPr>
          <w:rFonts w:hint="eastAsia" w:hAnsi="宋体" w:cs="宋体"/>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46" w:name="_Toc513029227"/>
      <w:bookmarkStart w:id="47" w:name="_Toc14577365"/>
      <w:bookmarkStart w:id="48" w:name="_Toc61149565"/>
    </w:p>
    <w:p>
      <w:pPr>
        <w:spacing w:line="360" w:lineRule="auto"/>
        <w:ind w:left="359" w:leftChars="171" w:firstLine="120" w:firstLineChars="50"/>
        <w:rPr>
          <w:rFonts w:ascii="宋体"/>
          <w:sz w:val="24"/>
        </w:rPr>
      </w:pPr>
      <w:r>
        <w:rPr>
          <w:rFonts w:hAnsi="宋体" w:cs="宋体"/>
          <w:kern w:val="0"/>
          <w:sz w:val="24"/>
        </w:rPr>
        <w:t>3</w:t>
      </w:r>
      <w:r>
        <w:rPr>
          <w:rFonts w:hint="eastAsia" w:hAnsi="宋体" w:cs="宋体"/>
          <w:kern w:val="0"/>
          <w:sz w:val="24"/>
        </w:rPr>
        <w:t>、迟交的响应文件</w:t>
      </w:r>
      <w:bookmarkEnd w:id="46"/>
      <w:bookmarkEnd w:id="47"/>
      <w:bookmarkEnd w:id="48"/>
      <w:r>
        <w:rPr>
          <w:rFonts w:ascii="宋体"/>
          <w:sz w:val="24"/>
        </w:rPr>
        <w:br w:type="textWrapping"/>
      </w:r>
      <w:r>
        <w:rPr>
          <w:rFonts w:hAnsi="宋体" w:cs="宋体"/>
          <w:kern w:val="0"/>
          <w:sz w:val="24"/>
        </w:rPr>
        <w:t>3.1</w:t>
      </w:r>
      <w:r>
        <w:rPr>
          <w:rFonts w:hint="eastAsia" w:hAnsi="宋体" w:cs="宋体"/>
          <w:kern w:val="0"/>
          <w:sz w:val="24"/>
        </w:rPr>
        <w:t>采购人将拒绝在规定的响应文件接收截止时间后接收任何响应文件。</w:t>
      </w:r>
      <w:bookmarkStart w:id="49" w:name="_Toc61149566"/>
      <w:bookmarkStart w:id="50" w:name="_Toc513029228"/>
      <w:bookmarkStart w:id="51" w:name="_Toc14577366"/>
    </w:p>
    <w:p>
      <w:pPr>
        <w:spacing w:line="360" w:lineRule="auto"/>
        <w:ind w:left="359" w:leftChars="171" w:firstLine="120" w:firstLineChars="50"/>
        <w:rPr>
          <w:rFonts w:ascii="宋体"/>
          <w:sz w:val="24"/>
        </w:rPr>
      </w:pPr>
      <w:r>
        <w:rPr>
          <w:rFonts w:hAnsi="宋体" w:cs="宋体"/>
          <w:kern w:val="0"/>
          <w:sz w:val="24"/>
        </w:rPr>
        <w:t>4</w:t>
      </w:r>
      <w:r>
        <w:rPr>
          <w:rFonts w:hint="eastAsia" w:hAnsi="宋体" w:cs="宋体"/>
          <w:kern w:val="0"/>
          <w:sz w:val="24"/>
        </w:rPr>
        <w:t>、响应文件的修改和撤回</w:t>
      </w:r>
      <w:bookmarkEnd w:id="49"/>
      <w:bookmarkEnd w:id="50"/>
      <w:bookmarkEnd w:id="51"/>
    </w:p>
    <w:p>
      <w:pPr>
        <w:spacing w:line="360" w:lineRule="auto"/>
        <w:ind w:left="120" w:leftChars="57" w:firstLine="360" w:firstLineChars="150"/>
        <w:rPr>
          <w:rFonts w:hAnsi="宋体" w:cs="宋体"/>
          <w:kern w:val="0"/>
          <w:sz w:val="24"/>
        </w:rPr>
      </w:pPr>
      <w:r>
        <w:rPr>
          <w:rFonts w:hAnsi="宋体" w:cs="宋体"/>
          <w:kern w:val="0"/>
          <w:sz w:val="24"/>
        </w:rPr>
        <w:t>4.1</w:t>
      </w:r>
      <w:r>
        <w:rPr>
          <w:rFonts w:hint="eastAsia" w:hAnsi="宋体" w:cs="宋体"/>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kern w:val="0"/>
          <w:sz w:val="24"/>
        </w:rPr>
      </w:pPr>
      <w:r>
        <w:rPr>
          <w:rFonts w:hAnsi="宋体" w:cs="宋体"/>
          <w:kern w:val="0"/>
          <w:sz w:val="24"/>
        </w:rPr>
        <w:t>4.2</w:t>
      </w:r>
      <w:r>
        <w:rPr>
          <w:rFonts w:hint="eastAsia" w:hAnsi="宋体" w:cs="宋体"/>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kern w:val="0"/>
          <w:sz w:val="24"/>
        </w:rPr>
      </w:pPr>
      <w:r>
        <w:rPr>
          <w:rFonts w:hAnsi="宋体" w:cs="宋体"/>
          <w:kern w:val="0"/>
          <w:sz w:val="24"/>
        </w:rPr>
        <w:t xml:space="preserve">4.3 </w:t>
      </w:r>
      <w:r>
        <w:rPr>
          <w:rFonts w:hint="eastAsia" w:hAnsi="宋体" w:cs="宋体"/>
          <w:kern w:val="0"/>
          <w:sz w:val="24"/>
        </w:rPr>
        <w:t>磋商供应商在提交最后报价之前，可以根据磋商情况退出磋商，采购人退还退出磋商的供应商的磋商保证金。</w:t>
      </w:r>
    </w:p>
    <w:p>
      <w:pPr>
        <w:spacing w:line="360" w:lineRule="auto"/>
        <w:ind w:left="120" w:leftChars="57" w:firstLine="480" w:firstLineChars="200"/>
        <w:rPr>
          <w:rFonts w:hAnsi="宋体" w:cs="宋体"/>
          <w:kern w:val="0"/>
          <w:sz w:val="24"/>
        </w:rPr>
      </w:pPr>
      <w:r>
        <w:rPr>
          <w:rFonts w:hAnsi="宋体" w:cs="宋体"/>
          <w:kern w:val="0"/>
          <w:sz w:val="24"/>
        </w:rPr>
        <w:t>5</w:t>
      </w:r>
      <w:r>
        <w:rPr>
          <w:rFonts w:hint="eastAsia" w:hAnsi="宋体" w:cs="宋体"/>
          <w:kern w:val="0"/>
          <w:sz w:val="24"/>
        </w:rPr>
        <w:t>、磋商响应有效期</w:t>
      </w:r>
    </w:p>
    <w:p>
      <w:pPr>
        <w:spacing w:line="360" w:lineRule="auto"/>
        <w:ind w:left="120" w:leftChars="57" w:firstLine="480" w:firstLineChars="200"/>
        <w:rPr>
          <w:rFonts w:hAnsi="宋体" w:cs="宋体"/>
          <w:kern w:val="0"/>
          <w:sz w:val="24"/>
        </w:rPr>
      </w:pPr>
      <w:r>
        <w:rPr>
          <w:rFonts w:hAnsi="宋体" w:cs="宋体"/>
          <w:kern w:val="0"/>
          <w:sz w:val="24"/>
        </w:rPr>
        <w:t xml:space="preserve">5.1 </w:t>
      </w:r>
      <w:r>
        <w:rPr>
          <w:rFonts w:hint="eastAsia" w:hAnsi="宋体" w:cs="宋体"/>
          <w:kern w:val="0"/>
          <w:sz w:val="24"/>
        </w:rPr>
        <w:t>磋商响应有效期为采购人规定的响应文件接收截止时间后六十（</w:t>
      </w:r>
      <w:r>
        <w:rPr>
          <w:rFonts w:hAnsi="宋体" w:cs="宋体"/>
          <w:kern w:val="0"/>
          <w:sz w:val="24"/>
        </w:rPr>
        <w:t>60</w:t>
      </w:r>
      <w:r>
        <w:rPr>
          <w:rFonts w:hint="eastAsia" w:hAnsi="宋体" w:cs="宋体"/>
          <w:kern w:val="0"/>
          <w:sz w:val="24"/>
        </w:rPr>
        <w:t>）天。磋商响应有效期比规定短的将被视为非实质性响应性而予以拒绝。</w:t>
      </w:r>
    </w:p>
    <w:p>
      <w:pPr>
        <w:spacing w:line="360" w:lineRule="auto"/>
        <w:ind w:left="120" w:leftChars="57" w:firstLine="480" w:firstLineChars="200"/>
        <w:rPr>
          <w:rFonts w:hAnsi="宋体" w:cs="宋体"/>
          <w:kern w:val="0"/>
          <w:sz w:val="24"/>
        </w:rPr>
      </w:pPr>
      <w:r>
        <w:rPr>
          <w:rFonts w:hAnsi="宋体" w:cs="宋体"/>
          <w:kern w:val="0"/>
          <w:sz w:val="24"/>
        </w:rPr>
        <w:t xml:space="preserve">5.2 </w:t>
      </w:r>
      <w:r>
        <w:rPr>
          <w:rFonts w:hint="eastAsia" w:hAnsi="宋体" w:cs="宋体"/>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spacing w:line="360" w:lineRule="auto"/>
        <w:ind w:left="120" w:leftChars="57" w:firstLine="482" w:firstLineChars="200"/>
        <w:rPr>
          <w:rFonts w:hAnsi="宋体" w:cs="宋体"/>
          <w:kern w:val="0"/>
          <w:sz w:val="24"/>
        </w:rPr>
      </w:pPr>
      <w:r>
        <w:rPr>
          <w:rFonts w:hint="eastAsia" w:hAnsi="宋体" w:cs="宋体"/>
          <w:b/>
          <w:kern w:val="0"/>
          <w:sz w:val="24"/>
        </w:rPr>
        <w:t>四、磋商与评审</w:t>
      </w:r>
      <w:bookmarkStart w:id="52" w:name="_Toc20823302"/>
      <w:bookmarkStart w:id="53" w:name="_Toc513029230"/>
      <w:bookmarkStart w:id="54" w:name="_Toc16938546"/>
    </w:p>
    <w:p>
      <w:pPr>
        <w:spacing w:line="360" w:lineRule="auto"/>
        <w:ind w:left="120" w:leftChars="57" w:firstLine="480" w:firstLineChars="200"/>
        <w:rPr>
          <w:rFonts w:hAnsi="宋体" w:cs="宋体"/>
          <w:kern w:val="0"/>
          <w:sz w:val="24"/>
        </w:rPr>
      </w:pPr>
      <w:r>
        <w:rPr>
          <w:rFonts w:hAnsi="宋体" w:cs="宋体"/>
          <w:kern w:val="0"/>
          <w:sz w:val="24"/>
        </w:rPr>
        <w:t>1</w:t>
      </w:r>
      <w:r>
        <w:rPr>
          <w:rFonts w:hint="eastAsia" w:hAnsi="宋体" w:cs="宋体"/>
          <w:kern w:val="0"/>
          <w:sz w:val="24"/>
        </w:rPr>
        <w:t>、</w:t>
      </w:r>
      <w:bookmarkEnd w:id="52"/>
      <w:bookmarkEnd w:id="53"/>
      <w:bookmarkEnd w:id="54"/>
      <w:r>
        <w:rPr>
          <w:rFonts w:hint="eastAsia" w:hAnsi="宋体" w:cs="宋体"/>
          <w:kern w:val="0"/>
          <w:sz w:val="24"/>
        </w:rPr>
        <w:t>磋商仪式</w:t>
      </w:r>
    </w:p>
    <w:p>
      <w:pPr>
        <w:spacing w:line="360" w:lineRule="auto"/>
        <w:ind w:left="120" w:leftChars="57" w:firstLine="480" w:firstLineChars="200"/>
        <w:rPr>
          <w:rFonts w:hAnsi="宋体" w:cs="宋体"/>
          <w:kern w:val="0"/>
          <w:sz w:val="24"/>
        </w:rPr>
      </w:pPr>
      <w:r>
        <w:rPr>
          <w:rFonts w:hAnsi="宋体" w:cs="宋体"/>
          <w:kern w:val="0"/>
          <w:sz w:val="24"/>
        </w:rPr>
        <w:t>1.1</w:t>
      </w:r>
      <w:r>
        <w:rPr>
          <w:rFonts w:hint="eastAsia" w:hAnsi="宋体" w:cs="宋体"/>
          <w:kern w:val="0"/>
          <w:sz w:val="24"/>
        </w:rPr>
        <w:t>采购人将在采购邀请中规定的时间和地点组织磋商开始仪式，仪式由采购人主持，磋商供应商应委派携带有效证件的代表准时参加，参加仪式的代表需签名以证明其出席。</w:t>
      </w:r>
      <w:bookmarkStart w:id="55" w:name="_Toc513029231"/>
      <w:bookmarkStart w:id="56" w:name="_Toc16938547"/>
      <w:bookmarkStart w:id="57" w:name="_Toc20823303"/>
    </w:p>
    <w:p>
      <w:pPr>
        <w:spacing w:line="360" w:lineRule="auto"/>
        <w:ind w:left="120" w:leftChars="57" w:firstLine="480" w:firstLineChars="200"/>
        <w:rPr>
          <w:rFonts w:hAnsi="宋体" w:cs="宋体"/>
          <w:kern w:val="0"/>
          <w:sz w:val="24"/>
        </w:rPr>
      </w:pPr>
      <w:r>
        <w:rPr>
          <w:rFonts w:hAnsi="宋体" w:cs="宋体"/>
          <w:kern w:val="0"/>
          <w:sz w:val="24"/>
        </w:rPr>
        <w:t>2</w:t>
      </w:r>
      <w:r>
        <w:rPr>
          <w:rFonts w:hint="eastAsia" w:hAnsi="宋体" w:cs="宋体"/>
          <w:kern w:val="0"/>
          <w:sz w:val="24"/>
        </w:rPr>
        <w:t>、磋商小组</w:t>
      </w:r>
    </w:p>
    <w:p>
      <w:pPr>
        <w:spacing w:line="360" w:lineRule="auto"/>
        <w:ind w:left="120" w:leftChars="57" w:firstLine="480" w:firstLineChars="200"/>
        <w:rPr>
          <w:rFonts w:hAnsi="宋体" w:cs="宋体"/>
          <w:kern w:val="0"/>
          <w:sz w:val="24"/>
        </w:rPr>
      </w:pPr>
      <w:r>
        <w:rPr>
          <w:rFonts w:hAnsi="宋体" w:cs="宋体"/>
          <w:kern w:val="0"/>
          <w:sz w:val="24"/>
        </w:rPr>
        <w:t xml:space="preserve">2.1 </w:t>
      </w:r>
      <w:r>
        <w:rPr>
          <w:rFonts w:hint="eastAsia" w:hAnsi="宋体" w:cs="宋体"/>
          <w:kern w:val="0"/>
          <w:sz w:val="24"/>
        </w:rPr>
        <w:t>磋商开始仪式结束后，采购人将立即组织磋商小组进行评审。</w:t>
      </w:r>
    </w:p>
    <w:p>
      <w:pPr>
        <w:spacing w:line="360" w:lineRule="auto"/>
        <w:ind w:left="120" w:leftChars="57" w:firstLine="480" w:firstLineChars="200"/>
        <w:rPr>
          <w:rFonts w:hAnsi="宋体" w:cs="宋体"/>
          <w:kern w:val="0"/>
          <w:sz w:val="24"/>
        </w:rPr>
      </w:pPr>
      <w:r>
        <w:rPr>
          <w:rFonts w:hAnsi="宋体" w:cs="宋体"/>
          <w:kern w:val="0"/>
          <w:sz w:val="24"/>
        </w:rPr>
        <w:t xml:space="preserve">2.2 </w:t>
      </w:r>
      <w:r>
        <w:rPr>
          <w:rFonts w:hint="eastAsia" w:hAnsi="宋体" w:cs="宋体"/>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kern w:val="0"/>
          <w:sz w:val="24"/>
        </w:rPr>
      </w:pPr>
      <w:r>
        <w:rPr>
          <w:rFonts w:hAnsi="宋体" w:cs="宋体"/>
          <w:kern w:val="0"/>
          <w:sz w:val="24"/>
        </w:rPr>
        <w:t>3</w:t>
      </w:r>
      <w:r>
        <w:rPr>
          <w:rFonts w:hint="eastAsia" w:hAnsi="宋体" w:cs="宋体"/>
          <w:kern w:val="0"/>
          <w:sz w:val="24"/>
        </w:rPr>
        <w:t>、磋商评审过程的保密</w:t>
      </w:r>
      <w:bookmarkEnd w:id="55"/>
      <w:bookmarkEnd w:id="56"/>
      <w:bookmarkEnd w:id="57"/>
      <w:r>
        <w:rPr>
          <w:rFonts w:hint="eastAsia" w:hAnsi="宋体" w:cs="宋体"/>
          <w:kern w:val="0"/>
          <w:sz w:val="24"/>
        </w:rPr>
        <w:t>与公正</w:t>
      </w:r>
    </w:p>
    <w:p>
      <w:pPr>
        <w:spacing w:line="360" w:lineRule="auto"/>
        <w:ind w:left="120" w:leftChars="57" w:firstLine="480" w:firstLineChars="200"/>
        <w:rPr>
          <w:rFonts w:hAnsi="宋体" w:cs="宋体"/>
          <w:kern w:val="0"/>
          <w:sz w:val="24"/>
        </w:rPr>
      </w:pPr>
      <w:r>
        <w:rPr>
          <w:rFonts w:hAnsi="宋体" w:cs="宋体"/>
          <w:kern w:val="0"/>
          <w:sz w:val="24"/>
        </w:rPr>
        <w:t>3.1</w:t>
      </w:r>
      <w:r>
        <w:rPr>
          <w:rFonts w:hint="eastAsia" w:hAnsi="宋体" w:cs="宋体"/>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kern w:val="0"/>
          <w:sz w:val="24"/>
        </w:rPr>
      </w:pPr>
      <w:r>
        <w:rPr>
          <w:rFonts w:hAnsi="宋体" w:cs="宋体"/>
          <w:kern w:val="0"/>
          <w:sz w:val="24"/>
        </w:rPr>
        <w:t>3.2</w:t>
      </w:r>
      <w:r>
        <w:rPr>
          <w:rFonts w:hint="eastAsia" w:hAnsi="宋体" w:cs="宋体"/>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kern w:val="0"/>
          <w:sz w:val="24"/>
        </w:rPr>
      </w:pPr>
      <w:r>
        <w:rPr>
          <w:rFonts w:hAnsi="宋体" w:cs="宋体"/>
          <w:kern w:val="0"/>
          <w:sz w:val="24"/>
        </w:rPr>
        <w:t>3.3</w:t>
      </w:r>
      <w:r>
        <w:rPr>
          <w:rFonts w:hint="eastAsia" w:hAnsi="宋体" w:cs="宋体"/>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58" w:name="_Toc16938548"/>
      <w:bookmarkStart w:id="59" w:name="_Toc20823304"/>
      <w:bookmarkStart w:id="60" w:name="_Toc513029232"/>
    </w:p>
    <w:p>
      <w:pPr>
        <w:spacing w:line="360" w:lineRule="auto"/>
        <w:ind w:left="120" w:leftChars="57" w:firstLine="480" w:firstLineChars="200"/>
        <w:rPr>
          <w:rFonts w:hAnsi="宋体" w:cs="宋体"/>
          <w:kern w:val="0"/>
          <w:sz w:val="24"/>
        </w:rPr>
      </w:pPr>
      <w:r>
        <w:rPr>
          <w:rFonts w:hAnsi="宋体" w:cs="宋体"/>
          <w:kern w:val="0"/>
          <w:sz w:val="24"/>
        </w:rPr>
        <w:t>4</w:t>
      </w:r>
      <w:r>
        <w:rPr>
          <w:rFonts w:hint="eastAsia" w:hAnsi="宋体" w:cs="宋体"/>
          <w:kern w:val="0"/>
          <w:sz w:val="24"/>
        </w:rPr>
        <w:t>、评审过程的澄清</w:t>
      </w:r>
      <w:bookmarkEnd w:id="58"/>
      <w:bookmarkEnd w:id="59"/>
      <w:bookmarkEnd w:id="60"/>
      <w:r>
        <w:rPr>
          <w:rFonts w:hint="eastAsia" w:hAnsi="宋体" w:cs="宋体"/>
          <w:kern w:val="0"/>
          <w:sz w:val="24"/>
        </w:rPr>
        <w:t>、说明和更正</w:t>
      </w:r>
    </w:p>
    <w:p>
      <w:pPr>
        <w:spacing w:line="360" w:lineRule="auto"/>
        <w:ind w:left="120" w:leftChars="57" w:firstLine="480" w:firstLineChars="200"/>
        <w:rPr>
          <w:rFonts w:hAnsi="宋体" w:cs="宋体"/>
          <w:kern w:val="0"/>
          <w:sz w:val="24"/>
        </w:rPr>
      </w:pPr>
      <w:r>
        <w:rPr>
          <w:rFonts w:hAnsi="宋体" w:cs="宋体"/>
          <w:kern w:val="0"/>
          <w:sz w:val="24"/>
        </w:rPr>
        <w:t>4.1</w:t>
      </w:r>
      <w:r>
        <w:rPr>
          <w:rFonts w:hint="eastAsia" w:hAnsi="宋体" w:cs="宋体"/>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kern w:val="0"/>
          <w:sz w:val="24"/>
        </w:rPr>
      </w:pPr>
      <w:r>
        <w:rPr>
          <w:rFonts w:ascii="宋体" w:hAnsi="宋体"/>
          <w:sz w:val="24"/>
        </w:rPr>
        <w:t>4.2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sz w:val="24"/>
        </w:rPr>
      </w:pPr>
      <w:r>
        <w:rPr>
          <w:rFonts w:ascii="宋体" w:hAnsi="宋体"/>
          <w:sz w:val="24"/>
        </w:rPr>
        <w:t xml:space="preserve">4.3 </w:t>
      </w:r>
      <w:r>
        <w:rPr>
          <w:rFonts w:hint="eastAsia" w:ascii="宋体" w:hAnsi="宋体"/>
          <w:sz w:val="24"/>
        </w:rPr>
        <w:t>接到磋商小组澄清要求的供应商如未按规定做出澄清，其风险由供应商自行承担。</w:t>
      </w:r>
      <w:bookmarkStart w:id="61" w:name="_Toc20823305"/>
      <w:bookmarkStart w:id="62" w:name="_Toc513029233"/>
      <w:bookmarkStart w:id="63" w:name="_Toc16938549"/>
    </w:p>
    <w:p>
      <w:pPr>
        <w:spacing w:line="360" w:lineRule="auto"/>
        <w:ind w:left="120" w:leftChars="57" w:firstLine="480" w:firstLineChars="200"/>
        <w:rPr>
          <w:rFonts w:hAnsi="宋体" w:cs="宋体"/>
          <w:kern w:val="0"/>
          <w:sz w:val="24"/>
        </w:rPr>
      </w:pPr>
      <w:r>
        <w:rPr>
          <w:rFonts w:ascii="宋体" w:hAnsi="宋体"/>
          <w:sz w:val="24"/>
        </w:rPr>
        <w:t>5</w:t>
      </w:r>
      <w:r>
        <w:rPr>
          <w:rFonts w:hint="eastAsia" w:ascii="宋体" w:hAnsi="宋体"/>
          <w:sz w:val="24"/>
        </w:rPr>
        <w:t>、对响应文件的初审</w:t>
      </w:r>
      <w:bookmarkEnd w:id="61"/>
      <w:bookmarkEnd w:id="62"/>
      <w:bookmarkEnd w:id="63"/>
    </w:p>
    <w:p>
      <w:pPr>
        <w:spacing w:line="360" w:lineRule="auto"/>
        <w:ind w:left="120" w:leftChars="57" w:firstLine="480" w:firstLineChars="200"/>
        <w:rPr>
          <w:rFonts w:hAnsi="宋体" w:cs="宋体"/>
          <w:kern w:val="0"/>
          <w:sz w:val="24"/>
        </w:rPr>
      </w:pPr>
      <w:r>
        <w:rPr>
          <w:rFonts w:hAnsi="宋体" w:cs="宋体"/>
          <w:kern w:val="0"/>
          <w:sz w:val="24"/>
        </w:rPr>
        <w:t>5.1</w:t>
      </w:r>
      <w:r>
        <w:rPr>
          <w:rFonts w:hint="eastAsia" w:hAnsi="宋体" w:cs="宋体"/>
          <w:kern w:val="0"/>
          <w:sz w:val="24"/>
        </w:rPr>
        <w:t>响应文件初审分为资格性检查和符合性检查。</w:t>
      </w:r>
    </w:p>
    <w:p>
      <w:pPr>
        <w:spacing w:line="360" w:lineRule="auto"/>
        <w:ind w:left="120" w:leftChars="57" w:firstLine="480" w:firstLineChars="200"/>
        <w:rPr>
          <w:rFonts w:hAnsi="宋体" w:cs="宋体"/>
          <w:kern w:val="0"/>
          <w:sz w:val="24"/>
        </w:rPr>
      </w:pPr>
      <w:r>
        <w:rPr>
          <w:rFonts w:hint="eastAsia" w:hAnsi="宋体" w:cs="宋体"/>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kern w:val="0"/>
          <w:sz w:val="24"/>
        </w:rPr>
      </w:pPr>
      <w:r>
        <w:rPr>
          <w:rFonts w:hint="eastAsia" w:hAnsi="宋体" w:cs="宋体"/>
          <w:kern w:val="0"/>
          <w:sz w:val="24"/>
        </w:rPr>
        <w:t>磋商小组在进行资格性审查的同时，将在“信用中国”网站（</w:t>
      </w:r>
      <w:r>
        <w:rPr>
          <w:rFonts w:hAnsi="宋体" w:cs="宋体"/>
          <w:kern w:val="0"/>
          <w:sz w:val="24"/>
        </w:rPr>
        <w:t>www.creditchina.gov.cn</w:t>
      </w:r>
      <w:r>
        <w:rPr>
          <w:rFonts w:hint="eastAsia" w:hAnsi="宋体" w:cs="宋体"/>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kern w:val="0"/>
          <w:sz w:val="24"/>
        </w:rPr>
      </w:pPr>
      <w:r>
        <w:rPr>
          <w:rFonts w:hint="eastAsia" w:hAnsi="宋体" w:cs="宋体"/>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kern w:val="0"/>
          <w:sz w:val="24"/>
        </w:rPr>
      </w:pPr>
      <w:r>
        <w:rPr>
          <w:rFonts w:hint="eastAsia" w:hAnsi="宋体" w:cs="宋体"/>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kern w:val="0"/>
          <w:sz w:val="24"/>
        </w:rPr>
      </w:pPr>
      <w:r>
        <w:rPr>
          <w:rFonts w:hAnsi="宋体" w:cs="宋体"/>
          <w:kern w:val="0"/>
          <w:sz w:val="24"/>
        </w:rPr>
        <w:t>5.2</w:t>
      </w:r>
      <w:r>
        <w:rPr>
          <w:rFonts w:hint="eastAsia" w:hAnsi="宋体" w:cs="宋体"/>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kern w:val="0"/>
          <w:sz w:val="24"/>
        </w:rPr>
      </w:pPr>
      <w:r>
        <w:rPr>
          <w:rFonts w:hint="eastAsia" w:hAnsi="宋体" w:cs="宋体"/>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kern w:val="0"/>
          <w:sz w:val="24"/>
        </w:rPr>
      </w:pPr>
      <w:r>
        <w:rPr>
          <w:rFonts w:ascii="宋体" w:hAnsi="宋体"/>
          <w:sz w:val="24"/>
        </w:rPr>
        <w:t xml:space="preserve">5.3 </w:t>
      </w:r>
      <w:r>
        <w:rPr>
          <w:rFonts w:hint="eastAsia" w:ascii="宋体" w:hAnsi="宋体"/>
          <w:sz w:val="24"/>
        </w:rPr>
        <w:t>被认定为未实质性响应磋商文件的响应文件的情形</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1</w:t>
      </w:r>
      <w:r>
        <w:rPr>
          <w:rFonts w:hint="eastAsia" w:ascii="宋体" w:hAnsi="宋体"/>
          <w:sz w:val="24"/>
        </w:rPr>
        <w:t>）未按要求交纳磋商保证金的；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2</w:t>
      </w:r>
      <w:r>
        <w:rPr>
          <w:rFonts w:hint="eastAsia" w:ascii="宋体" w:hAnsi="宋体"/>
          <w:sz w:val="24"/>
        </w:rPr>
        <w:t>）未按照磋商文件规定要求密封、签署、盖章的；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3</w:t>
      </w:r>
      <w:r>
        <w:rPr>
          <w:rFonts w:hint="eastAsia" w:ascii="宋体" w:hAnsi="宋体"/>
          <w:sz w:val="24"/>
        </w:rPr>
        <w:t>）供应商在报价时采用选择性报价；</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4</w:t>
      </w:r>
      <w:r>
        <w:rPr>
          <w:rFonts w:hint="eastAsia" w:ascii="宋体" w:hAnsi="宋体"/>
          <w:sz w:val="24"/>
        </w:rPr>
        <w:t>）供应商不具备磋商文件中规定资格要求的；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5</w:t>
      </w:r>
      <w:r>
        <w:rPr>
          <w:rFonts w:hint="eastAsia" w:ascii="宋体" w:hAnsi="宋体"/>
          <w:sz w:val="24"/>
        </w:rPr>
        <w:t>）不符合法律、法规和磋商文件中规定的其他实质性要求和条件的；</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6</w:t>
      </w:r>
      <w:r>
        <w:rPr>
          <w:rFonts w:hint="eastAsia" w:ascii="宋体" w:hAnsi="宋体"/>
          <w:sz w:val="24"/>
        </w:rPr>
        <w:t>）其他法律、法规及本磋商文件规定的属未实质性响应的响应文件的情形。</w:t>
      </w:r>
    </w:p>
    <w:p>
      <w:pPr>
        <w:spacing w:line="360" w:lineRule="auto"/>
        <w:ind w:left="120" w:leftChars="57" w:firstLine="480" w:firstLineChars="200"/>
        <w:rPr>
          <w:rFonts w:ascii="宋体"/>
          <w:sz w:val="24"/>
        </w:rPr>
      </w:pPr>
      <w:r>
        <w:rPr>
          <w:rFonts w:ascii="宋体" w:hAnsi="宋体"/>
          <w:sz w:val="24"/>
        </w:rPr>
        <w:t xml:space="preserve">5.4 </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kern w:val="0"/>
          <w:sz w:val="24"/>
        </w:rPr>
      </w:pPr>
      <w:r>
        <w:rPr>
          <w:rFonts w:ascii="宋体" w:hAnsi="宋体"/>
          <w:sz w:val="24"/>
        </w:rPr>
        <w:t>5.5</w:t>
      </w:r>
      <w:r>
        <w:rPr>
          <w:rFonts w:hint="eastAsia" w:ascii="宋体" w:hAnsi="宋体"/>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64" w:name="_Toc20823306"/>
      <w:bookmarkStart w:id="65" w:name="_Toc16938550"/>
      <w:bookmarkStart w:id="66" w:name="_Toc513029234"/>
    </w:p>
    <w:p>
      <w:pPr>
        <w:spacing w:line="360" w:lineRule="auto"/>
        <w:ind w:left="120" w:leftChars="57" w:firstLine="480" w:firstLineChars="200"/>
        <w:rPr>
          <w:rFonts w:hAnsi="宋体" w:cs="宋体"/>
          <w:kern w:val="0"/>
          <w:sz w:val="24"/>
        </w:rPr>
      </w:pPr>
      <w:r>
        <w:rPr>
          <w:rFonts w:ascii="宋体" w:hAnsi="宋体"/>
          <w:sz w:val="24"/>
        </w:rPr>
        <w:t>6</w:t>
      </w:r>
      <w:r>
        <w:rPr>
          <w:rFonts w:hint="eastAsia" w:ascii="宋体" w:hAnsi="宋体"/>
          <w:sz w:val="24"/>
        </w:rPr>
        <w:t>、</w:t>
      </w:r>
      <w:bookmarkEnd w:id="64"/>
      <w:bookmarkEnd w:id="65"/>
      <w:bookmarkEnd w:id="66"/>
      <w:r>
        <w:rPr>
          <w:rFonts w:hint="eastAsia" w:ascii="宋体" w:hAnsi="宋体"/>
          <w:sz w:val="24"/>
        </w:rPr>
        <w:t>磋商程序及评审方法和标准</w:t>
      </w:r>
      <w:bookmarkStart w:id="67" w:name="_Toc20823307"/>
      <w:bookmarkStart w:id="68" w:name="_Toc16938551"/>
      <w:bookmarkStart w:id="69" w:name="_Toc513029235"/>
    </w:p>
    <w:p>
      <w:pPr>
        <w:spacing w:line="360" w:lineRule="auto"/>
        <w:ind w:left="120" w:leftChars="57" w:firstLine="480" w:firstLineChars="200"/>
        <w:rPr>
          <w:rFonts w:hAnsi="宋体" w:cs="宋体"/>
          <w:kern w:val="0"/>
          <w:sz w:val="24"/>
        </w:rPr>
      </w:pPr>
      <w:r>
        <w:rPr>
          <w:rFonts w:ascii="宋体" w:hAnsi="宋体"/>
          <w:sz w:val="24"/>
        </w:rPr>
        <w:t>6.1</w:t>
      </w:r>
      <w:r>
        <w:rPr>
          <w:rFonts w:hint="eastAsia" w:ascii="宋体" w:hAnsi="宋体"/>
          <w:sz w:val="24"/>
        </w:rPr>
        <w:t>磋商程序</w:t>
      </w:r>
    </w:p>
    <w:p>
      <w:pPr>
        <w:spacing w:line="360" w:lineRule="auto"/>
        <w:ind w:left="120" w:leftChars="57" w:firstLine="480" w:firstLineChars="200"/>
        <w:rPr>
          <w:rFonts w:hAnsi="宋体" w:cs="宋体"/>
          <w:kern w:val="0"/>
          <w:sz w:val="24"/>
        </w:rPr>
      </w:pPr>
      <w:r>
        <w:rPr>
          <w:rFonts w:ascii="宋体" w:hAnsi="宋体"/>
          <w:sz w:val="24"/>
        </w:rPr>
        <w:t xml:space="preserve">6.1.1 </w:t>
      </w:r>
      <w:r>
        <w:rPr>
          <w:rFonts w:hint="eastAsia" w:ascii="宋体" w:hAnsi="宋体"/>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kern w:val="0"/>
          <w:sz w:val="24"/>
        </w:rPr>
      </w:pPr>
      <w:r>
        <w:rPr>
          <w:rFonts w:hint="eastAsia" w:ascii="宋体" w:hAnsi="宋体"/>
          <w:color w:val="000000" w:themeColor="text1"/>
          <w:sz w:val="24"/>
        </w:rPr>
        <w:t>在磋商过程中，磋商小组可能根据磋商文件和磋商情况实质性变动的内容有：采购需求中的技术、服务要求以及合同草案条款。</w:t>
      </w:r>
      <w:r>
        <w:rPr>
          <w:rFonts w:hint="eastAsia" w:ascii="宋体" w:hAnsi="宋体"/>
          <w:sz w:val="24"/>
        </w:rPr>
        <w:t>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kern w:val="0"/>
          <w:sz w:val="24"/>
        </w:rPr>
      </w:pPr>
      <w:r>
        <w:rPr>
          <w:rFonts w:ascii="宋体" w:hAnsi="宋体"/>
          <w:sz w:val="24"/>
        </w:rPr>
        <w:t xml:space="preserve">6.1.2 </w:t>
      </w:r>
      <w:r>
        <w:rPr>
          <w:rFonts w:hint="eastAsia" w:ascii="宋体" w:hAnsi="宋体"/>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sz w:val="24"/>
        </w:rPr>
      </w:pPr>
      <w:r>
        <w:rPr>
          <w:rFonts w:hint="eastAsia" w:ascii="宋体" w:hAnsi="宋体"/>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hint="eastAsia" w:ascii="宋体" w:hAnsi="宋体"/>
          <w:sz w:val="24"/>
        </w:rPr>
        <w:t>家以上供应商的方案或者解决方案，并要求其在规定时间内提交最后报价。</w:t>
      </w:r>
    </w:p>
    <w:p>
      <w:pPr>
        <w:spacing w:line="360" w:lineRule="auto"/>
        <w:ind w:left="120" w:leftChars="57" w:firstLine="480" w:firstLineChars="200"/>
        <w:rPr>
          <w:rFonts w:ascii="宋体"/>
          <w:sz w:val="24"/>
        </w:rPr>
      </w:pPr>
      <w:r>
        <w:rPr>
          <w:rFonts w:hint="eastAsia" w:ascii="宋体" w:hAnsi="宋体"/>
          <w:sz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 w:val="24"/>
        </w:rPr>
        <w:t>[2015]124</w:t>
      </w:r>
      <w:r>
        <w:rPr>
          <w:rFonts w:hint="eastAsia" w:ascii="宋体" w:hAnsi="宋体"/>
          <w:sz w:val="24"/>
        </w:rPr>
        <w:t>号）规定情形的，提交最后报价的供应商可以为</w:t>
      </w:r>
      <w:r>
        <w:rPr>
          <w:rFonts w:ascii="宋体" w:hAnsi="宋体"/>
          <w:sz w:val="24"/>
        </w:rPr>
        <w:t>2</w:t>
      </w:r>
      <w:r>
        <w:rPr>
          <w:rFonts w:hint="eastAsia" w:ascii="宋体" w:hAnsi="宋体"/>
          <w:sz w:val="24"/>
        </w:rPr>
        <w:t>家。</w:t>
      </w:r>
    </w:p>
    <w:p>
      <w:pPr>
        <w:spacing w:line="360" w:lineRule="auto"/>
        <w:ind w:left="120" w:leftChars="57" w:firstLine="600" w:firstLineChars="250"/>
        <w:rPr>
          <w:rFonts w:ascii="宋体"/>
          <w:sz w:val="24"/>
        </w:rPr>
      </w:pPr>
      <w:r>
        <w:rPr>
          <w:rFonts w:ascii="宋体" w:hAnsi="宋体"/>
          <w:sz w:val="24"/>
        </w:rPr>
        <w:t xml:space="preserve">6.1.3 </w:t>
      </w:r>
      <w:r>
        <w:rPr>
          <w:rFonts w:hint="eastAsia" w:ascii="宋体" w:hAnsi="宋体"/>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pPr>
        <w:spacing w:line="360" w:lineRule="auto"/>
        <w:ind w:left="120" w:leftChars="57" w:firstLine="600" w:firstLineChars="250"/>
        <w:rPr>
          <w:rFonts w:ascii="宋体"/>
          <w:sz w:val="24"/>
        </w:rPr>
      </w:pPr>
      <w:r>
        <w:rPr>
          <w:rFonts w:ascii="宋体" w:hAnsi="宋体"/>
          <w:sz w:val="24"/>
        </w:rPr>
        <w:t xml:space="preserve">6.1.4 </w:t>
      </w:r>
      <w:r>
        <w:rPr>
          <w:rFonts w:hint="eastAsia" w:ascii="宋体" w:hAnsi="宋体"/>
          <w:sz w:val="24"/>
        </w:rPr>
        <w:t>各供应商最后报价结束后</w:t>
      </w:r>
      <w:r>
        <w:rPr>
          <w:rFonts w:ascii="宋体"/>
          <w:sz w:val="24"/>
        </w:rPr>
        <w:t>,</w:t>
      </w:r>
      <w:r>
        <w:rPr>
          <w:rFonts w:hint="eastAsia" w:ascii="宋体" w:hAnsi="宋体"/>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sz w:val="24"/>
        </w:rPr>
      </w:pPr>
      <w:r>
        <w:rPr>
          <w:rFonts w:ascii="宋体" w:hAnsi="宋体"/>
          <w:sz w:val="24"/>
        </w:rPr>
        <w:t xml:space="preserve">6.2 </w:t>
      </w:r>
      <w:r>
        <w:rPr>
          <w:rFonts w:hint="eastAsia" w:ascii="宋体" w:hAnsi="宋体"/>
          <w:sz w:val="24"/>
        </w:rPr>
        <w:t>评审方法和标准</w:t>
      </w:r>
    </w:p>
    <w:p>
      <w:pPr>
        <w:spacing w:line="360" w:lineRule="auto"/>
        <w:ind w:left="120" w:leftChars="57" w:firstLine="600" w:firstLineChars="250"/>
        <w:rPr>
          <w:rFonts w:ascii="宋体"/>
          <w:sz w:val="24"/>
        </w:rPr>
      </w:pPr>
      <w:r>
        <w:rPr>
          <w:rFonts w:ascii="宋体" w:hAnsi="宋体"/>
          <w:sz w:val="24"/>
        </w:rPr>
        <w:t>6.2.1</w:t>
      </w:r>
      <w:r>
        <w:rPr>
          <w:rFonts w:hint="eastAsia" w:ascii="宋体" w:hAnsi="宋体"/>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sz w:val="24"/>
        </w:rPr>
      </w:pPr>
      <w:r>
        <w:rPr>
          <w:rFonts w:ascii="宋体" w:hAnsi="宋体"/>
          <w:sz w:val="24"/>
        </w:rPr>
        <w:t>6.2.2</w:t>
      </w:r>
      <w:r>
        <w:rPr>
          <w:rFonts w:hint="eastAsia" w:ascii="宋体" w:hAnsi="宋体"/>
          <w:sz w:val="24"/>
        </w:rPr>
        <w:t>评审标准</w:t>
      </w:r>
    </w:p>
    <w:p>
      <w:pPr>
        <w:spacing w:line="360" w:lineRule="auto"/>
        <w:ind w:left="120" w:leftChars="57" w:firstLine="600" w:firstLineChars="250"/>
        <w:rPr>
          <w:rFonts w:ascii="宋体"/>
          <w:sz w:val="24"/>
        </w:rPr>
      </w:pPr>
      <w:r>
        <w:rPr>
          <w:rFonts w:hint="eastAsia" w:ascii="宋体" w:hAnsi="宋体"/>
          <w:sz w:val="24"/>
        </w:rPr>
        <w:t>见本磋商文件第五章规定。</w:t>
      </w:r>
    </w:p>
    <w:p>
      <w:pPr>
        <w:spacing w:line="360" w:lineRule="auto"/>
        <w:ind w:left="120" w:leftChars="57" w:firstLine="600" w:firstLineChars="250"/>
        <w:rPr>
          <w:rFonts w:ascii="宋体"/>
          <w:sz w:val="24"/>
        </w:rPr>
      </w:pPr>
      <w:r>
        <w:rPr>
          <w:rFonts w:ascii="宋体" w:hAnsi="宋体"/>
          <w:sz w:val="24"/>
        </w:rPr>
        <w:t>6.3</w:t>
      </w:r>
      <w:r>
        <w:rPr>
          <w:rFonts w:hint="eastAsia" w:ascii="宋体" w:hAnsi="宋体"/>
          <w:sz w:val="24"/>
        </w:rPr>
        <w:t>采购活动终止的情况</w:t>
      </w:r>
    </w:p>
    <w:p>
      <w:pPr>
        <w:spacing w:line="360" w:lineRule="auto"/>
        <w:ind w:left="120" w:leftChars="57" w:firstLine="600" w:firstLineChars="250"/>
        <w:rPr>
          <w:rFonts w:ascii="宋体"/>
          <w:sz w:val="24"/>
        </w:rPr>
      </w:pPr>
      <w:r>
        <w:rPr>
          <w:rFonts w:hint="eastAsia" w:ascii="宋体" w:hAnsi="宋体"/>
          <w:sz w:val="24"/>
        </w:rPr>
        <w:t>出现下列情形之一的，本次竞争性磋商采购活动将被终止：</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left="120" w:leftChars="57" w:firstLine="600" w:firstLineChars="25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left="120" w:leftChars="57" w:firstLine="600" w:firstLineChars="25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）除本磋商文件第</w:t>
      </w:r>
      <w:r>
        <w:rPr>
          <w:rFonts w:ascii="宋体" w:hAnsi="宋体"/>
          <w:sz w:val="24"/>
        </w:rPr>
        <w:t>6.1.2</w:t>
      </w:r>
      <w:r>
        <w:rPr>
          <w:rFonts w:hint="eastAsia" w:ascii="宋体" w:hAnsi="宋体"/>
          <w:sz w:val="24"/>
        </w:rPr>
        <w:t>条第三款规定的情形外，在采购过程中符合要求的供应商或者报价未超过采购预算的供应商不足</w:t>
      </w:r>
      <w:r>
        <w:rPr>
          <w:rFonts w:ascii="宋体" w:hAnsi="宋体"/>
          <w:sz w:val="24"/>
        </w:rPr>
        <w:t>3</w:t>
      </w:r>
      <w:r>
        <w:rPr>
          <w:rFonts w:hint="eastAsia" w:ascii="宋体" w:hAnsi="宋体"/>
          <w:sz w:val="24"/>
        </w:rPr>
        <w:t>家的。</w:t>
      </w:r>
      <w:bookmarkStart w:id="88" w:name="_GoBack"/>
      <w:bookmarkEnd w:id="88"/>
    </w:p>
    <w:bookmarkEnd w:id="67"/>
    <w:bookmarkEnd w:id="68"/>
    <w:bookmarkEnd w:id="69"/>
    <w:p>
      <w:pPr>
        <w:spacing w:line="360" w:lineRule="auto"/>
        <w:ind w:left="120" w:leftChars="57" w:firstLine="602" w:firstLineChars="250"/>
        <w:rPr>
          <w:rFonts w:ascii="宋体"/>
          <w:sz w:val="24"/>
        </w:rPr>
      </w:pPr>
      <w:r>
        <w:rPr>
          <w:rFonts w:hint="eastAsia" w:ascii="宋体" w:hAnsi="宋体"/>
          <w:b/>
          <w:sz w:val="24"/>
        </w:rPr>
        <w:t>五、成交</w:t>
      </w:r>
      <w:bookmarkStart w:id="70" w:name="_Toc513029238"/>
      <w:bookmarkStart w:id="71" w:name="_Toc16938554"/>
      <w:bookmarkStart w:id="72" w:name="_Toc20823310"/>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w:t>
      </w:r>
      <w:bookmarkEnd w:id="70"/>
      <w:r>
        <w:rPr>
          <w:rFonts w:hint="eastAsia" w:ascii="宋体" w:hAnsi="宋体"/>
          <w:sz w:val="24"/>
        </w:rPr>
        <w:t>确定</w:t>
      </w:r>
      <w:bookmarkEnd w:id="71"/>
      <w:bookmarkEnd w:id="72"/>
      <w:r>
        <w:rPr>
          <w:rFonts w:hint="eastAsia" w:ascii="宋体" w:hAnsi="宋体"/>
          <w:sz w:val="24"/>
        </w:rPr>
        <w:t>成交单位</w:t>
      </w:r>
    </w:p>
    <w:p>
      <w:pPr>
        <w:spacing w:line="360" w:lineRule="auto"/>
        <w:ind w:left="120" w:leftChars="57" w:firstLine="600" w:firstLineChars="250"/>
        <w:rPr>
          <w:rFonts w:ascii="宋体"/>
          <w:sz w:val="24"/>
        </w:rPr>
      </w:pPr>
      <w:r>
        <w:rPr>
          <w:rFonts w:ascii="宋体" w:hAnsi="宋体"/>
          <w:sz w:val="24"/>
        </w:rPr>
        <w:t xml:space="preserve">1.1 </w:t>
      </w:r>
      <w:r>
        <w:rPr>
          <w:rFonts w:hint="eastAsia" w:ascii="宋体" w:hAnsi="宋体"/>
          <w:sz w:val="24"/>
        </w:rPr>
        <w:t>磋商小组根据综合评分情况，按照评审得分由高到低顺序推荐</w:t>
      </w:r>
      <w:r>
        <w:rPr>
          <w:rFonts w:ascii="宋体" w:hAnsi="宋体"/>
          <w:sz w:val="24"/>
        </w:rPr>
        <w:t>3</w:t>
      </w:r>
      <w:r>
        <w:rPr>
          <w:rFonts w:hint="eastAsia" w:ascii="宋体" w:hAnsi="宋体"/>
          <w:sz w:val="24"/>
        </w:rPr>
        <w:t>名以上成交候选供应商，并编写评审报告。符合本文件第</w:t>
      </w:r>
      <w:r>
        <w:rPr>
          <w:rFonts w:ascii="宋体" w:hAnsi="宋体"/>
          <w:sz w:val="24"/>
        </w:rPr>
        <w:t>6.1.2</w:t>
      </w:r>
      <w:r>
        <w:rPr>
          <w:rFonts w:hint="eastAsia" w:ascii="宋体" w:hAnsi="宋体"/>
          <w:sz w:val="24"/>
        </w:rPr>
        <w:t>条情形的，可以推荐</w:t>
      </w:r>
      <w:r>
        <w:rPr>
          <w:rFonts w:ascii="宋体" w:hAnsi="宋体"/>
          <w:sz w:val="24"/>
        </w:rPr>
        <w:t>2</w:t>
      </w:r>
      <w:r>
        <w:rPr>
          <w:rFonts w:hint="eastAsia" w:ascii="宋体" w:hAnsi="宋体"/>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sz w:val="24"/>
        </w:rPr>
      </w:pPr>
      <w:r>
        <w:rPr>
          <w:rFonts w:ascii="宋体" w:hAnsi="宋体"/>
          <w:sz w:val="24"/>
        </w:rPr>
        <w:t>1.2</w:t>
      </w:r>
      <w:r>
        <w:rPr>
          <w:rFonts w:hint="eastAsia" w:ascii="宋体" w:hAnsi="宋体"/>
          <w:sz w:val="24"/>
        </w:rPr>
        <w:t>采购人根据磋商小组推荐的成交候选人确定成交供应商。采购人确定成交供应商后，采购人将在</w:t>
      </w:r>
      <w:r>
        <w:rPr>
          <w:rFonts w:hint="eastAsia" w:ascii="宋体" w:hAnsi="宋体" w:cs="宋体"/>
          <w:bCs/>
          <w:sz w:val="24"/>
        </w:rPr>
        <w:t>“盐城市政府采购网”和“盐城工业职业技术学院招标采购网”</w:t>
      </w:r>
      <w:r>
        <w:rPr>
          <w:rFonts w:hint="eastAsia" w:ascii="宋体" w:hAnsi="宋体"/>
          <w:sz w:val="24"/>
        </w:rPr>
        <w:t>发布成交结果公告，公告期限为一个工作日。</w:t>
      </w:r>
    </w:p>
    <w:p>
      <w:pPr>
        <w:spacing w:line="360" w:lineRule="auto"/>
        <w:ind w:left="120" w:leftChars="57" w:firstLine="600" w:firstLineChars="250"/>
        <w:rPr>
          <w:rFonts w:ascii="宋体"/>
          <w:sz w:val="24"/>
        </w:rPr>
      </w:pPr>
      <w:r>
        <w:rPr>
          <w:rFonts w:ascii="宋体" w:hAnsi="宋体"/>
          <w:sz w:val="24"/>
        </w:rPr>
        <w:t>1.3</w:t>
      </w:r>
      <w:r>
        <w:rPr>
          <w:rFonts w:hint="eastAsia" w:ascii="宋体" w:hAnsi="宋体"/>
          <w:sz w:val="24"/>
        </w:rPr>
        <w:t>若有充分证据证明，成交供应商出现下列情况之一的，一经查实，将被取消成交资格：</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）与评审专家、采购人、其他供应商或者</w:t>
      </w:r>
      <w:r>
        <w:rPr>
          <w:rFonts w:hint="eastAsia" w:hAnsi="宋体" w:cs="宋体"/>
          <w:kern w:val="0"/>
          <w:sz w:val="24"/>
        </w:rPr>
        <w:t>采购代理机构</w:t>
      </w:r>
      <w:r>
        <w:rPr>
          <w:rFonts w:hint="eastAsia" w:ascii="宋体" w:hAnsi="宋体"/>
          <w:sz w:val="24"/>
        </w:rPr>
        <w:t>工作人员恶意串通的；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）向评审专家、采购人或</w:t>
      </w:r>
      <w:r>
        <w:rPr>
          <w:rFonts w:hint="eastAsia" w:hAnsi="宋体" w:cs="宋体"/>
          <w:kern w:val="0"/>
          <w:sz w:val="24"/>
        </w:rPr>
        <w:t>采购代理机构</w:t>
      </w:r>
      <w:r>
        <w:rPr>
          <w:rFonts w:hint="eastAsia" w:ascii="宋体" w:hAnsi="宋体"/>
          <w:sz w:val="24"/>
        </w:rPr>
        <w:t>工作人员行贿或者提供其他不正当利益的；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4</w:t>
      </w:r>
      <w:r>
        <w:rPr>
          <w:rFonts w:hint="eastAsia" w:ascii="宋体" w:hAnsi="宋体"/>
          <w:sz w:val="24"/>
        </w:rPr>
        <w:t>）恶意竞争，最终总报价明显低于其自身合理成本且又无法提供证明的；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5</w:t>
      </w:r>
      <w:r>
        <w:rPr>
          <w:rFonts w:hint="eastAsia" w:ascii="宋体" w:hAnsi="宋体"/>
          <w:sz w:val="24"/>
        </w:rPr>
        <w:t>）不满足本磋商文件规定的实质性要求，但在评审过程中又未被磋商小组发现的；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7</w:t>
      </w:r>
      <w:r>
        <w:rPr>
          <w:rFonts w:hint="eastAsia" w:ascii="宋体" w:hAnsi="宋体"/>
          <w:sz w:val="24"/>
        </w:rPr>
        <w:t>）将政府采购合同转包；</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8</w:t>
      </w:r>
      <w:r>
        <w:rPr>
          <w:rFonts w:hint="eastAsia" w:ascii="宋体" w:hAnsi="宋体"/>
          <w:sz w:val="24"/>
        </w:rPr>
        <w:t>）法律、法规、规章规定的属于成交无效的其他情形。</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、质疑处理</w:t>
      </w:r>
    </w:p>
    <w:p>
      <w:pPr>
        <w:spacing w:line="360" w:lineRule="auto"/>
        <w:ind w:left="120" w:leftChars="57" w:firstLine="600" w:firstLineChars="250"/>
        <w:rPr>
          <w:rFonts w:ascii="宋体"/>
          <w:sz w:val="24"/>
        </w:rPr>
      </w:pPr>
      <w:r>
        <w:rPr>
          <w:rFonts w:ascii="宋体" w:hAnsi="宋体"/>
          <w:sz w:val="24"/>
        </w:rPr>
        <w:t>2.1</w:t>
      </w:r>
      <w:r>
        <w:rPr>
          <w:rFonts w:hint="eastAsia" w:ascii="宋体" w:hAnsi="宋体"/>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）对可以质疑的磋商文件提出质疑的，为收到磋商文件之日或者磋商文件公告期限届满之日；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）对采购过程提出质疑的，为各采购程序环节结束之日；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）对成交结果提出质疑的，为成交结果公告期限届满之日。</w:t>
      </w:r>
    </w:p>
    <w:p>
      <w:pPr>
        <w:spacing w:line="360" w:lineRule="auto"/>
        <w:ind w:left="120" w:leftChars="57" w:firstLine="600" w:firstLineChars="250"/>
        <w:rPr>
          <w:rFonts w:ascii="宋体"/>
          <w:sz w:val="24"/>
        </w:rPr>
      </w:pPr>
      <w:r>
        <w:rPr>
          <w:rFonts w:ascii="宋体" w:hAnsi="宋体"/>
          <w:sz w:val="24"/>
        </w:rPr>
        <w:t>2.2</w:t>
      </w:r>
      <w:r>
        <w:rPr>
          <w:rFonts w:hint="eastAsia" w:ascii="宋体" w:hAnsi="宋体"/>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sz w:val="24"/>
        </w:rPr>
      </w:pPr>
      <w:r>
        <w:rPr>
          <w:rFonts w:ascii="宋体" w:hAnsi="宋体"/>
          <w:sz w:val="24"/>
        </w:rPr>
        <w:t>2.3</w:t>
      </w:r>
      <w:r>
        <w:rPr>
          <w:rFonts w:hint="eastAsia" w:ascii="宋体" w:hAnsi="宋体"/>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sz w:val="24"/>
        </w:rPr>
      </w:pPr>
      <w:r>
        <w:rPr>
          <w:rFonts w:ascii="宋体" w:hAnsi="宋体"/>
          <w:sz w:val="24"/>
        </w:rPr>
        <w:t>2.4</w:t>
      </w:r>
      <w:r>
        <w:rPr>
          <w:rFonts w:hint="eastAsia" w:ascii="宋体" w:hAnsi="宋体"/>
          <w:sz w:val="24"/>
        </w:rPr>
        <w:t>质疑函应当包括下列内容：</w:t>
      </w:r>
    </w:p>
    <w:p>
      <w:pPr>
        <w:spacing w:line="360" w:lineRule="auto"/>
        <w:ind w:left="120" w:leftChars="57" w:firstLine="600" w:firstLineChars="250"/>
        <w:rPr>
          <w:rFonts w:ascii="宋体"/>
          <w:sz w:val="24"/>
        </w:rPr>
      </w:pPr>
      <w:r>
        <w:rPr>
          <w:rFonts w:ascii="宋体" w:hAnsi="宋体"/>
          <w:sz w:val="24"/>
        </w:rPr>
        <w:t>2.4.1</w:t>
      </w:r>
      <w:r>
        <w:rPr>
          <w:rFonts w:hint="eastAsia" w:ascii="宋体" w:hAnsi="宋体"/>
          <w:sz w:val="24"/>
        </w:rPr>
        <w:t>质疑供应商的名称、地址、邮编、联系人、联系电话；</w:t>
      </w:r>
    </w:p>
    <w:p>
      <w:pPr>
        <w:spacing w:line="360" w:lineRule="auto"/>
        <w:ind w:left="120" w:leftChars="57" w:firstLine="600" w:firstLineChars="250"/>
        <w:rPr>
          <w:rFonts w:ascii="宋体"/>
          <w:sz w:val="24"/>
        </w:rPr>
      </w:pPr>
      <w:r>
        <w:rPr>
          <w:rFonts w:ascii="宋体" w:hAnsi="宋体"/>
          <w:sz w:val="24"/>
        </w:rPr>
        <w:t>2.4.2</w:t>
      </w:r>
      <w:r>
        <w:rPr>
          <w:rFonts w:hint="eastAsia" w:ascii="宋体" w:hAnsi="宋体"/>
          <w:sz w:val="24"/>
        </w:rPr>
        <w:t>具体的质疑事项及明确的请求；</w:t>
      </w:r>
    </w:p>
    <w:p>
      <w:pPr>
        <w:spacing w:line="360" w:lineRule="auto"/>
        <w:ind w:left="120" w:leftChars="57" w:firstLine="600" w:firstLineChars="250"/>
        <w:rPr>
          <w:rFonts w:ascii="宋体"/>
          <w:sz w:val="24"/>
        </w:rPr>
      </w:pPr>
      <w:r>
        <w:rPr>
          <w:rFonts w:ascii="宋体" w:hAnsi="宋体"/>
          <w:sz w:val="24"/>
        </w:rPr>
        <w:t>2.4.3</w:t>
      </w:r>
      <w:r>
        <w:rPr>
          <w:rFonts w:hint="eastAsia" w:ascii="宋体" w:hAnsi="宋体"/>
          <w:sz w:val="24"/>
        </w:rPr>
        <w:t>认为自己合法权益受到损害或可能受到损害的相关证据材料；</w:t>
      </w:r>
    </w:p>
    <w:p>
      <w:pPr>
        <w:spacing w:line="360" w:lineRule="auto"/>
        <w:ind w:left="120" w:leftChars="57" w:firstLine="600" w:firstLineChars="250"/>
        <w:rPr>
          <w:rFonts w:ascii="宋体"/>
          <w:sz w:val="24"/>
        </w:rPr>
      </w:pPr>
      <w:r>
        <w:rPr>
          <w:rFonts w:ascii="宋体" w:hAnsi="宋体"/>
          <w:sz w:val="24"/>
        </w:rPr>
        <w:t>2.4.4</w:t>
      </w:r>
      <w:r>
        <w:rPr>
          <w:rFonts w:hint="eastAsia" w:ascii="宋体" w:hAnsi="宋体"/>
          <w:sz w:val="24"/>
        </w:rPr>
        <w:t>提起质疑的日期；</w:t>
      </w:r>
    </w:p>
    <w:p>
      <w:pPr>
        <w:spacing w:line="360" w:lineRule="auto"/>
        <w:ind w:left="120" w:leftChars="57" w:firstLine="600" w:firstLineChars="250"/>
        <w:rPr>
          <w:rFonts w:ascii="宋体"/>
          <w:sz w:val="24"/>
        </w:rPr>
      </w:pPr>
      <w:r>
        <w:rPr>
          <w:rFonts w:ascii="宋体" w:hAnsi="宋体"/>
          <w:sz w:val="24"/>
        </w:rPr>
        <w:t>2.4.5</w:t>
      </w:r>
      <w:r>
        <w:rPr>
          <w:rFonts w:hint="eastAsia" w:ascii="宋体" w:hAns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sz w:val="24"/>
        </w:rPr>
      </w:pPr>
      <w:r>
        <w:rPr>
          <w:rFonts w:ascii="宋体" w:hAnsi="宋体"/>
          <w:sz w:val="24"/>
        </w:rPr>
        <w:t>2.5</w:t>
      </w:r>
      <w:r>
        <w:rPr>
          <w:rFonts w:hint="eastAsia" w:ascii="宋体" w:hAnsi="宋体"/>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sz w:val="24"/>
        </w:rPr>
      </w:pPr>
      <w:r>
        <w:rPr>
          <w:rFonts w:ascii="宋体" w:hAnsi="宋体"/>
          <w:sz w:val="24"/>
        </w:rPr>
        <w:t>2.6</w:t>
      </w:r>
      <w:r>
        <w:rPr>
          <w:rFonts w:hint="eastAsia" w:ascii="宋体" w:hAnsi="宋体"/>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sz w:val="24"/>
        </w:rPr>
      </w:pPr>
      <w:r>
        <w:rPr>
          <w:rFonts w:ascii="宋体" w:hAnsi="宋体"/>
          <w:sz w:val="24"/>
        </w:rPr>
        <w:t>2.7</w:t>
      </w:r>
      <w:r>
        <w:rPr>
          <w:rFonts w:hint="eastAsia" w:ascii="宋体" w:hAnsi="宋体"/>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sz w:val="24"/>
        </w:rPr>
      </w:pPr>
      <w:r>
        <w:rPr>
          <w:rFonts w:ascii="宋体" w:hAnsi="宋体"/>
          <w:sz w:val="24"/>
        </w:rPr>
        <w:t>2.8</w:t>
      </w:r>
      <w:r>
        <w:rPr>
          <w:rFonts w:hint="eastAsia" w:ascii="宋体" w:hAnsi="宋体"/>
          <w:sz w:val="24"/>
        </w:rPr>
        <w:t>供应商提出书面质疑必须有理、有据，不得恶意质疑或提交虚假质疑。否则，一经查实，采购人有权依据政府采购的有关规定，报请政府采购监管部门对该供应商进行相应的行政处罚。</w:t>
      </w:r>
      <w:bookmarkStart w:id="73" w:name="_Toc20823309"/>
      <w:bookmarkStart w:id="74" w:name="_Toc16938553"/>
      <w:bookmarkStart w:id="75" w:name="_Toc513029237"/>
    </w:p>
    <w:p>
      <w:pPr>
        <w:spacing w:line="360" w:lineRule="auto"/>
        <w:ind w:left="120" w:leftChars="57" w:firstLine="602" w:firstLineChars="250"/>
        <w:rPr>
          <w:rFonts w:ascii="宋体"/>
          <w:sz w:val="24"/>
        </w:rPr>
      </w:pPr>
      <w:r>
        <w:rPr>
          <w:rFonts w:hint="eastAsia" w:ascii="宋体" w:hAnsi="宋体"/>
          <w:b/>
          <w:sz w:val="24"/>
        </w:rPr>
        <w:t>六、合同签订相关事项</w:t>
      </w:r>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、签订合同</w:t>
      </w:r>
    </w:p>
    <w:p>
      <w:pPr>
        <w:spacing w:line="360" w:lineRule="auto"/>
        <w:ind w:left="120" w:leftChars="57" w:firstLine="600" w:firstLineChars="250"/>
        <w:rPr>
          <w:rFonts w:ascii="宋体"/>
          <w:sz w:val="24"/>
        </w:rPr>
      </w:pPr>
      <w:r>
        <w:rPr>
          <w:rFonts w:ascii="宋体" w:hAnsi="宋体"/>
          <w:sz w:val="24"/>
        </w:rPr>
        <w:t>1.l</w:t>
      </w:r>
      <w:r>
        <w:rPr>
          <w:rFonts w:hint="eastAsia" w:ascii="宋体" w:hAnsi="宋体"/>
          <w:sz w:val="24"/>
        </w:rPr>
        <w:t>成交供应商确定后，采购人将向成交供应商发出中标通知书。成交供应商应按成交通知书规定的时间、地点</w:t>
      </w:r>
      <w:r>
        <w:rPr>
          <w:rFonts w:ascii="宋体"/>
          <w:sz w:val="24"/>
        </w:rPr>
        <w:t>,</w:t>
      </w:r>
      <w:r>
        <w:rPr>
          <w:rFonts w:hint="eastAsia" w:ascii="宋体" w:hAnsi="宋体"/>
          <w:sz w:val="24"/>
        </w:rPr>
        <w:t>按照磋商文件确定的事项与采购人签订政府采购合同，且不得迟于成交通知书发出之日起三十日内，否则磋商保证金将不予退还，由此给采购人造成损失的，成交供应商还应承担赔偿责任。</w:t>
      </w:r>
    </w:p>
    <w:p>
      <w:pPr>
        <w:spacing w:line="360" w:lineRule="auto"/>
        <w:ind w:left="120" w:leftChars="57" w:firstLine="600" w:firstLineChars="250"/>
        <w:rPr>
          <w:rFonts w:ascii="宋体"/>
          <w:sz w:val="24"/>
        </w:rPr>
      </w:pPr>
      <w:r>
        <w:rPr>
          <w:rFonts w:ascii="宋体" w:hAnsi="宋体"/>
          <w:sz w:val="24"/>
        </w:rPr>
        <w:t xml:space="preserve">1.2 </w:t>
      </w:r>
      <w:r>
        <w:rPr>
          <w:rFonts w:hint="eastAsia" w:ascii="宋体" w:hAnsi="宋体"/>
          <w:sz w:val="24"/>
        </w:rPr>
        <w:t>磋商文件、成交供应商的响应文件及磋商采购过程中有关澄清、承诺文件均应作为合同附件。</w:t>
      </w:r>
    </w:p>
    <w:p>
      <w:pPr>
        <w:spacing w:line="360" w:lineRule="auto"/>
        <w:ind w:left="120" w:leftChars="57" w:firstLine="600" w:firstLineChars="250"/>
        <w:rPr>
          <w:rFonts w:ascii="宋体"/>
          <w:sz w:val="24"/>
        </w:rPr>
      </w:pPr>
      <w:r>
        <w:rPr>
          <w:rFonts w:ascii="宋体" w:hAnsi="宋体"/>
          <w:sz w:val="24"/>
        </w:rPr>
        <w:t xml:space="preserve">1.3 </w:t>
      </w:r>
      <w:r>
        <w:rPr>
          <w:rFonts w:hint="eastAsia" w:ascii="宋体" w:hAnsi="宋体"/>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、履约保证金</w:t>
      </w:r>
    </w:p>
    <w:p>
      <w:pPr>
        <w:spacing w:line="360" w:lineRule="auto"/>
        <w:ind w:left="120" w:leftChars="57" w:firstLine="600" w:firstLineChars="250"/>
        <w:rPr>
          <w:rFonts w:ascii="宋体"/>
          <w:sz w:val="24"/>
        </w:rPr>
      </w:pPr>
      <w:r>
        <w:rPr>
          <w:rFonts w:hint="eastAsia" w:ascii="宋体" w:hAnsi="宋体"/>
          <w:sz w:val="24"/>
        </w:rPr>
        <w:t>在签订合同时，须向采购人交纳履约保证金</w:t>
      </w:r>
      <w:r>
        <w:rPr>
          <w:rFonts w:ascii="宋体"/>
          <w:sz w:val="24"/>
        </w:rPr>
        <w:t>,</w:t>
      </w:r>
      <w:r>
        <w:rPr>
          <w:rFonts w:hint="eastAsia" w:ascii="宋体" w:hAnsi="宋体"/>
          <w:sz w:val="24"/>
        </w:rPr>
        <w:t>于合同履行后无息退还。履约保证金用以约束成交供应商在合同履行中的行为，弥补合同执行中由于自身行为可能给采购人带来的各种损失。</w:t>
      </w:r>
    </w:p>
    <w:p>
      <w:pPr>
        <w:spacing w:line="360" w:lineRule="auto"/>
        <w:ind w:left="120" w:leftChars="57" w:firstLine="600" w:firstLineChars="250"/>
        <w:rPr>
          <w:rFonts w:ascii="宋体"/>
          <w:sz w:val="24"/>
        </w:rPr>
      </w:pPr>
      <w:r>
        <w:rPr>
          <w:rFonts w:ascii="宋体" w:hAnsi="宋体"/>
          <w:sz w:val="24"/>
        </w:rPr>
        <w:t>3</w:t>
      </w:r>
      <w:r>
        <w:rPr>
          <w:rFonts w:hint="eastAsia" w:ascii="宋体" w:hAnsi="宋体"/>
          <w:sz w:val="24"/>
        </w:rPr>
        <w:t>、政府采购履约资金扶持政策</w:t>
      </w:r>
    </w:p>
    <w:p>
      <w:pPr>
        <w:spacing w:line="360" w:lineRule="auto"/>
        <w:ind w:left="120" w:leftChars="57" w:firstLine="600" w:firstLineChars="250"/>
        <w:rPr>
          <w:rFonts w:ascii="宋体"/>
          <w:sz w:val="24"/>
        </w:rPr>
      </w:pPr>
      <w:r>
        <w:rPr>
          <w:rFonts w:hint="eastAsia" w:ascii="宋体" w:hAnsi="宋体"/>
          <w:sz w:val="24"/>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360" w:lineRule="auto"/>
        <w:ind w:firstLine="555"/>
        <w:rPr>
          <w:rFonts w:ascii="宋体"/>
          <w:sz w:val="24"/>
        </w:rPr>
      </w:pPr>
    </w:p>
    <w:bookmarkEnd w:id="73"/>
    <w:bookmarkEnd w:id="74"/>
    <w:bookmarkEnd w:id="75"/>
    <w:p>
      <w:pPr>
        <w:pStyle w:val="3"/>
        <w:spacing w:line="360" w:lineRule="auto"/>
        <w:rPr>
          <w:rFonts w:hint="eastAsia" w:ascii="黑体" w:eastAsia="黑体" w:cs="Arial"/>
          <w:bCs/>
          <w:szCs w:val="44"/>
        </w:rPr>
      </w:pPr>
      <w:r>
        <w:rPr>
          <w:rFonts w:hint="eastAsia" w:ascii="黑体" w:eastAsia="黑体" w:cs="Arial"/>
          <w:bCs/>
          <w:szCs w:val="44"/>
        </w:rPr>
        <w:br w:type="page"/>
      </w:r>
    </w:p>
    <w:p>
      <w:pPr>
        <w:pStyle w:val="3"/>
        <w:spacing w:line="360" w:lineRule="auto"/>
        <w:rPr>
          <w:rFonts w:ascii="黑体" w:eastAsia="黑体" w:cs="Arial"/>
          <w:bCs/>
          <w:szCs w:val="44"/>
        </w:rPr>
      </w:pPr>
      <w:r>
        <w:rPr>
          <w:rFonts w:hint="eastAsia" w:ascii="黑体" w:eastAsia="黑体" w:cs="Arial"/>
          <w:bCs/>
          <w:szCs w:val="44"/>
        </w:rPr>
        <w:t>第三章合同条款及格式</w:t>
      </w:r>
    </w:p>
    <w:p>
      <w:pPr>
        <w:spacing w:line="440" w:lineRule="exact"/>
        <w:ind w:firstLine="480" w:firstLineChars="200"/>
        <w:rPr>
          <w:rFonts w:ascii="宋体" w:hAnsi="宋体" w:cs="宋体"/>
          <w:bCs/>
          <w:sz w:val="24"/>
        </w:rPr>
      </w:pPr>
      <w:r>
        <w:rPr>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sz w:val="30"/>
        </w:rPr>
      </w:pPr>
    </w:p>
    <w:p>
      <w:pPr>
        <w:snapToGrid w:val="0"/>
        <w:spacing w:line="440" w:lineRule="exact"/>
        <w:ind w:firstLine="602" w:firstLineChars="200"/>
        <w:jc w:val="center"/>
        <w:outlineLvl w:val="0"/>
        <w:rPr>
          <w:rFonts w:ascii="宋体" w:hAnsi="宋体" w:cs="宋体"/>
          <w:b/>
          <w:bCs/>
          <w:sz w:val="30"/>
          <w:szCs w:val="20"/>
        </w:rPr>
      </w:pPr>
      <w:r>
        <w:rPr>
          <w:rFonts w:hint="eastAsia" w:ascii="宋体" w:hAnsi="宋体" w:cs="宋体"/>
          <w:b/>
          <w:sz w:val="30"/>
        </w:rPr>
        <w:t>政府采购合同</w:t>
      </w:r>
    </w:p>
    <w:p>
      <w:pPr>
        <w:pStyle w:val="17"/>
        <w:snapToGrid w:val="0"/>
        <w:spacing w:line="440" w:lineRule="exact"/>
        <w:ind w:firstLine="480" w:firstLineChars="200"/>
        <w:jc w:val="left"/>
        <w:rPr>
          <w:rFonts w:hAnsi="宋体" w:cs="宋体"/>
          <w:sz w:val="24"/>
          <w:szCs w:val="24"/>
        </w:rPr>
      </w:pPr>
      <w:r>
        <w:rPr>
          <w:rFonts w:hint="eastAsia" w:hAnsi="宋体" w:cs="宋体"/>
          <w:sz w:val="24"/>
          <w:szCs w:val="24"/>
        </w:rPr>
        <w:t>项目名称：</w:t>
      </w:r>
      <w:r>
        <w:rPr>
          <w:rFonts w:hint="eastAsia" w:hAnsi="宋体" w:cs="宋体"/>
          <w:sz w:val="24"/>
          <w:szCs w:val="24"/>
          <w:u w:val="single"/>
        </w:rPr>
        <w:t>盐城工业职业技术学院纺织设备HMI端操作模拟系统开发项目</w:t>
      </w:r>
    </w:p>
    <w:p>
      <w:pPr>
        <w:pStyle w:val="17"/>
        <w:snapToGrid w:val="0"/>
        <w:spacing w:line="440" w:lineRule="exact"/>
        <w:ind w:firstLine="480" w:firstLineChars="200"/>
        <w:jc w:val="left"/>
        <w:rPr>
          <w:rFonts w:hint="eastAsia" w:hAnsi="宋体" w:eastAsia="宋体" w:cs="宋体"/>
          <w:sz w:val="24"/>
          <w:szCs w:val="24"/>
          <w:lang w:eastAsia="zh-CN"/>
        </w:rPr>
      </w:pPr>
      <w:r>
        <w:rPr>
          <w:rFonts w:hint="eastAsia" w:hAnsi="宋体" w:cs="宋体"/>
          <w:sz w:val="24"/>
          <w:szCs w:val="24"/>
        </w:rPr>
        <w:t>项目编号：</w:t>
      </w:r>
      <w:r>
        <w:rPr>
          <w:rFonts w:hint="eastAsia" w:hAnsi="宋体" w:cs="宋体"/>
          <w:sz w:val="24"/>
          <w:szCs w:val="24"/>
          <w:u w:val="single"/>
        </w:rPr>
        <w:t>2018-</w:t>
      </w:r>
      <w:r>
        <w:rPr>
          <w:rFonts w:hint="eastAsia" w:hAnsi="宋体" w:cs="宋体"/>
          <w:sz w:val="24"/>
          <w:szCs w:val="24"/>
          <w:u w:val="single"/>
          <w:lang w:eastAsia="zh-CN"/>
        </w:rPr>
        <w:t>008S-2</w:t>
      </w:r>
    </w:p>
    <w:p>
      <w:pPr>
        <w:pStyle w:val="17"/>
        <w:snapToGrid w:val="0"/>
        <w:spacing w:line="440" w:lineRule="exact"/>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盐城工业职业技术学院</w:t>
      </w:r>
    </w:p>
    <w:p>
      <w:pPr>
        <w:pStyle w:val="17"/>
        <w:snapToGrid w:val="0"/>
        <w:spacing w:line="440" w:lineRule="exact"/>
        <w:ind w:firstLine="480" w:firstLineChars="200"/>
        <w:rPr>
          <w:rFonts w:hAnsi="宋体" w:cs="宋体"/>
          <w:sz w:val="24"/>
          <w:szCs w:val="24"/>
          <w:u w:val="single"/>
        </w:rPr>
      </w:pPr>
      <w:r>
        <w:rPr>
          <w:rFonts w:hint="eastAsia" w:hAnsi="宋体" w:cs="宋体"/>
          <w:sz w:val="24"/>
          <w:szCs w:val="24"/>
        </w:rPr>
        <w:t>乙方：（卖方）</w:t>
      </w:r>
    </w:p>
    <w:p>
      <w:pPr>
        <w:spacing w:line="440" w:lineRule="exact"/>
        <w:ind w:firstLine="480" w:firstLineChars="200"/>
        <w:rPr>
          <w:rFonts w:ascii="宋体" w:hAnsi="宋体" w:cs="宋体"/>
          <w:b/>
          <w:sz w:val="24"/>
        </w:rPr>
      </w:pPr>
      <w:r>
        <w:rPr>
          <w:rFonts w:hint="eastAsia" w:ascii="宋体" w:hAnsi="宋体" w:cs="宋体"/>
          <w:sz w:val="24"/>
        </w:rPr>
        <w:t>甲、乙双方根据</w:t>
      </w:r>
      <w:r>
        <w:rPr>
          <w:rFonts w:hint="eastAsia" w:hAnsi="宋体" w:cs="宋体"/>
          <w:sz w:val="24"/>
          <w:u w:val="single"/>
        </w:rPr>
        <w:t>盐城工业职业技术学院纺织设备HMI端操作模拟系统开发项目</w:t>
      </w:r>
      <w:r>
        <w:rPr>
          <w:rFonts w:hint="eastAsia" w:ascii="宋体" w:hAnsi="宋体" w:cs="宋体"/>
          <w:sz w:val="24"/>
        </w:rPr>
        <w:t>公开招标的结果，签署本合同。</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一、项目内容</w:t>
      </w:r>
    </w:p>
    <w:p>
      <w:pPr>
        <w:pStyle w:val="17"/>
        <w:snapToGrid w:val="0"/>
        <w:spacing w:line="440" w:lineRule="exact"/>
        <w:ind w:firstLine="480" w:firstLineChars="200"/>
        <w:rPr>
          <w:rFonts w:hAnsi="宋体" w:cs="宋体"/>
          <w:sz w:val="24"/>
          <w:szCs w:val="24"/>
        </w:rPr>
      </w:pPr>
      <w:r>
        <w:rPr>
          <w:rFonts w:hint="eastAsia" w:hAnsi="宋体" w:cs="宋体"/>
          <w:sz w:val="24"/>
          <w:szCs w:val="24"/>
        </w:rPr>
        <w:t>1.1 项目名称：</w:t>
      </w:r>
      <w:r>
        <w:rPr>
          <w:rFonts w:hint="eastAsia" w:hAnsi="宋体" w:cs="宋体"/>
          <w:sz w:val="24"/>
          <w:u w:val="single"/>
        </w:rPr>
        <w:t>纺织设备HMI端操作模拟系统开发</w:t>
      </w:r>
      <w:r>
        <w:rPr>
          <w:rFonts w:hint="eastAsia" w:hAnsi="宋体" w:cs="宋体"/>
          <w:sz w:val="24"/>
          <w:szCs w:val="24"/>
        </w:rPr>
        <w:t>。</w:t>
      </w:r>
    </w:p>
    <w:p>
      <w:pPr>
        <w:pStyle w:val="17"/>
        <w:snapToGrid w:val="0"/>
        <w:spacing w:line="440" w:lineRule="exact"/>
        <w:ind w:firstLine="480" w:firstLineChars="200"/>
        <w:rPr>
          <w:rFonts w:hAnsi="宋体" w:cs="宋体"/>
          <w:sz w:val="24"/>
          <w:szCs w:val="24"/>
        </w:rPr>
      </w:pPr>
      <w:r>
        <w:rPr>
          <w:rFonts w:hint="eastAsia" w:hAnsi="宋体" w:cs="宋体"/>
          <w:sz w:val="24"/>
          <w:szCs w:val="24"/>
        </w:rPr>
        <w:t>1.2 型号规格及其他要求：</w:t>
      </w:r>
      <w:r>
        <w:rPr>
          <w:rFonts w:hint="eastAsia" w:hAnsi="宋体" w:cs="宋体"/>
          <w:sz w:val="24"/>
          <w:szCs w:val="24"/>
          <w:u w:val="single"/>
        </w:rPr>
        <w:t>详按项目需求</w:t>
      </w:r>
      <w:r>
        <w:rPr>
          <w:rFonts w:hint="eastAsia" w:hAnsi="宋体" w:cs="宋体"/>
          <w:sz w:val="24"/>
          <w:szCs w:val="24"/>
        </w:rPr>
        <w:t>。</w:t>
      </w:r>
    </w:p>
    <w:p>
      <w:pPr>
        <w:pStyle w:val="17"/>
        <w:snapToGrid w:val="0"/>
        <w:spacing w:line="440" w:lineRule="exact"/>
        <w:ind w:firstLine="480" w:firstLineChars="200"/>
        <w:rPr>
          <w:rFonts w:hAnsi="宋体" w:cs="宋体"/>
          <w:sz w:val="24"/>
          <w:szCs w:val="24"/>
        </w:rPr>
      </w:pPr>
      <w:r>
        <w:rPr>
          <w:rFonts w:hint="eastAsia" w:hAnsi="宋体" w:cs="宋体"/>
          <w:sz w:val="24"/>
          <w:szCs w:val="24"/>
        </w:rPr>
        <w:t>1.3 数量（单位）：</w:t>
      </w:r>
      <w:r>
        <w:rPr>
          <w:rFonts w:hint="eastAsia" w:hAnsi="宋体" w:cs="宋体"/>
          <w:sz w:val="24"/>
          <w:szCs w:val="24"/>
          <w:u w:val="single"/>
        </w:rPr>
        <w:t>详按项目需求</w:t>
      </w:r>
      <w:r>
        <w:rPr>
          <w:rFonts w:hint="eastAsia" w:hAnsi="宋体" w:cs="宋体"/>
          <w:sz w:val="24"/>
          <w:szCs w:val="24"/>
        </w:rPr>
        <w:t>。</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二、合同金额</w:t>
      </w:r>
    </w:p>
    <w:p>
      <w:pPr>
        <w:pStyle w:val="17"/>
        <w:snapToGrid w:val="0"/>
        <w:spacing w:line="440" w:lineRule="exact"/>
        <w:ind w:firstLine="480" w:firstLineChars="200"/>
        <w:rPr>
          <w:rFonts w:hAnsi="宋体" w:cs="宋体"/>
          <w:sz w:val="24"/>
          <w:szCs w:val="24"/>
        </w:rPr>
      </w:pPr>
      <w:r>
        <w:rPr>
          <w:rFonts w:hint="eastAsia" w:hAnsi="宋体" w:cs="宋体"/>
          <w:sz w:val="24"/>
          <w:szCs w:val="24"/>
        </w:rPr>
        <w:t>2.1 本合同金额为（大写）：________元（_______________元）人民币或其他币种。</w:t>
      </w:r>
    </w:p>
    <w:p>
      <w:pPr>
        <w:spacing w:line="440" w:lineRule="exact"/>
        <w:ind w:firstLine="480" w:firstLineChars="200"/>
        <w:rPr>
          <w:rFonts w:ascii="宋体" w:hAnsi="宋体" w:cs="宋体"/>
          <w:bCs/>
          <w:sz w:val="24"/>
        </w:rPr>
      </w:pPr>
      <w:r>
        <w:rPr>
          <w:rFonts w:hint="eastAsia" w:ascii="宋体" w:hAnsi="宋体" w:cs="宋体"/>
          <w:bCs/>
          <w:sz w:val="24"/>
        </w:rPr>
        <w:t>招标文件的项目需求中规定的安装、调试和培训费用包括在合同金额中。合同金额包括了交付使用前的全部费用，包括但不限于所有制造采购成本、附件、配件、备品备件及专用工具费、运输费、保险费、培训费、安装、调试、技术开发费用、验收费用、质保期内的维护费、其他费用（如包装费、仓储费、保管费、资料费等以及完成本项目所需要的其他费用）、管理费、利润、风险费用、规费、招标代理费、国家对乙方征收的各种税费等涉及到的所有费用。</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三、技术资料</w:t>
      </w:r>
    </w:p>
    <w:p>
      <w:pPr>
        <w:spacing w:line="440" w:lineRule="exact"/>
        <w:ind w:firstLine="480" w:firstLineChars="200"/>
        <w:rPr>
          <w:rFonts w:ascii="宋体" w:hAnsi="宋体" w:cs="宋体"/>
          <w:bCs/>
          <w:sz w:val="24"/>
        </w:rPr>
      </w:pPr>
      <w:r>
        <w:rPr>
          <w:rFonts w:hint="eastAsia" w:ascii="宋体" w:hAnsi="宋体" w:cs="宋体"/>
          <w:bCs/>
          <w:sz w:val="24"/>
        </w:rPr>
        <w:t>3.1乙方应按招标文件规定的时间向甲方提供使用货物和服务的有关技术资料。</w:t>
      </w:r>
    </w:p>
    <w:p>
      <w:pPr>
        <w:spacing w:line="440" w:lineRule="exact"/>
        <w:ind w:firstLine="480" w:firstLineChars="200"/>
        <w:rPr>
          <w:rFonts w:ascii="宋体" w:hAnsi="宋体" w:cs="宋体"/>
          <w:bCs/>
          <w:sz w:val="24"/>
        </w:rPr>
      </w:pPr>
      <w:r>
        <w:rPr>
          <w:rFonts w:hint="eastAsia"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四、知识产权</w:t>
      </w:r>
    </w:p>
    <w:p>
      <w:pPr>
        <w:spacing w:line="440" w:lineRule="exact"/>
        <w:ind w:firstLine="480" w:firstLineChars="200"/>
        <w:rPr>
          <w:rFonts w:ascii="宋体" w:hAnsi="宋体" w:cs="宋体"/>
          <w:sz w:val="24"/>
        </w:rPr>
      </w:pPr>
      <w:r>
        <w:rPr>
          <w:rFonts w:hint="eastAsia" w:ascii="宋体" w:hAnsi="宋体" w:cs="宋体"/>
          <w:sz w:val="24"/>
        </w:rPr>
        <w:t>4.1乙方应保证甲方在使用、接受本合同货物和服务或其任何一部分时不受第三方提出侵犯其专利权、版权、商标权和工业设计权等知识产权的起诉。一旦出现侵权，由乙方负全部责任。</w:t>
      </w:r>
    </w:p>
    <w:p>
      <w:pPr>
        <w:pStyle w:val="17"/>
        <w:snapToGrid w:val="0"/>
        <w:spacing w:line="440" w:lineRule="exact"/>
        <w:ind w:firstLine="482" w:firstLineChars="200"/>
        <w:rPr>
          <w:rFonts w:hAnsi="宋体" w:cs="宋体"/>
          <w:sz w:val="24"/>
          <w:szCs w:val="24"/>
          <w:u w:val="single"/>
        </w:rPr>
      </w:pPr>
      <w:r>
        <w:rPr>
          <w:rFonts w:hint="eastAsia" w:hAnsi="宋体" w:cs="宋体"/>
          <w:b/>
          <w:sz w:val="24"/>
          <w:szCs w:val="24"/>
        </w:rPr>
        <w:t>五、产权担保</w:t>
      </w:r>
    </w:p>
    <w:p>
      <w:pPr>
        <w:pStyle w:val="17"/>
        <w:snapToGrid w:val="0"/>
        <w:spacing w:line="440" w:lineRule="exact"/>
        <w:ind w:firstLine="480" w:firstLineChars="200"/>
        <w:rPr>
          <w:rFonts w:hAnsi="宋体" w:cs="宋体"/>
          <w:sz w:val="24"/>
          <w:szCs w:val="24"/>
          <w:u w:val="single"/>
        </w:rPr>
      </w:pPr>
      <w:r>
        <w:rPr>
          <w:rFonts w:hint="eastAsia" w:hAnsi="宋体" w:cs="宋体"/>
          <w:sz w:val="24"/>
          <w:szCs w:val="24"/>
        </w:rPr>
        <w:t>5.1 乙方保证所交付的货物</w:t>
      </w:r>
      <w:r>
        <w:rPr>
          <w:rFonts w:hint="eastAsia" w:hAnsi="宋体" w:cs="宋体"/>
          <w:bCs/>
          <w:sz w:val="24"/>
        </w:rPr>
        <w:t>和服务</w:t>
      </w:r>
      <w:r>
        <w:rPr>
          <w:rFonts w:hint="eastAsia" w:hAnsi="宋体" w:cs="宋体"/>
          <w:sz w:val="24"/>
          <w:szCs w:val="24"/>
        </w:rPr>
        <w:t>的所有权完全属于乙方且无任何抵押、查封等产权瑕疵。</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六、履约保证金</w:t>
      </w:r>
    </w:p>
    <w:p>
      <w:pPr>
        <w:pStyle w:val="17"/>
        <w:snapToGrid w:val="0"/>
        <w:spacing w:line="440" w:lineRule="exact"/>
        <w:ind w:firstLine="480" w:firstLineChars="200"/>
        <w:rPr>
          <w:rFonts w:hAnsi="宋体" w:cs="宋体"/>
          <w:sz w:val="24"/>
          <w:szCs w:val="24"/>
        </w:rPr>
      </w:pPr>
      <w:r>
        <w:rPr>
          <w:rFonts w:hint="eastAsia" w:hAnsi="宋体" w:cs="宋体"/>
          <w:sz w:val="24"/>
          <w:szCs w:val="24"/>
        </w:rPr>
        <w:t>6.1乙方交纳人民币_________元作为本合同的履约保证金（合同金额的5%）。</w:t>
      </w:r>
    </w:p>
    <w:p>
      <w:pPr>
        <w:snapToGrid w:val="0"/>
        <w:spacing w:line="440" w:lineRule="exact"/>
        <w:ind w:firstLine="482" w:firstLineChars="200"/>
        <w:rPr>
          <w:rFonts w:ascii="宋体" w:hAnsi="宋体" w:cs="宋体"/>
          <w:b/>
          <w:sz w:val="24"/>
        </w:rPr>
      </w:pPr>
      <w:r>
        <w:rPr>
          <w:rFonts w:hint="eastAsia" w:ascii="宋体" w:hAnsi="宋体" w:cs="宋体"/>
          <w:b/>
          <w:sz w:val="24"/>
        </w:rPr>
        <w:t>七、转包或分包</w:t>
      </w:r>
    </w:p>
    <w:p>
      <w:pPr>
        <w:snapToGrid w:val="0"/>
        <w:spacing w:line="440" w:lineRule="exact"/>
        <w:ind w:firstLine="480" w:firstLineChars="200"/>
        <w:rPr>
          <w:rFonts w:ascii="宋体" w:hAnsi="宋体" w:cs="宋体"/>
          <w:sz w:val="24"/>
        </w:rPr>
      </w:pPr>
      <w:r>
        <w:rPr>
          <w:rFonts w:hint="eastAsia" w:ascii="宋体" w:hAnsi="宋体" w:cs="宋体"/>
          <w:sz w:val="24"/>
        </w:rPr>
        <w:t>7.1本合同范围的货物</w:t>
      </w:r>
      <w:r>
        <w:rPr>
          <w:rFonts w:hint="eastAsia" w:ascii="宋体" w:hAnsi="宋体" w:cs="宋体"/>
          <w:bCs/>
          <w:sz w:val="24"/>
        </w:rPr>
        <w:t>和服务</w:t>
      </w:r>
      <w:r>
        <w:rPr>
          <w:rFonts w:hint="eastAsia" w:ascii="宋体" w:hAnsi="宋体" w:cs="宋体"/>
          <w:sz w:val="24"/>
        </w:rPr>
        <w:t>，应由乙方直接供应，不得转让他人供应；</w:t>
      </w:r>
    </w:p>
    <w:p>
      <w:pPr>
        <w:snapToGrid w:val="0"/>
        <w:spacing w:line="440" w:lineRule="exact"/>
        <w:ind w:firstLine="480" w:firstLineChars="200"/>
        <w:rPr>
          <w:rFonts w:ascii="宋体" w:hAnsi="宋体" w:cs="宋体"/>
          <w:sz w:val="24"/>
        </w:rPr>
      </w:pPr>
      <w:r>
        <w:rPr>
          <w:rFonts w:hint="eastAsia" w:ascii="宋体" w:hAnsi="宋体" w:cs="宋体"/>
          <w:sz w:val="24"/>
        </w:rPr>
        <w:t>7.2 除非得到甲方的书面同意，乙方不得部分分包给他人供应。</w:t>
      </w:r>
    </w:p>
    <w:p>
      <w:pPr>
        <w:snapToGrid w:val="0"/>
        <w:spacing w:line="440" w:lineRule="exact"/>
        <w:ind w:firstLine="480" w:firstLineChars="200"/>
        <w:rPr>
          <w:rFonts w:ascii="宋体" w:hAnsi="宋体" w:cs="宋体"/>
          <w:sz w:val="24"/>
        </w:rPr>
      </w:pPr>
      <w:r>
        <w:rPr>
          <w:rFonts w:hint="eastAsia" w:ascii="宋体" w:hAnsi="宋体" w:cs="宋体"/>
          <w:sz w:val="24"/>
        </w:rPr>
        <w:t>7.3如有转让和未经甲方同意的分包行为，甲方有权给予终止合同。</w:t>
      </w:r>
    </w:p>
    <w:p>
      <w:pPr>
        <w:pStyle w:val="17"/>
        <w:snapToGrid w:val="0"/>
        <w:spacing w:line="440" w:lineRule="exact"/>
        <w:ind w:firstLine="482" w:firstLineChars="200"/>
        <w:rPr>
          <w:rFonts w:hAnsi="宋体" w:cs="宋体"/>
          <w:color w:val="000000" w:themeColor="text1"/>
          <w:sz w:val="24"/>
          <w:szCs w:val="24"/>
        </w:rPr>
      </w:pPr>
      <w:r>
        <w:rPr>
          <w:rFonts w:hint="eastAsia" w:hAnsi="宋体" w:cs="宋体"/>
          <w:b/>
          <w:color w:val="000000" w:themeColor="text1"/>
          <w:sz w:val="24"/>
          <w:szCs w:val="24"/>
        </w:rPr>
        <w:t>八、质保期</w:t>
      </w:r>
    </w:p>
    <w:p>
      <w:pPr>
        <w:pStyle w:val="17"/>
        <w:snapToGrid w:val="0"/>
        <w:spacing w:line="440" w:lineRule="exact"/>
        <w:ind w:firstLine="480" w:firstLineChars="200"/>
        <w:rPr>
          <w:rFonts w:hAnsi="宋体" w:cs="宋体"/>
          <w:color w:val="000000" w:themeColor="text1"/>
          <w:sz w:val="24"/>
          <w:szCs w:val="24"/>
        </w:rPr>
      </w:pPr>
      <w:r>
        <w:rPr>
          <w:rFonts w:hint="eastAsia" w:hAnsi="宋体" w:cs="宋体"/>
          <w:color w:val="000000" w:themeColor="text1"/>
          <w:sz w:val="24"/>
          <w:szCs w:val="24"/>
        </w:rPr>
        <w:t>8.1 质保期</w:t>
      </w:r>
      <w:r>
        <w:rPr>
          <w:rFonts w:hint="eastAsia" w:hAnsi="宋体" w:cs="宋体"/>
          <w:color w:val="000000" w:themeColor="text1"/>
          <w:sz w:val="24"/>
          <w:szCs w:val="24"/>
          <w:u w:val="single"/>
        </w:rPr>
        <w:t>不低于五年，具体按投标时承诺执行</w:t>
      </w:r>
      <w:r>
        <w:rPr>
          <w:rFonts w:hint="eastAsia" w:hAnsi="宋体" w:cs="宋体"/>
          <w:color w:val="000000" w:themeColor="text1"/>
          <w:sz w:val="24"/>
          <w:szCs w:val="24"/>
        </w:rPr>
        <w:t>。（自交货验收合格之日起计）</w:t>
      </w:r>
    </w:p>
    <w:p>
      <w:pPr>
        <w:pStyle w:val="17"/>
        <w:snapToGrid w:val="0"/>
        <w:spacing w:line="44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九、交货期、交货方式及交货地点</w:t>
      </w:r>
    </w:p>
    <w:p>
      <w:pPr>
        <w:pStyle w:val="17"/>
        <w:snapToGrid w:val="0"/>
        <w:spacing w:line="44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9.1 交货期：</w:t>
      </w:r>
      <w:r>
        <w:rPr>
          <w:rFonts w:hint="eastAsia" w:hAnsi="宋体" w:cs="宋体"/>
          <w:color w:val="000000" w:themeColor="text1"/>
          <w:sz w:val="24"/>
          <w:szCs w:val="24"/>
          <w:u w:val="single"/>
        </w:rPr>
        <w:t xml:space="preserve">180天 </w:t>
      </w:r>
    </w:p>
    <w:p>
      <w:pPr>
        <w:pStyle w:val="17"/>
        <w:snapToGrid w:val="0"/>
        <w:spacing w:line="440" w:lineRule="exact"/>
        <w:ind w:firstLine="480" w:firstLineChars="200"/>
        <w:rPr>
          <w:rFonts w:hAnsi="宋体" w:cs="宋体"/>
          <w:bCs/>
          <w:color w:val="000000" w:themeColor="text1"/>
          <w:sz w:val="24"/>
          <w:szCs w:val="24"/>
        </w:rPr>
      </w:pPr>
      <w:r>
        <w:rPr>
          <w:rFonts w:hint="eastAsia" w:hAnsi="宋体" w:cs="宋体"/>
          <w:bCs/>
          <w:color w:val="000000" w:themeColor="text1"/>
          <w:sz w:val="24"/>
          <w:szCs w:val="24"/>
        </w:rPr>
        <w:t>9.2 交货方式：</w:t>
      </w:r>
      <w:r>
        <w:rPr>
          <w:rFonts w:hint="eastAsia" w:hAnsi="宋体" w:cs="宋体"/>
          <w:color w:val="000000" w:themeColor="text1"/>
          <w:sz w:val="24"/>
          <w:szCs w:val="24"/>
          <w:u w:val="single"/>
        </w:rPr>
        <w:t>送货上门</w:t>
      </w:r>
    </w:p>
    <w:p>
      <w:pPr>
        <w:pStyle w:val="17"/>
        <w:snapToGrid w:val="0"/>
        <w:spacing w:line="440" w:lineRule="exact"/>
        <w:ind w:firstLine="480" w:firstLineChars="200"/>
        <w:rPr>
          <w:rFonts w:hAnsi="宋体" w:cs="宋体"/>
          <w:b/>
          <w:color w:val="000000" w:themeColor="text1"/>
          <w:sz w:val="24"/>
          <w:szCs w:val="24"/>
        </w:rPr>
      </w:pPr>
      <w:r>
        <w:rPr>
          <w:rFonts w:hint="eastAsia" w:hAnsi="宋体" w:cs="宋体"/>
          <w:bCs/>
          <w:color w:val="000000" w:themeColor="text1"/>
          <w:sz w:val="24"/>
          <w:szCs w:val="24"/>
        </w:rPr>
        <w:t>9.3 交货地点：</w:t>
      </w:r>
      <w:r>
        <w:rPr>
          <w:rFonts w:hint="eastAsia" w:hAnsi="宋体" w:cs="宋体"/>
          <w:color w:val="000000" w:themeColor="text1"/>
          <w:sz w:val="24"/>
          <w:szCs w:val="24"/>
          <w:u w:val="single"/>
        </w:rPr>
        <w:t>甲方指定地点</w:t>
      </w:r>
    </w:p>
    <w:p>
      <w:pPr>
        <w:pStyle w:val="17"/>
        <w:snapToGrid w:val="0"/>
        <w:spacing w:line="440" w:lineRule="exact"/>
        <w:ind w:firstLine="482" w:firstLineChars="200"/>
        <w:rPr>
          <w:rFonts w:hAnsi="宋体" w:cs="宋体"/>
          <w:b/>
          <w:color w:val="000000" w:themeColor="text1"/>
          <w:sz w:val="24"/>
          <w:szCs w:val="24"/>
        </w:rPr>
      </w:pPr>
      <w:r>
        <w:rPr>
          <w:rFonts w:hint="eastAsia" w:hAnsi="宋体" w:cs="宋体"/>
          <w:b/>
          <w:color w:val="000000" w:themeColor="text1"/>
          <w:sz w:val="24"/>
          <w:szCs w:val="24"/>
        </w:rPr>
        <w:t>十、货款支付</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 付款方式：</w:t>
      </w:r>
      <w:r>
        <w:rPr>
          <w:rFonts w:hint="eastAsia" w:ascii="宋体" w:hAnsi="宋体" w:cs="宋体"/>
          <w:color w:val="000000" w:themeColor="text1"/>
          <w:sz w:val="24"/>
          <w:u w:val="single"/>
        </w:rPr>
        <w:t>招标范围内容全部完成并经安装调试、培训结束，验收合格后付总价的90%；余款一年后根据售后服务情况付总价的5%，质保期满后根据售后服务情况结清余款。</w:t>
      </w:r>
    </w:p>
    <w:p>
      <w:pPr>
        <w:snapToGrid w:val="0"/>
        <w:spacing w:line="440" w:lineRule="exact"/>
        <w:ind w:firstLine="482" w:firstLineChars="200"/>
        <w:rPr>
          <w:rFonts w:ascii="宋体" w:hAnsi="宋体" w:cs="宋体"/>
          <w:b/>
          <w:sz w:val="24"/>
        </w:rPr>
      </w:pPr>
      <w:r>
        <w:rPr>
          <w:rFonts w:hint="eastAsia" w:ascii="宋体" w:hAnsi="宋体" w:cs="宋体"/>
          <w:b/>
          <w:sz w:val="24"/>
        </w:rPr>
        <w:t>十一.税费</w:t>
      </w:r>
    </w:p>
    <w:p>
      <w:pPr>
        <w:snapToGrid w:val="0"/>
        <w:spacing w:line="440" w:lineRule="exact"/>
        <w:ind w:firstLine="480" w:firstLineChars="200"/>
        <w:rPr>
          <w:rFonts w:ascii="宋体" w:hAnsi="宋体" w:cs="宋体"/>
          <w:sz w:val="24"/>
        </w:rPr>
      </w:pPr>
      <w:r>
        <w:rPr>
          <w:rFonts w:hint="eastAsia" w:ascii="宋体" w:hAnsi="宋体" w:cs="宋体"/>
          <w:sz w:val="24"/>
        </w:rPr>
        <w:t>11.1本合同执行中相关的一切税费均由乙方负担。</w:t>
      </w:r>
    </w:p>
    <w:p>
      <w:pPr>
        <w:pStyle w:val="17"/>
        <w:snapToGrid w:val="0"/>
        <w:spacing w:line="440" w:lineRule="exact"/>
        <w:ind w:firstLine="482" w:firstLineChars="200"/>
        <w:rPr>
          <w:rFonts w:hAnsi="宋体" w:cs="宋体"/>
          <w:sz w:val="24"/>
          <w:szCs w:val="24"/>
        </w:rPr>
      </w:pPr>
      <w:r>
        <w:rPr>
          <w:rFonts w:hint="eastAsia" w:hAnsi="宋体" w:cs="宋体"/>
          <w:b/>
          <w:sz w:val="24"/>
          <w:szCs w:val="24"/>
        </w:rPr>
        <w:t>十二、质量保证及售后服务</w:t>
      </w:r>
    </w:p>
    <w:p>
      <w:pPr>
        <w:spacing w:line="440" w:lineRule="exact"/>
        <w:ind w:firstLine="480" w:firstLineChars="200"/>
        <w:rPr>
          <w:rFonts w:ascii="宋体" w:hAnsi="宋体" w:cs="宋体"/>
          <w:sz w:val="24"/>
        </w:rPr>
      </w:pPr>
      <w:r>
        <w:rPr>
          <w:rFonts w:hint="eastAsia" w:ascii="宋体" w:hAnsi="宋体" w:cs="宋体"/>
          <w:sz w:val="24"/>
        </w:rPr>
        <w:t>12.1 乙方应按招标文件规定的货物性能、技术要求、质量标准向甲方提供未经使用的全新产品</w:t>
      </w:r>
      <w:r>
        <w:rPr>
          <w:rFonts w:hint="eastAsia" w:ascii="宋体" w:hAnsi="宋体" w:cs="宋体"/>
          <w:bCs/>
          <w:sz w:val="24"/>
        </w:rPr>
        <w:t>和服务</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12.2 乙方提供的货物</w:t>
      </w:r>
      <w:r>
        <w:rPr>
          <w:rFonts w:hint="eastAsia" w:ascii="宋体" w:hAnsi="宋体" w:cs="宋体"/>
          <w:bCs/>
          <w:sz w:val="24"/>
        </w:rPr>
        <w:t>和服务</w:t>
      </w:r>
      <w:r>
        <w:rPr>
          <w:rFonts w:hint="eastAsia" w:ascii="宋体" w:hAnsi="宋体" w:cs="宋体"/>
          <w:sz w:val="24"/>
        </w:rPr>
        <w:t>在质量期内因本身的质量问题发生故障，乙方应负责免费更换。对达不到技术要求者，根据实际情况，经双方协商，可按以下办法处理：</w:t>
      </w:r>
    </w:p>
    <w:p>
      <w:pPr>
        <w:spacing w:line="440" w:lineRule="exact"/>
        <w:ind w:firstLine="480" w:firstLineChars="200"/>
        <w:rPr>
          <w:rFonts w:ascii="宋体" w:hAnsi="宋体" w:cs="宋体"/>
          <w:sz w:val="24"/>
        </w:rPr>
      </w:pPr>
      <w:r>
        <w:rPr>
          <w:rFonts w:hint="eastAsia" w:ascii="宋体" w:hAnsi="宋体" w:cs="宋体"/>
          <w:sz w:val="24"/>
        </w:rPr>
        <w:t>⑴更换：由乙方承担所发生的全部费用。</w:t>
      </w:r>
    </w:p>
    <w:p>
      <w:pPr>
        <w:spacing w:line="440" w:lineRule="exact"/>
        <w:ind w:firstLine="480" w:firstLineChars="200"/>
        <w:rPr>
          <w:rFonts w:ascii="宋体" w:hAnsi="宋体" w:cs="宋体"/>
          <w:sz w:val="24"/>
        </w:rPr>
      </w:pPr>
      <w:r>
        <w:rPr>
          <w:rFonts w:hint="eastAsia" w:ascii="宋体" w:hAnsi="宋体" w:cs="宋体"/>
          <w:sz w:val="24"/>
        </w:rPr>
        <w:t>⑵贬值处理：由甲乙双方合议定价。</w:t>
      </w:r>
    </w:p>
    <w:p>
      <w:pPr>
        <w:spacing w:line="440" w:lineRule="exact"/>
        <w:ind w:firstLine="480" w:firstLineChars="200"/>
        <w:rPr>
          <w:rFonts w:ascii="宋体" w:hAnsi="宋体" w:cs="宋体"/>
          <w:sz w:val="24"/>
        </w:rPr>
      </w:pPr>
      <w:r>
        <w:rPr>
          <w:rFonts w:hint="eastAsia" w:ascii="宋体" w:hAnsi="宋体" w:cs="宋体"/>
          <w:sz w:val="24"/>
        </w:rPr>
        <w:t>⑶退货处理：乙方应退还甲方支付的合同款，同时应承担该货物</w:t>
      </w:r>
      <w:r>
        <w:rPr>
          <w:rFonts w:hint="eastAsia" w:ascii="宋体" w:hAnsi="宋体" w:cs="宋体"/>
          <w:bCs/>
          <w:sz w:val="24"/>
        </w:rPr>
        <w:t>和服务</w:t>
      </w:r>
      <w:r>
        <w:rPr>
          <w:rFonts w:hint="eastAsia" w:ascii="宋体" w:hAnsi="宋体" w:cs="宋体"/>
          <w:sz w:val="24"/>
        </w:rPr>
        <w:t>的直接费用（运输、保险、检验、货款利息及银行手续费等）。</w:t>
      </w:r>
    </w:p>
    <w:p>
      <w:pPr>
        <w:snapToGrid w:val="0"/>
        <w:spacing w:line="440" w:lineRule="exact"/>
        <w:ind w:firstLine="480" w:firstLineChars="200"/>
        <w:rPr>
          <w:rFonts w:ascii="宋体" w:hAnsi="宋体" w:cs="宋体"/>
          <w:bCs/>
          <w:sz w:val="22"/>
        </w:rPr>
      </w:pPr>
      <w:r>
        <w:rPr>
          <w:rFonts w:hint="eastAsia" w:ascii="宋体" w:hAnsi="宋体" w:cs="宋体"/>
          <w:sz w:val="24"/>
        </w:rPr>
        <w:t>12.3 如在使用过程中发生质量问题，乙方在接到甲方通知后在6小时内到达甲方现场提供免费上门维修服务，12小时</w:t>
      </w:r>
      <w:r>
        <w:rPr>
          <w:rFonts w:ascii="宋体" w:hAnsi="宋体" w:cs="宋体"/>
          <w:sz w:val="24"/>
        </w:rPr>
        <w:t>内</w:t>
      </w:r>
      <w:r>
        <w:rPr>
          <w:rFonts w:hint="eastAsia" w:ascii="宋体" w:hAnsi="宋体" w:cs="宋体"/>
          <w:sz w:val="24"/>
        </w:rPr>
        <w:t>确保</w:t>
      </w:r>
      <w:r>
        <w:rPr>
          <w:rFonts w:ascii="宋体" w:hAnsi="宋体" w:cs="宋体"/>
          <w:sz w:val="24"/>
        </w:rPr>
        <w:t>系统正常运行</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12.4 在质保期内，乙方应对货物</w:t>
      </w:r>
      <w:r>
        <w:rPr>
          <w:rFonts w:hint="eastAsia" w:ascii="宋体" w:hAnsi="宋体" w:cs="宋体"/>
          <w:bCs/>
          <w:sz w:val="24"/>
        </w:rPr>
        <w:t>和服务</w:t>
      </w:r>
      <w:r>
        <w:rPr>
          <w:rFonts w:hint="eastAsia" w:ascii="宋体" w:hAnsi="宋体" w:cs="宋体"/>
          <w:sz w:val="24"/>
        </w:rPr>
        <w:t>出现的质量及安全问题负责处理解决并承担一切费用。</w:t>
      </w:r>
    </w:p>
    <w:p>
      <w:pPr>
        <w:spacing w:line="440" w:lineRule="exact"/>
        <w:ind w:firstLine="480" w:firstLineChars="200"/>
        <w:rPr>
          <w:rFonts w:ascii="宋体" w:hAnsi="宋体" w:cs="宋体"/>
          <w:sz w:val="24"/>
        </w:rPr>
      </w:pPr>
      <w:r>
        <w:rPr>
          <w:rFonts w:hint="eastAsia" w:ascii="宋体" w:hAnsi="宋体" w:cs="宋体"/>
          <w:sz w:val="24"/>
        </w:rPr>
        <w:t>12.5乙方须向甲方免费提供培训服务，确保</w:t>
      </w:r>
      <w:r>
        <w:rPr>
          <w:rFonts w:ascii="宋体" w:hAnsi="宋体" w:cs="宋体"/>
          <w:sz w:val="24"/>
        </w:rPr>
        <w:t>使用者完全</w:t>
      </w:r>
      <w:r>
        <w:rPr>
          <w:rFonts w:hint="eastAsia" w:ascii="宋体" w:hAnsi="宋体" w:cs="宋体"/>
          <w:sz w:val="24"/>
        </w:rPr>
        <w:t>会</w:t>
      </w:r>
      <w:r>
        <w:rPr>
          <w:rFonts w:ascii="宋体" w:hAnsi="宋体" w:cs="宋体"/>
          <w:sz w:val="24"/>
        </w:rPr>
        <w:t>使用及操作</w:t>
      </w:r>
      <w:r>
        <w:rPr>
          <w:rFonts w:hint="eastAsia" w:ascii="宋体" w:hAnsi="宋体" w:cs="宋体"/>
          <w:sz w:val="24"/>
        </w:rPr>
        <w:t>为止。</w:t>
      </w:r>
    </w:p>
    <w:p>
      <w:pPr>
        <w:spacing w:line="440" w:lineRule="exact"/>
        <w:ind w:firstLine="480" w:firstLineChars="200"/>
        <w:rPr>
          <w:rFonts w:ascii="宋体" w:hAnsi="宋体" w:cs="宋体"/>
          <w:sz w:val="24"/>
        </w:rPr>
      </w:pPr>
      <w:r>
        <w:rPr>
          <w:rFonts w:hint="eastAsia" w:ascii="宋体" w:hAnsi="宋体" w:cs="宋体"/>
          <w:sz w:val="24"/>
        </w:rPr>
        <w:t>12.6</w:t>
      </w:r>
      <w:r>
        <w:rPr>
          <w:rFonts w:ascii="宋体" w:hAnsi="宋体" w:cs="宋体"/>
          <w:sz w:val="24"/>
        </w:rPr>
        <w:t>质保期</w:t>
      </w:r>
      <w:r>
        <w:rPr>
          <w:rFonts w:hint="eastAsia" w:ascii="宋体" w:hAnsi="宋体" w:cs="宋体"/>
          <w:sz w:val="24"/>
        </w:rPr>
        <w:t>内</w:t>
      </w:r>
      <w:r>
        <w:rPr>
          <w:rFonts w:ascii="宋体" w:hAnsi="宋体" w:cs="宋体"/>
          <w:sz w:val="24"/>
        </w:rPr>
        <w:t>，</w:t>
      </w:r>
      <w:r>
        <w:rPr>
          <w:rFonts w:hint="eastAsia" w:ascii="宋体" w:hAnsi="宋体" w:cs="宋体"/>
          <w:sz w:val="24"/>
        </w:rPr>
        <w:t>乙方</w:t>
      </w:r>
      <w:r>
        <w:rPr>
          <w:rFonts w:ascii="宋体" w:hAnsi="宋体" w:cs="宋体"/>
          <w:sz w:val="24"/>
        </w:rPr>
        <w:t>免费提供系统升级服务</w:t>
      </w:r>
      <w:r>
        <w:rPr>
          <w:rFonts w:hint="eastAsia" w:ascii="宋体" w:hAnsi="宋体" w:cs="宋体"/>
          <w:sz w:val="24"/>
        </w:rPr>
        <w:t>。</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十三、调试和验收</w:t>
      </w:r>
    </w:p>
    <w:p>
      <w:pPr>
        <w:spacing w:line="440" w:lineRule="exact"/>
        <w:ind w:firstLine="480" w:firstLineChars="200"/>
        <w:rPr>
          <w:rFonts w:ascii="宋体" w:hAnsi="宋体" w:cs="宋体"/>
          <w:sz w:val="24"/>
        </w:rPr>
      </w:pPr>
      <w:r>
        <w:rPr>
          <w:rFonts w:hint="eastAsia" w:ascii="宋体" w:hAnsi="宋体" w:cs="宋体"/>
          <w:sz w:val="24"/>
        </w:rPr>
        <w:t>13.1 甲方对乙方提交的货物</w:t>
      </w:r>
      <w:r>
        <w:rPr>
          <w:rFonts w:hint="eastAsia" w:ascii="宋体" w:hAnsi="宋体" w:cs="宋体"/>
          <w:bCs/>
          <w:sz w:val="24"/>
        </w:rPr>
        <w:t>和服务</w:t>
      </w:r>
      <w:r>
        <w:rPr>
          <w:rFonts w:hint="eastAsia" w:ascii="宋体" w:hAnsi="宋体" w:cs="宋体"/>
          <w:sz w:val="24"/>
        </w:rPr>
        <w:t>依据招标文件上的技术规格要求和国家有关质量标准进行现场初步验收，外观、说明书符合招标文件技术要求的，给予签收，初步验收不合格的不予签收。交付后，甲方需在五个工作日内验收。</w:t>
      </w:r>
    </w:p>
    <w:p>
      <w:pPr>
        <w:spacing w:line="440" w:lineRule="exact"/>
        <w:ind w:firstLine="480" w:firstLineChars="200"/>
        <w:rPr>
          <w:rFonts w:ascii="宋体" w:hAnsi="宋体" w:cs="宋体"/>
          <w:sz w:val="24"/>
        </w:rPr>
      </w:pPr>
      <w:r>
        <w:rPr>
          <w:rFonts w:hint="eastAsia" w:ascii="宋体" w:hAnsi="宋体" w:cs="宋体"/>
          <w:sz w:val="24"/>
        </w:rPr>
        <w:t>13.2 乙方交付前应对产品作出全面检查和对验收文件进行整理，并列出清单，作为甲方验收和使用的技术条件依据，检验的结果应一并交甲方。</w:t>
      </w:r>
    </w:p>
    <w:p>
      <w:pPr>
        <w:spacing w:line="440" w:lineRule="exact"/>
        <w:ind w:firstLine="480" w:firstLineChars="200"/>
        <w:rPr>
          <w:rFonts w:ascii="宋体" w:hAnsi="宋体" w:cs="宋体"/>
          <w:sz w:val="24"/>
        </w:rPr>
      </w:pPr>
      <w:r>
        <w:rPr>
          <w:rFonts w:hint="eastAsia" w:ascii="宋体" w:hAnsi="宋体" w:cs="宋体"/>
          <w:sz w:val="24"/>
        </w:rPr>
        <w:t>13.3 甲方对乙方提供的货物</w:t>
      </w:r>
      <w:r>
        <w:rPr>
          <w:rFonts w:hint="eastAsia" w:ascii="宋体" w:hAnsi="宋体" w:cs="宋体"/>
          <w:bCs/>
          <w:sz w:val="24"/>
        </w:rPr>
        <w:t>和服务</w:t>
      </w:r>
      <w:r>
        <w:rPr>
          <w:rFonts w:hint="eastAsia" w:ascii="宋体" w:hAnsi="宋体" w:cs="宋体"/>
          <w:sz w:val="24"/>
        </w:rPr>
        <w:t>在使用前进行调试时，乙方需负责安装并培训甲方的使用操作人员，并协助甲方一起调试，直到符合技术要求，甲方才做最终验收。</w:t>
      </w:r>
    </w:p>
    <w:p>
      <w:pPr>
        <w:spacing w:line="440" w:lineRule="exact"/>
        <w:ind w:firstLine="480" w:firstLineChars="200"/>
        <w:rPr>
          <w:rFonts w:ascii="宋体" w:hAnsi="宋体" w:cs="宋体"/>
          <w:sz w:val="24"/>
        </w:rPr>
      </w:pPr>
      <w:r>
        <w:rPr>
          <w:rFonts w:hint="eastAsia" w:ascii="宋体" w:hAnsi="宋体" w:cs="宋体"/>
          <w:sz w:val="24"/>
        </w:rPr>
        <w:t>13.4 对技术复杂的货物</w:t>
      </w:r>
      <w:r>
        <w:rPr>
          <w:rFonts w:hint="eastAsia" w:ascii="宋体" w:hAnsi="宋体" w:cs="宋体"/>
          <w:bCs/>
          <w:sz w:val="24"/>
        </w:rPr>
        <w:t>和服务</w:t>
      </w:r>
      <w:r>
        <w:rPr>
          <w:rFonts w:hint="eastAsia" w:ascii="宋体" w:hAnsi="宋体" w:cs="宋体"/>
          <w:sz w:val="24"/>
        </w:rPr>
        <w:t>，甲方可请国家认可的专业检测机构参与初步验收及最终验收，并由其出具质量检测报告。</w:t>
      </w:r>
    </w:p>
    <w:p>
      <w:pPr>
        <w:spacing w:line="44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验收时乙方必须在现场，验收完毕后作出验收结果报告；验收费用由甲乙双方协商解决。</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十四、货物包装、发运及运输</w:t>
      </w:r>
    </w:p>
    <w:p>
      <w:pPr>
        <w:spacing w:line="440" w:lineRule="exact"/>
        <w:ind w:firstLine="480" w:firstLineChars="200"/>
        <w:rPr>
          <w:rFonts w:ascii="宋体" w:hAnsi="宋体" w:cs="宋体"/>
          <w:sz w:val="24"/>
        </w:rPr>
      </w:pPr>
      <w:r>
        <w:rPr>
          <w:rFonts w:hint="eastAsia" w:ascii="宋体" w:hAnsi="宋体" w:cs="宋体"/>
          <w:sz w:val="24"/>
        </w:rPr>
        <w:t>14.1 乙方应在货物发运前对其进行满足运输距离、防潮、防震、防锈和防破损装卸等要求包装，以保证货物安全运达甲方指定地点。</w:t>
      </w:r>
    </w:p>
    <w:p>
      <w:pPr>
        <w:spacing w:line="440" w:lineRule="exact"/>
        <w:ind w:firstLine="480" w:firstLineChars="200"/>
        <w:rPr>
          <w:rFonts w:ascii="宋体" w:hAnsi="宋体" w:cs="宋体"/>
          <w:sz w:val="24"/>
        </w:rPr>
      </w:pPr>
      <w:r>
        <w:rPr>
          <w:rFonts w:hint="eastAsia" w:ascii="宋体" w:hAnsi="宋体" w:cs="宋体"/>
          <w:sz w:val="24"/>
        </w:rPr>
        <w:t>14.2 使用说明书、质量检验证明书、随配附件和工具以及清单一并附于货物内。</w:t>
      </w:r>
    </w:p>
    <w:p>
      <w:pPr>
        <w:spacing w:line="440" w:lineRule="exact"/>
        <w:ind w:firstLine="480" w:firstLineChars="200"/>
        <w:rPr>
          <w:rFonts w:ascii="宋体" w:hAnsi="宋体" w:cs="宋体"/>
          <w:sz w:val="24"/>
        </w:rPr>
      </w:pPr>
      <w:r>
        <w:rPr>
          <w:rFonts w:hint="eastAsia" w:ascii="宋体" w:hAnsi="宋体" w:cs="宋体"/>
          <w:sz w:val="24"/>
        </w:rPr>
        <w:t>14.3 乙方在货物发运手续办理完毕后24小时内或货到甲方48小时前通知甲方，以准备接货。</w:t>
      </w:r>
    </w:p>
    <w:p>
      <w:pPr>
        <w:spacing w:line="440" w:lineRule="exact"/>
        <w:ind w:firstLine="480" w:firstLineChars="200"/>
        <w:rPr>
          <w:rFonts w:ascii="宋体" w:hAnsi="宋体" w:cs="宋体"/>
          <w:sz w:val="24"/>
        </w:rPr>
      </w:pPr>
      <w:r>
        <w:rPr>
          <w:rFonts w:hint="eastAsia" w:ascii="宋体" w:hAnsi="宋体" w:cs="宋体"/>
          <w:sz w:val="24"/>
        </w:rPr>
        <w:t>14.4 货物</w:t>
      </w:r>
      <w:r>
        <w:rPr>
          <w:rFonts w:hint="eastAsia" w:ascii="宋体" w:hAnsi="宋体" w:cs="宋体"/>
          <w:bCs/>
          <w:sz w:val="24"/>
        </w:rPr>
        <w:t>和服务</w:t>
      </w:r>
      <w:r>
        <w:rPr>
          <w:rFonts w:hint="eastAsia" w:ascii="宋体" w:hAnsi="宋体" w:cs="宋体"/>
          <w:sz w:val="24"/>
        </w:rPr>
        <w:t>在交付甲方前发生的风险均由乙方负责。</w:t>
      </w:r>
    </w:p>
    <w:p>
      <w:pPr>
        <w:spacing w:line="440" w:lineRule="exact"/>
        <w:ind w:firstLine="480" w:firstLineChars="200"/>
        <w:rPr>
          <w:rFonts w:ascii="宋体" w:hAnsi="宋体" w:cs="宋体"/>
          <w:sz w:val="24"/>
        </w:rPr>
      </w:pPr>
      <w:r>
        <w:rPr>
          <w:rFonts w:hint="eastAsia" w:ascii="宋体" w:hAnsi="宋体" w:cs="宋体"/>
          <w:sz w:val="24"/>
        </w:rPr>
        <w:t>14.5 货物在规定的交付期限内由乙方送达甲方指定的地点视为交付，乙方同时需通知甲方货物已送达。</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十五、违约责任</w:t>
      </w:r>
    </w:p>
    <w:p>
      <w:pPr>
        <w:spacing w:line="440" w:lineRule="exact"/>
        <w:ind w:firstLine="480" w:firstLineChars="200"/>
        <w:rPr>
          <w:rFonts w:ascii="宋体" w:hAnsi="宋体" w:cs="宋体"/>
          <w:sz w:val="24"/>
        </w:rPr>
      </w:pPr>
      <w:r>
        <w:rPr>
          <w:rFonts w:hint="eastAsia" w:ascii="宋体" w:hAnsi="宋体" w:cs="宋体"/>
          <w:sz w:val="24"/>
        </w:rPr>
        <w:t>15.1 甲方无正当理由拒收货物</w:t>
      </w:r>
      <w:r>
        <w:rPr>
          <w:rFonts w:hint="eastAsia" w:ascii="宋体" w:hAnsi="宋体" w:cs="宋体"/>
          <w:bCs/>
          <w:sz w:val="24"/>
        </w:rPr>
        <w:t>和服务</w:t>
      </w:r>
      <w:r>
        <w:rPr>
          <w:rFonts w:hint="eastAsia" w:ascii="宋体" w:hAnsi="宋体" w:cs="宋体"/>
          <w:sz w:val="24"/>
        </w:rPr>
        <w:t>的，甲方向乙方偿付拒收货款总值的百分之五违约金。</w:t>
      </w:r>
    </w:p>
    <w:p>
      <w:pPr>
        <w:spacing w:line="440" w:lineRule="exact"/>
        <w:ind w:firstLine="480" w:firstLineChars="200"/>
        <w:rPr>
          <w:rFonts w:ascii="宋体" w:hAnsi="宋体" w:cs="宋体"/>
          <w:sz w:val="24"/>
        </w:rPr>
      </w:pPr>
      <w:r>
        <w:rPr>
          <w:rFonts w:hint="eastAsia" w:ascii="宋体" w:hAnsi="宋体" w:cs="宋体"/>
          <w:sz w:val="24"/>
        </w:rPr>
        <w:t>15.2 甲方无故逾期验收和办理合同款支付手续的,甲方应按逾期付款总额每日万分之五向乙方支付违约金。</w:t>
      </w:r>
    </w:p>
    <w:p>
      <w:pPr>
        <w:spacing w:line="440" w:lineRule="exact"/>
        <w:ind w:firstLine="480" w:firstLineChars="200"/>
        <w:rPr>
          <w:rFonts w:ascii="宋体" w:hAnsi="宋体" w:cs="宋体"/>
          <w:sz w:val="24"/>
        </w:rPr>
      </w:pPr>
      <w:r>
        <w:rPr>
          <w:rFonts w:hint="eastAsia" w:ascii="宋体" w:hAnsi="宋体" w:cs="宋体"/>
          <w:sz w:val="24"/>
        </w:rPr>
        <w:t>15.3 乙方逾期交付货物</w:t>
      </w:r>
      <w:r>
        <w:rPr>
          <w:rFonts w:hint="eastAsia" w:ascii="宋体" w:hAnsi="宋体" w:cs="宋体"/>
          <w:bCs/>
          <w:sz w:val="24"/>
        </w:rPr>
        <w:t>和服务</w:t>
      </w:r>
      <w:r>
        <w:rPr>
          <w:rFonts w:hint="eastAsia" w:ascii="宋体" w:hAnsi="宋体" w:cs="宋体"/>
          <w:sz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ind w:firstLine="480" w:firstLineChars="200"/>
        <w:rPr>
          <w:rFonts w:ascii="宋体" w:hAnsi="宋体" w:cs="宋体"/>
          <w:sz w:val="24"/>
        </w:rPr>
      </w:pPr>
      <w:r>
        <w:rPr>
          <w:rFonts w:hint="eastAsia" w:ascii="宋体" w:hAnsi="宋体" w:cs="宋体"/>
          <w:sz w:val="24"/>
        </w:rPr>
        <w:t>15.4 乙方所交的货物</w:t>
      </w:r>
      <w:r>
        <w:rPr>
          <w:rFonts w:hint="eastAsia" w:ascii="宋体" w:hAnsi="宋体" w:cs="宋体"/>
          <w:bCs/>
          <w:sz w:val="24"/>
        </w:rPr>
        <w:t>和服务</w:t>
      </w:r>
      <w:r>
        <w:rPr>
          <w:rFonts w:hint="eastAsia" w:ascii="宋体" w:hAnsi="宋体" w:cs="宋体"/>
          <w:sz w:val="24"/>
        </w:rPr>
        <w:t>品种、型号、规格、技术参数、质量不符合合同规定及招标文件规定标准的，甲方有权拒收该货物</w:t>
      </w:r>
      <w:r>
        <w:rPr>
          <w:rFonts w:hint="eastAsia" w:ascii="宋体" w:hAnsi="宋体" w:cs="宋体"/>
          <w:bCs/>
          <w:sz w:val="24"/>
        </w:rPr>
        <w:t>和服务</w:t>
      </w:r>
      <w:r>
        <w:rPr>
          <w:rFonts w:hint="eastAsia" w:ascii="宋体" w:hAnsi="宋体" w:cs="宋体"/>
          <w:sz w:val="24"/>
        </w:rPr>
        <w:t>，乙方愿意更换货物但逾期交货的，按乙方逾期交货处理。乙方拒绝更换货物</w:t>
      </w:r>
      <w:r>
        <w:rPr>
          <w:rFonts w:hint="eastAsia" w:ascii="宋体" w:hAnsi="宋体" w:cs="宋体"/>
          <w:bCs/>
          <w:sz w:val="24"/>
        </w:rPr>
        <w:t>和服务</w:t>
      </w:r>
      <w:r>
        <w:rPr>
          <w:rFonts w:hint="eastAsia" w:ascii="宋体" w:hAnsi="宋体" w:cs="宋体"/>
          <w:sz w:val="24"/>
        </w:rPr>
        <w:t>的，甲方可单方面解除合同。</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十六、不可抗力事件处理</w:t>
      </w:r>
    </w:p>
    <w:p>
      <w:pPr>
        <w:spacing w:line="440" w:lineRule="exact"/>
        <w:ind w:firstLine="480" w:firstLineChars="200"/>
        <w:rPr>
          <w:rFonts w:ascii="宋体" w:hAnsi="宋体" w:cs="宋体"/>
          <w:sz w:val="24"/>
        </w:rPr>
      </w:pPr>
      <w:r>
        <w:rPr>
          <w:rFonts w:hint="eastAsia" w:ascii="宋体" w:hAnsi="宋体" w:cs="宋体"/>
          <w:sz w:val="24"/>
        </w:rPr>
        <w:t>16.1 在合同有效期内，任何一方因不可抗力事件导致不能履行合同，则合同履行期可延长，其延长期与不可抗力影响期相同。</w:t>
      </w:r>
    </w:p>
    <w:p>
      <w:pPr>
        <w:spacing w:line="440" w:lineRule="exact"/>
        <w:ind w:firstLine="480" w:firstLineChars="200"/>
        <w:rPr>
          <w:rFonts w:ascii="宋体" w:hAnsi="宋体" w:cs="宋体"/>
          <w:sz w:val="24"/>
        </w:rPr>
      </w:pPr>
      <w:r>
        <w:rPr>
          <w:rFonts w:hint="eastAsia" w:ascii="宋体" w:hAnsi="宋体" w:cs="宋体"/>
          <w:sz w:val="24"/>
        </w:rPr>
        <w:t>16.2 不可抗力事件发生后，应立即通知对方，并寄送有关权威机构出具的证明。</w:t>
      </w:r>
    </w:p>
    <w:p>
      <w:pPr>
        <w:spacing w:line="440" w:lineRule="exact"/>
        <w:ind w:firstLine="480" w:firstLineChars="200"/>
        <w:rPr>
          <w:rFonts w:ascii="宋体" w:hAnsi="宋体" w:cs="宋体"/>
          <w:sz w:val="24"/>
        </w:rPr>
      </w:pPr>
      <w:r>
        <w:rPr>
          <w:rFonts w:hint="eastAsia" w:ascii="宋体" w:hAnsi="宋体" w:cs="宋体"/>
          <w:sz w:val="24"/>
        </w:rPr>
        <w:t>16.3 不可抗力事件延续120天以上，双方应通过友好协商，确定是否继续履行合同。</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十七、诉讼</w:t>
      </w:r>
    </w:p>
    <w:p>
      <w:pPr>
        <w:spacing w:line="440" w:lineRule="exact"/>
        <w:ind w:firstLine="480" w:firstLineChars="200"/>
        <w:rPr>
          <w:rFonts w:ascii="宋体" w:hAnsi="宋体" w:cs="宋体"/>
          <w:sz w:val="24"/>
        </w:rPr>
      </w:pPr>
      <w:r>
        <w:rPr>
          <w:rFonts w:hint="eastAsia" w:ascii="宋体" w:hAnsi="宋体" w:cs="宋体"/>
          <w:sz w:val="24"/>
        </w:rPr>
        <w:t>17.1 双方在执行合同中所发生的一切争议，应通过协商解决。如协商不成，可向合同签订地法院起诉，合同签订地在此约定为盐城市。</w:t>
      </w:r>
    </w:p>
    <w:p>
      <w:pPr>
        <w:pStyle w:val="17"/>
        <w:snapToGrid w:val="0"/>
        <w:spacing w:line="440" w:lineRule="exact"/>
        <w:ind w:firstLine="482" w:firstLineChars="200"/>
        <w:rPr>
          <w:rFonts w:hAnsi="宋体" w:cs="宋体"/>
          <w:b/>
          <w:sz w:val="24"/>
          <w:szCs w:val="24"/>
        </w:rPr>
      </w:pPr>
      <w:r>
        <w:rPr>
          <w:rFonts w:hint="eastAsia" w:hAnsi="宋体" w:cs="宋体"/>
          <w:b/>
          <w:sz w:val="24"/>
          <w:szCs w:val="24"/>
        </w:rPr>
        <w:t>十八、合同生效及其它</w:t>
      </w:r>
    </w:p>
    <w:p>
      <w:pPr>
        <w:spacing w:line="440" w:lineRule="exact"/>
        <w:ind w:firstLine="480" w:firstLineChars="200"/>
        <w:rPr>
          <w:rFonts w:ascii="宋体" w:hAnsi="宋体" w:cs="宋体"/>
          <w:sz w:val="24"/>
        </w:rPr>
      </w:pPr>
      <w:r>
        <w:rPr>
          <w:rFonts w:hint="eastAsia" w:ascii="宋体" w:hAnsi="宋体" w:cs="宋体"/>
          <w:sz w:val="24"/>
        </w:rPr>
        <w:t>18.1 合同经双方法定代表人或授权委托代表人签字并加盖单位公章后生效。</w:t>
      </w:r>
    </w:p>
    <w:p>
      <w:pPr>
        <w:spacing w:line="440" w:lineRule="exact"/>
        <w:ind w:firstLine="480" w:firstLineChars="200"/>
        <w:rPr>
          <w:rFonts w:ascii="宋体" w:hAnsi="宋体" w:cs="宋体"/>
          <w:sz w:val="24"/>
        </w:rPr>
      </w:pPr>
      <w:r>
        <w:rPr>
          <w:rFonts w:hint="eastAsia" w:ascii="宋体" w:hAnsi="宋体" w:cs="宋体"/>
          <w:sz w:val="24"/>
        </w:rPr>
        <w:t>18.2本合同未尽事宜，遵照《合同法》有关条文执行。</w:t>
      </w:r>
    </w:p>
    <w:p>
      <w:pPr>
        <w:spacing w:line="440" w:lineRule="exact"/>
        <w:ind w:firstLine="480" w:firstLineChars="200"/>
        <w:rPr>
          <w:rFonts w:ascii="宋体" w:hAnsi="宋体" w:cs="宋体"/>
          <w:sz w:val="24"/>
        </w:rPr>
      </w:pPr>
      <w:r>
        <w:rPr>
          <w:rFonts w:hint="eastAsia" w:ascii="宋体" w:hAnsi="宋体" w:cs="宋体"/>
          <w:sz w:val="24"/>
        </w:rPr>
        <w:t>18.3 本合同正本一式二份，副本一式六份，具有同等法律效力。</w:t>
      </w:r>
    </w:p>
    <w:p>
      <w:pPr>
        <w:pStyle w:val="17"/>
        <w:snapToGrid w:val="0"/>
        <w:spacing w:line="440" w:lineRule="exact"/>
        <w:ind w:firstLine="480" w:firstLineChars="200"/>
        <w:rPr>
          <w:rFonts w:hAnsi="宋体" w:cs="宋体"/>
          <w:sz w:val="24"/>
          <w:szCs w:val="24"/>
        </w:rPr>
      </w:pPr>
    </w:p>
    <w:p>
      <w:pPr>
        <w:pStyle w:val="17"/>
        <w:snapToGrid w:val="0"/>
        <w:spacing w:line="440" w:lineRule="exact"/>
        <w:ind w:firstLine="720" w:firstLineChars="300"/>
        <w:rPr>
          <w:rFonts w:hAnsi="宋体" w:cs="宋体"/>
          <w:sz w:val="24"/>
          <w:szCs w:val="24"/>
        </w:rPr>
      </w:pPr>
      <w:r>
        <w:rPr>
          <w:rFonts w:hint="eastAsia" w:hAnsi="宋体" w:cs="宋体"/>
          <w:sz w:val="24"/>
          <w:szCs w:val="24"/>
        </w:rPr>
        <w:t xml:space="preserve">甲方：                                   乙方： </w:t>
      </w:r>
    </w:p>
    <w:p>
      <w:pPr>
        <w:pStyle w:val="17"/>
        <w:snapToGrid w:val="0"/>
        <w:spacing w:line="440" w:lineRule="exact"/>
        <w:ind w:firstLine="480" w:firstLineChars="200"/>
        <w:rPr>
          <w:rFonts w:hAnsi="宋体" w:cs="宋体"/>
          <w:sz w:val="24"/>
          <w:szCs w:val="24"/>
        </w:rPr>
      </w:pPr>
      <w:r>
        <w:rPr>
          <w:rFonts w:hint="eastAsia" w:hAnsi="宋体" w:cs="宋体"/>
          <w:sz w:val="24"/>
          <w:szCs w:val="24"/>
        </w:rPr>
        <w:t xml:space="preserve">  地址：                                   地址： </w:t>
      </w:r>
    </w:p>
    <w:p>
      <w:pPr>
        <w:pStyle w:val="17"/>
        <w:snapToGrid w:val="0"/>
        <w:spacing w:line="440" w:lineRule="exact"/>
        <w:ind w:firstLine="480" w:firstLineChars="200"/>
        <w:rPr>
          <w:rFonts w:hAnsi="宋体" w:cs="宋体"/>
          <w:sz w:val="24"/>
          <w:szCs w:val="24"/>
        </w:rPr>
      </w:pPr>
      <w:r>
        <w:rPr>
          <w:rFonts w:hint="eastAsia" w:hAnsi="宋体" w:cs="宋体"/>
          <w:sz w:val="24"/>
          <w:szCs w:val="24"/>
        </w:rPr>
        <w:t xml:space="preserve">  法定代表人或授权代表：                   法定代表人或授权代表：</w:t>
      </w:r>
    </w:p>
    <w:p>
      <w:pPr>
        <w:pStyle w:val="17"/>
        <w:snapToGrid w:val="0"/>
        <w:spacing w:line="440" w:lineRule="exact"/>
        <w:ind w:firstLine="480" w:firstLineChars="200"/>
        <w:rPr>
          <w:rFonts w:hAnsi="宋体" w:cs="宋体"/>
          <w:sz w:val="24"/>
          <w:szCs w:val="24"/>
        </w:rPr>
      </w:pPr>
      <w:r>
        <w:rPr>
          <w:rFonts w:hint="eastAsia" w:hAnsi="宋体" w:cs="宋体"/>
          <w:sz w:val="24"/>
          <w:szCs w:val="24"/>
        </w:rPr>
        <w:t xml:space="preserve">  采购单位负责人：</w:t>
      </w:r>
    </w:p>
    <w:p>
      <w:pPr>
        <w:pStyle w:val="17"/>
        <w:snapToGrid w:val="0"/>
        <w:spacing w:line="440" w:lineRule="exact"/>
        <w:ind w:firstLine="480" w:firstLineChars="200"/>
        <w:rPr>
          <w:rFonts w:hAnsi="宋体" w:cs="宋体"/>
          <w:sz w:val="24"/>
          <w:szCs w:val="24"/>
        </w:rPr>
      </w:pPr>
      <w:r>
        <w:rPr>
          <w:rFonts w:hint="eastAsia" w:hAnsi="宋体" w:cs="宋体"/>
          <w:sz w:val="24"/>
          <w:szCs w:val="24"/>
        </w:rPr>
        <w:t xml:space="preserve">  联系电话：                               联系电话：</w:t>
      </w:r>
    </w:p>
    <w:p>
      <w:pPr>
        <w:pStyle w:val="17"/>
        <w:snapToGrid w:val="0"/>
        <w:spacing w:before="120" w:after="120" w:line="440" w:lineRule="exact"/>
        <w:rPr>
          <w:rFonts w:hAnsi="宋体" w:cs="宋体"/>
          <w:sz w:val="24"/>
          <w:szCs w:val="24"/>
        </w:rPr>
      </w:pPr>
      <w:r>
        <w:rPr>
          <w:rFonts w:hint="eastAsia" w:hAnsi="宋体" w:cs="宋体"/>
          <w:sz w:val="24"/>
          <w:szCs w:val="24"/>
        </w:rPr>
        <w:t xml:space="preserve">  签订日期：      年  月  日</w:t>
      </w:r>
    </w:p>
    <w:p>
      <w:pPr>
        <w:pStyle w:val="4"/>
      </w:pPr>
    </w:p>
    <w:p>
      <w:pPr>
        <w:pStyle w:val="3"/>
        <w:spacing w:line="360" w:lineRule="auto"/>
        <w:ind w:firstLine="3300" w:firstLineChars="75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第四章项目需求</w:t>
      </w:r>
      <w:bookmarkStart w:id="76" w:name="_Toc23828480"/>
      <w:bookmarkStart w:id="77" w:name="_Toc26554097"/>
      <w:bookmarkStart w:id="78" w:name="_Toc61149622"/>
    </w:p>
    <w:p>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一、供货周期：自中标通知书发出之日起180日历天</w:t>
      </w:r>
    </w:p>
    <w:p>
      <w:pPr>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 xml:space="preserve">二、计划开始供货日期：合同签订后一个月内，开发并提供一款织机的模拟软件，双方协同改进后，于供货周期结束开发并提供其余机器模拟软件。 </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三、质量标准：国家合格标准同时满足采购文件要求</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四、投标报价统一采用人民币作为计量单位，并且精确到元、角、分(精确到小数点后二位数)。</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五、技术参数</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本模拟系统用于教学，能模拟采购方合作企业（悦达纺织集团）的如下纺织设备的触摸屏操作界面，能输入输出工艺参数，能完成触摸屏界面连同对应按钮的仿真操作：</w:t>
      </w:r>
    </w:p>
    <w:p>
      <w:pPr>
        <w:snapToGrid w:val="0"/>
        <w:spacing w:line="360" w:lineRule="auto"/>
        <w:ind w:firstLine="480" w:firstLineChars="200"/>
        <w:rPr>
          <w:rFonts w:cs="宋体"/>
          <w:bCs/>
          <w:color w:val="000000" w:themeColor="text1"/>
          <w:sz w:val="24"/>
        </w:rPr>
      </w:pPr>
      <w:r>
        <w:rPr>
          <w:rFonts w:hint="eastAsia" w:cs="宋体"/>
          <w:bCs/>
          <w:color w:val="000000" w:themeColor="text1"/>
          <w:sz w:val="24"/>
        </w:rPr>
        <w:t>1.</w:t>
      </w:r>
      <w:r>
        <w:rPr>
          <w:rFonts w:hint="eastAsia" w:hAnsi="宋体" w:cs="宋体"/>
          <w:bCs/>
          <w:color w:val="000000" w:themeColor="text1"/>
          <w:sz w:val="24"/>
        </w:rPr>
        <w:t>剑杆织机（SOMET ALPHA）；</w:t>
      </w:r>
    </w:p>
    <w:p>
      <w:pPr>
        <w:snapToGrid w:val="0"/>
        <w:spacing w:line="360" w:lineRule="auto"/>
        <w:ind w:firstLine="480" w:firstLineChars="200"/>
        <w:rPr>
          <w:rFonts w:cs="宋体"/>
          <w:bCs/>
          <w:color w:val="000000" w:themeColor="text1"/>
          <w:sz w:val="24"/>
        </w:rPr>
      </w:pPr>
      <w:r>
        <w:rPr>
          <w:rFonts w:hint="eastAsia" w:cs="宋体"/>
          <w:bCs/>
          <w:color w:val="000000" w:themeColor="text1"/>
          <w:sz w:val="24"/>
        </w:rPr>
        <w:t>2.</w:t>
      </w:r>
      <w:r>
        <w:rPr>
          <w:rFonts w:hint="eastAsia" w:hAnsi="宋体" w:cs="宋体"/>
          <w:bCs/>
          <w:color w:val="000000" w:themeColor="text1"/>
          <w:sz w:val="24"/>
        </w:rPr>
        <w:t>喷气织机（</w:t>
      </w:r>
      <w:r>
        <w:rPr>
          <w:rFonts w:hAnsi="宋体" w:cs="宋体"/>
          <w:bCs/>
          <w:color w:val="000000" w:themeColor="text1"/>
          <w:sz w:val="24"/>
        </w:rPr>
        <w:t>TSUDAKOMA</w:t>
      </w:r>
      <w:r>
        <w:rPr>
          <w:rFonts w:hint="eastAsia" w:cs="宋体"/>
          <w:bCs/>
          <w:color w:val="000000" w:themeColor="text1"/>
          <w:sz w:val="24"/>
        </w:rPr>
        <w:t>ZAX9100</w:t>
      </w:r>
      <w:r>
        <w:rPr>
          <w:rFonts w:hint="eastAsia" w:hAnsi="宋体" w:cs="宋体"/>
          <w:bCs/>
          <w:color w:val="000000" w:themeColor="text1"/>
          <w:sz w:val="24"/>
        </w:rPr>
        <w:t>）；</w:t>
      </w:r>
    </w:p>
    <w:p>
      <w:pPr>
        <w:snapToGrid w:val="0"/>
        <w:spacing w:line="360" w:lineRule="auto"/>
        <w:ind w:firstLine="480" w:firstLineChars="200"/>
        <w:rPr>
          <w:rFonts w:cs="宋体"/>
          <w:bCs/>
          <w:color w:val="000000" w:themeColor="text1"/>
          <w:sz w:val="24"/>
        </w:rPr>
      </w:pPr>
      <w:r>
        <w:rPr>
          <w:rFonts w:hint="eastAsia" w:cs="宋体"/>
          <w:bCs/>
          <w:color w:val="000000" w:themeColor="text1"/>
          <w:sz w:val="24"/>
        </w:rPr>
        <w:t>3.</w:t>
      </w:r>
      <w:r>
        <w:rPr>
          <w:rFonts w:hint="eastAsia" w:hAnsi="宋体" w:cs="宋体"/>
          <w:bCs/>
          <w:color w:val="000000" w:themeColor="text1"/>
          <w:sz w:val="24"/>
        </w:rPr>
        <w:t>自动络筒机（</w:t>
      </w:r>
      <w:r>
        <w:rPr>
          <w:rFonts w:hAnsi="宋体" w:cs="宋体"/>
          <w:bCs/>
          <w:color w:val="000000" w:themeColor="text1"/>
          <w:sz w:val="24"/>
        </w:rPr>
        <w:t>MURATEC NO.21c</w:t>
      </w:r>
      <w:r>
        <w:rPr>
          <w:rFonts w:hint="eastAsia" w:hAnsi="宋体" w:cs="宋体"/>
          <w:bCs/>
          <w:color w:val="000000" w:themeColor="text1"/>
          <w:sz w:val="24"/>
        </w:rPr>
        <w:t>）；</w:t>
      </w:r>
    </w:p>
    <w:p>
      <w:pPr>
        <w:snapToGrid w:val="0"/>
        <w:spacing w:line="360" w:lineRule="auto"/>
        <w:ind w:firstLine="480" w:firstLineChars="200"/>
        <w:rPr>
          <w:rFonts w:cs="宋体"/>
          <w:bCs/>
          <w:color w:val="000000" w:themeColor="text1"/>
          <w:sz w:val="24"/>
        </w:rPr>
      </w:pPr>
      <w:r>
        <w:rPr>
          <w:rFonts w:hint="eastAsia" w:cs="宋体"/>
          <w:bCs/>
          <w:color w:val="000000" w:themeColor="text1"/>
          <w:sz w:val="24"/>
        </w:rPr>
        <w:t>4.</w:t>
      </w:r>
      <w:r>
        <w:rPr>
          <w:rFonts w:hint="eastAsia" w:hAnsi="宋体" w:cs="宋体"/>
          <w:bCs/>
          <w:color w:val="000000" w:themeColor="text1"/>
          <w:sz w:val="24"/>
        </w:rPr>
        <w:t>电子清纱器（</w:t>
      </w:r>
      <w:r>
        <w:rPr>
          <w:rFonts w:cs="宋体"/>
          <w:bCs/>
          <w:color w:val="000000" w:themeColor="text1"/>
          <w:sz w:val="24"/>
        </w:rPr>
        <w:t>USTER QUANTUMII</w:t>
      </w:r>
      <w:r>
        <w:rPr>
          <w:rFonts w:hint="eastAsia" w:hAnsi="宋体" w:cs="宋体"/>
          <w:bCs/>
          <w:color w:val="000000" w:themeColor="text1"/>
          <w:sz w:val="24"/>
        </w:rPr>
        <w:t>）；</w:t>
      </w:r>
    </w:p>
    <w:p>
      <w:pPr>
        <w:snapToGrid w:val="0"/>
        <w:spacing w:line="360" w:lineRule="auto"/>
        <w:ind w:firstLine="480" w:firstLineChars="200"/>
        <w:rPr>
          <w:rFonts w:cs="宋体"/>
          <w:bCs/>
          <w:color w:val="000000" w:themeColor="text1"/>
          <w:sz w:val="24"/>
        </w:rPr>
      </w:pPr>
      <w:r>
        <w:rPr>
          <w:rFonts w:hint="eastAsia" w:cs="宋体"/>
          <w:bCs/>
          <w:color w:val="000000" w:themeColor="text1"/>
          <w:sz w:val="24"/>
        </w:rPr>
        <w:t>5.</w:t>
      </w:r>
      <w:r>
        <w:rPr>
          <w:rFonts w:hint="eastAsia" w:hAnsi="宋体" w:cs="宋体"/>
          <w:bCs/>
          <w:color w:val="000000" w:themeColor="text1"/>
          <w:sz w:val="24"/>
        </w:rPr>
        <w:t>分条整经机（GA163）；</w:t>
      </w:r>
    </w:p>
    <w:p>
      <w:pPr>
        <w:snapToGrid w:val="0"/>
        <w:spacing w:line="360" w:lineRule="auto"/>
        <w:ind w:firstLine="480" w:firstLineChars="200"/>
        <w:rPr>
          <w:rFonts w:cs="宋体"/>
          <w:bCs/>
          <w:color w:val="000000" w:themeColor="text1"/>
          <w:sz w:val="24"/>
        </w:rPr>
      </w:pPr>
      <w:r>
        <w:rPr>
          <w:rFonts w:hint="eastAsia" w:cs="宋体"/>
          <w:bCs/>
          <w:color w:val="000000" w:themeColor="text1"/>
          <w:sz w:val="24"/>
        </w:rPr>
        <w:t>6.</w:t>
      </w:r>
      <w:r>
        <w:rPr>
          <w:rFonts w:hint="eastAsia" w:hAnsi="宋体" w:cs="宋体"/>
          <w:bCs/>
          <w:color w:val="000000" w:themeColor="text1"/>
          <w:sz w:val="24"/>
        </w:rPr>
        <w:t>分批整经机（</w:t>
      </w:r>
      <w:r>
        <w:rPr>
          <w:rStyle w:val="110"/>
          <w:color w:val="000000" w:themeColor="text1"/>
          <w:sz w:val="23"/>
          <w:szCs w:val="23"/>
        </w:rPr>
        <w:t>BEN-DIRECT</w:t>
      </w:r>
      <w:r>
        <w:rPr>
          <w:rFonts w:hint="eastAsia" w:hAnsi="宋体" w:cs="宋体"/>
          <w:bCs/>
          <w:color w:val="000000" w:themeColor="text1"/>
          <w:sz w:val="24"/>
        </w:rPr>
        <w:t>）；</w:t>
      </w:r>
    </w:p>
    <w:p>
      <w:pPr>
        <w:snapToGrid w:val="0"/>
        <w:spacing w:line="360" w:lineRule="auto"/>
        <w:ind w:firstLine="480" w:firstLineChars="200"/>
        <w:rPr>
          <w:rFonts w:hAnsi="宋体" w:cs="宋体"/>
          <w:bCs/>
          <w:color w:val="000000" w:themeColor="text1"/>
          <w:sz w:val="24"/>
        </w:rPr>
      </w:pPr>
      <w:r>
        <w:rPr>
          <w:rFonts w:hint="eastAsia" w:cs="宋体"/>
          <w:bCs/>
          <w:color w:val="000000" w:themeColor="text1"/>
          <w:sz w:val="24"/>
        </w:rPr>
        <w:t>7.</w:t>
      </w:r>
      <w:r>
        <w:rPr>
          <w:rFonts w:hint="eastAsia" w:hAnsi="宋体" w:cs="宋体"/>
          <w:bCs/>
          <w:color w:val="000000" w:themeColor="text1"/>
          <w:sz w:val="24"/>
        </w:rPr>
        <w:t>浆纱机（</w:t>
      </w:r>
      <w:r>
        <w:rPr>
          <w:rFonts w:hAnsi="宋体" w:cs="宋体"/>
          <w:bCs/>
          <w:color w:val="000000" w:themeColor="text1"/>
          <w:sz w:val="24"/>
        </w:rPr>
        <w:t>BEN-SIZETEC</w:t>
      </w:r>
      <w:r>
        <w:rPr>
          <w:rFonts w:hint="eastAsia" w:hAnsi="宋体" w:cs="宋体"/>
          <w:bCs/>
          <w:color w:val="000000" w:themeColor="text1"/>
          <w:sz w:val="24"/>
        </w:rPr>
        <w:t>）。</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要求：</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1.完整模拟原设备界面，复杂图标可稍作简化； </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2.输入输出的参数必须能导出excel文件； </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3.界面的层级包括设备维修人员、主管人员等能进入的底层界面；</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4.能安装在Surface Pro 4 电脑的Win 10操作系统上，能流畅使用，能适应触摸屏电脑的使用。</w:t>
      </w:r>
    </w:p>
    <w:p>
      <w:pPr>
        <w:snapToGrid w:val="0"/>
        <w:spacing w:line="360" w:lineRule="auto"/>
        <w:ind w:firstLine="480" w:firstLineChars="200"/>
        <w:rPr>
          <w:rFonts w:ascii="宋体" w:hAnsi="宋体" w:cs="宋体"/>
          <w:bCs/>
          <w:color w:val="000000" w:themeColor="text1"/>
          <w:sz w:val="24"/>
        </w:rPr>
      </w:pPr>
      <w:r>
        <w:rPr>
          <w:rFonts w:hint="eastAsia" w:ascii="宋体" w:hAnsi="宋体" w:cs="宋体"/>
          <w:bCs/>
          <w:color w:val="000000" w:themeColor="text1"/>
          <w:sz w:val="24"/>
        </w:rPr>
        <w:t xml:space="preserve">5.如不能完全模拟上述七种型号的设备，应以同品牌性能不低于且进入市场晚于上述型号的机型代替，并应获得招标方认可。 </w:t>
      </w:r>
    </w:p>
    <w:p>
      <w:pPr>
        <w:widowControl/>
        <w:jc w:val="left"/>
        <w:rPr>
          <w:rFonts w:ascii="黑体" w:hAnsi="Arial" w:eastAsia="黑体" w:cs="Arial"/>
          <w:bCs/>
          <w:sz w:val="44"/>
          <w:szCs w:val="44"/>
        </w:rPr>
      </w:pPr>
    </w:p>
    <w:p>
      <w:pPr>
        <w:widowControl/>
        <w:jc w:val="left"/>
        <w:rPr>
          <w:rFonts w:ascii="黑体" w:hAnsi="Arial" w:eastAsia="黑体" w:cs="Arial"/>
          <w:bCs/>
          <w:sz w:val="44"/>
          <w:szCs w:val="44"/>
        </w:rPr>
      </w:pPr>
      <w:r>
        <w:rPr>
          <w:rFonts w:ascii="黑体" w:eastAsia="黑体" w:cs="Arial"/>
          <w:b/>
          <w:bCs/>
          <w:szCs w:val="44"/>
        </w:rPr>
        <w:br w:type="page"/>
      </w:r>
    </w:p>
    <w:p>
      <w:pPr>
        <w:pStyle w:val="3"/>
        <w:spacing w:line="360" w:lineRule="auto"/>
        <w:ind w:firstLine="1760" w:firstLineChars="400"/>
        <w:jc w:val="both"/>
        <w:rPr>
          <w:rFonts w:ascii="黑体" w:eastAsia="黑体" w:cs="Arial"/>
          <w:b w:val="0"/>
          <w:bCs/>
          <w:szCs w:val="44"/>
        </w:rPr>
      </w:pPr>
      <w:r>
        <w:rPr>
          <w:rFonts w:hint="eastAsia" w:ascii="黑体" w:eastAsia="黑体" w:cs="Arial"/>
          <w:b w:val="0"/>
          <w:bCs/>
          <w:szCs w:val="44"/>
        </w:rPr>
        <w:t>第五章评审方法和评审标准</w:t>
      </w:r>
    </w:p>
    <w:p>
      <w:pPr>
        <w:spacing w:line="500" w:lineRule="exact"/>
        <w:ind w:firstLine="482" w:firstLineChars="200"/>
        <w:rPr>
          <w:rFonts w:ascii="宋体"/>
          <w:b/>
          <w:sz w:val="24"/>
        </w:rPr>
      </w:pPr>
      <w:r>
        <w:rPr>
          <w:rFonts w:ascii="宋体"/>
          <w:b/>
          <w:sz w:val="24"/>
        </w:rPr>
        <w:t>一、磋商小组</w:t>
      </w:r>
    </w:p>
    <w:p>
      <w:pPr>
        <w:spacing w:line="500" w:lineRule="exact"/>
        <w:ind w:firstLine="480" w:firstLineChars="200"/>
        <w:rPr>
          <w:rFonts w:ascii="宋体"/>
          <w:sz w:val="24"/>
        </w:rPr>
      </w:pPr>
      <w:r>
        <w:rPr>
          <w:rFonts w:ascii="宋体"/>
          <w:sz w:val="24"/>
        </w:rPr>
        <w:t>本采购项目磋商小组的评委由相关的专家、采购人代表等有关人员构成。</w:t>
      </w:r>
    </w:p>
    <w:p>
      <w:pPr>
        <w:spacing w:line="500" w:lineRule="exact"/>
        <w:ind w:firstLine="482" w:firstLineChars="200"/>
        <w:rPr>
          <w:rFonts w:ascii="宋体"/>
          <w:b/>
          <w:sz w:val="24"/>
        </w:rPr>
      </w:pPr>
      <w:r>
        <w:rPr>
          <w:rFonts w:ascii="宋体"/>
          <w:b/>
          <w:sz w:val="24"/>
        </w:rPr>
        <w:t>二、评审方法</w:t>
      </w:r>
    </w:p>
    <w:p>
      <w:pPr>
        <w:spacing w:line="500" w:lineRule="exact"/>
        <w:ind w:firstLine="480" w:firstLineChars="20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sz w:val="24"/>
        </w:rPr>
      </w:pPr>
      <w:r>
        <w:rPr>
          <w:rFonts w:ascii="宋体"/>
          <w:b/>
          <w:sz w:val="24"/>
        </w:rPr>
        <w:t>三、评审原则</w:t>
      </w:r>
    </w:p>
    <w:p>
      <w:pPr>
        <w:spacing w:line="500" w:lineRule="exact"/>
        <w:ind w:firstLine="480" w:firstLineChars="20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sz w:val="24"/>
        </w:rPr>
      </w:pPr>
      <w:r>
        <w:rPr>
          <w:rFonts w:ascii="宋体"/>
          <w:b/>
          <w:sz w:val="24"/>
        </w:rPr>
        <w:t>四、评审办法：综合评分法</w:t>
      </w:r>
    </w:p>
    <w:p>
      <w:pPr>
        <w:spacing w:line="500" w:lineRule="exact"/>
        <w:ind w:firstLine="480" w:firstLineChars="200"/>
        <w:rPr>
          <w:rFonts w:ascii="宋体"/>
          <w:sz w:val="24"/>
        </w:rPr>
      </w:pPr>
      <w:r>
        <w:rPr>
          <w:rFonts w:ascii="宋体"/>
          <w:sz w:val="24"/>
        </w:rPr>
        <w:t>（一）评委将以采购文件为评标依据，对磋商供应商的投标报价、技术文件及商务文件等方面按百分制打分。</w:t>
      </w:r>
    </w:p>
    <w:p>
      <w:pPr>
        <w:spacing w:line="500" w:lineRule="exact"/>
        <w:ind w:firstLine="480" w:firstLineChars="20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sz w:val="24"/>
        </w:rPr>
      </w:pPr>
      <w:r>
        <w:rPr>
          <w:rFonts w:ascii="宋体"/>
          <w:sz w:val="24"/>
        </w:rPr>
        <w:t>（三）计分标准：（按四舍五入取至小数点后二位）</w:t>
      </w:r>
    </w:p>
    <w:p>
      <w:pPr>
        <w:spacing w:line="500" w:lineRule="exact"/>
        <w:ind w:firstLine="480" w:firstLineChars="200"/>
        <w:rPr>
          <w:rFonts w:ascii="宋体"/>
          <w:sz w:val="24"/>
        </w:rPr>
      </w:pPr>
      <w:r>
        <w:rPr>
          <w:rFonts w:ascii="宋体"/>
          <w:sz w:val="24"/>
        </w:rPr>
        <w:t>（四）具体标准</w:t>
      </w:r>
    </w:p>
    <w:tbl>
      <w:tblPr>
        <w:tblStyle w:val="40"/>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6"/>
        <w:gridCol w:w="425"/>
        <w:gridCol w:w="1417"/>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34" w:type="dxa"/>
            <w:vAlign w:val="center"/>
          </w:tcPr>
          <w:p>
            <w:pPr>
              <w:widowControl/>
              <w:spacing w:line="360" w:lineRule="exact"/>
              <w:jc w:val="center"/>
              <w:rPr>
                <w:rFonts w:ascii="宋体" w:hAnsi="宋体"/>
                <w:color w:val="000000" w:themeColor="text1"/>
                <w:kern w:val="0"/>
                <w:sz w:val="24"/>
              </w:rPr>
            </w:pPr>
            <w:r>
              <w:rPr>
                <w:rFonts w:hint="eastAsia" w:ascii="宋体" w:hAnsi="宋体"/>
                <w:color w:val="000000" w:themeColor="text1"/>
                <w:kern w:val="0"/>
                <w:sz w:val="24"/>
              </w:rPr>
              <w:t>序号</w:t>
            </w:r>
          </w:p>
        </w:tc>
        <w:tc>
          <w:tcPr>
            <w:tcW w:w="1701" w:type="dxa"/>
            <w:gridSpan w:val="2"/>
            <w:vAlign w:val="center"/>
          </w:tcPr>
          <w:p>
            <w:pPr>
              <w:spacing w:line="360" w:lineRule="exact"/>
              <w:jc w:val="center"/>
              <w:rPr>
                <w:rFonts w:ascii="宋体" w:hAnsi="宋体"/>
                <w:color w:val="000000" w:themeColor="text1"/>
                <w:kern w:val="0"/>
                <w:sz w:val="24"/>
              </w:rPr>
            </w:pPr>
            <w:r>
              <w:rPr>
                <w:rFonts w:hint="eastAsia" w:ascii="宋体" w:hAnsi="宋体" w:cs="宋体"/>
                <w:color w:val="000000" w:themeColor="text1"/>
                <w:kern w:val="0"/>
                <w:sz w:val="24"/>
              </w:rPr>
              <w:t>评分因素</w:t>
            </w:r>
          </w:p>
        </w:tc>
        <w:tc>
          <w:tcPr>
            <w:tcW w:w="1417" w:type="dxa"/>
            <w:vAlign w:val="center"/>
          </w:tcPr>
          <w:p>
            <w:pPr>
              <w:spacing w:line="360" w:lineRule="exact"/>
              <w:jc w:val="center"/>
              <w:rPr>
                <w:rFonts w:ascii="宋体" w:hAnsi="宋体"/>
                <w:color w:val="000000" w:themeColor="text1"/>
                <w:kern w:val="0"/>
                <w:sz w:val="24"/>
              </w:rPr>
            </w:pPr>
            <w:r>
              <w:rPr>
                <w:rFonts w:hint="eastAsia" w:ascii="宋体" w:hAnsi="宋体"/>
                <w:color w:val="000000" w:themeColor="text1"/>
                <w:kern w:val="0"/>
                <w:sz w:val="24"/>
              </w:rPr>
              <w:t>分值</w:t>
            </w:r>
          </w:p>
        </w:tc>
        <w:tc>
          <w:tcPr>
            <w:tcW w:w="6015" w:type="dxa"/>
            <w:vAlign w:val="center"/>
          </w:tcPr>
          <w:p>
            <w:pPr>
              <w:widowControl/>
              <w:spacing w:line="360" w:lineRule="exact"/>
              <w:jc w:val="center"/>
              <w:rPr>
                <w:rFonts w:ascii="宋体" w:hAnsi="宋体"/>
                <w:color w:val="000000" w:themeColor="text1"/>
                <w:kern w:val="0"/>
                <w:sz w:val="24"/>
              </w:rPr>
            </w:pPr>
            <w:r>
              <w:rPr>
                <w:rFonts w:hint="eastAsia" w:ascii="宋体" w:hAnsi="宋体" w:cs="宋体"/>
                <w:color w:val="000000" w:themeColor="text1"/>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rPr>
        <w:tc>
          <w:tcPr>
            <w:tcW w:w="534" w:type="dxa"/>
            <w:vAlign w:val="center"/>
          </w:tcPr>
          <w:p>
            <w:pPr>
              <w:widowControl/>
              <w:spacing w:line="360" w:lineRule="exact"/>
              <w:jc w:val="center"/>
              <w:rPr>
                <w:rFonts w:ascii="宋体" w:hAnsi="宋体"/>
                <w:color w:val="000000" w:themeColor="text1"/>
                <w:kern w:val="0"/>
                <w:sz w:val="24"/>
              </w:rPr>
            </w:pPr>
            <w:r>
              <w:rPr>
                <w:rFonts w:hint="eastAsia" w:ascii="宋体" w:hAnsi="宋体"/>
                <w:color w:val="000000" w:themeColor="text1"/>
                <w:kern w:val="0"/>
                <w:sz w:val="24"/>
              </w:rPr>
              <w:t>1</w:t>
            </w:r>
          </w:p>
        </w:tc>
        <w:tc>
          <w:tcPr>
            <w:tcW w:w="3118" w:type="dxa"/>
            <w:gridSpan w:val="3"/>
            <w:vAlign w:val="center"/>
          </w:tcPr>
          <w:p>
            <w:pPr>
              <w:widowControl/>
              <w:spacing w:line="360" w:lineRule="exact"/>
              <w:jc w:val="left"/>
              <w:rPr>
                <w:rFonts w:ascii="宋体" w:hAnsi="宋体"/>
                <w:color w:val="000000" w:themeColor="text1"/>
                <w:kern w:val="0"/>
                <w:sz w:val="24"/>
              </w:rPr>
            </w:pPr>
            <w:r>
              <w:rPr>
                <w:rFonts w:hint="eastAsia" w:ascii="宋体" w:hAnsi="宋体" w:cs="宋体"/>
                <w:color w:val="000000" w:themeColor="text1"/>
                <w:kern w:val="0"/>
                <w:sz w:val="24"/>
              </w:rPr>
              <w:t>投标报价（50分）</w:t>
            </w:r>
          </w:p>
        </w:tc>
        <w:tc>
          <w:tcPr>
            <w:tcW w:w="6015" w:type="dxa"/>
            <w:vAlign w:val="center"/>
          </w:tcPr>
          <w:p>
            <w:pPr>
              <w:spacing w:line="360" w:lineRule="exact"/>
              <w:rPr>
                <w:rFonts w:ascii="宋体" w:hAnsi="宋体"/>
                <w:color w:val="000000" w:themeColor="text1"/>
                <w:sz w:val="24"/>
              </w:rPr>
            </w:pPr>
            <w:r>
              <w:rPr>
                <w:rFonts w:hint="eastAsia" w:ascii="宋体" w:hAnsi="宋体"/>
                <w:color w:val="000000" w:themeColor="text1"/>
                <w:sz w:val="24"/>
              </w:rPr>
              <w:t>满足招标文件要求且投标价格最低的投标报价为基准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其他投标人的价格分按以下公式计算：</w:t>
            </w:r>
          </w:p>
          <w:p>
            <w:pPr>
              <w:widowControl/>
              <w:spacing w:line="360" w:lineRule="exact"/>
              <w:rPr>
                <w:rFonts w:ascii="宋体" w:hAnsi="宋体" w:cs="宋体"/>
                <w:color w:val="000000" w:themeColor="text1"/>
                <w:kern w:val="0"/>
                <w:sz w:val="24"/>
              </w:rPr>
            </w:pPr>
            <w:r>
              <w:rPr>
                <w:rFonts w:hint="eastAsia" w:ascii="宋体" w:hAnsi="宋体"/>
                <w:color w:val="000000" w:themeColor="text1"/>
                <w:sz w:val="24"/>
              </w:rPr>
              <w:t>报价得分＝（评标基准价/投标报价）×价格权值（50分）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534" w:type="dxa"/>
            <w:vMerge w:val="restart"/>
            <w:vAlign w:val="center"/>
          </w:tcPr>
          <w:p>
            <w:pPr>
              <w:widowControl/>
              <w:spacing w:line="36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276" w:type="dxa"/>
            <w:vMerge w:val="restart"/>
            <w:vAlign w:val="center"/>
          </w:tcPr>
          <w:p>
            <w:pPr>
              <w:widowControl/>
              <w:spacing w:line="360" w:lineRule="exact"/>
              <w:jc w:val="center"/>
              <w:rPr>
                <w:rFonts w:ascii="宋体" w:hAnsi="宋体"/>
                <w:color w:val="000000" w:themeColor="text1"/>
                <w:kern w:val="0"/>
                <w:sz w:val="24"/>
              </w:rPr>
            </w:pPr>
            <w:r>
              <w:rPr>
                <w:rFonts w:hint="eastAsia" w:ascii="宋体" w:hAnsi="宋体"/>
                <w:color w:val="000000" w:themeColor="text1"/>
                <w:kern w:val="0"/>
                <w:sz w:val="24"/>
              </w:rPr>
              <w:t>技术</w:t>
            </w:r>
          </w:p>
          <w:p>
            <w:pPr>
              <w:widowControl/>
              <w:spacing w:line="360" w:lineRule="exact"/>
              <w:jc w:val="center"/>
              <w:rPr>
                <w:rFonts w:ascii="宋体" w:hAnsi="宋体"/>
                <w:color w:val="000000" w:themeColor="text1"/>
                <w:kern w:val="0"/>
                <w:sz w:val="24"/>
              </w:rPr>
            </w:pPr>
            <w:r>
              <w:rPr>
                <w:rFonts w:hint="eastAsia" w:ascii="宋体" w:hAnsi="宋体"/>
                <w:color w:val="000000" w:themeColor="text1"/>
                <w:kern w:val="0"/>
                <w:sz w:val="24"/>
              </w:rPr>
              <w:t>部分</w:t>
            </w:r>
          </w:p>
          <w:p>
            <w:pPr>
              <w:widowControl/>
              <w:spacing w:line="360" w:lineRule="exact"/>
              <w:jc w:val="center"/>
              <w:rPr>
                <w:rFonts w:ascii="宋体" w:hAnsi="宋体"/>
                <w:color w:val="000000" w:themeColor="text1"/>
                <w:kern w:val="0"/>
                <w:sz w:val="24"/>
              </w:rPr>
            </w:pPr>
            <w:r>
              <w:rPr>
                <w:rFonts w:hint="eastAsia" w:ascii="宋体" w:hAnsi="宋体"/>
                <w:color w:val="000000" w:themeColor="text1"/>
                <w:kern w:val="0"/>
                <w:sz w:val="24"/>
              </w:rPr>
              <w:t>（45分）</w:t>
            </w:r>
          </w:p>
        </w:tc>
        <w:tc>
          <w:tcPr>
            <w:tcW w:w="1842" w:type="dxa"/>
            <w:gridSpan w:val="2"/>
            <w:vMerge w:val="restart"/>
            <w:vAlign w:val="center"/>
          </w:tcPr>
          <w:p>
            <w:pPr>
              <w:widowControl/>
              <w:spacing w:line="360" w:lineRule="exact"/>
              <w:rPr>
                <w:rFonts w:ascii="宋体" w:hAnsi="宋体"/>
                <w:color w:val="000000" w:themeColor="text1"/>
                <w:kern w:val="0"/>
                <w:sz w:val="24"/>
              </w:rPr>
            </w:pPr>
            <w:r>
              <w:rPr>
                <w:rFonts w:hint="eastAsia" w:ascii="宋体" w:hAnsi="宋体"/>
                <w:color w:val="000000" w:themeColor="text1"/>
                <w:kern w:val="0"/>
                <w:sz w:val="24"/>
              </w:rPr>
              <w:t>技术标响应情况（15分）</w:t>
            </w:r>
          </w:p>
          <w:p>
            <w:pPr>
              <w:widowControl/>
              <w:spacing w:line="360" w:lineRule="exact"/>
              <w:rPr>
                <w:rFonts w:ascii="宋体" w:hAnsi="宋体" w:cs="宋体"/>
                <w:color w:val="000000" w:themeColor="text1"/>
                <w:kern w:val="0"/>
                <w:sz w:val="24"/>
              </w:rPr>
            </w:pPr>
            <w:r>
              <w:rPr>
                <w:rFonts w:hint="eastAsia" w:ascii="宋体" w:hAnsi="宋体"/>
                <w:color w:val="000000" w:themeColor="text1"/>
                <w:kern w:val="0"/>
                <w:sz w:val="24"/>
              </w:rPr>
              <w:t>注：软件非功能性指标均指运行在</w:t>
            </w:r>
            <w:r>
              <w:rPr>
                <w:rFonts w:hint="eastAsia" w:ascii="宋体" w:hAnsi="宋体" w:cs="宋体"/>
                <w:bCs/>
                <w:color w:val="000000" w:themeColor="text1"/>
                <w:sz w:val="24"/>
              </w:rPr>
              <w:t xml:space="preserve">Win 10操作系统 </w:t>
            </w:r>
            <w:r>
              <w:rPr>
                <w:rFonts w:hint="eastAsia" w:ascii="宋体" w:hAnsi="宋体"/>
                <w:color w:val="000000" w:themeColor="text1"/>
                <w:kern w:val="0"/>
                <w:sz w:val="24"/>
              </w:rPr>
              <w:t xml:space="preserve">i5 8G </w:t>
            </w:r>
            <w:r>
              <w:rPr>
                <w:rFonts w:hint="eastAsia" w:ascii="宋体" w:hAnsi="宋体" w:cs="宋体"/>
                <w:bCs/>
                <w:color w:val="000000" w:themeColor="text1"/>
                <w:sz w:val="24"/>
              </w:rPr>
              <w:t>Surface Pro 4 电脑条件下</w:t>
            </w:r>
          </w:p>
        </w:tc>
        <w:tc>
          <w:tcPr>
            <w:tcW w:w="6015" w:type="dxa"/>
            <w:vAlign w:val="center"/>
          </w:tcPr>
          <w:p>
            <w:pPr>
              <w:widowControl/>
              <w:spacing w:line="360" w:lineRule="exact"/>
              <w:jc w:val="left"/>
              <w:rPr>
                <w:rFonts w:ascii="宋体" w:hAnsi="宋体"/>
                <w:color w:val="000000" w:themeColor="text1"/>
                <w:sz w:val="24"/>
              </w:rPr>
            </w:pPr>
            <w:r>
              <w:rPr>
                <w:rFonts w:hint="eastAsia" w:ascii="宋体" w:hAnsi="宋体"/>
                <w:color w:val="000000" w:themeColor="text1"/>
                <w:sz w:val="24"/>
              </w:rPr>
              <w:t>响应时间S：</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S＜16ms，5分；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16ms≤S＜25ms，4分；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25ms≤S＜35ms，3分；</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 35ms≤S＜50ms，2分；</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S＞50ms，0分。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534" w:type="dxa"/>
            <w:vMerge w:val="continue"/>
            <w:vAlign w:val="center"/>
          </w:tcPr>
          <w:p>
            <w:pPr>
              <w:widowControl/>
              <w:spacing w:line="360" w:lineRule="exact"/>
              <w:jc w:val="center"/>
              <w:rPr>
                <w:rFonts w:ascii="宋体" w:hAnsi="宋体"/>
                <w:color w:val="000000" w:themeColor="text1"/>
                <w:sz w:val="24"/>
              </w:rPr>
            </w:pPr>
          </w:p>
        </w:tc>
        <w:tc>
          <w:tcPr>
            <w:tcW w:w="1276" w:type="dxa"/>
            <w:vMerge w:val="continue"/>
            <w:vAlign w:val="center"/>
          </w:tcPr>
          <w:p>
            <w:pPr>
              <w:widowControl/>
              <w:spacing w:line="360" w:lineRule="exact"/>
              <w:rPr>
                <w:rFonts w:ascii="宋体" w:hAnsi="宋体"/>
                <w:color w:val="000000" w:themeColor="text1"/>
                <w:sz w:val="24"/>
              </w:rPr>
            </w:pPr>
          </w:p>
        </w:tc>
        <w:tc>
          <w:tcPr>
            <w:tcW w:w="1842" w:type="dxa"/>
            <w:gridSpan w:val="2"/>
            <w:vMerge w:val="continue"/>
            <w:vAlign w:val="center"/>
          </w:tcPr>
          <w:p>
            <w:pPr>
              <w:widowControl/>
              <w:spacing w:line="360" w:lineRule="exact"/>
              <w:rPr>
                <w:rFonts w:ascii="宋体" w:hAnsi="宋体"/>
                <w:color w:val="000000" w:themeColor="text1"/>
                <w:sz w:val="24"/>
              </w:rPr>
            </w:pPr>
          </w:p>
        </w:tc>
        <w:tc>
          <w:tcPr>
            <w:tcW w:w="6015" w:type="dxa"/>
            <w:vAlign w:val="center"/>
          </w:tcPr>
          <w:p>
            <w:pPr>
              <w:widowControl/>
              <w:spacing w:line="360" w:lineRule="exact"/>
              <w:jc w:val="left"/>
              <w:rPr>
                <w:rFonts w:ascii="宋体" w:hAnsi="宋体"/>
                <w:color w:val="000000" w:themeColor="text1"/>
                <w:sz w:val="24"/>
              </w:rPr>
            </w:pPr>
            <w:r>
              <w:rPr>
                <w:rFonts w:hint="eastAsia" w:ascii="宋体" w:hAnsi="宋体"/>
                <w:color w:val="000000" w:themeColor="text1"/>
                <w:sz w:val="24"/>
              </w:rPr>
              <w:t>内存占用U：</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U＜0.5G,5分；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0.5G≤U＜1G,4分；</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1G≤U＜1.5G,3分；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1.5G≤U＜2G,2分；</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U＞2.5G,0分。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534" w:type="dxa"/>
            <w:vMerge w:val="continue"/>
            <w:vAlign w:val="center"/>
          </w:tcPr>
          <w:p>
            <w:pPr>
              <w:widowControl/>
              <w:spacing w:line="360" w:lineRule="exact"/>
              <w:jc w:val="center"/>
              <w:rPr>
                <w:rFonts w:ascii="宋体" w:hAnsi="宋体"/>
                <w:color w:val="000000" w:themeColor="text1"/>
                <w:sz w:val="24"/>
              </w:rPr>
            </w:pPr>
          </w:p>
        </w:tc>
        <w:tc>
          <w:tcPr>
            <w:tcW w:w="1276" w:type="dxa"/>
            <w:vMerge w:val="continue"/>
            <w:vAlign w:val="center"/>
          </w:tcPr>
          <w:p>
            <w:pPr>
              <w:widowControl/>
              <w:spacing w:line="360" w:lineRule="exact"/>
              <w:rPr>
                <w:rFonts w:ascii="宋体" w:hAnsi="宋体"/>
                <w:color w:val="000000" w:themeColor="text1"/>
                <w:sz w:val="24"/>
              </w:rPr>
            </w:pPr>
          </w:p>
        </w:tc>
        <w:tc>
          <w:tcPr>
            <w:tcW w:w="1842" w:type="dxa"/>
            <w:gridSpan w:val="2"/>
            <w:vMerge w:val="continue"/>
            <w:vAlign w:val="center"/>
          </w:tcPr>
          <w:p>
            <w:pPr>
              <w:widowControl/>
              <w:spacing w:line="360" w:lineRule="exact"/>
              <w:rPr>
                <w:rFonts w:ascii="宋体" w:hAnsi="宋体"/>
                <w:color w:val="000000" w:themeColor="text1"/>
                <w:sz w:val="24"/>
              </w:rPr>
            </w:pPr>
          </w:p>
        </w:tc>
        <w:tc>
          <w:tcPr>
            <w:tcW w:w="6015" w:type="dxa"/>
            <w:vAlign w:val="center"/>
          </w:tcPr>
          <w:p>
            <w:pPr>
              <w:widowControl/>
              <w:spacing w:line="360" w:lineRule="exact"/>
              <w:jc w:val="left"/>
              <w:rPr>
                <w:rFonts w:ascii="宋体" w:hAnsi="宋体"/>
                <w:color w:val="000000" w:themeColor="text1"/>
                <w:sz w:val="24"/>
              </w:rPr>
            </w:pPr>
            <w:r>
              <w:rPr>
                <w:rFonts w:ascii="宋体" w:hAnsi="宋体"/>
                <w:color w:val="000000" w:themeColor="text1"/>
                <w:sz w:val="24"/>
              </w:rPr>
              <w:t>CPU占用率</w:t>
            </w:r>
            <w:r>
              <w:rPr>
                <w:rFonts w:hint="eastAsia" w:ascii="宋体" w:hAnsi="宋体"/>
                <w:color w:val="000000" w:themeColor="text1"/>
                <w:sz w:val="24"/>
              </w:rPr>
              <w:t>P：</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P＜5%，5分；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5%≤P＜7%,，4分；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 xml:space="preserve">7%≤P＜9%,，3分； </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9%≤P＜11%,，2分；</w:t>
            </w:r>
          </w:p>
          <w:p>
            <w:pPr>
              <w:widowControl/>
              <w:spacing w:line="360" w:lineRule="exact"/>
              <w:jc w:val="left"/>
              <w:rPr>
                <w:rFonts w:ascii="宋体" w:hAnsi="宋体"/>
                <w:color w:val="000000" w:themeColor="text1"/>
                <w:sz w:val="24"/>
              </w:rPr>
            </w:pPr>
            <w:r>
              <w:rPr>
                <w:rFonts w:hint="eastAsia" w:ascii="宋体" w:hAnsi="宋体"/>
                <w:color w:val="000000" w:themeColor="text1"/>
                <w:sz w:val="24"/>
              </w:rPr>
              <w:t>P＞11%，0分。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534" w:type="dxa"/>
            <w:vMerge w:val="continue"/>
            <w:vAlign w:val="center"/>
          </w:tcPr>
          <w:p>
            <w:pPr>
              <w:widowControl/>
              <w:spacing w:line="360" w:lineRule="exact"/>
              <w:jc w:val="center"/>
              <w:rPr>
                <w:rFonts w:ascii="宋体" w:hAnsi="宋体"/>
                <w:color w:val="000000" w:themeColor="text1"/>
                <w:sz w:val="24"/>
              </w:rPr>
            </w:pPr>
          </w:p>
        </w:tc>
        <w:tc>
          <w:tcPr>
            <w:tcW w:w="1276" w:type="dxa"/>
            <w:vMerge w:val="continue"/>
            <w:vAlign w:val="center"/>
          </w:tcPr>
          <w:p>
            <w:pPr>
              <w:widowControl/>
              <w:spacing w:line="360" w:lineRule="exact"/>
              <w:rPr>
                <w:rFonts w:ascii="宋体" w:hAnsi="宋体"/>
                <w:color w:val="000000" w:themeColor="text1"/>
                <w:sz w:val="24"/>
              </w:rPr>
            </w:pPr>
          </w:p>
        </w:tc>
        <w:tc>
          <w:tcPr>
            <w:tcW w:w="1842" w:type="dxa"/>
            <w:gridSpan w:val="2"/>
            <w:vAlign w:val="center"/>
          </w:tcPr>
          <w:p>
            <w:pPr>
              <w:spacing w:line="360" w:lineRule="exact"/>
              <w:jc w:val="left"/>
              <w:rPr>
                <w:rFonts w:ascii="宋体" w:hAnsi="宋体"/>
                <w:color w:val="000000" w:themeColor="text1"/>
                <w:kern w:val="0"/>
                <w:sz w:val="24"/>
              </w:rPr>
            </w:pPr>
            <w:r>
              <w:rPr>
                <w:rFonts w:hint="eastAsia" w:ascii="宋体" w:hAnsi="宋体"/>
                <w:color w:val="000000" w:themeColor="text1"/>
                <w:kern w:val="0"/>
                <w:sz w:val="24"/>
              </w:rPr>
              <w:t>演示软件分（10分）</w:t>
            </w:r>
          </w:p>
        </w:tc>
        <w:tc>
          <w:tcPr>
            <w:tcW w:w="6015" w:type="dxa"/>
            <w:vAlign w:val="center"/>
          </w:tcPr>
          <w:p>
            <w:pPr>
              <w:widowControl/>
              <w:spacing w:line="360" w:lineRule="exact"/>
              <w:jc w:val="left"/>
              <w:rPr>
                <w:rFonts w:ascii="宋体" w:hAnsi="宋体"/>
                <w:color w:val="000000" w:themeColor="text1"/>
                <w:sz w:val="24"/>
              </w:rPr>
            </w:pPr>
            <w:r>
              <w:rPr>
                <w:rFonts w:hint="eastAsia" w:ascii="宋体" w:hAnsi="宋体"/>
                <w:color w:val="000000" w:themeColor="text1"/>
                <w:sz w:val="24"/>
              </w:rPr>
              <w:t>演示得分，提供两种织机中一种的模拟演示，切换界面不少于8个，以仿真效果和使用体验评分，优秀8-10分；良好6-8分，一般6分以下。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534" w:type="dxa"/>
            <w:vMerge w:val="continue"/>
            <w:vAlign w:val="center"/>
          </w:tcPr>
          <w:p>
            <w:pPr>
              <w:widowControl/>
              <w:spacing w:line="360" w:lineRule="exact"/>
              <w:jc w:val="center"/>
              <w:rPr>
                <w:rFonts w:ascii="宋体" w:hAnsi="宋体"/>
                <w:color w:val="000000" w:themeColor="text1"/>
                <w:sz w:val="24"/>
              </w:rPr>
            </w:pPr>
          </w:p>
        </w:tc>
        <w:tc>
          <w:tcPr>
            <w:tcW w:w="1276" w:type="dxa"/>
            <w:vMerge w:val="continue"/>
            <w:vAlign w:val="center"/>
          </w:tcPr>
          <w:p>
            <w:pPr>
              <w:widowControl/>
              <w:spacing w:line="360" w:lineRule="exact"/>
              <w:rPr>
                <w:rFonts w:ascii="宋体" w:hAnsi="宋体"/>
                <w:color w:val="000000" w:themeColor="text1"/>
                <w:sz w:val="24"/>
              </w:rPr>
            </w:pPr>
          </w:p>
        </w:tc>
        <w:tc>
          <w:tcPr>
            <w:tcW w:w="1842" w:type="dxa"/>
            <w:gridSpan w:val="2"/>
            <w:vAlign w:val="center"/>
          </w:tcPr>
          <w:p>
            <w:pPr>
              <w:spacing w:line="360" w:lineRule="exact"/>
              <w:jc w:val="left"/>
              <w:rPr>
                <w:rFonts w:ascii="宋体" w:hAnsi="宋体"/>
                <w:color w:val="000000" w:themeColor="text1"/>
                <w:kern w:val="0"/>
                <w:sz w:val="24"/>
              </w:rPr>
            </w:pPr>
            <w:r>
              <w:rPr>
                <w:rFonts w:hint="eastAsia" w:ascii="宋体" w:hAnsi="宋体"/>
                <w:color w:val="000000" w:themeColor="text1"/>
                <w:kern w:val="0"/>
                <w:sz w:val="24"/>
              </w:rPr>
              <w:t>实施方案（20分）</w:t>
            </w:r>
          </w:p>
        </w:tc>
        <w:tc>
          <w:tcPr>
            <w:tcW w:w="6015" w:type="dxa"/>
            <w:vAlign w:val="center"/>
          </w:tcPr>
          <w:p>
            <w:pPr>
              <w:widowControl/>
              <w:spacing w:line="360" w:lineRule="exact"/>
              <w:jc w:val="left"/>
              <w:rPr>
                <w:rFonts w:ascii="宋体" w:hAnsi="宋体"/>
                <w:color w:val="000000" w:themeColor="text1"/>
                <w:sz w:val="24"/>
              </w:rPr>
            </w:pPr>
            <w:r>
              <w:rPr>
                <w:rFonts w:hint="eastAsia" w:ascii="宋体" w:hAnsi="宋体"/>
                <w:color w:val="000000" w:themeColor="text1"/>
                <w:sz w:val="24"/>
              </w:rPr>
              <w:t>提供详细实施方案，具体包括团队构成、已取得成果（含类似项目经验、相似软件的版权、著作权、专利权等）、拟采用编程方法及任务分解情况、对软件的改进思路等四方面内容。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534"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3</w:t>
            </w:r>
          </w:p>
        </w:tc>
        <w:tc>
          <w:tcPr>
            <w:tcW w:w="1276"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商务</w:t>
            </w:r>
          </w:p>
          <w:p>
            <w:pPr>
              <w:spacing w:line="360" w:lineRule="exact"/>
              <w:jc w:val="center"/>
              <w:rPr>
                <w:rFonts w:ascii="宋体" w:hAnsi="宋体"/>
                <w:color w:val="000000" w:themeColor="text1"/>
                <w:sz w:val="24"/>
              </w:rPr>
            </w:pPr>
            <w:r>
              <w:rPr>
                <w:rFonts w:hint="eastAsia" w:ascii="宋体" w:hAnsi="宋体"/>
                <w:color w:val="000000" w:themeColor="text1"/>
                <w:sz w:val="24"/>
              </w:rPr>
              <w:t>部分</w:t>
            </w:r>
          </w:p>
          <w:p>
            <w:pPr>
              <w:spacing w:line="360" w:lineRule="exact"/>
              <w:jc w:val="center"/>
              <w:rPr>
                <w:rFonts w:ascii="宋体" w:hAnsi="宋体"/>
                <w:color w:val="000000" w:themeColor="text1"/>
                <w:sz w:val="24"/>
              </w:rPr>
            </w:pPr>
            <w:r>
              <w:rPr>
                <w:rFonts w:hint="eastAsia" w:ascii="宋体" w:hAnsi="宋体"/>
                <w:color w:val="000000" w:themeColor="text1"/>
                <w:sz w:val="24"/>
              </w:rPr>
              <w:t>(5分)</w:t>
            </w:r>
          </w:p>
        </w:tc>
        <w:tc>
          <w:tcPr>
            <w:tcW w:w="1842" w:type="dxa"/>
            <w:gridSpan w:val="2"/>
            <w:vAlign w:val="center"/>
          </w:tcPr>
          <w:p>
            <w:pPr>
              <w:pStyle w:val="32"/>
              <w:spacing w:before="0" w:beforeAutospacing="0" w:after="0" w:afterAutospacing="0" w:line="360" w:lineRule="exact"/>
              <w:rPr>
                <w:color w:val="000000" w:themeColor="text1"/>
              </w:rPr>
            </w:pPr>
            <w:r>
              <w:rPr>
                <w:rFonts w:hint="eastAsia"/>
                <w:color w:val="000000" w:themeColor="text1"/>
              </w:rPr>
              <w:t>供货保障、售后服务与培训（5分）</w:t>
            </w:r>
          </w:p>
        </w:tc>
        <w:tc>
          <w:tcPr>
            <w:tcW w:w="6015" w:type="dxa"/>
            <w:vAlign w:val="center"/>
          </w:tcPr>
          <w:p>
            <w:pPr>
              <w:pStyle w:val="32"/>
              <w:spacing w:before="0" w:beforeAutospacing="0" w:after="0" w:afterAutospacing="0" w:line="360" w:lineRule="exact"/>
              <w:rPr>
                <w:color w:val="000000" w:themeColor="text1"/>
              </w:rPr>
            </w:pPr>
            <w:r>
              <w:rPr>
                <w:rFonts w:hint="eastAsia"/>
                <w:color w:val="000000" w:themeColor="text1"/>
              </w:rPr>
              <w:t>1、五年</w:t>
            </w:r>
            <w:r>
              <w:rPr>
                <w:color w:val="000000" w:themeColor="text1"/>
              </w:rPr>
              <w:t>免费质保</w:t>
            </w:r>
            <w:r>
              <w:rPr>
                <w:rFonts w:hint="eastAsia"/>
                <w:color w:val="000000" w:themeColor="text1"/>
              </w:rPr>
              <w:t>，</w:t>
            </w:r>
            <w:r>
              <w:rPr>
                <w:color w:val="000000" w:themeColor="text1"/>
              </w:rPr>
              <w:t>未达到此要求的</w:t>
            </w:r>
            <w:r>
              <w:rPr>
                <w:rFonts w:hint="eastAsia"/>
                <w:color w:val="000000" w:themeColor="text1"/>
              </w:rPr>
              <w:t>不得作为中标候选人；</w:t>
            </w:r>
            <w:r>
              <w:rPr>
                <w:color w:val="000000" w:themeColor="text1"/>
              </w:rPr>
              <w:t>满</w:t>
            </w:r>
            <w:r>
              <w:rPr>
                <w:rFonts w:hint="eastAsia"/>
                <w:color w:val="000000" w:themeColor="text1"/>
              </w:rPr>
              <w:t>五</w:t>
            </w:r>
            <w:r>
              <w:rPr>
                <w:color w:val="000000" w:themeColor="text1"/>
              </w:rPr>
              <w:t>年</w:t>
            </w:r>
            <w:r>
              <w:rPr>
                <w:rFonts w:hint="eastAsia"/>
                <w:color w:val="000000" w:themeColor="text1"/>
              </w:rPr>
              <w:t>免费</w:t>
            </w:r>
            <w:r>
              <w:rPr>
                <w:color w:val="000000" w:themeColor="text1"/>
              </w:rPr>
              <w:t>质保后，</w:t>
            </w:r>
            <w:r>
              <w:rPr>
                <w:rFonts w:hint="eastAsia"/>
                <w:color w:val="000000" w:themeColor="text1"/>
              </w:rPr>
              <w:t>每</w:t>
            </w:r>
            <w:r>
              <w:rPr>
                <w:color w:val="000000" w:themeColor="text1"/>
              </w:rPr>
              <w:t>延长一年</w:t>
            </w:r>
            <w:r>
              <w:rPr>
                <w:rFonts w:hint="eastAsia"/>
                <w:color w:val="000000" w:themeColor="text1"/>
              </w:rPr>
              <w:t>得0.5分</w:t>
            </w:r>
            <w:r>
              <w:rPr>
                <w:color w:val="000000" w:themeColor="text1"/>
              </w:rPr>
              <w:t>，最高得</w:t>
            </w:r>
            <w:r>
              <w:rPr>
                <w:rFonts w:hint="eastAsia"/>
                <w:color w:val="000000" w:themeColor="text1"/>
              </w:rPr>
              <w:t>1分；</w:t>
            </w:r>
          </w:p>
          <w:p>
            <w:pPr>
              <w:pStyle w:val="32"/>
              <w:spacing w:before="0" w:beforeAutospacing="0" w:after="0" w:afterAutospacing="0" w:line="360" w:lineRule="exact"/>
              <w:rPr>
                <w:color w:val="000000" w:themeColor="text1"/>
              </w:rPr>
            </w:pPr>
            <w:r>
              <w:rPr>
                <w:color w:val="000000" w:themeColor="text1"/>
              </w:rPr>
              <w:t>2</w:t>
            </w:r>
            <w:r>
              <w:rPr>
                <w:rFonts w:hint="eastAsia"/>
                <w:color w:val="000000" w:themeColor="text1"/>
              </w:rPr>
              <w:t>、投标单位自</w:t>
            </w:r>
            <w:r>
              <w:rPr>
                <w:color w:val="000000" w:themeColor="text1"/>
              </w:rPr>
              <w:t>供货三年内，能提供每学期一次</w:t>
            </w:r>
            <w:r>
              <w:rPr>
                <w:rFonts w:hint="eastAsia"/>
                <w:color w:val="000000" w:themeColor="text1"/>
              </w:rPr>
              <w:t>免费</w:t>
            </w:r>
            <w:r>
              <w:rPr>
                <w:color w:val="000000" w:themeColor="text1"/>
              </w:rPr>
              <w:t>上门</w:t>
            </w:r>
            <w:r>
              <w:rPr>
                <w:rFonts w:hint="eastAsia"/>
                <w:color w:val="000000" w:themeColor="text1"/>
              </w:rPr>
              <w:t>设备</w:t>
            </w:r>
            <w:r>
              <w:rPr>
                <w:color w:val="000000" w:themeColor="text1"/>
              </w:rPr>
              <w:t>检查</w:t>
            </w:r>
            <w:r>
              <w:rPr>
                <w:rFonts w:hint="eastAsia"/>
                <w:color w:val="000000" w:themeColor="text1"/>
              </w:rPr>
              <w:t>维护</w:t>
            </w:r>
            <w:r>
              <w:rPr>
                <w:color w:val="000000" w:themeColor="text1"/>
              </w:rPr>
              <w:t>；每</w:t>
            </w:r>
            <w:r>
              <w:rPr>
                <w:rFonts w:hint="eastAsia"/>
                <w:color w:val="000000" w:themeColor="text1"/>
              </w:rPr>
              <w:t>提供1次</w:t>
            </w:r>
            <w:r>
              <w:rPr>
                <w:color w:val="000000" w:themeColor="text1"/>
              </w:rPr>
              <w:t>得</w:t>
            </w:r>
            <w:r>
              <w:rPr>
                <w:rFonts w:hint="eastAsia"/>
                <w:color w:val="000000" w:themeColor="text1"/>
              </w:rPr>
              <w:t>1分</w:t>
            </w:r>
            <w:r>
              <w:rPr>
                <w:color w:val="000000" w:themeColor="text1"/>
              </w:rPr>
              <w:t>，最高得</w:t>
            </w:r>
            <w:r>
              <w:rPr>
                <w:rFonts w:hint="eastAsia"/>
                <w:color w:val="000000" w:themeColor="text1"/>
              </w:rPr>
              <w:t>3分</w:t>
            </w:r>
            <w:r>
              <w:rPr>
                <w:color w:val="000000" w:themeColor="text1"/>
              </w:rPr>
              <w:t>；</w:t>
            </w:r>
          </w:p>
          <w:p>
            <w:pPr>
              <w:spacing w:line="360" w:lineRule="exact"/>
              <w:jc w:val="left"/>
              <w:rPr>
                <w:rFonts w:ascii="宋体" w:hAnsi="宋体"/>
                <w:color w:val="000000" w:themeColor="text1"/>
                <w:kern w:val="0"/>
                <w:sz w:val="24"/>
              </w:rPr>
            </w:pPr>
            <w:r>
              <w:rPr>
                <w:rFonts w:hint="eastAsia" w:ascii="宋体" w:hAnsi="宋体"/>
                <w:color w:val="000000" w:themeColor="text1"/>
                <w:kern w:val="0"/>
                <w:sz w:val="24"/>
              </w:rPr>
              <w:t>3、投标</w:t>
            </w:r>
            <w:r>
              <w:rPr>
                <w:rFonts w:ascii="宋体" w:hAnsi="宋体"/>
                <w:color w:val="000000" w:themeColor="text1"/>
                <w:kern w:val="0"/>
                <w:sz w:val="24"/>
              </w:rPr>
              <w:t>单位自供货</w:t>
            </w:r>
            <w:r>
              <w:rPr>
                <w:rFonts w:hint="eastAsia" w:ascii="宋体" w:hAnsi="宋体"/>
                <w:color w:val="000000" w:themeColor="text1"/>
                <w:kern w:val="0"/>
                <w:sz w:val="24"/>
              </w:rPr>
              <w:t>7个</w:t>
            </w:r>
            <w:r>
              <w:rPr>
                <w:rFonts w:ascii="宋体" w:hAnsi="宋体"/>
                <w:color w:val="000000" w:themeColor="text1"/>
                <w:kern w:val="0"/>
                <w:sz w:val="24"/>
              </w:rPr>
              <w:t>工作日内，能提供不少于</w:t>
            </w:r>
            <w:r>
              <w:rPr>
                <w:rFonts w:hint="eastAsia" w:ascii="宋体" w:hAnsi="宋体"/>
                <w:color w:val="000000" w:themeColor="text1"/>
                <w:kern w:val="0"/>
                <w:sz w:val="24"/>
              </w:rPr>
              <w:t>10课时</w:t>
            </w:r>
            <w:r>
              <w:rPr>
                <w:rFonts w:ascii="宋体" w:hAnsi="宋体"/>
                <w:color w:val="000000" w:themeColor="text1"/>
                <w:kern w:val="0"/>
                <w:sz w:val="24"/>
              </w:rPr>
              <w:t>设备培训</w:t>
            </w:r>
            <w:r>
              <w:rPr>
                <w:rFonts w:hint="eastAsia" w:ascii="宋体" w:hAnsi="宋体"/>
                <w:color w:val="000000" w:themeColor="text1"/>
                <w:kern w:val="0"/>
                <w:sz w:val="24"/>
              </w:rPr>
              <w:t>，得1分。</w:t>
            </w:r>
          </w:p>
        </w:tc>
      </w:tr>
    </w:tbl>
    <w:p>
      <w:pPr>
        <w:snapToGrid w:val="0"/>
        <w:spacing w:line="460" w:lineRule="exact"/>
        <w:rPr>
          <w:rFonts w:ascii="宋体" w:hAnsi="宋体" w:cs="宋体"/>
          <w:color w:val="000000"/>
          <w:szCs w:val="20"/>
        </w:rPr>
      </w:pPr>
      <w:r>
        <w:rPr>
          <w:rFonts w:hint="eastAsia" w:ascii="宋体" w:hAnsi="宋体" w:cs="宋体"/>
          <w:color w:val="000000"/>
          <w:szCs w:val="20"/>
        </w:rPr>
        <w:t xml:space="preserve">说明： </w:t>
      </w:r>
    </w:p>
    <w:p>
      <w:pPr>
        <w:snapToGrid w:val="0"/>
        <w:spacing w:line="460" w:lineRule="exact"/>
        <w:ind w:firstLine="420" w:firstLineChars="200"/>
        <w:rPr>
          <w:rFonts w:ascii="宋体" w:hAnsi="宋体" w:cs="宋体"/>
          <w:color w:val="000000"/>
          <w:szCs w:val="20"/>
        </w:rPr>
      </w:pPr>
      <w:r>
        <w:rPr>
          <w:rFonts w:hint="eastAsia" w:ascii="宋体" w:hAnsi="宋体" w:cs="宋体"/>
          <w:color w:val="000000"/>
          <w:szCs w:val="20"/>
        </w:rPr>
        <w:t>1、若供应商提供虚假资料，一经查实取消其中标候选人资格，并向相关主管部门汇报。</w:t>
      </w:r>
    </w:p>
    <w:p>
      <w:pPr>
        <w:snapToGrid w:val="0"/>
        <w:spacing w:line="460" w:lineRule="exact"/>
        <w:ind w:firstLine="420" w:firstLineChars="200"/>
        <w:rPr>
          <w:rFonts w:ascii="宋体" w:hAnsi="宋体" w:cs="宋体"/>
          <w:color w:val="000000"/>
          <w:szCs w:val="20"/>
        </w:rPr>
      </w:pPr>
      <w:r>
        <w:rPr>
          <w:rFonts w:hint="eastAsia" w:ascii="宋体" w:hAnsi="宋体" w:cs="宋体"/>
          <w:color w:val="000000"/>
          <w:szCs w:val="20"/>
        </w:rPr>
        <w:t>2、中标单位不得转包、分包，如果发现有转包、分包情况，则取消其中标候选人资格，并向相关主管部门汇报。</w:t>
      </w:r>
    </w:p>
    <w:p>
      <w:pPr>
        <w:spacing w:line="360" w:lineRule="auto"/>
        <w:ind w:firstLine="480" w:firstLineChars="200"/>
        <w:rPr>
          <w:rFonts w:ascii="宋体"/>
          <w:sz w:val="24"/>
        </w:rPr>
      </w:pPr>
    </w:p>
    <w:p>
      <w:pPr>
        <w:pStyle w:val="3"/>
        <w:spacing w:line="360" w:lineRule="auto"/>
        <w:ind w:firstLine="1760" w:firstLineChars="400"/>
        <w:jc w:val="both"/>
        <w:rPr>
          <w:rFonts w:ascii="黑体" w:eastAsia="黑体" w:cs="Arial"/>
          <w:b w:val="0"/>
          <w:bCs/>
          <w:szCs w:val="44"/>
        </w:rPr>
      </w:pPr>
    </w:p>
    <w:p>
      <w:pPr>
        <w:pStyle w:val="3"/>
        <w:spacing w:line="360" w:lineRule="auto"/>
        <w:ind w:firstLine="1760" w:firstLineChars="400"/>
        <w:jc w:val="both"/>
        <w:rPr>
          <w:rFonts w:ascii="黑体" w:eastAsia="黑体" w:cs="Arial"/>
          <w:b w:val="0"/>
          <w:bCs/>
          <w:szCs w:val="44"/>
        </w:rPr>
      </w:pPr>
      <w:r>
        <w:rPr>
          <w:rFonts w:hint="eastAsia" w:ascii="黑体" w:eastAsia="黑体" w:cs="Arial"/>
          <w:b w:val="0"/>
          <w:bCs/>
          <w:szCs w:val="44"/>
        </w:rPr>
        <w:t>第六章竞争性磋商响应文件格式</w:t>
      </w:r>
    </w:p>
    <w:p>
      <w:pPr>
        <w:jc w:val="center"/>
        <w:rPr>
          <w:rFonts w:ascii="宋体"/>
          <w:b/>
          <w:sz w:val="72"/>
          <w:szCs w:val="21"/>
        </w:rPr>
      </w:pPr>
    </w:p>
    <w:p>
      <w:pPr>
        <w:jc w:val="center"/>
        <w:rPr>
          <w:rFonts w:ascii="黑体" w:hAnsi="黑体" w:eastAsia="黑体"/>
          <w:b/>
          <w:sz w:val="72"/>
          <w:szCs w:val="21"/>
        </w:rPr>
      </w:pPr>
      <w:r>
        <w:rPr>
          <w:rFonts w:hint="eastAsia" w:ascii="黑体" w:hAnsi="黑体" w:eastAsia="黑体"/>
          <w:b/>
          <w:sz w:val="72"/>
          <w:szCs w:val="21"/>
        </w:rPr>
        <w:t>竞争性磋商响应文件</w:t>
      </w:r>
    </w:p>
    <w:p>
      <w:pPr>
        <w:pStyle w:val="74"/>
        <w:ind w:firstLine="0"/>
        <w:jc w:val="center"/>
        <w:rPr>
          <w:rFonts w:ascii="黑体" w:hAnsi="黑体" w:eastAsia="黑体"/>
          <w:b/>
          <w:bCs/>
          <w:sz w:val="32"/>
        </w:rPr>
      </w:pPr>
    </w:p>
    <w:p>
      <w:pPr>
        <w:ind w:firstLine="1084" w:firstLineChars="300"/>
        <w:rPr>
          <w:rFonts w:ascii="黑体" w:hAnsi="黑体" w:eastAsia="黑体"/>
          <w:b/>
          <w:sz w:val="36"/>
          <w:szCs w:val="21"/>
        </w:rPr>
      </w:pPr>
      <w:r>
        <w:rPr>
          <w:rFonts w:hint="eastAsia" w:ascii="黑体" w:hAnsi="黑体" w:eastAsia="黑体"/>
          <w:b/>
          <w:sz w:val="36"/>
          <w:szCs w:val="21"/>
        </w:rPr>
        <w:t>（正或副本）</w:t>
      </w:r>
    </w:p>
    <w:p>
      <w:pPr>
        <w:ind w:firstLine="1084" w:firstLineChars="300"/>
        <w:rPr>
          <w:rFonts w:ascii="黑体" w:hAnsi="黑体" w:eastAsia="黑体"/>
          <w:b/>
          <w:sz w:val="36"/>
          <w:szCs w:val="21"/>
        </w:rPr>
      </w:pPr>
    </w:p>
    <w:p>
      <w:pPr>
        <w:ind w:firstLine="1084" w:firstLineChars="300"/>
        <w:rPr>
          <w:rFonts w:ascii="黑体" w:hAnsi="黑体" w:eastAsia="黑体"/>
          <w:b/>
          <w:sz w:val="36"/>
          <w:szCs w:val="21"/>
        </w:rPr>
      </w:pPr>
    </w:p>
    <w:p>
      <w:pPr>
        <w:ind w:firstLine="1084" w:firstLineChars="300"/>
        <w:rPr>
          <w:rFonts w:ascii="黑体" w:hAnsi="黑体" w:eastAsia="黑体"/>
          <w:b/>
          <w:sz w:val="36"/>
        </w:rPr>
      </w:pPr>
      <w:r>
        <w:rPr>
          <w:rFonts w:hint="eastAsia" w:ascii="黑体" w:hAnsi="黑体" w:eastAsia="黑体"/>
          <w:b/>
          <w:sz w:val="36"/>
        </w:rPr>
        <w:t>项目名称：</w:t>
      </w:r>
    </w:p>
    <w:p>
      <w:pPr>
        <w:ind w:firstLine="1084" w:firstLineChars="300"/>
        <w:rPr>
          <w:rFonts w:ascii="黑体" w:hAnsi="黑体" w:eastAsia="黑体"/>
          <w:b/>
          <w:sz w:val="36"/>
          <w:u w:val="single"/>
        </w:rPr>
      </w:pPr>
      <w:r>
        <w:rPr>
          <w:rFonts w:hint="eastAsia" w:ascii="黑体" w:hAnsi="黑体" w:eastAsia="黑体"/>
          <w:b/>
          <w:sz w:val="36"/>
        </w:rPr>
        <w:t>项目编号：</w:t>
      </w:r>
    </w:p>
    <w:p>
      <w:pPr>
        <w:ind w:firstLine="1084" w:firstLineChars="300"/>
        <w:rPr>
          <w:rFonts w:ascii="黑体" w:hAnsi="黑体" w:eastAsia="黑体"/>
          <w:b/>
          <w:sz w:val="36"/>
        </w:rPr>
      </w:pPr>
      <w:r>
        <w:rPr>
          <w:rFonts w:hint="eastAsia" w:ascii="黑体" w:hAnsi="黑体" w:eastAsia="黑体"/>
          <w:b/>
          <w:sz w:val="36"/>
        </w:rPr>
        <w:t>磋商供应商名称：</w:t>
      </w:r>
    </w:p>
    <w:p>
      <w:pPr>
        <w:ind w:firstLine="1084" w:firstLineChars="300"/>
        <w:rPr>
          <w:rFonts w:ascii="黑体" w:hAnsi="黑体" w:eastAsia="黑体"/>
          <w:b/>
          <w:sz w:val="36"/>
        </w:rPr>
      </w:pPr>
      <w:r>
        <w:rPr>
          <w:rFonts w:hint="eastAsia" w:ascii="黑体" w:hAnsi="黑体" w:eastAsia="黑体"/>
          <w:b/>
          <w:sz w:val="36"/>
        </w:rPr>
        <w:t>日期：</w:t>
      </w:r>
    </w:p>
    <w:p>
      <w:pPr>
        <w:pStyle w:val="74"/>
        <w:ind w:firstLine="2464" w:firstLineChars="770"/>
        <w:rPr>
          <w:rFonts w:ascii="宋体"/>
          <w:bCs/>
          <w:kern w:val="2"/>
          <w:sz w:val="32"/>
          <w:szCs w:val="32"/>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19"/>
        <w:spacing w:line="360" w:lineRule="auto"/>
        <w:jc w:val="center"/>
        <w:rPr>
          <w:rFonts w:ascii="宋体"/>
          <w:sz w:val="32"/>
        </w:rPr>
      </w:pPr>
    </w:p>
    <w:p>
      <w:pPr>
        <w:jc w:val="center"/>
        <w:rPr>
          <w:rFonts w:ascii="宋体"/>
          <w:b/>
          <w:sz w:val="24"/>
        </w:rPr>
      </w:pPr>
      <w:r>
        <w:rPr>
          <w:rFonts w:ascii="宋体"/>
          <w:b/>
          <w:sz w:val="32"/>
          <w:szCs w:val="32"/>
        </w:rPr>
        <w:br w:type="page"/>
      </w:r>
      <w:r>
        <w:rPr>
          <w:rFonts w:hint="eastAsia" w:ascii="宋体" w:hAnsi="宋体"/>
          <w:b/>
          <w:sz w:val="24"/>
        </w:rPr>
        <w:t>评分索引表</w:t>
      </w:r>
    </w:p>
    <w:tbl>
      <w:tblPr>
        <w:tblStyle w:val="40"/>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jc w:val="center"/>
              <w:rPr>
                <w:rFonts w:ascii="宋体"/>
                <w:b/>
                <w:bCs/>
                <w:szCs w:val="24"/>
                <w:lang w:eastAsia="zh-CN"/>
              </w:rPr>
            </w:pPr>
            <w:r>
              <w:rPr>
                <w:rFonts w:hint="eastAsia" w:ascii="宋体"/>
                <w:b/>
                <w:szCs w:val="24"/>
              </w:rPr>
              <w:t>评分项目</w:t>
            </w:r>
          </w:p>
        </w:tc>
        <w:tc>
          <w:tcPr>
            <w:tcW w:w="3570" w:type="dxa"/>
          </w:tcPr>
          <w:p>
            <w:pPr>
              <w:jc w:val="center"/>
              <w:rPr>
                <w:rFonts w:ascii="宋体"/>
                <w:b/>
                <w:sz w:val="24"/>
              </w:rPr>
            </w:pPr>
            <w:r>
              <w:rPr>
                <w:rFonts w:hint="eastAsia" w:ascii="宋体" w:hAnsi="宋体"/>
                <w:b/>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670" w:type="dxa"/>
          </w:tcPr>
          <w:p>
            <w:pPr>
              <w:pStyle w:val="91"/>
              <w:shd w:val="clear" w:color="auto" w:fill="FFFFFF"/>
              <w:spacing w:line="265" w:lineRule="atLeast"/>
              <w:ind w:left="420"/>
              <w:jc w:val="both"/>
              <w:rPr>
                <w:rFonts w:ascii="宋体"/>
                <w:b/>
                <w:szCs w:val="24"/>
                <w:lang w:eastAsia="zh-CN"/>
              </w:rPr>
            </w:pPr>
          </w:p>
        </w:tc>
        <w:tc>
          <w:tcPr>
            <w:tcW w:w="3570" w:type="dxa"/>
          </w:tcPr>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tcPr>
          <w:p>
            <w:pPr>
              <w:pStyle w:val="91"/>
              <w:shd w:val="clear" w:color="auto" w:fill="FFFFFF"/>
              <w:spacing w:line="265" w:lineRule="atLeas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tcPr>
          <w:p>
            <w:pPr>
              <w:pStyle w:val="91"/>
              <w:shd w:val="clear" w:color="auto" w:fill="FFFFFF"/>
              <w:spacing w:line="265" w:lineRule="atLeas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tcPr>
          <w:p>
            <w:pPr>
              <w:pStyle w:val="91"/>
              <w:shd w:val="clear" w:color="auto" w:fill="FFFFFF"/>
              <w:spacing w:line="265" w:lineRule="atLeas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9240" w:type="dxa"/>
            <w:gridSpan w:val="2"/>
          </w:tcPr>
          <w:p>
            <w:pPr>
              <w:pStyle w:val="91"/>
              <w:shd w:val="clear" w:color="auto" w:fill="FFFFFF"/>
              <w:spacing w:line="265" w:lineRule="atLeas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670" w:type="dxa"/>
          </w:tcPr>
          <w:p>
            <w:pPr>
              <w:pStyle w:val="91"/>
              <w:shd w:val="clear" w:color="auto" w:fill="FFFFFF"/>
              <w:spacing w:line="265" w:lineRule="atLeast"/>
              <w:ind w:left="0" w:firstLine="480" w:firstLineChars="200"/>
              <w:rPr>
                <w:rFonts w:ascii="宋体"/>
                <w:szCs w:val="21"/>
                <w:lang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670" w:type="dxa"/>
          </w:tcPr>
          <w:p>
            <w:pPr>
              <w:pStyle w:val="91"/>
              <w:shd w:val="clear" w:color="auto" w:fill="FFFFFF"/>
              <w:spacing w:line="265" w:lineRule="atLeast"/>
              <w:ind w:left="0" w:firstLine="480" w:firstLineChars="200"/>
              <w:rPr>
                <w:rFonts w:ascii="宋体"/>
                <w:szCs w:val="24"/>
                <w:lang w:eastAsia="zh-CN"/>
              </w:rPr>
            </w:pPr>
          </w:p>
        </w:tc>
        <w:tc>
          <w:tcPr>
            <w:tcW w:w="3570" w:type="dxa"/>
          </w:tcPr>
          <w:p>
            <w:pPr>
              <w:rPr>
                <w:rFonts w:ascii="宋体"/>
              </w:rPr>
            </w:pPr>
          </w:p>
        </w:tc>
      </w:tr>
    </w:tbl>
    <w:p>
      <w:pPr>
        <w:rPr>
          <w:rFonts w:ascii="宋体"/>
        </w:rPr>
      </w:pPr>
    </w:p>
    <w:p>
      <w:pPr>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投标主要文件目录</w:t>
      </w:r>
    </w:p>
    <w:p>
      <w:pPr>
        <w:spacing w:line="440" w:lineRule="exact"/>
        <w:jc w:val="center"/>
        <w:rPr>
          <w:rFonts w:ascii="宋体"/>
          <w:b/>
          <w:bCs/>
          <w:sz w:val="32"/>
          <w:szCs w:val="32"/>
        </w:rPr>
      </w:pPr>
    </w:p>
    <w:p>
      <w:pPr>
        <w:ind w:firstLine="480" w:firstLineChars="200"/>
        <w:rPr>
          <w:rFonts w:ascii="宋体"/>
          <w:bCs/>
          <w:sz w:val="24"/>
        </w:rPr>
      </w:pPr>
      <w:r>
        <w:rPr>
          <w:rFonts w:hint="eastAsia" w:ascii="宋体" w:hAnsi="宋体"/>
          <w:sz w:val="24"/>
        </w:rPr>
        <w:t>一、</w:t>
      </w:r>
      <w:r>
        <w:rPr>
          <w:rFonts w:hint="eastAsia" w:ascii="宋体" w:hAnsi="宋体"/>
          <w:bCs/>
          <w:sz w:val="24"/>
        </w:rPr>
        <w:t>资信证明文件</w:t>
      </w:r>
    </w:p>
    <w:p>
      <w:pPr>
        <w:ind w:firstLine="482" w:firstLineChars="200"/>
        <w:rPr>
          <w:rFonts w:asci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资格性审查响应对照表</w:t>
      </w:r>
    </w:p>
    <w:p>
      <w:pPr>
        <w:ind w:firstLine="480" w:firstLineChars="200"/>
        <w:rPr>
          <w:rFonts w:ascii="宋体"/>
          <w:bCs/>
          <w:sz w:val="24"/>
        </w:rPr>
      </w:pPr>
      <w:r>
        <w:rPr>
          <w:rFonts w:hint="eastAsia" w:ascii="宋体" w:hAnsi="宋体"/>
          <w:bCs/>
          <w:sz w:val="24"/>
        </w:rPr>
        <w:t>三、符合性检查响应对照表</w:t>
      </w:r>
    </w:p>
    <w:p>
      <w:pPr>
        <w:ind w:firstLine="480" w:firstLineChars="200"/>
        <w:rPr>
          <w:rFonts w:ascii="宋体"/>
          <w:bCs/>
          <w:sz w:val="24"/>
        </w:rPr>
      </w:pPr>
      <w:r>
        <w:rPr>
          <w:rFonts w:hint="eastAsia" w:ascii="宋体" w:hAnsi="宋体"/>
          <w:bCs/>
          <w:sz w:val="24"/>
        </w:rPr>
        <w:t>四、磋商响应函</w:t>
      </w:r>
    </w:p>
    <w:p>
      <w:pPr>
        <w:ind w:firstLine="480" w:firstLineChars="200"/>
        <w:rPr>
          <w:rFonts w:ascii="宋体"/>
          <w:bCs/>
          <w:sz w:val="24"/>
        </w:rPr>
      </w:pPr>
      <w:r>
        <w:rPr>
          <w:rFonts w:hint="eastAsia" w:ascii="宋体" w:hAnsi="宋体"/>
          <w:bCs/>
          <w:sz w:val="24"/>
        </w:rPr>
        <w:t>五、开标一览表</w:t>
      </w:r>
    </w:p>
    <w:p>
      <w:pPr>
        <w:ind w:firstLine="480" w:firstLineChars="200"/>
        <w:rPr>
          <w:rFonts w:ascii="宋体" w:hAnsi="宋体"/>
          <w:bCs/>
          <w:sz w:val="24"/>
        </w:rPr>
      </w:pPr>
      <w:r>
        <w:rPr>
          <w:rFonts w:hint="eastAsia" w:ascii="宋体" w:hAnsi="宋体"/>
          <w:bCs/>
          <w:sz w:val="24"/>
        </w:rPr>
        <w:t>六、磋商响应报价表</w:t>
      </w:r>
    </w:p>
    <w:p>
      <w:pPr>
        <w:ind w:firstLine="480" w:firstLineChars="200"/>
        <w:rPr>
          <w:rFonts w:ascii="宋体" w:hAnsi="宋体"/>
          <w:bCs/>
          <w:sz w:val="24"/>
        </w:rPr>
      </w:pPr>
      <w:r>
        <w:rPr>
          <w:rFonts w:hint="eastAsia" w:ascii="宋体" w:hAnsi="宋体"/>
          <w:bCs/>
          <w:sz w:val="24"/>
        </w:rPr>
        <w:t>七、实施方案、服务承诺、培训承诺等</w:t>
      </w:r>
    </w:p>
    <w:p>
      <w:pPr>
        <w:ind w:firstLine="480" w:firstLineChars="200"/>
        <w:rPr>
          <w:rFonts w:ascii="宋体"/>
          <w:bCs/>
          <w:sz w:val="24"/>
        </w:rPr>
      </w:pPr>
    </w:p>
    <w:p>
      <w:pPr>
        <w:ind w:firstLine="480" w:firstLineChars="200"/>
        <w:rPr>
          <w:rFonts w:ascii="宋体"/>
          <w:sz w:val="24"/>
        </w:rPr>
      </w:pPr>
    </w:p>
    <w:p>
      <w:pPr>
        <w:spacing w:line="56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360" w:lineRule="auto"/>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一、资信证明文件</w:t>
      </w:r>
    </w:p>
    <w:p>
      <w:pPr>
        <w:snapToGrid w:val="0"/>
        <w:spacing w:before="50" w:after="50" w:line="360" w:lineRule="auto"/>
        <w:ind w:firstLine="354" w:firstLineChars="147"/>
        <w:rPr>
          <w:rFonts w:ascii="宋体" w:hAnsi="宋体" w:eastAsia="仿宋_GB2312"/>
          <w:sz w:val="24"/>
          <w:szCs w:val="20"/>
        </w:rPr>
      </w:pPr>
      <w:bookmarkStart w:id="79" w:name="_Toc120614284"/>
      <w:bookmarkStart w:id="80" w:name="_Toc513029281"/>
      <w:bookmarkStart w:id="81" w:name="_Toc22356583"/>
      <w:bookmarkStart w:id="82" w:name="_Toc23828483"/>
      <w:bookmarkStart w:id="83" w:name="_Toc24878535"/>
      <w:bookmarkStart w:id="84" w:name="_Toc26554103"/>
      <w:bookmarkStart w:id="85" w:name="_Toc49090582"/>
      <w:bookmarkStart w:id="86" w:name="_Toc120614291"/>
      <w:r>
        <w:rPr>
          <w:rFonts w:hint="eastAsia" w:ascii="宋体" w:hAnsi="宋体"/>
          <w:b/>
          <w:bCs/>
          <w:sz w:val="24"/>
        </w:rPr>
        <w:t>实质性资格证明文件目录</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b/>
          <w:sz w:val="24"/>
          <w:u w:val="single"/>
        </w:rPr>
        <w:t>1</w:t>
      </w:r>
      <w:r>
        <w:rPr>
          <w:rFonts w:hint="eastAsia" w:ascii="仿宋_GB2312" w:hAnsi="宋体" w:cs="Arial"/>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宋体" w:hAnsi="宋体"/>
          <w:b/>
          <w:sz w:val="24"/>
          <w:u w:val="single"/>
        </w:rPr>
      </w:pPr>
      <w:r>
        <w:rPr>
          <w:rFonts w:hint="eastAsia"/>
          <w:b/>
          <w:sz w:val="24"/>
          <w:u w:val="single"/>
        </w:rPr>
        <w:t>文件</w:t>
      </w:r>
      <w:r>
        <w:rPr>
          <w:rFonts w:ascii="宋体" w:hAnsi="宋体"/>
          <w:b/>
          <w:sz w:val="24"/>
          <w:u w:val="single"/>
        </w:rPr>
        <w:t>2</w:t>
      </w:r>
      <w:r>
        <w:rPr>
          <w:rFonts w:hint="eastAsia" w:ascii="宋体" w:hAnsi="宋体"/>
          <w:sz w:val="24"/>
          <w:u w:val="single"/>
        </w:rPr>
        <w:t>上一年度</w:t>
      </w:r>
      <w:r>
        <w:rPr>
          <w:rFonts w:hint="eastAsia" w:ascii="仿宋_GB2312" w:hAnsi="宋体" w:cs="Arial"/>
          <w:sz w:val="24"/>
          <w:u w:val="single"/>
        </w:rPr>
        <w:t>财务状况报表（复印件，成立不满一年不需提供）</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b/>
          <w:sz w:val="24"/>
          <w:u w:val="single"/>
        </w:rPr>
        <w:t xml:space="preserve">3  </w:t>
      </w:r>
      <w:r>
        <w:rPr>
          <w:rFonts w:hint="eastAsia" w:ascii="仿宋_GB2312" w:hAnsi="宋体" w:cs="Arial"/>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sz w:val="24"/>
          <w:u w:val="single"/>
        </w:rPr>
      </w:pPr>
      <w:r>
        <w:rPr>
          <w:rFonts w:hint="eastAsia"/>
          <w:b/>
          <w:sz w:val="24"/>
          <w:u w:val="single"/>
        </w:rPr>
        <w:t>文件</w:t>
      </w:r>
      <w:r>
        <w:rPr>
          <w:rFonts w:hint="eastAsia" w:ascii="宋体" w:hAnsi="宋体"/>
          <w:b/>
          <w:sz w:val="24"/>
          <w:u w:val="single"/>
        </w:rPr>
        <w:t xml:space="preserve">4  </w:t>
      </w:r>
      <w:r>
        <w:rPr>
          <w:rFonts w:hint="eastAsia" w:ascii="仿宋_GB2312" w:hAnsi="宋体" w:cs="Arial"/>
          <w:sz w:val="24"/>
          <w:u w:val="single"/>
        </w:rPr>
        <w:t>具备履行合同所必需的设备和专业技术能力</w:t>
      </w:r>
      <w:r>
        <w:rPr>
          <w:rFonts w:hint="eastAsia" w:ascii="宋体" w:hAnsi="宋体"/>
          <w:sz w:val="24"/>
          <w:u w:val="single"/>
        </w:rPr>
        <w:t>证明材料</w:t>
      </w:r>
      <w:r>
        <w:rPr>
          <w:rFonts w:hint="eastAsia" w:ascii="仿宋_GB2312" w:hAnsi="宋体" w:cs="Arial"/>
          <w:sz w:val="24"/>
          <w:u w:val="single"/>
        </w:rPr>
        <w:t>（复印件）</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rFonts w:hint="eastAsia" w:ascii="黑体" w:hAnsi="宋体" w:eastAsia="黑体"/>
          <w:b/>
          <w:sz w:val="24"/>
          <w:u w:val="single"/>
        </w:rPr>
        <w:t>5</w:t>
      </w:r>
      <w:r>
        <w:rPr>
          <w:rFonts w:hint="eastAsia" w:ascii="仿宋_GB2312" w:hAnsi="宋体" w:cs="Arial"/>
          <w:sz w:val="24"/>
          <w:u w:val="single"/>
        </w:rPr>
        <w:t>参加政府采购活动前 3 年内在经营活动中没有重大违法记录的书面声明（</w:t>
      </w:r>
      <w:r>
        <w:rPr>
          <w:rFonts w:ascii="宋体" w:hAnsi="宋体"/>
          <w:u w:val="single"/>
        </w:rPr>
        <w:t>原件,</w:t>
      </w:r>
      <w:r>
        <w:rPr>
          <w:rFonts w:hint="eastAsia" w:ascii="仿宋_GB2312" w:hAnsi="宋体" w:cs="Arial"/>
          <w:sz w:val="24"/>
          <w:u w:val="single"/>
        </w:rPr>
        <w:t>格式见附表）</w:t>
      </w:r>
    </w:p>
    <w:p>
      <w:pPr>
        <w:pStyle w:val="64"/>
        <w:spacing w:line="360" w:lineRule="auto"/>
        <w:ind w:firstLine="561"/>
        <w:rPr>
          <w:rFonts w:ascii="仿宋_GB2312" w:hAnsi="宋体" w:cs="Arial"/>
          <w:u w:val="single"/>
        </w:rPr>
      </w:pPr>
      <w:r>
        <w:rPr>
          <w:rFonts w:hint="eastAsia"/>
          <w:b/>
          <w:u w:val="single"/>
        </w:rPr>
        <w:t>文件6</w:t>
      </w:r>
      <w:r>
        <w:rPr>
          <w:rFonts w:hint="eastAsia" w:ascii="仿宋_GB2312" w:hAnsi="宋体" w:cs="Arial"/>
          <w:u w:val="single"/>
        </w:rPr>
        <w:t>法人授权书</w:t>
      </w:r>
      <w:r>
        <w:rPr>
          <w:rFonts w:ascii="仿宋_GB2312" w:hAnsi="宋体" w:cs="Arial"/>
          <w:u w:val="single"/>
        </w:rPr>
        <w:t>（原件）</w:t>
      </w:r>
    </w:p>
    <w:p>
      <w:pPr>
        <w:snapToGrid w:val="0"/>
        <w:spacing w:before="50" w:afterLines="50" w:line="360" w:lineRule="auto"/>
        <w:ind w:firstLine="482"/>
        <w:jc w:val="left"/>
        <w:rPr>
          <w:rFonts w:ascii="仿宋_GB2312" w:hAnsi="宋体" w:cs="Arial"/>
          <w:sz w:val="24"/>
          <w:u w:val="single"/>
        </w:rPr>
      </w:pPr>
      <w:r>
        <w:rPr>
          <w:rFonts w:hint="eastAsia"/>
          <w:b/>
          <w:sz w:val="24"/>
          <w:u w:val="single"/>
        </w:rPr>
        <w:t>文件7</w:t>
      </w:r>
      <w:r>
        <w:rPr>
          <w:rFonts w:hint="eastAsia" w:ascii="仿宋_GB2312" w:hAnsi="宋体" w:cs="Arial"/>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sz w:val="24"/>
          <w:u w:val="single"/>
        </w:rPr>
      </w:pPr>
    </w:p>
    <w:p>
      <w:pPr>
        <w:snapToGrid w:val="0"/>
        <w:spacing w:before="50" w:afterLines="50"/>
        <w:ind w:firstLine="482"/>
        <w:jc w:val="left"/>
        <w:rPr>
          <w:rFonts w:ascii="仿宋_GB2312" w:hAnsi="宋体" w:cs="Arial"/>
          <w:bCs/>
          <w:iCs/>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jc w:val="left"/>
        <w:rPr>
          <w:rFonts w:ascii="仿宋_GB2312" w:hAnsi="宋体" w:cs="Arial"/>
          <w:i/>
          <w:sz w:val="24"/>
          <w:u w:val="single"/>
        </w:rPr>
      </w:pPr>
    </w:p>
    <w:p>
      <w:pPr>
        <w:pStyle w:val="5"/>
        <w:jc w:val="center"/>
        <w:rPr>
          <w:rFonts w:ascii="宋体"/>
          <w:bCs/>
          <w:sz w:val="24"/>
          <w:szCs w:val="24"/>
        </w:rPr>
      </w:pPr>
      <w:r>
        <w:rPr>
          <w:rFonts w:ascii="宋体" w:hAnsi="宋体"/>
          <w:bCs/>
          <w:sz w:val="24"/>
          <w:szCs w:val="24"/>
        </w:rPr>
        <w:br w:type="page"/>
      </w:r>
      <w:r>
        <w:rPr>
          <w:rFonts w:hint="eastAsia" w:ascii="宋体" w:hAnsi="宋体"/>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pStyle w:val="4"/>
        <w:ind w:firstLine="0"/>
      </w:pPr>
    </w:p>
    <w:p>
      <w:pPr>
        <w:pStyle w:val="5"/>
        <w:jc w:val="center"/>
        <w:rPr>
          <w:rFonts w:ascii="宋体"/>
          <w:bCs/>
          <w:sz w:val="24"/>
          <w:szCs w:val="24"/>
        </w:rPr>
      </w:pPr>
      <w:r>
        <w:rPr>
          <w:rFonts w:ascii="宋体"/>
          <w:bCs/>
          <w:sz w:val="24"/>
          <w:szCs w:val="24"/>
        </w:rPr>
        <w:br w:type="page"/>
      </w:r>
      <w:r>
        <w:rPr>
          <w:rFonts w:hint="eastAsia" w:ascii="宋体" w:hAnsi="宋体"/>
          <w:bCs/>
          <w:sz w:val="24"/>
          <w:szCs w:val="24"/>
        </w:rPr>
        <w:t>参加政府采购活动前</w:t>
      </w:r>
      <w:r>
        <w:rPr>
          <w:rFonts w:ascii="宋体" w:hAnsi="宋体"/>
          <w:bCs/>
          <w:sz w:val="24"/>
          <w:szCs w:val="24"/>
        </w:rPr>
        <w:t xml:space="preserve"> 3 </w:t>
      </w:r>
      <w:r>
        <w:rPr>
          <w:rFonts w:hint="eastAsia" w:ascii="宋体" w:hAnsi="宋体"/>
          <w:bCs/>
          <w:sz w:val="24"/>
          <w:szCs w:val="24"/>
        </w:rPr>
        <w:t>年内在经营活动中没有重大违法记录的书面声明</w:t>
      </w:r>
    </w:p>
    <w:p>
      <w:pPr>
        <w:spacing w:line="460" w:lineRule="exact"/>
        <w:rPr>
          <w:rFonts w:ascii="宋体"/>
          <w:b/>
          <w:bCs/>
          <w:sz w:val="44"/>
          <w:szCs w:val="44"/>
        </w:rPr>
      </w:pPr>
    </w:p>
    <w:p>
      <w:pPr>
        <w:spacing w:line="460" w:lineRule="exact"/>
        <w:jc w:val="center"/>
        <w:rPr>
          <w:rFonts w:ascii="宋体"/>
          <w:b/>
          <w:bCs/>
          <w:sz w:val="44"/>
          <w:szCs w:val="44"/>
        </w:rPr>
      </w:pPr>
      <w:r>
        <w:rPr>
          <w:rFonts w:hint="eastAsia" w:ascii="宋体" w:hAnsi="宋体"/>
          <w:b/>
          <w:bCs/>
          <w:sz w:val="44"/>
          <w:szCs w:val="44"/>
        </w:rPr>
        <w:t>声明</w:t>
      </w:r>
    </w:p>
    <w:p>
      <w:pPr>
        <w:spacing w:line="460" w:lineRule="exact"/>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r>
        <w:rPr>
          <w:rFonts w:hint="eastAsia" w:ascii="宋体" w:hAnsi="宋体"/>
          <w:bCs/>
          <w:sz w:val="24"/>
        </w:rPr>
        <w:t>授权代表签字：</w:t>
      </w:r>
      <w:r>
        <w:rPr>
          <w:rFonts w:ascii="宋体" w:hAnsi="宋体"/>
          <w:bCs/>
          <w:sz w:val="24"/>
          <w:u w:val="single"/>
        </w:rPr>
        <w:t>_______________________</w:t>
      </w: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5"/>
        <w:jc w:val="center"/>
        <w:rPr>
          <w:rFonts w:ascii="宋体"/>
          <w:sz w:val="21"/>
          <w:szCs w:val="21"/>
        </w:rPr>
      </w:pPr>
      <w:bookmarkStart w:id="87" w:name="_格式3__银行出具的资信证明"/>
      <w:bookmarkEnd w:id="87"/>
    </w:p>
    <w:p>
      <w:pPr>
        <w:pStyle w:val="5"/>
        <w:jc w:val="center"/>
        <w:rPr>
          <w:rFonts w:ascii="宋体"/>
          <w:sz w:val="24"/>
          <w:szCs w:val="24"/>
        </w:rPr>
      </w:pPr>
      <w:r>
        <w:rPr>
          <w:rFonts w:ascii="宋体" w:hAnsi="宋体"/>
          <w:sz w:val="24"/>
          <w:szCs w:val="24"/>
        </w:rPr>
        <w:br w:type="page"/>
      </w:r>
      <w:r>
        <w:rPr>
          <w:rFonts w:hint="eastAsia" w:ascii="宋体" w:hAnsi="宋体"/>
          <w:sz w:val="24"/>
          <w:szCs w:val="24"/>
        </w:rPr>
        <w:t>法人授权书</w:t>
      </w:r>
    </w:p>
    <w:p>
      <w:pPr>
        <w:pStyle w:val="64"/>
        <w:ind w:firstLine="480"/>
      </w:pPr>
      <w:r>
        <w:rPr>
          <w:rFonts w:hint="eastAsia"/>
        </w:rPr>
        <w:t>本授权书声明：</w:t>
      </w:r>
      <w:r>
        <w:t>____________</w:t>
      </w:r>
      <w:r>
        <w:rPr>
          <w:rFonts w:hint="eastAsia"/>
        </w:rPr>
        <w:t>（供应商名称）授权</w:t>
      </w:r>
      <w:r>
        <w:t>________________</w:t>
      </w:r>
      <w:r>
        <w:rPr>
          <w:rFonts w:hint="eastAsia"/>
        </w:rPr>
        <w:t>（被授权人的姓名）为我方就号项目采购活动的合法代理人，以本公司名义全权处理一切与该项目采购有关的事务。</w:t>
      </w:r>
    </w:p>
    <w:p>
      <w:pPr>
        <w:pStyle w:val="64"/>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pPr>
        <w:pStyle w:val="64"/>
      </w:pPr>
      <w:r>
        <w:rPr>
          <w:rFonts w:hint="eastAsia"/>
        </w:rPr>
        <w:t>代理人（被授权人）：</w:t>
      </w:r>
      <w:r>
        <w:t>_______________________</w:t>
      </w:r>
    </w:p>
    <w:p>
      <w:pPr>
        <w:pStyle w:val="64"/>
      </w:pPr>
    </w:p>
    <w:p>
      <w:pPr>
        <w:pStyle w:val="64"/>
      </w:pPr>
      <w:r>
        <w:rPr>
          <w:rFonts w:hint="eastAsia"/>
        </w:rPr>
        <w:t>单位名称：</w:t>
      </w:r>
      <w:r>
        <w:t>_____________________________________</w:t>
      </w:r>
    </w:p>
    <w:p>
      <w:pPr>
        <w:pStyle w:val="64"/>
        <w:ind w:firstLine="480"/>
      </w:pPr>
    </w:p>
    <w:p>
      <w:pPr>
        <w:pStyle w:val="64"/>
      </w:pPr>
      <w:r>
        <w:rPr>
          <w:rFonts w:hint="eastAsia"/>
        </w:rPr>
        <w:t>授权单位盖章：</w:t>
      </w:r>
      <w:r>
        <w:t>_________________________________</w:t>
      </w:r>
    </w:p>
    <w:p>
      <w:pPr>
        <w:pStyle w:val="64"/>
        <w:ind w:firstLine="480"/>
      </w:pPr>
      <w:r>
        <w:rPr>
          <w:rFonts w:hint="eastAsia"/>
        </w:rPr>
        <w:t>单位名称：</w:t>
      </w:r>
      <w:r>
        <w:t>_____________________________________</w:t>
      </w:r>
    </w:p>
    <w:p>
      <w:pPr>
        <w:pStyle w:val="64"/>
        <w:ind w:firstLine="480"/>
        <w:rPr>
          <w:u w:val="single"/>
        </w:rPr>
      </w:pPr>
      <w:r>
        <w:rPr>
          <w:rFonts w:hint="eastAsia"/>
        </w:rPr>
        <w:t>地址：</w:t>
      </w:r>
    </w:p>
    <w:p>
      <w:pPr>
        <w:pStyle w:val="64"/>
        <w:ind w:firstLine="480"/>
      </w:pPr>
      <w:r>
        <w:rPr>
          <w:rFonts w:hint="eastAsia"/>
        </w:rPr>
        <w:t>日期：</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pStyle w:val="5"/>
        <w:rPr>
          <w:rFonts w:ascii="宋体"/>
          <w:color w:val="000000"/>
        </w:rPr>
      </w:pPr>
    </w:p>
    <w:p>
      <w:pPr>
        <w:pStyle w:val="5"/>
        <w:jc w:val="center"/>
        <w:rPr>
          <w:rFonts w:ascii="黑体" w:eastAsia="黑体"/>
          <w:szCs w:val="32"/>
        </w:rPr>
      </w:pPr>
      <w:r>
        <w:rPr>
          <w:rFonts w:ascii="宋体" w:hAnsi="宋体"/>
          <w:color w:val="000000"/>
        </w:rPr>
        <w:br w:type="page"/>
      </w:r>
      <w:r>
        <w:rPr>
          <w:rFonts w:hint="eastAsia" w:ascii="黑体" w:eastAsia="黑体"/>
          <w:szCs w:val="32"/>
        </w:rPr>
        <w:t>二、资格性审查响应对照表（格式）</w:t>
      </w:r>
    </w:p>
    <w:p>
      <w:pPr>
        <w:ind w:firstLine="309"/>
        <w:rPr>
          <w:rFonts w:ascii="宋体" w:hAnsi="宋体"/>
          <w:sz w:val="24"/>
        </w:rPr>
      </w:pPr>
      <w:r>
        <w:rPr>
          <w:rFonts w:hint="eastAsia" w:ascii="宋体" w:hAnsi="宋体"/>
          <w:sz w:val="24"/>
        </w:rPr>
        <w:t>磋商供应商全称（加盖公章）：</w:t>
      </w:r>
    </w:p>
    <w:tbl>
      <w:tblPr>
        <w:tblStyle w:val="4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rPr>
            </w:pPr>
            <w:r>
              <w:rPr>
                <w:rFonts w:hint="eastAsia" w:ascii="幼圆" w:eastAsia="幼圆"/>
                <w:b/>
              </w:rPr>
              <w:t>序号</w:t>
            </w:r>
          </w:p>
        </w:tc>
        <w:tc>
          <w:tcPr>
            <w:tcW w:w="5447" w:type="dxa"/>
            <w:vAlign w:val="center"/>
          </w:tcPr>
          <w:p>
            <w:pPr>
              <w:snapToGrid w:val="0"/>
              <w:spacing w:line="240" w:lineRule="atLeast"/>
              <w:jc w:val="center"/>
              <w:rPr>
                <w:rFonts w:ascii="幼圆" w:eastAsia="幼圆"/>
                <w:b/>
              </w:rPr>
            </w:pPr>
            <w:r>
              <w:rPr>
                <w:rFonts w:hint="eastAsia" w:ascii="幼圆" w:eastAsia="幼圆"/>
                <w:b/>
              </w:rPr>
              <w:t>资格性审查响应内容</w:t>
            </w:r>
          </w:p>
        </w:tc>
        <w:tc>
          <w:tcPr>
            <w:tcW w:w="1680" w:type="dxa"/>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785" w:type="dxa"/>
            <w:vAlign w:val="center"/>
          </w:tcPr>
          <w:p>
            <w:pPr>
              <w:snapToGrid w:val="0"/>
              <w:spacing w:line="240" w:lineRule="atLeast"/>
              <w:jc w:val="center"/>
              <w:rPr>
                <w:rFonts w:ascii="幼圆" w:eastAsia="幼圆"/>
                <w:b/>
              </w:rPr>
            </w:pPr>
            <w:r>
              <w:rPr>
                <w:rFonts w:hint="eastAsia" w:ascii="幼圆" w:eastAsia="幼圆"/>
                <w:b/>
              </w:rPr>
              <w:t>响应文件中的</w:t>
            </w:r>
          </w:p>
          <w:p>
            <w:pPr>
              <w:snapToGrid w:val="0"/>
              <w:spacing w:line="240" w:lineRule="atLeast"/>
              <w:jc w:val="center"/>
              <w:rPr>
                <w:rFonts w:ascii="幼圆" w:eastAsia="幼圆"/>
                <w:b/>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b/>
              </w:rPr>
            </w:pPr>
            <w:r>
              <w:rPr>
                <w:rFonts w:hint="eastAsia" w:ascii="宋体" w:hAnsi="宋体"/>
                <w:b/>
              </w:rPr>
              <w:t>1</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b/>
              </w:rPr>
            </w:pPr>
          </w:p>
        </w:tc>
        <w:tc>
          <w:tcPr>
            <w:tcW w:w="1785" w:type="dxa"/>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2</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3</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rFonts w:ascii="宋体" w:hAnsi="宋体"/>
              </w:rPr>
            </w:pPr>
            <w:r>
              <w:rPr>
                <w:rFonts w:hint="eastAsia" w:ascii="宋体" w:hAnsi="宋体"/>
              </w:rPr>
              <w:t>4</w:t>
            </w:r>
          </w:p>
        </w:tc>
        <w:tc>
          <w:tcPr>
            <w:tcW w:w="5447" w:type="dxa"/>
            <w:vAlign w:val="center"/>
          </w:tcPr>
          <w:p>
            <w:pPr>
              <w:spacing w:line="360" w:lineRule="auto"/>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rFonts w:ascii="宋体" w:hAnsi="宋体"/>
              </w:rPr>
            </w:pPr>
            <w:r>
              <w:rPr>
                <w:rFonts w:hint="eastAsia" w:ascii="宋体" w:hAnsi="宋体"/>
              </w:rPr>
              <w:t>5</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rFonts w:ascii="宋体" w:hAnsi="宋体"/>
              </w:rPr>
            </w:pPr>
            <w:r>
              <w:rPr>
                <w:rFonts w:hint="eastAsia" w:ascii="宋体" w:hAnsi="宋体"/>
              </w:rPr>
              <w:t>6</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rFonts w:ascii="宋体" w:hAnsi="宋体"/>
              </w:rPr>
            </w:pPr>
            <w:r>
              <w:rPr>
                <w:rFonts w:hint="eastAsia" w:ascii="宋体" w:hAnsi="宋体"/>
              </w:rPr>
              <w:t>7</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bl>
    <w:p>
      <w:pPr>
        <w:snapToGrid w:val="0"/>
        <w:spacing w:before="50" w:after="50"/>
        <w:rPr>
          <w:rFonts w:ascii="黑体" w:eastAsia="黑体"/>
          <w:sz w:val="44"/>
        </w:rPr>
      </w:pPr>
    </w:p>
    <w:p>
      <w:pPr>
        <w:snapToGrid w:val="0"/>
        <w:spacing w:before="50" w:after="50"/>
        <w:jc w:val="center"/>
        <w:rPr>
          <w:rFonts w:ascii="黑体" w:eastAsia="黑体"/>
          <w:sz w:val="32"/>
          <w:szCs w:val="32"/>
        </w:rPr>
      </w:pPr>
      <w:r>
        <w:rPr>
          <w:rFonts w:ascii="黑体" w:eastAsia="黑体"/>
          <w:sz w:val="32"/>
          <w:szCs w:val="32"/>
        </w:rPr>
        <w:br w:type="page"/>
      </w:r>
      <w:r>
        <w:rPr>
          <w:rFonts w:hint="eastAsia" w:ascii="黑体" w:eastAsia="黑体"/>
          <w:sz w:val="32"/>
          <w:szCs w:val="32"/>
        </w:rPr>
        <w:t>三、符合性检查响应对照表（格式）</w:t>
      </w:r>
    </w:p>
    <w:p>
      <w:pPr>
        <w:ind w:firstLine="309"/>
        <w:rPr>
          <w:rFonts w:ascii="宋体"/>
          <w:sz w:val="24"/>
        </w:rPr>
      </w:pPr>
      <w:r>
        <w:rPr>
          <w:rFonts w:hint="eastAsia" w:ascii="宋体" w:hAnsi="宋体"/>
          <w:sz w:val="24"/>
        </w:rPr>
        <w:t>磋商供应商全称（加盖公章）：</w:t>
      </w:r>
    </w:p>
    <w:tbl>
      <w:tblPr>
        <w:tblStyle w:val="4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sz w:val="24"/>
              </w:rPr>
            </w:pPr>
            <w:r>
              <w:rPr>
                <w:rFonts w:hint="eastAsia" w:ascii="幼圆" w:eastAsia="幼圆"/>
                <w:b/>
                <w:sz w:val="24"/>
              </w:rPr>
              <w:t>序号</w:t>
            </w:r>
          </w:p>
        </w:tc>
        <w:tc>
          <w:tcPr>
            <w:tcW w:w="5447" w:type="dxa"/>
            <w:vAlign w:val="center"/>
          </w:tcPr>
          <w:p>
            <w:pPr>
              <w:snapToGrid w:val="0"/>
              <w:spacing w:line="240" w:lineRule="atLeast"/>
              <w:jc w:val="center"/>
              <w:rPr>
                <w:rFonts w:ascii="幼圆" w:eastAsia="幼圆"/>
                <w:b/>
                <w:sz w:val="24"/>
              </w:rPr>
            </w:pPr>
            <w:r>
              <w:rPr>
                <w:rFonts w:hint="eastAsia" w:ascii="幼圆" w:eastAsia="幼圆"/>
                <w:b/>
                <w:sz w:val="24"/>
              </w:rPr>
              <w:t>符合性检查响应内容</w:t>
            </w:r>
          </w:p>
        </w:tc>
        <w:tc>
          <w:tcPr>
            <w:tcW w:w="1680" w:type="dxa"/>
            <w:vAlign w:val="center"/>
          </w:tcPr>
          <w:p>
            <w:pPr>
              <w:snapToGrid w:val="0"/>
              <w:spacing w:line="240" w:lineRule="atLeast"/>
              <w:jc w:val="center"/>
              <w:rPr>
                <w:rFonts w:ascii="幼圆" w:eastAsia="幼圆"/>
                <w:b/>
                <w:sz w:val="24"/>
              </w:rPr>
            </w:pPr>
            <w:r>
              <w:rPr>
                <w:rFonts w:hint="eastAsia" w:ascii="幼圆" w:eastAsia="幼圆"/>
                <w:b/>
                <w:sz w:val="24"/>
              </w:rPr>
              <w:t>是否响应</w:t>
            </w:r>
          </w:p>
          <w:p>
            <w:pPr>
              <w:snapToGrid w:val="0"/>
              <w:spacing w:line="240" w:lineRule="atLeast"/>
              <w:jc w:val="center"/>
              <w:rPr>
                <w:rFonts w:ascii="幼圆" w:eastAsia="幼圆"/>
                <w:b/>
                <w:sz w:val="24"/>
              </w:rPr>
            </w:pPr>
            <w:r>
              <w:rPr>
                <w:rFonts w:hint="eastAsia" w:ascii="幼圆" w:eastAsia="幼圆"/>
                <w:b/>
                <w:sz w:val="24"/>
              </w:rPr>
              <w:t>（填是或者否）</w:t>
            </w:r>
          </w:p>
        </w:tc>
        <w:tc>
          <w:tcPr>
            <w:tcW w:w="1785" w:type="dxa"/>
            <w:vAlign w:val="center"/>
          </w:tcPr>
          <w:p>
            <w:pPr>
              <w:snapToGrid w:val="0"/>
              <w:spacing w:line="240" w:lineRule="atLeast"/>
              <w:jc w:val="center"/>
              <w:rPr>
                <w:rFonts w:ascii="幼圆" w:eastAsia="幼圆"/>
                <w:b/>
                <w:sz w:val="24"/>
              </w:rPr>
            </w:pPr>
            <w:r>
              <w:rPr>
                <w:rFonts w:hint="eastAsia" w:ascii="幼圆" w:eastAsia="幼圆"/>
                <w:b/>
                <w:sz w:val="24"/>
              </w:rPr>
              <w:t>响应文件中的</w:t>
            </w:r>
          </w:p>
          <w:p>
            <w:pPr>
              <w:snapToGrid w:val="0"/>
              <w:spacing w:line="240" w:lineRule="atLeast"/>
              <w:jc w:val="center"/>
              <w:rPr>
                <w:rFonts w:ascii="幼圆" w:eastAsia="幼圆"/>
                <w:b/>
                <w:sz w:val="24"/>
              </w:rPr>
            </w:pPr>
            <w:r>
              <w:rPr>
                <w:rFonts w:hint="eastAsia" w:ascii="幼圆" w:eastAsia="幼圆"/>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b/>
                <w:sz w:val="24"/>
              </w:rPr>
            </w:pPr>
            <w:r>
              <w:rPr>
                <w:rFonts w:ascii="宋体" w:hAnsi="宋体"/>
                <w:b/>
                <w:sz w:val="24"/>
              </w:rPr>
              <w:t>1</w:t>
            </w:r>
          </w:p>
        </w:tc>
        <w:tc>
          <w:tcPr>
            <w:tcW w:w="5447" w:type="dxa"/>
            <w:vAlign w:val="center"/>
          </w:tcPr>
          <w:p>
            <w:pPr>
              <w:spacing w:line="480" w:lineRule="exact"/>
              <w:rPr>
                <w:rFonts w:ascii="宋体"/>
                <w:iCs/>
                <w:sz w:val="24"/>
              </w:rPr>
            </w:pPr>
          </w:p>
        </w:tc>
        <w:tc>
          <w:tcPr>
            <w:tcW w:w="1680" w:type="dxa"/>
            <w:vAlign w:val="center"/>
          </w:tcPr>
          <w:p>
            <w:pPr>
              <w:rPr>
                <w:rFonts w:ascii="宋体"/>
                <w:b/>
                <w:sz w:val="24"/>
              </w:rPr>
            </w:pPr>
          </w:p>
        </w:tc>
        <w:tc>
          <w:tcPr>
            <w:tcW w:w="1785" w:type="dxa"/>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2</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3</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rFonts w:ascii="宋体"/>
                <w:sz w:val="24"/>
              </w:rPr>
            </w:pPr>
            <w:r>
              <w:rPr>
                <w:rFonts w:ascii="宋体" w:hAnsi="宋体"/>
                <w:sz w:val="24"/>
              </w:rPr>
              <w:t>4</w:t>
            </w:r>
          </w:p>
        </w:tc>
        <w:tc>
          <w:tcPr>
            <w:tcW w:w="5447" w:type="dxa"/>
            <w:vAlign w:val="center"/>
          </w:tcPr>
          <w:p>
            <w:pPr>
              <w:spacing w:line="360" w:lineRule="auto"/>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rFonts w:ascii="宋体"/>
                <w:sz w:val="24"/>
              </w:rPr>
            </w:pPr>
            <w:r>
              <w:rPr>
                <w:rFonts w:ascii="宋体" w:hAnsi="宋体"/>
                <w:sz w:val="24"/>
              </w:rPr>
              <w:t>5</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rFonts w:ascii="宋体"/>
                <w:sz w:val="24"/>
              </w:rPr>
            </w:pPr>
            <w:r>
              <w:rPr>
                <w:rFonts w:ascii="宋体" w:hAnsi="宋体"/>
                <w:sz w:val="24"/>
              </w:rPr>
              <w:t>6</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rFonts w:ascii="宋体"/>
                <w:sz w:val="24"/>
              </w:rPr>
            </w:pPr>
            <w:r>
              <w:rPr>
                <w:rFonts w:ascii="宋体" w:hAnsi="宋体"/>
                <w:sz w:val="24"/>
              </w:rPr>
              <w:t>7</w:t>
            </w:r>
          </w:p>
        </w:tc>
        <w:tc>
          <w:tcPr>
            <w:tcW w:w="5447" w:type="dxa"/>
            <w:vAlign w:val="center"/>
          </w:tcPr>
          <w:p>
            <w:pPr>
              <w:snapToGrid w:val="0"/>
              <w:spacing w:line="590" w:lineRule="atLeast"/>
              <w:rPr>
                <w:rFonts w:ascii="宋体"/>
                <w:iCs/>
                <w:sz w:val="24"/>
              </w:rPr>
            </w:pPr>
            <w:r>
              <w:rPr>
                <w:rFonts w:hint="eastAsia" w:ascii="宋体" w:hAnsi="宋体"/>
                <w:iCs/>
                <w:sz w:val="24"/>
              </w:rPr>
              <w:t>招标文件中的其他实质性要求</w:t>
            </w:r>
          </w:p>
        </w:tc>
        <w:tc>
          <w:tcPr>
            <w:tcW w:w="1680" w:type="dxa"/>
            <w:vAlign w:val="center"/>
          </w:tcPr>
          <w:p>
            <w:pPr>
              <w:rPr>
                <w:rFonts w:ascii="宋体"/>
                <w:sz w:val="24"/>
              </w:rPr>
            </w:pPr>
          </w:p>
        </w:tc>
        <w:tc>
          <w:tcPr>
            <w:tcW w:w="1785" w:type="dxa"/>
            <w:vAlign w:val="center"/>
          </w:tcPr>
          <w:p>
            <w:pPr>
              <w:rPr>
                <w:rFonts w:ascii="宋体"/>
                <w:sz w:val="24"/>
              </w:rPr>
            </w:pPr>
          </w:p>
        </w:tc>
      </w:tr>
    </w:tbl>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44"/>
        </w:rPr>
      </w:pPr>
    </w:p>
    <w:p>
      <w:pPr>
        <w:snapToGrid w:val="0"/>
        <w:spacing w:before="50" w:after="50"/>
        <w:rPr>
          <w:rFonts w:ascii="黑体" w:eastAsia="黑体"/>
          <w:sz w:val="32"/>
          <w:szCs w:val="32"/>
        </w:rPr>
      </w:pPr>
    </w:p>
    <w:p>
      <w:pPr>
        <w:snapToGrid w:val="0"/>
        <w:spacing w:before="50" w:after="50"/>
        <w:rPr>
          <w:rFonts w:ascii="宋体"/>
          <w:sz w:val="24"/>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pPr>
    </w:p>
    <w:p>
      <w:pPr>
        <w:spacing w:line="560" w:lineRule="exact"/>
        <w:jc w:val="center"/>
        <w:rPr>
          <w:rFonts w:ascii="宋体"/>
          <w:bCs/>
        </w:rPr>
      </w:pPr>
      <w:r>
        <w:rPr>
          <w:rFonts w:hint="eastAsia" w:ascii="黑体" w:hAnsi="黑体" w:eastAsia="黑体"/>
          <w:sz w:val="32"/>
          <w:szCs w:val="32"/>
        </w:rPr>
        <w:t>四、磋商响应函</w:t>
      </w:r>
    </w:p>
    <w:p>
      <w:pPr>
        <w:pStyle w:val="64"/>
        <w:spacing w:line="560" w:lineRule="exact"/>
        <w:ind w:firstLine="482"/>
      </w:pPr>
      <w:r>
        <w:rPr>
          <w:rFonts w:hint="eastAsia"/>
        </w:rPr>
        <w:t>致：</w:t>
      </w:r>
      <w:r>
        <w:rPr>
          <w:rFonts w:hint="eastAsia" w:ascii="宋体" w:hAnsi="宋体" w:cs="宋体"/>
        </w:rPr>
        <w:t>盐城工业职业技术学院</w:t>
      </w:r>
      <w:r>
        <w:rPr>
          <w:rFonts w:hint="eastAsia"/>
        </w:rPr>
        <w:t>：</w:t>
      </w:r>
    </w:p>
    <w:p>
      <w:pPr>
        <w:pStyle w:val="64"/>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pPr>
        <w:pStyle w:val="64"/>
        <w:spacing w:line="560" w:lineRule="exact"/>
        <w:ind w:firstLine="482"/>
      </w:pPr>
      <w:r>
        <w:rPr>
          <w:rFonts w:hint="eastAsia"/>
        </w:rPr>
        <w:t>据此函，</w:t>
      </w:r>
      <w:r>
        <w:t>__________</w:t>
      </w:r>
      <w:r>
        <w:rPr>
          <w:rFonts w:hint="eastAsia"/>
        </w:rPr>
        <w:t>（签字人）兹宣布同意如下：</w:t>
      </w:r>
    </w:p>
    <w:p>
      <w:pPr>
        <w:pStyle w:val="64"/>
        <w:spacing w:line="560" w:lineRule="exact"/>
        <w:ind w:firstLine="482"/>
      </w:pPr>
      <w:r>
        <w:t>1.</w:t>
      </w:r>
      <w:r>
        <w:rPr>
          <w:rFonts w:hint="eastAsia"/>
        </w:rPr>
        <w:t>按磋商文件规定的各项要求，向买方提供所需服务。</w:t>
      </w:r>
    </w:p>
    <w:p>
      <w:pPr>
        <w:pStyle w:val="64"/>
        <w:spacing w:line="560" w:lineRule="exact"/>
        <w:ind w:firstLine="482"/>
      </w:pPr>
      <w:r>
        <w:t>2.</w:t>
      </w:r>
      <w:r>
        <w:rPr>
          <w:rFonts w:hint="eastAsia"/>
        </w:rPr>
        <w:t>我们已详细审核全部磋商文件及其有效补充文件，我们知道必须放弃提出含糊不清或误解问题的权利。</w:t>
      </w:r>
    </w:p>
    <w:p>
      <w:pPr>
        <w:pStyle w:val="64"/>
        <w:spacing w:line="560" w:lineRule="exact"/>
        <w:ind w:firstLine="482"/>
      </w:pPr>
      <w:r>
        <w:t>3.</w:t>
      </w:r>
      <w:r>
        <w:rPr>
          <w:rFonts w:hint="eastAsia"/>
        </w:rPr>
        <w:t>我们同意从规定的</w:t>
      </w:r>
      <w:r>
        <w:rPr>
          <w:rFonts w:hint="eastAsia" w:ascii="宋体" w:hAnsi="宋体"/>
        </w:rPr>
        <w:t>响应文件接收截止时间</w:t>
      </w:r>
      <w:r>
        <w:rPr>
          <w:rFonts w:hint="eastAsia"/>
        </w:rPr>
        <w:t>起遵循本响应文件，并在规定的磋商有效期期满之前均具有约束力。</w:t>
      </w:r>
    </w:p>
    <w:p>
      <w:pPr>
        <w:pStyle w:val="64"/>
        <w:spacing w:line="560" w:lineRule="exact"/>
        <w:ind w:firstLine="482"/>
      </w:pPr>
      <w:r>
        <w:t>4.</w:t>
      </w:r>
      <w:r>
        <w:rPr>
          <w:rFonts w:hint="eastAsia"/>
        </w:rPr>
        <w:t>如果在</w:t>
      </w:r>
      <w:r>
        <w:rPr>
          <w:rFonts w:hint="eastAsia" w:ascii="宋体" w:hAnsi="宋体"/>
        </w:rPr>
        <w:t>响应文件接收截止时间</w:t>
      </w:r>
      <w:r>
        <w:rPr>
          <w:rFonts w:hint="eastAsia"/>
        </w:rPr>
        <w:t>后规定的磋商有效期内撤回响应文件或成交后拒绝签订合同，我们的磋商保证金可被贵方没收。</w:t>
      </w:r>
    </w:p>
    <w:p>
      <w:pPr>
        <w:pStyle w:val="64"/>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pPr>
        <w:pStyle w:val="64"/>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pPr>
        <w:pStyle w:val="64"/>
        <w:spacing w:line="560" w:lineRule="exact"/>
        <w:ind w:firstLine="482"/>
      </w:pPr>
      <w:r>
        <w:t>7.</w:t>
      </w:r>
      <w:r>
        <w:rPr>
          <w:rFonts w:hint="eastAsia"/>
        </w:rPr>
        <w:t>遵守磋商文件中要求的收费项目和标准。</w:t>
      </w:r>
    </w:p>
    <w:p>
      <w:pPr>
        <w:pStyle w:val="64"/>
        <w:spacing w:line="560" w:lineRule="exact"/>
        <w:ind w:firstLine="482"/>
      </w:pPr>
      <w:r>
        <w:t>8.</w:t>
      </w:r>
      <w:r>
        <w:rPr>
          <w:rFonts w:hint="eastAsia"/>
        </w:rPr>
        <w:t>与本磋商采购有关的正式通讯地址为：</w:t>
      </w:r>
    </w:p>
    <w:p>
      <w:pPr>
        <w:pStyle w:val="64"/>
        <w:spacing w:line="560" w:lineRule="exact"/>
        <w:ind w:firstLine="482"/>
      </w:pPr>
      <w:r>
        <w:rPr>
          <w:rFonts w:hint="eastAsia"/>
        </w:rPr>
        <w:t>地址：邮编：</w:t>
      </w:r>
    </w:p>
    <w:p>
      <w:pPr>
        <w:pStyle w:val="64"/>
        <w:spacing w:line="560" w:lineRule="exact"/>
        <w:ind w:firstLine="482"/>
      </w:pPr>
      <w:r>
        <w:rPr>
          <w:rFonts w:hint="eastAsia"/>
        </w:rPr>
        <w:t>电话：传真：</w:t>
      </w:r>
    </w:p>
    <w:p>
      <w:pPr>
        <w:pStyle w:val="64"/>
        <w:spacing w:line="560" w:lineRule="exact"/>
        <w:ind w:firstLine="482"/>
      </w:pPr>
      <w:r>
        <w:rPr>
          <w:rFonts w:hint="eastAsia"/>
        </w:rPr>
        <w:t>供应商开户行：账户：</w:t>
      </w:r>
    </w:p>
    <w:p>
      <w:pPr>
        <w:pStyle w:val="64"/>
        <w:spacing w:line="560" w:lineRule="exact"/>
        <w:ind w:firstLine="482"/>
      </w:pPr>
      <w:r>
        <w:rPr>
          <w:rFonts w:hint="eastAsia"/>
        </w:rPr>
        <w:t>法定代表人或授权代表姓名（签字）：联系电话：</w:t>
      </w:r>
    </w:p>
    <w:p>
      <w:pPr>
        <w:pStyle w:val="64"/>
        <w:spacing w:line="560" w:lineRule="exact"/>
        <w:ind w:firstLine="482"/>
      </w:pPr>
      <w:r>
        <w:rPr>
          <w:rFonts w:hint="eastAsia"/>
        </w:rPr>
        <w:t>供应商名称（公章）：</w:t>
      </w:r>
    </w:p>
    <w:p>
      <w:pPr>
        <w:pStyle w:val="64"/>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pPr>
        <w:pStyle w:val="64"/>
        <w:spacing w:line="560" w:lineRule="exact"/>
        <w:ind w:firstLine="482"/>
      </w:pPr>
    </w:p>
    <w:bookmarkEnd w:id="76"/>
    <w:bookmarkEnd w:id="77"/>
    <w:bookmarkEnd w:id="78"/>
    <w:bookmarkEnd w:id="79"/>
    <w:bookmarkEnd w:id="80"/>
    <w:bookmarkEnd w:id="81"/>
    <w:bookmarkEnd w:id="82"/>
    <w:bookmarkEnd w:id="83"/>
    <w:bookmarkEnd w:id="84"/>
    <w:bookmarkEnd w:id="85"/>
    <w:bookmarkEnd w:id="86"/>
    <w:p>
      <w:pPr>
        <w:snapToGrid w:val="0"/>
        <w:spacing w:before="50" w:after="50"/>
        <w:rPr>
          <w:rFonts w:ascii="黑体" w:hAnsi="黑体" w:eastAsia="黑体"/>
          <w:sz w:val="32"/>
          <w:szCs w:val="32"/>
        </w:rPr>
        <w:sectPr>
          <w:pgSz w:w="11906" w:h="16838"/>
          <w:pgMar w:top="1015" w:right="1196" w:bottom="868" w:left="1259" w:header="851" w:footer="907" w:gutter="0"/>
          <w:pgNumType w:start="1"/>
          <w:cols w:space="425" w:num="1"/>
          <w:docGrid w:type="lines" w:linePitch="286" w:charSpace="0"/>
        </w:sectPr>
      </w:pPr>
    </w:p>
    <w:p>
      <w:pPr>
        <w:snapToGrid w:val="0"/>
        <w:spacing w:before="50" w:after="50" w:line="360" w:lineRule="auto"/>
        <w:jc w:val="center"/>
        <w:rPr>
          <w:rFonts w:ascii="黑体" w:eastAsia="黑体"/>
          <w:sz w:val="32"/>
          <w:szCs w:val="32"/>
        </w:rPr>
      </w:pPr>
      <w:r>
        <w:rPr>
          <w:rFonts w:hint="eastAsia" w:ascii="黑体" w:hAnsi="黑体" w:eastAsia="黑体"/>
          <w:sz w:val="32"/>
          <w:szCs w:val="32"/>
        </w:rPr>
        <w:t>五、</w:t>
      </w:r>
      <w:r>
        <w:rPr>
          <w:rFonts w:hint="eastAsia" w:ascii="黑体" w:eastAsia="黑体"/>
          <w:sz w:val="32"/>
          <w:szCs w:val="32"/>
        </w:rPr>
        <w:t>开标一览表（格式）</w:t>
      </w:r>
    </w:p>
    <w:tbl>
      <w:tblPr>
        <w:tblStyle w:val="40"/>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sz w:val="24"/>
              </w:rPr>
            </w:pPr>
            <w:r>
              <w:rPr>
                <w:rFonts w:hint="eastAsia" w:ascii="宋体"/>
                <w:b/>
                <w:sz w:val="24"/>
              </w:rPr>
              <w:t>项目编号</w:t>
            </w:r>
          </w:p>
        </w:tc>
        <w:tc>
          <w:tcPr>
            <w:tcW w:w="7445" w:type="dxa"/>
            <w:vAlign w:val="center"/>
          </w:tcPr>
          <w:p>
            <w:pPr>
              <w:pStyle w:val="3"/>
              <w:spacing w:line="360" w:lineRule="auto"/>
              <w:ind w:firstLine="689" w:firstLineChars="245"/>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sz w:val="24"/>
              </w:rPr>
            </w:pPr>
            <w:r>
              <w:rPr>
                <w:rFonts w:hint="eastAsia" w:ascii="宋体"/>
                <w:b/>
                <w:sz w:val="24"/>
              </w:rPr>
              <w:t>项目名称</w:t>
            </w:r>
          </w:p>
        </w:tc>
        <w:tc>
          <w:tcPr>
            <w:tcW w:w="7445" w:type="dxa"/>
            <w:vAlign w:val="center"/>
          </w:tcPr>
          <w:p>
            <w:pPr>
              <w:pStyle w:val="3"/>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sz w:val="24"/>
              </w:rPr>
            </w:pPr>
            <w:r>
              <w:rPr>
                <w:rFonts w:hint="eastAsia" w:ascii="宋体"/>
                <w:b/>
                <w:bCs/>
                <w:sz w:val="24"/>
              </w:rPr>
              <w:t>项目投标报价：</w:t>
            </w:r>
            <w:r>
              <w:rPr>
                <w:rFonts w:hint="eastAsia" w:ascii="宋体"/>
                <w:b/>
                <w:bCs/>
                <w:color w:val="00000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rPr>
            </w:pPr>
            <w:r>
              <w:rPr>
                <w:rFonts w:hint="eastAsia" w:ascii="宋体"/>
                <w:b/>
                <w:bCs/>
                <w:color w:val="000000"/>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sz w:val="24"/>
              </w:rPr>
            </w:pPr>
            <w:r>
              <w:rPr>
                <w:rFonts w:hint="eastAsia" w:ascii="宋体"/>
                <w:b/>
                <w:bCs/>
                <w:color w:val="000000"/>
                <w:sz w:val="24"/>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5" w:type="dxa"/>
            <w:gridSpan w:val="2"/>
            <w:vAlign w:val="center"/>
          </w:tcPr>
          <w:p>
            <w:pPr>
              <w:rPr>
                <w:rFonts w:ascii="宋体"/>
                <w:b/>
                <w:sz w:val="24"/>
              </w:rPr>
            </w:pPr>
            <w:r>
              <w:rPr>
                <w:rFonts w:hint="eastAsia" w:ascii="宋体"/>
                <w:b/>
                <w:sz w:val="24"/>
              </w:rPr>
              <w:t>保证金形式：</w:t>
            </w:r>
          </w:p>
        </w:tc>
      </w:tr>
    </w:tbl>
    <w:p>
      <w:pPr>
        <w:spacing w:line="180" w:lineRule="atLeast"/>
        <w:rPr>
          <w:rFonts w:ascii="宋体"/>
          <w:color w:val="000000"/>
          <w:sz w:val="24"/>
        </w:rPr>
      </w:pPr>
      <w:r>
        <w:rPr>
          <w:rFonts w:hint="eastAsia" w:ascii="宋体" w:hAnsi="宋体"/>
          <w:color w:val="000000"/>
          <w:sz w:val="24"/>
        </w:rPr>
        <w:t>填写说明：</w:t>
      </w:r>
    </w:p>
    <w:p>
      <w:pPr>
        <w:numPr>
          <w:ilvl w:val="0"/>
          <w:numId w:val="3"/>
        </w:numPr>
        <w:rPr>
          <w:rFonts w:ascii="宋体"/>
          <w:color w:val="000000"/>
          <w:sz w:val="24"/>
        </w:rPr>
      </w:pPr>
      <w:r>
        <w:rPr>
          <w:rFonts w:hint="eastAsia" w:ascii="宋体" w:hAnsi="宋体"/>
          <w:color w:val="000000"/>
          <w:sz w:val="24"/>
        </w:rPr>
        <w:t>开标一览表不得填报选择性报价，否则将作为无效投标；</w:t>
      </w:r>
    </w:p>
    <w:p>
      <w:pPr>
        <w:numPr>
          <w:ilvl w:val="0"/>
          <w:numId w:val="3"/>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tabs>
          <w:tab w:val="left" w:pos="480"/>
        </w:tabs>
        <w:ind w:left="480"/>
        <w:rPr>
          <w:rFonts w:ascii="宋体"/>
          <w:color w:val="000000"/>
          <w:sz w:val="24"/>
        </w:rPr>
      </w:pPr>
    </w:p>
    <w:p>
      <w:pPr>
        <w:ind w:firstLine="2640" w:firstLineChars="600"/>
        <w:rPr>
          <w:rFonts w:ascii="黑体" w:hAnsi="Arial" w:eastAsia="黑体"/>
          <w:sz w:val="44"/>
        </w:rPr>
      </w:pPr>
    </w:p>
    <w:p>
      <w:pPr>
        <w:ind w:firstLine="480"/>
        <w:rPr>
          <w:rFonts w:ascii="宋体"/>
          <w:sz w:val="24"/>
        </w:rPr>
      </w:pPr>
    </w:p>
    <w:p>
      <w:pPr>
        <w:ind w:firstLine="480"/>
        <w:jc w:val="right"/>
        <w:rPr>
          <w:rFonts w:ascii="宋体"/>
          <w:sz w:val="24"/>
        </w:rPr>
      </w:pPr>
    </w:p>
    <w:p>
      <w:pPr>
        <w:ind w:firstLine="6000" w:firstLineChars="2500"/>
        <w:jc w:val="left"/>
        <w:rPr>
          <w:rFonts w:ascii="宋体"/>
          <w:sz w:val="24"/>
        </w:rPr>
      </w:pPr>
      <w:r>
        <w:rPr>
          <w:rFonts w:hint="eastAsia" w:ascii="宋体" w:hAnsi="宋体"/>
          <w:bCs/>
          <w:sz w:val="24"/>
        </w:rPr>
        <w:t>供应商名称（公章）：</w:t>
      </w:r>
    </w:p>
    <w:p>
      <w:pPr>
        <w:ind w:firstLine="480"/>
        <w:rPr>
          <w:rFonts w:ascii="宋体"/>
          <w:sz w:val="24"/>
        </w:rPr>
      </w:pPr>
      <w:r>
        <w:rPr>
          <w:rFonts w:hint="eastAsia" w:ascii="宋体" w:hAnsi="宋体"/>
          <w:sz w:val="24"/>
        </w:rPr>
        <w:t>日期：年月日</w:t>
      </w:r>
    </w:p>
    <w:p>
      <w:pPr>
        <w:jc w:val="center"/>
        <w:rPr>
          <w:rFonts w:ascii="宋体"/>
          <w:b/>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sectPr>
          <w:pgSz w:w="11906" w:h="16838"/>
          <w:pgMar w:top="1015" w:right="1196" w:bottom="868" w:left="1259" w:header="851" w:footer="907" w:gutter="0"/>
          <w:pgNumType w:start="1"/>
          <w:cols w:space="425" w:num="1"/>
          <w:docGrid w:type="lines" w:linePitch="286" w:charSpace="0"/>
        </w:sectPr>
      </w:pPr>
    </w:p>
    <w:p>
      <w:pPr>
        <w:spacing w:line="560" w:lineRule="exact"/>
        <w:jc w:val="center"/>
        <w:rPr>
          <w:rFonts w:ascii="黑体" w:hAnsi="黑体" w:eastAsia="黑体"/>
          <w:sz w:val="32"/>
          <w:szCs w:val="32"/>
        </w:rPr>
      </w:pPr>
      <w:r>
        <w:rPr>
          <w:rFonts w:hint="eastAsia" w:ascii="黑体" w:hAnsi="黑体" w:eastAsia="黑体"/>
          <w:sz w:val="32"/>
          <w:szCs w:val="32"/>
        </w:rPr>
        <w:t xml:space="preserve">六、磋商响应报价表 </w:t>
      </w:r>
    </w:p>
    <w:p>
      <w:pPr>
        <w:pStyle w:val="19"/>
        <w:spacing w:line="360" w:lineRule="auto"/>
        <w:rPr>
          <w:rFonts w:ascii="宋体" w:hAnsi="宋体"/>
          <w:szCs w:val="24"/>
        </w:rPr>
      </w:pPr>
      <w:r>
        <w:rPr>
          <w:rFonts w:hint="eastAsia" w:ascii="宋体" w:hAnsi="宋体"/>
          <w:szCs w:val="24"/>
        </w:rPr>
        <w:t xml:space="preserve">项目名称： </w:t>
      </w:r>
    </w:p>
    <w:p>
      <w:pPr>
        <w:spacing w:line="360" w:lineRule="auto"/>
        <w:rPr>
          <w:rFonts w:ascii="宋体" w:hAnsi="宋体"/>
          <w:sz w:val="24"/>
        </w:rPr>
      </w:pPr>
      <w:r>
        <w:rPr>
          <w:rFonts w:hint="eastAsia" w:ascii="宋体" w:hAnsi="宋体"/>
          <w:sz w:val="24"/>
        </w:rPr>
        <w:t xml:space="preserve">项目编号：                                    </w:t>
      </w:r>
    </w:p>
    <w:tbl>
      <w:tblPr>
        <w:tblStyle w:val="40"/>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025"/>
        <w:gridCol w:w="1932"/>
        <w:gridCol w:w="1413"/>
        <w:gridCol w:w="14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r>
              <w:rPr>
                <w:rFonts w:hint="eastAsia" w:ascii="宋体" w:hAnsi="宋体"/>
                <w:color w:val="000000"/>
                <w:sz w:val="24"/>
              </w:rPr>
              <w:t>序号</w:t>
            </w:r>
          </w:p>
        </w:tc>
        <w:tc>
          <w:tcPr>
            <w:tcW w:w="2025" w:type="dxa"/>
            <w:vAlign w:val="center"/>
          </w:tcPr>
          <w:p>
            <w:pPr>
              <w:spacing w:line="560" w:lineRule="exact"/>
              <w:jc w:val="center"/>
              <w:rPr>
                <w:rFonts w:ascii="宋体" w:hAnsi="宋体"/>
                <w:color w:val="000000"/>
                <w:sz w:val="24"/>
              </w:rPr>
            </w:pPr>
            <w:r>
              <w:rPr>
                <w:rFonts w:hint="eastAsia" w:ascii="宋体" w:hAnsi="宋体"/>
                <w:color w:val="000000"/>
                <w:sz w:val="24"/>
              </w:rPr>
              <w:t>服务名称</w:t>
            </w:r>
          </w:p>
        </w:tc>
        <w:tc>
          <w:tcPr>
            <w:tcW w:w="1932" w:type="dxa"/>
            <w:vAlign w:val="center"/>
          </w:tcPr>
          <w:p>
            <w:pPr>
              <w:spacing w:line="560" w:lineRule="exact"/>
              <w:jc w:val="center"/>
              <w:rPr>
                <w:rFonts w:ascii="宋体" w:hAnsi="宋体"/>
                <w:color w:val="000000"/>
                <w:sz w:val="24"/>
              </w:rPr>
            </w:pPr>
            <w:r>
              <w:rPr>
                <w:rFonts w:hint="eastAsia" w:ascii="宋体" w:hAnsi="宋体"/>
                <w:color w:val="000000"/>
                <w:sz w:val="24"/>
              </w:rPr>
              <w:t>分项单位</w:t>
            </w:r>
          </w:p>
        </w:tc>
        <w:tc>
          <w:tcPr>
            <w:tcW w:w="1413" w:type="dxa"/>
            <w:vAlign w:val="center"/>
          </w:tcPr>
          <w:p>
            <w:pPr>
              <w:spacing w:line="560" w:lineRule="exact"/>
              <w:jc w:val="center"/>
              <w:rPr>
                <w:rFonts w:ascii="宋体" w:hAnsi="宋体"/>
                <w:color w:val="000000"/>
                <w:sz w:val="24"/>
              </w:rPr>
            </w:pPr>
            <w:r>
              <w:rPr>
                <w:rFonts w:hint="eastAsia" w:ascii="宋体" w:hAnsi="宋体"/>
                <w:color w:val="000000"/>
                <w:sz w:val="24"/>
              </w:rPr>
              <w:t>数量</w:t>
            </w:r>
          </w:p>
        </w:tc>
        <w:tc>
          <w:tcPr>
            <w:tcW w:w="1484" w:type="dxa"/>
            <w:vAlign w:val="center"/>
          </w:tcPr>
          <w:p>
            <w:pPr>
              <w:spacing w:line="560" w:lineRule="exact"/>
              <w:jc w:val="center"/>
              <w:rPr>
                <w:rFonts w:ascii="宋体" w:hAnsi="宋体"/>
                <w:color w:val="000000"/>
                <w:sz w:val="24"/>
              </w:rPr>
            </w:pPr>
            <w:r>
              <w:rPr>
                <w:rFonts w:hint="eastAsia" w:ascii="宋体" w:hAnsi="宋体"/>
                <w:color w:val="000000"/>
                <w:sz w:val="24"/>
              </w:rPr>
              <w:t>单价</w:t>
            </w:r>
          </w:p>
          <w:p>
            <w:pPr>
              <w:spacing w:line="560" w:lineRule="exact"/>
              <w:jc w:val="center"/>
              <w:rPr>
                <w:rFonts w:ascii="宋体" w:hAnsi="宋体"/>
                <w:color w:val="000000"/>
                <w:sz w:val="24"/>
              </w:rPr>
            </w:pPr>
            <w:r>
              <w:rPr>
                <w:rFonts w:hint="eastAsia" w:ascii="宋体" w:hAnsi="宋体"/>
                <w:color w:val="000000"/>
                <w:sz w:val="24"/>
              </w:rPr>
              <w:t>（元）</w:t>
            </w:r>
          </w:p>
        </w:tc>
        <w:tc>
          <w:tcPr>
            <w:tcW w:w="1960" w:type="dxa"/>
            <w:vAlign w:val="center"/>
          </w:tcPr>
          <w:p>
            <w:pPr>
              <w:spacing w:line="560" w:lineRule="exact"/>
              <w:jc w:val="center"/>
              <w:rPr>
                <w:rFonts w:ascii="宋体" w:hAnsi="宋体"/>
                <w:color w:val="000000"/>
                <w:sz w:val="24"/>
              </w:rPr>
            </w:pPr>
            <w:r>
              <w:rPr>
                <w:rFonts w:hint="eastAsia" w:ascii="宋体" w:hAnsi="宋体"/>
                <w:color w:val="000000"/>
                <w:sz w:val="24"/>
              </w:rPr>
              <w:t>单项</w:t>
            </w:r>
          </w:p>
          <w:p>
            <w:pPr>
              <w:spacing w:line="560" w:lineRule="exact"/>
              <w:jc w:val="center"/>
              <w:rPr>
                <w:rFonts w:ascii="宋体" w:hAnsi="宋体"/>
                <w:color w:val="000000"/>
                <w:sz w:val="24"/>
              </w:rPr>
            </w:pPr>
            <w:r>
              <w:rPr>
                <w:rFonts w:hint="eastAsia" w:ascii="宋体" w:hAnsi="宋体"/>
                <w:color w:val="000000"/>
                <w:sz w:val="24"/>
              </w:rPr>
              <w:t>合计价</w:t>
            </w:r>
          </w:p>
          <w:p>
            <w:pPr>
              <w:spacing w:line="560" w:lineRule="exact"/>
              <w:jc w:val="center"/>
              <w:rPr>
                <w:rFonts w:ascii="宋体" w:hAnsi="宋体"/>
                <w:color w:val="000000"/>
                <w:sz w:val="24"/>
              </w:rPr>
            </w:pPr>
            <w:r>
              <w:rPr>
                <w:rFonts w:hint="eastAsia"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000000"/>
                <w:sz w:val="24"/>
              </w:rPr>
            </w:pPr>
          </w:p>
        </w:tc>
        <w:tc>
          <w:tcPr>
            <w:tcW w:w="2025" w:type="dxa"/>
            <w:vAlign w:val="center"/>
          </w:tcPr>
          <w:p>
            <w:pPr>
              <w:spacing w:line="560" w:lineRule="exact"/>
              <w:jc w:val="center"/>
              <w:rPr>
                <w:rFonts w:ascii="宋体" w:hAnsi="宋体"/>
                <w:color w:val="000000"/>
                <w:sz w:val="24"/>
              </w:rPr>
            </w:pPr>
          </w:p>
        </w:tc>
        <w:tc>
          <w:tcPr>
            <w:tcW w:w="1932" w:type="dxa"/>
            <w:vAlign w:val="center"/>
          </w:tcPr>
          <w:p>
            <w:pPr>
              <w:spacing w:line="560" w:lineRule="exact"/>
              <w:jc w:val="center"/>
              <w:rPr>
                <w:rFonts w:ascii="宋体" w:hAnsi="宋体"/>
                <w:color w:val="000000"/>
                <w:sz w:val="24"/>
              </w:rPr>
            </w:pPr>
          </w:p>
        </w:tc>
        <w:tc>
          <w:tcPr>
            <w:tcW w:w="1413" w:type="dxa"/>
            <w:vAlign w:val="center"/>
          </w:tcPr>
          <w:p>
            <w:pPr>
              <w:spacing w:line="560" w:lineRule="exact"/>
              <w:jc w:val="center"/>
              <w:rPr>
                <w:rFonts w:ascii="宋体" w:hAnsi="宋体"/>
                <w:color w:val="000000"/>
                <w:sz w:val="24"/>
              </w:rPr>
            </w:pPr>
          </w:p>
        </w:tc>
        <w:tc>
          <w:tcPr>
            <w:tcW w:w="1484" w:type="dxa"/>
            <w:vAlign w:val="center"/>
          </w:tcPr>
          <w:p>
            <w:pPr>
              <w:spacing w:line="560" w:lineRule="exact"/>
              <w:jc w:val="center"/>
              <w:rPr>
                <w:rFonts w:ascii="宋体" w:hAnsi="宋体"/>
                <w:color w:val="000000"/>
                <w:sz w:val="24"/>
              </w:rPr>
            </w:pPr>
          </w:p>
        </w:tc>
        <w:tc>
          <w:tcPr>
            <w:tcW w:w="1960" w:type="dxa"/>
            <w:vAlign w:val="center"/>
          </w:tcPr>
          <w:p>
            <w:pPr>
              <w:spacing w:line="5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4714" w:type="dxa"/>
            <w:gridSpan w:val="3"/>
            <w:vAlign w:val="center"/>
          </w:tcPr>
          <w:p>
            <w:pPr>
              <w:spacing w:line="560" w:lineRule="exact"/>
              <w:jc w:val="center"/>
              <w:rPr>
                <w:rFonts w:ascii="宋体" w:hAnsi="宋体"/>
                <w:color w:val="000000"/>
                <w:sz w:val="24"/>
              </w:rPr>
            </w:pPr>
            <w:r>
              <w:rPr>
                <w:rFonts w:hint="eastAsia" w:ascii="宋体" w:hAnsi="宋体"/>
                <w:color w:val="000000"/>
                <w:sz w:val="24"/>
              </w:rPr>
              <w:t>01总报价</w:t>
            </w:r>
          </w:p>
        </w:tc>
        <w:tc>
          <w:tcPr>
            <w:tcW w:w="4857" w:type="dxa"/>
            <w:gridSpan w:val="3"/>
            <w:vAlign w:val="center"/>
          </w:tcPr>
          <w:p>
            <w:pPr>
              <w:spacing w:line="560" w:lineRule="exact"/>
              <w:rPr>
                <w:rFonts w:ascii="宋体" w:hAnsi="宋体"/>
                <w:color w:val="000000"/>
                <w:sz w:val="24"/>
              </w:rPr>
            </w:pPr>
            <w:r>
              <w:rPr>
                <w:rFonts w:hint="eastAsia" w:ascii="宋体" w:hAnsi="宋体"/>
                <w:color w:val="000000"/>
                <w:sz w:val="24"/>
              </w:rPr>
              <w:t>人民币（大写）： 圆整</w:t>
            </w:r>
          </w:p>
          <w:p>
            <w:pPr>
              <w:spacing w:line="560" w:lineRule="exact"/>
              <w:rPr>
                <w:rFonts w:ascii="宋体" w:hAnsi="宋体"/>
                <w:color w:val="000000"/>
                <w:sz w:val="24"/>
                <w:u w:val="single"/>
              </w:rPr>
            </w:pPr>
            <w:r>
              <w:rPr>
                <w:rFonts w:hint="eastAsia" w:ascii="宋体" w:hAnsi="宋体"/>
                <w:color w:val="000000"/>
                <w:sz w:val="24"/>
              </w:rPr>
              <w:t>￥：</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法定代表人或者授权代表（签字或盖章）：                    </w:t>
      </w:r>
    </w:p>
    <w:p>
      <w:pPr>
        <w:spacing w:line="360" w:lineRule="auto"/>
        <w:rPr>
          <w:rFonts w:ascii="宋体" w:hAnsi="宋体"/>
          <w:sz w:val="24"/>
          <w:u w:val="single"/>
        </w:rPr>
      </w:pPr>
      <w:r>
        <w:rPr>
          <w:rFonts w:hint="eastAsia" w:ascii="宋体" w:hAnsi="宋体"/>
          <w:sz w:val="24"/>
        </w:rPr>
        <w:t>磋商供应商全称（盖章）：</w:t>
      </w:r>
    </w:p>
    <w:p>
      <w:pPr>
        <w:spacing w:line="360" w:lineRule="auto"/>
        <w:rPr>
          <w:rFonts w:ascii="宋体" w:hAnsi="宋体"/>
          <w:sz w:val="24"/>
        </w:rPr>
      </w:pPr>
      <w:r>
        <w:rPr>
          <w:rFonts w:hint="eastAsia" w:ascii="宋体" w:hAnsi="宋体"/>
          <w:sz w:val="24"/>
        </w:rPr>
        <w:t xml:space="preserve">                                               日期：    年   月    日</w:t>
      </w:r>
    </w:p>
    <w:p>
      <w:pPr>
        <w:spacing w:line="360" w:lineRule="auto"/>
        <w:rPr>
          <w:rFonts w:ascii="宋体" w:hAnsi="宋体"/>
          <w:b/>
          <w:sz w:val="24"/>
        </w:rPr>
      </w:pPr>
      <w:r>
        <w:rPr>
          <w:rFonts w:hint="eastAsia" w:ascii="宋体" w:hAnsi="宋体"/>
          <w:b/>
          <w:sz w:val="24"/>
        </w:rPr>
        <w:t>价格构成或报价要求：</w:t>
      </w:r>
    </w:p>
    <w:p>
      <w:pPr>
        <w:spacing w:line="360" w:lineRule="auto"/>
        <w:rPr>
          <w:rFonts w:ascii="宋体" w:hAnsi="宋体"/>
          <w:sz w:val="24"/>
        </w:rPr>
      </w:pPr>
      <w:r>
        <w:rPr>
          <w:rFonts w:hint="eastAsia" w:ascii="宋体" w:hAnsi="宋体"/>
          <w:sz w:val="24"/>
        </w:rPr>
        <w:t>1、此表可以根据需要自行增减行数，且该表报价非本次磋商中的最后报价。</w:t>
      </w:r>
    </w:p>
    <w:p>
      <w:pPr>
        <w:spacing w:line="360" w:lineRule="auto"/>
        <w:rPr>
          <w:rFonts w:ascii="宋体" w:hAnsi="宋体"/>
          <w:sz w:val="24"/>
        </w:rPr>
      </w:pPr>
      <w:r>
        <w:rPr>
          <w:rFonts w:hint="eastAsia" w:ascii="宋体" w:hAnsi="宋体"/>
          <w:sz w:val="24"/>
        </w:rPr>
        <w:t>2、项目如有分包，请各磋商供应商按投报的分包分别列表。</w:t>
      </w: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sectPr>
          <w:pgSz w:w="11906" w:h="16838"/>
          <w:pgMar w:top="1015" w:right="1196" w:bottom="868" w:left="1259" w:header="851" w:footer="907" w:gutter="0"/>
          <w:pgNumType w:start="1"/>
          <w:cols w:space="425" w:num="1"/>
          <w:docGrid w:type="lines" w:linePitch="286" w:charSpace="0"/>
        </w:sectPr>
      </w:pPr>
    </w:p>
    <w:p>
      <w:pPr>
        <w:spacing w:line="560" w:lineRule="exact"/>
        <w:ind w:firstLine="420"/>
        <w:jc w:val="center"/>
        <w:rPr>
          <w:rFonts w:ascii="黑体" w:hAnsi="黑体" w:eastAsia="黑体"/>
          <w:sz w:val="32"/>
          <w:szCs w:val="32"/>
        </w:rPr>
      </w:pPr>
      <w:r>
        <w:rPr>
          <w:rFonts w:hint="eastAsia" w:ascii="黑体" w:hAnsi="黑体" w:eastAsia="黑体"/>
          <w:sz w:val="32"/>
          <w:szCs w:val="32"/>
        </w:rPr>
        <w:t>七、技术方案、服务承诺、培训承诺等</w:t>
      </w:r>
    </w:p>
    <w:p>
      <w:pPr>
        <w:spacing w:line="560" w:lineRule="exact"/>
        <w:ind w:firstLine="645"/>
        <w:jc w:val="center"/>
        <w:rPr>
          <w:rFonts w:ascii="黑体" w:hAnsi="黑体" w:eastAsia="黑体"/>
          <w:color w:val="000000" w:themeColor="text1"/>
          <w:sz w:val="32"/>
          <w:szCs w:val="32"/>
        </w:rPr>
      </w:pPr>
    </w:p>
    <w:p>
      <w:pPr>
        <w:pStyle w:val="2"/>
        <w:rPr>
          <w:rFonts w:ascii="宋体" w:hAnsi="宋体" w:eastAsia="宋体" w:cs="宋体"/>
          <w:b/>
          <w:bCs/>
          <w:color w:val="000000" w:themeColor="text1"/>
          <w:szCs w:val="28"/>
        </w:rPr>
      </w:pPr>
      <w:r>
        <w:rPr>
          <w:rFonts w:hint="eastAsia" w:ascii="宋体" w:hAnsi="宋体" w:eastAsia="宋体" w:cs="宋体"/>
          <w:b/>
          <w:bCs/>
          <w:color w:val="000000" w:themeColor="text1"/>
          <w:szCs w:val="28"/>
        </w:rPr>
        <w:t>技术方案纳入综合评分，请详尽撰写，内容须包括：</w:t>
      </w:r>
    </w:p>
    <w:p>
      <w:pPr>
        <w:snapToGrid w:val="0"/>
        <w:spacing w:line="360" w:lineRule="auto"/>
        <w:rPr>
          <w:rFonts w:ascii="宋体" w:hAnsi="宋体" w:cs="Courier New"/>
          <w:b/>
          <w:bCs/>
          <w:color w:val="000000" w:themeColor="text1"/>
          <w:sz w:val="28"/>
          <w:szCs w:val="28"/>
        </w:rPr>
      </w:pPr>
      <w:r>
        <w:rPr>
          <w:rFonts w:hint="eastAsia" w:ascii="宋体" w:hAnsi="宋体" w:cs="Courier New"/>
          <w:b/>
          <w:bCs/>
          <w:color w:val="000000" w:themeColor="text1"/>
          <w:sz w:val="28"/>
          <w:szCs w:val="28"/>
        </w:rPr>
        <w:t>（一）团队构成</w:t>
      </w:r>
    </w:p>
    <w:p>
      <w:pPr>
        <w:snapToGrid w:val="0"/>
        <w:spacing w:line="360" w:lineRule="auto"/>
        <w:ind w:firstLine="560" w:firstLineChars="200"/>
        <w:rPr>
          <w:rFonts w:ascii="宋体" w:hAnsi="宋体" w:cs="Courier New"/>
          <w:bCs/>
          <w:color w:val="000000" w:themeColor="text1"/>
          <w:sz w:val="28"/>
          <w:szCs w:val="28"/>
        </w:rPr>
      </w:pPr>
      <w:r>
        <w:rPr>
          <w:rFonts w:hint="eastAsia" w:ascii="宋体" w:hAnsi="宋体" w:cs="Courier New"/>
          <w:bCs/>
          <w:color w:val="000000" w:themeColor="text1"/>
          <w:sz w:val="28"/>
          <w:szCs w:val="28"/>
        </w:rPr>
        <w:t>采用表格介绍清楚团队成员的年龄、学历、专业特长、团队角色、任务分工，并附证明材料。</w:t>
      </w:r>
    </w:p>
    <w:p>
      <w:pPr>
        <w:snapToGrid w:val="0"/>
        <w:spacing w:line="360" w:lineRule="auto"/>
        <w:rPr>
          <w:rFonts w:ascii="宋体" w:hAnsi="宋体" w:cs="Courier New"/>
          <w:b/>
          <w:bCs/>
          <w:color w:val="000000" w:themeColor="text1"/>
          <w:sz w:val="28"/>
          <w:szCs w:val="28"/>
        </w:rPr>
      </w:pPr>
      <w:r>
        <w:rPr>
          <w:rFonts w:hint="eastAsia" w:ascii="宋体" w:hAnsi="宋体" w:cs="Courier New"/>
          <w:b/>
          <w:bCs/>
          <w:color w:val="000000" w:themeColor="text1"/>
          <w:sz w:val="28"/>
          <w:szCs w:val="28"/>
        </w:rPr>
        <w:t>（二）已取得成果</w:t>
      </w:r>
    </w:p>
    <w:p>
      <w:pPr>
        <w:snapToGrid w:val="0"/>
        <w:spacing w:line="360" w:lineRule="auto"/>
        <w:ind w:firstLine="560" w:firstLineChars="200"/>
        <w:rPr>
          <w:rFonts w:ascii="宋体" w:hAnsi="宋体" w:cs="Courier New"/>
          <w:bCs/>
          <w:color w:val="000000" w:themeColor="text1"/>
          <w:sz w:val="28"/>
          <w:szCs w:val="28"/>
        </w:rPr>
      </w:pPr>
      <w:r>
        <w:rPr>
          <w:rFonts w:hint="eastAsia" w:ascii="宋体" w:hAnsi="宋体" w:cs="Courier New"/>
          <w:bCs/>
          <w:color w:val="000000" w:themeColor="text1"/>
          <w:sz w:val="28"/>
          <w:szCs w:val="28"/>
        </w:rPr>
        <w:t>含类似项目经验、相似软件的版权、著作权、专利权等，并附证明材料</w:t>
      </w:r>
    </w:p>
    <w:p>
      <w:pPr>
        <w:snapToGrid w:val="0"/>
        <w:spacing w:line="360" w:lineRule="auto"/>
        <w:rPr>
          <w:rFonts w:ascii="宋体" w:hAnsi="宋体" w:cs="Courier New"/>
          <w:b/>
          <w:bCs/>
          <w:color w:val="000000" w:themeColor="text1"/>
          <w:sz w:val="28"/>
          <w:szCs w:val="28"/>
        </w:rPr>
      </w:pPr>
      <w:r>
        <w:rPr>
          <w:rFonts w:hint="eastAsia" w:ascii="宋体" w:hAnsi="宋体" w:cs="Courier New"/>
          <w:b/>
          <w:bCs/>
          <w:color w:val="000000" w:themeColor="text1"/>
          <w:sz w:val="28"/>
          <w:szCs w:val="28"/>
        </w:rPr>
        <w:t>（三）拟采用编程方法及任务分解情况</w:t>
      </w:r>
    </w:p>
    <w:p>
      <w:pPr>
        <w:snapToGrid w:val="0"/>
        <w:spacing w:line="360" w:lineRule="auto"/>
        <w:ind w:firstLine="560" w:firstLineChars="200"/>
        <w:rPr>
          <w:rFonts w:ascii="宋体" w:hAnsi="宋体" w:cs="Courier New"/>
          <w:bCs/>
          <w:color w:val="000000" w:themeColor="text1"/>
          <w:sz w:val="28"/>
          <w:szCs w:val="28"/>
        </w:rPr>
      </w:pPr>
      <w:r>
        <w:rPr>
          <w:rFonts w:hint="eastAsia" w:ascii="宋体" w:hAnsi="宋体" w:cs="Courier New"/>
          <w:bCs/>
          <w:color w:val="000000" w:themeColor="text1"/>
          <w:sz w:val="28"/>
          <w:szCs w:val="28"/>
        </w:rPr>
        <w:t>含拟采用编程方法、程序流程图及任务分解情况</w:t>
      </w:r>
    </w:p>
    <w:p>
      <w:pPr>
        <w:snapToGrid w:val="0"/>
        <w:spacing w:line="360" w:lineRule="auto"/>
        <w:rPr>
          <w:rFonts w:ascii="宋体" w:hAnsi="宋体" w:cs="Courier New"/>
          <w:b/>
          <w:bCs/>
          <w:color w:val="000000" w:themeColor="text1"/>
          <w:sz w:val="28"/>
          <w:szCs w:val="28"/>
        </w:rPr>
      </w:pPr>
      <w:r>
        <w:rPr>
          <w:rFonts w:hint="eastAsia" w:ascii="宋体" w:hAnsi="宋体" w:cs="Courier New"/>
          <w:b/>
          <w:bCs/>
          <w:color w:val="000000" w:themeColor="text1"/>
          <w:sz w:val="28"/>
          <w:szCs w:val="28"/>
        </w:rPr>
        <w:t>（四）对软件的改进思路</w:t>
      </w:r>
    </w:p>
    <w:p>
      <w:pPr>
        <w:snapToGrid w:val="0"/>
        <w:spacing w:line="360" w:lineRule="auto"/>
        <w:ind w:firstLine="560" w:firstLineChars="200"/>
        <w:rPr>
          <w:rFonts w:ascii="宋体" w:hAnsi="宋体" w:cs="Courier New"/>
          <w:bCs/>
          <w:color w:val="000000" w:themeColor="text1"/>
          <w:sz w:val="28"/>
          <w:szCs w:val="28"/>
        </w:rPr>
      </w:pPr>
      <w:r>
        <w:rPr>
          <w:rFonts w:hint="eastAsia" w:ascii="宋体" w:hAnsi="宋体" w:cs="Courier New"/>
          <w:bCs/>
          <w:color w:val="000000" w:themeColor="text1"/>
          <w:sz w:val="28"/>
          <w:szCs w:val="28"/>
        </w:rPr>
        <w:t>对软件进一步的改进思路</w:t>
      </w:r>
    </w:p>
    <w:p>
      <w:pPr>
        <w:spacing w:line="560" w:lineRule="exact"/>
        <w:ind w:firstLine="645"/>
        <w:jc w:val="center"/>
        <w:rPr>
          <w:rFonts w:ascii="黑体" w:hAnsi="黑体" w:eastAsia="黑体"/>
          <w:color w:val="000000" w:themeColor="text1"/>
          <w:sz w:val="32"/>
          <w:szCs w:val="32"/>
        </w:rPr>
      </w:pPr>
    </w:p>
    <w:sectPr>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4</w:t>
    </w:r>
    <w:r>
      <w:rPr>
        <w:rStyle w:val="36"/>
      </w:rP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1</w:t>
    </w:r>
    <w:r>
      <w:rPr>
        <w:rStyle w:val="36"/>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3565"/>
        <w:tab w:val="clear" w:pos="4153"/>
        <w:tab w:val="clear" w:pos="8306"/>
      </w:tabs>
    </w:pPr>
    <w:r>
      <w:rPr>
        <w:color w:val="000000"/>
      </w:rPr>
      <w:t>2018-</w:t>
    </w:r>
    <w:r>
      <w:rPr>
        <w:rFonts w:hint="eastAsia"/>
        <w:color w:val="000000"/>
        <w:lang w:eastAsia="zh-CN"/>
      </w:rPr>
      <w:t>008S-</w:t>
    </w:r>
    <w:r>
      <w:rPr>
        <w:rFonts w:hint="eastAsia"/>
        <w:color w:val="000000"/>
        <w:lang w:val="en-US" w:eastAsia="zh-CN"/>
      </w:rPr>
      <w:t>2</w:t>
    </w:r>
    <w:r>
      <w:rPr>
        <w:rFonts w:hint="eastAsia"/>
        <w:color w:val="000000"/>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3565"/>
        <w:tab w:val="clear" w:pos="4153"/>
        <w:tab w:val="clear" w:pos="8306"/>
      </w:tabs>
    </w:pPr>
    <w:r>
      <w:rPr>
        <w:color w:val="000000"/>
      </w:rPr>
      <w:t>2018-</w:t>
    </w:r>
    <w:r>
      <w:rPr>
        <w:rFonts w:hint="eastAsia"/>
        <w:color w:val="000000"/>
        <w:lang w:eastAsia="zh-CN"/>
      </w:rPr>
      <w:t>008S-2</w:t>
    </w:r>
    <w:r>
      <w:rPr>
        <w:rFonts w:hint="eastAsia"/>
        <w:color w:val="00000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62"/>
      <w:lvlText w:val="附录%1."/>
      <w:lvlJc w:val="left"/>
      <w:pPr>
        <w:tabs>
          <w:tab w:val="left" w:pos="907"/>
        </w:tabs>
        <w:ind w:left="907" w:hanging="907"/>
      </w:pPr>
      <w:rPr>
        <w:rFonts w:hint="eastAsia" w:cs="Times New Roman"/>
      </w:rPr>
    </w:lvl>
  </w:abstractNum>
  <w:abstractNum w:abstractNumId="1">
    <w:nsid w:val="237E4D61"/>
    <w:multiLevelType w:val="multilevel"/>
    <w:tmpl w:val="237E4D61"/>
    <w:lvl w:ilvl="0" w:tentative="0">
      <w:start w:val="1"/>
      <w:numFmt w:val="japaneseCounting"/>
      <w:pStyle w:val="85"/>
      <w:lvlText w:val="第%1章"/>
      <w:lvlJc w:val="left"/>
      <w:pPr>
        <w:ind w:left="9351" w:hanging="420"/>
      </w:pPr>
      <w:rPr>
        <w:rFonts w:hint="eastAsia" w:ascii="黑体" w:eastAsia="黑体" w:cs="Times New Roman"/>
        <w:b w:val="0"/>
        <w:sz w:val="36"/>
      </w:rPr>
    </w:lvl>
    <w:lvl w:ilvl="1" w:tentative="0">
      <w:start w:val="1"/>
      <w:numFmt w:val="decimal"/>
      <w:pStyle w:val="86"/>
      <w:isLgl/>
      <w:lvlText w:val="%1.%2"/>
      <w:lvlJc w:val="left"/>
      <w:pPr>
        <w:tabs>
          <w:tab w:val="left" w:pos="851"/>
        </w:tabs>
      </w:pPr>
      <w:rPr>
        <w:rFonts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87"/>
      <w:isLgl/>
      <w:lvlText w:val="%1.%2.%3"/>
      <w:lvlJc w:val="left"/>
      <w:pPr>
        <w:tabs>
          <w:tab w:val="left" w:pos="851"/>
        </w:tabs>
      </w:pPr>
      <w:rPr>
        <w:rFonts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pStyle w:val="88"/>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26726"/>
    <w:rsid w:val="00002209"/>
    <w:rsid w:val="00002995"/>
    <w:rsid w:val="00003B42"/>
    <w:rsid w:val="00004021"/>
    <w:rsid w:val="00005A19"/>
    <w:rsid w:val="00006652"/>
    <w:rsid w:val="00006DD7"/>
    <w:rsid w:val="00010AD8"/>
    <w:rsid w:val="000136F0"/>
    <w:rsid w:val="000143D2"/>
    <w:rsid w:val="00017387"/>
    <w:rsid w:val="00020761"/>
    <w:rsid w:val="000217AF"/>
    <w:rsid w:val="0002258C"/>
    <w:rsid w:val="000247C1"/>
    <w:rsid w:val="00024C24"/>
    <w:rsid w:val="00026BCD"/>
    <w:rsid w:val="000301F8"/>
    <w:rsid w:val="00030231"/>
    <w:rsid w:val="00030A86"/>
    <w:rsid w:val="00031E66"/>
    <w:rsid w:val="00031F03"/>
    <w:rsid w:val="000336E2"/>
    <w:rsid w:val="00034292"/>
    <w:rsid w:val="00034B6D"/>
    <w:rsid w:val="00035E23"/>
    <w:rsid w:val="00037092"/>
    <w:rsid w:val="00040D8B"/>
    <w:rsid w:val="00042D59"/>
    <w:rsid w:val="00043921"/>
    <w:rsid w:val="00044140"/>
    <w:rsid w:val="0004532E"/>
    <w:rsid w:val="000454AC"/>
    <w:rsid w:val="0004559E"/>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069"/>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0575"/>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054"/>
    <w:rsid w:val="001413E8"/>
    <w:rsid w:val="00141ED2"/>
    <w:rsid w:val="001423AE"/>
    <w:rsid w:val="001423BE"/>
    <w:rsid w:val="001441D9"/>
    <w:rsid w:val="001453C1"/>
    <w:rsid w:val="00146115"/>
    <w:rsid w:val="00147FFE"/>
    <w:rsid w:val="001500A4"/>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2AE6"/>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1D8A"/>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479F"/>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07939"/>
    <w:rsid w:val="00210843"/>
    <w:rsid w:val="00210DB7"/>
    <w:rsid w:val="0021163B"/>
    <w:rsid w:val="00212174"/>
    <w:rsid w:val="00214AA2"/>
    <w:rsid w:val="00217F68"/>
    <w:rsid w:val="002200CD"/>
    <w:rsid w:val="002203F6"/>
    <w:rsid w:val="00222A1C"/>
    <w:rsid w:val="00222B72"/>
    <w:rsid w:val="0022451B"/>
    <w:rsid w:val="00224EB6"/>
    <w:rsid w:val="00224F03"/>
    <w:rsid w:val="002260D7"/>
    <w:rsid w:val="00226599"/>
    <w:rsid w:val="00226EA1"/>
    <w:rsid w:val="0022700E"/>
    <w:rsid w:val="00227367"/>
    <w:rsid w:val="0022736B"/>
    <w:rsid w:val="00227501"/>
    <w:rsid w:val="00230732"/>
    <w:rsid w:val="0023207E"/>
    <w:rsid w:val="00233E73"/>
    <w:rsid w:val="00235204"/>
    <w:rsid w:val="002358C3"/>
    <w:rsid w:val="00235AB3"/>
    <w:rsid w:val="0023615E"/>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67D5"/>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C4A"/>
    <w:rsid w:val="00273D95"/>
    <w:rsid w:val="00274DB6"/>
    <w:rsid w:val="00274EFA"/>
    <w:rsid w:val="00275AC8"/>
    <w:rsid w:val="00275F57"/>
    <w:rsid w:val="002766DF"/>
    <w:rsid w:val="00277BA2"/>
    <w:rsid w:val="002805DA"/>
    <w:rsid w:val="002843CC"/>
    <w:rsid w:val="00284779"/>
    <w:rsid w:val="0028541C"/>
    <w:rsid w:val="00290104"/>
    <w:rsid w:val="00290FC5"/>
    <w:rsid w:val="002912D1"/>
    <w:rsid w:val="00292891"/>
    <w:rsid w:val="002962EF"/>
    <w:rsid w:val="00296B9B"/>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103E"/>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13DE"/>
    <w:rsid w:val="002F4754"/>
    <w:rsid w:val="002F5DD5"/>
    <w:rsid w:val="002F6156"/>
    <w:rsid w:val="002F6336"/>
    <w:rsid w:val="002F6648"/>
    <w:rsid w:val="002F7D84"/>
    <w:rsid w:val="00300118"/>
    <w:rsid w:val="00300809"/>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8DC"/>
    <w:rsid w:val="00320DC1"/>
    <w:rsid w:val="00321423"/>
    <w:rsid w:val="00323C86"/>
    <w:rsid w:val="003306F8"/>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5C2"/>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326"/>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0FBA"/>
    <w:rsid w:val="00393010"/>
    <w:rsid w:val="00393043"/>
    <w:rsid w:val="003939A5"/>
    <w:rsid w:val="00393FCC"/>
    <w:rsid w:val="003958F9"/>
    <w:rsid w:val="0039595F"/>
    <w:rsid w:val="00397E2C"/>
    <w:rsid w:val="003A14D3"/>
    <w:rsid w:val="003A1D61"/>
    <w:rsid w:val="003A3356"/>
    <w:rsid w:val="003A452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29"/>
    <w:rsid w:val="003D743C"/>
    <w:rsid w:val="003D7B7E"/>
    <w:rsid w:val="003D7D80"/>
    <w:rsid w:val="003E2035"/>
    <w:rsid w:val="003E33CB"/>
    <w:rsid w:val="003E3804"/>
    <w:rsid w:val="003E4184"/>
    <w:rsid w:val="003E5FBD"/>
    <w:rsid w:val="003E6CAE"/>
    <w:rsid w:val="003E6EDA"/>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3DF0"/>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D88"/>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3C31"/>
    <w:rsid w:val="00454915"/>
    <w:rsid w:val="00456D07"/>
    <w:rsid w:val="0045713F"/>
    <w:rsid w:val="0045728F"/>
    <w:rsid w:val="00462678"/>
    <w:rsid w:val="004628ED"/>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5C9C"/>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6FC1"/>
    <w:rsid w:val="004A7B06"/>
    <w:rsid w:val="004B055B"/>
    <w:rsid w:val="004B110F"/>
    <w:rsid w:val="004B168C"/>
    <w:rsid w:val="004B1FC6"/>
    <w:rsid w:val="004B2EB1"/>
    <w:rsid w:val="004B4104"/>
    <w:rsid w:val="004B42E3"/>
    <w:rsid w:val="004C0A53"/>
    <w:rsid w:val="004C0FA6"/>
    <w:rsid w:val="004C184C"/>
    <w:rsid w:val="004C1DBA"/>
    <w:rsid w:val="004C36D8"/>
    <w:rsid w:val="004C4B86"/>
    <w:rsid w:val="004C4C82"/>
    <w:rsid w:val="004C4F86"/>
    <w:rsid w:val="004C64FE"/>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53"/>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349C"/>
    <w:rsid w:val="0056433C"/>
    <w:rsid w:val="00565E48"/>
    <w:rsid w:val="005663BE"/>
    <w:rsid w:val="005671FA"/>
    <w:rsid w:val="005718B4"/>
    <w:rsid w:val="00572214"/>
    <w:rsid w:val="00572E4A"/>
    <w:rsid w:val="005730E1"/>
    <w:rsid w:val="005753D7"/>
    <w:rsid w:val="0057691F"/>
    <w:rsid w:val="00577848"/>
    <w:rsid w:val="00580E29"/>
    <w:rsid w:val="00580F02"/>
    <w:rsid w:val="00581B3E"/>
    <w:rsid w:val="00582E3A"/>
    <w:rsid w:val="005859F7"/>
    <w:rsid w:val="00586E27"/>
    <w:rsid w:val="00587634"/>
    <w:rsid w:val="00587EDC"/>
    <w:rsid w:val="005901BA"/>
    <w:rsid w:val="005908A3"/>
    <w:rsid w:val="00590D3C"/>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5B8A"/>
    <w:rsid w:val="005A686E"/>
    <w:rsid w:val="005A7180"/>
    <w:rsid w:val="005A78AC"/>
    <w:rsid w:val="005B0219"/>
    <w:rsid w:val="005B0DD9"/>
    <w:rsid w:val="005B18C2"/>
    <w:rsid w:val="005B241A"/>
    <w:rsid w:val="005B2800"/>
    <w:rsid w:val="005B4035"/>
    <w:rsid w:val="005B6B9D"/>
    <w:rsid w:val="005B73C6"/>
    <w:rsid w:val="005B7B8A"/>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59C9"/>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58CB"/>
    <w:rsid w:val="006064D6"/>
    <w:rsid w:val="00606773"/>
    <w:rsid w:val="00607240"/>
    <w:rsid w:val="00607321"/>
    <w:rsid w:val="00607A07"/>
    <w:rsid w:val="0061003A"/>
    <w:rsid w:val="0061202E"/>
    <w:rsid w:val="00612A1F"/>
    <w:rsid w:val="0061310A"/>
    <w:rsid w:val="0061322A"/>
    <w:rsid w:val="00613E24"/>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3E10"/>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11"/>
    <w:rsid w:val="006A0D6B"/>
    <w:rsid w:val="006A2DCE"/>
    <w:rsid w:val="006A4309"/>
    <w:rsid w:val="006A57A2"/>
    <w:rsid w:val="006A62F9"/>
    <w:rsid w:val="006B0167"/>
    <w:rsid w:val="006B02C6"/>
    <w:rsid w:val="006B2025"/>
    <w:rsid w:val="006B25A6"/>
    <w:rsid w:val="006B25A8"/>
    <w:rsid w:val="006B2E2C"/>
    <w:rsid w:val="006B32F5"/>
    <w:rsid w:val="006B3D0D"/>
    <w:rsid w:val="006B3F34"/>
    <w:rsid w:val="006B6C20"/>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0DE"/>
    <w:rsid w:val="006F435B"/>
    <w:rsid w:val="006F67AA"/>
    <w:rsid w:val="006F72E8"/>
    <w:rsid w:val="00700731"/>
    <w:rsid w:val="00700E71"/>
    <w:rsid w:val="00702720"/>
    <w:rsid w:val="0070528A"/>
    <w:rsid w:val="00705662"/>
    <w:rsid w:val="00707621"/>
    <w:rsid w:val="00707A8C"/>
    <w:rsid w:val="00707CDF"/>
    <w:rsid w:val="00707ED2"/>
    <w:rsid w:val="00710F37"/>
    <w:rsid w:val="007111CF"/>
    <w:rsid w:val="00712109"/>
    <w:rsid w:val="007130D6"/>
    <w:rsid w:val="0071502D"/>
    <w:rsid w:val="0071521A"/>
    <w:rsid w:val="00715549"/>
    <w:rsid w:val="00716661"/>
    <w:rsid w:val="007166A2"/>
    <w:rsid w:val="00716F21"/>
    <w:rsid w:val="007179F1"/>
    <w:rsid w:val="007201CF"/>
    <w:rsid w:val="007204ED"/>
    <w:rsid w:val="00721264"/>
    <w:rsid w:val="00721349"/>
    <w:rsid w:val="00721974"/>
    <w:rsid w:val="00722C08"/>
    <w:rsid w:val="00723086"/>
    <w:rsid w:val="00723489"/>
    <w:rsid w:val="00723D15"/>
    <w:rsid w:val="00725473"/>
    <w:rsid w:val="00726332"/>
    <w:rsid w:val="00726721"/>
    <w:rsid w:val="00727552"/>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C4F"/>
    <w:rsid w:val="00750E14"/>
    <w:rsid w:val="007514A8"/>
    <w:rsid w:val="007519DD"/>
    <w:rsid w:val="007521AE"/>
    <w:rsid w:val="00752C93"/>
    <w:rsid w:val="0075425A"/>
    <w:rsid w:val="007555A1"/>
    <w:rsid w:val="00755F10"/>
    <w:rsid w:val="00756E64"/>
    <w:rsid w:val="00760A21"/>
    <w:rsid w:val="00760D30"/>
    <w:rsid w:val="00762878"/>
    <w:rsid w:val="00762BA6"/>
    <w:rsid w:val="00763729"/>
    <w:rsid w:val="00763E8C"/>
    <w:rsid w:val="007640AE"/>
    <w:rsid w:val="00765FB9"/>
    <w:rsid w:val="00771807"/>
    <w:rsid w:val="00773E86"/>
    <w:rsid w:val="0077451F"/>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2ED4"/>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1D4"/>
    <w:rsid w:val="007E58D2"/>
    <w:rsid w:val="007F16F9"/>
    <w:rsid w:val="007F2956"/>
    <w:rsid w:val="007F38C9"/>
    <w:rsid w:val="007F4A9E"/>
    <w:rsid w:val="007F4AF1"/>
    <w:rsid w:val="007F4D11"/>
    <w:rsid w:val="007F4FE9"/>
    <w:rsid w:val="007F6A17"/>
    <w:rsid w:val="00800F97"/>
    <w:rsid w:val="008019F7"/>
    <w:rsid w:val="0080481D"/>
    <w:rsid w:val="00804969"/>
    <w:rsid w:val="00805E23"/>
    <w:rsid w:val="008069CF"/>
    <w:rsid w:val="00807E5F"/>
    <w:rsid w:val="008103C9"/>
    <w:rsid w:val="008106E5"/>
    <w:rsid w:val="00811F92"/>
    <w:rsid w:val="0081283A"/>
    <w:rsid w:val="008128E0"/>
    <w:rsid w:val="008134B2"/>
    <w:rsid w:val="00813FCE"/>
    <w:rsid w:val="00814635"/>
    <w:rsid w:val="008146C7"/>
    <w:rsid w:val="00815747"/>
    <w:rsid w:val="0081639F"/>
    <w:rsid w:val="00820270"/>
    <w:rsid w:val="008202BD"/>
    <w:rsid w:val="0082123F"/>
    <w:rsid w:val="00821F2B"/>
    <w:rsid w:val="00822155"/>
    <w:rsid w:val="008230FF"/>
    <w:rsid w:val="00824750"/>
    <w:rsid w:val="00824C50"/>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056"/>
    <w:rsid w:val="008801EC"/>
    <w:rsid w:val="00880468"/>
    <w:rsid w:val="00882C3A"/>
    <w:rsid w:val="008847C0"/>
    <w:rsid w:val="0088666B"/>
    <w:rsid w:val="00886767"/>
    <w:rsid w:val="00886877"/>
    <w:rsid w:val="00887DB9"/>
    <w:rsid w:val="00887DF1"/>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0A0A"/>
    <w:rsid w:val="008B29D9"/>
    <w:rsid w:val="008B2E6E"/>
    <w:rsid w:val="008B5E0E"/>
    <w:rsid w:val="008B61B4"/>
    <w:rsid w:val="008B6A7C"/>
    <w:rsid w:val="008B79E8"/>
    <w:rsid w:val="008C063F"/>
    <w:rsid w:val="008C10B9"/>
    <w:rsid w:val="008C12B5"/>
    <w:rsid w:val="008C1FDB"/>
    <w:rsid w:val="008C3196"/>
    <w:rsid w:val="008C3F4C"/>
    <w:rsid w:val="008C7161"/>
    <w:rsid w:val="008C738E"/>
    <w:rsid w:val="008C76FB"/>
    <w:rsid w:val="008D0078"/>
    <w:rsid w:val="008D0162"/>
    <w:rsid w:val="008D12C0"/>
    <w:rsid w:val="008D1ABD"/>
    <w:rsid w:val="008D2B74"/>
    <w:rsid w:val="008D4433"/>
    <w:rsid w:val="008D4AC9"/>
    <w:rsid w:val="008D60B6"/>
    <w:rsid w:val="008E0175"/>
    <w:rsid w:val="008E05C9"/>
    <w:rsid w:val="008E2815"/>
    <w:rsid w:val="008E38B1"/>
    <w:rsid w:val="008E3998"/>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2FF"/>
    <w:rsid w:val="009178AD"/>
    <w:rsid w:val="00920908"/>
    <w:rsid w:val="009217BE"/>
    <w:rsid w:val="00922B23"/>
    <w:rsid w:val="009239BA"/>
    <w:rsid w:val="00924044"/>
    <w:rsid w:val="009247EF"/>
    <w:rsid w:val="00925940"/>
    <w:rsid w:val="00926350"/>
    <w:rsid w:val="009270BF"/>
    <w:rsid w:val="00931DAB"/>
    <w:rsid w:val="00931FC4"/>
    <w:rsid w:val="00932C8F"/>
    <w:rsid w:val="0093375A"/>
    <w:rsid w:val="009338AE"/>
    <w:rsid w:val="009357D8"/>
    <w:rsid w:val="00936315"/>
    <w:rsid w:val="009366D6"/>
    <w:rsid w:val="00936953"/>
    <w:rsid w:val="00937738"/>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292"/>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6B0"/>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5C4A"/>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6CF2"/>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5E6A"/>
    <w:rsid w:val="00A266D8"/>
    <w:rsid w:val="00A30620"/>
    <w:rsid w:val="00A3248E"/>
    <w:rsid w:val="00A33394"/>
    <w:rsid w:val="00A33A67"/>
    <w:rsid w:val="00A33F62"/>
    <w:rsid w:val="00A34805"/>
    <w:rsid w:val="00A3624E"/>
    <w:rsid w:val="00A3628D"/>
    <w:rsid w:val="00A369FF"/>
    <w:rsid w:val="00A36BED"/>
    <w:rsid w:val="00A36CD1"/>
    <w:rsid w:val="00A373E8"/>
    <w:rsid w:val="00A40828"/>
    <w:rsid w:val="00A41045"/>
    <w:rsid w:val="00A41EAA"/>
    <w:rsid w:val="00A439E2"/>
    <w:rsid w:val="00A43F55"/>
    <w:rsid w:val="00A44256"/>
    <w:rsid w:val="00A45B31"/>
    <w:rsid w:val="00A45C01"/>
    <w:rsid w:val="00A465D7"/>
    <w:rsid w:val="00A472B1"/>
    <w:rsid w:val="00A479A8"/>
    <w:rsid w:val="00A530A7"/>
    <w:rsid w:val="00A54F6D"/>
    <w:rsid w:val="00A5564D"/>
    <w:rsid w:val="00A557D2"/>
    <w:rsid w:val="00A56A90"/>
    <w:rsid w:val="00A57360"/>
    <w:rsid w:val="00A5788C"/>
    <w:rsid w:val="00A60E9B"/>
    <w:rsid w:val="00A61251"/>
    <w:rsid w:val="00A612AB"/>
    <w:rsid w:val="00A61902"/>
    <w:rsid w:val="00A63D70"/>
    <w:rsid w:val="00A646DB"/>
    <w:rsid w:val="00A64BC8"/>
    <w:rsid w:val="00A6638D"/>
    <w:rsid w:val="00A668B9"/>
    <w:rsid w:val="00A669B8"/>
    <w:rsid w:val="00A67390"/>
    <w:rsid w:val="00A72903"/>
    <w:rsid w:val="00A73132"/>
    <w:rsid w:val="00A73480"/>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386A"/>
    <w:rsid w:val="00AA5446"/>
    <w:rsid w:val="00AA6D24"/>
    <w:rsid w:val="00AB015B"/>
    <w:rsid w:val="00AB0B4A"/>
    <w:rsid w:val="00AB14D1"/>
    <w:rsid w:val="00AB1CDD"/>
    <w:rsid w:val="00AB2E74"/>
    <w:rsid w:val="00AB350E"/>
    <w:rsid w:val="00AB43DD"/>
    <w:rsid w:val="00AB4432"/>
    <w:rsid w:val="00AB5163"/>
    <w:rsid w:val="00AB5604"/>
    <w:rsid w:val="00AB5AA9"/>
    <w:rsid w:val="00AB6A6A"/>
    <w:rsid w:val="00AB7684"/>
    <w:rsid w:val="00AC0B83"/>
    <w:rsid w:val="00AC0ECD"/>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5D4A"/>
    <w:rsid w:val="00AE639A"/>
    <w:rsid w:val="00AE6636"/>
    <w:rsid w:val="00AF121D"/>
    <w:rsid w:val="00AF1754"/>
    <w:rsid w:val="00AF1C0F"/>
    <w:rsid w:val="00AF1C84"/>
    <w:rsid w:val="00AF2AB3"/>
    <w:rsid w:val="00AF5C9D"/>
    <w:rsid w:val="00B002F0"/>
    <w:rsid w:val="00B006D6"/>
    <w:rsid w:val="00B02C68"/>
    <w:rsid w:val="00B03096"/>
    <w:rsid w:val="00B03769"/>
    <w:rsid w:val="00B03AA8"/>
    <w:rsid w:val="00B04354"/>
    <w:rsid w:val="00B04539"/>
    <w:rsid w:val="00B04BC6"/>
    <w:rsid w:val="00B067AA"/>
    <w:rsid w:val="00B06B41"/>
    <w:rsid w:val="00B0762C"/>
    <w:rsid w:val="00B10570"/>
    <w:rsid w:val="00B10765"/>
    <w:rsid w:val="00B108A9"/>
    <w:rsid w:val="00B10FCA"/>
    <w:rsid w:val="00B121C4"/>
    <w:rsid w:val="00B1392C"/>
    <w:rsid w:val="00B20661"/>
    <w:rsid w:val="00B21603"/>
    <w:rsid w:val="00B217FF"/>
    <w:rsid w:val="00B21F5B"/>
    <w:rsid w:val="00B22835"/>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35F06"/>
    <w:rsid w:val="00B4232D"/>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60359"/>
    <w:rsid w:val="00B60D8D"/>
    <w:rsid w:val="00B612BC"/>
    <w:rsid w:val="00B617D1"/>
    <w:rsid w:val="00B618D2"/>
    <w:rsid w:val="00B62369"/>
    <w:rsid w:val="00B634D9"/>
    <w:rsid w:val="00B65D2D"/>
    <w:rsid w:val="00B678F1"/>
    <w:rsid w:val="00B67F75"/>
    <w:rsid w:val="00B7326C"/>
    <w:rsid w:val="00B738B7"/>
    <w:rsid w:val="00B74F1D"/>
    <w:rsid w:val="00B75865"/>
    <w:rsid w:val="00B767EF"/>
    <w:rsid w:val="00B77BCB"/>
    <w:rsid w:val="00B805A0"/>
    <w:rsid w:val="00B812E6"/>
    <w:rsid w:val="00B83F5B"/>
    <w:rsid w:val="00B90A1A"/>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078"/>
    <w:rsid w:val="00BD2603"/>
    <w:rsid w:val="00BD2B14"/>
    <w:rsid w:val="00BD2EBB"/>
    <w:rsid w:val="00BD2F1A"/>
    <w:rsid w:val="00BD3BFA"/>
    <w:rsid w:val="00BD4CDD"/>
    <w:rsid w:val="00BD636A"/>
    <w:rsid w:val="00BD7569"/>
    <w:rsid w:val="00BD7574"/>
    <w:rsid w:val="00BD7829"/>
    <w:rsid w:val="00BD7A3B"/>
    <w:rsid w:val="00BD7AC0"/>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05B2"/>
    <w:rsid w:val="00C6133E"/>
    <w:rsid w:val="00C63B48"/>
    <w:rsid w:val="00C63CEB"/>
    <w:rsid w:val="00C65A25"/>
    <w:rsid w:val="00C661F8"/>
    <w:rsid w:val="00C663BE"/>
    <w:rsid w:val="00C665AF"/>
    <w:rsid w:val="00C712D4"/>
    <w:rsid w:val="00C73047"/>
    <w:rsid w:val="00C73FC4"/>
    <w:rsid w:val="00C7431C"/>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2B04"/>
    <w:rsid w:val="00C931DF"/>
    <w:rsid w:val="00C9549E"/>
    <w:rsid w:val="00C9589E"/>
    <w:rsid w:val="00CA0ACC"/>
    <w:rsid w:val="00CA12C7"/>
    <w:rsid w:val="00CA4AF8"/>
    <w:rsid w:val="00CA504C"/>
    <w:rsid w:val="00CA54DD"/>
    <w:rsid w:val="00CA5904"/>
    <w:rsid w:val="00CA6397"/>
    <w:rsid w:val="00CA6F68"/>
    <w:rsid w:val="00CA7B96"/>
    <w:rsid w:val="00CB078E"/>
    <w:rsid w:val="00CB0B4B"/>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B1D"/>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7B8"/>
    <w:rsid w:val="00CF4F68"/>
    <w:rsid w:val="00CF5353"/>
    <w:rsid w:val="00CF53BC"/>
    <w:rsid w:val="00CF5E10"/>
    <w:rsid w:val="00CF6DEB"/>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5B4"/>
    <w:rsid w:val="00D1599C"/>
    <w:rsid w:val="00D218D7"/>
    <w:rsid w:val="00D2193E"/>
    <w:rsid w:val="00D21CB9"/>
    <w:rsid w:val="00D21D21"/>
    <w:rsid w:val="00D222A8"/>
    <w:rsid w:val="00D22B58"/>
    <w:rsid w:val="00D2322E"/>
    <w:rsid w:val="00D24B15"/>
    <w:rsid w:val="00D24DBB"/>
    <w:rsid w:val="00D25CCD"/>
    <w:rsid w:val="00D264CF"/>
    <w:rsid w:val="00D26B31"/>
    <w:rsid w:val="00D26E09"/>
    <w:rsid w:val="00D278AB"/>
    <w:rsid w:val="00D27D8A"/>
    <w:rsid w:val="00D30D9E"/>
    <w:rsid w:val="00D3176D"/>
    <w:rsid w:val="00D3340D"/>
    <w:rsid w:val="00D3359F"/>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411"/>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240B"/>
    <w:rsid w:val="00D93656"/>
    <w:rsid w:val="00D94099"/>
    <w:rsid w:val="00D9470D"/>
    <w:rsid w:val="00D9482F"/>
    <w:rsid w:val="00D94DD6"/>
    <w:rsid w:val="00D94E24"/>
    <w:rsid w:val="00D95C0C"/>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283D"/>
    <w:rsid w:val="00DB3B3B"/>
    <w:rsid w:val="00DB5E8F"/>
    <w:rsid w:val="00DB69B6"/>
    <w:rsid w:val="00DB6BEF"/>
    <w:rsid w:val="00DC0F04"/>
    <w:rsid w:val="00DC1704"/>
    <w:rsid w:val="00DC42EB"/>
    <w:rsid w:val="00DC4541"/>
    <w:rsid w:val="00DC458B"/>
    <w:rsid w:val="00DC4818"/>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324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395"/>
    <w:rsid w:val="00E50974"/>
    <w:rsid w:val="00E51492"/>
    <w:rsid w:val="00E543BF"/>
    <w:rsid w:val="00E54760"/>
    <w:rsid w:val="00E5530D"/>
    <w:rsid w:val="00E559A9"/>
    <w:rsid w:val="00E60AB4"/>
    <w:rsid w:val="00E60F5E"/>
    <w:rsid w:val="00E655C7"/>
    <w:rsid w:val="00E65DE7"/>
    <w:rsid w:val="00E65EBA"/>
    <w:rsid w:val="00E6626F"/>
    <w:rsid w:val="00E663BC"/>
    <w:rsid w:val="00E666C4"/>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5AAD"/>
    <w:rsid w:val="00E961CB"/>
    <w:rsid w:val="00E96513"/>
    <w:rsid w:val="00EA1693"/>
    <w:rsid w:val="00EA1EA1"/>
    <w:rsid w:val="00EA26B4"/>
    <w:rsid w:val="00EA2B7D"/>
    <w:rsid w:val="00EA2E63"/>
    <w:rsid w:val="00EA2FF2"/>
    <w:rsid w:val="00EA3064"/>
    <w:rsid w:val="00EA30E4"/>
    <w:rsid w:val="00EA4571"/>
    <w:rsid w:val="00EA48FA"/>
    <w:rsid w:val="00EA6038"/>
    <w:rsid w:val="00EA75F1"/>
    <w:rsid w:val="00EA7AA8"/>
    <w:rsid w:val="00EB102A"/>
    <w:rsid w:val="00EB19C6"/>
    <w:rsid w:val="00EB3CC5"/>
    <w:rsid w:val="00EB441A"/>
    <w:rsid w:val="00EB4CAE"/>
    <w:rsid w:val="00EB56AA"/>
    <w:rsid w:val="00EB60E8"/>
    <w:rsid w:val="00EB7CD1"/>
    <w:rsid w:val="00EC00F3"/>
    <w:rsid w:val="00EC0B91"/>
    <w:rsid w:val="00EC0EB5"/>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414"/>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0D53"/>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47E55"/>
    <w:rsid w:val="00F5028E"/>
    <w:rsid w:val="00F50658"/>
    <w:rsid w:val="00F50C66"/>
    <w:rsid w:val="00F5118F"/>
    <w:rsid w:val="00F51437"/>
    <w:rsid w:val="00F51D42"/>
    <w:rsid w:val="00F53A58"/>
    <w:rsid w:val="00F54D2B"/>
    <w:rsid w:val="00F55CC3"/>
    <w:rsid w:val="00F560FC"/>
    <w:rsid w:val="00F57269"/>
    <w:rsid w:val="00F57750"/>
    <w:rsid w:val="00F57B99"/>
    <w:rsid w:val="00F60FD4"/>
    <w:rsid w:val="00F611FE"/>
    <w:rsid w:val="00F61780"/>
    <w:rsid w:val="00F624BF"/>
    <w:rsid w:val="00F62A39"/>
    <w:rsid w:val="00F63B35"/>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061"/>
    <w:rsid w:val="00F85207"/>
    <w:rsid w:val="00F864F8"/>
    <w:rsid w:val="00F87269"/>
    <w:rsid w:val="00F90D89"/>
    <w:rsid w:val="00F917A6"/>
    <w:rsid w:val="00F9220F"/>
    <w:rsid w:val="00F94CA1"/>
    <w:rsid w:val="00F9590B"/>
    <w:rsid w:val="00F975FD"/>
    <w:rsid w:val="00FA2D75"/>
    <w:rsid w:val="00FA395E"/>
    <w:rsid w:val="00FA4400"/>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0D66"/>
    <w:rsid w:val="00FF2E2B"/>
    <w:rsid w:val="00FF3B77"/>
    <w:rsid w:val="00FF5ADC"/>
    <w:rsid w:val="01366AFB"/>
    <w:rsid w:val="01904EBB"/>
    <w:rsid w:val="02193DDA"/>
    <w:rsid w:val="02DA0A9C"/>
    <w:rsid w:val="052863E0"/>
    <w:rsid w:val="06BE7D6B"/>
    <w:rsid w:val="06D87CE5"/>
    <w:rsid w:val="06DF523E"/>
    <w:rsid w:val="077E2C11"/>
    <w:rsid w:val="07A645E0"/>
    <w:rsid w:val="083427B3"/>
    <w:rsid w:val="09F7754D"/>
    <w:rsid w:val="0C032B42"/>
    <w:rsid w:val="0C7532F3"/>
    <w:rsid w:val="0D92027A"/>
    <w:rsid w:val="0FB90000"/>
    <w:rsid w:val="0FE66788"/>
    <w:rsid w:val="10622251"/>
    <w:rsid w:val="10DB4AE0"/>
    <w:rsid w:val="11FF1674"/>
    <w:rsid w:val="12F915E2"/>
    <w:rsid w:val="15C02983"/>
    <w:rsid w:val="183138A6"/>
    <w:rsid w:val="19932D8F"/>
    <w:rsid w:val="1BE910E6"/>
    <w:rsid w:val="1C8D480D"/>
    <w:rsid w:val="1ECE3C5B"/>
    <w:rsid w:val="221A1A94"/>
    <w:rsid w:val="22A85602"/>
    <w:rsid w:val="27C24320"/>
    <w:rsid w:val="27DD3AD7"/>
    <w:rsid w:val="27ED1A56"/>
    <w:rsid w:val="2B591742"/>
    <w:rsid w:val="2B773ED9"/>
    <w:rsid w:val="2C9F6BC2"/>
    <w:rsid w:val="2E204938"/>
    <w:rsid w:val="2EF94773"/>
    <w:rsid w:val="3187022E"/>
    <w:rsid w:val="32751498"/>
    <w:rsid w:val="34A1463A"/>
    <w:rsid w:val="34BC65DA"/>
    <w:rsid w:val="37A91735"/>
    <w:rsid w:val="38091233"/>
    <w:rsid w:val="38E86C91"/>
    <w:rsid w:val="3AD12344"/>
    <w:rsid w:val="3CAB147C"/>
    <w:rsid w:val="3F337941"/>
    <w:rsid w:val="42512391"/>
    <w:rsid w:val="4453760F"/>
    <w:rsid w:val="450820BE"/>
    <w:rsid w:val="467F5189"/>
    <w:rsid w:val="46E971A9"/>
    <w:rsid w:val="482F4A8A"/>
    <w:rsid w:val="489B1BC7"/>
    <w:rsid w:val="4AFF5368"/>
    <w:rsid w:val="4CD15CC3"/>
    <w:rsid w:val="52CD5D40"/>
    <w:rsid w:val="52E160D0"/>
    <w:rsid w:val="53097016"/>
    <w:rsid w:val="53E868E7"/>
    <w:rsid w:val="550A0078"/>
    <w:rsid w:val="575A6085"/>
    <w:rsid w:val="5DC42264"/>
    <w:rsid w:val="5E2662D9"/>
    <w:rsid w:val="5E673387"/>
    <w:rsid w:val="5F0D0905"/>
    <w:rsid w:val="607825E8"/>
    <w:rsid w:val="62EE7720"/>
    <w:rsid w:val="633456FB"/>
    <w:rsid w:val="638B791F"/>
    <w:rsid w:val="64DB7EB7"/>
    <w:rsid w:val="65C24F79"/>
    <w:rsid w:val="66714991"/>
    <w:rsid w:val="6876400A"/>
    <w:rsid w:val="68772DC7"/>
    <w:rsid w:val="69644876"/>
    <w:rsid w:val="6CA311E4"/>
    <w:rsid w:val="6EBF6085"/>
    <w:rsid w:val="714227DD"/>
    <w:rsid w:val="72EA2EB0"/>
    <w:rsid w:val="74396C97"/>
    <w:rsid w:val="74EB5442"/>
    <w:rsid w:val="77750849"/>
    <w:rsid w:val="779F0072"/>
    <w:rsid w:val="78BA1D18"/>
    <w:rsid w:val="79864CBC"/>
    <w:rsid w:val="7B19071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9"/>
    <w:pPr>
      <w:keepNext/>
      <w:outlineLvl w:val="0"/>
    </w:pPr>
    <w:rPr>
      <w:rFonts w:ascii="楷体_GB2312" w:eastAsia="楷体_GB2312"/>
      <w:sz w:val="28"/>
      <w:szCs w:val="20"/>
    </w:rPr>
  </w:style>
  <w:style w:type="paragraph" w:styleId="3">
    <w:name w:val="heading 2"/>
    <w:basedOn w:val="1"/>
    <w:next w:val="4"/>
    <w:link w:val="43"/>
    <w:qFormat/>
    <w:uiPriority w:val="99"/>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4"/>
    <w:link w:val="44"/>
    <w:qFormat/>
    <w:uiPriority w:val="99"/>
    <w:pPr>
      <w:keepNext/>
      <w:keepLines/>
      <w:spacing w:before="260" w:after="260" w:line="416" w:lineRule="auto"/>
      <w:outlineLvl w:val="2"/>
    </w:pPr>
    <w:rPr>
      <w:b/>
      <w:sz w:val="32"/>
      <w:szCs w:val="20"/>
    </w:rPr>
  </w:style>
  <w:style w:type="paragraph" w:styleId="6">
    <w:name w:val="heading 4"/>
    <w:basedOn w:val="1"/>
    <w:next w:val="1"/>
    <w:link w:val="45"/>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6"/>
    <w:qFormat/>
    <w:uiPriority w:val="99"/>
    <w:pPr>
      <w:keepNext/>
      <w:outlineLvl w:val="4"/>
    </w:pPr>
    <w:rPr>
      <w:rFonts w:ascii="宋体" w:hAnsi="宋体"/>
      <w:b/>
      <w:bCs/>
    </w:rPr>
  </w:style>
  <w:style w:type="character" w:default="1" w:styleId="34">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82"/>
    <w:qFormat/>
    <w:uiPriority w:val="99"/>
    <w:pPr>
      <w:ind w:firstLine="420"/>
    </w:pPr>
    <w:rPr>
      <w:szCs w:val="20"/>
    </w:rPr>
  </w:style>
  <w:style w:type="paragraph" w:styleId="8">
    <w:name w:val="annotation subject"/>
    <w:basedOn w:val="9"/>
    <w:next w:val="9"/>
    <w:link w:val="84"/>
    <w:qFormat/>
    <w:uiPriority w:val="99"/>
    <w:rPr>
      <w:b/>
    </w:rPr>
  </w:style>
  <w:style w:type="paragraph" w:styleId="9">
    <w:name w:val="annotation text"/>
    <w:basedOn w:val="1"/>
    <w:link w:val="83"/>
    <w:qFormat/>
    <w:uiPriority w:val="99"/>
    <w:pPr>
      <w:jc w:val="left"/>
    </w:pPr>
    <w:rPr>
      <w:sz w:val="24"/>
      <w:szCs w:val="20"/>
    </w:rPr>
  </w:style>
  <w:style w:type="paragraph" w:styleId="10">
    <w:name w:val="toc 7"/>
    <w:basedOn w:val="1"/>
    <w:next w:val="1"/>
    <w:semiHidden/>
    <w:qFormat/>
    <w:uiPriority w:val="99"/>
    <w:pPr>
      <w:ind w:left="2520" w:leftChars="1200"/>
    </w:pPr>
  </w:style>
  <w:style w:type="paragraph" w:styleId="11">
    <w:name w:val="Document Map"/>
    <w:basedOn w:val="1"/>
    <w:link w:val="49"/>
    <w:semiHidden/>
    <w:qFormat/>
    <w:uiPriority w:val="99"/>
    <w:pPr>
      <w:shd w:val="clear" w:color="auto" w:fill="000080"/>
    </w:pPr>
  </w:style>
  <w:style w:type="paragraph" w:styleId="12">
    <w:name w:val="Body Text 3"/>
    <w:basedOn w:val="1"/>
    <w:link w:val="50"/>
    <w:qFormat/>
    <w:uiPriority w:val="99"/>
    <w:rPr>
      <w:rFonts w:ascii="仿宋_GB2312" w:hAnsi="Arial" w:eastAsia="仿宋_GB2312"/>
      <w:sz w:val="32"/>
      <w:szCs w:val="20"/>
    </w:rPr>
  </w:style>
  <w:style w:type="paragraph" w:styleId="13">
    <w:name w:val="Body Text"/>
    <w:basedOn w:val="1"/>
    <w:link w:val="51"/>
    <w:qFormat/>
    <w:uiPriority w:val="99"/>
    <w:rPr>
      <w:rFonts w:ascii="楷体_GB2312" w:hAnsi="Arial" w:eastAsia="楷体_GB2312"/>
      <w:sz w:val="28"/>
      <w:szCs w:val="20"/>
    </w:rPr>
  </w:style>
  <w:style w:type="paragraph" w:styleId="14">
    <w:name w:val="Body Text Indent"/>
    <w:basedOn w:val="1"/>
    <w:link w:val="52"/>
    <w:qFormat/>
    <w:uiPriority w:val="99"/>
    <w:pPr>
      <w:ind w:firstLine="645"/>
    </w:pPr>
    <w:rPr>
      <w:rFonts w:ascii="楷体_GB2312" w:eastAsia="楷体_GB2312"/>
      <w:sz w:val="32"/>
      <w:szCs w:val="20"/>
    </w:rPr>
  </w:style>
  <w:style w:type="paragraph" w:styleId="15">
    <w:name w:val="toc 5"/>
    <w:basedOn w:val="1"/>
    <w:next w:val="1"/>
    <w:semiHidden/>
    <w:qFormat/>
    <w:uiPriority w:val="99"/>
    <w:pPr>
      <w:ind w:left="1680" w:leftChars="800"/>
    </w:pPr>
  </w:style>
  <w:style w:type="paragraph" w:styleId="16">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link w:val="53"/>
    <w:qFormat/>
    <w:uiPriority w:val="0"/>
    <w:rPr>
      <w:rFonts w:ascii="宋体" w:hAnsi="Courier New"/>
      <w:szCs w:val="20"/>
    </w:rPr>
  </w:style>
  <w:style w:type="paragraph" w:styleId="18">
    <w:name w:val="toc 8"/>
    <w:basedOn w:val="1"/>
    <w:next w:val="1"/>
    <w:semiHidden/>
    <w:qFormat/>
    <w:uiPriority w:val="99"/>
    <w:pPr>
      <w:ind w:left="2940" w:leftChars="1400"/>
    </w:pPr>
  </w:style>
  <w:style w:type="paragraph" w:styleId="19">
    <w:name w:val="Date"/>
    <w:basedOn w:val="1"/>
    <w:next w:val="1"/>
    <w:link w:val="54"/>
    <w:qFormat/>
    <w:uiPriority w:val="0"/>
    <w:rPr>
      <w:sz w:val="24"/>
      <w:szCs w:val="20"/>
    </w:rPr>
  </w:style>
  <w:style w:type="paragraph" w:styleId="20">
    <w:name w:val="Body Text Indent 2"/>
    <w:basedOn w:val="1"/>
    <w:link w:val="55"/>
    <w:qFormat/>
    <w:uiPriority w:val="99"/>
    <w:pPr>
      <w:ind w:firstLine="560" w:firstLineChars="200"/>
    </w:pPr>
    <w:rPr>
      <w:rFonts w:ascii="宋体" w:hAnsi="宋体"/>
      <w:sz w:val="28"/>
    </w:rPr>
  </w:style>
  <w:style w:type="paragraph" w:styleId="21">
    <w:name w:val="Balloon Text"/>
    <w:basedOn w:val="1"/>
    <w:link w:val="56"/>
    <w:semiHidden/>
    <w:qFormat/>
    <w:uiPriority w:val="99"/>
    <w:rPr>
      <w:sz w:val="18"/>
      <w:szCs w:val="18"/>
    </w:rPr>
  </w:style>
  <w:style w:type="paragraph" w:styleId="22">
    <w:name w:val="footer"/>
    <w:basedOn w:val="1"/>
    <w:link w:val="95"/>
    <w:qFormat/>
    <w:uiPriority w:val="99"/>
    <w:pPr>
      <w:tabs>
        <w:tab w:val="center" w:pos="4153"/>
        <w:tab w:val="right" w:pos="8306"/>
      </w:tabs>
      <w:snapToGrid w:val="0"/>
      <w:jc w:val="left"/>
    </w:pPr>
    <w:rPr>
      <w:sz w:val="18"/>
      <w:szCs w:val="20"/>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5">
    <w:name w:val="toc 4"/>
    <w:basedOn w:val="1"/>
    <w:next w:val="1"/>
    <w:semiHidden/>
    <w:qFormat/>
    <w:uiPriority w:val="99"/>
    <w:pPr>
      <w:ind w:left="1260" w:leftChars="600"/>
    </w:pPr>
  </w:style>
  <w:style w:type="paragraph" w:styleId="26">
    <w:name w:val="toc 6"/>
    <w:basedOn w:val="1"/>
    <w:next w:val="1"/>
    <w:semiHidden/>
    <w:qFormat/>
    <w:uiPriority w:val="99"/>
    <w:pPr>
      <w:ind w:left="2100" w:leftChars="1000"/>
    </w:pPr>
  </w:style>
  <w:style w:type="paragraph" w:styleId="27">
    <w:name w:val="Body Text Indent 3"/>
    <w:basedOn w:val="1"/>
    <w:link w:val="59"/>
    <w:qFormat/>
    <w:uiPriority w:val="99"/>
    <w:pPr>
      <w:ind w:firstLine="523"/>
    </w:pPr>
    <w:rPr>
      <w:rFonts w:ascii="仿宋_GB2312" w:hAnsi="宋体" w:eastAsia="仿宋_GB2312"/>
      <w:sz w:val="24"/>
    </w:rPr>
  </w:style>
  <w:style w:type="paragraph" w:styleId="28">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9">
    <w:name w:val="toc 9"/>
    <w:basedOn w:val="1"/>
    <w:next w:val="1"/>
    <w:semiHidden/>
    <w:qFormat/>
    <w:uiPriority w:val="99"/>
    <w:pPr>
      <w:ind w:left="3360" w:leftChars="1600"/>
    </w:pPr>
  </w:style>
  <w:style w:type="paragraph" w:styleId="30">
    <w:name w:val="Body Text 2"/>
    <w:basedOn w:val="1"/>
    <w:link w:val="60"/>
    <w:qFormat/>
    <w:uiPriority w:val="99"/>
    <w:pPr>
      <w:jc w:val="center"/>
    </w:pPr>
    <w:rPr>
      <w:rFonts w:ascii="仿宋_GB2312" w:eastAsia="仿宋_GB2312"/>
      <w:sz w:val="44"/>
    </w:rPr>
  </w:style>
  <w:style w:type="paragraph" w:styleId="31">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qFormat/>
    <w:uiPriority w:val="99"/>
    <w:rPr>
      <w:rFonts w:ascii="宋体" w:hAnsi="宋体"/>
      <w:szCs w:val="18"/>
    </w:rPr>
  </w:style>
  <w:style w:type="character" w:styleId="35">
    <w:name w:val="Strong"/>
    <w:basedOn w:val="34"/>
    <w:qFormat/>
    <w:uiPriority w:val="99"/>
    <w:rPr>
      <w:rFonts w:cs="Times New Roman"/>
      <w:b/>
    </w:rPr>
  </w:style>
  <w:style w:type="character" w:styleId="36">
    <w:name w:val="page number"/>
    <w:basedOn w:val="34"/>
    <w:qFormat/>
    <w:uiPriority w:val="99"/>
    <w:rPr>
      <w:rFonts w:cs="Times New Roman"/>
    </w:rPr>
  </w:style>
  <w:style w:type="character" w:styleId="37">
    <w:name w:val="FollowedHyperlink"/>
    <w:basedOn w:val="34"/>
    <w:qFormat/>
    <w:uiPriority w:val="99"/>
    <w:rPr>
      <w:rFonts w:cs="Times New Roman"/>
      <w:color w:val="800080"/>
      <w:u w:val="single"/>
    </w:rPr>
  </w:style>
  <w:style w:type="character" w:styleId="38">
    <w:name w:val="Hyperlink"/>
    <w:basedOn w:val="34"/>
    <w:qFormat/>
    <w:uiPriority w:val="99"/>
    <w:rPr>
      <w:rFonts w:cs="Times New Roman"/>
      <w:color w:val="0000FF"/>
      <w:u w:val="single"/>
    </w:rPr>
  </w:style>
  <w:style w:type="character" w:styleId="39">
    <w:name w:val="annotation reference"/>
    <w:basedOn w:val="34"/>
    <w:qFormat/>
    <w:uiPriority w:val="99"/>
    <w:rPr>
      <w:rFonts w:cs="Times New Roman"/>
      <w:sz w:val="21"/>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标题 1 Char"/>
    <w:basedOn w:val="34"/>
    <w:link w:val="2"/>
    <w:qFormat/>
    <w:locked/>
    <w:uiPriority w:val="99"/>
    <w:rPr>
      <w:rFonts w:ascii="楷体_GB2312" w:eastAsia="楷体_GB2312" w:cs="Times New Roman"/>
      <w:kern w:val="2"/>
      <w:sz w:val="28"/>
      <w:lang w:val="en-US" w:eastAsia="zh-CN"/>
    </w:rPr>
  </w:style>
  <w:style w:type="character" w:customStyle="1" w:styleId="43">
    <w:name w:val="标题 2 Char1"/>
    <w:basedOn w:val="34"/>
    <w:link w:val="3"/>
    <w:locked/>
    <w:uiPriority w:val="99"/>
    <w:rPr>
      <w:rFonts w:ascii="Arial" w:hAnsi="Arial" w:eastAsia="幼圆" w:cs="Times New Roman"/>
      <w:b/>
      <w:kern w:val="2"/>
      <w:sz w:val="44"/>
    </w:rPr>
  </w:style>
  <w:style w:type="character" w:customStyle="1" w:styleId="44">
    <w:name w:val="标题 3 Char"/>
    <w:basedOn w:val="34"/>
    <w:link w:val="5"/>
    <w:semiHidden/>
    <w:locked/>
    <w:uiPriority w:val="99"/>
    <w:rPr>
      <w:rFonts w:cs="Times New Roman"/>
      <w:b/>
      <w:bCs/>
      <w:sz w:val="32"/>
      <w:szCs w:val="32"/>
    </w:rPr>
  </w:style>
  <w:style w:type="character" w:customStyle="1" w:styleId="45">
    <w:name w:val="标题 4 Char"/>
    <w:basedOn w:val="34"/>
    <w:link w:val="6"/>
    <w:qFormat/>
    <w:locked/>
    <w:uiPriority w:val="99"/>
    <w:rPr>
      <w:rFonts w:ascii="Arial" w:hAnsi="Arial" w:eastAsia="黑体" w:cs="Times New Roman"/>
      <w:b/>
      <w:bCs/>
      <w:kern w:val="2"/>
      <w:sz w:val="28"/>
      <w:szCs w:val="28"/>
    </w:rPr>
  </w:style>
  <w:style w:type="character" w:customStyle="1" w:styleId="46">
    <w:name w:val="标题 5 Char"/>
    <w:basedOn w:val="34"/>
    <w:link w:val="7"/>
    <w:locked/>
    <w:uiPriority w:val="99"/>
    <w:rPr>
      <w:rFonts w:ascii="宋体" w:eastAsia="宋体" w:cs="Times New Roman"/>
      <w:b/>
      <w:bCs/>
      <w:kern w:val="2"/>
      <w:sz w:val="24"/>
      <w:szCs w:val="24"/>
    </w:rPr>
  </w:style>
  <w:style w:type="character" w:customStyle="1" w:styleId="47">
    <w:name w:val="Comment Text Char"/>
    <w:basedOn w:val="34"/>
    <w:qFormat/>
    <w:locked/>
    <w:uiPriority w:val="99"/>
    <w:rPr>
      <w:rFonts w:cs="Times New Roman"/>
      <w:kern w:val="2"/>
      <w:sz w:val="24"/>
    </w:rPr>
  </w:style>
  <w:style w:type="character" w:customStyle="1" w:styleId="48">
    <w:name w:val="Comment Subject Char"/>
    <w:basedOn w:val="47"/>
    <w:qFormat/>
    <w:locked/>
    <w:uiPriority w:val="99"/>
    <w:rPr>
      <w:rFonts w:cs="Times New Roman"/>
      <w:b/>
      <w:kern w:val="2"/>
      <w:sz w:val="24"/>
    </w:rPr>
  </w:style>
  <w:style w:type="character" w:customStyle="1" w:styleId="49">
    <w:name w:val="文档结构图 Char"/>
    <w:basedOn w:val="34"/>
    <w:link w:val="11"/>
    <w:semiHidden/>
    <w:locked/>
    <w:uiPriority w:val="99"/>
    <w:rPr>
      <w:rFonts w:cs="Times New Roman"/>
      <w:kern w:val="2"/>
      <w:sz w:val="24"/>
      <w:szCs w:val="24"/>
      <w:shd w:val="clear" w:color="auto" w:fill="000080"/>
    </w:rPr>
  </w:style>
  <w:style w:type="character" w:customStyle="1" w:styleId="50">
    <w:name w:val="正文文本 3 Char"/>
    <w:basedOn w:val="34"/>
    <w:link w:val="12"/>
    <w:qFormat/>
    <w:locked/>
    <w:uiPriority w:val="99"/>
    <w:rPr>
      <w:rFonts w:ascii="仿宋_GB2312" w:hAnsi="Arial" w:eastAsia="仿宋_GB2312" w:cs="Times New Roman"/>
      <w:kern w:val="2"/>
      <w:sz w:val="32"/>
    </w:rPr>
  </w:style>
  <w:style w:type="character" w:customStyle="1" w:styleId="51">
    <w:name w:val="正文文本 Char"/>
    <w:basedOn w:val="34"/>
    <w:link w:val="13"/>
    <w:qFormat/>
    <w:locked/>
    <w:uiPriority w:val="99"/>
    <w:rPr>
      <w:rFonts w:ascii="楷体_GB2312" w:hAnsi="Arial" w:eastAsia="楷体_GB2312" w:cs="Times New Roman"/>
      <w:kern w:val="2"/>
      <w:sz w:val="28"/>
    </w:rPr>
  </w:style>
  <w:style w:type="character" w:customStyle="1" w:styleId="52">
    <w:name w:val="正文文本缩进 Char"/>
    <w:basedOn w:val="34"/>
    <w:link w:val="14"/>
    <w:qFormat/>
    <w:locked/>
    <w:uiPriority w:val="99"/>
    <w:rPr>
      <w:rFonts w:ascii="楷体_GB2312" w:eastAsia="楷体_GB2312" w:cs="Times New Roman"/>
      <w:kern w:val="2"/>
      <w:sz w:val="32"/>
    </w:rPr>
  </w:style>
  <w:style w:type="character" w:customStyle="1" w:styleId="53">
    <w:name w:val="纯文本 Char"/>
    <w:basedOn w:val="34"/>
    <w:link w:val="17"/>
    <w:qFormat/>
    <w:locked/>
    <w:uiPriority w:val="0"/>
    <w:rPr>
      <w:rFonts w:ascii="宋体" w:hAnsi="Courier New" w:cs="Courier New"/>
      <w:sz w:val="21"/>
      <w:szCs w:val="21"/>
    </w:rPr>
  </w:style>
  <w:style w:type="character" w:customStyle="1" w:styleId="54">
    <w:name w:val="日期 Char"/>
    <w:basedOn w:val="34"/>
    <w:link w:val="19"/>
    <w:locked/>
    <w:uiPriority w:val="99"/>
    <w:rPr>
      <w:rFonts w:cs="Times New Roman"/>
      <w:kern w:val="2"/>
      <w:sz w:val="24"/>
    </w:rPr>
  </w:style>
  <w:style w:type="character" w:customStyle="1" w:styleId="55">
    <w:name w:val="正文文本缩进 2 Char"/>
    <w:basedOn w:val="34"/>
    <w:link w:val="20"/>
    <w:qFormat/>
    <w:locked/>
    <w:uiPriority w:val="99"/>
    <w:rPr>
      <w:rFonts w:ascii="宋体" w:eastAsia="宋体" w:cs="Times New Roman"/>
      <w:kern w:val="2"/>
      <w:sz w:val="24"/>
      <w:szCs w:val="24"/>
    </w:rPr>
  </w:style>
  <w:style w:type="character" w:customStyle="1" w:styleId="56">
    <w:name w:val="批注框文本 Char"/>
    <w:basedOn w:val="34"/>
    <w:link w:val="21"/>
    <w:semiHidden/>
    <w:qFormat/>
    <w:locked/>
    <w:uiPriority w:val="99"/>
    <w:rPr>
      <w:rFonts w:cs="Times New Roman"/>
      <w:kern w:val="2"/>
      <w:sz w:val="18"/>
      <w:szCs w:val="18"/>
    </w:rPr>
  </w:style>
  <w:style w:type="character" w:customStyle="1" w:styleId="57">
    <w:name w:val="Footer Char"/>
    <w:basedOn w:val="34"/>
    <w:qFormat/>
    <w:locked/>
    <w:uiPriority w:val="99"/>
    <w:rPr>
      <w:rFonts w:eastAsia="宋体" w:cs="Times New Roman"/>
      <w:kern w:val="2"/>
      <w:sz w:val="18"/>
      <w:lang w:val="en-US" w:eastAsia="zh-CN"/>
    </w:rPr>
  </w:style>
  <w:style w:type="character" w:customStyle="1" w:styleId="58">
    <w:name w:val="页眉 Char"/>
    <w:basedOn w:val="34"/>
    <w:link w:val="23"/>
    <w:qFormat/>
    <w:locked/>
    <w:uiPriority w:val="99"/>
    <w:rPr>
      <w:rFonts w:cs="Times New Roman"/>
      <w:kern w:val="2"/>
      <w:sz w:val="18"/>
      <w:szCs w:val="18"/>
    </w:rPr>
  </w:style>
  <w:style w:type="character" w:customStyle="1" w:styleId="59">
    <w:name w:val="正文文本缩进 3 Char"/>
    <w:basedOn w:val="34"/>
    <w:link w:val="27"/>
    <w:qFormat/>
    <w:locked/>
    <w:uiPriority w:val="99"/>
    <w:rPr>
      <w:rFonts w:ascii="仿宋_GB2312" w:hAnsi="宋体" w:eastAsia="仿宋_GB2312" w:cs="Times New Roman"/>
      <w:kern w:val="2"/>
      <w:sz w:val="24"/>
      <w:szCs w:val="24"/>
    </w:rPr>
  </w:style>
  <w:style w:type="character" w:customStyle="1" w:styleId="60">
    <w:name w:val="正文文本 2 Char"/>
    <w:basedOn w:val="34"/>
    <w:link w:val="30"/>
    <w:qFormat/>
    <w:locked/>
    <w:uiPriority w:val="99"/>
    <w:rPr>
      <w:rFonts w:ascii="仿宋_GB2312" w:eastAsia="仿宋_GB2312" w:cs="Times New Roman"/>
      <w:kern w:val="2"/>
      <w:sz w:val="24"/>
      <w:szCs w:val="24"/>
    </w:rPr>
  </w:style>
  <w:style w:type="character" w:customStyle="1" w:styleId="61">
    <w:name w:val="HTML Preformatted Char"/>
    <w:basedOn w:val="34"/>
    <w:qFormat/>
    <w:locked/>
    <w:uiPriority w:val="99"/>
    <w:rPr>
      <w:rFonts w:ascii="黑体" w:hAnsi="Courier New" w:eastAsia="黑体" w:cs="Times New Roman"/>
    </w:rPr>
  </w:style>
  <w:style w:type="paragraph" w:customStyle="1" w:styleId="62">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3">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4">
    <w:name w:val="Char"/>
    <w:basedOn w:val="1"/>
    <w:qFormat/>
    <w:uiPriority w:val="0"/>
    <w:pPr>
      <w:tabs>
        <w:tab w:val="left" w:pos="360"/>
      </w:tabs>
    </w:pPr>
    <w:rPr>
      <w:sz w:val="24"/>
    </w:rPr>
  </w:style>
  <w:style w:type="paragraph" w:customStyle="1" w:styleId="65">
    <w:name w:val="默认段落字体 Para Char Char Char Char Char Char Char Char Char1 Char Char Char Char Char Char Char"/>
    <w:basedOn w:val="11"/>
    <w:qFormat/>
    <w:uiPriority w:val="99"/>
    <w:rPr>
      <w:rFonts w:ascii="Tahoma" w:hAnsi="Tahoma"/>
      <w:sz w:val="24"/>
    </w:rPr>
  </w:style>
  <w:style w:type="paragraph" w:customStyle="1" w:styleId="66">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7">
    <w:name w:val="标题2"/>
    <w:basedOn w:val="1"/>
    <w:next w:val="1"/>
    <w:qFormat/>
    <w:uiPriority w:val="99"/>
    <w:pPr>
      <w:jc w:val="center"/>
    </w:pPr>
    <w:rPr>
      <w:rFonts w:eastAsia="方正楷体_GBK"/>
    </w:rPr>
  </w:style>
  <w:style w:type="paragraph" w:customStyle="1" w:styleId="68">
    <w:name w:val="标题3"/>
    <w:basedOn w:val="1"/>
    <w:next w:val="1"/>
    <w:qFormat/>
    <w:uiPriority w:val="99"/>
    <w:rPr>
      <w:rFonts w:eastAsia="方正黑体_GBK"/>
    </w:rPr>
  </w:style>
  <w:style w:type="character" w:customStyle="1" w:styleId="69">
    <w:name w:val="jj1"/>
    <w:qFormat/>
    <w:uiPriority w:val="99"/>
    <w:rPr>
      <w:sz w:val="20"/>
      <w:u w:val="none"/>
    </w:rPr>
  </w:style>
  <w:style w:type="character" w:customStyle="1" w:styleId="70">
    <w:name w:val="标题2 Char"/>
    <w:qFormat/>
    <w:uiPriority w:val="99"/>
    <w:rPr>
      <w:rFonts w:ascii="方正楷体_GBK" w:hAnsi="Book Antiqua" w:eastAsia="方正楷体_GBK"/>
      <w:snapToGrid w:val="0"/>
      <w:sz w:val="32"/>
      <w:lang w:val="en-US" w:eastAsia="zh-CN"/>
    </w:rPr>
  </w:style>
  <w:style w:type="paragraph" w:styleId="71">
    <w:name w:val="List Paragraph"/>
    <w:basedOn w:val="1"/>
    <w:qFormat/>
    <w:uiPriority w:val="99"/>
    <w:pPr>
      <w:ind w:firstLine="420" w:firstLineChars="200"/>
    </w:pPr>
    <w:rPr>
      <w:rFonts w:ascii="Calibri" w:hAnsi="Calibri"/>
      <w:szCs w:val="22"/>
    </w:rPr>
  </w:style>
  <w:style w:type="paragraph" w:customStyle="1" w:styleId="72">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3">
    <w:name w:val="Char Char Char Char"/>
    <w:basedOn w:val="11"/>
    <w:qFormat/>
    <w:uiPriority w:val="99"/>
    <w:pPr>
      <w:adjustRightInd w:val="0"/>
      <w:snapToGrid w:val="0"/>
      <w:spacing w:line="360" w:lineRule="auto"/>
    </w:pPr>
    <w:rPr>
      <w:rFonts w:ascii="Tahoma" w:hAnsi="Tahoma"/>
      <w:sz w:val="24"/>
    </w:rPr>
  </w:style>
  <w:style w:type="paragraph" w:customStyle="1" w:styleId="7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7">
    <w:name w:val="Char11"/>
    <w:basedOn w:val="1"/>
    <w:qFormat/>
    <w:uiPriority w:val="99"/>
    <w:rPr>
      <w:rFonts w:ascii="Tahoma" w:hAnsi="Tahoma"/>
      <w:sz w:val="24"/>
      <w:szCs w:val="20"/>
    </w:rPr>
  </w:style>
  <w:style w:type="paragraph" w:customStyle="1" w:styleId="78">
    <w:name w:val="BioQuote Tekst"/>
    <w:basedOn w:val="1"/>
    <w:qFormat/>
    <w:uiPriority w:val="99"/>
    <w:pPr>
      <w:ind w:right="-1"/>
    </w:pPr>
    <w:rPr>
      <w:rFonts w:ascii="Arial" w:hAnsi="Arial"/>
      <w:kern w:val="0"/>
      <w:sz w:val="22"/>
      <w:szCs w:val="20"/>
      <w:lang w:eastAsia="en-US"/>
    </w:rPr>
  </w:style>
  <w:style w:type="paragraph" w:customStyle="1" w:styleId="79">
    <w:name w:val="Coms Alinea"/>
    <w:qFormat/>
    <w:uiPriority w:val="99"/>
    <w:pPr>
      <w:widowControl w:val="0"/>
    </w:pPr>
    <w:rPr>
      <w:rFonts w:ascii="Arial" w:hAnsi="Arial" w:eastAsia="宋体" w:cs="Arial"/>
      <w:lang w:val="en-US" w:eastAsia="zh-CN" w:bidi="ar-SA"/>
    </w:rPr>
  </w:style>
  <w:style w:type="paragraph" w:customStyle="1" w:styleId="80">
    <w:name w:val="Char Char Char Char1 Char Char Char"/>
    <w:basedOn w:val="11"/>
    <w:qFormat/>
    <w:uiPriority w:val="99"/>
    <w:pPr>
      <w:adjustRightInd w:val="0"/>
      <w:snapToGrid w:val="0"/>
      <w:spacing w:line="360" w:lineRule="auto"/>
    </w:pPr>
    <w:rPr>
      <w:rFonts w:ascii="Tahoma" w:hAnsi="Tahoma"/>
      <w:sz w:val="24"/>
    </w:rPr>
  </w:style>
  <w:style w:type="paragraph" w:customStyle="1" w:styleId="81">
    <w:name w:val="Char Char Char Char1 Char Char"/>
    <w:basedOn w:val="1"/>
    <w:qFormat/>
    <w:uiPriority w:val="99"/>
    <w:pPr>
      <w:tabs>
        <w:tab w:val="left" w:pos="360"/>
      </w:tabs>
    </w:pPr>
    <w:rPr>
      <w:sz w:val="24"/>
    </w:rPr>
  </w:style>
  <w:style w:type="character" w:customStyle="1" w:styleId="82">
    <w:name w:val="正文缩进 Char"/>
    <w:link w:val="4"/>
    <w:locked/>
    <w:uiPriority w:val="99"/>
    <w:rPr>
      <w:rFonts w:eastAsia="宋体"/>
      <w:kern w:val="2"/>
      <w:sz w:val="21"/>
      <w:lang w:val="en-US" w:eastAsia="zh-CN"/>
    </w:rPr>
  </w:style>
  <w:style w:type="character" w:customStyle="1" w:styleId="83">
    <w:name w:val="批注文字 Char"/>
    <w:link w:val="9"/>
    <w:locked/>
    <w:uiPriority w:val="99"/>
    <w:rPr>
      <w:kern w:val="2"/>
      <w:sz w:val="24"/>
    </w:rPr>
  </w:style>
  <w:style w:type="character" w:customStyle="1" w:styleId="84">
    <w:name w:val="批注主题 Char"/>
    <w:link w:val="8"/>
    <w:locked/>
    <w:uiPriority w:val="99"/>
    <w:rPr>
      <w:b/>
      <w:kern w:val="2"/>
      <w:sz w:val="24"/>
    </w:rPr>
  </w:style>
  <w:style w:type="paragraph" w:customStyle="1" w:styleId="85">
    <w:name w:val="正文 第一章"/>
    <w:basedOn w:val="1"/>
    <w:next w:val="86"/>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6">
    <w:name w:val="正文 1.1"/>
    <w:basedOn w:val="1"/>
    <w:next w:val="87"/>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7">
    <w:name w:val="正文 1.1.1"/>
    <w:basedOn w:val="1"/>
    <w:next w:val="1"/>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8">
    <w:name w:val="第四级"/>
    <w:basedOn w:val="1"/>
    <w:next w:val="1"/>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89">
    <w:name w:val="正文空2格  1."/>
    <w:basedOn w:val="1"/>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0">
    <w:name w:val="列出段落 Char"/>
    <w:link w:val="91"/>
    <w:locked/>
    <w:uiPriority w:val="99"/>
    <w:rPr>
      <w:rFonts w:ascii="Calibri" w:hAnsi="Calibri"/>
      <w:sz w:val="24"/>
      <w:lang w:eastAsia="en-US"/>
    </w:rPr>
  </w:style>
  <w:style w:type="paragraph" w:customStyle="1" w:styleId="91">
    <w:name w:val="列出段落1"/>
    <w:basedOn w:val="1"/>
    <w:link w:val="90"/>
    <w:uiPriority w:val="99"/>
    <w:pPr>
      <w:widowControl/>
      <w:ind w:left="720"/>
      <w:contextualSpacing/>
      <w:jc w:val="left"/>
    </w:pPr>
    <w:rPr>
      <w:rFonts w:ascii="Calibri" w:hAnsi="Calibri"/>
      <w:kern w:val="0"/>
      <w:sz w:val="24"/>
      <w:szCs w:val="20"/>
      <w:lang w:eastAsia="en-US"/>
    </w:rPr>
  </w:style>
  <w:style w:type="character" w:customStyle="1" w:styleId="92">
    <w:name w:val="HTML 预设格式 Char"/>
    <w:link w:val="31"/>
    <w:locked/>
    <w:uiPriority w:val="99"/>
    <w:rPr>
      <w:rFonts w:ascii="黑体" w:hAnsi="Courier New" w:eastAsia="黑体"/>
    </w:rPr>
  </w:style>
  <w:style w:type="paragraph" w:customStyle="1" w:styleId="93">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94">
    <w:name w:val="表格"/>
    <w:basedOn w:val="1"/>
    <w:uiPriority w:val="99"/>
    <w:rPr>
      <w:rFonts w:ascii="华文细黑" w:hAnsi="华文细黑" w:eastAsia="华文细黑"/>
    </w:rPr>
  </w:style>
  <w:style w:type="character" w:customStyle="1" w:styleId="95">
    <w:name w:val="页脚 Char"/>
    <w:basedOn w:val="34"/>
    <w:link w:val="22"/>
    <w:locked/>
    <w:uiPriority w:val="99"/>
    <w:rPr>
      <w:rFonts w:cs="Times New Roman"/>
      <w:kern w:val="2"/>
      <w:sz w:val="18"/>
    </w:rPr>
  </w:style>
  <w:style w:type="character" w:customStyle="1" w:styleId="96">
    <w:name w:val="font161"/>
    <w:basedOn w:val="34"/>
    <w:uiPriority w:val="99"/>
    <w:rPr>
      <w:rFonts w:ascii="Times New Roman" w:hAnsi="Times New Roman" w:cs="Times New Roman"/>
      <w:color w:val="000000"/>
      <w:sz w:val="20"/>
      <w:szCs w:val="20"/>
      <w:u w:val="none"/>
    </w:rPr>
  </w:style>
  <w:style w:type="character" w:customStyle="1" w:styleId="97">
    <w:name w:val="font91"/>
    <w:basedOn w:val="34"/>
    <w:uiPriority w:val="99"/>
    <w:rPr>
      <w:rFonts w:ascii="宋体" w:hAnsi="宋体" w:eastAsia="宋体" w:cs="宋体"/>
      <w:b/>
      <w:color w:val="000000"/>
      <w:sz w:val="20"/>
      <w:szCs w:val="20"/>
      <w:u w:val="none"/>
    </w:rPr>
  </w:style>
  <w:style w:type="character" w:customStyle="1" w:styleId="98">
    <w:name w:val="font31"/>
    <w:basedOn w:val="34"/>
    <w:uiPriority w:val="99"/>
    <w:rPr>
      <w:rFonts w:ascii="宋体" w:hAnsi="宋体" w:eastAsia="宋体" w:cs="宋体"/>
      <w:color w:val="000000"/>
      <w:sz w:val="16"/>
      <w:szCs w:val="16"/>
      <w:u w:val="none"/>
    </w:rPr>
  </w:style>
  <w:style w:type="character" w:customStyle="1" w:styleId="99">
    <w:name w:val="font181"/>
    <w:basedOn w:val="34"/>
    <w:uiPriority w:val="99"/>
    <w:rPr>
      <w:rFonts w:ascii="Times New Roman" w:hAnsi="Times New Roman" w:cs="Times New Roman"/>
      <w:color w:val="000000"/>
      <w:sz w:val="20"/>
      <w:szCs w:val="20"/>
      <w:u w:val="none"/>
    </w:rPr>
  </w:style>
  <w:style w:type="character" w:customStyle="1" w:styleId="100">
    <w:name w:val="font51"/>
    <w:basedOn w:val="34"/>
    <w:uiPriority w:val="99"/>
    <w:rPr>
      <w:rFonts w:ascii="Times New Roman" w:hAnsi="Times New Roman" w:cs="Times New Roman"/>
      <w:b/>
      <w:color w:val="000000"/>
      <w:sz w:val="20"/>
      <w:szCs w:val="20"/>
      <w:u w:val="none"/>
    </w:rPr>
  </w:style>
  <w:style w:type="character" w:customStyle="1" w:styleId="101">
    <w:name w:val="font41"/>
    <w:basedOn w:val="34"/>
    <w:uiPriority w:val="99"/>
    <w:rPr>
      <w:rFonts w:ascii="宋体" w:hAnsi="宋体" w:eastAsia="宋体" w:cs="宋体"/>
      <w:color w:val="000000"/>
      <w:sz w:val="20"/>
      <w:szCs w:val="20"/>
      <w:u w:val="none"/>
    </w:rPr>
  </w:style>
  <w:style w:type="character" w:customStyle="1" w:styleId="102">
    <w:name w:val="font201"/>
    <w:basedOn w:val="34"/>
    <w:uiPriority w:val="99"/>
    <w:rPr>
      <w:rFonts w:ascii="宋体" w:hAnsi="宋体" w:eastAsia="宋体" w:cs="宋体"/>
      <w:color w:val="000000"/>
      <w:sz w:val="20"/>
      <w:szCs w:val="20"/>
      <w:u w:val="none"/>
    </w:rPr>
  </w:style>
  <w:style w:type="character" w:customStyle="1" w:styleId="103">
    <w:name w:val="标题 2 Char"/>
    <w:basedOn w:val="34"/>
    <w:uiPriority w:val="99"/>
    <w:rPr>
      <w:rFonts w:ascii="Arial" w:hAnsi="Arial" w:eastAsia="幼圆" w:cs="Arial"/>
      <w:b/>
      <w:kern w:val="2"/>
      <w:sz w:val="44"/>
    </w:rPr>
  </w:style>
  <w:style w:type="character" w:customStyle="1" w:styleId="104">
    <w:name w:val="font131"/>
    <w:basedOn w:val="34"/>
    <w:uiPriority w:val="99"/>
    <w:rPr>
      <w:rFonts w:ascii="Times New Roman" w:hAnsi="Times New Roman" w:cs="Times New Roman"/>
      <w:color w:val="000000"/>
      <w:sz w:val="16"/>
      <w:szCs w:val="16"/>
      <w:u w:val="none"/>
    </w:rPr>
  </w:style>
  <w:style w:type="paragraph" w:customStyle="1" w:styleId="105">
    <w:name w:val="C"/>
    <w:basedOn w:val="1"/>
    <w:uiPriority w:val="99"/>
    <w:pPr>
      <w:spacing w:line="360" w:lineRule="auto"/>
      <w:ind w:firstLine="480" w:firstLineChars="200"/>
    </w:pPr>
    <w:rPr>
      <w:rFonts w:ascii="宋体"/>
      <w:sz w:val="24"/>
    </w:rPr>
  </w:style>
  <w:style w:type="paragraph" w:customStyle="1" w:styleId="106">
    <w:name w:val="正文 A"/>
    <w:basedOn w:val="1"/>
    <w:uiPriority w:val="99"/>
    <w:rPr>
      <w:rFonts w:ascii="Arial Unicode MS" w:hAnsi="Arial Unicode MS"/>
      <w:color w:val="000000"/>
      <w:szCs w:val="21"/>
    </w:rPr>
  </w:style>
  <w:style w:type="paragraph" w:customStyle="1" w:styleId="107">
    <w:name w:val="纯文本1"/>
    <w:basedOn w:val="1"/>
    <w:uiPriority w:val="99"/>
    <w:pPr>
      <w:adjustRightInd w:val="0"/>
      <w:textAlignment w:val="baseline"/>
    </w:pPr>
    <w:rPr>
      <w:rFonts w:ascii="宋体" w:hAnsi="Courier New" w:eastAsia="楷体_GB2312"/>
      <w:sz w:val="26"/>
      <w:szCs w:val="20"/>
    </w:rPr>
  </w:style>
  <w:style w:type="paragraph" w:customStyle="1" w:styleId="108">
    <w:name w:val="Char1"/>
    <w:basedOn w:val="1"/>
    <w:uiPriority w:val="99"/>
    <w:rPr>
      <w:rFonts w:ascii="Tahoma" w:hAnsi="Tahoma"/>
      <w:sz w:val="24"/>
      <w:szCs w:val="20"/>
    </w:rPr>
  </w:style>
  <w:style w:type="paragraph" w:customStyle="1" w:styleId="109">
    <w:name w:val="列出段落2"/>
    <w:basedOn w:val="1"/>
    <w:uiPriority w:val="99"/>
    <w:pPr>
      <w:ind w:firstLine="420" w:firstLineChars="200"/>
    </w:pPr>
    <w:rPr>
      <w:rFonts w:ascii="Calibri" w:hAnsi="Calibri"/>
      <w:szCs w:val="22"/>
    </w:rPr>
  </w:style>
  <w:style w:type="character" w:customStyle="1" w:styleId="110">
    <w:name w:val="SC253961"/>
    <w:uiPriority w:val="99"/>
    <w:rPr>
      <w:rFonts w:cs="黑体"/>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2107C-1768-48E0-A53E-4D7956412C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2818</Words>
  <Characters>16066</Characters>
  <Lines>133</Lines>
  <Paragraphs>37</Paragraphs>
  <TotalTime>0</TotalTime>
  <ScaleCrop>false</ScaleCrop>
  <LinksUpToDate>false</LinksUpToDate>
  <CharactersWithSpaces>18847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2018-07-18T00:43:00Z</dcterms:created>
  <dc:creator>cgzx</dc:creator>
  <cp:lastModifiedBy>Administrator</cp:lastModifiedBy>
  <cp:lastPrinted>2018-07-18T00:09:00Z</cp:lastPrinted>
  <dcterms:modified xsi:type="dcterms:W3CDTF">2018-12-14T03:44:55Z</dcterms:modified>
  <dc:title>总  目  录</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