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4"/>
          <w:color w:val="000000" w:themeColor="text1"/>
          <w:sz w:val="36"/>
          <w:szCs w:val="21"/>
        </w:rPr>
      </w:pPr>
    </w:p>
    <w:p>
      <w:pPr>
        <w:rPr>
          <w:rStyle w:val="44"/>
          <w:rFonts w:ascii="宋体" w:hAnsi="宋体"/>
          <w:color w:val="000000" w:themeColor="text1"/>
          <w:sz w:val="36"/>
        </w:rPr>
      </w:pPr>
    </w:p>
    <w:p>
      <w:pPr>
        <w:jc w:val="center"/>
        <w:rPr>
          <w:rStyle w:val="44"/>
          <w:rFonts w:ascii="宋体" w:hAnsi="宋体"/>
          <w:b/>
          <w:color w:val="000000" w:themeColor="text1"/>
          <w:sz w:val="84"/>
        </w:rPr>
      </w:pPr>
      <w:r>
        <w:rPr>
          <w:rStyle w:val="44"/>
          <w:rFonts w:hint="eastAsia" w:ascii="宋体" w:hAnsi="宋体"/>
          <w:b/>
          <w:color w:val="000000" w:themeColor="text1"/>
          <w:sz w:val="84"/>
        </w:rPr>
        <w:t>招 标 文 件</w:t>
      </w:r>
    </w:p>
    <w:p>
      <w:pPr>
        <w:rPr>
          <w:rStyle w:val="44"/>
          <w:rFonts w:ascii="宋体" w:hAnsi="宋体"/>
          <w:b/>
          <w:color w:val="000000" w:themeColor="text1"/>
          <w:sz w:val="32"/>
        </w:rPr>
      </w:pPr>
    </w:p>
    <w:p>
      <w:pPr>
        <w:tabs>
          <w:tab w:val="left" w:pos="3032"/>
        </w:tabs>
        <w:jc w:val="left"/>
        <w:rPr>
          <w:rStyle w:val="44"/>
          <w:rFonts w:ascii="宋体" w:hAnsi="宋体"/>
          <w:b/>
          <w:color w:val="000000" w:themeColor="text1"/>
          <w:sz w:val="32"/>
        </w:rPr>
      </w:pPr>
      <w:r>
        <w:rPr>
          <w:rStyle w:val="44"/>
          <w:rFonts w:hint="eastAsia" w:ascii="宋体" w:hAnsi="宋体"/>
          <w:b/>
          <w:color w:val="000000" w:themeColor="text1"/>
          <w:sz w:val="32"/>
        </w:rPr>
        <w:tab/>
      </w:r>
    </w:p>
    <w:p>
      <w:pPr>
        <w:pStyle w:val="2"/>
        <w:rPr>
          <w:color w:val="000000" w:themeColor="text1"/>
        </w:rPr>
      </w:pPr>
    </w:p>
    <w:p>
      <w:pPr>
        <w:jc w:val="center"/>
        <w:rPr>
          <w:rStyle w:val="44"/>
          <w:rFonts w:ascii="宋体" w:hAnsi="宋体"/>
          <w:b/>
          <w:color w:val="000000" w:themeColor="text1"/>
          <w:sz w:val="32"/>
        </w:rPr>
      </w:pPr>
    </w:p>
    <w:p>
      <w:pPr>
        <w:jc w:val="center"/>
        <w:rPr>
          <w:rStyle w:val="44"/>
          <w:rFonts w:ascii="宋体" w:hAnsi="宋体"/>
          <w:b/>
          <w:color w:val="000000" w:themeColor="text1"/>
          <w:sz w:val="32"/>
        </w:rPr>
      </w:pPr>
    </w:p>
    <w:p>
      <w:pPr>
        <w:ind w:firstLine="723" w:firstLineChars="200"/>
        <w:rPr>
          <w:rStyle w:val="44"/>
          <w:rFonts w:ascii="宋体" w:hAnsi="宋体"/>
          <w:b/>
          <w:color w:val="000000" w:themeColor="text1"/>
          <w:sz w:val="36"/>
        </w:rPr>
      </w:pPr>
      <w:r>
        <w:rPr>
          <w:rStyle w:val="44"/>
          <w:rFonts w:hint="eastAsia" w:ascii="宋体" w:hAnsi="宋体"/>
          <w:b/>
          <w:color w:val="000000" w:themeColor="text1"/>
          <w:sz w:val="36"/>
        </w:rPr>
        <w:t>项目编号：2022-028W</w:t>
      </w:r>
    </w:p>
    <w:p>
      <w:pPr>
        <w:jc w:val="center"/>
        <w:rPr>
          <w:rStyle w:val="44"/>
          <w:rFonts w:ascii="宋体" w:hAnsi="宋体"/>
          <w:b/>
          <w:color w:val="000000" w:themeColor="text1"/>
          <w:sz w:val="32"/>
        </w:rPr>
      </w:pPr>
    </w:p>
    <w:p>
      <w:pPr>
        <w:jc w:val="center"/>
        <w:rPr>
          <w:rStyle w:val="44"/>
          <w:rFonts w:ascii="宋体" w:hAnsi="宋体"/>
          <w:b/>
          <w:color w:val="000000" w:themeColor="text1"/>
          <w:sz w:val="32"/>
        </w:rPr>
      </w:pPr>
    </w:p>
    <w:p>
      <w:pPr>
        <w:ind w:left="2886" w:leftChars="342" w:hanging="2168" w:hangingChars="600"/>
        <w:rPr>
          <w:rStyle w:val="44"/>
          <w:rFonts w:ascii="宋体" w:hAnsi="宋体"/>
          <w:b/>
          <w:color w:val="000000" w:themeColor="text1"/>
          <w:sz w:val="30"/>
          <w:szCs w:val="30"/>
        </w:rPr>
      </w:pPr>
      <w:r>
        <w:rPr>
          <w:rStyle w:val="44"/>
          <w:rFonts w:hint="eastAsia" w:ascii="宋体" w:hAnsi="宋体"/>
          <w:b/>
          <w:color w:val="000000" w:themeColor="text1"/>
          <w:sz w:val="36"/>
          <w:szCs w:val="36"/>
        </w:rPr>
        <w:t>项目名称：盐城工业职业技术学院</w:t>
      </w:r>
      <w:r>
        <w:rPr>
          <w:rFonts w:hint="eastAsia"/>
          <w:b/>
          <w:bCs/>
          <w:color w:val="000000" w:themeColor="text1"/>
          <w:sz w:val="36"/>
          <w:szCs w:val="36"/>
        </w:rPr>
        <w:t>202</w:t>
      </w:r>
      <w:r>
        <w:rPr>
          <w:b/>
          <w:bCs/>
          <w:color w:val="000000" w:themeColor="text1"/>
          <w:sz w:val="36"/>
          <w:szCs w:val="36"/>
        </w:rPr>
        <w:t>2</w:t>
      </w:r>
      <w:r>
        <w:rPr>
          <w:rFonts w:hint="eastAsia"/>
          <w:b/>
          <w:bCs/>
          <w:color w:val="000000" w:themeColor="text1"/>
          <w:sz w:val="36"/>
          <w:szCs w:val="36"/>
        </w:rPr>
        <w:t>年度新生入学体检服务</w:t>
      </w:r>
    </w:p>
    <w:p>
      <w:pPr>
        <w:pStyle w:val="2"/>
        <w:ind w:firstLine="0" w:firstLineChars="0"/>
        <w:rPr>
          <w:rStyle w:val="44"/>
          <w:b/>
          <w:color w:val="000000" w:themeColor="text1"/>
          <w:sz w:val="32"/>
          <w:szCs w:val="21"/>
        </w:rPr>
      </w:pPr>
    </w:p>
    <w:p>
      <w:pPr>
        <w:pStyle w:val="2"/>
        <w:ind w:firstLine="643"/>
        <w:rPr>
          <w:rStyle w:val="44"/>
          <w:b/>
          <w:color w:val="000000" w:themeColor="text1"/>
          <w:sz w:val="32"/>
          <w:szCs w:val="21"/>
        </w:rPr>
      </w:pPr>
    </w:p>
    <w:p>
      <w:pPr>
        <w:pStyle w:val="104"/>
        <w:rPr>
          <w:rStyle w:val="44"/>
          <w:rFonts w:ascii="宋体" w:hAnsi="宋体" w:eastAsia="宋体"/>
          <w:b/>
          <w:color w:val="000000" w:themeColor="text1"/>
          <w:sz w:val="32"/>
        </w:rPr>
      </w:pPr>
    </w:p>
    <w:p>
      <w:pPr>
        <w:pStyle w:val="104"/>
        <w:rPr>
          <w:rStyle w:val="44"/>
          <w:rFonts w:ascii="宋体" w:hAnsi="宋体" w:eastAsia="宋体"/>
          <w:b/>
          <w:color w:val="000000" w:themeColor="text1"/>
          <w:sz w:val="32"/>
        </w:rPr>
      </w:pPr>
    </w:p>
    <w:p>
      <w:pPr>
        <w:spacing w:line="360" w:lineRule="auto"/>
        <w:ind w:firstLine="1080" w:firstLineChars="300"/>
        <w:rPr>
          <w:rStyle w:val="44"/>
          <w:rFonts w:ascii="宋体" w:hAnsi="宋体"/>
          <w:bCs/>
          <w:color w:val="000000" w:themeColor="text1"/>
          <w:sz w:val="36"/>
          <w:szCs w:val="36"/>
        </w:rPr>
      </w:pPr>
      <w:r>
        <w:rPr>
          <w:rStyle w:val="44"/>
          <w:rFonts w:hint="eastAsia" w:ascii="宋体" w:hAnsi="宋体"/>
          <w:bCs/>
          <w:color w:val="000000" w:themeColor="text1"/>
          <w:sz w:val="36"/>
          <w:szCs w:val="36"/>
        </w:rPr>
        <w:t>采购人：盐城工业职业技术学院</w:t>
      </w:r>
    </w:p>
    <w:p>
      <w:pPr>
        <w:pStyle w:val="11"/>
        <w:spacing w:line="360" w:lineRule="auto"/>
        <w:ind w:left="0" w:leftChars="0" w:right="0" w:rightChars="0" w:firstLine="1080" w:firstLineChars="300"/>
        <w:rPr>
          <w:rStyle w:val="44"/>
          <w:rFonts w:ascii="宋体" w:hAnsi="宋体"/>
          <w:bCs/>
          <w:color w:val="000000" w:themeColor="text1"/>
          <w:sz w:val="36"/>
          <w:szCs w:val="36"/>
        </w:rPr>
      </w:pPr>
      <w:r>
        <w:rPr>
          <w:rStyle w:val="44"/>
          <w:rFonts w:hint="eastAsia" w:ascii="宋体" w:hAnsi="宋体"/>
          <w:bCs/>
          <w:color w:val="000000" w:themeColor="text1"/>
          <w:sz w:val="36"/>
          <w:szCs w:val="36"/>
        </w:rPr>
        <w:t>代理人：江苏伟业项目管理有限公司</w:t>
      </w:r>
    </w:p>
    <w:p>
      <w:pPr>
        <w:jc w:val="center"/>
        <w:rPr>
          <w:rStyle w:val="44"/>
          <w:rFonts w:ascii="宋体" w:hAnsi="宋体"/>
          <w:color w:val="000000" w:themeColor="text1"/>
          <w:sz w:val="36"/>
          <w:szCs w:val="36"/>
        </w:rPr>
      </w:pPr>
    </w:p>
    <w:p>
      <w:pPr>
        <w:jc w:val="center"/>
        <w:rPr>
          <w:rStyle w:val="44"/>
          <w:rFonts w:ascii="宋体" w:hAnsi="宋体"/>
          <w:color w:val="000000" w:themeColor="text1"/>
          <w:sz w:val="36"/>
          <w:szCs w:val="36"/>
        </w:rPr>
      </w:pPr>
      <w:r>
        <w:rPr>
          <w:rStyle w:val="44"/>
          <w:rFonts w:hint="eastAsia" w:ascii="宋体" w:hAnsi="宋体"/>
          <w:color w:val="000000" w:themeColor="text1"/>
          <w:sz w:val="36"/>
          <w:szCs w:val="36"/>
        </w:rPr>
        <w:t>2022年7月26日</w:t>
      </w:r>
    </w:p>
    <w:p>
      <w:pPr>
        <w:spacing w:line="480" w:lineRule="auto"/>
        <w:rPr>
          <w:rStyle w:val="44"/>
          <w:rFonts w:ascii="宋体" w:hAnsi="宋体"/>
          <w:color w:val="000000" w:themeColor="text1"/>
        </w:rPr>
      </w:pPr>
    </w:p>
    <w:p>
      <w:pPr>
        <w:spacing w:line="480" w:lineRule="auto"/>
        <w:jc w:val="center"/>
        <w:rPr>
          <w:rStyle w:val="44"/>
          <w:rFonts w:ascii="宋体" w:hAnsi="宋体"/>
          <w:color w:val="000000" w:themeColor="text1"/>
        </w:rPr>
      </w:pPr>
    </w:p>
    <w:p>
      <w:pPr>
        <w:spacing w:line="480" w:lineRule="auto"/>
        <w:rPr>
          <w:rFonts w:ascii="宋体" w:hAnsi="宋体"/>
          <w:color w:val="000000" w:themeColor="text1"/>
        </w:rPr>
        <w:sectPr>
          <w:headerReference r:id="rId4"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10"/>
        <w:rPr>
          <w:color w:val="000000" w:themeColor="text1"/>
        </w:rPr>
      </w:pPr>
    </w:p>
    <w:p>
      <w:pPr>
        <w:spacing w:line="480" w:lineRule="auto"/>
        <w:jc w:val="center"/>
        <w:rPr>
          <w:rFonts w:ascii="宋体" w:hAnsi="宋体"/>
          <w:color w:val="000000" w:themeColor="text1"/>
          <w:sz w:val="36"/>
          <w:szCs w:val="36"/>
        </w:rPr>
      </w:pPr>
      <w:r>
        <w:rPr>
          <w:rFonts w:hint="eastAsia" w:ascii="宋体" w:hAnsi="宋体"/>
          <w:b/>
          <w:bCs/>
          <w:color w:val="000000" w:themeColor="text1"/>
          <w:sz w:val="36"/>
          <w:szCs w:val="36"/>
        </w:rPr>
        <w:t>目        录</w:t>
      </w:r>
    </w:p>
    <w:sdt>
      <w:sdtPr>
        <w:rPr>
          <w:rFonts w:ascii="宋体" w:hAnsi="宋体" w:eastAsia="楷体_GB2312"/>
          <w:color w:val="000000" w:themeColor="text1"/>
          <w:sz w:val="28"/>
          <w:szCs w:val="28"/>
        </w:rPr>
        <w:id w:val="147462930"/>
        <w:docPartObj>
          <w:docPartGallery w:val="Table of Contents"/>
          <w:docPartUnique/>
        </w:docPartObj>
      </w:sdtPr>
      <w:sdtEndPr>
        <w:rPr>
          <w:rFonts w:ascii="宋体" w:hAnsi="宋体" w:eastAsia="楷体_GB2312"/>
          <w:bCs/>
          <w:color w:val="000000" w:themeColor="text1"/>
          <w:sz w:val="28"/>
          <w:szCs w:val="28"/>
        </w:rPr>
      </w:sdtEndPr>
      <w:sdtContent>
        <w:p>
          <w:pPr>
            <w:jc w:val="center"/>
            <w:rPr>
              <w:color w:val="000000" w:themeColor="text1"/>
            </w:rPr>
          </w:pPr>
        </w:p>
        <w:p>
          <w:pPr>
            <w:pStyle w:val="152"/>
            <w:tabs>
              <w:tab w:val="right" w:leader="dot" w:pos="8953"/>
            </w:tabs>
            <w:rPr>
              <w:rFonts w:ascii="宋体" w:hAnsi="宋体"/>
              <w:bCs/>
              <w:color w:val="000000" w:themeColor="text1"/>
              <w:sz w:val="32"/>
              <w:szCs w:val="32"/>
            </w:rPr>
          </w:pPr>
          <w:r>
            <w:rPr>
              <w:rFonts w:ascii="宋体" w:hAnsi="宋体"/>
              <w:bCs/>
              <w:color w:val="000000" w:themeColor="text1"/>
            </w:rPr>
            <w:fldChar w:fldCharType="begin"/>
          </w:r>
          <w:r>
            <w:rPr>
              <w:rFonts w:ascii="宋体" w:hAnsi="宋体"/>
              <w:bCs/>
              <w:color w:val="000000" w:themeColor="text1"/>
            </w:rPr>
            <w:instrText xml:space="preserve">TOC \o "1-1" \h \u </w:instrText>
          </w:r>
          <w:r>
            <w:rPr>
              <w:rFonts w:ascii="宋体" w:hAnsi="宋体"/>
              <w:bCs/>
              <w:color w:val="000000" w:themeColor="text1"/>
            </w:rPr>
            <w:fldChar w:fldCharType="separate"/>
          </w:r>
          <w:r>
            <w:fldChar w:fldCharType="begin"/>
          </w:r>
          <w:r>
            <w:instrText xml:space="preserve"> HYPERLINK \l "_Toc9444" </w:instrText>
          </w:r>
          <w:r>
            <w:fldChar w:fldCharType="separate"/>
          </w:r>
          <w:r>
            <w:rPr>
              <w:rFonts w:hint="eastAsia" w:ascii="宋体" w:hAnsi="宋体"/>
              <w:b/>
              <w:color w:val="000000" w:themeColor="text1"/>
              <w:sz w:val="32"/>
              <w:szCs w:val="32"/>
            </w:rPr>
            <w:t xml:space="preserve">第一章  </w:t>
          </w:r>
          <w:r>
            <w:rPr>
              <w:rFonts w:hint="eastAsia" w:ascii="宋体" w:hAnsi="宋体"/>
              <w:bCs/>
              <w:color w:val="000000" w:themeColor="text1"/>
              <w:sz w:val="32"/>
              <w:szCs w:val="32"/>
            </w:rPr>
            <w:t>招标公告</w:t>
          </w:r>
          <w:r>
            <w:rPr>
              <w:bCs/>
              <w:color w:val="000000" w:themeColor="text1"/>
              <w:sz w:val="32"/>
              <w:szCs w:val="32"/>
            </w:rPr>
            <w:tab/>
          </w:r>
          <w:r>
            <w:rPr>
              <w:bCs/>
              <w:color w:val="000000" w:themeColor="text1"/>
              <w:sz w:val="32"/>
              <w:szCs w:val="32"/>
            </w:rPr>
            <w:fldChar w:fldCharType="begin"/>
          </w:r>
          <w:r>
            <w:rPr>
              <w:bCs/>
              <w:color w:val="000000" w:themeColor="text1"/>
              <w:sz w:val="32"/>
              <w:szCs w:val="32"/>
            </w:rPr>
            <w:instrText xml:space="preserve"> PAGEREF _Toc9444 \h </w:instrText>
          </w:r>
          <w:r>
            <w:rPr>
              <w:bCs/>
              <w:color w:val="000000" w:themeColor="text1"/>
              <w:sz w:val="32"/>
              <w:szCs w:val="32"/>
            </w:rPr>
            <w:fldChar w:fldCharType="separate"/>
          </w:r>
          <w:r>
            <w:rPr>
              <w:bCs/>
              <w:color w:val="000000" w:themeColor="text1"/>
              <w:sz w:val="32"/>
              <w:szCs w:val="32"/>
            </w:rPr>
            <w:t>1</w:t>
          </w:r>
          <w:r>
            <w:rPr>
              <w:bCs/>
              <w:color w:val="000000" w:themeColor="text1"/>
              <w:sz w:val="32"/>
              <w:szCs w:val="32"/>
            </w:rPr>
            <w:fldChar w:fldCharType="end"/>
          </w:r>
          <w:r>
            <w:rPr>
              <w:bCs/>
              <w:color w:val="000000" w:themeColor="text1"/>
              <w:sz w:val="32"/>
              <w:szCs w:val="32"/>
            </w:rPr>
            <w:fldChar w:fldCharType="end"/>
          </w:r>
        </w:p>
        <w:p>
          <w:pPr>
            <w:pStyle w:val="152"/>
            <w:tabs>
              <w:tab w:val="right" w:leader="dot" w:pos="8953"/>
            </w:tabs>
            <w:rPr>
              <w:color w:val="000000" w:themeColor="text1"/>
            </w:rPr>
          </w:pPr>
        </w:p>
        <w:p>
          <w:pPr>
            <w:pStyle w:val="152"/>
            <w:tabs>
              <w:tab w:val="right" w:leader="dot" w:pos="8953"/>
            </w:tabs>
            <w:rPr>
              <w:rFonts w:ascii="宋体" w:hAnsi="宋体"/>
              <w:bCs/>
              <w:color w:val="000000" w:themeColor="text1"/>
              <w:sz w:val="32"/>
              <w:szCs w:val="32"/>
            </w:rPr>
          </w:pPr>
          <w:r>
            <w:fldChar w:fldCharType="begin"/>
          </w:r>
          <w:r>
            <w:instrText xml:space="preserve"> HYPERLINK \l "_Toc22918" </w:instrText>
          </w:r>
          <w:r>
            <w:fldChar w:fldCharType="separate"/>
          </w:r>
          <w:r>
            <w:rPr>
              <w:rFonts w:hint="eastAsia" w:ascii="宋体" w:hAnsi="宋体" w:cs="宋体"/>
              <w:b/>
              <w:bCs/>
              <w:color w:val="000000" w:themeColor="text1"/>
              <w:sz w:val="32"/>
              <w:szCs w:val="32"/>
            </w:rPr>
            <w:t>第二章</w:t>
          </w:r>
          <w:r>
            <w:rPr>
              <w:rFonts w:hint="eastAsia" w:ascii="宋体" w:hAnsi="宋体" w:cs="宋体"/>
              <w:color w:val="000000" w:themeColor="text1"/>
              <w:sz w:val="32"/>
              <w:szCs w:val="32"/>
            </w:rPr>
            <w:t xml:space="preserve">  投标人须知</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_Toc22918 \h </w:instrText>
          </w:r>
          <w:r>
            <w:rPr>
              <w:color w:val="000000" w:themeColor="text1"/>
              <w:sz w:val="32"/>
              <w:szCs w:val="32"/>
            </w:rPr>
            <w:fldChar w:fldCharType="separate"/>
          </w:r>
          <w:r>
            <w:rPr>
              <w:color w:val="000000" w:themeColor="text1"/>
              <w:sz w:val="32"/>
              <w:szCs w:val="32"/>
            </w:rPr>
            <w:t>5</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spacing w:line="480" w:lineRule="auto"/>
            <w:rPr>
              <w:color w:val="000000" w:themeColor="text1"/>
            </w:rPr>
          </w:pPr>
        </w:p>
        <w:p>
          <w:pPr>
            <w:pStyle w:val="152"/>
            <w:tabs>
              <w:tab w:val="right" w:leader="dot" w:pos="8953"/>
            </w:tabs>
            <w:spacing w:line="480" w:lineRule="auto"/>
            <w:rPr>
              <w:rFonts w:ascii="宋体" w:hAnsi="宋体"/>
              <w:bCs/>
              <w:color w:val="000000" w:themeColor="text1"/>
              <w:sz w:val="32"/>
              <w:szCs w:val="32"/>
            </w:rPr>
          </w:pPr>
          <w:r>
            <w:fldChar w:fldCharType="begin"/>
          </w:r>
          <w:r>
            <w:instrText xml:space="preserve"> HYPERLINK \l "_Toc22434" </w:instrText>
          </w:r>
          <w:r>
            <w:fldChar w:fldCharType="separate"/>
          </w:r>
          <w:r>
            <w:rPr>
              <w:rFonts w:hint="eastAsia" w:ascii="宋体" w:hAnsi="宋体"/>
              <w:b/>
              <w:bCs/>
              <w:color w:val="000000" w:themeColor="text1"/>
              <w:sz w:val="32"/>
              <w:szCs w:val="32"/>
            </w:rPr>
            <w:t>第三章</w:t>
          </w:r>
          <w:r>
            <w:rPr>
              <w:rFonts w:hint="eastAsia" w:ascii="宋体" w:hAnsi="宋体"/>
              <w:color w:val="000000" w:themeColor="text1"/>
              <w:sz w:val="32"/>
              <w:szCs w:val="32"/>
            </w:rPr>
            <w:t xml:space="preserve">  合同条款及格式</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_Toc22434 \h </w:instrText>
          </w:r>
          <w:r>
            <w:rPr>
              <w:color w:val="000000" w:themeColor="text1"/>
              <w:sz w:val="32"/>
              <w:szCs w:val="32"/>
            </w:rPr>
            <w:fldChar w:fldCharType="separate"/>
          </w:r>
          <w:r>
            <w:rPr>
              <w:color w:val="000000" w:themeColor="text1"/>
              <w:sz w:val="32"/>
              <w:szCs w:val="32"/>
            </w:rPr>
            <w:t>17</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color w:val="000000" w:themeColor="text1"/>
            </w:rPr>
          </w:pPr>
        </w:p>
        <w:p>
          <w:pPr>
            <w:pStyle w:val="152"/>
            <w:tabs>
              <w:tab w:val="right" w:leader="dot" w:pos="8953"/>
            </w:tabs>
            <w:rPr>
              <w:rFonts w:ascii="宋体" w:hAnsi="宋体"/>
              <w:bCs/>
              <w:color w:val="000000" w:themeColor="text1"/>
              <w:sz w:val="32"/>
              <w:szCs w:val="32"/>
            </w:rPr>
          </w:pPr>
          <w:r>
            <w:fldChar w:fldCharType="begin"/>
          </w:r>
          <w:r>
            <w:instrText xml:space="preserve"> HYPERLINK \l "_Toc31860" </w:instrText>
          </w:r>
          <w:r>
            <w:fldChar w:fldCharType="separate"/>
          </w:r>
          <w:r>
            <w:rPr>
              <w:rFonts w:hint="eastAsia" w:ascii="宋体" w:hAnsi="宋体"/>
              <w:b/>
              <w:bCs/>
              <w:color w:val="000000" w:themeColor="text1"/>
              <w:sz w:val="32"/>
              <w:szCs w:val="32"/>
            </w:rPr>
            <w:t>第四章</w:t>
          </w:r>
          <w:r>
            <w:rPr>
              <w:rFonts w:hint="eastAsia" w:ascii="宋体" w:hAnsi="宋体"/>
              <w:color w:val="000000" w:themeColor="text1"/>
              <w:sz w:val="32"/>
              <w:szCs w:val="32"/>
            </w:rPr>
            <w:t xml:space="preserve"> 项目需求</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_Toc31860 \h </w:instrText>
          </w:r>
          <w:r>
            <w:rPr>
              <w:color w:val="000000" w:themeColor="text1"/>
              <w:sz w:val="32"/>
              <w:szCs w:val="32"/>
            </w:rPr>
            <w:fldChar w:fldCharType="separate"/>
          </w:r>
          <w:r>
            <w:rPr>
              <w:color w:val="000000" w:themeColor="text1"/>
              <w:sz w:val="32"/>
              <w:szCs w:val="32"/>
            </w:rPr>
            <w:t>22</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color w:val="000000" w:themeColor="text1"/>
            </w:rPr>
          </w:pPr>
        </w:p>
        <w:p>
          <w:pPr>
            <w:pStyle w:val="152"/>
            <w:tabs>
              <w:tab w:val="right" w:leader="dot" w:pos="8953"/>
            </w:tabs>
            <w:rPr>
              <w:rFonts w:ascii="宋体" w:hAnsi="宋体"/>
              <w:bCs/>
              <w:color w:val="000000" w:themeColor="text1"/>
              <w:sz w:val="32"/>
              <w:szCs w:val="32"/>
            </w:rPr>
          </w:pPr>
          <w:r>
            <w:fldChar w:fldCharType="begin"/>
          </w:r>
          <w:r>
            <w:instrText xml:space="preserve"> HYPERLINK \l "_Toc5883" </w:instrText>
          </w:r>
          <w:r>
            <w:fldChar w:fldCharType="separate"/>
          </w:r>
          <w:r>
            <w:rPr>
              <w:rFonts w:hint="eastAsia"/>
              <w:b/>
              <w:bCs/>
              <w:color w:val="000000" w:themeColor="text1"/>
              <w:sz w:val="32"/>
              <w:szCs w:val="32"/>
            </w:rPr>
            <w:t>第五章</w:t>
          </w:r>
          <w:r>
            <w:rPr>
              <w:rFonts w:hint="eastAsia"/>
              <w:color w:val="000000" w:themeColor="text1"/>
              <w:sz w:val="32"/>
              <w:szCs w:val="32"/>
            </w:rPr>
            <w:t xml:space="preserve">  评标方法与评标标准</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_Toc5883 \h </w:instrText>
          </w:r>
          <w:r>
            <w:rPr>
              <w:color w:val="000000" w:themeColor="text1"/>
              <w:sz w:val="32"/>
              <w:szCs w:val="32"/>
            </w:rPr>
            <w:fldChar w:fldCharType="separate"/>
          </w:r>
          <w:r>
            <w:rPr>
              <w:color w:val="000000" w:themeColor="text1"/>
              <w:sz w:val="32"/>
              <w:szCs w:val="32"/>
            </w:rPr>
            <w:t>22</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color w:val="000000" w:themeColor="text1"/>
            </w:rPr>
          </w:pPr>
        </w:p>
        <w:p>
          <w:pPr>
            <w:pStyle w:val="152"/>
            <w:tabs>
              <w:tab w:val="right" w:leader="dot" w:pos="8953"/>
            </w:tabs>
            <w:rPr>
              <w:color w:val="000000" w:themeColor="text1"/>
            </w:rPr>
          </w:pPr>
          <w:r>
            <w:fldChar w:fldCharType="begin"/>
          </w:r>
          <w:r>
            <w:instrText xml:space="preserve"> HYPERLINK \l "_Toc14626" </w:instrText>
          </w:r>
          <w:r>
            <w:fldChar w:fldCharType="separate"/>
          </w:r>
          <w:r>
            <w:rPr>
              <w:rFonts w:hint="eastAsia"/>
              <w:b/>
              <w:bCs/>
              <w:color w:val="000000" w:themeColor="text1"/>
              <w:sz w:val="32"/>
              <w:szCs w:val="32"/>
            </w:rPr>
            <w:t>第六章</w:t>
          </w:r>
          <w:r>
            <w:rPr>
              <w:rFonts w:hint="eastAsia"/>
              <w:color w:val="000000" w:themeColor="text1"/>
              <w:sz w:val="32"/>
              <w:szCs w:val="32"/>
            </w:rPr>
            <w:t xml:space="preserve">  投标文件格式</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_Toc14626 \h </w:instrText>
          </w:r>
          <w:r>
            <w:rPr>
              <w:color w:val="000000" w:themeColor="text1"/>
              <w:sz w:val="32"/>
              <w:szCs w:val="32"/>
            </w:rPr>
            <w:fldChar w:fldCharType="separate"/>
          </w:r>
          <w:r>
            <w:rPr>
              <w:color w:val="000000" w:themeColor="text1"/>
              <w:sz w:val="32"/>
              <w:szCs w:val="32"/>
            </w:rPr>
            <w:t>28</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color w:val="000000" w:themeColor="text1"/>
            </w:rPr>
          </w:pPr>
        </w:p>
        <w:p>
          <w:pPr>
            <w:pStyle w:val="34"/>
            <w:tabs>
              <w:tab w:val="left" w:pos="7626"/>
            </w:tabs>
            <w:spacing w:line="480" w:lineRule="auto"/>
            <w:jc w:val="both"/>
            <w:rPr>
              <w:color w:val="000000" w:themeColor="text1"/>
            </w:rPr>
            <w:sectPr>
              <w:footerReference r:id="rId5" w:type="default"/>
              <w:pgSz w:w="11906" w:h="16838"/>
              <w:pgMar w:top="1418" w:right="1588" w:bottom="1418" w:left="1365" w:header="851" w:footer="907" w:gutter="0"/>
              <w:pgNumType w:fmt="numberInDash" w:start="1"/>
              <w:cols w:space="720" w:num="1"/>
              <w:docGrid w:type="lines" w:linePitch="290" w:charSpace="0"/>
            </w:sectPr>
          </w:pPr>
          <w:r>
            <w:rPr>
              <w:rFonts w:ascii="宋体" w:hAnsi="宋体" w:eastAsia="宋体"/>
              <w:bCs/>
              <w:color w:val="000000" w:themeColor="text1"/>
            </w:rPr>
            <w:fldChar w:fldCharType="end"/>
          </w:r>
        </w:p>
      </w:sdtContent>
    </w:sdt>
    <w:p>
      <w:pPr>
        <w:rPr>
          <w:rStyle w:val="44"/>
          <w:rFonts w:ascii="宋体" w:hAnsi="宋体"/>
          <w:color w:val="000000" w:themeColor="text1"/>
        </w:rPr>
      </w:pPr>
    </w:p>
    <w:p>
      <w:pPr>
        <w:pStyle w:val="34"/>
        <w:outlineLvl w:val="0"/>
        <w:rPr>
          <w:rStyle w:val="44"/>
          <w:rFonts w:ascii="宋体" w:hAnsi="宋体" w:eastAsia="宋体"/>
          <w:b/>
          <w:bCs/>
          <w:color w:val="000000" w:themeColor="text1"/>
          <w:sz w:val="44"/>
          <w:szCs w:val="44"/>
        </w:rPr>
      </w:pPr>
      <w:bookmarkStart w:id="0" w:name="_Toc9444"/>
      <w:bookmarkStart w:id="1" w:name="_Toc8151"/>
      <w:r>
        <w:rPr>
          <w:rStyle w:val="44"/>
          <w:rFonts w:hint="eastAsia" w:ascii="宋体" w:hAnsi="宋体" w:eastAsia="宋体"/>
          <w:b/>
          <w:bCs/>
          <w:color w:val="000000" w:themeColor="text1"/>
          <w:sz w:val="44"/>
          <w:szCs w:val="44"/>
        </w:rPr>
        <w:t>第一章  招标公告</w:t>
      </w:r>
      <w:bookmarkEnd w:id="0"/>
      <w:bookmarkEnd w:id="1"/>
    </w:p>
    <w:p>
      <w:pPr>
        <w:pStyle w:val="34"/>
        <w:tabs>
          <w:tab w:val="left" w:pos="0"/>
          <w:tab w:val="left" w:pos="3165"/>
          <w:tab w:val="center" w:pos="4153"/>
        </w:tabs>
        <w:spacing w:line="360" w:lineRule="auto"/>
        <w:rPr>
          <w:rStyle w:val="44"/>
          <w:rFonts w:ascii="宋体" w:hAnsi="宋体" w:eastAsia="宋体"/>
          <w:b/>
          <w:bCs/>
          <w:color w:val="000000" w:themeColor="text1"/>
          <w:sz w:val="24"/>
          <w:szCs w:val="24"/>
        </w:rPr>
      </w:pPr>
      <w:r>
        <w:rPr>
          <w:rStyle w:val="44"/>
          <w:rFonts w:hint="eastAsia" w:ascii="宋体" w:hAnsi="宋体" w:eastAsia="宋体"/>
          <w:b/>
          <w:bCs/>
          <w:color w:val="000000" w:themeColor="text1"/>
        </w:rPr>
        <w:t>盐城工业职业技术学院</w:t>
      </w:r>
      <w:r>
        <w:rPr>
          <w:rStyle w:val="44"/>
          <w:rFonts w:hint="eastAsia" w:ascii="宋体" w:hAnsi="宋体" w:eastAsia="宋体" w:cs="Times New Roman"/>
          <w:b/>
          <w:bCs/>
          <w:color w:val="000000" w:themeColor="text1"/>
        </w:rPr>
        <w:t>2022年度新生入学体检服务公开</w:t>
      </w:r>
      <w:r>
        <w:rPr>
          <w:rStyle w:val="44"/>
          <w:rFonts w:hint="eastAsia" w:ascii="宋体" w:hAnsi="宋体" w:eastAsia="宋体"/>
          <w:b/>
          <w:bCs/>
          <w:color w:val="000000" w:themeColor="text1"/>
        </w:rPr>
        <w:t>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olor w:val="000000" w:themeColor="text1"/>
          <w:sz w:val="24"/>
          <w:szCs w:val="24"/>
        </w:rPr>
      </w:pPr>
      <w:r>
        <w:rPr>
          <w:rStyle w:val="44"/>
          <w:rFonts w:hint="eastAsia" w:ascii="宋体" w:hAnsi="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u w:val="single" w:color="000000"/>
        </w:rPr>
        <w:t>盐城工业职业技术学院2022年度新生入学体检服务</w:t>
      </w:r>
      <w:r>
        <w:rPr>
          <w:rStyle w:val="44"/>
          <w:rFonts w:hint="eastAsia" w:ascii="宋体" w:hAnsi="宋体"/>
          <w:bCs/>
          <w:color w:val="000000" w:themeColor="text1"/>
          <w:sz w:val="24"/>
          <w:szCs w:val="24"/>
        </w:rPr>
        <w:t>招标项目的潜在投标人应在</w:t>
      </w:r>
      <w:r>
        <w:rPr>
          <w:rStyle w:val="44"/>
          <w:rFonts w:hint="eastAsia" w:ascii="宋体" w:hAnsi="宋体"/>
          <w:color w:val="000000" w:themeColor="text1"/>
          <w:sz w:val="24"/>
          <w:szCs w:val="24"/>
          <w:u w:val="single"/>
        </w:rPr>
        <w:t>盐城工业职业技术学院招标采购网</w:t>
      </w:r>
      <w:r>
        <w:rPr>
          <w:rStyle w:val="44"/>
          <w:rFonts w:hint="eastAsia" w:ascii="宋体" w:hAnsi="宋体"/>
          <w:bCs/>
          <w:color w:val="000000" w:themeColor="text1"/>
          <w:sz w:val="24"/>
          <w:szCs w:val="24"/>
        </w:rPr>
        <w:t>获</w:t>
      </w:r>
      <w:r>
        <w:rPr>
          <w:rStyle w:val="44"/>
          <w:rFonts w:hint="eastAsia" w:ascii="宋体" w:hAnsi="宋体"/>
          <w:color w:val="000000" w:themeColor="text1"/>
          <w:sz w:val="24"/>
          <w:szCs w:val="24"/>
        </w:rPr>
        <w:t>取招标文件，并于</w:t>
      </w:r>
      <w:r>
        <w:rPr>
          <w:rStyle w:val="44"/>
          <w:rFonts w:hint="eastAsia" w:ascii="宋体" w:hAnsi="宋体"/>
          <w:color w:val="000000" w:themeColor="text1"/>
          <w:sz w:val="24"/>
          <w:szCs w:val="24"/>
          <w:u w:val="single" w:color="000000"/>
        </w:rPr>
        <w:t>2022</w:t>
      </w:r>
      <w:r>
        <w:rPr>
          <w:rStyle w:val="44"/>
          <w:rFonts w:hint="eastAsia" w:ascii="宋体" w:hAnsi="宋体"/>
          <w:bCs/>
          <w:color w:val="000000" w:themeColor="text1"/>
          <w:sz w:val="24"/>
          <w:szCs w:val="24"/>
          <w:u w:val="single" w:color="000000"/>
        </w:rPr>
        <w:t>年8月17日9点00分（</w:t>
      </w:r>
      <w:r>
        <w:rPr>
          <w:rStyle w:val="44"/>
          <w:rFonts w:hint="eastAsia" w:ascii="宋体" w:hAnsi="宋体"/>
          <w:bCs/>
          <w:color w:val="000000" w:themeColor="text1"/>
          <w:sz w:val="24"/>
          <w:szCs w:val="24"/>
        </w:rPr>
        <w:t>北京时间）前递交投标文件</w:t>
      </w:r>
      <w:r>
        <w:rPr>
          <w:rStyle w:val="44"/>
          <w:rFonts w:hint="eastAsia" w:ascii="宋体" w:hAnsi="宋体"/>
          <w:color w:val="000000" w:themeColor="text1"/>
          <w:sz w:val="24"/>
          <w:szCs w:val="24"/>
        </w:rPr>
        <w:t>。</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一、项目基本情况</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项目编号：2022-028W</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项目名称：盐城工业职业技术学院2022年度新生入学体检服务</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定价：人民币86元/人，约3500人。</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采购需求：本项目采购内容为盐城工业职业技术学院2022年度新生入学体检服务。具体详见招标文件项目需求。</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合同履行期限：新生体检预计9月中上旬（具体时间由学校确定），所有新生检查项目要求在7日内完成，系统报告于体检结束后15个工作日内完成。</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本项目不接受联合体投标。</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二、投标人的资格要求：</w:t>
      </w:r>
    </w:p>
    <w:p>
      <w:pPr>
        <w:widowControl w:val="0"/>
        <w:spacing w:line="360" w:lineRule="auto"/>
        <w:ind w:firstLine="480" w:firstLineChars="200"/>
        <w:textAlignment w:val="auto"/>
        <w:rPr>
          <w:rStyle w:val="44"/>
          <w:rFonts w:ascii="宋体" w:hAnsi="宋体"/>
          <w:color w:val="000000" w:themeColor="text1"/>
          <w:sz w:val="24"/>
          <w:szCs w:val="24"/>
        </w:rPr>
      </w:pPr>
      <w:r>
        <w:rPr>
          <w:rStyle w:val="44"/>
          <w:rFonts w:hint="eastAsia" w:ascii="宋体" w:hAnsi="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（1）法人或者其他组织的营业执照等证明文件，自然人的身份证明；</w:t>
      </w:r>
      <w:r>
        <w:rPr>
          <w:rStyle w:val="44"/>
          <w:rFonts w:hint="eastAsia" w:ascii="宋体" w:hAnsi="宋体"/>
          <w:color w:val="000000" w:themeColor="text1"/>
          <w:sz w:val="24"/>
          <w:szCs w:val="24"/>
        </w:rPr>
        <w:br w:type="textWrapping"/>
      </w:r>
      <w:r>
        <w:rPr>
          <w:rStyle w:val="44"/>
          <w:rFonts w:hint="eastAsia" w:ascii="宋体" w:hAnsi="宋体"/>
          <w:color w:val="000000" w:themeColor="text1"/>
          <w:sz w:val="24"/>
          <w:szCs w:val="24"/>
        </w:rPr>
        <w:t>　　（2）上一年度（2021年）的财务报表（成立不满一年不需提供）；</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（4）具备履行合同所必需的设备和专业技术能力的书面声明；</w:t>
      </w:r>
      <w:r>
        <w:rPr>
          <w:rStyle w:val="44"/>
          <w:rFonts w:hint="eastAsia" w:ascii="宋体" w:hAnsi="宋体"/>
          <w:color w:val="000000" w:themeColor="text1"/>
          <w:sz w:val="24"/>
          <w:szCs w:val="24"/>
        </w:rPr>
        <w:br w:type="textWrapping"/>
      </w:r>
      <w:r>
        <w:rPr>
          <w:rStyle w:val="44"/>
          <w:rFonts w:hint="eastAsia" w:ascii="宋体" w:hAnsi="宋体"/>
          <w:color w:val="000000" w:themeColor="text1"/>
          <w:sz w:val="24"/>
          <w:szCs w:val="24"/>
        </w:rPr>
        <w:t>　　（5）参加政府采购活动前3年内在经营活动中没有重大违法记录的书面声明；</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2.落实政府采购政策需满足的资格要求：</w:t>
      </w:r>
      <w:r>
        <w:rPr>
          <w:rStyle w:val="44"/>
          <w:rFonts w:hint="eastAsia" w:ascii="宋体" w:hAnsi="宋体"/>
          <w:color w:val="000000" w:themeColor="text1"/>
          <w:sz w:val="24"/>
          <w:szCs w:val="24"/>
          <w:u w:val="single"/>
        </w:rPr>
        <w:t>/</w:t>
      </w:r>
      <w:r>
        <w:rPr>
          <w:rStyle w:val="44"/>
          <w:rFonts w:hint="eastAsia" w:ascii="宋体" w:hAnsi="宋体"/>
          <w:color w:val="000000" w:themeColor="text1"/>
          <w:sz w:val="24"/>
          <w:szCs w:val="24"/>
        </w:rPr>
        <w:t>。</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3.本项目的特定资格要求：</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1）投标人必须具有国家管理机构颁发的中华人民共和国非营利或营利性医疗机构执业许可证、放射诊疗许可证，投标人经营范围应包括医疗体检相关服务。投标人为综合医院的，需提供医院等级证书，证书等级为国家卫生部门颁发的二级综合及以上。须提供相关文件复印件，并加盖公章，原件携带备查。</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（2）经营范围必须与本采购项目实质性相符；</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（3）有固定的经营场所，有适应项目需要的专业技术人员，具备项目的服务能力，具有良好的商业信誉。</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(4)未被列入“信用中国”网站（www.creditchina.gov.cn）失信被执行人名单、重大税收违法案件当事人名单和中国政府采购网（www.ccgp.gov.cn）政府采购严重违法失信行为记录名单。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(5)投标人单位负责人为同一人或者存在直接控股、管理关系的不同投标人，不得参加同一标段投标活动。</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三、获取招标文件</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时间：自公告之日起至投标截止时间前1日</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地点：盐城工业职业技术学院招标采购网</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方式：符合资格要求的投标人可自行下载采购文件，采购文件见盐城工业职业技术学院招标采购网本公告附件。</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报名时间及地点：本公告发布后凡具备上述资格条件，并自愿参加本项目投标的投标人应于2022年7月27日至2022年8月10日委派本单位正式人员携带单位介绍信或授权委托书到盐城市金融城四号楼1103室报名且购买招标文件，逾期报名的不予接收。</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售价：</w:t>
      </w:r>
      <w:r>
        <w:rPr>
          <w:rStyle w:val="44"/>
          <w:rFonts w:hint="eastAsia" w:ascii="宋体" w:hAnsi="宋体"/>
          <w:color w:val="000000" w:themeColor="text1"/>
          <w:sz w:val="24"/>
          <w:szCs w:val="24"/>
        </w:rPr>
        <w:t>人民币500元，</w:t>
      </w:r>
      <w:r>
        <w:rPr>
          <w:rFonts w:hint="eastAsia" w:ascii="宋体" w:hAnsi="宋体"/>
          <w:bCs/>
          <w:color w:val="000000" w:themeColor="text1"/>
          <w:sz w:val="24"/>
        </w:rPr>
        <w:t>报名时缴纳，</w:t>
      </w:r>
      <w:r>
        <w:rPr>
          <w:rStyle w:val="44"/>
          <w:rFonts w:hint="eastAsia" w:ascii="宋体" w:hAnsi="宋体"/>
          <w:color w:val="000000" w:themeColor="text1"/>
          <w:sz w:val="24"/>
          <w:szCs w:val="24"/>
        </w:rPr>
        <w:t>售后不退</w:t>
      </w:r>
      <w:r>
        <w:rPr>
          <w:rFonts w:hint="eastAsia" w:ascii="宋体" w:hAnsi="宋体"/>
          <w:bCs/>
          <w:color w:val="000000" w:themeColor="text1"/>
          <w:sz w:val="24"/>
        </w:rPr>
        <w:t>。</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有关本次招标的事项若存在变动或修改，敬请及时关注盐城工业职业技术学院招标采购网发布的信息更正公告。</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四、提交投标文件截止时间、开标时间和地点</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时间：</w:t>
      </w:r>
      <w:r>
        <w:rPr>
          <w:rStyle w:val="44"/>
          <w:rFonts w:hint="eastAsia" w:ascii="宋体" w:hAnsi="宋体"/>
          <w:color w:val="000000" w:themeColor="text1"/>
          <w:sz w:val="24"/>
          <w:szCs w:val="24"/>
          <w:u w:val="single" w:color="000000"/>
        </w:rPr>
        <w:t>2022</w:t>
      </w:r>
      <w:r>
        <w:rPr>
          <w:rStyle w:val="44"/>
          <w:rFonts w:hint="eastAsia" w:ascii="宋体" w:hAnsi="宋体"/>
          <w:bCs/>
          <w:color w:val="000000" w:themeColor="text1"/>
          <w:sz w:val="24"/>
          <w:szCs w:val="24"/>
          <w:u w:val="single" w:color="000000"/>
        </w:rPr>
        <w:t>年8月17日9点00分</w:t>
      </w:r>
      <w:r>
        <w:rPr>
          <w:rStyle w:val="44"/>
          <w:rFonts w:hint="eastAsia" w:ascii="宋体" w:hAnsi="宋体"/>
          <w:color w:val="000000" w:themeColor="text1"/>
          <w:sz w:val="24"/>
          <w:szCs w:val="24"/>
        </w:rPr>
        <w:t>（北京时间）</w:t>
      </w:r>
    </w:p>
    <w:p>
      <w:pPr>
        <w:widowControl w:val="0"/>
        <w:snapToGrid w:val="0"/>
        <w:spacing w:line="360" w:lineRule="auto"/>
        <w:ind w:firstLine="480" w:firstLineChars="200"/>
        <w:jc w:val="left"/>
        <w:textAlignment w:val="auto"/>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地点：盐城工业职业技术学院（盐城市解放南路285号）后勤服务中心四楼402开标室。</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五、公告期限</w:t>
      </w:r>
    </w:p>
    <w:p>
      <w:pPr>
        <w:adjustRightInd w:val="0"/>
        <w:snapToGrid w:val="0"/>
        <w:spacing w:line="336" w:lineRule="auto"/>
        <w:ind w:firstLine="480" w:firstLineChars="200"/>
        <w:rPr>
          <w:rStyle w:val="44"/>
          <w:rFonts w:ascii="宋体" w:hAnsi="宋体"/>
          <w:color w:val="000000" w:themeColor="text1"/>
          <w:kern w:val="0"/>
          <w:sz w:val="24"/>
          <w:szCs w:val="24"/>
        </w:rPr>
      </w:pPr>
      <w:r>
        <w:rPr>
          <w:rStyle w:val="44"/>
          <w:rFonts w:hint="eastAsia" w:ascii="宋体" w:hAnsi="宋体"/>
          <w:color w:val="000000" w:themeColor="text1"/>
          <w:kern w:val="0"/>
          <w:sz w:val="24"/>
          <w:szCs w:val="24"/>
        </w:rPr>
        <w:t>自本公告发布之日起5个工作日。</w:t>
      </w:r>
    </w:p>
    <w:p>
      <w:pPr>
        <w:pStyle w:val="34"/>
        <w:numPr>
          <w:ilvl w:val="0"/>
          <w:numId w:val="4"/>
        </w:numPr>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其他补充事宜</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(一)因疫情防控需要，为确保校园安全，投标人须持有盐城市区的48小时内核酸检测阴性证明进入盐城工业职业技术学院校区，并应服从下列疫情防控措施：</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（1）投标前7天内与确诊/疑似病例或无症状感染者有密切接触的人员，以及与密切接触者接触的次密切接触者，一律不得进校。</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（2）投标前7天内接触过境外归国人员（未解除隔离的），按次密切接触者处置，一律不得进校。</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4）投标前7天内有中高风险地区所在县（市、区）的其他低风险地区旅居史的人员，须持有48小时内核酸检测阴性证明，或者能够出示包括48小时内核酸检测阴性证明的健康码到盐后再进行5天4检均为阴性后方可流动。全境为低风险外省外市人持48小时核酸检测阴性证明抵盐后24小时内再做1次核酸检测无异常。如投标前教育行政部门和盐城市疫情防控部门有具体防疫要求，则按最新要求执行，请投标人及时关注相关信息。</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6）投标人进入校园前，须在学校东门外扫场所码并在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（10）投标人未如实报告个人信息，承担相应责任和法律后果，引发问题学校可取消其中标资格。</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请各投标人预留好相应时间，配合做好上述管控措施。</w:t>
      </w:r>
    </w:p>
    <w:p>
      <w:pPr>
        <w:snapToGrid w:val="0"/>
        <w:spacing w:line="360" w:lineRule="auto"/>
        <w:ind w:firstLine="482" w:firstLineChars="200"/>
        <w:jc w:val="left"/>
        <w:rPr>
          <w:rStyle w:val="44"/>
          <w:rFonts w:ascii="宋体" w:hAnsi="宋体"/>
          <w:b/>
          <w:bCs/>
          <w:color w:val="000000" w:themeColor="text1"/>
          <w:sz w:val="24"/>
          <w:szCs w:val="24"/>
        </w:rPr>
      </w:pPr>
      <w:r>
        <w:rPr>
          <w:rStyle w:val="44"/>
          <w:rFonts w:hint="eastAsia" w:ascii="宋体" w:hAnsi="宋体"/>
          <w:b/>
          <w:bCs/>
          <w:color w:val="000000" w:themeColor="text1"/>
          <w:sz w:val="24"/>
          <w:szCs w:val="24"/>
        </w:rPr>
        <w:t>投标文件制作份数要求：正本份数：1份，副本份数：4份。</w:t>
      </w:r>
    </w:p>
    <w:p>
      <w:pPr>
        <w:snapToGrid w:val="0"/>
        <w:spacing w:line="360" w:lineRule="auto"/>
        <w:ind w:firstLine="482" w:firstLineChars="200"/>
        <w:jc w:val="left"/>
        <w:rPr>
          <w:rFonts w:ascii="宋体" w:hAnsi="宋体"/>
          <w:b/>
          <w:bCs/>
          <w:color w:val="000000" w:themeColor="text1"/>
          <w:sz w:val="24"/>
        </w:rPr>
      </w:pPr>
      <w:r>
        <w:rPr>
          <w:rFonts w:hint="eastAsia" w:ascii="宋体" w:hAnsi="宋体"/>
          <w:b/>
          <w:bCs/>
          <w:color w:val="000000" w:themeColor="text1"/>
          <w:sz w:val="24"/>
        </w:rPr>
        <w:t>七、本项目投标保证金</w:t>
      </w:r>
    </w:p>
    <w:p>
      <w:pPr>
        <w:pStyle w:val="34"/>
        <w:tabs>
          <w:tab w:val="left" w:pos="0"/>
          <w:tab w:val="left" w:pos="3165"/>
          <w:tab w:val="center" w:pos="4153"/>
        </w:tabs>
        <w:snapToGrid w:val="0"/>
        <w:spacing w:line="360" w:lineRule="auto"/>
        <w:ind w:firstLine="480" w:firstLineChars="200"/>
        <w:jc w:val="left"/>
        <w:rPr>
          <w:color w:val="000000" w:themeColor="text1"/>
        </w:rPr>
      </w:pPr>
      <w:r>
        <w:rPr>
          <w:rStyle w:val="44"/>
          <w:rFonts w:hint="eastAsia" w:ascii="宋体" w:hAnsi="宋体" w:eastAsia="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4"/>
        <w:tabs>
          <w:tab w:val="left" w:pos="0"/>
          <w:tab w:val="left" w:pos="3165"/>
          <w:tab w:val="center" w:pos="4153"/>
        </w:tabs>
        <w:adjustRightInd w:val="0"/>
        <w:snapToGrid w:val="0"/>
        <w:spacing w:line="336" w:lineRule="auto"/>
        <w:ind w:firstLine="482" w:firstLineChars="200"/>
        <w:jc w:val="left"/>
        <w:rPr>
          <w:rStyle w:val="44"/>
          <w:rFonts w:ascii="宋体" w:hAnsi="宋体" w:eastAsia="宋体"/>
          <w:b/>
          <w:bCs/>
          <w:color w:val="000000" w:themeColor="text1"/>
          <w:sz w:val="24"/>
          <w:szCs w:val="24"/>
        </w:rPr>
      </w:pPr>
      <w:r>
        <w:rPr>
          <w:rStyle w:val="44"/>
          <w:rFonts w:hint="eastAsia" w:ascii="宋体" w:hAnsi="宋体" w:eastAsia="宋体"/>
          <w:b/>
          <w:bCs/>
          <w:color w:val="000000" w:themeColor="text1"/>
          <w:sz w:val="24"/>
          <w:szCs w:val="24"/>
        </w:rPr>
        <w:t>八、对本次招标提出询问，请按以下方式联系。</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1.采购人信息</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名称：盐城工业职业技术学院</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地址：盐城市解放南路285号</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 xml:space="preserve">联系人：赵老师             </w:t>
      </w:r>
    </w:p>
    <w:p>
      <w:pPr>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联系电话：0515-88588707</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2.采购代理机构信息</w:t>
      </w:r>
    </w:p>
    <w:p>
      <w:pPr>
        <w:adjustRightInd w:val="0"/>
        <w:snapToGrid w:val="0"/>
        <w:spacing w:line="336" w:lineRule="auto"/>
        <w:ind w:firstLine="480" w:firstLineChars="200"/>
        <w:rPr>
          <w:rStyle w:val="44"/>
          <w:rFonts w:ascii="宋体" w:hAnsi="宋体" w:cs="Times New Roman"/>
          <w:color w:val="000000" w:themeColor="text1"/>
          <w:sz w:val="24"/>
          <w:szCs w:val="24"/>
        </w:rPr>
      </w:pPr>
      <w:r>
        <w:rPr>
          <w:rStyle w:val="44"/>
          <w:rFonts w:hint="eastAsia" w:ascii="宋体" w:hAnsi="宋体" w:cs="Times New Roman"/>
          <w:color w:val="000000" w:themeColor="text1"/>
          <w:sz w:val="24"/>
          <w:szCs w:val="24"/>
        </w:rPr>
        <w:t>名称：江苏伟业项目管理有限公司</w:t>
      </w:r>
    </w:p>
    <w:p>
      <w:pPr>
        <w:widowControl w:val="0"/>
        <w:adjustRightInd w:val="0"/>
        <w:snapToGrid w:val="0"/>
        <w:spacing w:line="336" w:lineRule="auto"/>
        <w:ind w:left="479" w:leftChars="228"/>
        <w:rPr>
          <w:rStyle w:val="44"/>
          <w:rFonts w:ascii="宋体" w:hAnsi="宋体"/>
          <w:color w:val="000000" w:themeColor="text1"/>
          <w:sz w:val="24"/>
          <w:szCs w:val="24"/>
        </w:rPr>
      </w:pPr>
      <w:r>
        <w:rPr>
          <w:rStyle w:val="44"/>
          <w:rFonts w:hint="eastAsia" w:ascii="宋体" w:hAnsi="宋体"/>
          <w:color w:val="000000" w:themeColor="text1"/>
          <w:sz w:val="24"/>
          <w:szCs w:val="24"/>
        </w:rPr>
        <w:t>地址：盐城市金融城四号楼1103</w:t>
      </w:r>
      <w:r>
        <w:rPr>
          <w:rStyle w:val="44"/>
          <w:rFonts w:hint="eastAsia" w:ascii="宋体" w:hAnsi="宋体"/>
          <w:color w:val="000000" w:themeColor="text1"/>
          <w:sz w:val="24"/>
          <w:szCs w:val="24"/>
        </w:rPr>
        <w:br w:type="textWrapping"/>
      </w:r>
      <w:r>
        <w:rPr>
          <w:rStyle w:val="44"/>
          <w:rFonts w:hint="eastAsia" w:ascii="宋体" w:hAnsi="宋体"/>
          <w:color w:val="000000" w:themeColor="text1"/>
          <w:sz w:val="24"/>
          <w:szCs w:val="24"/>
        </w:rPr>
        <w:t>联系人：周鹏</w:t>
      </w:r>
      <w:r>
        <w:rPr>
          <w:rStyle w:val="44"/>
          <w:rFonts w:hint="eastAsia" w:ascii="宋体" w:hAnsi="宋体"/>
          <w:color w:val="000000" w:themeColor="text1"/>
          <w:sz w:val="24"/>
          <w:szCs w:val="24"/>
        </w:rPr>
        <w:br w:type="textWrapping"/>
      </w:r>
      <w:r>
        <w:rPr>
          <w:rStyle w:val="44"/>
          <w:rFonts w:hint="eastAsia" w:ascii="宋体" w:hAnsi="宋体"/>
          <w:color w:val="000000" w:themeColor="text1"/>
          <w:sz w:val="24"/>
          <w:szCs w:val="24"/>
        </w:rPr>
        <w:t>联系电话：13024494996</w:t>
      </w:r>
    </w:p>
    <w:p>
      <w:pPr>
        <w:widowControl w:val="0"/>
        <w:adjustRightInd w:val="0"/>
        <w:snapToGrid w:val="0"/>
        <w:spacing w:line="336" w:lineRule="auto"/>
        <w:ind w:left="479" w:leftChars="228"/>
        <w:rPr>
          <w:rStyle w:val="44"/>
          <w:rFonts w:ascii="宋体" w:hAnsi="宋体"/>
          <w:color w:val="000000" w:themeColor="text1"/>
          <w:sz w:val="24"/>
          <w:szCs w:val="24"/>
        </w:rPr>
      </w:pPr>
      <w:r>
        <w:rPr>
          <w:rStyle w:val="44"/>
          <w:rFonts w:hint="eastAsia" w:ascii="宋体" w:hAnsi="宋体"/>
          <w:color w:val="000000" w:themeColor="text1"/>
          <w:sz w:val="24"/>
          <w:szCs w:val="24"/>
        </w:rPr>
        <w:t>3.项目联系方式</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项目联系人：喻老师  电话：13962089899  孟老师  电话：18961976135</w:t>
      </w:r>
    </w:p>
    <w:p>
      <w:pPr>
        <w:widowControl w:val="0"/>
        <w:adjustRightInd w:val="0"/>
        <w:snapToGrid w:val="0"/>
        <w:spacing w:line="336"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4"/>
          <w:rFonts w:ascii="宋体" w:hAnsi="宋体"/>
          <w:color w:val="000000" w:themeColor="text1"/>
          <w:sz w:val="24"/>
          <w:szCs w:val="24"/>
        </w:rPr>
      </w:pPr>
    </w:p>
    <w:p>
      <w:pPr>
        <w:pStyle w:val="10"/>
        <w:rPr>
          <w:rStyle w:val="44"/>
          <w:rFonts w:ascii="宋体" w:hAnsi="宋体"/>
          <w:color w:val="000000" w:themeColor="text1"/>
          <w:sz w:val="24"/>
          <w:szCs w:val="24"/>
        </w:rPr>
      </w:pPr>
    </w:p>
    <w:p>
      <w:pPr>
        <w:rPr>
          <w:rStyle w:val="44"/>
          <w:rFonts w:ascii="宋体" w:hAnsi="宋体"/>
          <w:color w:val="000000" w:themeColor="text1"/>
          <w:sz w:val="24"/>
          <w:szCs w:val="24"/>
        </w:rPr>
      </w:pPr>
    </w:p>
    <w:p>
      <w:pPr>
        <w:pStyle w:val="10"/>
        <w:rPr>
          <w:rStyle w:val="44"/>
          <w:rFonts w:ascii="宋体" w:hAnsi="宋体"/>
          <w:color w:val="000000" w:themeColor="text1"/>
          <w:sz w:val="24"/>
          <w:szCs w:val="24"/>
        </w:rPr>
      </w:pPr>
    </w:p>
    <w:p>
      <w:pPr>
        <w:rPr>
          <w:rStyle w:val="44"/>
          <w:rFonts w:ascii="宋体" w:hAnsi="宋体"/>
          <w:color w:val="000000" w:themeColor="text1"/>
          <w:sz w:val="24"/>
          <w:szCs w:val="24"/>
        </w:rPr>
      </w:pPr>
    </w:p>
    <w:p>
      <w:pPr>
        <w:pStyle w:val="10"/>
        <w:rPr>
          <w:rStyle w:val="44"/>
          <w:rFonts w:ascii="宋体" w:hAnsi="宋体"/>
          <w:color w:val="000000" w:themeColor="text1"/>
          <w:sz w:val="24"/>
          <w:szCs w:val="24"/>
        </w:rPr>
      </w:pPr>
    </w:p>
    <w:p>
      <w:pPr>
        <w:pStyle w:val="35"/>
        <w:spacing w:before="0" w:after="0" w:line="240" w:lineRule="auto"/>
        <w:jc w:val="both"/>
        <w:outlineLvl w:val="0"/>
        <w:rPr>
          <w:rStyle w:val="44"/>
          <w:rFonts w:ascii="宋体" w:hAnsi="宋体" w:eastAsia="宋体" w:cs="宋体"/>
          <w:color w:val="000000" w:themeColor="text1"/>
        </w:rPr>
      </w:pPr>
      <w:bookmarkStart w:id="2" w:name="_Toc22918"/>
      <w:bookmarkStart w:id="3" w:name="_Toc29420"/>
    </w:p>
    <w:p>
      <w:pPr>
        <w:pStyle w:val="36"/>
        <w:rPr>
          <w:rStyle w:val="44"/>
          <w:rFonts w:ascii="宋体" w:hAnsi="宋体"/>
          <w:color w:val="000000" w:themeColor="text1"/>
        </w:rPr>
      </w:pPr>
    </w:p>
    <w:p>
      <w:pPr>
        <w:pStyle w:val="36"/>
        <w:rPr>
          <w:rStyle w:val="44"/>
          <w:rFonts w:ascii="宋体" w:hAnsi="宋体"/>
          <w:color w:val="000000" w:themeColor="text1"/>
        </w:rPr>
      </w:pPr>
    </w:p>
    <w:p>
      <w:pPr>
        <w:pStyle w:val="36"/>
        <w:rPr>
          <w:rStyle w:val="44"/>
          <w:rFonts w:ascii="宋体" w:hAnsi="宋体"/>
          <w:color w:val="000000" w:themeColor="text1"/>
        </w:rPr>
      </w:pPr>
    </w:p>
    <w:p>
      <w:pPr>
        <w:pStyle w:val="35"/>
        <w:spacing w:before="0" w:after="0" w:line="240" w:lineRule="auto"/>
        <w:outlineLvl w:val="0"/>
        <w:rPr>
          <w:rStyle w:val="44"/>
          <w:rFonts w:ascii="宋体" w:hAnsi="宋体" w:eastAsia="宋体" w:cs="宋体"/>
          <w:b w:val="0"/>
          <w:bCs w:val="0"/>
          <w:color w:val="000000" w:themeColor="text1"/>
        </w:rPr>
      </w:pPr>
      <w:r>
        <w:rPr>
          <w:rStyle w:val="44"/>
          <w:rFonts w:hint="eastAsia" w:ascii="宋体" w:hAnsi="宋体" w:eastAsia="宋体" w:cs="宋体"/>
          <w:color w:val="000000" w:themeColor="text1"/>
        </w:rPr>
        <w:t>第二章  投标人须知</w:t>
      </w:r>
      <w:bookmarkEnd w:id="2"/>
      <w:bookmarkEnd w:id="3"/>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一、总则</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1、招标方式</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2、合格的投标人</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2.1满足招标公告中供应商的资格要求的规定。</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2.2 满足本文件实质性条款的规定。</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3、适用法律</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4、投标费用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4.1</w:t>
      </w:r>
      <w:r>
        <w:rPr>
          <w:rStyle w:val="44"/>
          <w:rFonts w:hint="eastAsia" w:ascii="宋体" w:hAnsi="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4.2本项目每个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5、招标文件的约束力</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5.1</w:t>
      </w:r>
      <w:r>
        <w:rPr>
          <w:rStyle w:val="44"/>
          <w:rFonts w:hint="eastAsia" w:ascii="宋体" w:hAnsi="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6、招标文件的解释</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6.1 本招标文件由采购人或采购代理机构负责解释。</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二、招标文件</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7、招标文件构成</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7.1</w:t>
      </w:r>
      <w:r>
        <w:rPr>
          <w:rStyle w:val="44"/>
          <w:rFonts w:hint="eastAsia" w:ascii="宋体" w:hAnsi="宋体"/>
          <w:color w:val="000000" w:themeColor="text1"/>
          <w:sz w:val="24"/>
          <w:szCs w:val="24"/>
        </w:rPr>
        <w:t xml:space="preserve"> 招标文件有以下部分组成：</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（1）招标公告</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（2）投标人须知</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（3）合同条款及格式</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（4）项目需求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（5）评标方法与评标标准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（6）投标文件格式</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7.2</w:t>
      </w:r>
      <w:r>
        <w:rPr>
          <w:rStyle w:val="44"/>
          <w:rFonts w:hint="eastAsia" w:ascii="宋体" w:hAnsi="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8、招标文件的询问</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8.1</w:t>
      </w:r>
      <w:r>
        <w:rPr>
          <w:rStyle w:val="44"/>
          <w:rFonts w:hint="eastAsia" w:ascii="宋体" w:hAnsi="宋体"/>
          <w:color w:val="000000" w:themeColor="text1"/>
          <w:sz w:val="24"/>
          <w:szCs w:val="24"/>
        </w:rPr>
        <w:t xml:space="preserve"> 任何要求对招标文件进行询问的投标人，应在投标截止日期</w:t>
      </w:r>
      <w:r>
        <w:rPr>
          <w:rStyle w:val="44"/>
          <w:rFonts w:hint="eastAsia" w:ascii="宋体" w:hAnsi="宋体"/>
          <w:b/>
          <w:color w:val="000000" w:themeColor="text1"/>
          <w:sz w:val="24"/>
          <w:szCs w:val="24"/>
        </w:rPr>
        <w:t>十日</w:t>
      </w:r>
      <w:r>
        <w:rPr>
          <w:rStyle w:val="44"/>
          <w:rFonts w:hint="eastAsia" w:ascii="宋体" w:hAnsi="宋体"/>
          <w:color w:val="000000" w:themeColor="text1"/>
          <w:sz w:val="24"/>
          <w:szCs w:val="24"/>
        </w:rPr>
        <w:t>前按招标公告中的通讯地址，向采购人或采购代理机构提出。</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9、招标文件的修改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9.1</w:t>
      </w:r>
      <w:r>
        <w:rPr>
          <w:rStyle w:val="44"/>
          <w:rFonts w:hint="eastAsia" w:ascii="宋体" w:hAnsi="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9.2</w:t>
      </w:r>
      <w:r>
        <w:rPr>
          <w:rStyle w:val="44"/>
          <w:rFonts w:hint="eastAsia" w:ascii="宋体" w:hAnsi="宋体"/>
          <w:color w:val="000000" w:themeColor="text1"/>
          <w:sz w:val="24"/>
          <w:szCs w:val="24"/>
        </w:rPr>
        <w:t>采购人或采购代理机构有权依法推迟投标截止日期和开标日期。</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9.3</w:t>
      </w:r>
      <w:r>
        <w:rPr>
          <w:rStyle w:val="44"/>
          <w:rFonts w:hint="eastAsia" w:ascii="宋体" w:hAnsi="宋体"/>
          <w:color w:val="000000" w:themeColor="text1"/>
          <w:sz w:val="24"/>
          <w:szCs w:val="24"/>
        </w:rPr>
        <w:t>招标文件的修改将在</w:t>
      </w:r>
      <w:r>
        <w:rPr>
          <w:rStyle w:val="44"/>
          <w:rFonts w:hint="eastAsia" w:ascii="宋体" w:hAnsi="宋体"/>
          <w:bCs/>
          <w:color w:val="000000" w:themeColor="text1"/>
          <w:sz w:val="24"/>
          <w:szCs w:val="24"/>
        </w:rPr>
        <w:t>盐城工业职业技术学院招标采购网</w:t>
      </w:r>
      <w:r>
        <w:rPr>
          <w:rStyle w:val="44"/>
          <w:rFonts w:hint="eastAsia" w:ascii="宋体" w:hAnsi="宋体"/>
          <w:color w:val="000000" w:themeColor="text1"/>
          <w:sz w:val="24"/>
          <w:szCs w:val="24"/>
        </w:rPr>
        <w:t>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三、投标文件的编制</w:t>
      </w:r>
    </w:p>
    <w:p>
      <w:pPr>
        <w:pStyle w:val="38"/>
        <w:snapToGrid w:val="0"/>
        <w:spacing w:before="0" w:after="0" w:line="360" w:lineRule="auto"/>
        <w:ind w:firstLine="480" w:firstLineChars="200"/>
        <w:rPr>
          <w:rStyle w:val="44"/>
          <w:rFonts w:ascii="宋体" w:hAnsi="宋体"/>
          <w:bCs/>
          <w:color w:val="000000" w:themeColor="text1"/>
          <w:sz w:val="24"/>
          <w:szCs w:val="24"/>
        </w:rPr>
      </w:pPr>
      <w:r>
        <w:rPr>
          <w:rStyle w:val="44"/>
          <w:rFonts w:hint="eastAsia" w:ascii="宋体" w:hAnsi="宋体"/>
          <w:b w:val="0"/>
          <w:bCs/>
          <w:color w:val="000000" w:themeColor="text1"/>
          <w:sz w:val="24"/>
          <w:szCs w:val="24"/>
        </w:rPr>
        <w:t>10、投标文件的语言及度量衡单位</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10.1</w:t>
      </w:r>
      <w:r>
        <w:rPr>
          <w:rStyle w:val="44"/>
          <w:rFonts w:hint="eastAsia" w:ascii="宋体" w:hAnsi="宋体"/>
          <w:color w:val="000000" w:themeColor="text1"/>
          <w:sz w:val="24"/>
          <w:szCs w:val="24"/>
        </w:rPr>
        <w:t xml:space="preserve"> 投标人提交的投标文件以及投标人与采购人或采购代理机构就有关投标的所有来往通知、函件和文件均应使用</w:t>
      </w:r>
      <w:r>
        <w:rPr>
          <w:rStyle w:val="44"/>
          <w:rFonts w:hint="eastAsia" w:ascii="宋体" w:hAnsi="宋体"/>
          <w:b/>
          <w:bCs/>
          <w:color w:val="000000" w:themeColor="text1"/>
          <w:sz w:val="24"/>
          <w:szCs w:val="24"/>
        </w:rPr>
        <w:t>简体中文</w:t>
      </w:r>
      <w:r>
        <w:rPr>
          <w:rStyle w:val="44"/>
          <w:rFonts w:hint="eastAsia" w:ascii="宋体" w:hAnsi="宋体"/>
          <w:color w:val="000000" w:themeColor="text1"/>
          <w:sz w:val="24"/>
          <w:szCs w:val="24"/>
        </w:rPr>
        <w:t>。</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10.2</w:t>
      </w:r>
      <w:r>
        <w:rPr>
          <w:rStyle w:val="44"/>
          <w:rFonts w:hint="eastAsia" w:ascii="宋体" w:hAnsi="宋体"/>
          <w:color w:val="000000" w:themeColor="text1"/>
          <w:sz w:val="24"/>
          <w:szCs w:val="24"/>
        </w:rPr>
        <w:t xml:space="preserve"> 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11、投标文件构成</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11.1</w:t>
      </w:r>
      <w:r>
        <w:rPr>
          <w:rStyle w:val="44"/>
          <w:rFonts w:hint="eastAsia" w:ascii="宋体" w:hAnsi="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12、证明投标人资格及符合招标文件规定的文件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12.5证明投标人所提供货物及服务与招标文件的要求相一致的文件可以是手册、图纸、文字资料和数据</w:t>
      </w:r>
      <w:r>
        <w:rPr>
          <w:rStyle w:val="44"/>
          <w:rFonts w:hint="eastAsia" w:ascii="宋体" w:hAnsi="宋体"/>
          <w:bCs/>
          <w:color w:val="000000" w:themeColor="text1"/>
          <w:sz w:val="24"/>
          <w:szCs w:val="24"/>
        </w:rPr>
        <w:t>。</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13、供货一览表和投标配置与分项报价表</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13.1</w:t>
      </w:r>
      <w:r>
        <w:rPr>
          <w:rStyle w:val="44"/>
          <w:rFonts w:hint="eastAsia" w:ascii="宋体" w:hAnsi="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13.2</w:t>
      </w:r>
      <w:r>
        <w:rPr>
          <w:rStyle w:val="44"/>
          <w:rFonts w:hint="eastAsia" w:ascii="宋体" w:hAnsi="宋体"/>
          <w:color w:val="000000" w:themeColor="text1"/>
          <w:sz w:val="24"/>
          <w:szCs w:val="24"/>
        </w:rPr>
        <w:t xml:space="preserve"> 标的物</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采购人需求的货物供应、安装，调试及有关技术服务等</w:t>
      </w:r>
      <w:r>
        <w:rPr>
          <w:rStyle w:val="44"/>
          <w:rFonts w:hint="eastAsia" w:ascii="宋体" w:hAnsi="宋体"/>
          <w:color w:val="000000" w:themeColor="text1"/>
          <w:sz w:val="24"/>
          <w:szCs w:val="24"/>
        </w:rPr>
        <w:t>。</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13.3有关费用处理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13.4</w:t>
      </w:r>
      <w:r>
        <w:rPr>
          <w:rStyle w:val="44"/>
          <w:rFonts w:hint="eastAsia" w:ascii="宋体" w:hAnsi="宋体"/>
          <w:bCs/>
          <w:color w:val="000000" w:themeColor="text1"/>
          <w:sz w:val="24"/>
          <w:szCs w:val="24"/>
        </w:rPr>
        <w:t>其它费用处理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招标文件未列明，而投标人认为必需的费用也需列入报价。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13.5</w:t>
      </w:r>
      <w:r>
        <w:rPr>
          <w:rStyle w:val="44"/>
          <w:rFonts w:hint="eastAsia" w:ascii="宋体" w:hAnsi="宋体"/>
          <w:bCs/>
          <w:color w:val="000000" w:themeColor="text1"/>
          <w:sz w:val="24"/>
          <w:szCs w:val="24"/>
        </w:rPr>
        <w:t>投标货币</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投标文件中的货物</w:t>
      </w:r>
      <w:r>
        <w:rPr>
          <w:rStyle w:val="44"/>
          <w:rFonts w:hint="eastAsia" w:ascii="宋体" w:hAnsi="宋体"/>
          <w:color w:val="000000" w:themeColor="text1"/>
          <w:sz w:val="24"/>
          <w:szCs w:val="24"/>
        </w:rPr>
        <w:t>及服务</w:t>
      </w:r>
      <w:r>
        <w:rPr>
          <w:rStyle w:val="44"/>
          <w:rFonts w:hint="eastAsia" w:ascii="宋体" w:hAnsi="宋体"/>
          <w:bCs/>
          <w:color w:val="000000" w:themeColor="text1"/>
          <w:sz w:val="24"/>
          <w:szCs w:val="24"/>
        </w:rPr>
        <w:t>单价和总价无特殊规定的采用人民币报价，以元为单位标注。</w:t>
      </w:r>
      <w:r>
        <w:rPr>
          <w:rStyle w:val="44"/>
          <w:rFonts w:hint="eastAsia" w:ascii="宋体" w:hAnsi="宋体"/>
          <w:color w:val="000000" w:themeColor="text1"/>
          <w:sz w:val="24"/>
          <w:szCs w:val="24"/>
        </w:rPr>
        <w:t>招标文件中另有规定的按规定执行。</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13.6</w:t>
      </w:r>
      <w:r>
        <w:rPr>
          <w:rStyle w:val="44"/>
          <w:rFonts w:hint="eastAsia" w:ascii="宋体" w:hAnsi="宋体"/>
          <w:bCs/>
          <w:color w:val="000000" w:themeColor="text1"/>
          <w:sz w:val="24"/>
          <w:szCs w:val="24"/>
        </w:rPr>
        <w:t xml:space="preserve"> 投标配置与分项报价表上的价格应按下列方式分开填写</w:t>
      </w:r>
      <w:r>
        <w:rPr>
          <w:rStyle w:val="44"/>
          <w:rFonts w:hint="eastAsia" w:ascii="宋体" w:hAnsi="宋体"/>
          <w:color w:val="000000" w:themeColor="text1"/>
          <w:sz w:val="24"/>
          <w:szCs w:val="24"/>
        </w:rPr>
        <w:t>：</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 xml:space="preserve">13.6.1 </w:t>
      </w:r>
      <w:r>
        <w:rPr>
          <w:rStyle w:val="44"/>
          <w:rFonts w:hint="eastAsia" w:ascii="宋体" w:hAnsi="宋体"/>
          <w:color w:val="000000" w:themeColor="text1"/>
          <w:sz w:val="24"/>
          <w:szCs w:val="24"/>
        </w:rPr>
        <w:t>项目总价：包括</w:t>
      </w:r>
      <w:r>
        <w:rPr>
          <w:rStyle w:val="44"/>
          <w:rFonts w:hint="eastAsia" w:ascii="宋体" w:hAnsi="宋体"/>
          <w:bCs/>
          <w:color w:val="000000" w:themeColor="text1"/>
          <w:sz w:val="24"/>
          <w:szCs w:val="24"/>
        </w:rPr>
        <w:t>买方需求的货物价格</w:t>
      </w:r>
      <w:r>
        <w:rPr>
          <w:rStyle w:val="44"/>
          <w:rFonts w:hint="eastAsia" w:ascii="宋体" w:hAnsi="宋体"/>
          <w:color w:val="000000" w:themeColor="text1"/>
          <w:sz w:val="24"/>
          <w:szCs w:val="24"/>
        </w:rPr>
        <w:t>、</w:t>
      </w:r>
      <w:r>
        <w:rPr>
          <w:rStyle w:val="44"/>
          <w:rFonts w:hint="eastAsia" w:ascii="宋体" w:hAnsi="宋体"/>
          <w:bCs/>
          <w:color w:val="000000" w:themeColor="text1"/>
          <w:sz w:val="24"/>
          <w:szCs w:val="24"/>
        </w:rPr>
        <w:t>质量保证费用、培训费用及售后服务费用，项目在指定地点、环境交付、安装、调试、验收所需费用和所有</w:t>
      </w:r>
      <w:r>
        <w:rPr>
          <w:rStyle w:val="44"/>
          <w:rFonts w:hint="eastAsia" w:ascii="宋体" w:hAnsi="宋体"/>
          <w:color w:val="000000" w:themeColor="text1"/>
          <w:sz w:val="24"/>
          <w:szCs w:val="24"/>
        </w:rPr>
        <w:t>相关税金费用</w:t>
      </w:r>
      <w:r>
        <w:rPr>
          <w:rStyle w:val="44"/>
          <w:rFonts w:hint="eastAsia" w:ascii="宋体" w:hAnsi="宋体"/>
          <w:bCs/>
          <w:color w:val="000000" w:themeColor="text1"/>
          <w:sz w:val="24"/>
          <w:szCs w:val="24"/>
        </w:rPr>
        <w:t>及为完成整个项目所产生的其它所有费用。</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13.6.2</w:t>
      </w:r>
      <w:r>
        <w:rPr>
          <w:rStyle w:val="44"/>
          <w:rFonts w:hint="eastAsia" w:ascii="宋体" w:hAnsi="宋体"/>
          <w:bCs/>
          <w:color w:val="000000" w:themeColor="text1"/>
          <w:sz w:val="24"/>
          <w:szCs w:val="24"/>
        </w:rPr>
        <w:t>项目单价按投标配置及分项报价表中要求填报。</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14</w:t>
      </w:r>
      <w:r>
        <w:rPr>
          <w:rStyle w:val="44"/>
          <w:rFonts w:hint="eastAsia" w:ascii="宋体" w:hAnsi="宋体"/>
          <w:b/>
          <w:bCs/>
          <w:color w:val="000000" w:themeColor="text1"/>
          <w:sz w:val="24"/>
          <w:szCs w:val="24"/>
        </w:rPr>
        <w:t>、</w:t>
      </w:r>
      <w:r>
        <w:rPr>
          <w:rStyle w:val="44"/>
          <w:rFonts w:hint="eastAsia" w:ascii="宋体" w:hAnsi="宋体"/>
          <w:color w:val="000000" w:themeColor="text1"/>
          <w:sz w:val="24"/>
          <w:szCs w:val="24"/>
        </w:rPr>
        <w:t>技术参数响应及偏离表、商务条款响应及偏离表及投标货物说明</w:t>
      </w:r>
    </w:p>
    <w:p>
      <w:pPr>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bCs/>
          <w:color w:val="000000" w:themeColor="text1"/>
          <w:sz w:val="24"/>
          <w:szCs w:val="24"/>
          <w:lang w:val="zh-CN"/>
        </w:rPr>
        <w:t>14.1</w:t>
      </w:r>
      <w:r>
        <w:rPr>
          <w:rStyle w:val="44"/>
          <w:rFonts w:hint="eastAsia" w:ascii="宋体" w:hAnsi="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color w:val="000000" w:themeColor="text1"/>
          <w:sz w:val="24"/>
          <w:szCs w:val="24"/>
          <w:lang w:val="zh-CN"/>
        </w:rPr>
        <w:t>14.3 培训计划；</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color w:val="000000" w:themeColor="text1"/>
          <w:sz w:val="24"/>
          <w:szCs w:val="24"/>
          <w:lang w:val="zh-CN"/>
        </w:rPr>
        <w:t>14.</w:t>
      </w:r>
      <w:r>
        <w:rPr>
          <w:rStyle w:val="44"/>
          <w:rFonts w:hint="eastAsia" w:ascii="宋体" w:hAnsi="宋体"/>
          <w:color w:val="000000" w:themeColor="text1"/>
          <w:sz w:val="24"/>
          <w:szCs w:val="24"/>
        </w:rPr>
        <w:t>4</w:t>
      </w:r>
      <w:r>
        <w:rPr>
          <w:rStyle w:val="44"/>
          <w:rFonts w:hint="eastAsia" w:ascii="宋体" w:hAnsi="宋体"/>
          <w:color w:val="000000" w:themeColor="text1"/>
          <w:sz w:val="24"/>
          <w:szCs w:val="24"/>
          <w:lang w:val="zh-CN"/>
        </w:rPr>
        <w:t>投标人认为需要的其他技术文件或说明。</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bCs/>
          <w:color w:val="000000" w:themeColor="text1"/>
          <w:sz w:val="24"/>
          <w:szCs w:val="24"/>
        </w:rPr>
        <w:t>1</w:t>
      </w:r>
      <w:r>
        <w:rPr>
          <w:rStyle w:val="44"/>
          <w:rFonts w:hint="eastAsia" w:ascii="宋体" w:hAnsi="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4"/>
          <w:rFonts w:ascii="宋体" w:hAnsi="宋体"/>
          <w:color w:val="000000" w:themeColor="text1"/>
          <w:sz w:val="24"/>
          <w:szCs w:val="24"/>
          <w:lang w:val="zh-CN"/>
        </w:rPr>
      </w:pPr>
      <w:r>
        <w:rPr>
          <w:rStyle w:val="44"/>
          <w:rFonts w:hint="eastAsia" w:ascii="宋体" w:hAnsi="宋体"/>
          <w:bCs/>
          <w:color w:val="000000" w:themeColor="text1"/>
          <w:sz w:val="24"/>
          <w:szCs w:val="24"/>
        </w:rPr>
        <w:t>15.1</w:t>
      </w:r>
      <w:r>
        <w:rPr>
          <w:rStyle w:val="44"/>
          <w:rFonts w:hint="eastAsia" w:ascii="宋体" w:hAnsi="宋体"/>
          <w:color w:val="000000" w:themeColor="text1"/>
          <w:sz w:val="24"/>
          <w:szCs w:val="24"/>
        </w:rPr>
        <w:t>投标人的服务承诺应按不低于招标文件中商务要求的标准。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15.2</w:t>
      </w:r>
      <w:r>
        <w:rPr>
          <w:rStyle w:val="44"/>
          <w:rFonts w:hint="eastAsia" w:ascii="宋体" w:hAnsi="宋体"/>
          <w:color w:val="000000" w:themeColor="text1"/>
          <w:sz w:val="24"/>
          <w:szCs w:val="24"/>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16、投标函和开标一览表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16.1</w:t>
      </w:r>
      <w:r>
        <w:rPr>
          <w:rStyle w:val="44"/>
          <w:rFonts w:hint="eastAsia" w:ascii="宋体" w:hAnsi="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16.2开标一览表中的价格应与投标文件中投标配置与分项报价表中的价格一致，如不一致，</w:t>
      </w:r>
      <w:r>
        <w:rPr>
          <w:rStyle w:val="44"/>
          <w:rFonts w:hint="eastAsia" w:ascii="宋体" w:hAnsi="宋体"/>
          <w:color w:val="000000" w:themeColor="text1"/>
          <w:sz w:val="24"/>
          <w:szCs w:val="24"/>
        </w:rPr>
        <w:t>不作为无效投标处理</w:t>
      </w:r>
      <w:r>
        <w:rPr>
          <w:rStyle w:val="44"/>
          <w:rFonts w:hint="eastAsia" w:ascii="宋体" w:hAnsi="宋体"/>
          <w:bCs/>
          <w:color w:val="000000" w:themeColor="text1"/>
          <w:sz w:val="24"/>
          <w:szCs w:val="24"/>
        </w:rPr>
        <w:t>，但评标时按开标一览表中价格为准</w:t>
      </w:r>
      <w:r>
        <w:rPr>
          <w:rStyle w:val="44"/>
          <w:rFonts w:hint="eastAsia" w:ascii="宋体" w:hAnsi="宋体"/>
          <w:b/>
          <w:bCs/>
          <w:color w:val="000000" w:themeColor="text1"/>
          <w:sz w:val="24"/>
          <w:szCs w:val="24"/>
        </w:rPr>
        <w:t>。</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17、投标有效期</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17.1</w:t>
      </w:r>
      <w:r>
        <w:rPr>
          <w:rStyle w:val="44"/>
          <w:rFonts w:hint="eastAsia" w:ascii="宋体" w:hAnsi="宋体"/>
          <w:bCs/>
          <w:color w:val="000000" w:themeColor="text1"/>
          <w:sz w:val="24"/>
          <w:szCs w:val="24"/>
        </w:rPr>
        <w:t xml:space="preserve"> 投标有效期为采购人或采购代理机构规定的开标之日后</w:t>
      </w:r>
      <w:r>
        <w:rPr>
          <w:rStyle w:val="44"/>
          <w:rFonts w:hint="eastAsia" w:ascii="宋体" w:hAnsi="宋体"/>
          <w:b/>
          <w:color w:val="000000" w:themeColor="text1"/>
          <w:sz w:val="24"/>
          <w:szCs w:val="24"/>
          <w:u w:val="single" w:color="000000"/>
        </w:rPr>
        <w:t>六十（60）天</w:t>
      </w:r>
      <w:r>
        <w:rPr>
          <w:rStyle w:val="44"/>
          <w:rFonts w:hint="eastAsia" w:ascii="宋体" w:hAnsi="宋体"/>
          <w:bCs/>
          <w:color w:val="000000" w:themeColor="text1"/>
          <w:sz w:val="24"/>
          <w:szCs w:val="24"/>
        </w:rPr>
        <w:t>。投标有效期比规定短的将被视为非响应性投标而予以拒绝。</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17.2</w:t>
      </w:r>
      <w:r>
        <w:rPr>
          <w:rStyle w:val="44"/>
          <w:rFonts w:hint="eastAsia" w:ascii="宋体" w:hAnsi="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olor w:val="000000" w:themeColor="text1"/>
          <w:sz w:val="24"/>
          <w:szCs w:val="24"/>
        </w:rPr>
        <w:t>。</w:t>
      </w:r>
      <w:r>
        <w:rPr>
          <w:rStyle w:val="44"/>
          <w:rFonts w:hint="eastAsia" w:ascii="宋体" w:hAnsi="宋体"/>
          <w:bCs/>
          <w:color w:val="000000" w:themeColor="text1"/>
          <w:sz w:val="24"/>
          <w:szCs w:val="24"/>
        </w:rPr>
        <w:t>同意延长投标有效期的投标人既不能要求也不允许修改其投标文件。</w:t>
      </w:r>
      <w:r>
        <w:rPr>
          <w:rStyle w:val="44"/>
          <w:rFonts w:hint="eastAsia" w:ascii="宋体" w:hAnsi="宋体"/>
          <w:color w:val="000000" w:themeColor="text1"/>
          <w:sz w:val="24"/>
          <w:szCs w:val="24"/>
        </w:rPr>
        <w:t>受投标有效期约束的所有权利与义务均延长至新的有效期</w:t>
      </w:r>
      <w:r>
        <w:rPr>
          <w:rStyle w:val="44"/>
          <w:rFonts w:hint="eastAsia" w:ascii="宋体" w:hAnsi="宋体"/>
          <w:bCs/>
          <w:color w:val="000000" w:themeColor="text1"/>
          <w:sz w:val="24"/>
          <w:szCs w:val="24"/>
        </w:rPr>
        <w:t>。</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18、投标文件签署</w:t>
      </w:r>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18.1</w:t>
      </w:r>
      <w:r>
        <w:rPr>
          <w:rFonts w:hint="eastAsia" w:ascii="宋体" w:hAnsi="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18.2投标文件正本中，</w:t>
      </w:r>
      <w:r>
        <w:rPr>
          <w:rFonts w:hint="eastAsia" w:ascii="宋体" w:hAnsi="宋体"/>
          <w:bCs/>
          <w:color w:val="000000" w:themeColor="text1"/>
          <w:sz w:val="24"/>
          <w:szCs w:val="24"/>
        </w:rPr>
        <w:t>招标文件要求必须提供原件的按照要求提供，文</w:t>
      </w:r>
      <w:r>
        <w:rPr>
          <w:rFonts w:hint="eastAsia" w:ascii="宋体" w:hAnsi="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18.3</w:t>
      </w:r>
      <w:r>
        <w:rPr>
          <w:rFonts w:hint="eastAsia" w:ascii="宋体" w:hAnsi="宋体"/>
          <w:bCs/>
          <w:color w:val="000000" w:themeColor="text1"/>
          <w:sz w:val="24"/>
          <w:szCs w:val="24"/>
        </w:rPr>
        <w:t xml:space="preserve"> 除投标人对错处做必要修改外，投标文件不得行间插字、涂改或增删。如有修改错漏处，必须由投标文件签署人签字或盖章。</w:t>
      </w:r>
    </w:p>
    <w:p>
      <w:pPr>
        <w:pStyle w:val="8"/>
        <w:spacing w:line="440" w:lineRule="exact"/>
        <w:ind w:left="0" w:firstLine="482" w:firstLineChars="200"/>
        <w:rPr>
          <w:rFonts w:ascii="宋体" w:hAnsi="宋体"/>
          <w:color w:val="000000" w:themeColor="text1"/>
          <w:sz w:val="24"/>
          <w:szCs w:val="24"/>
        </w:rPr>
      </w:pPr>
      <w:bookmarkStart w:id="4" w:name="_Toc16938540"/>
      <w:bookmarkStart w:id="5" w:name="_Toc513029224"/>
      <w:bookmarkStart w:id="6" w:name="_Toc120614217"/>
      <w:bookmarkStart w:id="7" w:name="_Toc20823296"/>
      <w:r>
        <w:rPr>
          <w:rFonts w:hint="eastAsia" w:ascii="宋体" w:hAnsi="宋体"/>
          <w:color w:val="000000" w:themeColor="text1"/>
          <w:sz w:val="24"/>
          <w:szCs w:val="24"/>
        </w:rPr>
        <w:t>四、投标文件的递交</w:t>
      </w:r>
      <w:bookmarkEnd w:id="4"/>
      <w:bookmarkEnd w:id="5"/>
      <w:bookmarkEnd w:id="6"/>
      <w:bookmarkEnd w:id="7"/>
    </w:p>
    <w:p>
      <w:pPr>
        <w:spacing w:line="440" w:lineRule="exact"/>
        <w:ind w:firstLine="480" w:firstLineChars="200"/>
        <w:rPr>
          <w:rFonts w:ascii="宋体" w:hAnsi="宋体"/>
          <w:color w:val="000000" w:themeColor="text1"/>
          <w:sz w:val="24"/>
          <w:szCs w:val="24"/>
        </w:rPr>
      </w:pPr>
      <w:bookmarkStart w:id="8" w:name="_Toc16938541"/>
      <w:bookmarkStart w:id="9" w:name="_Toc20823297"/>
      <w:bookmarkStart w:id="10" w:name="_Toc513029225"/>
      <w:bookmarkStart w:id="11" w:name="_Toc462564084"/>
      <w:r>
        <w:rPr>
          <w:rFonts w:hint="eastAsia" w:ascii="宋体" w:hAnsi="宋体"/>
          <w:color w:val="000000" w:themeColor="text1"/>
          <w:sz w:val="24"/>
          <w:szCs w:val="24"/>
        </w:rPr>
        <w:t>19、投标文件的密封和标记</w:t>
      </w:r>
      <w:bookmarkEnd w:id="8"/>
      <w:bookmarkEnd w:id="9"/>
      <w:bookmarkEnd w:id="10"/>
      <w:bookmarkEnd w:id="11"/>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19.1</w:t>
      </w:r>
      <w:r>
        <w:rPr>
          <w:rFonts w:hint="eastAsia" w:ascii="宋体" w:hAnsi="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19.2 密封的投标文件应：</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19.2.2  注明投标项目名称、标书编号及包号。</w:t>
      </w:r>
    </w:p>
    <w:p>
      <w:pPr>
        <w:snapToGrid w:val="0"/>
        <w:spacing w:line="360" w:lineRule="auto"/>
        <w:ind w:firstLine="480" w:firstLineChars="200"/>
        <w:rPr>
          <w:rFonts w:ascii="宋体" w:hAnsi="宋体"/>
          <w:bCs/>
          <w:color w:val="000000" w:themeColor="text1"/>
          <w:sz w:val="24"/>
          <w:szCs w:val="24"/>
        </w:rPr>
      </w:pPr>
      <w:r>
        <w:rPr>
          <w:rStyle w:val="44"/>
          <w:rFonts w:hint="eastAsia" w:ascii="宋体" w:hAnsi="宋体" w:cs="Times New Roman"/>
          <w:bCs/>
          <w:color w:val="000000" w:themeColor="text1"/>
          <w:sz w:val="24"/>
          <w:szCs w:val="24"/>
        </w:rPr>
        <w:t>19.2.3  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20 投标截止日期</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20.1</w:t>
      </w:r>
      <w:r>
        <w:rPr>
          <w:rStyle w:val="44"/>
          <w:rFonts w:hint="eastAsia" w:ascii="宋体" w:hAnsi="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20.2</w:t>
      </w:r>
      <w:r>
        <w:rPr>
          <w:rStyle w:val="44"/>
          <w:rFonts w:hint="eastAsia" w:ascii="宋体" w:hAnsi="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21、迟交的投标文件</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21.1</w:t>
      </w:r>
      <w:r>
        <w:rPr>
          <w:rStyle w:val="44"/>
          <w:rFonts w:hint="eastAsia" w:ascii="宋体" w:hAnsi="宋体"/>
          <w:bCs/>
          <w:color w:val="000000" w:themeColor="text1"/>
          <w:sz w:val="24"/>
          <w:szCs w:val="24"/>
        </w:rPr>
        <w:t xml:space="preserve"> 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22、投标文件的修改和撤回</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22.1</w:t>
      </w:r>
      <w:r>
        <w:rPr>
          <w:rStyle w:val="44"/>
          <w:rFonts w:hint="eastAsia" w:ascii="宋体" w:hAnsi="宋体"/>
          <w:bCs/>
          <w:color w:val="000000" w:themeColor="text1"/>
          <w:sz w:val="24"/>
          <w:szCs w:val="24"/>
        </w:rPr>
        <w:t xml:space="preserve"> 投标人在递交投标文件后，可以修改或撤回其投标文件，但这种修改和撤回，必须在规定的投标截止时间前，以书面形式</w:t>
      </w:r>
      <w:r>
        <w:rPr>
          <w:rStyle w:val="44"/>
          <w:rFonts w:hint="eastAsia" w:ascii="宋体" w:hAnsi="宋体"/>
          <w:color w:val="000000" w:themeColor="text1"/>
          <w:sz w:val="24"/>
          <w:szCs w:val="24"/>
        </w:rPr>
        <w:t>通知采购人或采购代理机构，修改或撤回其投标文件。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22.2</w:t>
      </w:r>
      <w:r>
        <w:rPr>
          <w:rStyle w:val="44"/>
          <w:rFonts w:hint="eastAsia" w:ascii="宋体" w:hAnsi="宋体"/>
          <w:bCs/>
          <w:color w:val="000000" w:themeColor="text1"/>
          <w:sz w:val="24"/>
          <w:szCs w:val="24"/>
        </w:rPr>
        <w:t xml:space="preserve"> 投标人的修改或撤回文件应按规定进行编制、密封、标记和发送，并应在封套上加注“修改”或“撤回”字样。</w:t>
      </w:r>
      <w:r>
        <w:rPr>
          <w:rStyle w:val="44"/>
          <w:rFonts w:hint="eastAsia" w:ascii="宋体" w:hAnsi="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22.3</w:t>
      </w:r>
      <w:r>
        <w:rPr>
          <w:rStyle w:val="44"/>
          <w:rFonts w:hint="eastAsia" w:ascii="宋体" w:hAnsi="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22.4</w:t>
      </w:r>
      <w:r>
        <w:rPr>
          <w:rStyle w:val="44"/>
          <w:rFonts w:hint="eastAsia" w:ascii="宋体" w:hAnsi="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五、开标与评标</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23、开标</w:t>
      </w:r>
    </w:p>
    <w:p>
      <w:pPr>
        <w:spacing w:line="440" w:lineRule="exact"/>
        <w:ind w:firstLine="480" w:firstLineChars="200"/>
        <w:rPr>
          <w:rFonts w:ascii="宋体" w:hAnsi="宋体"/>
          <w:color w:val="000000" w:themeColor="text1"/>
          <w:sz w:val="24"/>
          <w:szCs w:val="24"/>
        </w:rPr>
      </w:pPr>
      <w:r>
        <w:rPr>
          <w:rStyle w:val="44"/>
          <w:rFonts w:hint="eastAsia" w:ascii="宋体" w:hAnsi="宋体" w:cs="Times New Roman"/>
          <w:bCs/>
          <w:color w:val="000000" w:themeColor="text1"/>
          <w:sz w:val="24"/>
          <w:szCs w:val="24"/>
        </w:rPr>
        <w:t>23.1 采购人和采购代理机构将在招标公告中规定的时间和地点组织公开开标。投标人应委派携带有效</w:t>
      </w:r>
      <w:r>
        <w:rPr>
          <w:rFonts w:hint="eastAsia" w:ascii="宋体" w:hAnsi="宋体"/>
          <w:color w:val="000000" w:themeColor="text1"/>
          <w:sz w:val="24"/>
          <w:szCs w:val="24"/>
        </w:rPr>
        <w:t>证件的代表准时参加，参加开标的代表需签名以证明其出席。</w:t>
      </w:r>
    </w:p>
    <w:p>
      <w:pPr>
        <w:snapToGrid w:val="0"/>
        <w:spacing w:line="360" w:lineRule="auto"/>
        <w:ind w:firstLine="480" w:firstLineChars="200"/>
        <w:rPr>
          <w:rStyle w:val="44"/>
          <w:rFonts w:ascii="宋体" w:hAnsi="宋体" w:cs="Times New Roman"/>
          <w:bCs/>
          <w:color w:val="000000" w:themeColor="text1"/>
          <w:sz w:val="24"/>
          <w:szCs w:val="24"/>
        </w:rPr>
      </w:pPr>
      <w:r>
        <w:rPr>
          <w:rFonts w:hint="eastAsia" w:ascii="宋体" w:hAnsi="宋体"/>
          <w:bCs/>
          <w:color w:val="000000" w:themeColor="text1"/>
          <w:sz w:val="24"/>
          <w:szCs w:val="24"/>
        </w:rPr>
        <w:t>23.2</w:t>
      </w:r>
      <w:r>
        <w:rPr>
          <w:rFonts w:hint="eastAsia" w:ascii="宋体" w:hAnsi="宋体"/>
          <w:color w:val="000000" w:themeColor="text1"/>
          <w:sz w:val="24"/>
          <w:szCs w:val="24"/>
        </w:rPr>
        <w:t>开标仪式由采购人或采购代理机构组织，采购人代表</w:t>
      </w:r>
      <w:r>
        <w:rPr>
          <w:rFonts w:hint="eastAsia" w:ascii="宋体" w:hAnsi="宋体"/>
          <w:b/>
          <w:color w:val="000000" w:themeColor="text1"/>
          <w:sz w:val="24"/>
          <w:szCs w:val="24"/>
        </w:rPr>
        <w:t>(需提供单位授权函)</w:t>
      </w:r>
      <w:r>
        <w:rPr>
          <w:rFonts w:hint="eastAsia" w:ascii="宋体" w:hAnsi="宋体"/>
          <w:color w:val="000000" w:themeColor="text1"/>
          <w:sz w:val="24"/>
          <w:szCs w:val="24"/>
        </w:rPr>
        <w:t>、</w:t>
      </w:r>
      <w:r>
        <w:rPr>
          <w:rStyle w:val="44"/>
          <w:rFonts w:hint="eastAsia" w:ascii="宋体" w:hAnsi="宋体" w:cs="Times New Roman"/>
          <w:bCs/>
          <w:color w:val="000000" w:themeColor="text1"/>
          <w:sz w:val="24"/>
          <w:szCs w:val="24"/>
        </w:rPr>
        <w:t>监管代表、投标人代表等参加。</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23.3按照规定同意撤回的投标将不予开封。</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23.6 投标人在报价时不允许采用选择性报价，否则将被视为无效投标。</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24、资格审查</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s="Times New Roman"/>
          <w:bCs/>
          <w:color w:val="000000" w:themeColor="text1"/>
          <w:sz w:val="24"/>
          <w:szCs w:val="24"/>
        </w:rPr>
        <w:t>24.1依据法律法规和招标文件的约定，开标结束后，由采购人对投标文件中的资格证明文件进行审查。资格审查的结论</w:t>
      </w:r>
      <w:r>
        <w:rPr>
          <w:rStyle w:val="44"/>
          <w:rFonts w:hint="eastAsia" w:ascii="宋体" w:hAnsi="宋体"/>
          <w:bCs/>
          <w:color w:val="000000" w:themeColor="text1"/>
          <w:sz w:val="24"/>
          <w:szCs w:val="24"/>
        </w:rPr>
        <w:t>，采购人以书面形式向评委会进行反馈。未通过资格审查的投标人，由采购人告知未通过资格审查的原因。</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4"/>
          <w:rFonts w:ascii="宋体" w:hAnsi="宋体"/>
          <w:b/>
          <w:bCs/>
          <w:color w:val="000000" w:themeColor="text1"/>
          <w:sz w:val="24"/>
          <w:szCs w:val="24"/>
        </w:rPr>
      </w:pPr>
      <w:r>
        <w:rPr>
          <w:rStyle w:val="44"/>
          <w:rFonts w:hint="eastAsia" w:ascii="宋体" w:hAnsi="宋体"/>
          <w:b/>
          <w:bCs/>
          <w:color w:val="000000" w:themeColor="text1"/>
          <w:sz w:val="24"/>
          <w:szCs w:val="24"/>
        </w:rPr>
        <w:t>合格投标人不足3家的，不得评标。</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25、评标委员会</w:t>
      </w:r>
    </w:p>
    <w:p>
      <w:pPr>
        <w:snapToGrid w:val="0"/>
        <w:spacing w:line="360" w:lineRule="auto"/>
        <w:ind w:firstLine="480" w:firstLineChars="200"/>
        <w:rPr>
          <w:rStyle w:val="44"/>
          <w:rFonts w:ascii="宋体" w:hAnsi="宋体"/>
          <w:b/>
          <w:color w:val="000000" w:themeColor="text1"/>
          <w:sz w:val="24"/>
          <w:szCs w:val="24"/>
        </w:rPr>
      </w:pPr>
      <w:r>
        <w:rPr>
          <w:rStyle w:val="44"/>
          <w:rFonts w:hint="eastAsia" w:ascii="宋体" w:hAnsi="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25.3评委会独立工作，负责评审所有投标文件并确定中标候选人。</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26、评标过程的保密与公正</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26.1</w:t>
      </w:r>
      <w:r>
        <w:rPr>
          <w:rStyle w:val="44"/>
          <w:rFonts w:hint="eastAsia" w:ascii="宋体" w:hAnsi="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26.5 采用综合评分法的项目，未中标的投标人如需了解自己的评审得分及排序情况，可向采购人提出申请。</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27、投标的澄清</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28、对投标文件的评审</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28.1</w:t>
      </w:r>
      <w:r>
        <w:rPr>
          <w:rStyle w:val="44"/>
          <w:rFonts w:hint="eastAsia" w:ascii="宋体" w:hAnsi="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28.3</w:t>
      </w:r>
      <w:r>
        <w:rPr>
          <w:rStyle w:val="44"/>
          <w:rFonts w:hint="eastAsia" w:ascii="宋体" w:hAnsi="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28.4</w:t>
      </w:r>
      <w:r>
        <w:rPr>
          <w:rStyle w:val="44"/>
          <w:rFonts w:hint="eastAsia" w:ascii="宋体" w:hAnsi="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（2）大写金额和小写金额不一致的，以大写金额为准。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同时出现两种以上错误的，按照前款规定的顺序修正。</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28.5</w:t>
      </w:r>
      <w:r>
        <w:rPr>
          <w:rStyle w:val="44"/>
          <w:rFonts w:hint="eastAsia" w:ascii="宋体" w:hAnsi="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color w:val="000000" w:themeColor="text1"/>
          <w:sz w:val="24"/>
          <w:szCs w:val="24"/>
        </w:rPr>
        <w:t>28.6</w:t>
      </w:r>
      <w:r>
        <w:rPr>
          <w:rStyle w:val="44"/>
          <w:rFonts w:hint="eastAsia" w:ascii="宋体" w:hAnsi="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28.7</w:t>
      </w:r>
      <w:r>
        <w:rPr>
          <w:rStyle w:val="44"/>
          <w:rFonts w:hint="eastAsia" w:ascii="宋体" w:hAnsi="宋体"/>
          <w:b/>
          <w:color w:val="000000" w:themeColor="text1"/>
          <w:sz w:val="24"/>
          <w:szCs w:val="24"/>
        </w:rPr>
        <w:t>使用综合评分法的采购项目，</w:t>
      </w:r>
      <w:r>
        <w:rPr>
          <w:rStyle w:val="44"/>
          <w:rFonts w:hint="eastAsia" w:ascii="宋体" w:hAnsi="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38"/>
        <w:snapToGrid w:val="0"/>
        <w:spacing w:before="0" w:after="0" w:line="360" w:lineRule="auto"/>
        <w:ind w:firstLine="480" w:firstLineChars="200"/>
        <w:rPr>
          <w:rStyle w:val="44"/>
          <w:rFonts w:ascii="宋体" w:hAnsi="宋体"/>
          <w:b w:val="0"/>
          <w:bCs/>
          <w:color w:val="000000" w:themeColor="text1"/>
          <w:sz w:val="24"/>
          <w:szCs w:val="24"/>
        </w:rPr>
      </w:pPr>
      <w:r>
        <w:rPr>
          <w:rStyle w:val="44"/>
          <w:rFonts w:hint="eastAsia" w:ascii="宋体" w:hAnsi="宋体"/>
          <w:b w:val="0"/>
          <w:bCs/>
          <w:color w:val="000000" w:themeColor="text1"/>
          <w:sz w:val="24"/>
          <w:szCs w:val="24"/>
        </w:rPr>
        <w:t>29、无效投标条款和废标条款</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29.1无效投标条款</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29.1.1未按要求交纳投标保证金的（本项目不需要）；</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29.1.2未按照招标文件规定要求密封、签署、盖章的；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29.1.3投标人在报价时采用选择性报价；</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29.1.4投标人不具备招标文件中规定资格要求的；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29.1.5投标人的报价超过了采购预算或最高限价的；</w:t>
      </w:r>
    </w:p>
    <w:p>
      <w:pPr>
        <w:snapToGrid w:val="0"/>
        <w:spacing w:line="360" w:lineRule="auto"/>
        <w:ind w:firstLine="480" w:firstLineChars="200"/>
        <w:rPr>
          <w:rStyle w:val="44"/>
          <w:rFonts w:ascii="宋体" w:hAnsi="宋体"/>
          <w:bCs/>
          <w:i/>
          <w:color w:val="000000" w:themeColor="text1"/>
          <w:sz w:val="24"/>
          <w:szCs w:val="24"/>
          <w:u w:val="single" w:color="000000"/>
        </w:rPr>
      </w:pPr>
      <w:r>
        <w:rPr>
          <w:rStyle w:val="44"/>
          <w:rFonts w:hint="eastAsia" w:ascii="宋体" w:hAnsi="宋体"/>
          <w:bCs/>
          <w:color w:val="000000" w:themeColor="text1"/>
          <w:sz w:val="24"/>
          <w:szCs w:val="24"/>
        </w:rPr>
        <w:t>29.1.6未通过符合性检查的；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29.1.7不符合招标文件中规定的其他实质性要求和条件的；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29.1.8 投标人串通投标；</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29.1.9  投标文件含有采购人不能接受的附加条件的。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29.1.11其他法律、法规及本招标文件规定的属无效投标的情形。</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 xml:space="preserve">29.2废标条款：                                                                                                                                                                                                                                                                                                                                                                                                                                                                                                                                                                                                                                                                                                                                                                                                                                                                                                                                                                                                                                                                                                                                                                                                                                                                                                                                                                                                                                                                         </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29.2.2出现影响采购公正的违法、违规行为的；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29.2.3因重大变故，采购任务取消的；</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29.3 投标截止时间结束后参加投标的供应商不足三家的处理：</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六、定标</w:t>
      </w:r>
    </w:p>
    <w:p>
      <w:pPr>
        <w:pStyle w:val="38"/>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30、确定中标单位</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30.2 采购人应根据评委会推荐的中标候选人确定中标供应商。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30.3采购人</w:t>
      </w:r>
      <w:r>
        <w:rPr>
          <w:rStyle w:val="44"/>
          <w:rFonts w:hint="eastAsia" w:ascii="宋体" w:hAnsi="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w:t>
      </w:r>
      <w:r>
        <w:rPr>
          <w:rStyle w:val="44"/>
          <w:rFonts w:hint="eastAsia" w:ascii="宋体" w:hAnsi="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w:t>
      </w:r>
      <w:r>
        <w:rPr>
          <w:rStyle w:val="44"/>
          <w:rFonts w:hint="eastAsia" w:ascii="宋体" w:hAnsi="宋体"/>
          <w:color w:val="000000" w:themeColor="text1"/>
          <w:sz w:val="24"/>
          <w:szCs w:val="24"/>
        </w:rPr>
        <w:t>.4.1提供虚假材料谋取中标的；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w:t>
      </w:r>
      <w:r>
        <w:rPr>
          <w:rStyle w:val="44"/>
          <w:rFonts w:hint="eastAsia" w:ascii="宋体" w:hAnsi="宋体"/>
          <w:color w:val="000000" w:themeColor="text1"/>
          <w:sz w:val="24"/>
          <w:szCs w:val="24"/>
        </w:rPr>
        <w:t>.4.2向采购人或采购代理机构行贿或者提供其他不正当利益的；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30</w:t>
      </w:r>
      <w:r>
        <w:rPr>
          <w:rStyle w:val="44"/>
          <w:rFonts w:hint="eastAsia" w:ascii="宋体" w:hAnsi="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30.4.5与采购人或者其他供应商恶意串通的；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30.4.6采取不正当手段诋毁、排挤其他供应商的；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30.4.7不符合法律、法规的规定的。</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 xml:space="preserve">30.5. </w:t>
      </w:r>
      <w:r>
        <w:rPr>
          <w:rStyle w:val="44"/>
          <w:rFonts w:hint="eastAsia" w:ascii="宋体" w:hAnsi="宋体"/>
          <w:color w:val="000000" w:themeColor="text1"/>
          <w:kern w:val="0"/>
          <w:sz w:val="24"/>
          <w:szCs w:val="24"/>
        </w:rPr>
        <w:t>有下列情形之一的，视为投标人串通投标，投标无效：</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30.5.1不同投标人的投标文件由同一单位或者个人编制。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30.5.2不同投标人委托同一单位或者个人办理投标事宜。</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30.5.4不同投标人的投标文件异常一致或者投标报价呈规律性差异。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31、质疑处理</w:t>
      </w:r>
      <w:r>
        <w:rPr>
          <w:rStyle w:val="44"/>
          <w:rFonts w:hint="eastAsia" w:ascii="宋体" w:hAnsi="宋体"/>
          <w:b w:val="0"/>
          <w:color w:val="000000" w:themeColor="text1"/>
          <w:sz w:val="24"/>
          <w:szCs w:val="24"/>
        </w:rPr>
        <w:tab/>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31.1.1</w:t>
      </w:r>
      <w:r>
        <w:rPr>
          <w:rStyle w:val="44"/>
          <w:rFonts w:hint="eastAsia" w:ascii="宋体" w:hAnsi="宋体"/>
          <w:color w:val="000000" w:themeColor="text1"/>
          <w:kern w:val="0"/>
          <w:sz w:val="24"/>
          <w:szCs w:val="24"/>
        </w:rPr>
        <w:t>对可以质疑的招标文件提出质疑的，为收到招标文件之日或者招标文件公告期限届满之日；</w:t>
      </w:r>
      <w:r>
        <w:rPr>
          <w:rStyle w:val="44"/>
          <w:rFonts w:hint="eastAsia" w:ascii="宋体" w:hAnsi="宋体"/>
          <w:color w:val="000000" w:themeColor="text1"/>
          <w:kern w:val="0"/>
          <w:sz w:val="24"/>
          <w:szCs w:val="24"/>
        </w:rPr>
        <w:br w:type="textWrapping"/>
      </w:r>
      <w:r>
        <w:rPr>
          <w:rStyle w:val="44"/>
          <w:rFonts w:hint="eastAsia" w:ascii="宋体" w:hAnsi="宋体"/>
          <w:color w:val="000000" w:themeColor="text1"/>
          <w:kern w:val="0"/>
          <w:sz w:val="24"/>
          <w:szCs w:val="24"/>
        </w:rPr>
        <w:t>　　</w:t>
      </w:r>
      <w:r>
        <w:rPr>
          <w:rStyle w:val="44"/>
          <w:rFonts w:hint="eastAsia" w:ascii="宋体" w:hAnsi="宋体"/>
          <w:color w:val="000000" w:themeColor="text1"/>
          <w:sz w:val="24"/>
          <w:szCs w:val="24"/>
        </w:rPr>
        <w:t>31.1.2</w:t>
      </w:r>
      <w:r>
        <w:rPr>
          <w:rStyle w:val="44"/>
          <w:rFonts w:hint="eastAsia" w:ascii="宋体" w:hAnsi="宋体"/>
          <w:color w:val="000000" w:themeColor="text1"/>
          <w:kern w:val="0"/>
          <w:sz w:val="24"/>
          <w:szCs w:val="24"/>
        </w:rPr>
        <w:t>对采购过程提出质疑的，为各采购程序环节结束之日；</w:t>
      </w:r>
      <w:r>
        <w:rPr>
          <w:rStyle w:val="44"/>
          <w:rFonts w:hint="eastAsia" w:ascii="宋体" w:hAnsi="宋体"/>
          <w:color w:val="000000" w:themeColor="text1"/>
          <w:kern w:val="0"/>
          <w:sz w:val="24"/>
          <w:szCs w:val="24"/>
        </w:rPr>
        <w:br w:type="textWrapping"/>
      </w:r>
      <w:r>
        <w:rPr>
          <w:rStyle w:val="44"/>
          <w:rFonts w:hint="eastAsia" w:ascii="宋体" w:hAnsi="宋体"/>
          <w:color w:val="000000" w:themeColor="text1"/>
          <w:kern w:val="0"/>
          <w:sz w:val="24"/>
          <w:szCs w:val="24"/>
        </w:rPr>
        <w:t>　　</w:t>
      </w:r>
      <w:r>
        <w:rPr>
          <w:rStyle w:val="44"/>
          <w:rFonts w:hint="eastAsia" w:ascii="宋体" w:hAnsi="宋体"/>
          <w:color w:val="000000" w:themeColor="text1"/>
          <w:sz w:val="24"/>
          <w:szCs w:val="24"/>
        </w:rPr>
        <w:t>31.1.3</w:t>
      </w:r>
      <w:r>
        <w:rPr>
          <w:rStyle w:val="44"/>
          <w:rFonts w:hint="eastAsia" w:ascii="宋体" w:hAnsi="宋体"/>
          <w:color w:val="000000" w:themeColor="text1"/>
          <w:kern w:val="0"/>
          <w:sz w:val="24"/>
          <w:szCs w:val="24"/>
        </w:rPr>
        <w:t>对中标结果提出质疑的，为中标结果公告期限届满之日。</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31.4质疑函应当包括下列内容：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31.4.1质疑投标人的名称、地址、邮编、联系人、联系电话；</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31.4.2具体的质疑事项及明确的请求；</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31.4.3认为自己合法权益受到损害或可能受到损害的相关证据材料；</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31.4.4提起质疑的日期；</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32、中标通知书</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32.l中标结果确定后，采购人将向中标供应商发出中标通知书。</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color w:val="000000" w:themeColor="text1"/>
          <w:sz w:val="24"/>
          <w:szCs w:val="24"/>
        </w:rPr>
      </w:pPr>
      <w:r>
        <w:rPr>
          <w:rStyle w:val="44"/>
          <w:rFonts w:hint="eastAsia" w:ascii="宋体" w:hAnsi="宋体" w:cs="宋体"/>
          <w:color w:val="000000" w:themeColor="text1"/>
          <w:sz w:val="24"/>
          <w:szCs w:val="24"/>
        </w:rPr>
        <w:t>七、合同签订相关事项</w:t>
      </w:r>
    </w:p>
    <w:p>
      <w:pPr>
        <w:pStyle w:val="38"/>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33. 签订合同</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bCs/>
          <w:color w:val="000000" w:themeColor="text1"/>
          <w:sz w:val="24"/>
          <w:szCs w:val="24"/>
        </w:rPr>
        <w:t>33</w:t>
      </w:r>
      <w:r>
        <w:rPr>
          <w:rStyle w:val="44"/>
          <w:rFonts w:hint="eastAsia" w:ascii="宋体" w:hAnsi="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b w:val="0"/>
          <w:color w:val="000000" w:themeColor="text1"/>
          <w:sz w:val="24"/>
          <w:szCs w:val="24"/>
        </w:rPr>
      </w:pPr>
      <w:r>
        <w:rPr>
          <w:rStyle w:val="44"/>
          <w:rFonts w:hint="eastAsia" w:ascii="宋体" w:hAnsi="宋体"/>
          <w:b w:val="0"/>
          <w:color w:val="000000" w:themeColor="text1"/>
          <w:sz w:val="24"/>
          <w:szCs w:val="24"/>
        </w:rPr>
        <w:t>34、货物和服务的追加、减少和添购。</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b/>
          <w:color w:val="000000" w:themeColor="text1"/>
          <w:sz w:val="24"/>
          <w:szCs w:val="24"/>
        </w:rPr>
      </w:pPr>
      <w:r>
        <w:rPr>
          <w:rStyle w:val="44"/>
          <w:rFonts w:hint="eastAsia" w:ascii="宋体" w:hAnsi="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bCs/>
          <w:color w:val="000000" w:themeColor="text1"/>
          <w:sz w:val="24"/>
          <w:szCs w:val="24"/>
        </w:rPr>
      </w:pPr>
      <w:r>
        <w:rPr>
          <w:rStyle w:val="44"/>
          <w:rFonts w:hint="eastAsia" w:ascii="宋体" w:hAnsi="宋体"/>
          <w:bCs/>
          <w:color w:val="000000" w:themeColor="text1"/>
          <w:sz w:val="24"/>
          <w:szCs w:val="24"/>
        </w:rPr>
        <w:t>35、履约保证金</w:t>
      </w:r>
    </w:p>
    <w:p>
      <w:pPr>
        <w:tabs>
          <w:tab w:val="left" w:pos="900"/>
        </w:tabs>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4"/>
          <w:rFonts w:ascii="宋体" w:hAnsi="宋体"/>
          <w:color w:val="000000" w:themeColor="text1"/>
          <w:sz w:val="24"/>
          <w:szCs w:val="24"/>
        </w:rPr>
      </w:pPr>
      <w:r>
        <w:rPr>
          <w:rStyle w:val="44"/>
          <w:rFonts w:hint="eastAsia" w:ascii="宋体" w:hAnsi="宋体"/>
          <w:b/>
          <w:color w:val="000000" w:themeColor="text1"/>
          <w:sz w:val="24"/>
          <w:szCs w:val="24"/>
        </w:rPr>
        <w:t>36、政府采购履约资金扶持政策</w:t>
      </w:r>
    </w:p>
    <w:p>
      <w:pPr>
        <w:snapToGrid w:val="0"/>
        <w:spacing w:line="360" w:lineRule="auto"/>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rPr>
          <w:rStyle w:val="44"/>
          <w:rFonts w:ascii="宋体" w:hAnsi="宋体"/>
          <w:b/>
          <w:color w:val="000000" w:themeColor="text1"/>
          <w:sz w:val="44"/>
        </w:rPr>
      </w:pPr>
    </w:p>
    <w:p>
      <w:pPr>
        <w:pStyle w:val="34"/>
        <w:jc w:val="both"/>
        <w:outlineLvl w:val="0"/>
        <w:rPr>
          <w:rStyle w:val="44"/>
          <w:rFonts w:ascii="宋体" w:hAnsi="宋体" w:eastAsia="宋体"/>
          <w:b/>
          <w:color w:val="000000" w:themeColor="text1"/>
          <w:sz w:val="44"/>
        </w:rPr>
      </w:pPr>
      <w:bookmarkStart w:id="12" w:name="_Toc4415"/>
      <w:bookmarkStart w:id="13" w:name="_Toc22434"/>
    </w:p>
    <w:p>
      <w:pPr>
        <w:pStyle w:val="34"/>
        <w:ind w:firstLine="1767" w:firstLineChars="400"/>
        <w:jc w:val="both"/>
        <w:outlineLvl w:val="0"/>
        <w:rPr>
          <w:rStyle w:val="44"/>
          <w:rFonts w:ascii="宋体" w:hAnsi="宋体" w:eastAsia="宋体"/>
          <w:b/>
          <w:color w:val="000000" w:themeColor="text1"/>
          <w:sz w:val="44"/>
        </w:rPr>
      </w:pPr>
    </w:p>
    <w:p>
      <w:pPr>
        <w:rPr>
          <w:rStyle w:val="44"/>
          <w:rFonts w:ascii="宋体" w:hAnsi="宋体"/>
          <w:b/>
          <w:color w:val="000000" w:themeColor="text1"/>
          <w:sz w:val="44"/>
        </w:rPr>
      </w:pPr>
    </w:p>
    <w:p>
      <w:pPr>
        <w:rPr>
          <w:rStyle w:val="44"/>
          <w:rFonts w:ascii="宋体" w:hAnsi="宋体"/>
          <w:b/>
          <w:color w:val="000000" w:themeColor="text1"/>
          <w:sz w:val="44"/>
        </w:rPr>
      </w:pPr>
    </w:p>
    <w:p>
      <w:pPr>
        <w:pStyle w:val="29"/>
        <w:rPr>
          <w:rStyle w:val="44"/>
          <w:rFonts w:ascii="宋体" w:hAnsi="宋体"/>
          <w:b/>
          <w:color w:val="000000" w:themeColor="text1"/>
          <w:sz w:val="44"/>
        </w:rPr>
      </w:pPr>
    </w:p>
    <w:p>
      <w:pPr>
        <w:rPr>
          <w:rStyle w:val="44"/>
          <w:rFonts w:ascii="宋体" w:hAnsi="宋体"/>
          <w:b/>
          <w:color w:val="000000" w:themeColor="text1"/>
          <w:sz w:val="44"/>
        </w:rPr>
      </w:pPr>
    </w:p>
    <w:p>
      <w:pPr>
        <w:pStyle w:val="29"/>
        <w:rPr>
          <w:rStyle w:val="44"/>
          <w:rFonts w:ascii="宋体" w:hAnsi="宋体"/>
          <w:b/>
          <w:color w:val="000000" w:themeColor="text1"/>
          <w:sz w:val="44"/>
        </w:rPr>
      </w:pPr>
    </w:p>
    <w:p>
      <w:pPr>
        <w:rPr>
          <w:rStyle w:val="44"/>
          <w:rFonts w:ascii="宋体" w:hAnsi="宋体"/>
          <w:b/>
          <w:color w:val="000000" w:themeColor="text1"/>
          <w:sz w:val="44"/>
        </w:rPr>
      </w:pPr>
    </w:p>
    <w:p>
      <w:pPr>
        <w:pStyle w:val="29"/>
        <w:rPr>
          <w:rStyle w:val="44"/>
          <w:rFonts w:ascii="宋体" w:hAnsi="宋体"/>
          <w:b/>
          <w:color w:val="000000" w:themeColor="text1"/>
          <w:sz w:val="44"/>
        </w:rPr>
      </w:pPr>
    </w:p>
    <w:p>
      <w:pPr>
        <w:rPr>
          <w:rStyle w:val="44"/>
          <w:rFonts w:ascii="宋体" w:hAnsi="宋体"/>
          <w:b/>
          <w:color w:val="000000" w:themeColor="text1"/>
          <w:sz w:val="44"/>
        </w:rPr>
      </w:pPr>
    </w:p>
    <w:p>
      <w:pPr>
        <w:pStyle w:val="29"/>
        <w:rPr>
          <w:rStyle w:val="44"/>
          <w:rFonts w:ascii="宋体" w:hAnsi="宋体"/>
          <w:b/>
          <w:color w:val="000000" w:themeColor="text1"/>
          <w:sz w:val="44"/>
        </w:rPr>
      </w:pPr>
    </w:p>
    <w:p>
      <w:pPr>
        <w:rPr>
          <w:rStyle w:val="44"/>
          <w:rFonts w:ascii="宋体" w:hAnsi="宋体"/>
          <w:b/>
          <w:color w:val="000000" w:themeColor="text1"/>
          <w:sz w:val="44"/>
        </w:rPr>
      </w:pPr>
    </w:p>
    <w:p>
      <w:pPr>
        <w:pStyle w:val="29"/>
        <w:rPr>
          <w:color w:val="000000" w:themeColor="text1"/>
        </w:rPr>
      </w:pPr>
    </w:p>
    <w:p>
      <w:pPr>
        <w:rPr>
          <w:rStyle w:val="44"/>
          <w:rFonts w:ascii="宋体" w:hAnsi="宋体"/>
          <w:b/>
          <w:color w:val="000000" w:themeColor="text1"/>
          <w:sz w:val="44"/>
        </w:rPr>
      </w:pPr>
    </w:p>
    <w:p>
      <w:pPr>
        <w:ind w:firstLine="1767" w:firstLineChars="400"/>
        <w:rPr>
          <w:rStyle w:val="44"/>
          <w:rFonts w:ascii="宋体" w:hAnsi="宋体"/>
          <w:b/>
          <w:color w:val="000000" w:themeColor="text1"/>
          <w:sz w:val="44"/>
        </w:rPr>
      </w:pPr>
    </w:p>
    <w:p>
      <w:pPr>
        <w:ind w:firstLine="1767" w:firstLineChars="400"/>
        <w:rPr>
          <w:rStyle w:val="44"/>
          <w:rFonts w:ascii="宋体" w:hAnsi="宋体"/>
          <w:b/>
          <w:color w:val="000000" w:themeColor="text1"/>
          <w:sz w:val="44"/>
        </w:rPr>
      </w:pPr>
    </w:p>
    <w:p>
      <w:pPr>
        <w:ind w:firstLine="1767" w:firstLineChars="400"/>
        <w:rPr>
          <w:rStyle w:val="44"/>
          <w:rFonts w:ascii="宋体" w:hAnsi="宋体"/>
          <w:b/>
          <w:color w:val="000000" w:themeColor="text1"/>
          <w:sz w:val="44"/>
        </w:rPr>
      </w:pPr>
    </w:p>
    <w:p>
      <w:pPr>
        <w:ind w:firstLine="1767" w:firstLineChars="400"/>
        <w:rPr>
          <w:rStyle w:val="44"/>
          <w:rFonts w:ascii="宋体" w:hAnsi="宋体"/>
          <w:b/>
          <w:color w:val="000000" w:themeColor="text1"/>
          <w:sz w:val="44"/>
        </w:rPr>
      </w:pPr>
      <w:r>
        <w:rPr>
          <w:rStyle w:val="44"/>
          <w:rFonts w:hint="eastAsia" w:ascii="宋体" w:hAnsi="宋体"/>
          <w:b/>
          <w:color w:val="000000" w:themeColor="text1"/>
          <w:sz w:val="44"/>
        </w:rPr>
        <w:t>第三章  合同条款及格式</w:t>
      </w:r>
      <w:bookmarkEnd w:id="12"/>
      <w:bookmarkEnd w:id="13"/>
    </w:p>
    <w:p>
      <w:pPr>
        <w:spacing w:line="440" w:lineRule="exact"/>
        <w:ind w:firstLine="480" w:firstLineChars="200"/>
        <w:rPr>
          <w:rStyle w:val="44"/>
          <w:rFonts w:ascii="宋体" w:hAnsi="宋体"/>
          <w:bCs/>
          <w:color w:val="000000" w:themeColor="text1"/>
          <w:sz w:val="24"/>
        </w:rPr>
      </w:pPr>
      <w:r>
        <w:rPr>
          <w:rStyle w:val="44"/>
          <w:rFonts w:hint="eastAsia" w:ascii="宋体" w:hAnsi="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4"/>
          <w:rFonts w:ascii="宋体" w:hAnsi="宋体"/>
          <w:b/>
          <w:color w:val="000000" w:themeColor="text1"/>
          <w:sz w:val="30"/>
          <w:szCs w:val="20"/>
        </w:rPr>
      </w:pPr>
      <w:r>
        <w:rPr>
          <w:rStyle w:val="44"/>
          <w:rFonts w:hint="eastAsia" w:ascii="宋体" w:hAnsi="宋体"/>
          <w:b/>
          <w:color w:val="000000" w:themeColor="text1"/>
          <w:sz w:val="30"/>
        </w:rPr>
        <w:t>采购合同（格式）</w:t>
      </w:r>
    </w:p>
    <w:p>
      <w:pPr>
        <w:pStyle w:val="19"/>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项目名称：</w:t>
      </w:r>
      <w:r>
        <w:rPr>
          <w:rFonts w:hint="eastAsia"/>
          <w:color w:val="000000" w:themeColor="text1"/>
          <w:kern w:val="2"/>
          <w:u w:val="single"/>
        </w:rPr>
        <w:t>盐城工业职业技术学院2022年度新生入学体检服务</w:t>
      </w:r>
    </w:p>
    <w:p>
      <w:pPr>
        <w:pStyle w:val="19"/>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19"/>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60" w:lineRule="exact"/>
        <w:ind w:firstLine="480" w:firstLineChars="200"/>
        <w:rPr>
          <w:rFonts w:ascii="宋体" w:hAnsi="宋体"/>
          <w:b/>
          <w:color w:val="000000" w:themeColor="text1"/>
          <w:sz w:val="24"/>
          <w:szCs w:val="24"/>
        </w:rPr>
      </w:pPr>
      <w:r>
        <w:rPr>
          <w:rFonts w:hint="eastAsia" w:ascii="宋体" w:hAnsi="宋体"/>
          <w:color w:val="000000" w:themeColor="text1"/>
          <w:sz w:val="24"/>
          <w:szCs w:val="24"/>
        </w:rPr>
        <w:t>甲、乙双方根据</w:t>
      </w:r>
      <w:r>
        <w:rPr>
          <w:rFonts w:hint="eastAsia" w:ascii="宋体" w:hAnsi="宋体"/>
          <w:color w:val="000000" w:themeColor="text1"/>
          <w:sz w:val="24"/>
          <w:szCs w:val="24"/>
          <w:u w:val="single"/>
        </w:rPr>
        <w:t>盐城工业职业技术学院</w:t>
      </w:r>
      <w:r>
        <w:rPr>
          <w:rStyle w:val="44"/>
          <w:rFonts w:hint="eastAsia" w:ascii="宋体" w:hAnsi="宋体"/>
          <w:bCs/>
          <w:color w:val="000000" w:themeColor="text1"/>
          <w:sz w:val="24"/>
          <w:szCs w:val="24"/>
          <w:u w:val="single"/>
        </w:rPr>
        <w:t>2022年度新生入学体检服务</w:t>
      </w:r>
      <w:r>
        <w:rPr>
          <w:rFonts w:hint="eastAsia" w:ascii="宋体" w:hAnsi="宋体"/>
          <w:color w:val="000000" w:themeColor="text1"/>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1.1 项目名称：</w:t>
      </w:r>
      <w:r>
        <w:rPr>
          <w:rFonts w:hint="eastAsia"/>
          <w:color w:val="000000" w:themeColor="text1"/>
          <w:kern w:val="2"/>
          <w:u w:val="single"/>
        </w:rPr>
        <w:t>盐城工业职业技术学院</w:t>
      </w:r>
      <w:r>
        <w:rPr>
          <w:rStyle w:val="44"/>
          <w:rFonts w:hint="eastAsia"/>
          <w:bCs/>
          <w:color w:val="000000" w:themeColor="text1"/>
          <w:szCs w:val="24"/>
          <w:u w:val="single"/>
        </w:rPr>
        <w:t>2022年度新生入学体检服务</w:t>
      </w:r>
      <w:r>
        <w:rPr>
          <w:rFonts w:hint="eastAsia"/>
          <w:color w:val="000000" w:themeColor="text1"/>
          <w:kern w:val="2"/>
          <w:u w:val="single"/>
        </w:rPr>
        <w:t>。</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详按项目需求</w:t>
      </w:r>
      <w:r>
        <w:rPr>
          <w:rFonts w:hint="eastAsia"/>
          <w:color w:val="000000" w:themeColor="text1"/>
          <w:kern w:val="2"/>
        </w:rPr>
        <w:t>。</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体检人数约：</w:t>
      </w:r>
      <w:r>
        <w:rPr>
          <w:rFonts w:hint="eastAsia"/>
          <w:color w:val="000000" w:themeColor="text1"/>
          <w:kern w:val="2"/>
          <w:u w:val="single"/>
        </w:rPr>
        <w:t>3500人</w:t>
      </w:r>
      <w:r>
        <w:rPr>
          <w:rFonts w:hint="eastAsia"/>
          <w:color w:val="000000" w:themeColor="text1"/>
          <w:kern w:val="2"/>
        </w:rPr>
        <w:t>。</w:t>
      </w:r>
    </w:p>
    <w:p>
      <w:pPr>
        <w:spacing w:line="440" w:lineRule="exact"/>
        <w:ind w:firstLine="480" w:firstLineChars="200"/>
        <w:rPr>
          <w:rStyle w:val="44"/>
          <w:rFonts w:ascii="宋体" w:hAnsi="宋体" w:cs="Times New Roman"/>
          <w:bCs/>
          <w:color w:val="000000" w:themeColor="text1"/>
          <w:sz w:val="24"/>
          <w:u w:val="single"/>
        </w:rPr>
      </w:pPr>
      <w:r>
        <w:rPr>
          <w:rStyle w:val="44"/>
          <w:rFonts w:hint="eastAsia" w:ascii="宋体" w:hAnsi="宋体" w:cs="Times New Roman"/>
          <w:bCs/>
          <w:color w:val="000000" w:themeColor="text1"/>
          <w:sz w:val="24"/>
        </w:rPr>
        <w:t>1.4体检时间：2022年</w:t>
      </w:r>
      <w:r>
        <w:rPr>
          <w:rStyle w:val="44"/>
          <w:rFonts w:hint="eastAsia" w:ascii="宋体" w:hAnsi="宋体" w:cs="Times New Roman"/>
          <w:bCs/>
          <w:color w:val="000000" w:themeColor="text1"/>
          <w:sz w:val="24"/>
          <w:u w:val="single"/>
        </w:rPr>
        <w:t>月 日</w:t>
      </w:r>
      <w:r>
        <w:rPr>
          <w:rStyle w:val="44"/>
          <w:rFonts w:hint="eastAsia" w:ascii="宋体" w:hAnsi="宋体" w:cs="Times New Roman"/>
          <w:bCs/>
          <w:color w:val="000000" w:themeColor="text1"/>
          <w:sz w:val="24"/>
        </w:rPr>
        <w:t xml:space="preserve">至 2022 </w:t>
      </w:r>
      <w:r>
        <w:rPr>
          <w:rStyle w:val="44"/>
          <w:rFonts w:hint="eastAsia" w:ascii="宋体" w:hAnsi="宋体" w:cs="Times New Roman"/>
          <w:bCs/>
          <w:color w:val="000000" w:themeColor="text1"/>
          <w:sz w:val="24"/>
          <w:u w:val="single"/>
        </w:rPr>
        <w:t xml:space="preserve"> 年 月 日</w:t>
      </w:r>
    </w:p>
    <w:p>
      <w:pPr>
        <w:spacing w:line="440" w:lineRule="exact"/>
        <w:ind w:firstLine="482" w:firstLineChars="200"/>
        <w:rPr>
          <w:rStyle w:val="44"/>
          <w:rFonts w:ascii="宋体" w:hAnsi="宋体" w:cs="Times New Roman"/>
          <w:b/>
          <w:color w:val="000000" w:themeColor="text1"/>
          <w:sz w:val="24"/>
        </w:rPr>
      </w:pPr>
      <w:r>
        <w:rPr>
          <w:rStyle w:val="44"/>
          <w:rFonts w:hint="eastAsia" w:ascii="宋体" w:hAnsi="宋体" w:cs="Times New Roman"/>
          <w:b/>
          <w:color w:val="000000" w:themeColor="text1"/>
          <w:sz w:val="24"/>
        </w:rPr>
        <w:t>二、合同金额</w:t>
      </w:r>
    </w:p>
    <w:p>
      <w:pPr>
        <w:widowControl w:val="0"/>
        <w:spacing w:line="360" w:lineRule="auto"/>
        <w:ind w:firstLine="480" w:firstLineChars="200"/>
        <w:textAlignment w:val="auto"/>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color w:val="000000" w:themeColor="text1"/>
          <w:sz w:val="24"/>
          <w:szCs w:val="24"/>
        </w:rPr>
        <w:t>2.1合同总额 元（￥   ），定价</w:t>
      </w:r>
      <w:r>
        <w:rPr>
          <w:rFonts w:hint="eastAsia" w:asciiTheme="minorEastAsia" w:hAnsiTheme="minorEastAsia" w:eastAsiaTheme="minorEastAsia" w:cstheme="minorEastAsia"/>
          <w:color w:val="000000" w:themeColor="text1"/>
          <w:sz w:val="24"/>
          <w:szCs w:val="24"/>
          <w:u w:val="single"/>
        </w:rPr>
        <w:t>86</w:t>
      </w:r>
      <w:r>
        <w:rPr>
          <w:rFonts w:hint="eastAsia" w:asciiTheme="minorEastAsia" w:hAnsiTheme="minorEastAsia" w:eastAsiaTheme="minorEastAsia" w:cstheme="minorEastAsia"/>
          <w:color w:val="000000" w:themeColor="text1"/>
          <w:sz w:val="24"/>
          <w:szCs w:val="24"/>
        </w:rPr>
        <w:t>元/人，免费为占体检总数的%比例的贫困学生体检。总价包括一次性消耗用品费、检验费、参与体检的工作人员工作餐费及劳务费、仪器设备、税费等一切费用。</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三、双方责任</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rPr>
        <w:t>（一） 甲方责任</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1．甲方负责将参加体检的人数、班级、姓名、性别、年龄等相关资料按时提供给乙方。</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2甲方协助乙方维持体检秩序。</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3．特殊情况下（如工作原因， 需提前或推后进行体检等），甲方个别人员可不按时间安排计划表自行到乙方体检中心进行体检， 但甲方必须提前 2 天通知乙方准备。</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4．甲方应按合同约定，及时向乙方支付体检费用。</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rPr>
        <w:t>（二） 乙方责任</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1．乙方必须依照招标文件‘项目需求’ 中列明的体检项目逐项认真完成，保证体检结果的准确性。甲方参检人员因个人原因放弃某项体检项目，需由本人签名方才有效，如无甲方参检人员签名而乙方未检，责任由乙方负责，发现 1 例视为甲方向乙方提出整改通知 1 次。</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2．在服务现场的乙方人员，必须服从甲方管理人员的指导。甲方有权在特殊情况下，要求乙方增加完成一些额外体检项目，乙方应予支持。额外体检项目的费用由双方协商确定。服务期内因甲方体检人员增加等原因而增加的费用累计不超过合同总价的 10％。</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3．所有体检项目所需一次性消耗品、检验费、参与体检工作人员劳务费、工作餐费、税费及检查仪器等一切费用由乙方负责。</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4．体检报告应由乙方副高或以上职称医生填写（内容包括检验结果及建议） ， 并由乙方加盖其体检中心的印章。集中体检完毕后的 15 个工作日内将该时间段内体检人员体检结果以纸质及电子文档（excel 文档或原始数据库）形式提交给甲方， 纸质体检结果按甲方要求整理。</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5.体检有异常者，应立时通知甲方负责人员，并及时安排给予复检，费用按照该项目投标单价收取。</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6由乙方派出的医护人员，其管理工作由乙方负责，如违反国家法律法规或出现医疗事故等均由乙方负责，甲方有权追究乙方相应的责任。</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7．乙方须设立服务质量投诉电话和服务质量征求意见表， 对服务质量进行跟踪调查。</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8.乙方对甲方协管员个人资料及体检结果负有保密责任。</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9.乙方免费将每个体检人员的体检资料进行独立密封包装，检人员的姓名、</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单位等资料。</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10. 体检工作中产生的医疗垃圾由乙方负责处理。</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11. 乙方未按服务项目要求完成或完成不彻底， 须按要求重新安排体检， 且甲方有权减扣合同付款金额直至终止合约，由此造成的一切后果由乙方承担。</w:t>
      </w:r>
    </w:p>
    <w:p>
      <w:pPr>
        <w:pStyle w:val="19"/>
        <w:widowControl w:val="0"/>
        <w:numPr>
          <w:ilvl w:val="0"/>
          <w:numId w:val="5"/>
        </w:numPr>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rPr>
        <w:t>体检服务须保证质量，若有证据表明或者经权威鉴定，乙方的体检结果出现重大错误的情况，甲方有权追究乙方相应责任及要求相应赔偿。</w:t>
      </w:r>
    </w:p>
    <w:p>
      <w:pPr>
        <w:pStyle w:val="19"/>
        <w:widowControl w:val="0"/>
        <w:snapToGrid w:val="0"/>
        <w:spacing w:before="0" w:beforeAutospacing="0" w:after="0" w:afterAutospacing="0" w:line="460" w:lineRule="exact"/>
        <w:ind w:firstLine="482" w:firstLineChars="200"/>
        <w:jc w:val="both"/>
        <w:rPr>
          <w:b/>
          <w:color w:val="000000" w:themeColor="text1"/>
          <w:kern w:val="2"/>
        </w:rPr>
      </w:pPr>
      <w:r>
        <w:rPr>
          <w:rFonts w:hint="eastAsia"/>
          <w:b/>
          <w:color w:val="000000" w:themeColor="text1"/>
          <w:kern w:val="2"/>
        </w:rPr>
        <w:t>四、体检服务费及支付方式</w:t>
      </w:r>
    </w:p>
    <w:p>
      <w:pPr>
        <w:pStyle w:val="19"/>
        <w:widowControl w:val="0"/>
        <w:snapToGrid w:val="0"/>
        <w:spacing w:before="0" w:beforeAutospacing="0" w:after="0" w:afterAutospacing="0" w:line="460" w:lineRule="exact"/>
        <w:ind w:firstLine="480" w:firstLineChars="200"/>
        <w:jc w:val="both"/>
        <w:rPr>
          <w:color w:val="000000" w:themeColor="text1"/>
          <w:szCs w:val="24"/>
        </w:rPr>
      </w:pPr>
      <w:r>
        <w:rPr>
          <w:rFonts w:hint="eastAsia"/>
          <w:color w:val="000000" w:themeColor="text1"/>
          <w:szCs w:val="24"/>
        </w:rPr>
        <w:t>4.1 体检结束无差错并交付全部体检报告完毕之日起90个工作日内，按实际体检人数和每人体检费的标准，按照体检服务费总价一次性办理财政集中支付手续。</w:t>
      </w:r>
    </w:p>
    <w:p>
      <w:pPr>
        <w:pStyle w:val="19"/>
        <w:widowControl w:val="0"/>
        <w:snapToGrid w:val="0"/>
        <w:spacing w:before="0" w:beforeAutospacing="0" w:after="0" w:afterAutospacing="0" w:line="460" w:lineRule="exact"/>
        <w:ind w:firstLine="480" w:firstLineChars="200"/>
        <w:jc w:val="both"/>
        <w:rPr>
          <w:color w:val="000000" w:themeColor="text1"/>
          <w:szCs w:val="24"/>
        </w:rPr>
      </w:pPr>
      <w:r>
        <w:rPr>
          <w:rFonts w:hint="eastAsia"/>
          <w:color w:val="000000" w:themeColor="text1"/>
          <w:szCs w:val="24"/>
        </w:rPr>
        <w:t>4.2中标供应商须在办理付款手续之前7个工作日内，提供正式发票，以便采购人及时办理财政集中支付手续。</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五、履约保证金</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5.1乙方交纳人民币元作为本合同的履约保证金</w:t>
      </w:r>
      <w:r>
        <w:rPr>
          <w:rFonts w:hint="eastAsia"/>
          <w:color w:val="000000" w:themeColor="text1"/>
          <w:kern w:val="2"/>
          <w:u w:val="single"/>
        </w:rPr>
        <w:t xml:space="preserve">        元</w:t>
      </w:r>
      <w:r>
        <w:rPr>
          <w:rFonts w:hint="eastAsia"/>
          <w:color w:val="000000" w:themeColor="text1"/>
          <w:kern w:val="2"/>
        </w:rPr>
        <w:t>（合同金额的5%取整汇到采购人指定账户，验收合格后无息退还中标人）。</w:t>
      </w:r>
    </w:p>
    <w:p>
      <w:pPr>
        <w:snapToGrid w:val="0"/>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六、转包或分包</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6.1本合同范围的货物</w:t>
      </w:r>
      <w:r>
        <w:rPr>
          <w:rFonts w:hint="eastAsia" w:ascii="宋体" w:hAnsi="宋体"/>
          <w:bCs/>
          <w:color w:val="000000" w:themeColor="text1"/>
          <w:sz w:val="24"/>
        </w:rPr>
        <w:t>和服务</w:t>
      </w:r>
      <w:r>
        <w:rPr>
          <w:rFonts w:hint="eastAsia" w:ascii="宋体" w:hAnsi="宋体"/>
          <w:color w:val="000000" w:themeColor="text1"/>
          <w:sz w:val="24"/>
          <w:szCs w:val="24"/>
        </w:rPr>
        <w:t>，应由乙方直接供应，不得转让他人供应；</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6.2 除非得到甲方的书面同意，乙方不得部分分包给他人供应。</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6.3如有转让和未经甲方同意的分包行为，甲方有权给予终止合同。</w:t>
      </w:r>
    </w:p>
    <w:p>
      <w:pPr>
        <w:pStyle w:val="19"/>
        <w:widowControl w:val="0"/>
        <w:numPr>
          <w:ilvl w:val="0"/>
          <w:numId w:val="4"/>
        </w:numPr>
        <w:snapToGrid w:val="0"/>
        <w:spacing w:before="0" w:beforeAutospacing="0" w:after="0" w:afterAutospacing="0" w:line="460" w:lineRule="exact"/>
        <w:ind w:firstLine="482" w:firstLineChars="200"/>
        <w:jc w:val="both"/>
        <w:rPr>
          <w:b/>
          <w:color w:val="000000" w:themeColor="text1"/>
          <w:kern w:val="2"/>
        </w:rPr>
      </w:pPr>
      <w:r>
        <w:rPr>
          <w:rFonts w:hint="eastAsia"/>
          <w:b/>
          <w:color w:val="000000" w:themeColor="text1"/>
          <w:kern w:val="2"/>
        </w:rPr>
        <w:t>质量与验收</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7.1乙方必须按国家规定的标准提供体检服务。甲方除指定行业主管部门对乙方提供的服务质量进行检查、鉴定外，还将通过定期或不定期的方式对乙方提供的服务进行全面质量检查，对于未按规定标准提供服务，甲方有权从乙方体检费用中扣除等额的补偿费（扣除后仍不足以补偿部分由乙方以现金或支票补足），并限期整改。甲乙双方如遇对服务要求的约定标准有相互抵触或异议的事项，由甲方在招标与投标文件中服务要求比较优胜的原则确定该项的约定标准。</w:t>
      </w:r>
    </w:p>
    <w:p>
      <w:pPr>
        <w:pStyle w:val="19"/>
        <w:widowControl w:val="0"/>
        <w:snapToGrid w:val="0"/>
        <w:spacing w:before="0" w:beforeAutospacing="0" w:after="0" w:afterAutospacing="0" w:line="460" w:lineRule="exact"/>
        <w:ind w:left="420" w:leftChars="200"/>
        <w:jc w:val="both"/>
        <w:rPr>
          <w:b/>
          <w:color w:val="000000" w:themeColor="text1"/>
        </w:rPr>
      </w:pPr>
      <w:r>
        <w:rPr>
          <w:rFonts w:hint="eastAsia"/>
          <w:b/>
          <w:color w:val="000000" w:themeColor="text1"/>
          <w:kern w:val="2"/>
        </w:rPr>
        <w:t>八、交货期、交货方式、交货地点及验收</w:t>
      </w:r>
    </w:p>
    <w:p>
      <w:pPr>
        <w:pStyle w:val="19"/>
        <w:widowControl w:val="0"/>
        <w:snapToGrid w:val="0"/>
        <w:spacing w:before="0" w:beforeAutospacing="0" w:after="0" w:afterAutospacing="0" w:line="460" w:lineRule="exact"/>
        <w:ind w:firstLine="480" w:firstLineChars="200"/>
        <w:jc w:val="both"/>
        <w:rPr>
          <w:bCs/>
          <w:color w:val="000000" w:themeColor="text1"/>
          <w:kern w:val="2"/>
        </w:rPr>
      </w:pPr>
      <w:r>
        <w:rPr>
          <w:rFonts w:hint="eastAsia"/>
          <w:bCs/>
          <w:color w:val="000000" w:themeColor="text1"/>
          <w:kern w:val="2"/>
        </w:rPr>
        <w:t>8.1 交货期：</w:t>
      </w:r>
      <w:r>
        <w:rPr>
          <w:rStyle w:val="44"/>
          <w:rFonts w:hint="eastAsia" w:cs="Times New Roman"/>
          <w:bCs/>
          <w:color w:val="000000" w:themeColor="text1"/>
        </w:rPr>
        <w:t>新生体检预计9月中上旬（具体时间由学校确定），所有新生检查项目要求在7日内完成</w:t>
      </w:r>
      <w:r>
        <w:rPr>
          <w:rFonts w:hint="eastAsia"/>
          <w:bCs/>
          <w:color w:val="000000" w:themeColor="text1"/>
          <w:kern w:val="2"/>
        </w:rPr>
        <w:t>。</w:t>
      </w:r>
      <w:r>
        <w:rPr>
          <w:bCs/>
          <w:color w:val="000000" w:themeColor="text1"/>
          <w:kern w:val="2"/>
        </w:rPr>
        <w:t>(如</w:t>
      </w:r>
      <w:r>
        <w:rPr>
          <w:rFonts w:hint="eastAsia"/>
          <w:bCs/>
          <w:color w:val="000000" w:themeColor="text1"/>
          <w:kern w:val="2"/>
        </w:rPr>
        <w:t>甲方需要延时交付，可另行约定时间</w:t>
      </w:r>
      <w:r>
        <w:rPr>
          <w:bCs/>
          <w:color w:val="000000" w:themeColor="text1"/>
          <w:kern w:val="2"/>
        </w:rPr>
        <w:t>)</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kern w:val="2"/>
        </w:rPr>
        <w:t>8.2 交货方式：</w:t>
      </w:r>
      <w:r>
        <w:rPr>
          <w:rFonts w:hint="eastAsia"/>
          <w:color w:val="000000" w:themeColor="text1"/>
          <w:kern w:val="2"/>
          <w:lang w:eastAsia="zh-TW"/>
        </w:rPr>
        <w:t>送货上门与调试</w:t>
      </w:r>
      <w:r>
        <w:rPr>
          <w:rFonts w:hint="eastAsia"/>
          <w:color w:val="000000" w:themeColor="text1"/>
          <w:kern w:val="2"/>
        </w:rPr>
        <w:t>。</w:t>
      </w:r>
    </w:p>
    <w:p>
      <w:pPr>
        <w:pStyle w:val="19"/>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kern w:val="2"/>
        </w:rPr>
        <w:t>8.3 交货地点：</w:t>
      </w:r>
      <w:r>
        <w:rPr>
          <w:rFonts w:hint="eastAsia"/>
          <w:color w:val="000000" w:themeColor="text1"/>
          <w:kern w:val="2"/>
          <w:lang w:eastAsia="zh-TW"/>
        </w:rPr>
        <w:t>盐城工业职业技术学院校内甲方指定地点。</w:t>
      </w:r>
    </w:p>
    <w:p>
      <w:pPr>
        <w:spacing w:line="46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九、税费</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9.1本合同执行中相关的一切税费均由乙方负担。</w:t>
      </w:r>
    </w:p>
    <w:p>
      <w:pPr>
        <w:pStyle w:val="19"/>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十、质量保证及售后服务</w:t>
      </w:r>
    </w:p>
    <w:p>
      <w:pPr>
        <w:pStyle w:val="19"/>
        <w:widowControl w:val="0"/>
        <w:snapToGrid w:val="0"/>
        <w:spacing w:before="0" w:beforeAutospacing="0" w:after="0" w:afterAutospacing="0" w:line="460" w:lineRule="exact"/>
        <w:ind w:firstLine="480" w:firstLineChars="200"/>
        <w:jc w:val="both"/>
        <w:rPr>
          <w:rStyle w:val="44"/>
          <w:rFonts w:ascii="Times New Roman" w:hAnsi="Times New Roman" w:cs="Times New Roman"/>
          <w:bCs/>
          <w:color w:val="000000" w:themeColor="text1"/>
        </w:rPr>
      </w:pPr>
      <w:r>
        <w:rPr>
          <w:rStyle w:val="44"/>
          <w:rFonts w:hint="eastAsia" w:ascii="Times New Roman" w:hAnsi="Times New Roman" w:cs="Times New Roman"/>
          <w:bCs/>
          <w:color w:val="000000" w:themeColor="text1"/>
        </w:rPr>
        <w:t>10.1 体检结束后15个工作日内，对每名体检学生出具体检结果；</w:t>
      </w:r>
    </w:p>
    <w:p>
      <w:pPr>
        <w:pStyle w:val="19"/>
        <w:widowControl w:val="0"/>
        <w:snapToGrid w:val="0"/>
        <w:spacing w:before="0" w:beforeAutospacing="0" w:after="0" w:afterAutospacing="0" w:line="460" w:lineRule="exact"/>
        <w:ind w:firstLine="480" w:firstLineChars="200"/>
        <w:jc w:val="both"/>
        <w:rPr>
          <w:rStyle w:val="44"/>
          <w:rFonts w:ascii="Times New Roman" w:hAnsi="Times New Roman" w:cs="Times New Roman"/>
          <w:bCs/>
          <w:color w:val="000000" w:themeColor="text1"/>
        </w:rPr>
      </w:pPr>
      <w:r>
        <w:rPr>
          <w:rStyle w:val="44"/>
          <w:rFonts w:hint="eastAsia" w:ascii="Times New Roman" w:hAnsi="Times New Roman" w:cs="Times New Roman"/>
          <w:bCs/>
          <w:color w:val="000000" w:themeColor="text1"/>
        </w:rPr>
        <w:t>10.2 对发现异常检测结果的学生，提出针对性对策建议；</w:t>
      </w:r>
    </w:p>
    <w:p>
      <w:pPr>
        <w:pStyle w:val="19"/>
        <w:widowControl w:val="0"/>
        <w:snapToGrid w:val="0"/>
        <w:spacing w:before="0" w:beforeAutospacing="0" w:after="0" w:afterAutospacing="0" w:line="460" w:lineRule="exact"/>
        <w:ind w:firstLine="480" w:firstLineChars="200"/>
        <w:jc w:val="both"/>
        <w:rPr>
          <w:rStyle w:val="44"/>
          <w:rFonts w:ascii="Times New Roman" w:hAnsi="Times New Roman" w:cs="Times New Roman"/>
          <w:bCs/>
          <w:color w:val="000000" w:themeColor="text1"/>
        </w:rPr>
      </w:pPr>
      <w:r>
        <w:rPr>
          <w:rStyle w:val="44"/>
          <w:rFonts w:hint="eastAsia" w:ascii="Times New Roman" w:hAnsi="Times New Roman" w:cs="Times New Roman"/>
          <w:bCs/>
          <w:color w:val="000000" w:themeColor="text1"/>
        </w:rPr>
        <w:t>10.3 配合学校建立学生健康档案（提供电子版学生健康体检档案）；</w:t>
      </w:r>
    </w:p>
    <w:p>
      <w:pPr>
        <w:pStyle w:val="29"/>
        <w:spacing w:line="360" w:lineRule="auto"/>
        <w:ind w:firstLine="480" w:firstLineChars="200"/>
        <w:rPr>
          <w:rFonts w:cs="宋体"/>
          <w:color w:val="000000" w:themeColor="text1"/>
        </w:rPr>
      </w:pPr>
      <w:r>
        <w:rPr>
          <w:rStyle w:val="44"/>
          <w:rFonts w:hint="eastAsia"/>
          <w:bCs/>
          <w:color w:val="000000" w:themeColor="text1"/>
          <w:szCs w:val="21"/>
        </w:rPr>
        <w:t>10.4</w:t>
      </w:r>
      <w:r>
        <w:rPr>
          <w:rFonts w:hint="eastAsia" w:cs="宋体"/>
          <w:color w:val="000000" w:themeColor="text1"/>
        </w:rPr>
        <w:t>根据学校健康促进工作要求和学生体检结果，按学院、专业、性别等相关条件为学校提供客观、准确、详细的评价分析报告，保证学校全面了解学生的健康状况及常见病、慢性病、传染性疾病发病情况；</w:t>
      </w:r>
    </w:p>
    <w:p>
      <w:pPr>
        <w:pStyle w:val="29"/>
        <w:spacing w:line="360" w:lineRule="auto"/>
        <w:ind w:firstLine="480" w:firstLineChars="200"/>
        <w:rPr>
          <w:rFonts w:cs="宋体"/>
          <w:color w:val="000000" w:themeColor="text1"/>
        </w:rPr>
      </w:pPr>
      <w:r>
        <w:rPr>
          <w:rStyle w:val="44"/>
          <w:rFonts w:hint="eastAsia"/>
          <w:bCs/>
          <w:color w:val="000000" w:themeColor="text1"/>
          <w:szCs w:val="21"/>
        </w:rPr>
        <w:t>10.5</w:t>
      </w:r>
      <w:r>
        <w:rPr>
          <w:rFonts w:hint="eastAsia" w:cs="宋体"/>
          <w:color w:val="000000" w:themeColor="text1"/>
        </w:rPr>
        <w:t>如发现传染性或其他重大疾病应按有关规定及时向学生本人和学校反馈。</w:t>
      </w:r>
    </w:p>
    <w:p>
      <w:pPr>
        <w:pStyle w:val="19"/>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w:t>
      </w:r>
      <w:r>
        <w:rPr>
          <w:rFonts w:hint="eastAsia"/>
          <w:b/>
          <w:bCs/>
          <w:color w:val="000000" w:themeColor="text1"/>
        </w:rPr>
        <w:t>一</w:t>
      </w:r>
      <w:r>
        <w:rPr>
          <w:b/>
          <w:bCs/>
          <w:color w:val="000000" w:themeColor="text1"/>
        </w:rPr>
        <w:t>、违约责任</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11.1 乙方在收到甲方体检通知之日起5 个工作日内未做好体检准备工作并开始进行体检，甲方有权单方面终止合同。</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11.2 双方在合同期内，不得单方面无故终止合同，否则按违约处理。违约方须按体检服务费总价5%支付违约金给对方。</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11.3乙方违反本合同规定，所提供的服务未达到合同要求，甲方书面提出整改通知，每提出一次，乙方向甲方支付 3‰的违约金，累计提出达三次，甲方有权单方面终止合同，由此造成甲方经济损失的，乙方应给予赔偿。</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11.4 甲方应按合同规定的期限向乙方支付体检服务费，每逾期 1 天，乙方可向甲方加收体检服务费总价 3‰的违约金。但由于财政资金拨款不到位而导致甲方逾期付款的，甲方不承担违约责任。</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11.5 因检验结果问题引起的医疗纠纷，对患方的所有赔（补）偿费用完全由卖方支付，同时卖方应对买方进行相应赔偿。</w:t>
      </w:r>
    </w:p>
    <w:p>
      <w:pPr>
        <w:pStyle w:val="19"/>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w:t>
      </w:r>
      <w:r>
        <w:rPr>
          <w:rFonts w:hint="eastAsia"/>
          <w:b/>
          <w:bCs/>
          <w:color w:val="000000" w:themeColor="text1"/>
        </w:rPr>
        <w:t>二</w:t>
      </w:r>
      <w:r>
        <w:rPr>
          <w:b/>
          <w:bCs/>
          <w:color w:val="000000" w:themeColor="text1"/>
        </w:rPr>
        <w:t>、不可抗力事件处理</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w:t>
      </w:r>
      <w:r>
        <w:rPr>
          <w:rFonts w:hint="eastAsia"/>
          <w:color w:val="000000" w:themeColor="text1"/>
        </w:rPr>
        <w:t>2</w:t>
      </w:r>
      <w:r>
        <w:rPr>
          <w:color w:val="000000" w:themeColor="text1"/>
        </w:rPr>
        <w:t>.1 在合同有效期内，任何一方因不可抗力事件导致不能履行合同，则合同履行期可延长，其延长期与不可抗力影响期相同。</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w:t>
      </w:r>
      <w:r>
        <w:rPr>
          <w:rFonts w:hint="eastAsia"/>
          <w:color w:val="000000" w:themeColor="text1"/>
        </w:rPr>
        <w:t>2</w:t>
      </w:r>
      <w:r>
        <w:rPr>
          <w:color w:val="000000" w:themeColor="text1"/>
        </w:rPr>
        <w:t>.2 不可抗力事件发生后，应立即通知对方，并寄送有关权威机构出具的证明。</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w:t>
      </w:r>
      <w:r>
        <w:rPr>
          <w:rFonts w:hint="eastAsia"/>
          <w:color w:val="000000" w:themeColor="text1"/>
        </w:rPr>
        <w:t>2</w:t>
      </w:r>
      <w:r>
        <w:rPr>
          <w:color w:val="000000" w:themeColor="text1"/>
        </w:rPr>
        <w:t>.3 不可抗力事件延续120天以上，双方应通过友好协商，确定是否继续履行合同。</w:t>
      </w:r>
    </w:p>
    <w:p>
      <w:pPr>
        <w:pStyle w:val="19"/>
        <w:widowControl w:val="0"/>
        <w:snapToGrid w:val="0"/>
        <w:spacing w:before="0" w:beforeAutospacing="0" w:after="0" w:afterAutospacing="0" w:line="460" w:lineRule="exact"/>
        <w:ind w:firstLine="482" w:firstLineChars="200"/>
        <w:jc w:val="both"/>
        <w:rPr>
          <w:color w:val="000000" w:themeColor="text1"/>
        </w:rPr>
      </w:pPr>
      <w:r>
        <w:rPr>
          <w:b/>
          <w:bCs/>
          <w:color w:val="000000" w:themeColor="text1"/>
        </w:rPr>
        <w:t>十</w:t>
      </w:r>
      <w:r>
        <w:rPr>
          <w:rFonts w:hint="eastAsia"/>
          <w:b/>
          <w:bCs/>
          <w:color w:val="000000" w:themeColor="text1"/>
        </w:rPr>
        <w:t>三</w:t>
      </w:r>
      <w:r>
        <w:rPr>
          <w:b/>
          <w:bCs/>
          <w:color w:val="000000" w:themeColor="text1"/>
        </w:rPr>
        <w:t>、诉讼</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w:t>
      </w:r>
      <w:r>
        <w:rPr>
          <w:rFonts w:hint="eastAsia"/>
          <w:color w:val="000000" w:themeColor="text1"/>
        </w:rPr>
        <w:t>3</w:t>
      </w:r>
      <w:r>
        <w:rPr>
          <w:color w:val="000000" w:themeColor="text1"/>
        </w:rPr>
        <w:t>.1 双方在执行合同中所发生的一切争议，应通过协商解决。如协商不成，可向合同签订地法院起诉，合同签订地在此约定为</w:t>
      </w:r>
      <w:r>
        <w:rPr>
          <w:rFonts w:hint="eastAsia"/>
          <w:color w:val="000000" w:themeColor="text1"/>
        </w:rPr>
        <w:t>盐城</w:t>
      </w:r>
      <w:r>
        <w:rPr>
          <w:color w:val="000000" w:themeColor="text1"/>
        </w:rPr>
        <w:t>市。</w:t>
      </w:r>
    </w:p>
    <w:p>
      <w:pPr>
        <w:pStyle w:val="19"/>
        <w:widowControl w:val="0"/>
        <w:snapToGrid w:val="0"/>
        <w:spacing w:before="0" w:beforeAutospacing="0" w:after="0" w:afterAutospacing="0" w:line="460" w:lineRule="exact"/>
        <w:ind w:firstLine="482" w:firstLineChars="200"/>
        <w:jc w:val="both"/>
        <w:rPr>
          <w:color w:val="000000" w:themeColor="text1"/>
        </w:rPr>
      </w:pPr>
      <w:r>
        <w:rPr>
          <w:b/>
          <w:bCs/>
          <w:color w:val="000000" w:themeColor="text1"/>
        </w:rPr>
        <w:t>十</w:t>
      </w:r>
      <w:r>
        <w:rPr>
          <w:rFonts w:hint="eastAsia"/>
          <w:b/>
          <w:bCs/>
          <w:color w:val="000000" w:themeColor="text1"/>
        </w:rPr>
        <w:t>四</w:t>
      </w:r>
      <w:r>
        <w:rPr>
          <w:b/>
          <w:bCs/>
          <w:color w:val="000000" w:themeColor="text1"/>
        </w:rPr>
        <w:t>、合同生效及其它</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w:t>
      </w:r>
      <w:r>
        <w:rPr>
          <w:rFonts w:hint="eastAsia"/>
          <w:color w:val="000000" w:themeColor="text1"/>
        </w:rPr>
        <w:t>4</w:t>
      </w:r>
      <w:r>
        <w:rPr>
          <w:color w:val="000000" w:themeColor="text1"/>
        </w:rPr>
        <w:t>.1 合同经双方法定代表人或授权委托代</w:t>
      </w:r>
      <w:r>
        <w:rPr>
          <w:rFonts w:hint="eastAsia"/>
          <w:color w:val="000000" w:themeColor="text1"/>
        </w:rPr>
        <w:t>表</w:t>
      </w:r>
      <w:r>
        <w:rPr>
          <w:color w:val="000000" w:themeColor="text1"/>
        </w:rPr>
        <w:t>人签字并加盖单位公章后生效。</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w:t>
      </w:r>
      <w:r>
        <w:rPr>
          <w:rFonts w:hint="eastAsia"/>
          <w:color w:val="000000" w:themeColor="text1"/>
        </w:rPr>
        <w:t>4</w:t>
      </w:r>
      <w:r>
        <w:rPr>
          <w:color w:val="000000" w:themeColor="text1"/>
        </w:rPr>
        <w:t>.2本合同未尽事宜，遵照</w:t>
      </w:r>
      <w:r>
        <w:rPr>
          <w:rFonts w:hint="eastAsia"/>
          <w:color w:val="000000" w:themeColor="text1"/>
        </w:rPr>
        <w:t>《中华人民共和国民法典》</w:t>
      </w:r>
      <w:r>
        <w:rPr>
          <w:color w:val="000000" w:themeColor="text1"/>
        </w:rPr>
        <w:t>有关条文执行。</w:t>
      </w:r>
    </w:p>
    <w:p>
      <w:pPr>
        <w:pStyle w:val="19"/>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w:t>
      </w:r>
      <w:r>
        <w:rPr>
          <w:rFonts w:hint="eastAsia"/>
          <w:color w:val="000000" w:themeColor="text1"/>
        </w:rPr>
        <w:t>4</w:t>
      </w:r>
      <w:r>
        <w:rPr>
          <w:color w:val="000000" w:themeColor="text1"/>
        </w:rPr>
        <w:t>.</w:t>
      </w:r>
      <w:r>
        <w:rPr>
          <w:rFonts w:hint="eastAsia"/>
          <w:color w:val="000000" w:themeColor="text1"/>
        </w:rPr>
        <w:t>3本合同正本一式二份，副本一式六份，具有同等法律效力。</w:t>
      </w:r>
    </w:p>
    <w:p>
      <w:pPr>
        <w:pStyle w:val="19"/>
        <w:widowControl w:val="0"/>
        <w:snapToGrid w:val="0"/>
        <w:spacing w:before="0" w:beforeAutospacing="0" w:after="0" w:afterAutospacing="0" w:line="460" w:lineRule="exact"/>
        <w:ind w:firstLine="480" w:firstLineChars="200"/>
        <w:jc w:val="both"/>
        <w:rPr>
          <w:color w:val="000000" w:themeColor="text1"/>
        </w:rPr>
      </w:pPr>
    </w:p>
    <w:p>
      <w:pPr>
        <w:pStyle w:val="19"/>
        <w:widowControl w:val="0"/>
        <w:snapToGrid w:val="0"/>
        <w:spacing w:before="0" w:beforeAutospacing="0" w:after="0" w:afterAutospacing="0" w:line="460" w:lineRule="exact"/>
        <w:ind w:firstLine="720" w:firstLineChars="300"/>
        <w:jc w:val="both"/>
        <w:rPr>
          <w:color w:val="000000" w:themeColor="text1"/>
          <w:kern w:val="2"/>
        </w:rPr>
      </w:pPr>
    </w:p>
    <w:p>
      <w:pPr>
        <w:adjustRightInd w:val="0"/>
        <w:snapToGrid w:val="0"/>
        <w:spacing w:line="348" w:lineRule="auto"/>
        <w:ind w:firstLine="720" w:firstLineChars="300"/>
        <w:rPr>
          <w:rFonts w:ascii="宋体" w:hAnsi="宋体" w:cs="Courier New"/>
          <w:color w:val="000000" w:themeColor="text1"/>
          <w:sz w:val="24"/>
          <w:szCs w:val="24"/>
        </w:rPr>
      </w:pPr>
      <w:r>
        <w:rPr>
          <w:rFonts w:ascii="宋体" w:hAnsi="宋体" w:cs="Courier New"/>
          <w:color w:val="000000" w:themeColor="text1"/>
          <w:sz w:val="24"/>
          <w:szCs w:val="24"/>
        </w:rPr>
        <w:t xml:space="preserve">甲方：                                乙方： </w:t>
      </w:r>
    </w:p>
    <w:p>
      <w:pPr>
        <w:adjustRightInd w:val="0"/>
        <w:snapToGrid w:val="0"/>
        <w:spacing w:line="348"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地址：                                地址： </w:t>
      </w:r>
    </w:p>
    <w:p>
      <w:pPr>
        <w:adjustRightInd w:val="0"/>
        <w:snapToGrid w:val="0"/>
        <w:spacing w:line="348"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法定代表人或授权代表：                法定代表人或授权代表：</w:t>
      </w:r>
    </w:p>
    <w:p>
      <w:pPr>
        <w:adjustRightInd w:val="0"/>
        <w:snapToGrid w:val="0"/>
        <w:spacing w:line="348"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联系电话：                            联系电话：</w:t>
      </w:r>
    </w:p>
    <w:p>
      <w:pPr>
        <w:adjustRightInd w:val="0"/>
        <w:snapToGrid w:val="0"/>
        <w:spacing w:line="348" w:lineRule="auto"/>
        <w:ind w:firstLine="720" w:firstLineChars="300"/>
        <w:rPr>
          <w:rFonts w:ascii="宋体" w:hAnsi="Courier New" w:cs="Courier New"/>
          <w:color w:val="000000" w:themeColor="text1"/>
          <w:sz w:val="24"/>
          <w:szCs w:val="24"/>
        </w:rPr>
      </w:pPr>
      <w:r>
        <w:rPr>
          <w:rFonts w:hint="eastAsia" w:ascii="宋体" w:hAnsi="Courier New" w:cs="Courier New"/>
          <w:color w:val="000000" w:themeColor="text1"/>
          <w:sz w:val="24"/>
          <w:szCs w:val="24"/>
        </w:rPr>
        <w:t>签订</w:t>
      </w:r>
      <w:r>
        <w:rPr>
          <w:rFonts w:ascii="宋体" w:hAnsi="Courier New" w:cs="Courier New"/>
          <w:color w:val="000000" w:themeColor="text1"/>
          <w:sz w:val="24"/>
          <w:szCs w:val="24"/>
        </w:rPr>
        <w:t>日期：</w:t>
      </w:r>
    </w:p>
    <w:p>
      <w:pPr>
        <w:pStyle w:val="19"/>
        <w:widowControl w:val="0"/>
        <w:snapToGrid w:val="0"/>
        <w:spacing w:before="0" w:beforeAutospacing="0" w:after="0" w:afterAutospacing="0" w:line="460" w:lineRule="exact"/>
        <w:jc w:val="right"/>
        <w:rPr>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bookmarkStart w:id="14" w:name="_Toc4220"/>
      <w:bookmarkStart w:id="15" w:name="_Toc31860"/>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rStyle w:val="44"/>
          <w:b/>
          <w:color w:val="000000" w:themeColor="text1"/>
          <w:sz w:val="44"/>
        </w:rPr>
      </w:pPr>
    </w:p>
    <w:p>
      <w:pPr>
        <w:pStyle w:val="19"/>
        <w:spacing w:before="0" w:beforeAutospacing="0" w:after="0" w:afterAutospacing="0"/>
        <w:ind w:firstLine="2650" w:firstLineChars="600"/>
        <w:outlineLvl w:val="0"/>
        <w:rPr>
          <w:b/>
          <w:bCs/>
          <w:color w:val="000000" w:themeColor="text1"/>
          <w:szCs w:val="24"/>
        </w:rPr>
      </w:pPr>
      <w:r>
        <w:rPr>
          <w:rStyle w:val="44"/>
          <w:rFonts w:hint="eastAsia"/>
          <w:b/>
          <w:color w:val="000000" w:themeColor="text1"/>
          <w:sz w:val="44"/>
        </w:rPr>
        <w:t>第四章 项目需求</w:t>
      </w:r>
      <w:bookmarkEnd w:id="14"/>
      <w:bookmarkEnd w:id="15"/>
    </w:p>
    <w:p>
      <w:pPr>
        <w:spacing w:line="360" w:lineRule="auto"/>
        <w:ind w:firstLine="480" w:firstLineChars="200"/>
        <w:rPr>
          <w:color w:val="000000" w:themeColor="text1"/>
          <w:kern w:val="0"/>
          <w:sz w:val="24"/>
          <w:szCs w:val="24"/>
        </w:rPr>
      </w:pPr>
      <w:bookmarkStart w:id="16" w:name="_Toc5883"/>
      <w:bookmarkStart w:id="17" w:name="_Toc24918"/>
      <w:r>
        <w:rPr>
          <w:rFonts w:hint="eastAsia"/>
          <w:color w:val="000000" w:themeColor="text1"/>
          <w:kern w:val="0"/>
          <w:sz w:val="24"/>
          <w:szCs w:val="24"/>
        </w:rPr>
        <w:t>盐城工业职业技术学院2022年度新生入学体检服务新生入学体检服务项目简要说明：</w:t>
      </w:r>
    </w:p>
    <w:p>
      <w:pPr>
        <w:spacing w:line="360" w:lineRule="auto"/>
        <w:ind w:firstLine="480" w:firstLineChars="200"/>
        <w:jc w:val="left"/>
        <w:rPr>
          <w:color w:val="000000" w:themeColor="text1"/>
          <w:kern w:val="0"/>
          <w:sz w:val="24"/>
          <w:szCs w:val="24"/>
        </w:rPr>
      </w:pPr>
      <w:r>
        <w:rPr>
          <w:rFonts w:hint="eastAsia"/>
          <w:color w:val="000000" w:themeColor="text1"/>
          <w:kern w:val="0"/>
          <w:sz w:val="24"/>
          <w:szCs w:val="24"/>
        </w:rPr>
        <w:t>（1）体检方式：上门集中体检；</w:t>
      </w:r>
    </w:p>
    <w:p>
      <w:pPr>
        <w:spacing w:line="360" w:lineRule="auto"/>
        <w:ind w:firstLine="480" w:firstLineChars="200"/>
        <w:jc w:val="left"/>
        <w:rPr>
          <w:color w:val="000000" w:themeColor="text1"/>
          <w:kern w:val="0"/>
          <w:sz w:val="24"/>
          <w:szCs w:val="24"/>
        </w:rPr>
      </w:pPr>
      <w:r>
        <w:rPr>
          <w:rFonts w:hint="eastAsia"/>
          <w:color w:val="000000" w:themeColor="text1"/>
          <w:kern w:val="0"/>
          <w:sz w:val="24"/>
          <w:szCs w:val="24"/>
        </w:rPr>
        <w:t>（2）服务地点：盐城市解放南路285号盐城工业职业技术学院校内；</w:t>
      </w:r>
    </w:p>
    <w:p>
      <w:pPr>
        <w:spacing w:line="360" w:lineRule="auto"/>
        <w:ind w:firstLine="480" w:firstLineChars="200"/>
        <w:jc w:val="left"/>
        <w:rPr>
          <w:color w:val="000000" w:themeColor="text1"/>
          <w:kern w:val="0"/>
          <w:sz w:val="24"/>
          <w:szCs w:val="24"/>
        </w:rPr>
      </w:pPr>
      <w:r>
        <w:rPr>
          <w:rFonts w:hint="eastAsia"/>
          <w:color w:val="000000" w:themeColor="text1"/>
          <w:kern w:val="0"/>
          <w:sz w:val="24"/>
          <w:szCs w:val="24"/>
        </w:rPr>
        <w:t>（3）服务方式：包工包料；</w:t>
      </w:r>
    </w:p>
    <w:p>
      <w:pPr>
        <w:spacing w:line="360" w:lineRule="auto"/>
        <w:ind w:firstLine="480" w:firstLineChars="200"/>
        <w:jc w:val="left"/>
        <w:rPr>
          <w:color w:val="000000" w:themeColor="text1"/>
          <w:kern w:val="0"/>
          <w:sz w:val="24"/>
          <w:szCs w:val="24"/>
        </w:rPr>
      </w:pPr>
      <w:r>
        <w:rPr>
          <w:rFonts w:hint="eastAsia"/>
          <w:color w:val="000000" w:themeColor="text1"/>
          <w:kern w:val="0"/>
          <w:sz w:val="24"/>
          <w:szCs w:val="24"/>
        </w:rPr>
        <w:t>（4）体检学生人数：约3500人；</w:t>
      </w:r>
    </w:p>
    <w:p>
      <w:pPr>
        <w:spacing w:line="360" w:lineRule="auto"/>
        <w:ind w:firstLine="480" w:firstLineChars="200"/>
        <w:jc w:val="left"/>
        <w:rPr>
          <w:color w:val="000000" w:themeColor="text1"/>
          <w:kern w:val="0"/>
          <w:sz w:val="24"/>
          <w:szCs w:val="24"/>
        </w:rPr>
      </w:pPr>
      <w:r>
        <w:rPr>
          <w:rFonts w:hint="eastAsia"/>
          <w:color w:val="000000" w:themeColor="text1"/>
          <w:kern w:val="0"/>
          <w:sz w:val="24"/>
          <w:szCs w:val="24"/>
        </w:rPr>
        <w:t>（5）体检收费：86元/人（需为一定比例的家庭贫困学生提供免费体检等资助服务）。</w:t>
      </w:r>
    </w:p>
    <w:p>
      <w:pPr>
        <w:spacing w:line="360" w:lineRule="auto"/>
        <w:ind w:firstLine="480" w:firstLineChars="200"/>
        <w:jc w:val="left"/>
        <w:rPr>
          <w:color w:val="000000" w:themeColor="text1"/>
          <w:kern w:val="0"/>
          <w:sz w:val="24"/>
          <w:szCs w:val="24"/>
        </w:rPr>
      </w:pPr>
      <w:r>
        <w:rPr>
          <w:rFonts w:hint="eastAsia"/>
          <w:color w:val="000000" w:themeColor="text1"/>
          <w:kern w:val="0"/>
          <w:sz w:val="24"/>
          <w:szCs w:val="24"/>
        </w:rPr>
        <w:t>（6）体检项目：</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a.数字摄影（DR）：不得加收虑线器费，曝光不得超过2次，含数据采集、存贮、图像显示；</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b.血细胞分析：五分类仪器检查法；</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c .血清丙氨酸氨基转移酶测定：速率法；</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d.尿素测定：化学法，酶促动力学法；</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e.肌酐测定：酶促动力学法；</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f.血清尿酸测定等；</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g.体格检查：包括内、外、五官科、眼科及色盲检查。其中内科必须进行心肺听诊及血压测量。</w:t>
      </w:r>
    </w:p>
    <w:p>
      <w:pPr>
        <w:spacing w:line="360" w:lineRule="auto"/>
        <w:ind w:firstLine="480" w:firstLineChars="200"/>
        <w:jc w:val="left"/>
        <w:rPr>
          <w:color w:val="000000" w:themeColor="text1"/>
          <w:kern w:val="0"/>
          <w:sz w:val="24"/>
          <w:szCs w:val="24"/>
        </w:rPr>
      </w:pPr>
      <w:r>
        <w:rPr>
          <w:rFonts w:hint="eastAsia"/>
          <w:color w:val="000000" w:themeColor="text1"/>
          <w:kern w:val="0"/>
          <w:sz w:val="24"/>
          <w:szCs w:val="24"/>
        </w:rPr>
        <w:t>（7）体检服务人员要求：</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a.参加现场抽血体检服务项目的医务人员应不少于30人，均应连续从业两年以上（含），提供参加体检的医务人员列表及相应的国家认定的医师（护士）执业资格证和缴纳社保材料证明或劳务合同等相关证书复印件并加盖公章（</w:t>
      </w:r>
      <w:r>
        <w:rPr>
          <w:rFonts w:hint="eastAsia" w:ascii="宋体" w:hAnsi="宋体"/>
          <w:bCs/>
          <w:color w:val="000000" w:themeColor="text1"/>
          <w:sz w:val="24"/>
          <w:szCs w:val="24"/>
        </w:rPr>
        <w:t>原件携带备查</w:t>
      </w:r>
      <w:r>
        <w:rPr>
          <w:rFonts w:hint="eastAsia"/>
          <w:color w:val="000000" w:themeColor="text1"/>
          <w:kern w:val="0"/>
          <w:sz w:val="24"/>
          <w:szCs w:val="24"/>
        </w:rPr>
        <w:t>）；</w:t>
      </w:r>
    </w:p>
    <w:p>
      <w:pPr>
        <w:spacing w:line="360" w:lineRule="auto"/>
        <w:ind w:firstLine="720" w:firstLineChars="300"/>
        <w:jc w:val="left"/>
        <w:rPr>
          <w:color w:val="000000" w:themeColor="text1"/>
          <w:kern w:val="0"/>
          <w:sz w:val="24"/>
          <w:szCs w:val="24"/>
        </w:rPr>
      </w:pPr>
      <w:r>
        <w:rPr>
          <w:rFonts w:hint="eastAsia"/>
          <w:color w:val="000000" w:themeColor="text1"/>
          <w:kern w:val="0"/>
          <w:sz w:val="24"/>
          <w:szCs w:val="24"/>
        </w:rPr>
        <w:t>b.体检项目总负责人和三个分项目（临床、放射科、检验科）负责人职称应不低于中级职称，提供相应的国家认定的职称证书等相关资质证书扫描件。</w:t>
      </w:r>
    </w:p>
    <w:p>
      <w:pPr>
        <w:spacing w:line="360" w:lineRule="auto"/>
        <w:jc w:val="left"/>
        <w:rPr>
          <w:color w:val="000000" w:themeColor="text1"/>
          <w:kern w:val="0"/>
          <w:sz w:val="24"/>
          <w:szCs w:val="24"/>
        </w:rPr>
      </w:pPr>
      <w:r>
        <w:rPr>
          <w:rFonts w:hint="eastAsia"/>
          <w:color w:val="000000" w:themeColor="text1"/>
          <w:kern w:val="0"/>
          <w:sz w:val="24"/>
          <w:szCs w:val="24"/>
        </w:rPr>
        <w:t xml:space="preserve">    （8）其他要求</w:t>
      </w:r>
    </w:p>
    <w:p>
      <w:pPr>
        <w:spacing w:line="360" w:lineRule="auto"/>
        <w:jc w:val="left"/>
        <w:rPr>
          <w:color w:val="000000" w:themeColor="text1"/>
          <w:kern w:val="0"/>
          <w:sz w:val="24"/>
          <w:szCs w:val="24"/>
        </w:rPr>
      </w:pPr>
      <w:r>
        <w:rPr>
          <w:rFonts w:hint="eastAsia"/>
          <w:color w:val="000000" w:themeColor="text1"/>
          <w:kern w:val="0"/>
          <w:sz w:val="24"/>
          <w:szCs w:val="24"/>
        </w:rPr>
        <w:t xml:space="preserve">    投标人使用的大型核心设备和器械(生化仪、胸片机等)须具备由有合法资质的检验机构出具的证明材料，保证结果的准确性。须提供相关承诺，并加盖公章。</w:t>
      </w:r>
    </w:p>
    <w:p>
      <w:pPr>
        <w:spacing w:line="360" w:lineRule="auto"/>
        <w:ind w:firstLine="562" w:firstLineChars="200"/>
        <w:rPr>
          <w:b/>
          <w:bCs/>
          <w:color w:val="000000" w:themeColor="text1"/>
          <w:kern w:val="0"/>
          <w:sz w:val="28"/>
          <w:szCs w:val="28"/>
        </w:rPr>
      </w:pPr>
      <w:r>
        <w:rPr>
          <w:rFonts w:hint="eastAsia"/>
          <w:b/>
          <w:bCs/>
          <w:color w:val="000000" w:themeColor="text1"/>
          <w:kern w:val="0"/>
          <w:sz w:val="28"/>
          <w:szCs w:val="28"/>
        </w:rPr>
        <w:t>二、服务期要求</w:t>
      </w:r>
    </w:p>
    <w:p>
      <w:pPr>
        <w:spacing w:line="360" w:lineRule="auto"/>
        <w:ind w:firstLine="480" w:firstLineChars="200"/>
        <w:rPr>
          <w:color w:val="000000" w:themeColor="text1"/>
          <w:kern w:val="0"/>
          <w:sz w:val="24"/>
          <w:szCs w:val="24"/>
        </w:rPr>
      </w:pPr>
      <w:r>
        <w:rPr>
          <w:rFonts w:hint="eastAsia"/>
          <w:color w:val="000000" w:themeColor="text1"/>
          <w:kern w:val="0"/>
          <w:sz w:val="24"/>
          <w:szCs w:val="24"/>
        </w:rPr>
        <w:t>新生体检预计9月中上旬（具体时间由学校确定），所有新生检查项目要求在15日内完成。</w:t>
      </w:r>
    </w:p>
    <w:p>
      <w:pPr>
        <w:spacing w:line="360" w:lineRule="auto"/>
        <w:ind w:firstLine="562" w:firstLineChars="200"/>
        <w:rPr>
          <w:b/>
          <w:bCs/>
          <w:color w:val="000000" w:themeColor="text1"/>
          <w:kern w:val="0"/>
          <w:sz w:val="28"/>
          <w:szCs w:val="28"/>
        </w:rPr>
      </w:pPr>
      <w:r>
        <w:rPr>
          <w:rFonts w:hint="eastAsia"/>
          <w:b/>
          <w:bCs/>
          <w:color w:val="000000" w:themeColor="text1"/>
          <w:kern w:val="0"/>
          <w:sz w:val="28"/>
          <w:szCs w:val="28"/>
        </w:rPr>
        <w:t>三、服务地点</w:t>
      </w:r>
    </w:p>
    <w:p>
      <w:pPr>
        <w:spacing w:line="360" w:lineRule="auto"/>
        <w:ind w:firstLine="480" w:firstLineChars="200"/>
        <w:rPr>
          <w:color w:val="000000" w:themeColor="text1"/>
          <w:kern w:val="0"/>
          <w:sz w:val="24"/>
          <w:szCs w:val="24"/>
        </w:rPr>
      </w:pPr>
      <w:r>
        <w:rPr>
          <w:rFonts w:hint="eastAsia"/>
          <w:color w:val="000000" w:themeColor="text1"/>
          <w:kern w:val="0"/>
          <w:sz w:val="24"/>
          <w:szCs w:val="24"/>
        </w:rPr>
        <w:t>盐城工业职业技术学院校内指定场所。</w:t>
      </w:r>
    </w:p>
    <w:p>
      <w:pPr>
        <w:spacing w:line="360" w:lineRule="auto"/>
        <w:ind w:firstLine="562" w:firstLineChars="200"/>
        <w:rPr>
          <w:color w:val="000000" w:themeColor="text1"/>
        </w:rPr>
      </w:pPr>
      <w:r>
        <w:rPr>
          <w:rFonts w:hint="eastAsia"/>
          <w:b/>
          <w:bCs/>
          <w:color w:val="000000" w:themeColor="text1"/>
          <w:kern w:val="0"/>
          <w:sz w:val="28"/>
          <w:szCs w:val="28"/>
        </w:rPr>
        <w:t>四、付款方式</w:t>
      </w:r>
    </w:p>
    <w:p>
      <w:pPr>
        <w:spacing w:line="360" w:lineRule="auto"/>
        <w:ind w:firstLine="480" w:firstLineChars="200"/>
        <w:rPr>
          <w:color w:val="000000" w:themeColor="text1"/>
          <w:kern w:val="0"/>
          <w:sz w:val="24"/>
          <w:szCs w:val="24"/>
        </w:rPr>
      </w:pPr>
      <w:r>
        <w:rPr>
          <w:rFonts w:hint="eastAsia"/>
          <w:color w:val="000000" w:themeColor="text1"/>
          <w:kern w:val="0"/>
          <w:sz w:val="24"/>
          <w:szCs w:val="24"/>
        </w:rPr>
        <w:t>体检结束出具体检结果经验收合格后，90日内付合同款的100%。</w:t>
      </w:r>
    </w:p>
    <w:p>
      <w:pPr>
        <w:spacing w:line="360" w:lineRule="auto"/>
        <w:ind w:firstLine="480" w:firstLineChars="200"/>
        <w:rPr>
          <w:color w:val="000000" w:themeColor="text1"/>
          <w:kern w:val="0"/>
          <w:sz w:val="24"/>
          <w:szCs w:val="24"/>
        </w:rPr>
      </w:pPr>
      <w:r>
        <w:rPr>
          <w:color w:val="000000" w:themeColor="text1"/>
          <w:kern w:val="0"/>
          <w:sz w:val="24"/>
          <w:szCs w:val="24"/>
        </w:rPr>
        <w:t> </w:t>
      </w:r>
      <w:r>
        <w:rPr>
          <w:rFonts w:hint="eastAsia"/>
          <w:b/>
          <w:bCs/>
          <w:color w:val="000000" w:themeColor="text1"/>
          <w:kern w:val="0"/>
          <w:sz w:val="28"/>
          <w:szCs w:val="28"/>
        </w:rPr>
        <w:t>五、合同签订</w:t>
      </w:r>
    </w:p>
    <w:p>
      <w:pPr>
        <w:spacing w:line="360" w:lineRule="auto"/>
        <w:ind w:firstLine="480" w:firstLineChars="200"/>
        <w:rPr>
          <w:color w:val="000000" w:themeColor="text1"/>
          <w:kern w:val="0"/>
          <w:sz w:val="24"/>
          <w:szCs w:val="24"/>
        </w:rPr>
      </w:pPr>
      <w:r>
        <w:rPr>
          <w:rFonts w:hint="eastAsia"/>
          <w:color w:val="000000" w:themeColor="text1"/>
          <w:kern w:val="0"/>
          <w:sz w:val="24"/>
          <w:szCs w:val="24"/>
        </w:rPr>
        <w:t>招标人和中标人应当自公示结束后15个工作日内签订采购合同。</w:t>
      </w:r>
    </w:p>
    <w:p>
      <w:pPr>
        <w:spacing w:line="360" w:lineRule="auto"/>
        <w:ind w:firstLine="562" w:firstLineChars="200"/>
        <w:rPr>
          <w:b/>
          <w:bCs/>
          <w:color w:val="000000" w:themeColor="text1"/>
          <w:kern w:val="0"/>
          <w:sz w:val="28"/>
          <w:szCs w:val="28"/>
        </w:rPr>
      </w:pPr>
      <w:r>
        <w:rPr>
          <w:rFonts w:hint="eastAsia"/>
          <w:b/>
          <w:bCs/>
          <w:color w:val="000000" w:themeColor="text1"/>
          <w:kern w:val="0"/>
          <w:sz w:val="28"/>
          <w:szCs w:val="28"/>
        </w:rPr>
        <w:t>六、售后服务及服务承诺</w:t>
      </w:r>
    </w:p>
    <w:p>
      <w:pPr>
        <w:pStyle w:val="29"/>
        <w:spacing w:line="360" w:lineRule="auto"/>
        <w:ind w:firstLine="480" w:firstLineChars="200"/>
        <w:rPr>
          <w:rFonts w:cs="宋体"/>
          <w:color w:val="000000" w:themeColor="text1"/>
        </w:rPr>
      </w:pPr>
      <w:r>
        <w:rPr>
          <w:rFonts w:hint="eastAsia" w:ascii="宋体" w:hAnsi="宋体" w:cs="宋体"/>
          <w:color w:val="000000" w:themeColor="text1"/>
        </w:rPr>
        <w:t>⑴</w:t>
      </w:r>
      <w:r>
        <w:rPr>
          <w:rFonts w:hint="eastAsia" w:cs="宋体"/>
          <w:color w:val="000000" w:themeColor="text1"/>
        </w:rPr>
        <w:t>、体检结束后15个工作日内，对每名体检学生出具体检结果；</w:t>
      </w:r>
    </w:p>
    <w:p>
      <w:pPr>
        <w:pStyle w:val="29"/>
        <w:spacing w:line="360" w:lineRule="auto"/>
        <w:ind w:firstLine="480" w:firstLineChars="200"/>
        <w:rPr>
          <w:rFonts w:cs="宋体"/>
          <w:color w:val="000000" w:themeColor="text1"/>
        </w:rPr>
      </w:pPr>
      <w:r>
        <w:rPr>
          <w:rFonts w:hint="eastAsia" w:ascii="宋体" w:hAnsi="宋体" w:cs="宋体"/>
          <w:color w:val="000000" w:themeColor="text1"/>
        </w:rPr>
        <w:t>⑵</w:t>
      </w:r>
      <w:r>
        <w:rPr>
          <w:rFonts w:hint="eastAsia" w:cs="宋体"/>
          <w:color w:val="000000" w:themeColor="text1"/>
        </w:rPr>
        <w:t>、对发现异常检测结果的学生，提出针对性对策建议；</w:t>
      </w:r>
    </w:p>
    <w:p>
      <w:pPr>
        <w:pStyle w:val="29"/>
        <w:spacing w:line="360" w:lineRule="auto"/>
        <w:ind w:firstLine="480" w:firstLineChars="200"/>
        <w:rPr>
          <w:rFonts w:cs="宋体"/>
          <w:color w:val="000000" w:themeColor="text1"/>
        </w:rPr>
      </w:pPr>
      <w:r>
        <w:rPr>
          <w:rFonts w:hint="eastAsia" w:ascii="宋体" w:hAnsi="宋体" w:cs="宋体"/>
          <w:color w:val="000000" w:themeColor="text1"/>
        </w:rPr>
        <w:t>⑶</w:t>
      </w:r>
      <w:r>
        <w:rPr>
          <w:rFonts w:hint="eastAsia" w:cs="宋体"/>
          <w:color w:val="000000" w:themeColor="text1"/>
        </w:rPr>
        <w:t>、配合学校建立学生健康档案（提供纸质档和电子版学生健康体检档案）；</w:t>
      </w:r>
    </w:p>
    <w:p>
      <w:pPr>
        <w:pStyle w:val="29"/>
        <w:spacing w:line="360" w:lineRule="auto"/>
        <w:ind w:firstLine="480" w:firstLineChars="200"/>
        <w:rPr>
          <w:rFonts w:cs="宋体"/>
          <w:color w:val="000000" w:themeColor="text1"/>
        </w:rPr>
      </w:pPr>
      <w:r>
        <w:rPr>
          <w:rFonts w:hint="eastAsia" w:ascii="宋体" w:hAnsi="宋体" w:cs="宋体"/>
          <w:color w:val="000000" w:themeColor="text1"/>
        </w:rPr>
        <w:t>⑷</w:t>
      </w:r>
      <w:r>
        <w:rPr>
          <w:rFonts w:hint="eastAsia" w:cs="宋体"/>
          <w:color w:val="000000" w:themeColor="text1"/>
        </w:rPr>
        <w:t>、根据学校健康促进工作要求和学生体检结果，按学院、专业、性别等相关条件为学校提供客观、准确、详细的评价分析报告，保证学校全面了解学生的健康状况及常见病、慢性病、传染性疾病发病情况；</w:t>
      </w:r>
    </w:p>
    <w:p>
      <w:pPr>
        <w:pStyle w:val="29"/>
        <w:spacing w:line="360" w:lineRule="auto"/>
        <w:ind w:firstLine="480" w:firstLineChars="200"/>
        <w:rPr>
          <w:rFonts w:cs="宋体"/>
          <w:color w:val="000000" w:themeColor="text1"/>
        </w:rPr>
      </w:pPr>
      <w:r>
        <w:rPr>
          <w:rFonts w:hint="eastAsia" w:ascii="宋体" w:hAnsi="宋体" w:cs="宋体"/>
          <w:color w:val="000000" w:themeColor="text1"/>
        </w:rPr>
        <w:t>⑸</w:t>
      </w:r>
      <w:r>
        <w:rPr>
          <w:rFonts w:hint="eastAsia" w:cs="宋体"/>
          <w:color w:val="000000" w:themeColor="text1"/>
        </w:rPr>
        <w:t>、如发现传染性或其他重大疾病应按有关规定及时向学生本人和学校反馈。</w:t>
      </w:r>
    </w:p>
    <w:p>
      <w:pPr>
        <w:spacing w:line="360" w:lineRule="auto"/>
        <w:ind w:firstLine="281" w:firstLineChars="100"/>
        <w:rPr>
          <w:b/>
          <w:bCs/>
          <w:color w:val="000000" w:themeColor="text1"/>
          <w:kern w:val="0"/>
          <w:sz w:val="28"/>
          <w:szCs w:val="28"/>
        </w:rPr>
      </w:pPr>
      <w:r>
        <w:rPr>
          <w:rFonts w:hint="eastAsia"/>
          <w:b/>
          <w:bCs/>
          <w:color w:val="000000" w:themeColor="text1"/>
          <w:kern w:val="0"/>
          <w:sz w:val="28"/>
          <w:szCs w:val="28"/>
        </w:rPr>
        <w:t>七、特别说明</w:t>
      </w:r>
    </w:p>
    <w:p>
      <w:pPr>
        <w:pStyle w:val="29"/>
        <w:spacing w:line="360" w:lineRule="auto"/>
        <w:ind w:firstLine="480" w:firstLineChars="200"/>
        <w:rPr>
          <w:rFonts w:cs="宋体"/>
          <w:color w:val="000000" w:themeColor="text1"/>
        </w:rPr>
      </w:pPr>
      <w:r>
        <w:rPr>
          <w:rFonts w:hint="eastAsia" w:cs="宋体"/>
          <w:color w:val="000000" w:themeColor="text1"/>
        </w:rPr>
        <w:t>7.1、保密性要求：中标单位应按照国家有关法律法规要求制定和落实学生健康体检信息保密管理措施，未经允许不得发布和泄露。</w:t>
      </w: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b/>
          <w:color w:val="000000" w:themeColor="text1"/>
          <w:sz w:val="44"/>
        </w:rPr>
      </w:pPr>
    </w:p>
    <w:p>
      <w:pPr>
        <w:pStyle w:val="87"/>
        <w:spacing w:before="290" w:after="290"/>
        <w:ind w:firstLine="1325" w:firstLineChars="300"/>
        <w:jc w:val="both"/>
        <w:outlineLvl w:val="0"/>
        <w:rPr>
          <w:rStyle w:val="44"/>
          <w:rFonts w:hint="eastAsia"/>
          <w:b/>
          <w:color w:val="000000" w:themeColor="text1"/>
          <w:sz w:val="44"/>
        </w:rPr>
      </w:pPr>
    </w:p>
    <w:p>
      <w:pPr>
        <w:pStyle w:val="87"/>
        <w:spacing w:before="290" w:after="290"/>
        <w:ind w:firstLine="1325" w:firstLineChars="300"/>
        <w:jc w:val="both"/>
        <w:outlineLvl w:val="0"/>
        <w:rPr>
          <w:rStyle w:val="44"/>
          <w:color w:val="000000" w:themeColor="text1"/>
        </w:rPr>
      </w:pPr>
      <w:bookmarkStart w:id="72" w:name="_GoBack"/>
      <w:bookmarkEnd w:id="72"/>
      <w:r>
        <w:rPr>
          <w:rStyle w:val="44"/>
          <w:rFonts w:hint="eastAsia"/>
          <w:b/>
          <w:color w:val="000000" w:themeColor="text1"/>
          <w:sz w:val="44"/>
        </w:rPr>
        <w:t>第五章  评标方法与评标标准</w:t>
      </w:r>
      <w:bookmarkEnd w:id="16"/>
      <w:bookmarkEnd w:id="17"/>
    </w:p>
    <w:p>
      <w:pPr>
        <w:snapToGrid w:val="0"/>
        <w:spacing w:line="360" w:lineRule="auto"/>
        <w:ind w:firstLine="482" w:firstLineChars="200"/>
        <w:rPr>
          <w:rStyle w:val="44"/>
          <w:rFonts w:ascii="宋体" w:hAnsi="宋体" w:cs="Times New Roman"/>
          <w:b/>
          <w:color w:val="000000" w:themeColor="text1"/>
          <w:sz w:val="24"/>
          <w:szCs w:val="24"/>
        </w:rPr>
      </w:pPr>
      <w:r>
        <w:rPr>
          <w:rStyle w:val="44"/>
          <w:rFonts w:hint="eastAsia" w:ascii="宋体" w:hAnsi="宋体" w:cs="Times New Roman"/>
          <w:b/>
          <w:color w:val="000000" w:themeColor="text1"/>
          <w:sz w:val="24"/>
          <w:szCs w:val="24"/>
        </w:rPr>
        <w:t>一、评标方法与定标原则</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评委会将对确定为实质性响应招标文件要求的投标文件进行评价和比较，评标采用综合评分法确定中标候选人。按得分由高到低顺序排列。得分相同的，按投标报价由低到高顺序排列。得分且投标报价相同的，按技术指标优劣顺序排列。</w:t>
      </w:r>
    </w:p>
    <w:p>
      <w:pPr>
        <w:snapToGrid w:val="0"/>
        <w:spacing w:line="360" w:lineRule="auto"/>
        <w:ind w:firstLine="482" w:firstLineChars="200"/>
        <w:rPr>
          <w:rStyle w:val="44"/>
          <w:rFonts w:ascii="宋体" w:hAnsi="宋体" w:cs="Times New Roman"/>
          <w:b/>
          <w:color w:val="000000" w:themeColor="text1"/>
          <w:sz w:val="24"/>
          <w:szCs w:val="24"/>
        </w:rPr>
      </w:pPr>
      <w:r>
        <w:rPr>
          <w:rStyle w:val="44"/>
          <w:rFonts w:hint="eastAsia" w:ascii="宋体" w:hAnsi="宋体" w:cs="Times New Roman"/>
          <w:b/>
          <w:color w:val="000000" w:themeColor="text1"/>
          <w:sz w:val="24"/>
          <w:szCs w:val="24"/>
        </w:rPr>
        <w:t>二、评分标准</w:t>
      </w:r>
    </w:p>
    <w:p>
      <w:pPr>
        <w:snapToGrid w:val="0"/>
        <w:spacing w:line="360" w:lineRule="auto"/>
        <w:ind w:firstLine="480" w:firstLineChars="200"/>
        <w:rPr>
          <w:rStyle w:val="44"/>
          <w:rFonts w:ascii="宋体" w:hAnsi="宋体" w:cs="Times New Roman"/>
          <w:bCs/>
          <w:color w:val="000000" w:themeColor="text1"/>
          <w:sz w:val="24"/>
          <w:szCs w:val="24"/>
          <w:lang w:val="zh-CN"/>
        </w:rPr>
      </w:pPr>
      <w:r>
        <w:rPr>
          <w:rStyle w:val="44"/>
          <w:rFonts w:hint="eastAsia" w:ascii="宋体" w:hAnsi="宋体" w:cs="Times New Roman"/>
          <w:bCs/>
          <w:color w:val="000000" w:themeColor="text1"/>
          <w:sz w:val="24"/>
          <w:szCs w:val="24"/>
        </w:rPr>
        <w:tab/>
      </w:r>
      <w:r>
        <w:rPr>
          <w:rStyle w:val="44"/>
          <w:rFonts w:hint="eastAsia" w:ascii="宋体" w:hAnsi="宋体" w:cs="Times New Roman"/>
          <w:bCs/>
          <w:color w:val="000000" w:themeColor="text1"/>
          <w:sz w:val="24"/>
          <w:szCs w:val="24"/>
          <w:lang w:val="zh-CN"/>
        </w:rPr>
        <w:t>本项目采用综合评分法。综合评分法是指在满足招标文件实质性要求前提下，按照招标文件中规定的各项因素进行综合评审后，以总得分最高的投标人作为中标单位。</w:t>
      </w:r>
      <w:r>
        <w:rPr>
          <w:rStyle w:val="44"/>
          <w:rFonts w:hint="eastAsia" w:ascii="宋体" w:hAnsi="宋体" w:cs="Times New Roman"/>
          <w:bCs/>
          <w:color w:val="000000" w:themeColor="text1"/>
          <w:sz w:val="24"/>
          <w:szCs w:val="24"/>
        </w:rPr>
        <w:t>本次采购得分最高者为中标方，第二名为备选方，当第一中标方不能履行其义务时，由备选方替补，成为新的中标方，也可重新组织招标。</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360" w:lineRule="auto"/>
        <w:ind w:firstLine="482" w:firstLineChars="200"/>
        <w:rPr>
          <w:rStyle w:val="44"/>
          <w:rFonts w:ascii="宋体" w:hAnsi="宋体" w:cs="Times New Roman"/>
          <w:b/>
          <w:color w:val="000000" w:themeColor="text1"/>
          <w:sz w:val="24"/>
          <w:szCs w:val="24"/>
        </w:rPr>
      </w:pPr>
      <w:r>
        <w:rPr>
          <w:rStyle w:val="44"/>
          <w:rFonts w:hint="eastAsia" w:ascii="宋体" w:hAnsi="宋体" w:cs="Times New Roman"/>
          <w:b/>
          <w:color w:val="000000" w:themeColor="text1"/>
          <w:sz w:val="24"/>
          <w:szCs w:val="24"/>
        </w:rPr>
        <w:t>政府采购政策功能落实</w:t>
      </w:r>
    </w:p>
    <w:p>
      <w:pPr>
        <w:snapToGrid w:val="0"/>
        <w:spacing w:line="360" w:lineRule="auto"/>
        <w:ind w:firstLine="482" w:firstLineChars="200"/>
        <w:rPr>
          <w:rStyle w:val="44"/>
          <w:rFonts w:ascii="宋体" w:hAnsi="宋体" w:cs="Times New Roman"/>
          <w:b/>
          <w:color w:val="000000" w:themeColor="text1"/>
          <w:sz w:val="24"/>
          <w:szCs w:val="24"/>
        </w:rPr>
      </w:pPr>
      <w:r>
        <w:rPr>
          <w:rStyle w:val="44"/>
          <w:rFonts w:hint="eastAsia" w:ascii="宋体" w:hAnsi="宋体" w:cs="Times New Roman"/>
          <w:b/>
          <w:color w:val="000000" w:themeColor="text1"/>
          <w:sz w:val="24"/>
          <w:szCs w:val="24"/>
        </w:rPr>
        <w:t>1、小微型企业价格扣除</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（1）本项目对小型和微型企业产品给予10%的扣除价格，用扣除后的价格参与评审。</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（2）供应商需按照采购文件的要求提供相应的《企业声明函》。</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（3）企业标准请参照《关于印发中小企业划型标准规定的通知》（工信部联企业[2011]300号）文件规定自行填写，如未按要求填写，不得享受价格扣除。</w:t>
      </w:r>
    </w:p>
    <w:p>
      <w:pPr>
        <w:snapToGrid w:val="0"/>
        <w:spacing w:line="360" w:lineRule="auto"/>
        <w:ind w:firstLine="480" w:firstLineChars="200"/>
        <w:rPr>
          <w:rStyle w:val="44"/>
          <w:rFonts w:ascii="宋体" w:hAnsi="宋体" w:cs="Times New Roman"/>
          <w:b/>
          <w:color w:val="000000" w:themeColor="text1"/>
          <w:sz w:val="24"/>
          <w:szCs w:val="24"/>
        </w:rPr>
      </w:pPr>
      <w:r>
        <w:rPr>
          <w:rStyle w:val="44"/>
          <w:rFonts w:hint="eastAsia" w:ascii="宋体" w:hAnsi="宋体" w:cs="Times New Roman"/>
          <w:bCs/>
          <w:color w:val="000000" w:themeColor="text1"/>
          <w:sz w:val="24"/>
          <w:szCs w:val="24"/>
        </w:rPr>
        <w:t>（4）</w:t>
      </w:r>
      <w:r>
        <w:rPr>
          <w:rStyle w:val="44"/>
          <w:rFonts w:hint="eastAsia" w:ascii="宋体" w:hAnsi="宋体" w:cs="Times New Roman"/>
          <w:b/>
          <w:color w:val="000000" w:themeColor="text1"/>
          <w:sz w:val="24"/>
          <w:szCs w:val="24"/>
        </w:rPr>
        <w:t>在标的物采购项目中，供应商提供的标的物既有中小企业制造标的物，也有大型企业制造标的物的，不享受本办法规定的中小企业扶持政策。</w:t>
      </w:r>
    </w:p>
    <w:p>
      <w:pPr>
        <w:snapToGrid w:val="0"/>
        <w:spacing w:line="360" w:lineRule="auto"/>
        <w:ind w:firstLine="482" w:firstLineChars="200"/>
        <w:rPr>
          <w:rStyle w:val="44"/>
          <w:rFonts w:ascii="宋体" w:hAnsi="宋体" w:cs="Times New Roman"/>
          <w:b/>
          <w:color w:val="000000" w:themeColor="text1"/>
          <w:sz w:val="24"/>
          <w:szCs w:val="24"/>
        </w:rPr>
      </w:pPr>
      <w:r>
        <w:rPr>
          <w:rStyle w:val="44"/>
          <w:rFonts w:hint="eastAsia" w:ascii="宋体" w:hAnsi="宋体" w:cs="Times New Roman"/>
          <w:b/>
          <w:color w:val="000000" w:themeColor="text1"/>
          <w:sz w:val="24"/>
          <w:szCs w:val="24"/>
        </w:rPr>
        <w:t>2、残疾人福利单位价格扣除</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（1）本项目对残疾人福利性单位视同小型、微型企业，给予10%的价格扣除，用扣除后的价格参与评审。</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（2）残疾人福利单位需按照采购文件的要求提供《残疾人福利性单位声明函》。</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（3）残疾人福利单位标准请参照《关于促进残疾人就业政府采购政策的通知》（财库〔2017〕141号），如未按要求填写，不得享受价格扣除。</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3、监狱和戒毒企业价格扣除</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（1）本项目对监狱和戒毒企业（简称监狱企业）视同小型、微型企业，给予10%的价格扣除，用扣除后的价格参与评审。</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（3）监狱企业标准请参照《关于政府采购支持监狱企业发展有关问题的通知》（财库[2014]68号）。</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4、残疾人福利单位、监狱企业属于小型、微型企业的，不重复享受政策。</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360" w:lineRule="auto"/>
        <w:ind w:firstLine="480" w:firstLineChars="200"/>
        <w:rPr>
          <w:rStyle w:val="44"/>
          <w:rFonts w:ascii="宋体" w:hAnsi="宋体" w:cs="Times New Roman"/>
          <w:bCs/>
          <w:color w:val="000000" w:themeColor="text1"/>
          <w:sz w:val="24"/>
          <w:szCs w:val="24"/>
        </w:rPr>
      </w:pPr>
      <w:r>
        <w:rPr>
          <w:rStyle w:val="44"/>
          <w:rFonts w:hint="eastAsia" w:ascii="宋体" w:hAnsi="宋体" w:cs="Times New Roman"/>
          <w:bCs/>
          <w:color w:val="000000" w:themeColor="text1"/>
          <w:sz w:val="24"/>
          <w:szCs w:val="24"/>
        </w:rPr>
        <w:br w:type="page"/>
      </w:r>
    </w:p>
    <w:p>
      <w:pPr>
        <w:spacing w:line="360" w:lineRule="auto"/>
        <w:jc w:val="left"/>
        <w:rPr>
          <w:rFonts w:ascii="宋体" w:hAnsi="宋体"/>
          <w:color w:val="000000" w:themeColor="text1"/>
        </w:rPr>
      </w:pPr>
      <w:r>
        <w:rPr>
          <w:rFonts w:hint="eastAsia" w:ascii="宋体" w:hAnsi="宋体"/>
          <w:color w:val="000000" w:themeColor="text1"/>
        </w:rPr>
        <w:t>本项目评分总分值为100分。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16"/>
        <w:gridCol w:w="729"/>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Align w:val="center"/>
          </w:tcPr>
          <w:p>
            <w:pPr>
              <w:jc w:val="center"/>
              <w:rPr>
                <w:rFonts w:ascii="宋体" w:hAnsi="宋体"/>
                <w:b/>
                <w:bCs/>
                <w:color w:val="000000" w:themeColor="text1"/>
                <w:sz w:val="24"/>
                <w:szCs w:val="24"/>
              </w:rPr>
            </w:pPr>
            <w:r>
              <w:rPr>
                <w:rFonts w:hint="eastAsia" w:ascii="宋体" w:hAnsi="宋体"/>
                <w:b/>
                <w:bCs/>
                <w:color w:val="000000" w:themeColor="text1"/>
                <w:sz w:val="24"/>
                <w:szCs w:val="24"/>
              </w:rPr>
              <w:t>序号</w:t>
            </w:r>
          </w:p>
        </w:tc>
        <w:tc>
          <w:tcPr>
            <w:tcW w:w="1216" w:type="dxa"/>
            <w:vAlign w:val="center"/>
          </w:tcPr>
          <w:p>
            <w:pPr>
              <w:snapToGrid w:val="0"/>
              <w:spacing w:line="240" w:lineRule="atLeast"/>
              <w:ind w:left="-38"/>
              <w:jc w:val="center"/>
              <w:rPr>
                <w:rFonts w:ascii="宋体" w:hAnsi="宋体"/>
                <w:b/>
                <w:color w:val="000000" w:themeColor="text1"/>
                <w:sz w:val="24"/>
                <w:szCs w:val="24"/>
              </w:rPr>
            </w:pPr>
            <w:r>
              <w:rPr>
                <w:rFonts w:hint="eastAsia" w:ascii="宋体" w:hAnsi="宋体"/>
                <w:b/>
                <w:color w:val="000000" w:themeColor="text1"/>
                <w:sz w:val="24"/>
                <w:szCs w:val="24"/>
              </w:rPr>
              <w:t>评分因素</w:t>
            </w:r>
          </w:p>
          <w:p>
            <w:pPr>
              <w:snapToGrid w:val="0"/>
              <w:spacing w:line="240" w:lineRule="atLeast"/>
              <w:ind w:left="-38"/>
              <w:jc w:val="center"/>
              <w:rPr>
                <w:rFonts w:ascii="宋体" w:hAnsi="宋体"/>
                <w:b/>
                <w:color w:val="000000" w:themeColor="text1"/>
                <w:sz w:val="24"/>
                <w:szCs w:val="24"/>
              </w:rPr>
            </w:pPr>
            <w:r>
              <w:rPr>
                <w:rFonts w:hint="eastAsia" w:ascii="宋体" w:hAnsi="宋体"/>
                <w:b/>
                <w:color w:val="000000" w:themeColor="text1"/>
                <w:sz w:val="24"/>
                <w:szCs w:val="24"/>
              </w:rPr>
              <w:t>及权重</w:t>
            </w:r>
          </w:p>
        </w:tc>
        <w:tc>
          <w:tcPr>
            <w:tcW w:w="729" w:type="dxa"/>
            <w:vAlign w:val="center"/>
          </w:tcPr>
          <w:p>
            <w:pPr>
              <w:snapToGrid w:val="0"/>
              <w:spacing w:line="240" w:lineRule="atLeast"/>
              <w:ind w:left="-38"/>
              <w:jc w:val="center"/>
              <w:rPr>
                <w:rFonts w:ascii="宋体" w:hAnsi="宋体"/>
                <w:b/>
                <w:color w:val="000000" w:themeColor="text1"/>
                <w:sz w:val="24"/>
                <w:szCs w:val="24"/>
              </w:rPr>
            </w:pPr>
            <w:r>
              <w:rPr>
                <w:rFonts w:hint="eastAsia" w:ascii="宋体" w:hAnsi="宋体"/>
                <w:b/>
                <w:color w:val="000000" w:themeColor="text1"/>
                <w:sz w:val="24"/>
                <w:szCs w:val="24"/>
              </w:rPr>
              <w:t>分值</w:t>
            </w:r>
          </w:p>
        </w:tc>
        <w:tc>
          <w:tcPr>
            <w:tcW w:w="6621" w:type="dxa"/>
            <w:vAlign w:val="center"/>
          </w:tcPr>
          <w:p>
            <w:pPr>
              <w:jc w:val="center"/>
              <w:rPr>
                <w:rFonts w:ascii="宋体" w:hAnsi="宋体"/>
                <w:b/>
                <w:bCs/>
                <w:color w:val="000000" w:themeColor="text1"/>
                <w:sz w:val="24"/>
                <w:szCs w:val="24"/>
              </w:rPr>
            </w:pPr>
            <w:r>
              <w:rPr>
                <w:rFonts w:hint="eastAsia" w:ascii="宋体" w:hAnsi="宋体"/>
                <w:b/>
                <w:bCs/>
                <w:color w:val="000000" w:themeColor="text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73" w:type="dxa"/>
            <w:vAlign w:val="center"/>
          </w:tcPr>
          <w:p>
            <w:pPr>
              <w:spacing w:line="300" w:lineRule="auto"/>
              <w:rPr>
                <w:color w:val="000000" w:themeColor="text1"/>
                <w:sz w:val="24"/>
                <w:szCs w:val="24"/>
              </w:rPr>
            </w:pPr>
            <w:r>
              <w:rPr>
                <w:rFonts w:hint="eastAsia" w:ascii="宋体" w:hAnsi="宋体"/>
                <w:b/>
                <w:bCs/>
                <w:color w:val="000000" w:themeColor="text1"/>
                <w:sz w:val="24"/>
                <w:szCs w:val="24"/>
              </w:rPr>
              <w:t>1</w:t>
            </w:r>
          </w:p>
        </w:tc>
        <w:tc>
          <w:tcPr>
            <w:tcW w:w="1216"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价格分</w:t>
            </w:r>
          </w:p>
        </w:tc>
        <w:tc>
          <w:tcPr>
            <w:tcW w:w="729"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50分</w:t>
            </w:r>
          </w:p>
        </w:tc>
        <w:tc>
          <w:tcPr>
            <w:tcW w:w="6621" w:type="dxa"/>
          </w:tcPr>
          <w:p>
            <w:pPr>
              <w:spacing w:line="400" w:lineRule="exact"/>
              <w:jc w:val="left"/>
              <w:rPr>
                <w:rFonts w:ascii="宋体" w:hAnsi="宋体"/>
                <w:bCs/>
                <w:color w:val="000000" w:themeColor="text1"/>
                <w:sz w:val="24"/>
                <w:szCs w:val="24"/>
              </w:rPr>
            </w:pPr>
            <w:r>
              <w:rPr>
                <w:rFonts w:hint="eastAsia" w:ascii="宋体" w:hAnsi="宋体"/>
                <w:bCs/>
                <w:color w:val="000000" w:themeColor="text1"/>
                <w:sz w:val="24"/>
                <w:szCs w:val="24"/>
              </w:rPr>
              <w:t>1.投标报价为承诺为家庭贫困学生提供免费体检服务占体检学生总数的百分比，比例最高的为评标基准价，其价格分为50分</w:t>
            </w:r>
            <w:r>
              <w:rPr>
                <w:rFonts w:ascii="宋体" w:hAnsi="宋体"/>
                <w:bCs/>
                <w:color w:val="000000" w:themeColor="text1"/>
                <w:sz w:val="24"/>
                <w:szCs w:val="24"/>
              </w:rPr>
              <w:t xml:space="preserve">； </w:t>
            </w:r>
          </w:p>
          <w:p>
            <w:pPr>
              <w:pStyle w:val="29"/>
              <w:spacing w:line="400" w:lineRule="exact"/>
              <w:rPr>
                <w:color w:val="000000" w:themeColor="text1"/>
              </w:rPr>
            </w:pPr>
            <w:r>
              <w:rPr>
                <w:rFonts w:ascii="宋体" w:hAnsi="宋体" w:cs="宋体"/>
                <w:bCs/>
                <w:color w:val="000000" w:themeColor="text1"/>
                <w:kern w:val="2"/>
              </w:rPr>
              <w:t>2</w:t>
            </w:r>
            <w:r>
              <w:rPr>
                <w:rFonts w:hint="eastAsia" w:ascii="宋体" w:hAnsi="宋体" w:cs="宋体"/>
                <w:bCs/>
                <w:color w:val="000000" w:themeColor="text1"/>
                <w:kern w:val="2"/>
              </w:rPr>
              <w:t>.其他投标人的价格分统一按照下列公式计算：投标报价得分=(投标报价／评标基准价)×50，小数点后保留两位。）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73" w:type="dxa"/>
            <w:vMerge w:val="restart"/>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2</w:t>
            </w:r>
          </w:p>
        </w:tc>
        <w:tc>
          <w:tcPr>
            <w:tcW w:w="1216" w:type="dxa"/>
            <w:vMerge w:val="restart"/>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服务</w:t>
            </w:r>
          </w:p>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方案</w:t>
            </w:r>
          </w:p>
        </w:tc>
        <w:tc>
          <w:tcPr>
            <w:tcW w:w="729" w:type="dxa"/>
            <w:vMerge w:val="restart"/>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30分</w:t>
            </w:r>
          </w:p>
        </w:tc>
        <w:tc>
          <w:tcPr>
            <w:tcW w:w="6621" w:type="dxa"/>
          </w:tcPr>
          <w:p>
            <w:pPr>
              <w:spacing w:line="320" w:lineRule="exact"/>
              <w:jc w:val="left"/>
              <w:rPr>
                <w:rFonts w:ascii="宋体" w:hAnsi="宋体"/>
                <w:b/>
                <w:bCs/>
                <w:color w:val="000000" w:themeColor="text1"/>
                <w:sz w:val="24"/>
                <w:szCs w:val="24"/>
              </w:rPr>
            </w:pPr>
            <w:r>
              <w:rPr>
                <w:rFonts w:hint="eastAsia" w:ascii="宋体" w:hAnsi="宋体"/>
                <w:b/>
                <w:bCs/>
                <w:color w:val="000000" w:themeColor="text1"/>
                <w:sz w:val="24"/>
                <w:szCs w:val="24"/>
              </w:rPr>
              <w:t>总体体检方案：</w:t>
            </w:r>
            <w:r>
              <w:rPr>
                <w:rFonts w:hint="eastAsia" w:ascii="宋体" w:hAnsi="宋体"/>
                <w:bCs/>
                <w:color w:val="000000" w:themeColor="text1"/>
                <w:sz w:val="24"/>
                <w:szCs w:val="24"/>
              </w:rPr>
              <w:t>体检实施方案科学合理，可执行性强，能够保证体检结果的准确性：优得5-4分；良得4-3分；一般得3-2分；无得0分。</w:t>
            </w:r>
            <w:r>
              <w:rPr>
                <w:rFonts w:hint="eastAsia" w:ascii="宋体" w:hAnsi="宋体"/>
                <w:b/>
                <w:bCs/>
                <w:color w:val="000000" w:themeColor="text1"/>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000000" w:themeColor="text1"/>
                <w:sz w:val="24"/>
                <w:szCs w:val="24"/>
              </w:rPr>
            </w:pPr>
          </w:p>
        </w:tc>
        <w:tc>
          <w:tcPr>
            <w:tcW w:w="1216" w:type="dxa"/>
            <w:vMerge w:val="continue"/>
          </w:tcPr>
          <w:p>
            <w:pPr>
              <w:spacing w:line="300" w:lineRule="auto"/>
              <w:rPr>
                <w:rFonts w:ascii="宋体" w:hAnsi="宋体"/>
                <w:b/>
                <w:bCs/>
                <w:color w:val="000000" w:themeColor="text1"/>
                <w:sz w:val="24"/>
                <w:szCs w:val="24"/>
              </w:rPr>
            </w:pPr>
          </w:p>
        </w:tc>
        <w:tc>
          <w:tcPr>
            <w:tcW w:w="729" w:type="dxa"/>
            <w:vMerge w:val="continue"/>
          </w:tcPr>
          <w:p>
            <w:pPr>
              <w:spacing w:line="300" w:lineRule="auto"/>
              <w:rPr>
                <w:rFonts w:ascii="宋体" w:hAnsi="宋体"/>
                <w:b/>
                <w:bCs/>
                <w:color w:val="000000" w:themeColor="text1"/>
                <w:sz w:val="24"/>
                <w:szCs w:val="24"/>
              </w:rPr>
            </w:pPr>
          </w:p>
        </w:tc>
        <w:tc>
          <w:tcPr>
            <w:tcW w:w="6621" w:type="dxa"/>
          </w:tcPr>
          <w:p>
            <w:pPr>
              <w:spacing w:line="320" w:lineRule="exact"/>
              <w:rPr>
                <w:rFonts w:ascii="宋体" w:hAnsi="宋体"/>
                <w:bCs/>
                <w:color w:val="000000" w:themeColor="text1"/>
                <w:sz w:val="24"/>
                <w:szCs w:val="24"/>
              </w:rPr>
            </w:pPr>
            <w:r>
              <w:rPr>
                <w:rFonts w:hint="eastAsia" w:ascii="宋体" w:hAnsi="宋体"/>
                <w:b/>
                <w:bCs/>
                <w:color w:val="000000" w:themeColor="text1"/>
                <w:sz w:val="24"/>
                <w:szCs w:val="24"/>
              </w:rPr>
              <w:t>人员设备进场计划：</w:t>
            </w:r>
            <w:r>
              <w:rPr>
                <w:rFonts w:hint="eastAsia" w:ascii="宋体" w:hAnsi="宋体"/>
                <w:bCs/>
                <w:color w:val="000000" w:themeColor="text1"/>
                <w:sz w:val="24"/>
                <w:szCs w:val="24"/>
              </w:rPr>
              <w:t>进场计划科学合理可执行，保证在体检开始前1小时人员设备全部到位。优得5-4分；良得4-3分；一般得3-2分；无得0分。</w:t>
            </w:r>
            <w:r>
              <w:rPr>
                <w:rFonts w:hint="eastAsia" w:ascii="宋体" w:hAnsi="宋体"/>
                <w:b/>
                <w:bCs/>
                <w:color w:val="000000" w:themeColor="text1"/>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000000" w:themeColor="text1"/>
                <w:sz w:val="24"/>
                <w:szCs w:val="24"/>
              </w:rPr>
            </w:pPr>
          </w:p>
        </w:tc>
        <w:tc>
          <w:tcPr>
            <w:tcW w:w="1216" w:type="dxa"/>
            <w:vMerge w:val="continue"/>
          </w:tcPr>
          <w:p>
            <w:pPr>
              <w:spacing w:line="300" w:lineRule="auto"/>
              <w:rPr>
                <w:rFonts w:ascii="宋体" w:hAnsi="宋体"/>
                <w:b/>
                <w:bCs/>
                <w:color w:val="000000" w:themeColor="text1"/>
                <w:sz w:val="24"/>
                <w:szCs w:val="24"/>
              </w:rPr>
            </w:pPr>
          </w:p>
        </w:tc>
        <w:tc>
          <w:tcPr>
            <w:tcW w:w="729" w:type="dxa"/>
            <w:vMerge w:val="continue"/>
          </w:tcPr>
          <w:p>
            <w:pPr>
              <w:spacing w:line="300" w:lineRule="auto"/>
              <w:rPr>
                <w:rFonts w:ascii="宋体" w:hAnsi="宋体"/>
                <w:b/>
                <w:bCs/>
                <w:color w:val="000000" w:themeColor="text1"/>
                <w:sz w:val="24"/>
                <w:szCs w:val="24"/>
              </w:rPr>
            </w:pPr>
          </w:p>
        </w:tc>
        <w:tc>
          <w:tcPr>
            <w:tcW w:w="6621" w:type="dxa"/>
          </w:tcPr>
          <w:p>
            <w:pPr>
              <w:spacing w:line="320" w:lineRule="exact"/>
              <w:rPr>
                <w:rFonts w:ascii="宋体" w:hAnsi="宋体"/>
                <w:color w:val="000000" w:themeColor="text1"/>
                <w:sz w:val="24"/>
                <w:szCs w:val="24"/>
              </w:rPr>
            </w:pPr>
            <w:r>
              <w:rPr>
                <w:rFonts w:hint="eastAsia" w:ascii="宋体" w:hAnsi="宋体"/>
                <w:b/>
                <w:bCs/>
                <w:color w:val="000000" w:themeColor="text1"/>
                <w:sz w:val="24"/>
                <w:szCs w:val="24"/>
              </w:rPr>
              <w:t>设备、人员配备：</w:t>
            </w:r>
            <w:r>
              <w:rPr>
                <w:rFonts w:hint="eastAsia" w:ascii="宋体" w:hAnsi="宋体"/>
                <w:bCs/>
                <w:color w:val="000000" w:themeColor="text1"/>
                <w:sz w:val="24"/>
                <w:szCs w:val="24"/>
              </w:rPr>
              <w:t>具有符合开展</w:t>
            </w:r>
            <w:r>
              <w:rPr>
                <w:rFonts w:hint="eastAsia"/>
                <w:color w:val="000000" w:themeColor="text1"/>
                <w:kern w:val="0"/>
                <w:sz w:val="24"/>
                <w:szCs w:val="24"/>
              </w:rPr>
              <w:t>上门集中健康体检要求的仪器设备；</w:t>
            </w:r>
            <w:r>
              <w:rPr>
                <w:rFonts w:hint="eastAsia" w:ascii="宋体" w:hAnsi="宋体"/>
                <w:bCs/>
                <w:color w:val="000000" w:themeColor="text1"/>
                <w:sz w:val="24"/>
                <w:szCs w:val="24"/>
              </w:rPr>
              <w:t>体检仪器设备配备充分且质量能够满足体检正常开展需要；人员配备充足（</w:t>
            </w:r>
            <w:r>
              <w:rPr>
                <w:rFonts w:hint="eastAsia"/>
                <w:color w:val="000000" w:themeColor="text1"/>
                <w:kern w:val="0"/>
                <w:sz w:val="24"/>
                <w:szCs w:val="24"/>
              </w:rPr>
              <w:t>医务人员不少于30人</w:t>
            </w:r>
            <w:r>
              <w:rPr>
                <w:rFonts w:hint="eastAsia" w:ascii="宋体" w:hAnsi="宋体"/>
                <w:bCs/>
                <w:color w:val="000000" w:themeColor="text1"/>
                <w:sz w:val="24"/>
                <w:szCs w:val="24"/>
              </w:rPr>
              <w:t>），能够满足体检需要，确保在规定的时间内完成全部体检工作。本项目需提供配备的设备、人员清单。优得5-4分；良得4-3分；一般得3-2分；无得0分。</w:t>
            </w:r>
            <w:r>
              <w:rPr>
                <w:rFonts w:hint="eastAsia" w:ascii="宋体" w:hAnsi="宋体"/>
                <w:b/>
                <w:bCs/>
                <w:color w:val="000000" w:themeColor="text1"/>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000000" w:themeColor="text1"/>
                <w:sz w:val="24"/>
                <w:szCs w:val="24"/>
              </w:rPr>
            </w:pPr>
          </w:p>
        </w:tc>
        <w:tc>
          <w:tcPr>
            <w:tcW w:w="1216" w:type="dxa"/>
            <w:vMerge w:val="continue"/>
          </w:tcPr>
          <w:p>
            <w:pPr>
              <w:spacing w:line="300" w:lineRule="auto"/>
              <w:rPr>
                <w:rFonts w:ascii="宋体" w:hAnsi="宋体"/>
                <w:b/>
                <w:bCs/>
                <w:color w:val="000000" w:themeColor="text1"/>
                <w:sz w:val="24"/>
                <w:szCs w:val="24"/>
              </w:rPr>
            </w:pPr>
          </w:p>
        </w:tc>
        <w:tc>
          <w:tcPr>
            <w:tcW w:w="729" w:type="dxa"/>
            <w:vMerge w:val="continue"/>
          </w:tcPr>
          <w:p>
            <w:pPr>
              <w:spacing w:line="300" w:lineRule="auto"/>
              <w:rPr>
                <w:rFonts w:ascii="宋体" w:hAnsi="宋体"/>
                <w:b/>
                <w:bCs/>
                <w:color w:val="000000" w:themeColor="text1"/>
                <w:sz w:val="24"/>
                <w:szCs w:val="24"/>
              </w:rPr>
            </w:pPr>
          </w:p>
        </w:tc>
        <w:tc>
          <w:tcPr>
            <w:tcW w:w="6621" w:type="dxa"/>
          </w:tcPr>
          <w:p>
            <w:pPr>
              <w:spacing w:line="320" w:lineRule="exact"/>
              <w:rPr>
                <w:color w:val="000000" w:themeColor="text1"/>
                <w:sz w:val="24"/>
                <w:szCs w:val="24"/>
              </w:rPr>
            </w:pPr>
            <w:r>
              <w:rPr>
                <w:rFonts w:hint="eastAsia"/>
                <w:color w:val="000000" w:themeColor="text1"/>
                <w:sz w:val="24"/>
                <w:szCs w:val="24"/>
              </w:rPr>
              <w:t>体检重难点分析：针对体检过程中的关键环节、体检的重难点环节有充分的分析和准备，同时提出切实可行的解决预案，以保证体检的准确性及时性。</w:t>
            </w:r>
            <w:r>
              <w:rPr>
                <w:rFonts w:hint="eastAsia" w:ascii="宋体" w:hAnsi="宋体"/>
                <w:bCs/>
                <w:color w:val="000000" w:themeColor="text1"/>
                <w:sz w:val="24"/>
                <w:szCs w:val="24"/>
              </w:rPr>
              <w:t>优得5-4分；良得4-3分；一般得3-2分；无得0分。</w:t>
            </w:r>
            <w:r>
              <w:rPr>
                <w:rFonts w:hint="eastAsia"/>
                <w:color w:val="000000" w:themeColor="text1"/>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pPr>
              <w:spacing w:line="300" w:lineRule="auto"/>
              <w:rPr>
                <w:rFonts w:ascii="宋体" w:hAnsi="宋体"/>
                <w:b/>
                <w:bCs/>
                <w:color w:val="000000" w:themeColor="text1"/>
                <w:sz w:val="24"/>
                <w:szCs w:val="24"/>
              </w:rPr>
            </w:pPr>
          </w:p>
        </w:tc>
        <w:tc>
          <w:tcPr>
            <w:tcW w:w="1216" w:type="dxa"/>
            <w:vMerge w:val="continue"/>
          </w:tcPr>
          <w:p>
            <w:pPr>
              <w:spacing w:line="300" w:lineRule="auto"/>
              <w:rPr>
                <w:rFonts w:ascii="宋体" w:hAnsi="宋体"/>
                <w:b/>
                <w:bCs/>
                <w:color w:val="000000" w:themeColor="text1"/>
                <w:sz w:val="24"/>
                <w:szCs w:val="24"/>
              </w:rPr>
            </w:pPr>
          </w:p>
        </w:tc>
        <w:tc>
          <w:tcPr>
            <w:tcW w:w="729" w:type="dxa"/>
            <w:vMerge w:val="continue"/>
          </w:tcPr>
          <w:p>
            <w:pPr>
              <w:spacing w:line="300" w:lineRule="auto"/>
              <w:rPr>
                <w:rFonts w:ascii="宋体" w:hAnsi="宋体"/>
                <w:b/>
                <w:bCs/>
                <w:color w:val="000000" w:themeColor="text1"/>
                <w:sz w:val="24"/>
                <w:szCs w:val="24"/>
              </w:rPr>
            </w:pPr>
          </w:p>
        </w:tc>
        <w:tc>
          <w:tcPr>
            <w:tcW w:w="6621" w:type="dxa"/>
          </w:tcPr>
          <w:p>
            <w:pPr>
              <w:spacing w:line="320" w:lineRule="exact"/>
              <w:rPr>
                <w:rFonts w:ascii="宋体" w:hAnsi="宋体"/>
                <w:b/>
                <w:bCs/>
                <w:color w:val="000000" w:themeColor="text1"/>
                <w:sz w:val="24"/>
                <w:szCs w:val="24"/>
              </w:rPr>
            </w:pPr>
            <w:r>
              <w:rPr>
                <w:rFonts w:hint="eastAsia" w:ascii="宋体" w:hAnsi="宋体"/>
                <w:b/>
                <w:bCs/>
                <w:color w:val="000000" w:themeColor="text1"/>
                <w:sz w:val="24"/>
                <w:szCs w:val="24"/>
              </w:rPr>
              <w:t>医疗卫生安全保障：</w:t>
            </w:r>
            <w:r>
              <w:rPr>
                <w:rFonts w:hint="eastAsia" w:ascii="宋体" w:hAnsi="宋体"/>
                <w:bCs/>
                <w:color w:val="000000" w:themeColor="text1"/>
                <w:sz w:val="24"/>
                <w:szCs w:val="24"/>
              </w:rPr>
              <w:t xml:space="preserve"> 对具有辐射性或对人体有一定副作用的体检项目，具备有效的防护措施；对体检过程中可能出现的安全问题或突发情况有充足的处理预案。优得5-4分；良得4-3分；一般得3-2分；无得0分。</w:t>
            </w:r>
            <w:r>
              <w:rPr>
                <w:rFonts w:hint="eastAsia"/>
                <w:color w:val="000000" w:themeColor="text1"/>
                <w:sz w:val="24"/>
                <w:szCs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3" w:type="dxa"/>
            <w:vMerge w:val="continue"/>
          </w:tcPr>
          <w:p>
            <w:pPr>
              <w:spacing w:line="300" w:lineRule="auto"/>
              <w:rPr>
                <w:rFonts w:ascii="宋体" w:hAnsi="宋体"/>
                <w:b/>
                <w:bCs/>
                <w:color w:val="000000" w:themeColor="text1"/>
                <w:sz w:val="24"/>
                <w:szCs w:val="24"/>
              </w:rPr>
            </w:pPr>
          </w:p>
        </w:tc>
        <w:tc>
          <w:tcPr>
            <w:tcW w:w="1216" w:type="dxa"/>
            <w:vMerge w:val="continue"/>
          </w:tcPr>
          <w:p>
            <w:pPr>
              <w:spacing w:line="300" w:lineRule="auto"/>
              <w:rPr>
                <w:rFonts w:ascii="宋体" w:hAnsi="宋体"/>
                <w:b/>
                <w:bCs/>
                <w:color w:val="000000" w:themeColor="text1"/>
                <w:sz w:val="24"/>
                <w:szCs w:val="24"/>
              </w:rPr>
            </w:pPr>
          </w:p>
        </w:tc>
        <w:tc>
          <w:tcPr>
            <w:tcW w:w="729" w:type="dxa"/>
            <w:vMerge w:val="continue"/>
          </w:tcPr>
          <w:p>
            <w:pPr>
              <w:spacing w:line="300" w:lineRule="auto"/>
              <w:rPr>
                <w:rFonts w:ascii="宋体" w:hAnsi="宋体"/>
                <w:b/>
                <w:bCs/>
                <w:color w:val="000000" w:themeColor="text1"/>
                <w:sz w:val="24"/>
                <w:szCs w:val="24"/>
              </w:rPr>
            </w:pPr>
          </w:p>
        </w:tc>
        <w:tc>
          <w:tcPr>
            <w:tcW w:w="6621" w:type="dxa"/>
          </w:tcPr>
          <w:p>
            <w:pPr>
              <w:spacing w:line="320" w:lineRule="exact"/>
              <w:rPr>
                <w:rFonts w:ascii="宋体" w:hAnsi="宋体"/>
                <w:bCs/>
                <w:color w:val="000000" w:themeColor="text1"/>
                <w:sz w:val="24"/>
                <w:szCs w:val="24"/>
              </w:rPr>
            </w:pPr>
            <w:r>
              <w:rPr>
                <w:rFonts w:hint="eastAsia" w:ascii="宋体" w:hAnsi="宋体"/>
                <w:b/>
                <w:bCs/>
                <w:color w:val="000000" w:themeColor="text1"/>
                <w:sz w:val="24"/>
                <w:szCs w:val="24"/>
              </w:rPr>
              <w:t>体检报告：</w:t>
            </w:r>
            <w:r>
              <w:rPr>
                <w:rFonts w:hint="eastAsia" w:ascii="宋体" w:hAnsi="宋体"/>
                <w:bCs/>
                <w:color w:val="000000" w:themeColor="text1"/>
                <w:sz w:val="24"/>
                <w:szCs w:val="24"/>
              </w:rPr>
              <w:t>体检报告提供准确且满足校方要求，不应出现体检结果和人员无法对应的情况，同时能够保证体检报告的私密性；承诺体检报告不得提供给校方、体检者本人、医疗行政主管部门以外的任何人员或机构。优得2.5-2分；良得2-1.5分；一般得1.5-1分；无得0分。</w:t>
            </w:r>
            <w:r>
              <w:rPr>
                <w:rFonts w:hint="eastAsia"/>
                <w:color w:val="000000" w:themeColor="text1"/>
                <w:sz w:val="24"/>
                <w:szCs w:val="24"/>
              </w:rPr>
              <w:t>（满分2.5分）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73" w:type="dxa"/>
            <w:vMerge w:val="continue"/>
          </w:tcPr>
          <w:p>
            <w:pPr>
              <w:spacing w:line="300" w:lineRule="auto"/>
              <w:rPr>
                <w:rFonts w:ascii="宋体" w:hAnsi="宋体"/>
                <w:b/>
                <w:bCs/>
                <w:color w:val="000000" w:themeColor="text1"/>
                <w:sz w:val="24"/>
                <w:szCs w:val="24"/>
              </w:rPr>
            </w:pPr>
          </w:p>
        </w:tc>
        <w:tc>
          <w:tcPr>
            <w:tcW w:w="1216" w:type="dxa"/>
            <w:vMerge w:val="continue"/>
          </w:tcPr>
          <w:p>
            <w:pPr>
              <w:spacing w:line="300" w:lineRule="auto"/>
              <w:rPr>
                <w:rFonts w:ascii="宋体" w:hAnsi="宋体"/>
                <w:b/>
                <w:bCs/>
                <w:color w:val="000000" w:themeColor="text1"/>
                <w:sz w:val="24"/>
                <w:szCs w:val="24"/>
              </w:rPr>
            </w:pPr>
          </w:p>
        </w:tc>
        <w:tc>
          <w:tcPr>
            <w:tcW w:w="729" w:type="dxa"/>
            <w:vMerge w:val="continue"/>
          </w:tcPr>
          <w:p>
            <w:pPr>
              <w:spacing w:line="300" w:lineRule="auto"/>
              <w:rPr>
                <w:rFonts w:ascii="宋体" w:hAnsi="宋体"/>
                <w:b/>
                <w:bCs/>
                <w:color w:val="000000" w:themeColor="text1"/>
                <w:sz w:val="24"/>
                <w:szCs w:val="24"/>
              </w:rPr>
            </w:pPr>
          </w:p>
        </w:tc>
        <w:tc>
          <w:tcPr>
            <w:tcW w:w="6621" w:type="dxa"/>
          </w:tcPr>
          <w:p>
            <w:pPr>
              <w:spacing w:line="320" w:lineRule="exact"/>
              <w:rPr>
                <w:rFonts w:ascii="宋体" w:hAnsi="宋体"/>
                <w:b/>
                <w:bCs/>
                <w:color w:val="000000" w:themeColor="text1"/>
                <w:sz w:val="24"/>
                <w:szCs w:val="24"/>
              </w:rPr>
            </w:pPr>
            <w:r>
              <w:rPr>
                <w:rFonts w:hint="eastAsia" w:ascii="宋体" w:hAnsi="宋体"/>
                <w:b/>
                <w:bCs/>
                <w:color w:val="000000" w:themeColor="text1"/>
                <w:sz w:val="24"/>
                <w:szCs w:val="24"/>
              </w:rPr>
              <w:t>学生健康档案：</w:t>
            </w:r>
            <w:r>
              <w:rPr>
                <w:rFonts w:hint="eastAsia" w:ascii="宋体" w:hAnsi="宋体"/>
                <w:bCs/>
                <w:color w:val="000000" w:themeColor="text1"/>
                <w:sz w:val="24"/>
                <w:szCs w:val="24"/>
              </w:rPr>
              <w:t>承诺建立所有参与体检学生的健康档案，能够有针对性的对健康体检结果提出指导性建议。优得2.5-2分；良得2-1.5分；一般得1.5-1分；无得0分。</w:t>
            </w:r>
            <w:r>
              <w:rPr>
                <w:rFonts w:hint="eastAsia"/>
                <w:color w:val="000000" w:themeColor="text1"/>
                <w:sz w:val="24"/>
                <w:szCs w:val="24"/>
              </w:rPr>
              <w:t>（满分2.5分）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3" w:type="dxa"/>
            <w:vMerge w:val="continue"/>
          </w:tcPr>
          <w:p>
            <w:pPr>
              <w:spacing w:line="300" w:lineRule="auto"/>
              <w:rPr>
                <w:rFonts w:ascii="宋体" w:hAnsi="宋体"/>
                <w:b/>
                <w:bCs/>
                <w:color w:val="000000" w:themeColor="text1"/>
                <w:sz w:val="24"/>
                <w:szCs w:val="24"/>
              </w:rPr>
            </w:pPr>
          </w:p>
        </w:tc>
        <w:tc>
          <w:tcPr>
            <w:tcW w:w="1216" w:type="dxa"/>
            <w:vMerge w:val="continue"/>
          </w:tcPr>
          <w:p>
            <w:pPr>
              <w:spacing w:line="300" w:lineRule="auto"/>
              <w:rPr>
                <w:rFonts w:ascii="宋体" w:hAnsi="宋体"/>
                <w:b/>
                <w:bCs/>
                <w:color w:val="000000" w:themeColor="text1"/>
                <w:sz w:val="24"/>
                <w:szCs w:val="24"/>
              </w:rPr>
            </w:pPr>
          </w:p>
        </w:tc>
        <w:tc>
          <w:tcPr>
            <w:tcW w:w="729" w:type="dxa"/>
            <w:vMerge w:val="continue"/>
          </w:tcPr>
          <w:p>
            <w:pPr>
              <w:spacing w:line="300" w:lineRule="auto"/>
              <w:rPr>
                <w:rFonts w:ascii="宋体" w:hAnsi="宋体"/>
                <w:b/>
                <w:bCs/>
                <w:color w:val="000000" w:themeColor="text1"/>
                <w:sz w:val="24"/>
                <w:szCs w:val="24"/>
              </w:rPr>
            </w:pPr>
          </w:p>
        </w:tc>
        <w:tc>
          <w:tcPr>
            <w:tcW w:w="6621" w:type="dxa"/>
          </w:tcPr>
          <w:p>
            <w:pPr>
              <w:spacing w:line="320" w:lineRule="exact"/>
              <w:rPr>
                <w:rFonts w:hint="eastAsia" w:ascii="宋体" w:hAnsi="宋体"/>
                <w:b/>
                <w:bCs/>
                <w:color w:val="000000" w:themeColor="text1"/>
                <w:sz w:val="24"/>
                <w:szCs w:val="24"/>
              </w:rPr>
            </w:pPr>
            <w:r>
              <w:rPr>
                <w:rFonts w:hint="eastAsia" w:ascii="宋体" w:hAnsi="宋体"/>
                <w:b/>
                <w:bCs/>
                <w:color w:val="000000" w:themeColor="text1"/>
                <w:sz w:val="24"/>
                <w:szCs w:val="24"/>
              </w:rPr>
              <w:t>注：服务方案得分中，凡有评分范围的，均不含下限得分，评分精确到小数点后1位</w:t>
            </w:r>
            <w:r>
              <w:rPr>
                <w:rFonts w:hint="eastAsia" w:ascii="宋体" w:hAnsi="宋体"/>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Merge w:val="restart"/>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3</w:t>
            </w:r>
          </w:p>
        </w:tc>
        <w:tc>
          <w:tcPr>
            <w:tcW w:w="1216" w:type="dxa"/>
            <w:vMerge w:val="restart"/>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项目负责人</w:t>
            </w:r>
          </w:p>
        </w:tc>
        <w:tc>
          <w:tcPr>
            <w:tcW w:w="729" w:type="dxa"/>
            <w:vMerge w:val="restart"/>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7分</w:t>
            </w:r>
          </w:p>
        </w:tc>
        <w:tc>
          <w:tcPr>
            <w:tcW w:w="6621" w:type="dxa"/>
            <w:vAlign w:val="center"/>
          </w:tcPr>
          <w:p>
            <w:pPr>
              <w:spacing w:line="320" w:lineRule="exact"/>
              <w:jc w:val="left"/>
              <w:rPr>
                <w:rFonts w:ascii="宋体" w:hAnsi="宋体"/>
                <w:bCs/>
                <w:color w:val="000000" w:themeColor="text1"/>
                <w:sz w:val="24"/>
                <w:szCs w:val="24"/>
              </w:rPr>
            </w:pPr>
            <w:r>
              <w:rPr>
                <w:rFonts w:hint="eastAsia" w:ascii="宋体" w:hAnsi="宋体"/>
                <w:b/>
                <w:color w:val="000000" w:themeColor="text1"/>
                <w:sz w:val="24"/>
                <w:szCs w:val="24"/>
              </w:rPr>
              <w:t>项目负责人资质:</w:t>
            </w:r>
            <w:r>
              <w:rPr>
                <w:rFonts w:hint="eastAsia" w:ascii="宋体" w:hAnsi="宋体"/>
                <w:color w:val="000000" w:themeColor="text1"/>
                <w:sz w:val="24"/>
                <w:szCs w:val="24"/>
              </w:rPr>
              <w:t>能够满足体检需要，</w:t>
            </w:r>
            <w:r>
              <w:rPr>
                <w:rFonts w:hint="eastAsia" w:ascii="宋体" w:hAnsi="宋体"/>
                <w:bCs/>
                <w:color w:val="000000" w:themeColor="text1"/>
                <w:sz w:val="24"/>
                <w:szCs w:val="24"/>
              </w:rPr>
              <w:t>确保在规定的时间内完成全部体检工作。</w:t>
            </w:r>
            <w:r>
              <w:rPr>
                <w:rFonts w:hint="eastAsia" w:ascii="宋体" w:hAnsi="宋体"/>
                <w:color w:val="000000" w:themeColor="text1"/>
                <w:kern w:val="0"/>
                <w:sz w:val="24"/>
                <w:szCs w:val="24"/>
              </w:rPr>
              <w:t>体检项目总负责人和三个分项目（临床、放射科、检验科）负责人职称不低于中级职称，凡4人全部达到中级职称的得2分。其中</w:t>
            </w:r>
            <w:r>
              <w:rPr>
                <w:rFonts w:hint="eastAsia" w:ascii="宋体" w:hAnsi="宋体"/>
                <w:bCs/>
                <w:color w:val="000000" w:themeColor="text1"/>
                <w:sz w:val="24"/>
                <w:szCs w:val="24"/>
              </w:rPr>
              <w:t>项目总负责人具有主任医师职称的加1分；分项负责人有副主任医师职称（含）以上加1分/人。</w:t>
            </w:r>
            <w:r>
              <w:rPr>
                <w:rFonts w:hint="eastAsia"/>
                <w:color w:val="000000" w:themeColor="text1"/>
                <w:sz w:val="24"/>
                <w:szCs w:val="24"/>
              </w:rPr>
              <w:t>（满分5分）</w:t>
            </w:r>
          </w:p>
          <w:p>
            <w:pPr>
              <w:spacing w:line="320" w:lineRule="exact"/>
              <w:jc w:val="left"/>
              <w:rPr>
                <w:rFonts w:ascii="宋体" w:hAnsi="宋体"/>
                <w:bCs/>
                <w:color w:val="000000" w:themeColor="text1"/>
                <w:sz w:val="24"/>
                <w:szCs w:val="24"/>
              </w:rPr>
            </w:pPr>
            <w:r>
              <w:rPr>
                <w:rFonts w:hint="eastAsia" w:ascii="宋体" w:hAnsi="宋体"/>
                <w:bCs/>
                <w:color w:val="000000" w:themeColor="text1"/>
                <w:sz w:val="24"/>
                <w:szCs w:val="24"/>
              </w:rPr>
              <w:t>注：需提供项目总负责人和分项目负责人职称资格证书及在投标人单位注册登记信息复印件并加盖公章，原件携带备查。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Merge w:val="continue"/>
            <w:vAlign w:val="center"/>
          </w:tcPr>
          <w:p>
            <w:pPr>
              <w:spacing w:line="300" w:lineRule="auto"/>
              <w:jc w:val="center"/>
              <w:rPr>
                <w:rFonts w:ascii="宋体" w:hAnsi="宋体"/>
                <w:b/>
                <w:bCs/>
                <w:color w:val="000000" w:themeColor="text1"/>
                <w:sz w:val="24"/>
                <w:szCs w:val="24"/>
              </w:rPr>
            </w:pPr>
          </w:p>
        </w:tc>
        <w:tc>
          <w:tcPr>
            <w:tcW w:w="1216" w:type="dxa"/>
            <w:vMerge w:val="continue"/>
            <w:vAlign w:val="center"/>
          </w:tcPr>
          <w:p>
            <w:pPr>
              <w:spacing w:line="300" w:lineRule="auto"/>
              <w:jc w:val="center"/>
              <w:rPr>
                <w:rFonts w:ascii="宋体" w:hAnsi="宋体"/>
                <w:b/>
                <w:bCs/>
                <w:color w:val="000000" w:themeColor="text1"/>
                <w:sz w:val="24"/>
                <w:szCs w:val="24"/>
              </w:rPr>
            </w:pPr>
          </w:p>
        </w:tc>
        <w:tc>
          <w:tcPr>
            <w:tcW w:w="729" w:type="dxa"/>
            <w:vMerge w:val="continue"/>
            <w:vAlign w:val="center"/>
          </w:tcPr>
          <w:p>
            <w:pPr>
              <w:spacing w:line="300" w:lineRule="auto"/>
              <w:jc w:val="center"/>
              <w:rPr>
                <w:rFonts w:ascii="宋体" w:hAnsi="宋体"/>
                <w:b/>
                <w:bCs/>
                <w:color w:val="000000" w:themeColor="text1"/>
                <w:sz w:val="24"/>
                <w:szCs w:val="24"/>
              </w:rPr>
            </w:pPr>
          </w:p>
        </w:tc>
        <w:tc>
          <w:tcPr>
            <w:tcW w:w="6621" w:type="dxa"/>
            <w:vAlign w:val="center"/>
          </w:tcPr>
          <w:p>
            <w:pPr>
              <w:spacing w:line="320" w:lineRule="exact"/>
              <w:jc w:val="left"/>
              <w:rPr>
                <w:rFonts w:ascii="宋体" w:hAnsi="宋体"/>
                <w:b/>
                <w:bCs/>
                <w:color w:val="000000" w:themeColor="text1"/>
                <w:sz w:val="24"/>
                <w:szCs w:val="24"/>
              </w:rPr>
            </w:pPr>
            <w:r>
              <w:rPr>
                <w:rFonts w:hint="eastAsia" w:ascii="宋体" w:hAnsi="宋体"/>
                <w:b/>
                <w:bCs/>
                <w:color w:val="000000" w:themeColor="text1"/>
                <w:sz w:val="24"/>
                <w:szCs w:val="24"/>
              </w:rPr>
              <w:t>工作年限：</w:t>
            </w:r>
            <w:r>
              <w:rPr>
                <w:rFonts w:hint="eastAsia" w:ascii="宋体" w:hAnsi="宋体"/>
                <w:bCs/>
                <w:color w:val="000000" w:themeColor="text1"/>
                <w:sz w:val="24"/>
                <w:szCs w:val="24"/>
              </w:rPr>
              <w:t>项目负责人从医年限</w:t>
            </w:r>
            <w:r>
              <w:rPr>
                <w:rFonts w:hint="eastAsia" w:ascii="宋体" w:hAnsi="宋体"/>
                <w:b/>
                <w:bCs/>
                <w:color w:val="000000" w:themeColor="text1"/>
                <w:sz w:val="24"/>
                <w:szCs w:val="24"/>
              </w:rPr>
              <w:t>≥</w:t>
            </w:r>
            <w:r>
              <w:rPr>
                <w:rFonts w:hint="eastAsia" w:ascii="宋体" w:hAnsi="宋体"/>
                <w:bCs/>
                <w:color w:val="000000" w:themeColor="text1"/>
                <w:sz w:val="24"/>
                <w:szCs w:val="24"/>
              </w:rPr>
              <w:t>10年得2分，5-10年的得1分，</w:t>
            </w:r>
            <w:r>
              <w:rPr>
                <w:rFonts w:hint="eastAsia" w:ascii="宋体" w:hAnsi="宋体"/>
                <w:color w:val="000000" w:themeColor="text1"/>
                <w:sz w:val="24"/>
                <w:szCs w:val="24"/>
              </w:rPr>
              <w:t>不足5年的不得分。</w:t>
            </w:r>
            <w:r>
              <w:rPr>
                <w:rFonts w:hint="eastAsia" w:ascii="宋体" w:hAnsi="宋体"/>
                <w:bCs/>
                <w:color w:val="000000" w:themeColor="text1"/>
                <w:sz w:val="24"/>
                <w:szCs w:val="24"/>
              </w:rPr>
              <w:t>需提供项目负责人简历表，项目负责人缴纳社保材料证明或相关用工单位证明等材料（材料复印件加盖公章， 原件携带备查）。</w:t>
            </w:r>
            <w:r>
              <w:rPr>
                <w:rFonts w:hint="eastAsia"/>
                <w:color w:val="000000" w:themeColor="text1"/>
                <w:sz w:val="24"/>
                <w:szCs w:val="24"/>
              </w:rPr>
              <w:t>（满分2分）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4</w:t>
            </w:r>
          </w:p>
        </w:tc>
        <w:tc>
          <w:tcPr>
            <w:tcW w:w="1216"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业绩</w:t>
            </w:r>
          </w:p>
        </w:tc>
        <w:tc>
          <w:tcPr>
            <w:tcW w:w="729"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10分</w:t>
            </w:r>
          </w:p>
        </w:tc>
        <w:tc>
          <w:tcPr>
            <w:tcW w:w="6621" w:type="dxa"/>
            <w:vAlign w:val="center"/>
          </w:tcPr>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每提供一份2019年1月1日以后承担的政府机关、企事业单位集体体检服务业绩证明材料（以合同复印件加盖公章为准，原件携带备查）有一个单位得1分，同一单位的不同合同只计算1个；</w:t>
            </w:r>
            <w:r>
              <w:rPr>
                <w:rFonts w:hint="eastAsia"/>
                <w:color w:val="000000" w:themeColor="text1"/>
                <w:sz w:val="24"/>
                <w:szCs w:val="24"/>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5</w:t>
            </w:r>
          </w:p>
        </w:tc>
        <w:tc>
          <w:tcPr>
            <w:tcW w:w="1216"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服务表彰</w:t>
            </w:r>
          </w:p>
        </w:tc>
        <w:tc>
          <w:tcPr>
            <w:tcW w:w="729" w:type="dxa"/>
            <w:vAlign w:val="center"/>
          </w:tcPr>
          <w:p>
            <w:pPr>
              <w:spacing w:line="300" w:lineRule="auto"/>
              <w:jc w:val="center"/>
              <w:rPr>
                <w:rFonts w:ascii="宋体" w:hAnsi="宋体"/>
                <w:b/>
                <w:bCs/>
                <w:color w:val="000000" w:themeColor="text1"/>
                <w:sz w:val="24"/>
                <w:szCs w:val="24"/>
              </w:rPr>
            </w:pPr>
            <w:r>
              <w:rPr>
                <w:rFonts w:hint="eastAsia" w:ascii="宋体" w:hAnsi="宋体"/>
                <w:b/>
                <w:bCs/>
                <w:color w:val="000000" w:themeColor="text1"/>
                <w:sz w:val="24"/>
                <w:szCs w:val="24"/>
              </w:rPr>
              <w:t>3分</w:t>
            </w:r>
          </w:p>
        </w:tc>
        <w:tc>
          <w:tcPr>
            <w:tcW w:w="6621" w:type="dxa"/>
            <w:vAlign w:val="center"/>
          </w:tcPr>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2019年1月1日以来，投标人积极承担社会服务责任并获得市级或以上表彰的（以奖项证书时间为准），市级表彰得2分，省级及以上表彰得3分。</w:t>
            </w:r>
          </w:p>
        </w:tc>
      </w:tr>
    </w:tbl>
    <w:p>
      <w:pPr>
        <w:pStyle w:val="29"/>
        <w:rPr>
          <w:color w:val="000000" w:themeColor="text1"/>
        </w:rPr>
      </w:pPr>
    </w:p>
    <w:p>
      <w:pPr>
        <w:snapToGrid w:val="0"/>
        <w:rPr>
          <w:rFonts w:ascii="宋体" w:hAnsi="宋体"/>
          <w:bCs/>
          <w:color w:val="000000" w:themeColor="text1"/>
          <w:kern w:val="0"/>
          <w:sz w:val="24"/>
          <w:szCs w:val="24"/>
        </w:rPr>
      </w:pPr>
      <w:r>
        <w:rPr>
          <w:rFonts w:hint="eastAsia" w:ascii="宋体" w:hAnsi="宋体"/>
          <w:bCs/>
          <w:color w:val="000000" w:themeColor="text1"/>
          <w:kern w:val="0"/>
          <w:sz w:val="24"/>
          <w:szCs w:val="24"/>
        </w:rPr>
        <w:t xml:space="preserve">说明： </w:t>
      </w:r>
    </w:p>
    <w:p>
      <w:pPr>
        <w:snapToGrid w:val="0"/>
        <w:ind w:firstLine="480" w:firstLineChars="200"/>
        <w:rPr>
          <w:rFonts w:ascii="宋体" w:hAnsi="宋体"/>
          <w:bCs/>
          <w:color w:val="000000" w:themeColor="text1"/>
          <w:kern w:val="0"/>
          <w:sz w:val="24"/>
          <w:szCs w:val="24"/>
        </w:rPr>
      </w:pPr>
      <w:r>
        <w:rPr>
          <w:rFonts w:hint="eastAsia" w:ascii="宋体" w:hAnsi="宋体"/>
          <w:bCs/>
          <w:color w:val="000000" w:themeColor="text1"/>
          <w:kern w:val="0"/>
          <w:sz w:val="24"/>
          <w:szCs w:val="24"/>
        </w:rPr>
        <w:t>1、要求供应</w:t>
      </w:r>
      <w:r>
        <w:rPr>
          <w:rFonts w:ascii="宋体" w:hAnsi="宋体"/>
          <w:bCs/>
          <w:color w:val="000000" w:themeColor="text1"/>
          <w:kern w:val="0"/>
          <w:sz w:val="24"/>
          <w:szCs w:val="24"/>
        </w:rPr>
        <w:t>商提供</w:t>
      </w:r>
      <w:r>
        <w:rPr>
          <w:rFonts w:hint="eastAsia" w:ascii="宋体" w:hAnsi="宋体"/>
          <w:bCs/>
          <w:color w:val="000000" w:themeColor="text1"/>
          <w:kern w:val="0"/>
          <w:sz w:val="24"/>
          <w:szCs w:val="24"/>
        </w:rPr>
        <w:t>盖章复印</w:t>
      </w:r>
      <w:r>
        <w:rPr>
          <w:rFonts w:ascii="宋体" w:hAnsi="宋体"/>
          <w:bCs/>
          <w:color w:val="000000" w:themeColor="text1"/>
          <w:kern w:val="0"/>
          <w:sz w:val="24"/>
          <w:szCs w:val="24"/>
        </w:rPr>
        <w:t>件</w:t>
      </w:r>
      <w:r>
        <w:rPr>
          <w:rFonts w:hint="eastAsia" w:ascii="宋体" w:hAnsi="宋体"/>
          <w:bCs/>
          <w:color w:val="000000" w:themeColor="text1"/>
          <w:kern w:val="0"/>
          <w:sz w:val="24"/>
          <w:szCs w:val="24"/>
        </w:rPr>
        <w:t>的，则</w:t>
      </w:r>
      <w:r>
        <w:rPr>
          <w:rFonts w:ascii="宋体" w:hAnsi="宋体"/>
          <w:bCs/>
          <w:color w:val="000000" w:themeColor="text1"/>
          <w:kern w:val="0"/>
          <w:sz w:val="24"/>
          <w:szCs w:val="24"/>
        </w:rPr>
        <w:t>必须</w:t>
      </w:r>
      <w:r>
        <w:rPr>
          <w:rFonts w:hint="eastAsia" w:ascii="宋体" w:hAnsi="宋体"/>
          <w:bCs/>
          <w:color w:val="000000" w:themeColor="text1"/>
          <w:kern w:val="0"/>
          <w:sz w:val="24"/>
          <w:szCs w:val="24"/>
        </w:rPr>
        <w:t>按</w:t>
      </w:r>
      <w:r>
        <w:rPr>
          <w:rFonts w:ascii="宋体" w:hAnsi="宋体"/>
          <w:bCs/>
          <w:color w:val="000000" w:themeColor="text1"/>
          <w:kern w:val="0"/>
          <w:sz w:val="24"/>
          <w:szCs w:val="24"/>
        </w:rPr>
        <w:t>要求提供，</w:t>
      </w:r>
      <w:r>
        <w:rPr>
          <w:rFonts w:hint="eastAsia" w:ascii="宋体" w:hAnsi="宋体"/>
          <w:bCs/>
          <w:color w:val="000000" w:themeColor="text1"/>
          <w:kern w:val="0"/>
          <w:sz w:val="24"/>
          <w:szCs w:val="24"/>
        </w:rPr>
        <w:t>并且</w:t>
      </w:r>
      <w:r>
        <w:rPr>
          <w:rFonts w:ascii="宋体" w:hAnsi="宋体"/>
          <w:bCs/>
          <w:color w:val="000000" w:themeColor="text1"/>
          <w:kern w:val="0"/>
          <w:sz w:val="24"/>
          <w:szCs w:val="24"/>
        </w:rPr>
        <w:t>能够识别，否则</w:t>
      </w:r>
      <w:r>
        <w:rPr>
          <w:rFonts w:hint="eastAsia" w:ascii="宋体" w:hAnsi="宋体"/>
          <w:bCs/>
          <w:color w:val="000000" w:themeColor="text1"/>
          <w:kern w:val="0"/>
          <w:sz w:val="24"/>
          <w:szCs w:val="24"/>
        </w:rPr>
        <w:t>作为不</w:t>
      </w:r>
      <w:r>
        <w:rPr>
          <w:rFonts w:ascii="宋体" w:hAnsi="宋体"/>
          <w:bCs/>
          <w:color w:val="000000" w:themeColor="text1"/>
          <w:kern w:val="0"/>
          <w:sz w:val="24"/>
          <w:szCs w:val="24"/>
        </w:rPr>
        <w:t>响</w:t>
      </w:r>
      <w:r>
        <w:rPr>
          <w:rFonts w:hint="eastAsia" w:ascii="宋体" w:hAnsi="宋体"/>
          <w:bCs/>
          <w:color w:val="000000" w:themeColor="text1"/>
          <w:kern w:val="0"/>
          <w:sz w:val="24"/>
          <w:szCs w:val="24"/>
        </w:rPr>
        <w:t>应处理</w:t>
      </w:r>
      <w:r>
        <w:rPr>
          <w:rFonts w:ascii="宋体" w:hAnsi="宋体"/>
          <w:bCs/>
          <w:color w:val="000000" w:themeColor="text1"/>
          <w:kern w:val="0"/>
          <w:sz w:val="24"/>
          <w:szCs w:val="24"/>
        </w:rPr>
        <w:t>。</w:t>
      </w:r>
      <w:r>
        <w:rPr>
          <w:rFonts w:hint="eastAsia" w:ascii="宋体" w:hAnsi="宋体"/>
          <w:bCs/>
          <w:color w:val="000000" w:themeColor="text1"/>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themeColor="text1"/>
          <w:kern w:val="0"/>
          <w:sz w:val="24"/>
          <w:szCs w:val="24"/>
        </w:rPr>
      </w:pPr>
      <w:r>
        <w:rPr>
          <w:rFonts w:hint="eastAsia" w:ascii="宋体" w:hAnsi="宋体"/>
          <w:bCs/>
          <w:color w:val="000000" w:themeColor="text1"/>
          <w:kern w:val="0"/>
          <w:sz w:val="24"/>
          <w:szCs w:val="24"/>
        </w:rPr>
        <w:t>2、中标单位不得转包、分包，如果发现有转包、分包情况，则取消其中标候选人资格，并向相关主管部门汇报。</w:t>
      </w:r>
    </w:p>
    <w:p>
      <w:pPr>
        <w:snapToGrid w:val="0"/>
        <w:ind w:firstLine="480" w:firstLineChars="200"/>
        <w:rPr>
          <w:rStyle w:val="44"/>
          <w:rFonts w:ascii="宋体" w:hAnsi="宋体"/>
          <w:b/>
          <w:color w:val="000000" w:themeColor="text1"/>
          <w:sz w:val="44"/>
        </w:rPr>
      </w:pPr>
      <w:r>
        <w:rPr>
          <w:rFonts w:hint="eastAsia" w:ascii="宋体" w:hAnsi="宋体"/>
          <w:bCs/>
          <w:color w:val="000000" w:themeColor="text1"/>
          <w:kern w:val="0"/>
          <w:sz w:val="24"/>
          <w:szCs w:val="24"/>
        </w:rPr>
        <w:t>3、中标公告期内，中标单位有义务按采购单位的</w:t>
      </w:r>
      <w:r>
        <w:rPr>
          <w:rFonts w:ascii="宋体" w:hAnsi="宋体"/>
          <w:bCs/>
          <w:color w:val="000000" w:themeColor="text1"/>
          <w:kern w:val="0"/>
          <w:sz w:val="24"/>
          <w:szCs w:val="24"/>
        </w:rPr>
        <w:t>要求</w:t>
      </w:r>
      <w:r>
        <w:rPr>
          <w:rFonts w:hint="eastAsia" w:ascii="宋体" w:hAnsi="宋体"/>
          <w:bCs/>
          <w:color w:val="000000" w:themeColor="text1"/>
          <w:kern w:val="0"/>
          <w:sz w:val="24"/>
          <w:szCs w:val="24"/>
        </w:rPr>
        <w:t>提供产品相关证明文件原件以供审核，如有不实采购人有权取消其中标资格。</w:t>
      </w:r>
      <w:bookmarkStart w:id="18" w:name="_Toc11144"/>
    </w:p>
    <w:p>
      <w:pPr>
        <w:pStyle w:val="34"/>
        <w:ind w:firstLine="2650" w:firstLineChars="600"/>
        <w:jc w:val="both"/>
        <w:rPr>
          <w:rStyle w:val="44"/>
          <w:rFonts w:ascii="宋体" w:hAnsi="宋体" w:eastAsia="宋体"/>
          <w:b/>
          <w:color w:val="000000" w:themeColor="text1"/>
          <w:sz w:val="44"/>
        </w:rPr>
      </w:pPr>
    </w:p>
    <w:p>
      <w:pPr>
        <w:pStyle w:val="34"/>
        <w:jc w:val="both"/>
        <w:outlineLvl w:val="0"/>
        <w:rPr>
          <w:rStyle w:val="44"/>
          <w:rFonts w:ascii="Times New Roman" w:eastAsia="宋体" w:cs="Times New Roman"/>
          <w:b/>
          <w:color w:val="000000" w:themeColor="text1"/>
          <w:kern w:val="0"/>
          <w:sz w:val="44"/>
          <w:szCs w:val="24"/>
        </w:rPr>
      </w:pPr>
      <w:bookmarkStart w:id="19" w:name="_Toc14626"/>
    </w:p>
    <w:p>
      <w:pPr>
        <w:rPr>
          <w:rStyle w:val="44"/>
          <w:rFonts w:cs="Times New Roman"/>
          <w:b/>
          <w:color w:val="000000" w:themeColor="text1"/>
          <w:kern w:val="0"/>
          <w:sz w:val="44"/>
          <w:szCs w:val="24"/>
        </w:rPr>
      </w:pPr>
    </w:p>
    <w:p>
      <w:pPr>
        <w:pStyle w:val="29"/>
        <w:rPr>
          <w:color w:val="000000" w:themeColor="text1"/>
        </w:rPr>
      </w:pPr>
    </w:p>
    <w:p>
      <w:pPr>
        <w:pStyle w:val="34"/>
        <w:ind w:firstLine="2650" w:firstLineChars="600"/>
        <w:jc w:val="both"/>
        <w:outlineLvl w:val="0"/>
        <w:rPr>
          <w:rStyle w:val="44"/>
          <w:rFonts w:ascii="Times New Roman" w:eastAsia="宋体" w:cs="Times New Roman"/>
          <w:b/>
          <w:color w:val="000000" w:themeColor="text1"/>
          <w:kern w:val="0"/>
          <w:sz w:val="44"/>
          <w:szCs w:val="24"/>
        </w:rPr>
      </w:pPr>
    </w:p>
    <w:p>
      <w:pPr>
        <w:pStyle w:val="34"/>
        <w:ind w:firstLine="2650" w:firstLineChars="600"/>
        <w:jc w:val="both"/>
        <w:outlineLvl w:val="0"/>
        <w:rPr>
          <w:rStyle w:val="44"/>
          <w:rFonts w:ascii="Times New Roman" w:eastAsia="宋体" w:cs="Times New Roman"/>
          <w:b/>
          <w:color w:val="000000" w:themeColor="text1"/>
          <w:kern w:val="0"/>
          <w:sz w:val="44"/>
          <w:szCs w:val="24"/>
        </w:rPr>
      </w:pPr>
    </w:p>
    <w:p>
      <w:pPr>
        <w:pStyle w:val="34"/>
        <w:ind w:firstLine="2650" w:firstLineChars="600"/>
        <w:jc w:val="both"/>
        <w:outlineLvl w:val="0"/>
        <w:rPr>
          <w:rStyle w:val="44"/>
          <w:rFonts w:ascii="Times New Roman" w:eastAsia="宋体" w:cs="Times New Roman"/>
          <w:b/>
          <w:color w:val="000000" w:themeColor="text1"/>
          <w:kern w:val="0"/>
          <w:sz w:val="44"/>
          <w:szCs w:val="24"/>
        </w:rPr>
      </w:pPr>
      <w:r>
        <w:rPr>
          <w:rStyle w:val="44"/>
          <w:rFonts w:hint="eastAsia" w:ascii="Times New Roman" w:eastAsia="宋体" w:cs="Times New Roman"/>
          <w:b/>
          <w:color w:val="000000" w:themeColor="text1"/>
          <w:kern w:val="0"/>
          <w:sz w:val="44"/>
          <w:szCs w:val="24"/>
        </w:rPr>
        <w:t>第六章  投标文件格式</w:t>
      </w:r>
      <w:bookmarkEnd w:id="18"/>
      <w:bookmarkEnd w:id="19"/>
    </w:p>
    <w:p>
      <w:pPr>
        <w:jc w:val="center"/>
        <w:rPr>
          <w:rStyle w:val="44"/>
          <w:rFonts w:ascii="宋体" w:hAnsi="宋体"/>
          <w:b/>
          <w:color w:val="000000" w:themeColor="text1"/>
          <w:sz w:val="72"/>
        </w:rPr>
      </w:pPr>
    </w:p>
    <w:p>
      <w:pPr>
        <w:jc w:val="center"/>
        <w:outlineLvl w:val="0"/>
        <w:rPr>
          <w:rStyle w:val="44"/>
          <w:rFonts w:ascii="宋体" w:hAnsi="宋体"/>
          <w:b/>
          <w:color w:val="000000" w:themeColor="text1"/>
          <w:sz w:val="72"/>
        </w:rPr>
      </w:pPr>
      <w:bookmarkStart w:id="20" w:name="_Toc5987"/>
      <w:bookmarkStart w:id="21" w:name="_Toc23900"/>
      <w:r>
        <w:rPr>
          <w:rStyle w:val="44"/>
          <w:rFonts w:hint="eastAsia" w:ascii="宋体" w:hAnsi="宋体"/>
          <w:b/>
          <w:color w:val="000000" w:themeColor="text1"/>
          <w:sz w:val="72"/>
        </w:rPr>
        <w:t>投  标  文  件</w:t>
      </w:r>
      <w:bookmarkEnd w:id="20"/>
      <w:bookmarkEnd w:id="21"/>
    </w:p>
    <w:p>
      <w:pPr>
        <w:jc w:val="center"/>
        <w:outlineLvl w:val="0"/>
        <w:rPr>
          <w:rStyle w:val="44"/>
          <w:rFonts w:ascii="宋体" w:hAnsi="宋体"/>
          <w:b/>
          <w:color w:val="000000" w:themeColor="text1"/>
          <w:sz w:val="72"/>
        </w:rPr>
      </w:pPr>
      <w:bookmarkStart w:id="22" w:name="_Toc8364"/>
      <w:bookmarkStart w:id="23" w:name="_Toc659"/>
      <w:r>
        <w:rPr>
          <w:rStyle w:val="44"/>
          <w:rFonts w:hint="eastAsia" w:ascii="宋体" w:hAnsi="宋体"/>
          <w:b/>
          <w:color w:val="000000" w:themeColor="text1"/>
          <w:sz w:val="36"/>
        </w:rPr>
        <w:t>（正或副本）</w:t>
      </w:r>
      <w:bookmarkEnd w:id="22"/>
      <w:bookmarkEnd w:id="23"/>
    </w:p>
    <w:p>
      <w:pPr>
        <w:jc w:val="center"/>
        <w:rPr>
          <w:rStyle w:val="44"/>
          <w:rFonts w:ascii="宋体" w:hAnsi="宋体"/>
          <w:b/>
          <w:color w:val="000000" w:themeColor="text1"/>
          <w:sz w:val="72"/>
        </w:rPr>
      </w:pPr>
    </w:p>
    <w:p>
      <w:pPr>
        <w:jc w:val="center"/>
        <w:rPr>
          <w:rStyle w:val="44"/>
          <w:rFonts w:ascii="宋体" w:hAnsi="宋体"/>
          <w:b/>
          <w:color w:val="000000" w:themeColor="text1"/>
          <w:sz w:val="36"/>
        </w:rPr>
      </w:pPr>
    </w:p>
    <w:p>
      <w:pPr>
        <w:jc w:val="center"/>
        <w:rPr>
          <w:rStyle w:val="44"/>
          <w:rFonts w:ascii="宋体" w:hAnsi="宋体"/>
          <w:b/>
          <w:color w:val="000000" w:themeColor="text1"/>
          <w:sz w:val="36"/>
        </w:rPr>
      </w:pPr>
    </w:p>
    <w:p>
      <w:pPr>
        <w:jc w:val="center"/>
        <w:rPr>
          <w:rStyle w:val="44"/>
          <w:rFonts w:ascii="宋体" w:hAnsi="宋体"/>
          <w:b/>
          <w:color w:val="000000" w:themeColor="text1"/>
          <w:sz w:val="36"/>
        </w:rPr>
      </w:pPr>
    </w:p>
    <w:p>
      <w:pPr>
        <w:ind w:firstLine="1084" w:firstLineChars="300"/>
        <w:outlineLvl w:val="0"/>
        <w:rPr>
          <w:rStyle w:val="44"/>
          <w:rFonts w:ascii="宋体" w:hAnsi="宋体"/>
          <w:b/>
          <w:color w:val="000000" w:themeColor="text1"/>
          <w:sz w:val="36"/>
        </w:rPr>
      </w:pPr>
      <w:bookmarkStart w:id="24" w:name="_Toc24331"/>
      <w:bookmarkStart w:id="25" w:name="_Toc543"/>
      <w:r>
        <w:rPr>
          <w:rStyle w:val="44"/>
          <w:rFonts w:hint="eastAsia" w:ascii="宋体" w:hAnsi="宋体"/>
          <w:b/>
          <w:color w:val="000000" w:themeColor="text1"/>
          <w:sz w:val="36"/>
        </w:rPr>
        <w:t>项 目 名 称：</w:t>
      </w:r>
      <w:bookmarkEnd w:id="24"/>
      <w:bookmarkEnd w:id="25"/>
    </w:p>
    <w:p>
      <w:pPr>
        <w:ind w:firstLine="1084" w:firstLineChars="300"/>
        <w:outlineLvl w:val="0"/>
        <w:rPr>
          <w:rStyle w:val="44"/>
          <w:rFonts w:ascii="宋体" w:hAnsi="宋体"/>
          <w:b/>
          <w:color w:val="000000" w:themeColor="text1"/>
          <w:sz w:val="36"/>
          <w:u w:val="single" w:color="000000"/>
        </w:rPr>
      </w:pPr>
      <w:bookmarkStart w:id="26" w:name="_Toc12479"/>
      <w:bookmarkStart w:id="27" w:name="_Toc27023"/>
      <w:r>
        <w:rPr>
          <w:rStyle w:val="44"/>
          <w:rFonts w:hint="eastAsia" w:ascii="宋体" w:hAnsi="宋体"/>
          <w:b/>
          <w:color w:val="000000" w:themeColor="text1"/>
          <w:sz w:val="36"/>
        </w:rPr>
        <w:t>招 标 编 号：</w:t>
      </w:r>
      <w:bookmarkEnd w:id="26"/>
      <w:bookmarkEnd w:id="27"/>
    </w:p>
    <w:p>
      <w:pPr>
        <w:ind w:firstLine="1084" w:firstLineChars="300"/>
        <w:outlineLvl w:val="0"/>
        <w:rPr>
          <w:rStyle w:val="44"/>
          <w:rFonts w:ascii="宋体" w:hAnsi="宋体"/>
          <w:b/>
          <w:color w:val="000000" w:themeColor="text1"/>
          <w:sz w:val="36"/>
          <w:u w:val="single" w:color="000000"/>
        </w:rPr>
      </w:pPr>
      <w:bookmarkStart w:id="28" w:name="_Toc17623"/>
      <w:bookmarkStart w:id="29" w:name="_Toc25599"/>
      <w:r>
        <w:rPr>
          <w:rStyle w:val="44"/>
          <w:rFonts w:hint="eastAsia" w:ascii="宋体" w:hAnsi="宋体"/>
          <w:b/>
          <w:color w:val="000000" w:themeColor="text1"/>
          <w:sz w:val="36"/>
        </w:rPr>
        <w:t>投标人名称 ：</w:t>
      </w:r>
      <w:bookmarkEnd w:id="28"/>
      <w:bookmarkEnd w:id="29"/>
    </w:p>
    <w:p>
      <w:pPr>
        <w:ind w:firstLine="1084" w:firstLineChars="300"/>
        <w:outlineLvl w:val="0"/>
        <w:rPr>
          <w:rStyle w:val="44"/>
          <w:rFonts w:ascii="宋体" w:hAnsi="宋体"/>
          <w:b/>
          <w:color w:val="000000" w:themeColor="text1"/>
          <w:sz w:val="36"/>
        </w:rPr>
      </w:pPr>
      <w:bookmarkStart w:id="30" w:name="_Toc30742"/>
      <w:bookmarkStart w:id="31" w:name="_Toc8043"/>
      <w:r>
        <w:rPr>
          <w:rStyle w:val="44"/>
          <w:rFonts w:hint="eastAsia" w:ascii="宋体" w:hAnsi="宋体"/>
          <w:b/>
          <w:color w:val="000000" w:themeColor="text1"/>
          <w:sz w:val="36"/>
        </w:rPr>
        <w:t>日      期 ：</w:t>
      </w:r>
      <w:bookmarkEnd w:id="30"/>
      <w:bookmarkEnd w:id="31"/>
    </w:p>
    <w:p>
      <w:pPr>
        <w:spacing w:line="440" w:lineRule="exact"/>
        <w:jc w:val="center"/>
        <w:rPr>
          <w:rStyle w:val="44"/>
          <w:rFonts w:ascii="宋体" w:hAnsi="宋体"/>
          <w:b/>
          <w:bCs/>
          <w:color w:val="000000" w:themeColor="text1"/>
          <w:sz w:val="32"/>
          <w:szCs w:val="32"/>
        </w:rPr>
      </w:pPr>
    </w:p>
    <w:p>
      <w:pPr>
        <w:spacing w:line="440" w:lineRule="exact"/>
        <w:ind w:firstLine="480" w:firstLineChars="200"/>
        <w:rPr>
          <w:rStyle w:val="44"/>
          <w:rFonts w:ascii="宋体" w:hAnsi="宋体"/>
          <w:color w:val="000000" w:themeColor="text1"/>
          <w:sz w:val="24"/>
        </w:rPr>
      </w:pPr>
    </w:p>
    <w:p>
      <w:pPr>
        <w:spacing w:line="440" w:lineRule="exact"/>
        <w:ind w:firstLine="480" w:firstLineChars="200"/>
        <w:rPr>
          <w:rStyle w:val="44"/>
          <w:rFonts w:ascii="宋体" w:hAnsi="宋体"/>
          <w:color w:val="000000" w:themeColor="text1"/>
          <w:sz w:val="24"/>
        </w:rPr>
      </w:pPr>
    </w:p>
    <w:p>
      <w:pPr>
        <w:spacing w:line="440" w:lineRule="exact"/>
        <w:rPr>
          <w:rStyle w:val="44"/>
          <w:rFonts w:ascii="宋体" w:hAnsi="宋体"/>
          <w:color w:val="000000" w:themeColor="text1"/>
          <w:sz w:val="24"/>
        </w:rPr>
      </w:pPr>
    </w:p>
    <w:p>
      <w:pPr>
        <w:jc w:val="left"/>
        <w:textAlignment w:val="auto"/>
        <w:rPr>
          <w:rFonts w:ascii="宋体" w:hAnsi="宋体"/>
          <w:b/>
          <w:bCs/>
          <w:color w:val="000000" w:themeColor="text1"/>
          <w:sz w:val="28"/>
          <w:szCs w:val="28"/>
        </w:rPr>
      </w:pPr>
      <w:bookmarkStart w:id="32" w:name="_Toc64931899"/>
      <w:r>
        <w:rPr>
          <w:rFonts w:ascii="宋体" w:hAnsi="宋体"/>
          <w:color w:val="000000" w:themeColor="text1"/>
        </w:rPr>
        <w:br w:type="page"/>
      </w:r>
    </w:p>
    <w:p>
      <w:pPr>
        <w:pStyle w:val="8"/>
        <w:tabs>
          <w:tab w:val="left" w:pos="1275"/>
        </w:tabs>
        <w:ind w:left="0"/>
        <w:rPr>
          <w:rFonts w:ascii="宋体" w:hAnsi="宋体"/>
          <w:color w:val="000000" w:themeColor="text1"/>
        </w:rPr>
      </w:pPr>
    </w:p>
    <w:p>
      <w:pPr>
        <w:pStyle w:val="8"/>
        <w:tabs>
          <w:tab w:val="left" w:pos="1275"/>
        </w:tabs>
        <w:ind w:left="1352" w:leftChars="644" w:firstLine="2122" w:firstLineChars="755"/>
        <w:rPr>
          <w:rFonts w:ascii="宋体" w:hAnsi="宋体"/>
          <w:color w:val="000000" w:themeColor="text1"/>
        </w:rPr>
      </w:pPr>
      <w:r>
        <w:rPr>
          <w:rFonts w:hint="eastAsia" w:ascii="宋体" w:hAnsi="宋体"/>
          <w:color w:val="000000" w:themeColor="text1"/>
        </w:rPr>
        <w:t>评分对照表</w:t>
      </w:r>
      <w:bookmarkEnd w:id="32"/>
    </w:p>
    <w:p>
      <w:pPr>
        <w:rPr>
          <w:rFonts w:ascii="宋体" w:hAnsi="宋体"/>
          <w:b/>
          <w:bCs/>
          <w:color w:val="000000" w:themeColor="text1"/>
          <w:sz w:val="24"/>
        </w:rPr>
      </w:pPr>
    </w:p>
    <w:tbl>
      <w:tblPr>
        <w:tblStyle w:val="21"/>
        <w:tblW w:w="897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jc w:val="center"/>
              <w:rPr>
                <w:rFonts w:ascii="宋体" w:hAnsi="宋体"/>
                <w:b/>
                <w:bCs/>
                <w:color w:val="000000" w:themeColor="text1"/>
                <w:lang w:eastAsia="zh-CN"/>
              </w:rPr>
            </w:pPr>
            <w:r>
              <w:rPr>
                <w:rFonts w:hint="eastAsia" w:ascii="宋体" w:hAnsi="宋体"/>
                <w:b/>
                <w:color w:val="000000" w:themeColor="text1"/>
              </w:rPr>
              <w:t>评分项目</w:t>
            </w:r>
          </w:p>
        </w:tc>
        <w:tc>
          <w:tcPr>
            <w:tcW w:w="3467" w:type="dxa"/>
            <w:noWrap/>
          </w:tcPr>
          <w:p>
            <w:pPr>
              <w:jc w:val="center"/>
              <w:rPr>
                <w:rFonts w:ascii="宋体" w:hAnsi="宋体"/>
                <w:b/>
                <w:color w:val="000000" w:themeColor="text1"/>
              </w:rPr>
            </w:pPr>
            <w:r>
              <w:rPr>
                <w:rFonts w:hint="eastAsia" w:ascii="宋体" w:hAnsi="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jc w:val="both"/>
              <w:rPr>
                <w:rFonts w:ascii="宋体" w:hAnsi="宋体"/>
                <w:b/>
                <w:color w:val="000000" w:themeColor="text1"/>
                <w:lang w:eastAsia="zh-CN"/>
              </w:rPr>
            </w:pPr>
          </w:p>
        </w:tc>
        <w:tc>
          <w:tcPr>
            <w:tcW w:w="3467" w:type="dxa"/>
            <w:noWrap/>
          </w:tcPr>
          <w:p>
            <w:pPr>
              <w:rPr>
                <w:rFonts w:ascii="宋体" w:hAnsi="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b/>
                <w:bCs/>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b/>
                <w:bCs/>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0" w:firstLine="480" w:firstLineChars="200"/>
              <w:rPr>
                <w:rFonts w:ascii="宋体" w:hAnsi="宋体"/>
                <w:color w:val="000000" w:themeColor="text1"/>
                <w:szCs w:val="2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Borders>
              <w:bottom w:val="single" w:color="auto" w:sz="4" w:space="0"/>
            </w:tcBorders>
            <w:noWrap/>
          </w:tcPr>
          <w:p>
            <w:pPr>
              <w:pStyle w:val="153"/>
              <w:shd w:val="clear" w:color="auto" w:fill="FFFFFF"/>
              <w:spacing w:line="265" w:lineRule="atLeast"/>
              <w:ind w:left="0" w:firstLine="480" w:firstLineChars="200"/>
              <w:rPr>
                <w:rFonts w:ascii="宋体" w:hAnsi="宋体"/>
                <w:color w:val="000000" w:themeColor="text1"/>
                <w:lang w:eastAsia="zh-CN"/>
              </w:rPr>
            </w:pPr>
          </w:p>
        </w:tc>
        <w:tc>
          <w:tcPr>
            <w:tcW w:w="3467" w:type="dxa"/>
            <w:tcBorders>
              <w:bottom w:val="single" w:color="auto" w:sz="4" w:space="0"/>
            </w:tcBorders>
            <w:noWrap/>
          </w:tcPr>
          <w:p>
            <w:pPr>
              <w:rPr>
                <w:rFonts w:ascii="宋体" w:hAnsi="宋体"/>
                <w:color w:val="000000" w:themeColor="text1"/>
              </w:rPr>
            </w:pPr>
          </w:p>
        </w:tc>
      </w:tr>
    </w:tbl>
    <w:p>
      <w:pPr>
        <w:snapToGrid w:val="0"/>
        <w:spacing w:before="50" w:after="50"/>
        <w:rPr>
          <w:rStyle w:val="44"/>
          <w:rFonts w:ascii="宋体" w:hAnsi="宋体"/>
          <w:color w:val="000000" w:themeColor="text1"/>
          <w:sz w:val="24"/>
        </w:rPr>
      </w:pPr>
    </w:p>
    <w:p>
      <w:pPr>
        <w:snapToGrid w:val="0"/>
        <w:spacing w:before="50" w:after="50"/>
        <w:jc w:val="center"/>
        <w:outlineLvl w:val="0"/>
        <w:rPr>
          <w:rStyle w:val="44"/>
          <w:rFonts w:ascii="宋体" w:hAnsi="宋体" w:cs="Times New Roman"/>
          <w:b/>
          <w:bCs/>
          <w:color w:val="000000" w:themeColor="text1"/>
          <w:sz w:val="32"/>
          <w:szCs w:val="32"/>
        </w:rPr>
      </w:pPr>
      <w:bookmarkStart w:id="33" w:name="_Toc9946"/>
      <w:bookmarkStart w:id="34" w:name="_Toc32118"/>
      <w:r>
        <w:rPr>
          <w:rStyle w:val="44"/>
          <w:rFonts w:hint="eastAsia" w:ascii="宋体" w:hAnsi="宋体" w:cs="Times New Roman"/>
          <w:b/>
          <w:bCs/>
          <w:color w:val="000000" w:themeColor="text1"/>
          <w:sz w:val="32"/>
          <w:szCs w:val="32"/>
        </w:rPr>
        <w:t>投标主要文件目录</w:t>
      </w:r>
      <w:bookmarkEnd w:id="33"/>
    </w:p>
    <w:p>
      <w:pPr>
        <w:spacing w:line="440" w:lineRule="exact"/>
        <w:jc w:val="center"/>
        <w:rPr>
          <w:rFonts w:ascii="宋体" w:hAnsi="宋体"/>
          <w:b/>
          <w:bCs/>
          <w:color w:val="000000" w:themeColor="text1"/>
          <w:sz w:val="32"/>
          <w:szCs w:val="32"/>
        </w:rPr>
      </w:pPr>
    </w:p>
    <w:p>
      <w:pPr>
        <w:ind w:firstLine="480" w:firstLineChars="200"/>
        <w:outlineLvl w:val="0"/>
        <w:rPr>
          <w:rFonts w:ascii="宋体" w:hAnsi="宋体"/>
          <w:color w:val="000000" w:themeColor="text1"/>
          <w:sz w:val="24"/>
        </w:rPr>
      </w:pPr>
      <w:bookmarkStart w:id="35" w:name="_Toc30141"/>
      <w:r>
        <w:rPr>
          <w:rFonts w:hint="eastAsia" w:ascii="宋体" w:hAnsi="宋体"/>
          <w:color w:val="000000" w:themeColor="text1"/>
          <w:sz w:val="24"/>
        </w:rPr>
        <w:t>一、</w:t>
      </w:r>
      <w:r>
        <w:rPr>
          <w:rFonts w:hint="eastAsia" w:ascii="宋体" w:hAnsi="宋体"/>
          <w:bCs/>
          <w:color w:val="000000" w:themeColor="text1"/>
          <w:sz w:val="24"/>
        </w:rPr>
        <w:t>资信证明文件要求</w:t>
      </w:r>
      <w:bookmarkEnd w:id="35"/>
    </w:p>
    <w:p>
      <w:pPr>
        <w:ind w:firstLine="482" w:firstLineChars="200"/>
        <w:outlineLvl w:val="0"/>
        <w:rPr>
          <w:rFonts w:ascii="宋体" w:hAnsi="宋体"/>
          <w:color w:val="000000" w:themeColor="text1"/>
          <w:sz w:val="24"/>
        </w:rPr>
      </w:pPr>
      <w:bookmarkStart w:id="36" w:name="_Toc6517"/>
      <w:r>
        <w:rPr>
          <w:rFonts w:hint="eastAsia" w:ascii="宋体" w:hAnsi="宋体"/>
          <w:b/>
          <w:bCs/>
          <w:color w:val="000000" w:themeColor="text1"/>
          <w:sz w:val="24"/>
        </w:rPr>
        <w:t>二</w:t>
      </w:r>
      <w:r>
        <w:rPr>
          <w:rFonts w:hint="eastAsia" w:ascii="宋体" w:hAnsi="宋体"/>
          <w:color w:val="000000" w:themeColor="text1"/>
          <w:sz w:val="24"/>
        </w:rPr>
        <w:t>、资格性审查响应对照表</w:t>
      </w:r>
      <w:bookmarkEnd w:id="36"/>
    </w:p>
    <w:p>
      <w:pPr>
        <w:ind w:firstLine="480" w:firstLineChars="200"/>
        <w:outlineLvl w:val="0"/>
        <w:rPr>
          <w:rFonts w:ascii="宋体" w:hAnsi="宋体"/>
          <w:bCs/>
          <w:color w:val="000000" w:themeColor="text1"/>
          <w:sz w:val="24"/>
        </w:rPr>
      </w:pPr>
      <w:bookmarkStart w:id="37" w:name="_Toc32085"/>
      <w:r>
        <w:rPr>
          <w:rFonts w:hint="eastAsia" w:ascii="宋体" w:hAnsi="宋体"/>
          <w:color w:val="000000" w:themeColor="text1"/>
          <w:sz w:val="24"/>
        </w:rPr>
        <w:t>三、符合性检查响应对照表</w:t>
      </w:r>
      <w:bookmarkEnd w:id="37"/>
    </w:p>
    <w:p>
      <w:pPr>
        <w:ind w:firstLine="480" w:firstLineChars="200"/>
        <w:outlineLvl w:val="0"/>
        <w:rPr>
          <w:rFonts w:ascii="宋体" w:hAnsi="宋体"/>
          <w:color w:val="000000" w:themeColor="text1"/>
          <w:sz w:val="24"/>
        </w:rPr>
      </w:pPr>
      <w:bookmarkStart w:id="38" w:name="_Toc9227"/>
      <w:r>
        <w:rPr>
          <w:rFonts w:hint="eastAsia" w:ascii="宋体" w:hAnsi="宋体"/>
          <w:color w:val="000000" w:themeColor="text1"/>
          <w:sz w:val="24"/>
        </w:rPr>
        <w:t>四、投标函</w:t>
      </w:r>
      <w:bookmarkEnd w:id="38"/>
    </w:p>
    <w:p>
      <w:pPr>
        <w:ind w:firstLine="480" w:firstLineChars="200"/>
        <w:outlineLvl w:val="0"/>
        <w:rPr>
          <w:rFonts w:ascii="宋体" w:hAnsi="宋体"/>
          <w:color w:val="000000" w:themeColor="text1"/>
          <w:sz w:val="24"/>
        </w:rPr>
      </w:pPr>
      <w:bookmarkStart w:id="39" w:name="_Toc15001"/>
      <w:r>
        <w:rPr>
          <w:rFonts w:hint="eastAsia" w:ascii="宋体" w:hAnsi="宋体"/>
          <w:color w:val="000000" w:themeColor="text1"/>
          <w:sz w:val="24"/>
        </w:rPr>
        <w:t>五</w:t>
      </w:r>
      <w:r>
        <w:rPr>
          <w:rFonts w:hint="eastAsia" w:ascii="宋体" w:hAnsi="宋体"/>
          <w:b/>
          <w:bCs/>
          <w:color w:val="000000" w:themeColor="text1"/>
          <w:sz w:val="24"/>
        </w:rPr>
        <w:t>、</w:t>
      </w:r>
      <w:r>
        <w:rPr>
          <w:rFonts w:hint="eastAsia" w:ascii="宋体" w:hAnsi="宋体"/>
          <w:color w:val="000000" w:themeColor="text1"/>
          <w:sz w:val="24"/>
        </w:rPr>
        <w:t>开标一览表</w:t>
      </w:r>
      <w:bookmarkEnd w:id="39"/>
    </w:p>
    <w:p>
      <w:pPr>
        <w:ind w:firstLine="480" w:firstLineChars="200"/>
        <w:outlineLvl w:val="0"/>
        <w:rPr>
          <w:rFonts w:ascii="宋体" w:hAnsi="宋体"/>
          <w:color w:val="000000" w:themeColor="text1"/>
          <w:sz w:val="24"/>
        </w:rPr>
      </w:pPr>
      <w:bookmarkStart w:id="40" w:name="_Toc4553"/>
      <w:r>
        <w:rPr>
          <w:rFonts w:hint="eastAsia" w:ascii="宋体" w:hAnsi="宋体"/>
          <w:color w:val="000000" w:themeColor="text1"/>
          <w:sz w:val="24"/>
          <w:szCs w:val="24"/>
        </w:rPr>
        <w:t>六、</w:t>
      </w:r>
      <w:bookmarkEnd w:id="40"/>
      <w:bookmarkStart w:id="41" w:name="_Toc19163"/>
      <w:r>
        <w:rPr>
          <w:rFonts w:hint="eastAsia" w:ascii="宋体" w:hAnsi="宋体"/>
          <w:color w:val="000000" w:themeColor="text1"/>
          <w:sz w:val="24"/>
        </w:rPr>
        <w:t>技术方案、服务承诺等</w:t>
      </w:r>
    </w:p>
    <w:p>
      <w:pPr>
        <w:spacing w:line="440" w:lineRule="exact"/>
        <w:ind w:firstLine="480" w:firstLineChars="200"/>
        <w:outlineLvl w:val="0"/>
        <w:rPr>
          <w:rFonts w:ascii="宋体" w:hAnsi="宋体"/>
          <w:color w:val="000000" w:themeColor="text1"/>
          <w:sz w:val="24"/>
        </w:rPr>
      </w:pPr>
      <w:r>
        <w:rPr>
          <w:rFonts w:hint="eastAsia" w:ascii="宋体" w:hAnsi="宋体"/>
          <w:color w:val="000000" w:themeColor="text1"/>
          <w:sz w:val="24"/>
          <w:szCs w:val="24"/>
        </w:rPr>
        <w:t>七</w:t>
      </w:r>
      <w:bookmarkEnd w:id="41"/>
      <w:bookmarkStart w:id="42" w:name="_Toc1747"/>
      <w:r>
        <w:rPr>
          <w:rFonts w:hint="eastAsia" w:ascii="宋体" w:hAnsi="宋体"/>
          <w:color w:val="000000" w:themeColor="text1"/>
          <w:sz w:val="24"/>
        </w:rPr>
        <w:t>、盐城市政府采购事前信用承诺书</w:t>
      </w:r>
      <w:bookmarkEnd w:id="42"/>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pStyle w:val="10"/>
        <w:rPr>
          <w:color w:val="000000" w:themeColor="text1"/>
        </w:rPr>
      </w:pPr>
    </w:p>
    <w:p>
      <w:pPr>
        <w:rPr>
          <w:color w:val="000000" w:themeColor="text1"/>
        </w:rPr>
      </w:pPr>
    </w:p>
    <w:p>
      <w:pPr>
        <w:pStyle w:val="2"/>
        <w:rPr>
          <w:color w:val="000000" w:themeColor="text1"/>
        </w:rPr>
      </w:pPr>
    </w:p>
    <w:p>
      <w:pPr>
        <w:pStyle w:val="5"/>
        <w:rPr>
          <w:color w:val="000000" w:themeColor="text1"/>
        </w:rPr>
      </w:pPr>
    </w:p>
    <w:p/>
    <w:p>
      <w:pPr>
        <w:rPr>
          <w:color w:val="000000" w:themeColor="text1"/>
        </w:rPr>
      </w:pPr>
    </w:p>
    <w:p>
      <w:pPr>
        <w:snapToGrid w:val="0"/>
        <w:spacing w:before="50" w:after="50"/>
        <w:jc w:val="center"/>
        <w:outlineLvl w:val="0"/>
        <w:rPr>
          <w:rStyle w:val="44"/>
          <w:rFonts w:ascii="宋体" w:hAnsi="宋体"/>
          <w:color w:val="000000" w:themeColor="text1"/>
          <w:sz w:val="32"/>
          <w:szCs w:val="32"/>
        </w:rPr>
      </w:pPr>
      <w:bookmarkStart w:id="43" w:name="_Toc26639"/>
    </w:p>
    <w:p>
      <w:pPr>
        <w:snapToGrid w:val="0"/>
        <w:spacing w:before="50" w:after="50"/>
        <w:jc w:val="center"/>
        <w:outlineLvl w:val="0"/>
        <w:rPr>
          <w:rStyle w:val="44"/>
          <w:rFonts w:ascii="宋体" w:hAnsi="宋体"/>
          <w:color w:val="000000" w:themeColor="text1"/>
          <w:sz w:val="32"/>
          <w:szCs w:val="32"/>
        </w:rPr>
      </w:pPr>
    </w:p>
    <w:p>
      <w:pPr>
        <w:snapToGrid w:val="0"/>
        <w:spacing w:before="50" w:after="50"/>
        <w:jc w:val="center"/>
        <w:outlineLvl w:val="0"/>
        <w:rPr>
          <w:rStyle w:val="44"/>
          <w:rFonts w:ascii="宋体" w:hAnsi="宋体"/>
          <w:b/>
          <w:bCs/>
          <w:color w:val="000000" w:themeColor="text1"/>
          <w:sz w:val="32"/>
          <w:szCs w:val="32"/>
        </w:rPr>
      </w:pPr>
      <w:r>
        <w:rPr>
          <w:rStyle w:val="44"/>
          <w:rFonts w:hint="eastAsia" w:ascii="宋体" w:hAnsi="宋体"/>
          <w:color w:val="000000" w:themeColor="text1"/>
          <w:sz w:val="32"/>
          <w:szCs w:val="32"/>
        </w:rPr>
        <w:t>一、</w:t>
      </w:r>
      <w:r>
        <w:rPr>
          <w:rStyle w:val="44"/>
          <w:rFonts w:hint="eastAsia" w:ascii="宋体" w:hAnsi="宋体"/>
          <w:b/>
          <w:bCs/>
          <w:color w:val="000000" w:themeColor="text1"/>
          <w:sz w:val="32"/>
          <w:szCs w:val="32"/>
        </w:rPr>
        <w:t>资信证明文件要求</w:t>
      </w:r>
      <w:bookmarkEnd w:id="34"/>
      <w:bookmarkEnd w:id="43"/>
    </w:p>
    <w:p>
      <w:pPr>
        <w:snapToGrid w:val="0"/>
        <w:spacing w:before="50" w:after="50"/>
        <w:rPr>
          <w:rStyle w:val="44"/>
          <w:rFonts w:ascii="宋体" w:hAnsi="宋体"/>
          <w:i/>
          <w:color w:val="000000" w:themeColor="text1"/>
          <w:szCs w:val="24"/>
          <w:u w:val="single" w:color="000000"/>
        </w:rPr>
      </w:pPr>
    </w:p>
    <w:p>
      <w:pPr>
        <w:snapToGrid w:val="0"/>
        <w:spacing w:line="500" w:lineRule="exact"/>
        <w:ind w:firstLine="482" w:firstLineChars="200"/>
        <w:rPr>
          <w:rStyle w:val="44"/>
          <w:rFonts w:ascii="宋体" w:hAnsi="宋体"/>
          <w:color w:val="000000" w:themeColor="text1"/>
          <w:sz w:val="24"/>
          <w:szCs w:val="20"/>
        </w:rPr>
      </w:pPr>
      <w:r>
        <w:rPr>
          <w:rStyle w:val="44"/>
          <w:rFonts w:hint="eastAsia" w:ascii="宋体" w:hAnsi="宋体"/>
          <w:b/>
          <w:bCs/>
          <w:color w:val="000000" w:themeColor="text1"/>
          <w:sz w:val="24"/>
        </w:rPr>
        <w:t>1、实质性资格证明文件目录</w:t>
      </w:r>
    </w:p>
    <w:p>
      <w:pPr>
        <w:snapToGrid w:val="0"/>
        <w:spacing w:line="500" w:lineRule="exact"/>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4"/>
          <w:rFonts w:ascii="宋体" w:hAnsi="宋体"/>
          <w:color w:val="000000" w:themeColor="text1"/>
          <w:sz w:val="24"/>
          <w:szCs w:val="24"/>
        </w:rPr>
      </w:pPr>
      <w:r>
        <w:rPr>
          <w:rStyle w:val="44"/>
          <w:rFonts w:hint="eastAsia" w:ascii="宋体" w:hAnsi="宋体"/>
          <w:color w:val="000000" w:themeColor="text1"/>
          <w:sz w:val="24"/>
          <w:szCs w:val="24"/>
        </w:rPr>
        <w:t>文件2 上一年度（2021）财务状况报表（复印件，成立不满一年不需提供）</w:t>
      </w:r>
    </w:p>
    <w:p>
      <w:pPr>
        <w:snapToGrid w:val="0"/>
        <w:spacing w:line="500" w:lineRule="exact"/>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4"/>
          <w:rFonts w:ascii="宋体" w:hAnsi="宋体"/>
          <w:color w:val="000000" w:themeColor="text1"/>
          <w:sz w:val="24"/>
          <w:szCs w:val="24"/>
        </w:rPr>
      </w:pPr>
      <w:r>
        <w:rPr>
          <w:rStyle w:val="44"/>
          <w:rFonts w:hint="eastAsia" w:ascii="宋体" w:hAnsi="宋体"/>
          <w:color w:val="000000" w:themeColor="text1"/>
          <w:sz w:val="24"/>
          <w:szCs w:val="24"/>
        </w:rPr>
        <w:t>文件4 具备履行合同所必需的设备和专业技术能力的书面声明</w:t>
      </w:r>
    </w:p>
    <w:p>
      <w:pPr>
        <w:snapToGrid w:val="0"/>
        <w:spacing w:line="500" w:lineRule="exact"/>
        <w:ind w:firstLine="480" w:firstLineChars="200"/>
        <w:rPr>
          <w:rStyle w:val="44"/>
          <w:rFonts w:ascii="宋体" w:hAnsi="宋体"/>
          <w:color w:val="000000" w:themeColor="text1"/>
          <w:sz w:val="24"/>
          <w:szCs w:val="24"/>
        </w:rPr>
      </w:pPr>
      <w:r>
        <w:rPr>
          <w:rStyle w:val="44"/>
          <w:rFonts w:hint="eastAsia" w:ascii="宋体" w:hAnsi="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4"/>
          <w:rFonts w:ascii="宋体" w:hAnsi="宋体"/>
          <w:color w:val="000000" w:themeColor="text1"/>
          <w:sz w:val="24"/>
          <w:szCs w:val="24"/>
        </w:rPr>
      </w:pPr>
      <w:r>
        <w:rPr>
          <w:rStyle w:val="44"/>
          <w:rFonts w:hint="eastAsia" w:ascii="宋体" w:hAnsi="宋体"/>
          <w:color w:val="000000" w:themeColor="text1"/>
          <w:sz w:val="24"/>
          <w:szCs w:val="24"/>
        </w:rPr>
        <w:t>文件6 法人授权书</w:t>
      </w:r>
    </w:p>
    <w:p>
      <w:pPr>
        <w:pStyle w:val="36"/>
        <w:spacing w:line="240" w:lineRule="atLeast"/>
        <w:rPr>
          <w:rStyle w:val="44"/>
          <w:rFonts w:ascii="宋体" w:hAnsi="宋体"/>
          <w:color w:val="000000" w:themeColor="text1"/>
          <w:sz w:val="24"/>
          <w:szCs w:val="24"/>
        </w:rPr>
      </w:pPr>
      <w:r>
        <w:rPr>
          <w:rStyle w:val="44"/>
          <w:rFonts w:hint="eastAsia" w:ascii="宋体" w:hAnsi="宋体"/>
          <w:color w:val="000000" w:themeColor="text1"/>
          <w:sz w:val="24"/>
          <w:szCs w:val="24"/>
        </w:rPr>
        <w:t>文件7 招标文件中规定要求提供的证明材料和投标人认为需要提供的其他材料</w:t>
      </w: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b/>
          <w:bCs/>
          <w:color w:val="000000" w:themeColor="text1"/>
          <w:sz w:val="24"/>
        </w:rPr>
      </w:pPr>
    </w:p>
    <w:p>
      <w:pPr>
        <w:pStyle w:val="36"/>
        <w:spacing w:line="240" w:lineRule="atLeast"/>
        <w:rPr>
          <w:rStyle w:val="44"/>
          <w:rFonts w:ascii="宋体" w:hAnsi="宋体"/>
          <w:b/>
          <w:bCs/>
          <w:color w:val="000000" w:themeColor="text1"/>
          <w:sz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6"/>
        <w:spacing w:line="240" w:lineRule="atLeast"/>
        <w:rPr>
          <w:rStyle w:val="44"/>
          <w:rFonts w:ascii="宋体" w:hAnsi="宋体"/>
          <w:color w:val="000000" w:themeColor="text1"/>
          <w:sz w:val="24"/>
          <w:szCs w:val="24"/>
        </w:rPr>
      </w:pPr>
    </w:p>
    <w:p>
      <w:pPr>
        <w:pStyle w:val="37"/>
        <w:jc w:val="center"/>
        <w:rPr>
          <w:rStyle w:val="44"/>
          <w:rFonts w:ascii="宋体" w:hAnsi="宋体" w:cs="宋体"/>
          <w:b w:val="0"/>
          <w:bCs w:val="0"/>
          <w:color w:val="000000" w:themeColor="text1"/>
          <w:sz w:val="28"/>
          <w:szCs w:val="28"/>
        </w:rPr>
      </w:pPr>
      <w:r>
        <w:rPr>
          <w:rStyle w:val="44"/>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4"/>
          <w:rFonts w:ascii="宋体" w:hAnsi="宋体"/>
          <w:bCs/>
          <w:color w:val="000000" w:themeColor="text1"/>
          <w:sz w:val="28"/>
          <w:szCs w:val="28"/>
        </w:rPr>
      </w:pPr>
      <w:r>
        <w:rPr>
          <w:rStyle w:val="44"/>
          <w:rFonts w:hint="eastAsia" w:ascii="宋体" w:hAnsi="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宋体" w:hAnsi="宋体"/>
          <w:bCs/>
          <w:color w:val="000000" w:themeColor="text1"/>
          <w:sz w:val="28"/>
          <w:szCs w:val="28"/>
        </w:rPr>
      </w:pPr>
      <w:r>
        <w:rPr>
          <w:rStyle w:val="44"/>
          <w:rFonts w:hint="eastAsia" w:ascii="宋体" w:hAnsi="宋体"/>
          <w:bCs/>
          <w:color w:val="000000" w:themeColor="text1"/>
          <w:sz w:val="28"/>
          <w:szCs w:val="28"/>
        </w:rPr>
        <w:t>主要设备有：。</w:t>
      </w:r>
    </w:p>
    <w:p>
      <w:pPr>
        <w:spacing w:line="460" w:lineRule="exact"/>
        <w:ind w:firstLine="492"/>
        <w:rPr>
          <w:rStyle w:val="44"/>
          <w:rFonts w:ascii="宋体" w:hAnsi="宋体"/>
          <w:bCs/>
          <w:color w:val="000000" w:themeColor="text1"/>
          <w:sz w:val="28"/>
          <w:szCs w:val="28"/>
        </w:rPr>
      </w:pPr>
      <w:r>
        <w:rPr>
          <w:rStyle w:val="44"/>
          <w:rFonts w:hint="eastAsia" w:ascii="宋体" w:hAnsi="宋体"/>
          <w:bCs/>
          <w:color w:val="000000" w:themeColor="text1"/>
          <w:sz w:val="28"/>
          <w:szCs w:val="28"/>
        </w:rPr>
        <w:t>主要专业技术能力有：。</w:t>
      </w:r>
    </w:p>
    <w:p>
      <w:pPr>
        <w:spacing w:line="460" w:lineRule="exact"/>
        <w:ind w:firstLine="492"/>
        <w:rPr>
          <w:rStyle w:val="44"/>
          <w:rFonts w:ascii="宋体" w:hAnsi="宋体"/>
          <w:bCs/>
          <w:color w:val="000000" w:themeColor="text1"/>
          <w:sz w:val="28"/>
          <w:szCs w:val="28"/>
        </w:rPr>
      </w:pPr>
    </w:p>
    <w:p>
      <w:pPr>
        <w:spacing w:line="460" w:lineRule="exact"/>
        <w:ind w:firstLine="492"/>
        <w:rPr>
          <w:rStyle w:val="44"/>
          <w:rFonts w:ascii="宋体" w:hAnsi="宋体"/>
          <w:bCs/>
          <w:color w:val="000000" w:themeColor="text1"/>
          <w:sz w:val="28"/>
          <w:szCs w:val="28"/>
        </w:rPr>
      </w:pPr>
    </w:p>
    <w:p>
      <w:pPr>
        <w:spacing w:line="460" w:lineRule="exact"/>
        <w:ind w:firstLine="492"/>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r>
        <w:rPr>
          <w:rStyle w:val="44"/>
          <w:rFonts w:hint="eastAsia" w:ascii="宋体" w:hAnsi="宋体"/>
          <w:bCs/>
          <w:color w:val="000000" w:themeColor="text1"/>
          <w:sz w:val="28"/>
          <w:szCs w:val="28"/>
        </w:rPr>
        <w:t xml:space="preserve">                                       供应商名称（公章）：</w:t>
      </w:r>
    </w:p>
    <w:p>
      <w:pPr>
        <w:spacing w:line="460" w:lineRule="exact"/>
        <w:rPr>
          <w:rStyle w:val="44"/>
          <w:rFonts w:ascii="宋体" w:hAnsi="宋体"/>
          <w:bCs/>
          <w:color w:val="000000" w:themeColor="text1"/>
          <w:sz w:val="28"/>
          <w:szCs w:val="28"/>
        </w:rPr>
      </w:pPr>
    </w:p>
    <w:p>
      <w:pPr>
        <w:spacing w:line="460" w:lineRule="exact"/>
        <w:jc w:val="right"/>
        <w:rPr>
          <w:rStyle w:val="44"/>
          <w:rFonts w:ascii="宋体" w:hAnsi="宋体"/>
          <w:bCs/>
          <w:color w:val="000000" w:themeColor="text1"/>
          <w:sz w:val="28"/>
          <w:szCs w:val="28"/>
        </w:rPr>
      </w:pPr>
      <w:r>
        <w:rPr>
          <w:rStyle w:val="44"/>
          <w:rFonts w:hint="eastAsia" w:ascii="宋体" w:hAnsi="宋体"/>
          <w:bCs/>
          <w:color w:val="000000" w:themeColor="text1"/>
          <w:sz w:val="28"/>
          <w:szCs w:val="28"/>
        </w:rPr>
        <w:t>日期：</w:t>
      </w:r>
      <w:r>
        <w:rPr>
          <w:rStyle w:val="44"/>
          <w:rFonts w:hint="eastAsia" w:ascii="宋体" w:hAnsi="宋体"/>
          <w:bCs/>
          <w:color w:val="000000" w:themeColor="text1"/>
          <w:sz w:val="28"/>
          <w:szCs w:val="28"/>
          <w:u w:val="single" w:color="000000"/>
        </w:rPr>
        <w:t xml:space="preserve">    年    月    日</w:t>
      </w:r>
    </w:p>
    <w:p>
      <w:pPr>
        <w:pStyle w:val="8"/>
        <w:jc w:val="center"/>
        <w:rPr>
          <w:rStyle w:val="44"/>
          <w:rFonts w:ascii="宋体" w:hAnsi="宋体"/>
          <w:color w:val="000000" w:themeColor="text1"/>
        </w:rPr>
      </w:pPr>
      <w:r>
        <w:rPr>
          <w:rStyle w:val="44"/>
          <w:rFonts w:hint="eastAsia" w:ascii="宋体" w:hAnsi="宋体"/>
          <w:color w:val="000000" w:themeColor="text1"/>
        </w:rPr>
        <w:br w:type="page"/>
      </w:r>
    </w:p>
    <w:p>
      <w:pPr>
        <w:pStyle w:val="8"/>
        <w:jc w:val="center"/>
        <w:rPr>
          <w:rFonts w:ascii="宋体" w:hAnsi="宋体"/>
          <w:color w:val="000000" w:themeColor="text1"/>
        </w:rPr>
      </w:pPr>
      <w:r>
        <w:rPr>
          <w:rFonts w:hint="eastAsia" w:ascii="宋体" w:hAnsi="宋体"/>
          <w:color w:val="000000" w:themeColor="text1"/>
        </w:rPr>
        <w:t>参加政府采购活动前 3 年内在经营活动中没有重大违法记录的书面声明</w:t>
      </w:r>
    </w:p>
    <w:p>
      <w:pPr>
        <w:spacing w:line="460" w:lineRule="exact"/>
        <w:rPr>
          <w:rFonts w:ascii="宋体" w:hAnsi="宋体"/>
          <w:b/>
          <w:bCs/>
          <w:color w:val="000000" w:themeColor="text1"/>
          <w:sz w:val="28"/>
          <w:szCs w:val="28"/>
        </w:rPr>
      </w:pPr>
    </w:p>
    <w:p>
      <w:pPr>
        <w:jc w:val="center"/>
        <w:rPr>
          <w:rFonts w:ascii="宋体" w:hAnsi="宋体"/>
          <w:b/>
          <w:bCs/>
          <w:color w:val="000000" w:themeColor="text1"/>
          <w:sz w:val="44"/>
          <w:szCs w:val="44"/>
        </w:rPr>
      </w:pPr>
    </w:p>
    <w:p>
      <w:pPr>
        <w:jc w:val="center"/>
        <w:rPr>
          <w:rFonts w:ascii="宋体" w:hAnsi="宋体"/>
          <w:b/>
          <w:bCs/>
          <w:color w:val="000000" w:themeColor="text1"/>
          <w:sz w:val="44"/>
          <w:szCs w:val="44"/>
        </w:rPr>
      </w:pPr>
    </w:p>
    <w:p>
      <w:pPr>
        <w:jc w:val="center"/>
        <w:rPr>
          <w:rFonts w:ascii="宋体" w:hAnsi="宋体"/>
          <w:b/>
          <w:bCs/>
          <w:color w:val="000000" w:themeColor="text1"/>
          <w:sz w:val="44"/>
          <w:szCs w:val="44"/>
        </w:rPr>
      </w:pPr>
      <w:r>
        <w:rPr>
          <w:rFonts w:hint="eastAsia" w:ascii="宋体" w:hAnsi="宋体"/>
          <w:b/>
          <w:bCs/>
          <w:color w:val="000000" w:themeColor="text1"/>
          <w:sz w:val="44"/>
          <w:szCs w:val="44"/>
        </w:rPr>
        <w:t>声  明</w:t>
      </w:r>
    </w:p>
    <w:p>
      <w:pPr>
        <w:spacing w:line="460" w:lineRule="exact"/>
        <w:rPr>
          <w:rFonts w:ascii="宋体" w:hAnsi="宋体"/>
          <w:bCs/>
          <w:color w:val="000000" w:themeColor="text1"/>
          <w:sz w:val="24"/>
          <w:szCs w:val="24"/>
        </w:rPr>
      </w:pPr>
      <w:r>
        <w:rPr>
          <w:rFonts w:hint="eastAsia" w:ascii="宋体" w:hAnsi="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szCs w:val="24"/>
        </w:rPr>
      </w:pPr>
    </w:p>
    <w:p>
      <w:pPr>
        <w:spacing w:line="460" w:lineRule="exact"/>
        <w:ind w:firstLine="3120" w:firstLineChars="1300"/>
        <w:rPr>
          <w:rFonts w:ascii="宋体" w:hAnsi="宋体"/>
          <w:bCs/>
          <w:color w:val="000000" w:themeColor="text1"/>
          <w:sz w:val="24"/>
          <w:szCs w:val="24"/>
        </w:rPr>
      </w:pPr>
    </w:p>
    <w:p>
      <w:pPr>
        <w:spacing w:line="460" w:lineRule="exact"/>
        <w:ind w:firstLine="3120" w:firstLineChars="1300"/>
        <w:rPr>
          <w:rFonts w:ascii="宋体" w:hAnsi="宋体"/>
          <w:bCs/>
          <w:color w:val="000000" w:themeColor="text1"/>
          <w:sz w:val="24"/>
          <w:szCs w:val="24"/>
        </w:rPr>
      </w:pPr>
    </w:p>
    <w:p>
      <w:pPr>
        <w:spacing w:line="460" w:lineRule="exact"/>
        <w:ind w:firstLine="3360" w:firstLineChars="1400"/>
        <w:rPr>
          <w:rFonts w:ascii="宋体" w:hAnsi="宋体"/>
          <w:bCs/>
          <w:color w:val="000000" w:themeColor="text1"/>
          <w:sz w:val="24"/>
          <w:szCs w:val="24"/>
        </w:rPr>
      </w:pPr>
      <w:r>
        <w:rPr>
          <w:rFonts w:hint="eastAsia" w:ascii="宋体" w:hAnsi="宋体"/>
          <w:bCs/>
          <w:color w:val="000000" w:themeColor="text1"/>
          <w:sz w:val="24"/>
          <w:szCs w:val="24"/>
        </w:rPr>
        <w:t>供应商名称（公章）：</w:t>
      </w:r>
    </w:p>
    <w:p>
      <w:pPr>
        <w:spacing w:line="460" w:lineRule="exact"/>
        <w:ind w:firstLine="3360" w:firstLineChars="1400"/>
        <w:rPr>
          <w:rFonts w:ascii="宋体" w:hAnsi="宋体"/>
          <w:bCs/>
          <w:color w:val="000000" w:themeColor="text1"/>
          <w:sz w:val="24"/>
          <w:szCs w:val="24"/>
        </w:rPr>
      </w:pPr>
      <w:r>
        <w:rPr>
          <w:rFonts w:hint="eastAsia" w:ascii="宋体" w:hAnsi="宋体"/>
          <w:bCs/>
          <w:color w:val="000000" w:themeColor="text1"/>
          <w:sz w:val="24"/>
          <w:szCs w:val="24"/>
        </w:rPr>
        <w:t>授权代表签字：</w:t>
      </w:r>
    </w:p>
    <w:p>
      <w:pPr>
        <w:spacing w:line="460" w:lineRule="exact"/>
        <w:jc w:val="right"/>
        <w:rPr>
          <w:rFonts w:ascii="宋体" w:hAnsi="宋体"/>
          <w:bCs/>
          <w:color w:val="000000" w:themeColor="text1"/>
          <w:sz w:val="24"/>
          <w:szCs w:val="24"/>
        </w:rPr>
      </w:pPr>
      <w:r>
        <w:rPr>
          <w:rFonts w:hint="eastAsia" w:ascii="宋体" w:hAnsi="宋体"/>
          <w:bCs/>
          <w:color w:val="000000" w:themeColor="text1"/>
          <w:sz w:val="24"/>
          <w:szCs w:val="24"/>
        </w:rPr>
        <w:t>日期：</w:t>
      </w:r>
      <w:r>
        <w:rPr>
          <w:rFonts w:hint="eastAsia" w:ascii="宋体" w:hAnsi="宋体"/>
          <w:bCs/>
          <w:color w:val="000000" w:themeColor="text1"/>
          <w:sz w:val="24"/>
          <w:szCs w:val="24"/>
          <w:u w:val="single"/>
        </w:rPr>
        <w:t xml:space="preserve">           年    月    日</w:t>
      </w:r>
    </w:p>
    <w:p>
      <w:pPr>
        <w:spacing w:line="460" w:lineRule="exact"/>
        <w:rPr>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8"/>
          <w:szCs w:val="28"/>
        </w:rPr>
      </w:pPr>
    </w:p>
    <w:p>
      <w:pPr>
        <w:spacing w:line="460" w:lineRule="exact"/>
        <w:rPr>
          <w:rStyle w:val="44"/>
          <w:rFonts w:ascii="宋体" w:hAnsi="宋体"/>
          <w:bCs/>
          <w:color w:val="000000" w:themeColor="text1"/>
          <w:sz w:val="24"/>
        </w:rPr>
      </w:pPr>
    </w:p>
    <w:p>
      <w:pPr>
        <w:spacing w:line="460" w:lineRule="exact"/>
        <w:rPr>
          <w:rStyle w:val="44"/>
          <w:rFonts w:ascii="宋体" w:hAnsi="宋体"/>
          <w:bCs/>
          <w:color w:val="000000" w:themeColor="text1"/>
          <w:sz w:val="24"/>
        </w:rPr>
      </w:pPr>
    </w:p>
    <w:p>
      <w:pPr>
        <w:spacing w:line="460" w:lineRule="exact"/>
        <w:rPr>
          <w:rStyle w:val="44"/>
          <w:rFonts w:ascii="宋体" w:hAnsi="宋体"/>
          <w:bCs/>
          <w:color w:val="000000" w:themeColor="text1"/>
          <w:sz w:val="24"/>
        </w:rPr>
      </w:pPr>
    </w:p>
    <w:p>
      <w:pPr>
        <w:spacing w:line="460" w:lineRule="exact"/>
        <w:rPr>
          <w:rStyle w:val="44"/>
          <w:rFonts w:ascii="宋体" w:hAnsi="宋体"/>
          <w:bCs/>
          <w:color w:val="000000" w:themeColor="text1"/>
          <w:sz w:val="24"/>
        </w:rPr>
      </w:pPr>
    </w:p>
    <w:p>
      <w:pPr>
        <w:pStyle w:val="37"/>
        <w:jc w:val="center"/>
        <w:rPr>
          <w:rStyle w:val="44"/>
          <w:rFonts w:ascii="宋体" w:hAnsi="宋体" w:cs="宋体"/>
          <w:color w:val="000000" w:themeColor="text1"/>
          <w:sz w:val="28"/>
          <w:szCs w:val="28"/>
        </w:rPr>
      </w:pPr>
      <w:r>
        <w:rPr>
          <w:rStyle w:val="44"/>
          <w:rFonts w:hint="eastAsia" w:ascii="宋体" w:hAnsi="宋体" w:cs="宋体"/>
          <w:color w:val="000000" w:themeColor="text1"/>
          <w:sz w:val="28"/>
          <w:szCs w:val="28"/>
        </w:rPr>
        <w:t>法人授权书</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本授权书声明：____________（供应商名称）授权________________（被授权人的姓名）为我方就 号项目采购活动的合法代理人，以本公司名义全权处理一切与该项目采购有关的事务。</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本授权书于______年____月____日起生效，特此声明。</w:t>
      </w:r>
    </w:p>
    <w:p>
      <w:pPr>
        <w:pStyle w:val="115"/>
        <w:ind w:firstLineChars="0"/>
        <w:rPr>
          <w:rFonts w:ascii="宋体" w:hAnsi="宋体"/>
          <w:bCs/>
          <w:color w:val="000000" w:themeColor="text1"/>
          <w:sz w:val="24"/>
          <w:szCs w:val="24"/>
        </w:rPr>
      </w:pPr>
    </w:p>
    <w:p>
      <w:pPr>
        <w:pStyle w:val="115"/>
        <w:ind w:firstLine="2145" w:firstLineChars="894"/>
        <w:rPr>
          <w:rFonts w:ascii="宋体" w:hAnsi="宋体"/>
          <w:bCs/>
          <w:color w:val="000000" w:themeColor="text1"/>
          <w:sz w:val="24"/>
          <w:szCs w:val="24"/>
        </w:rPr>
      </w:pPr>
      <w:r>
        <w:rPr>
          <w:rFonts w:hint="eastAsia" w:ascii="宋体" w:hAnsi="宋体"/>
          <w:bCs/>
          <w:color w:val="000000" w:themeColor="text1"/>
          <w:sz w:val="24"/>
          <w:szCs w:val="24"/>
        </w:rPr>
        <w:t>代理人（被授权人）：_______________________</w:t>
      </w:r>
    </w:p>
    <w:p>
      <w:pPr>
        <w:pStyle w:val="115"/>
        <w:ind w:firstLineChars="0"/>
        <w:rPr>
          <w:rFonts w:ascii="宋体" w:hAnsi="宋体"/>
          <w:bCs/>
          <w:color w:val="000000" w:themeColor="text1"/>
          <w:sz w:val="24"/>
          <w:szCs w:val="24"/>
        </w:rPr>
      </w:pPr>
      <w:r>
        <w:rPr>
          <w:rFonts w:hint="eastAsia" w:ascii="宋体" w:hAnsi="宋体"/>
          <w:bCs/>
          <w:color w:val="000000" w:themeColor="text1"/>
          <w:sz w:val="24"/>
          <w:szCs w:val="24"/>
        </w:rPr>
        <w:t xml:space="preserve">                单位名称：_____________________________________</w:t>
      </w:r>
    </w:p>
    <w:p>
      <w:pPr>
        <w:pStyle w:val="115"/>
        <w:ind w:firstLine="480"/>
        <w:rPr>
          <w:rFonts w:ascii="宋体" w:hAnsi="宋体"/>
          <w:bCs/>
          <w:color w:val="000000" w:themeColor="text1"/>
          <w:sz w:val="24"/>
          <w:szCs w:val="24"/>
        </w:rPr>
      </w:pPr>
    </w:p>
    <w:p>
      <w:pPr>
        <w:pStyle w:val="115"/>
        <w:ind w:firstLineChars="0"/>
        <w:rPr>
          <w:rFonts w:ascii="宋体" w:hAnsi="宋体"/>
          <w:bCs/>
          <w:color w:val="000000" w:themeColor="text1"/>
          <w:sz w:val="24"/>
          <w:szCs w:val="24"/>
        </w:rPr>
      </w:pPr>
      <w:r>
        <w:rPr>
          <w:rFonts w:hint="eastAsia" w:ascii="宋体" w:hAnsi="宋体"/>
          <w:bCs/>
          <w:color w:val="000000" w:themeColor="text1"/>
          <w:sz w:val="24"/>
          <w:szCs w:val="24"/>
        </w:rPr>
        <w:t xml:space="preserve">               授权单位盖章：_________________________________</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 xml:space="preserve">             单位名称：_____________________________________</w:t>
      </w:r>
    </w:p>
    <w:p>
      <w:pPr>
        <w:pStyle w:val="115"/>
        <w:ind w:firstLine="480"/>
        <w:rPr>
          <w:rFonts w:ascii="宋体" w:hAnsi="宋体"/>
          <w:bCs/>
          <w:color w:val="000000" w:themeColor="text1"/>
          <w:sz w:val="24"/>
          <w:szCs w:val="24"/>
        </w:rPr>
      </w:pPr>
      <w:r>
        <w:rPr>
          <w:rFonts w:hint="eastAsia" w:ascii="宋体" w:hAnsi="宋体"/>
          <w:bCs/>
          <w:color w:val="000000" w:themeColor="text1"/>
          <w:sz w:val="24"/>
          <w:szCs w:val="24"/>
        </w:rPr>
        <w:t xml:space="preserve">             地址：_____________________________________</w:t>
      </w:r>
    </w:p>
    <w:p>
      <w:pPr>
        <w:pStyle w:val="115"/>
        <w:ind w:firstLine="480"/>
        <w:rPr>
          <w:rStyle w:val="44"/>
          <w:rFonts w:ascii="宋体" w:hAnsi="宋体"/>
          <w:color w:val="000000" w:themeColor="text1"/>
          <w:szCs w:val="28"/>
        </w:rPr>
      </w:pPr>
      <w:r>
        <w:rPr>
          <w:rFonts w:hint="eastAsia" w:ascii="宋体" w:hAnsi="宋体"/>
          <w:bCs/>
          <w:color w:val="000000" w:themeColor="text1"/>
          <w:sz w:val="24"/>
          <w:szCs w:val="24"/>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1"/>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rPr>
          <w:rStyle w:val="44"/>
          <w:rFonts w:ascii="宋体" w:hAnsi="宋体"/>
          <w:color w:val="000000" w:themeColor="text1"/>
          <w:sz w:val="32"/>
          <w:szCs w:val="32"/>
        </w:rPr>
      </w:pPr>
      <w:bookmarkStart w:id="44" w:name="_Toc1752"/>
    </w:p>
    <w:p>
      <w:pPr>
        <w:snapToGrid w:val="0"/>
        <w:spacing w:before="50" w:after="50"/>
        <w:jc w:val="center"/>
        <w:outlineLvl w:val="0"/>
        <w:rPr>
          <w:rStyle w:val="44"/>
          <w:rFonts w:ascii="宋体" w:hAnsi="宋体"/>
          <w:b/>
          <w:bCs/>
          <w:color w:val="000000" w:themeColor="text1"/>
          <w:sz w:val="32"/>
          <w:szCs w:val="32"/>
        </w:rPr>
      </w:pPr>
      <w:bookmarkStart w:id="45" w:name="_Toc31718"/>
      <w:r>
        <w:rPr>
          <w:rStyle w:val="44"/>
          <w:rFonts w:hint="eastAsia" w:ascii="宋体" w:hAnsi="宋体"/>
          <w:b/>
          <w:bCs/>
          <w:color w:val="000000" w:themeColor="text1"/>
          <w:sz w:val="32"/>
          <w:szCs w:val="32"/>
        </w:rPr>
        <w:t>二、资格性审查响应对照表（格式）</w:t>
      </w:r>
      <w:bookmarkEnd w:id="44"/>
      <w:bookmarkEnd w:id="45"/>
    </w:p>
    <w:p>
      <w:pPr>
        <w:ind w:firstLine="309"/>
        <w:rPr>
          <w:rStyle w:val="44"/>
          <w:rFonts w:ascii="宋体" w:hAnsi="宋体"/>
          <w:color w:val="000000" w:themeColor="text1"/>
          <w:sz w:val="24"/>
          <w:szCs w:val="24"/>
        </w:rPr>
      </w:pPr>
      <w:r>
        <w:rPr>
          <w:rStyle w:val="44"/>
          <w:rFonts w:hint="eastAsia" w:ascii="宋体" w:hAnsi="宋体"/>
          <w:color w:val="000000" w:themeColor="text1"/>
          <w:sz w:val="24"/>
          <w:szCs w:val="24"/>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是否响应</w:t>
            </w:r>
          </w:p>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投标文件中的</w:t>
            </w:r>
          </w:p>
          <w:p>
            <w:pPr>
              <w:snapToGrid w:val="0"/>
              <w:spacing w:line="240" w:lineRule="atLeast"/>
              <w:jc w:val="center"/>
              <w:rPr>
                <w:rStyle w:val="44"/>
                <w:rFonts w:ascii="宋体" w:hAnsi="宋体"/>
                <w:b/>
                <w:color w:val="000000" w:themeColor="text1"/>
              </w:rPr>
            </w:pPr>
            <w:r>
              <w:rPr>
                <w:rStyle w:val="44"/>
                <w:rFonts w:hint="eastAsia" w:ascii="宋体" w:hAnsi="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rPr>
            </w:pPr>
            <w:r>
              <w:rPr>
                <w:rStyle w:val="44"/>
                <w:rFonts w:hint="eastAsia" w:ascii="宋体" w:hAnsi="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r>
              <w:rPr>
                <w:rStyle w:val="44"/>
                <w:rFonts w:hint="eastAsia" w:ascii="宋体" w:hAnsi="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olor w:val="000000" w:themeColor="text1"/>
              </w:rPr>
            </w:pPr>
          </w:p>
        </w:tc>
      </w:tr>
    </w:tbl>
    <w:p>
      <w:pPr>
        <w:spacing w:line="440" w:lineRule="exact"/>
        <w:ind w:firstLine="480" w:firstLineChars="200"/>
        <w:rPr>
          <w:rStyle w:val="44"/>
          <w:rFonts w:ascii="宋体" w:hAnsi="宋体"/>
          <w:color w:val="000000" w:themeColor="text1"/>
          <w:sz w:val="24"/>
        </w:rPr>
      </w:pPr>
    </w:p>
    <w:p>
      <w:pPr>
        <w:snapToGrid w:val="0"/>
        <w:spacing w:before="50" w:after="50"/>
        <w:rPr>
          <w:rStyle w:val="44"/>
          <w:rFonts w:ascii="宋体" w:hAnsi="宋体"/>
          <w:color w:val="000000" w:themeColor="text1"/>
          <w:sz w:val="44"/>
        </w:rPr>
      </w:pPr>
    </w:p>
    <w:p>
      <w:pPr>
        <w:snapToGrid w:val="0"/>
        <w:spacing w:before="50" w:after="50"/>
        <w:rPr>
          <w:rStyle w:val="44"/>
          <w:rFonts w:ascii="宋体" w:hAnsi="宋体"/>
          <w:color w:val="000000" w:themeColor="text1"/>
          <w:sz w:val="44"/>
        </w:rPr>
      </w:pPr>
    </w:p>
    <w:p>
      <w:pPr>
        <w:snapToGrid w:val="0"/>
        <w:spacing w:before="50" w:after="50"/>
        <w:rPr>
          <w:rStyle w:val="44"/>
          <w:rFonts w:ascii="宋体" w:hAnsi="宋体"/>
          <w:color w:val="000000" w:themeColor="text1"/>
          <w:sz w:val="44"/>
        </w:rPr>
      </w:pPr>
    </w:p>
    <w:p>
      <w:pPr>
        <w:snapToGrid w:val="0"/>
        <w:spacing w:before="50" w:after="50"/>
        <w:rPr>
          <w:rStyle w:val="44"/>
          <w:rFonts w:ascii="宋体" w:hAnsi="宋体"/>
          <w:color w:val="000000" w:themeColor="text1"/>
          <w:sz w:val="44"/>
        </w:rPr>
      </w:pPr>
    </w:p>
    <w:p>
      <w:pPr>
        <w:pStyle w:val="8"/>
        <w:rPr>
          <w:rFonts w:ascii="宋体" w:hAnsi="宋体"/>
          <w:color w:val="000000" w:themeColor="text1"/>
        </w:rPr>
      </w:pPr>
    </w:p>
    <w:p>
      <w:pPr>
        <w:pStyle w:val="9"/>
        <w:ind w:firstLine="0"/>
        <w:rPr>
          <w:rFonts w:ascii="宋体" w:hAnsi="宋体"/>
          <w:color w:val="000000" w:themeColor="text1"/>
        </w:rPr>
      </w:pPr>
    </w:p>
    <w:p>
      <w:pPr>
        <w:pStyle w:val="10"/>
        <w:jc w:val="center"/>
        <w:rPr>
          <w:rFonts w:asciiTheme="minorEastAsia" w:hAnsiTheme="minorEastAsia" w:eastAsiaTheme="minorEastAsia" w:cstheme="minorEastAsia"/>
          <w:color w:val="000000" w:themeColor="text1"/>
        </w:rPr>
      </w:pPr>
      <w:bookmarkStart w:id="46" w:name="_Toc16680"/>
      <w:bookmarkStart w:id="47" w:name="_Toc22891"/>
      <w:r>
        <w:rPr>
          <w:rFonts w:hint="eastAsia" w:asciiTheme="minorEastAsia" w:hAnsiTheme="minorEastAsia" w:eastAsiaTheme="minorEastAsia" w:cstheme="minorEastAsia"/>
          <w:color w:val="000000" w:themeColor="text1"/>
        </w:rPr>
        <w:t>三、符合性检查响应对照表（格式）</w:t>
      </w:r>
      <w:bookmarkEnd w:id="46"/>
      <w:bookmarkEnd w:id="47"/>
    </w:p>
    <w:p>
      <w:pPr>
        <w:pStyle w:val="10"/>
        <w:rPr>
          <w:rFonts w:asciiTheme="minorEastAsia" w:hAnsiTheme="minorEastAsia" w:eastAsiaTheme="minorEastAsia" w:cstheme="minorEastAsia"/>
          <w:b w:val="0"/>
          <w:bCs w:val="0"/>
          <w:color w:val="000000" w:themeColor="text1"/>
          <w:sz w:val="24"/>
          <w:szCs w:val="24"/>
        </w:rPr>
      </w:pPr>
      <w:r>
        <w:rPr>
          <w:rFonts w:hint="eastAsia" w:asciiTheme="minorEastAsia" w:hAnsiTheme="minorEastAsia" w:eastAsiaTheme="minorEastAsia" w:cstheme="minorEastAsia"/>
          <w:b w:val="0"/>
          <w:bCs w:val="0"/>
          <w:color w:val="000000" w:themeColor="text1"/>
          <w:sz w:val="24"/>
          <w:szCs w:val="24"/>
        </w:rPr>
        <w:t>投标人全称（加盖公章）：</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6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序号</w:t>
            </w:r>
          </w:p>
        </w:tc>
        <w:tc>
          <w:tcPr>
            <w:tcW w:w="3260" w:type="dxa"/>
            <w:vAlign w:val="center"/>
          </w:tcPr>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符合性检查响应内容</w:t>
            </w:r>
          </w:p>
        </w:tc>
        <w:tc>
          <w:tcPr>
            <w:tcW w:w="2131" w:type="dxa"/>
            <w:vAlign w:val="center"/>
          </w:tcPr>
          <w:p>
            <w:pPr>
              <w:widowControl w:val="0"/>
              <w:snapToGrid w:val="0"/>
              <w:spacing w:line="240" w:lineRule="atLeast"/>
              <w:jc w:val="center"/>
              <w:rPr>
                <w:rFonts w:ascii="宋体"/>
                <w:b/>
                <w:color w:val="000000" w:themeColor="text1"/>
              </w:rPr>
            </w:pPr>
            <w:r>
              <w:rPr>
                <w:rFonts w:hint="eastAsia" w:ascii="宋体" w:hAnsi="宋体"/>
                <w:b/>
                <w:color w:val="000000" w:themeColor="text1"/>
              </w:rPr>
              <w:t>是否响应</w:t>
            </w:r>
          </w:p>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（填是或者否）</w:t>
            </w:r>
          </w:p>
        </w:tc>
        <w:tc>
          <w:tcPr>
            <w:tcW w:w="2131" w:type="dxa"/>
            <w:vAlign w:val="center"/>
          </w:tcPr>
          <w:p>
            <w:pPr>
              <w:widowControl w:val="0"/>
              <w:snapToGrid w:val="0"/>
              <w:spacing w:line="240" w:lineRule="atLeast"/>
              <w:jc w:val="center"/>
              <w:rPr>
                <w:rFonts w:ascii="宋体"/>
                <w:b/>
                <w:color w:val="000000" w:themeColor="text1"/>
              </w:rPr>
            </w:pPr>
            <w:r>
              <w:rPr>
                <w:rFonts w:hint="eastAsia" w:ascii="宋体" w:hAnsi="宋体"/>
                <w:b/>
                <w:color w:val="000000" w:themeColor="text1"/>
              </w:rPr>
              <w:t>投标文件中的</w:t>
            </w:r>
          </w:p>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1</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2</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3</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4</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5</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6</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7</w:t>
            </w:r>
          </w:p>
        </w:tc>
        <w:tc>
          <w:tcPr>
            <w:tcW w:w="3260" w:type="dxa"/>
          </w:tcPr>
          <w:p>
            <w:pPr>
              <w:widowControl w:val="0"/>
              <w:rPr>
                <w:color w:val="000000" w:themeColor="text1"/>
              </w:rPr>
            </w:pPr>
            <w:r>
              <w:rPr>
                <w:rFonts w:hint="eastAsia" w:ascii="宋体" w:hAnsi="宋体"/>
                <w:iCs/>
                <w:color w:val="000000" w:themeColor="text1"/>
                <w:sz w:val="24"/>
                <w:szCs w:val="24"/>
              </w:rPr>
              <w:t>招标文件中的其他实质性要求</w:t>
            </w:r>
          </w:p>
        </w:tc>
        <w:tc>
          <w:tcPr>
            <w:tcW w:w="2131" w:type="dxa"/>
          </w:tcPr>
          <w:p>
            <w:pPr>
              <w:widowControl w:val="0"/>
              <w:rPr>
                <w:color w:val="000000" w:themeColor="text1"/>
              </w:rPr>
            </w:pPr>
          </w:p>
        </w:tc>
        <w:tc>
          <w:tcPr>
            <w:tcW w:w="2131" w:type="dxa"/>
          </w:tcPr>
          <w:p>
            <w:pPr>
              <w:widowControl w:val="0"/>
              <w:rPr>
                <w:color w:val="000000" w:themeColor="text1"/>
              </w:rPr>
            </w:pPr>
          </w:p>
        </w:tc>
      </w:tr>
    </w:tbl>
    <w:p>
      <w:pPr>
        <w:rPr>
          <w:color w:val="000000" w:themeColor="text1"/>
        </w:rPr>
      </w:pPr>
    </w:p>
    <w:p>
      <w:pPr>
        <w:pStyle w:val="10"/>
        <w:rPr>
          <w:rFonts w:asciiTheme="minorEastAsia" w:hAnsiTheme="minorEastAsia" w:eastAsiaTheme="minorEastAsia" w:cstheme="minorEastAsia"/>
          <w:color w:val="000000" w:themeColor="text1"/>
        </w:rPr>
      </w:pPr>
    </w:p>
    <w:p>
      <w:pPr>
        <w:snapToGrid w:val="0"/>
        <w:spacing w:before="50" w:after="50"/>
        <w:rPr>
          <w:rStyle w:val="44"/>
          <w:rFonts w:ascii="宋体" w:hAnsi="宋体"/>
          <w:color w:val="000000" w:themeColor="text1"/>
          <w:sz w:val="44"/>
        </w:rPr>
      </w:pPr>
    </w:p>
    <w:p>
      <w:pPr>
        <w:snapToGrid w:val="0"/>
        <w:spacing w:before="50" w:after="50"/>
        <w:jc w:val="center"/>
        <w:rPr>
          <w:rStyle w:val="44"/>
          <w:rFonts w:ascii="宋体" w:hAnsi="宋体"/>
          <w:color w:val="000000" w:themeColor="text1"/>
          <w:sz w:val="32"/>
          <w:szCs w:val="32"/>
        </w:rPr>
      </w:pPr>
      <w:bookmarkStart w:id="48" w:name="_Toc17117"/>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jc w:val="center"/>
        <w:rPr>
          <w:rStyle w:val="44"/>
          <w:rFonts w:ascii="宋体" w:hAnsi="宋体"/>
          <w:color w:val="000000" w:themeColor="text1"/>
          <w:sz w:val="32"/>
          <w:szCs w:val="32"/>
        </w:rPr>
      </w:pPr>
    </w:p>
    <w:p>
      <w:pPr>
        <w:snapToGrid w:val="0"/>
        <w:spacing w:before="50" w:after="50"/>
        <w:rPr>
          <w:rStyle w:val="44"/>
          <w:rFonts w:ascii="宋体" w:hAnsi="宋体"/>
          <w:b/>
          <w:bCs/>
          <w:color w:val="000000" w:themeColor="text1"/>
          <w:sz w:val="32"/>
          <w:szCs w:val="32"/>
        </w:rPr>
      </w:pPr>
    </w:p>
    <w:p>
      <w:pPr>
        <w:snapToGrid w:val="0"/>
        <w:spacing w:before="50" w:after="50"/>
        <w:jc w:val="center"/>
        <w:outlineLvl w:val="0"/>
        <w:rPr>
          <w:rStyle w:val="44"/>
          <w:rFonts w:ascii="宋体" w:hAnsi="宋体"/>
          <w:b/>
          <w:bCs/>
          <w:color w:val="000000" w:themeColor="text1"/>
          <w:sz w:val="32"/>
          <w:szCs w:val="32"/>
        </w:rPr>
      </w:pPr>
      <w:bookmarkStart w:id="49" w:name="_Toc30378"/>
    </w:p>
    <w:p>
      <w:pPr>
        <w:snapToGrid w:val="0"/>
        <w:spacing w:before="50" w:after="50"/>
        <w:jc w:val="center"/>
        <w:outlineLvl w:val="0"/>
        <w:rPr>
          <w:rStyle w:val="44"/>
          <w:rFonts w:ascii="宋体" w:hAnsi="宋体"/>
          <w:b/>
          <w:bCs/>
          <w:color w:val="000000" w:themeColor="text1"/>
          <w:sz w:val="32"/>
          <w:szCs w:val="32"/>
        </w:rPr>
      </w:pPr>
      <w:r>
        <w:rPr>
          <w:rStyle w:val="44"/>
          <w:rFonts w:hint="eastAsia" w:ascii="宋体" w:hAnsi="宋体"/>
          <w:b/>
          <w:bCs/>
          <w:color w:val="000000" w:themeColor="text1"/>
          <w:sz w:val="32"/>
          <w:szCs w:val="32"/>
        </w:rPr>
        <w:t>四、投标函（格式）</w:t>
      </w:r>
      <w:bookmarkEnd w:id="48"/>
      <w:bookmarkEnd w:id="49"/>
    </w:p>
    <w:p>
      <w:pPr>
        <w:pStyle w:val="130"/>
        <w:spacing w:before="0" w:after="0" w:line="420" w:lineRule="exact"/>
        <w:ind w:firstLine="0"/>
        <w:rPr>
          <w:rStyle w:val="44"/>
          <w:rFonts w:ascii="宋体" w:hAnsi="宋体"/>
          <w:color w:val="000000" w:themeColor="text1"/>
          <w:kern w:val="2"/>
          <w:szCs w:val="21"/>
        </w:rPr>
      </w:pPr>
      <w:r>
        <w:rPr>
          <w:rStyle w:val="44"/>
          <w:rFonts w:hint="eastAsia" w:ascii="宋体" w:hAnsi="宋体"/>
          <w:color w:val="000000" w:themeColor="text1"/>
          <w:kern w:val="2"/>
          <w:szCs w:val="21"/>
        </w:rPr>
        <w:t>致：</w:t>
      </w:r>
      <w:r>
        <w:rPr>
          <w:rStyle w:val="44"/>
          <w:rFonts w:hint="eastAsia" w:ascii="宋体" w:hAnsi="宋体"/>
          <w:color w:val="000000" w:themeColor="text1"/>
          <w:kern w:val="2"/>
          <w:szCs w:val="21"/>
          <w:u w:val="single" w:color="000000"/>
        </w:rPr>
        <w:t>盐城工业职业技术学院</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根据贵方的</w:t>
      </w:r>
      <w:r>
        <w:rPr>
          <w:rStyle w:val="44"/>
          <w:rFonts w:hint="eastAsia" w:ascii="宋体" w:hAnsi="宋体"/>
          <w:color w:val="000000" w:themeColor="text1"/>
          <w:kern w:val="2"/>
          <w:szCs w:val="21"/>
          <w:u w:val="single" w:color="000000"/>
        </w:rPr>
        <w:t xml:space="preserve">     号</w:t>
      </w:r>
      <w:r>
        <w:rPr>
          <w:rStyle w:val="44"/>
          <w:rFonts w:hint="eastAsia" w:ascii="宋体" w:hAnsi="宋体"/>
          <w:color w:val="000000" w:themeColor="text1"/>
          <w:kern w:val="2"/>
          <w:szCs w:val="21"/>
        </w:rPr>
        <w:t>招标文件，正式授权下述签字人_________(姓名)代表我方______________（投标人的名称），全权处理本次项目投标的有关事宜。</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据此函，__________签字人兹宣布同意如下：</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1.按招标文件规定的各项要求，向买方提供所需货物与服务。</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2.我们完全理解贵方不一定将合同授予最低报价的投标人。</w:t>
      </w:r>
    </w:p>
    <w:p>
      <w:pPr>
        <w:pStyle w:val="130"/>
        <w:spacing w:before="0" w:after="0" w:line="420" w:lineRule="exact"/>
        <w:ind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3.我们已详细审核全部招标文件及其有效补充文件，我们知道必须放弃提出含糊不清或误解问题的权利。</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4.我们同意从规定的开标日期起遵循本投标文件，并在规定的投标有效期期满之前均具有约束力。</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5.如果在开标后规定的投标有效期内撤回投标或中标后拒绝签订合同，则按照国家相关法律法规受到相应处罚。</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Style w:val="44"/>
          <w:rFonts w:ascii="宋体" w:hAnsi="宋体"/>
          <w:color w:val="000000" w:themeColor="text1"/>
          <w:kern w:val="2"/>
          <w:szCs w:val="21"/>
        </w:rPr>
      </w:pPr>
      <w:r>
        <w:rPr>
          <w:rStyle w:val="44"/>
          <w:rFonts w:hint="eastAsia" w:ascii="宋体" w:hAnsi="宋体"/>
          <w:color w:val="000000" w:themeColor="text1"/>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Style w:val="44"/>
          <w:rFonts w:ascii="宋体" w:hAnsi="宋体"/>
          <w:color w:val="000000" w:themeColor="text1"/>
          <w:kern w:val="2"/>
          <w:szCs w:val="21"/>
        </w:rPr>
      </w:pPr>
      <w:r>
        <w:rPr>
          <w:rStyle w:val="44"/>
          <w:rFonts w:hint="eastAsia" w:ascii="宋体" w:hAnsi="宋体"/>
          <w:color w:val="000000" w:themeColor="text1"/>
          <w:kern w:val="2"/>
          <w:szCs w:val="21"/>
        </w:rPr>
        <w:t>8.与本投标有关的正式通讯地址为：</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地          址：</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邮          编：</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电          话：</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传          真：</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投标人开户行：</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 xml:space="preserve">账          户： </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 xml:space="preserve">投标人授权代表姓名（签字）： </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 xml:space="preserve">投标人名称（公章）： </w:t>
      </w:r>
    </w:p>
    <w:p>
      <w:pPr>
        <w:pStyle w:val="130"/>
        <w:spacing w:before="0" w:after="0" w:line="420" w:lineRule="exact"/>
        <w:ind w:left="420" w:leftChars="200" w:firstLineChars="200"/>
        <w:rPr>
          <w:rStyle w:val="44"/>
          <w:rFonts w:ascii="宋体" w:hAnsi="宋体"/>
          <w:color w:val="000000" w:themeColor="text1"/>
          <w:kern w:val="2"/>
          <w:szCs w:val="21"/>
        </w:rPr>
      </w:pPr>
      <w:r>
        <w:rPr>
          <w:rStyle w:val="44"/>
          <w:rFonts w:hint="eastAsia" w:ascii="宋体" w:hAnsi="宋体"/>
          <w:color w:val="000000" w:themeColor="text1"/>
          <w:kern w:val="2"/>
          <w:szCs w:val="21"/>
        </w:rPr>
        <w:t>日           期：________年____月____日</w:t>
      </w:r>
    </w:p>
    <w:p>
      <w:pPr>
        <w:snapToGrid w:val="0"/>
        <w:spacing w:before="50" w:after="145"/>
        <w:jc w:val="left"/>
        <w:rPr>
          <w:rStyle w:val="44"/>
          <w:rFonts w:ascii="宋体" w:hAnsi="宋体"/>
          <w:color w:val="000000" w:themeColor="text1"/>
          <w:sz w:val="24"/>
          <w:szCs w:val="20"/>
        </w:rPr>
      </w:pPr>
    </w:p>
    <w:p>
      <w:pPr>
        <w:jc w:val="center"/>
        <w:rPr>
          <w:rStyle w:val="44"/>
          <w:rFonts w:ascii="宋体" w:hAnsi="宋体"/>
          <w:b/>
          <w:color w:val="000000" w:themeColor="text1"/>
          <w:sz w:val="32"/>
          <w:szCs w:val="32"/>
        </w:rPr>
      </w:pPr>
    </w:p>
    <w:p>
      <w:pPr>
        <w:pStyle w:val="2"/>
        <w:rPr>
          <w:color w:val="000000" w:themeColor="text1"/>
        </w:rPr>
      </w:pPr>
    </w:p>
    <w:p>
      <w:pPr>
        <w:snapToGrid w:val="0"/>
        <w:spacing w:before="50" w:after="50"/>
        <w:rPr>
          <w:rFonts w:ascii="宋体" w:hAnsi="宋体"/>
          <w:color w:val="000000" w:themeColor="text1"/>
          <w:sz w:val="32"/>
          <w:szCs w:val="32"/>
        </w:rPr>
      </w:pPr>
      <w:bookmarkStart w:id="50" w:name="_Toc1547"/>
    </w:p>
    <w:p>
      <w:pPr>
        <w:snapToGrid w:val="0"/>
        <w:spacing w:before="50" w:after="50"/>
        <w:jc w:val="center"/>
        <w:outlineLvl w:val="0"/>
        <w:rPr>
          <w:rFonts w:ascii="宋体" w:hAnsi="宋体"/>
          <w:b/>
          <w:bCs/>
          <w:color w:val="000000" w:themeColor="text1"/>
          <w:sz w:val="32"/>
          <w:szCs w:val="32"/>
        </w:rPr>
      </w:pPr>
      <w:bookmarkStart w:id="51" w:name="_Toc15030"/>
    </w:p>
    <w:p>
      <w:pPr>
        <w:snapToGrid w:val="0"/>
        <w:spacing w:before="50" w:after="50"/>
        <w:jc w:val="center"/>
        <w:outlineLvl w:val="0"/>
        <w:rPr>
          <w:rFonts w:ascii="宋体" w:hAnsi="宋体"/>
          <w:b/>
          <w:bCs/>
          <w:color w:val="000000" w:themeColor="text1"/>
          <w:sz w:val="32"/>
          <w:szCs w:val="32"/>
        </w:rPr>
      </w:pPr>
    </w:p>
    <w:p>
      <w:pPr>
        <w:snapToGrid w:val="0"/>
        <w:spacing w:before="50" w:after="50"/>
        <w:jc w:val="center"/>
        <w:outlineLvl w:val="0"/>
        <w:rPr>
          <w:rFonts w:ascii="宋体" w:hAnsi="宋体"/>
          <w:b/>
          <w:bCs/>
          <w:color w:val="000000" w:themeColor="text1"/>
          <w:sz w:val="32"/>
          <w:szCs w:val="32"/>
        </w:rPr>
      </w:pPr>
      <w:r>
        <w:rPr>
          <w:rFonts w:hint="eastAsia" w:ascii="宋体" w:hAnsi="宋体"/>
          <w:b/>
          <w:bCs/>
          <w:color w:val="000000" w:themeColor="text1"/>
          <w:sz w:val="32"/>
          <w:szCs w:val="32"/>
        </w:rPr>
        <w:t>五、开标一览表（格式）</w:t>
      </w:r>
      <w:bookmarkEnd w:id="51"/>
    </w:p>
    <w:tbl>
      <w:tblPr>
        <w:tblStyle w:val="21"/>
        <w:tblpPr w:leftFromText="180" w:rightFromText="180" w:vertAnchor="text" w:horzAnchor="page" w:tblpX="1213" w:tblpY="135"/>
        <w:tblOverlap w:val="never"/>
        <w:tblW w:w="9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Style w:val="44"/>
                <w:rFonts w:ascii="宋体" w:hAnsi="宋体"/>
                <w:color w:val="000000" w:themeColor="text1"/>
                <w:szCs w:val="28"/>
              </w:rPr>
            </w:pPr>
            <w:r>
              <w:rPr>
                <w:rStyle w:val="44"/>
                <w:rFonts w:hint="eastAsia" w:ascii="宋体" w:hAnsi="宋体"/>
                <w:color w:val="000000" w:themeColor="text1"/>
                <w:szCs w:val="28"/>
              </w:rPr>
              <w:t>项目编号</w:t>
            </w:r>
          </w:p>
        </w:tc>
        <w:tc>
          <w:tcPr>
            <w:tcW w:w="7089" w:type="dxa"/>
            <w:tcBorders>
              <w:top w:val="single" w:color="000000" w:sz="4" w:space="0"/>
              <w:left w:val="single" w:color="000000" w:sz="4" w:space="0"/>
              <w:bottom w:val="single" w:color="000000" w:sz="4" w:space="0"/>
              <w:right w:val="single" w:color="000000" w:sz="4" w:space="0"/>
            </w:tcBorders>
            <w:noWrap/>
            <w:vAlign w:val="center"/>
          </w:tcPr>
          <w:p>
            <w:pPr>
              <w:pStyle w:val="35"/>
              <w:jc w:val="both"/>
              <w:rPr>
                <w:rStyle w:val="44"/>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Style w:val="44"/>
                <w:rFonts w:ascii="宋体" w:hAnsi="宋体"/>
                <w:color w:val="000000" w:themeColor="text1"/>
                <w:szCs w:val="28"/>
              </w:rPr>
            </w:pPr>
            <w:r>
              <w:rPr>
                <w:rStyle w:val="44"/>
                <w:rFonts w:hint="eastAsia" w:ascii="宋体" w:hAnsi="宋体"/>
                <w:color w:val="000000" w:themeColor="text1"/>
                <w:szCs w:val="28"/>
              </w:rPr>
              <w:t>项目名称</w:t>
            </w:r>
          </w:p>
        </w:tc>
        <w:tc>
          <w:tcPr>
            <w:tcW w:w="7089" w:type="dxa"/>
            <w:tcBorders>
              <w:top w:val="single" w:color="000000" w:sz="4" w:space="0"/>
              <w:left w:val="single" w:color="000000" w:sz="4" w:space="0"/>
              <w:bottom w:val="single" w:color="000000" w:sz="4" w:space="0"/>
              <w:right w:val="single" w:color="000000" w:sz="4" w:space="0"/>
            </w:tcBorders>
            <w:noWrap/>
            <w:vAlign w:val="center"/>
          </w:tcPr>
          <w:p>
            <w:pPr>
              <w:pStyle w:val="35"/>
              <w:jc w:val="both"/>
              <w:rPr>
                <w:rStyle w:val="44"/>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ascii="宋体" w:hAnsi="宋体"/>
                <w:color w:val="000000" w:themeColor="text1"/>
                <w:szCs w:val="28"/>
              </w:rPr>
            </w:pPr>
            <w:r>
              <w:rPr>
                <w:rStyle w:val="44"/>
                <w:rFonts w:hint="eastAsia" w:ascii="宋体" w:hAnsi="宋体"/>
                <w:b/>
                <w:bCs/>
                <w:color w:val="000000" w:themeColor="text1"/>
                <w:szCs w:val="28"/>
              </w:rPr>
              <w:t>项目投标报价：定价</w:t>
            </w:r>
            <w:r>
              <w:rPr>
                <w:rStyle w:val="44"/>
                <w:rFonts w:hint="eastAsia" w:ascii="宋体" w:hAnsi="宋体"/>
                <w:b/>
                <w:bCs/>
                <w:color w:val="000000" w:themeColor="text1"/>
                <w:szCs w:val="28"/>
                <w:u w:val="single"/>
              </w:rPr>
              <w:t>86</w:t>
            </w:r>
            <w:r>
              <w:rPr>
                <w:rStyle w:val="44"/>
                <w:rFonts w:hint="eastAsia" w:ascii="宋体" w:hAnsi="宋体"/>
                <w:color w:val="000000" w:themeColor="text1"/>
                <w:u w:val="single"/>
              </w:rPr>
              <w:t>_</w:t>
            </w:r>
            <w:r>
              <w:rPr>
                <w:rStyle w:val="44"/>
                <w:rFonts w:hint="eastAsia" w:ascii="宋体" w:hAnsi="宋体"/>
                <w:b/>
                <w:bCs/>
                <w:color w:val="000000" w:themeColor="text1"/>
                <w:sz w:val="24"/>
                <w:szCs w:val="24"/>
              </w:rPr>
              <w:t>元/人</w:t>
            </w:r>
            <w:r>
              <w:rPr>
                <w:rStyle w:val="44"/>
                <w:rFonts w:hint="eastAsia" w:ascii="宋体" w:hAnsi="宋体"/>
                <w:b/>
                <w:bCs/>
                <w:color w:val="000000" w:themeColor="text1"/>
                <w:szCs w:val="28"/>
              </w:rPr>
              <w:t xml:space="preserve">，免费为占体检总数的 </w:t>
            </w:r>
            <w:r>
              <w:rPr>
                <w:rStyle w:val="44"/>
                <w:rFonts w:hint="eastAsia" w:ascii="宋体" w:hAnsi="宋体"/>
                <w:b/>
                <w:bCs/>
                <w:color w:val="000000" w:themeColor="text1"/>
                <w:szCs w:val="28"/>
                <w:u w:val="single"/>
              </w:rPr>
              <w:t xml:space="preserve">        </w:t>
            </w:r>
            <w:r>
              <w:rPr>
                <w:rStyle w:val="44"/>
                <w:rFonts w:hint="eastAsia" w:ascii="宋体" w:hAnsi="宋体"/>
                <w:b/>
                <w:bCs/>
                <w:color w:val="000000" w:themeColor="text1"/>
                <w:szCs w:val="28"/>
              </w:rPr>
              <w:t>%比例的贫困学生体检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ascii="宋体" w:hAnsi="宋体"/>
                <w:b/>
                <w:bCs/>
                <w:color w:val="000000" w:themeColor="text1"/>
                <w:szCs w:val="28"/>
              </w:rPr>
            </w:pPr>
            <w:r>
              <w:rPr>
                <w:rStyle w:val="44"/>
                <w:rFonts w:hint="eastAsia" w:ascii="宋体" w:hAnsi="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ascii="宋体" w:hAnsi="宋体"/>
                <w:b/>
                <w:bCs/>
                <w:color w:val="000000" w:themeColor="text1"/>
                <w:szCs w:val="28"/>
              </w:rPr>
            </w:pPr>
            <w:r>
              <w:rPr>
                <w:rStyle w:val="44"/>
                <w:rFonts w:hint="eastAsia" w:ascii="宋体" w:hAnsi="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4"/>
                <w:rFonts w:ascii="宋体" w:hAnsi="宋体"/>
                <w:b/>
                <w:bCs/>
                <w:color w:val="000000" w:themeColor="text1"/>
                <w:szCs w:val="28"/>
              </w:rPr>
            </w:pPr>
            <w:r>
              <w:rPr>
                <w:rStyle w:val="44"/>
                <w:rFonts w:hint="eastAsia" w:ascii="宋体" w:hAnsi="宋体"/>
                <w:b/>
                <w:bCs/>
                <w:color w:val="000000" w:themeColor="text1"/>
                <w:szCs w:val="28"/>
              </w:rPr>
              <w:t>注：参加体检的新生约 3500 人，按实结算， 固定单价：86 元/人。</w:t>
            </w:r>
          </w:p>
        </w:tc>
      </w:tr>
    </w:tbl>
    <w:p>
      <w:pPr>
        <w:spacing w:line="180" w:lineRule="atLeast"/>
        <w:rPr>
          <w:rFonts w:ascii="宋体" w:hAnsi="宋体"/>
          <w:color w:val="000000" w:themeColor="text1"/>
          <w:szCs w:val="28"/>
        </w:rPr>
      </w:pPr>
    </w:p>
    <w:p>
      <w:pPr>
        <w:spacing w:line="180" w:lineRule="atLeast"/>
        <w:rPr>
          <w:rFonts w:ascii="宋体" w:hAnsi="宋体"/>
          <w:color w:val="000000" w:themeColor="text1"/>
          <w:szCs w:val="28"/>
        </w:rPr>
      </w:pPr>
      <w:r>
        <w:rPr>
          <w:rFonts w:hint="eastAsia" w:ascii="宋体" w:hAnsi="宋体"/>
          <w:color w:val="000000" w:themeColor="text1"/>
          <w:szCs w:val="28"/>
        </w:rPr>
        <w:t>填写说明：</w:t>
      </w:r>
    </w:p>
    <w:p>
      <w:pPr>
        <w:rPr>
          <w:rFonts w:ascii="宋体" w:hAnsi="宋体"/>
          <w:color w:val="000000" w:themeColor="text1"/>
          <w:sz w:val="24"/>
        </w:rPr>
      </w:pPr>
      <w:r>
        <w:rPr>
          <w:rFonts w:hint="eastAsia" w:ascii="宋体" w:hAnsi="宋体"/>
          <w:color w:val="000000" w:themeColor="text1"/>
          <w:sz w:val="24"/>
        </w:rPr>
        <w:t>1.开标一览表不得填报选择性报价，否则将作为无效投标；</w:t>
      </w:r>
    </w:p>
    <w:p>
      <w:pPr>
        <w:rPr>
          <w:rFonts w:ascii="宋体" w:hAnsi="宋体"/>
          <w:color w:val="000000" w:themeColor="text1"/>
          <w:sz w:val="24"/>
        </w:rPr>
      </w:pPr>
      <w:r>
        <w:rPr>
          <w:rFonts w:hint="eastAsia" w:ascii="宋体" w:hAnsi="宋体"/>
          <w:color w:val="000000" w:themeColor="text1"/>
          <w:sz w:val="24"/>
        </w:rPr>
        <w:t>2.开标一览表中报价与投标分项明细报价表中不符时时，以开标一览表为准；</w:t>
      </w:r>
    </w:p>
    <w:p>
      <w:pPr>
        <w:jc w:val="left"/>
        <w:rPr>
          <w:rFonts w:ascii="宋体" w:hAnsi="宋体"/>
          <w:color w:val="000000" w:themeColor="text1"/>
          <w:sz w:val="24"/>
        </w:rPr>
      </w:pPr>
      <w:r>
        <w:rPr>
          <w:rFonts w:hint="eastAsia" w:ascii="宋体" w:hAnsi="宋体"/>
          <w:color w:val="000000" w:themeColor="text1"/>
          <w:sz w:val="24"/>
        </w:rPr>
        <w:t>3. 注：本表中的报价为固定单价，包含为完成该项工作所需的一切费用，包括不限于：人工(包括工资、奖金、社保、加班费等费用) 、专用设备、工具、易耗品、办公设备、 服装、 胸卡、 保险、 各种税费、 利润、 政策性文件规定及合同包含的所有风险、 责任等的费用。</w:t>
      </w:r>
    </w:p>
    <w:p>
      <w:pPr>
        <w:ind w:firstLine="480"/>
        <w:rPr>
          <w:rFonts w:ascii="宋体" w:hAnsi="宋体"/>
          <w:color w:val="000000" w:themeColor="text1"/>
          <w:sz w:val="24"/>
        </w:rPr>
      </w:pPr>
    </w:p>
    <w:p>
      <w:pPr>
        <w:ind w:firstLine="480"/>
        <w:rPr>
          <w:rFonts w:ascii="宋体" w:hAnsi="宋体"/>
          <w:color w:val="000000" w:themeColor="text1"/>
          <w:sz w:val="24"/>
        </w:rPr>
      </w:pPr>
    </w:p>
    <w:p>
      <w:pPr>
        <w:ind w:firstLine="480"/>
        <w:jc w:val="center"/>
        <w:rPr>
          <w:rFonts w:ascii="宋体" w:hAnsi="宋体"/>
          <w:color w:val="000000" w:themeColor="text1"/>
          <w:sz w:val="24"/>
        </w:rPr>
      </w:pPr>
      <w:r>
        <w:rPr>
          <w:rFonts w:hint="eastAsia" w:ascii="宋体" w:hAnsi="宋体"/>
          <w:bCs/>
          <w:color w:val="000000" w:themeColor="text1"/>
          <w:sz w:val="24"/>
        </w:rPr>
        <w:t>供应商名称（公章）：</w:t>
      </w:r>
    </w:p>
    <w:p>
      <w:pPr>
        <w:ind w:firstLine="480"/>
        <w:rPr>
          <w:rFonts w:ascii="宋体" w:hAnsi="宋体"/>
          <w:color w:val="000000" w:themeColor="text1"/>
          <w:sz w:val="32"/>
          <w:szCs w:val="32"/>
        </w:rPr>
      </w:pPr>
      <w:r>
        <w:rPr>
          <w:rFonts w:hint="eastAsia" w:ascii="宋体" w:hAnsi="宋体"/>
          <w:color w:val="000000" w:themeColor="text1"/>
          <w:sz w:val="24"/>
        </w:rPr>
        <w:t xml:space="preserve">                                           日期：  年  月  日</w:t>
      </w:r>
    </w:p>
    <w:p>
      <w:pPr>
        <w:spacing w:line="560" w:lineRule="exact"/>
        <w:rPr>
          <w:rFonts w:ascii="宋体" w:hAnsi="宋体"/>
          <w:b/>
          <w:bCs/>
          <w:color w:val="000000" w:themeColor="text1"/>
        </w:rPr>
      </w:pPr>
      <w:r>
        <w:rPr>
          <w:rFonts w:ascii="宋体" w:hAnsi="宋体"/>
          <w:color w:val="000000" w:themeColor="text1"/>
          <w:sz w:val="32"/>
          <w:szCs w:val="32"/>
        </w:rPr>
        <w:br w:type="page"/>
      </w:r>
      <w:bookmarkEnd w:id="50"/>
    </w:p>
    <w:p>
      <w:pPr>
        <w:pStyle w:val="148"/>
        <w:tabs>
          <w:tab w:val="left" w:pos="5665"/>
          <w:tab w:val="right" w:pos="8360"/>
        </w:tabs>
        <w:wordWrap w:val="0"/>
        <w:ind w:right="42"/>
        <w:jc w:val="center"/>
        <w:rPr>
          <w:rFonts w:hAnsi="宋体"/>
          <w:b/>
          <w:bCs/>
          <w:color w:val="000000" w:themeColor="text1"/>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p>
    <w:p>
      <w:pPr>
        <w:pStyle w:val="7"/>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olor w:val="000000" w:themeColor="text1"/>
        </w:rPr>
      </w:pPr>
      <w:r>
        <w:rPr>
          <w:rFonts w:hint="eastAsia" w:ascii="宋体" w:hAnsi="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olor w:val="000000" w:themeColor="text1"/>
        </w:rPr>
      </w:pPr>
      <w:bookmarkStart w:id="52" w:name="_Toc9130"/>
      <w:bookmarkStart w:id="53" w:name="_Toc5293"/>
      <w:r>
        <w:rPr>
          <w:rFonts w:hint="eastAsia" w:ascii="宋体" w:hAnsi="宋体"/>
          <w:color w:val="000000" w:themeColor="text1"/>
        </w:rPr>
        <w:t>中小企业声明函（工程、服务）</w:t>
      </w:r>
      <w:bookmarkEnd w:id="52"/>
      <w:bookmarkEnd w:id="53"/>
    </w:p>
    <w:p>
      <w:pPr>
        <w:spacing w:line="360" w:lineRule="auto"/>
        <w:ind w:firstLine="420" w:firstLineChars="200"/>
        <w:outlineLvl w:val="0"/>
        <w:rPr>
          <w:rFonts w:ascii="宋体" w:hAnsi="宋体"/>
          <w:color w:val="000000" w:themeColor="text1"/>
        </w:rPr>
      </w:pPr>
      <w:bookmarkStart w:id="54" w:name="_Toc16484"/>
      <w:bookmarkStart w:id="55" w:name="_Toc17103"/>
      <w:r>
        <w:rPr>
          <w:rFonts w:hint="eastAsia" w:ascii="宋体" w:hAnsi="宋体"/>
          <w:color w:val="000000" w:themeColor="text1"/>
        </w:rPr>
        <w:t>《残疾人福利性单位声明函》（格式）</w:t>
      </w:r>
      <w:bookmarkEnd w:id="54"/>
      <w:bookmarkEnd w:id="55"/>
    </w:p>
    <w:p>
      <w:pPr>
        <w:spacing w:line="360" w:lineRule="auto"/>
        <w:rPr>
          <w:rFonts w:ascii="宋体" w:hAnsi="宋体"/>
          <w:color w:val="000000" w:themeColor="text1"/>
        </w:rPr>
      </w:pPr>
    </w:p>
    <w:p>
      <w:pPr>
        <w:spacing w:line="360" w:lineRule="auto"/>
        <w:rPr>
          <w:rFonts w:ascii="宋体" w:hAnsi="宋体"/>
          <w:color w:val="000000" w:themeColor="text1"/>
        </w:rPr>
      </w:pPr>
    </w:p>
    <w:p>
      <w:pPr>
        <w:pStyle w:val="2"/>
        <w:ind w:firstLine="482"/>
        <w:rPr>
          <w:b/>
          <w:bCs/>
          <w:sz w:val="24"/>
          <w:szCs w:val="24"/>
        </w:rPr>
      </w:pPr>
      <w:r>
        <w:rPr>
          <w:rFonts w:hint="eastAsia"/>
          <w:b/>
          <w:bCs/>
          <w:sz w:val="24"/>
          <w:szCs w:val="24"/>
        </w:rPr>
        <w:t>采购标的的所属行业为：</w:t>
      </w:r>
      <w:r>
        <w:rPr>
          <w:rFonts w:hint="eastAsia"/>
          <w:b/>
          <w:bCs/>
          <w:sz w:val="24"/>
          <w:szCs w:val="24"/>
          <w:u w:val="single"/>
        </w:rPr>
        <w:t>其他未列明行业，</w:t>
      </w:r>
      <w:r>
        <w:rPr>
          <w:rFonts w:hint="eastAsia"/>
          <w:b/>
          <w:bCs/>
          <w:sz w:val="24"/>
          <w:szCs w:val="24"/>
        </w:rPr>
        <w:t>根据《工业和信息化部、国家统计局、国家发展和改革委员会、财政部关于印发中小企业划型标准规定的通知》（工信部联企业[2011]300号）规定的划分标准填写。</w:t>
      </w:r>
    </w:p>
    <w:p>
      <w:pPr>
        <w:spacing w:line="360" w:lineRule="auto"/>
        <w:rPr>
          <w:rFonts w:ascii="宋体" w:hAnsi="宋体"/>
          <w:b/>
          <w:bCs/>
          <w:sz w:val="24"/>
          <w:szCs w:val="24"/>
        </w:rPr>
      </w:pPr>
      <w:r>
        <w:rPr>
          <w:rFonts w:hint="eastAsia" w:ascii="宋体" w:hAnsi="宋体"/>
          <w:b/>
          <w:bCs/>
          <w:sz w:val="24"/>
          <w:szCs w:val="24"/>
        </w:rPr>
        <w:t xml:space="preserve">（十六）其他未列明行业。从业人员300人以下的为中小微型企业。其中，从业人员100人及以上的为中型企业；从业人员10人及以上的为小型企业；从业人员10人以下的为微型企业。 </w:t>
      </w:r>
    </w:p>
    <w:p>
      <w:pPr>
        <w:spacing w:line="360" w:lineRule="auto"/>
        <w:rPr>
          <w:rFonts w:ascii="宋体" w:hAnsi="宋体"/>
          <w:b/>
          <w:bCs/>
          <w:sz w:val="24"/>
          <w:szCs w:val="24"/>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29"/>
        <w:rPr>
          <w:rFonts w:ascii="宋体" w:hAnsi="宋体" w:cs="宋体"/>
          <w:color w:val="000000" w:themeColor="text1"/>
        </w:rPr>
      </w:pPr>
    </w:p>
    <w:p>
      <w:pPr>
        <w:pStyle w:val="29"/>
        <w:rPr>
          <w:rFonts w:ascii="宋体" w:hAnsi="宋体" w:cs="宋体"/>
          <w:color w:val="000000" w:themeColor="text1"/>
        </w:rPr>
      </w:pPr>
    </w:p>
    <w:p>
      <w:pPr>
        <w:pStyle w:val="29"/>
        <w:rPr>
          <w:rFonts w:ascii="宋体" w:hAnsi="宋体" w:cs="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b/>
          <w:color w:val="000000" w:themeColor="text1"/>
        </w:rPr>
      </w:pPr>
    </w:p>
    <w:p>
      <w:pPr>
        <w:pStyle w:val="3"/>
        <w:ind w:firstLine="562"/>
        <w:rPr>
          <w:rFonts w:ascii="宋体" w:hAnsi="宋体" w:eastAsia="宋体"/>
          <w:b/>
          <w:color w:val="000000" w:themeColor="text1"/>
        </w:rPr>
      </w:pPr>
    </w:p>
    <w:p>
      <w:pPr>
        <w:spacing w:line="560" w:lineRule="exact"/>
        <w:outlineLvl w:val="0"/>
        <w:rPr>
          <w:rFonts w:ascii="宋体" w:hAnsi="宋体"/>
          <w:b/>
          <w:bCs/>
          <w:color w:val="000000" w:themeColor="text1"/>
          <w:sz w:val="24"/>
          <w:szCs w:val="24"/>
        </w:rPr>
      </w:pPr>
      <w:bookmarkStart w:id="56" w:name="_Toc32181"/>
      <w:bookmarkStart w:id="57" w:name="_Toc2719"/>
      <w:r>
        <w:rPr>
          <w:rFonts w:hint="eastAsia" w:ascii="宋体" w:hAnsi="宋体"/>
          <w:b/>
          <w:color w:val="000000" w:themeColor="text1"/>
          <w:sz w:val="24"/>
          <w:szCs w:val="24"/>
        </w:rPr>
        <w:t>附件：</w:t>
      </w:r>
      <w:r>
        <w:rPr>
          <w:rFonts w:hint="eastAsia" w:ascii="宋体" w:hAnsi="宋体"/>
          <w:b/>
          <w:bCs/>
          <w:color w:val="000000" w:themeColor="text1"/>
          <w:sz w:val="24"/>
          <w:szCs w:val="24"/>
        </w:rPr>
        <w:t>中小企业声明函（服务）</w:t>
      </w:r>
      <w:bookmarkEnd w:id="56"/>
      <w:bookmarkEnd w:id="57"/>
    </w:p>
    <w:p>
      <w:pPr>
        <w:pStyle w:val="29"/>
        <w:rPr>
          <w:color w:val="000000" w:themeColor="text1"/>
        </w:rPr>
      </w:pPr>
    </w:p>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中小企业声明函（服务）</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i/>
          <w:iCs/>
          <w:color w:val="000000" w:themeColor="text1"/>
          <w:sz w:val="24"/>
          <w:szCs w:val="24"/>
          <w:u w:val="single"/>
        </w:rPr>
        <w:t xml:space="preserve">（标的名称） </w:t>
      </w:r>
      <w:r>
        <w:rPr>
          <w:rFonts w:hint="eastAsia" w:ascii="宋体" w:hAnsi="宋体"/>
          <w:color w:val="000000" w:themeColor="text1"/>
          <w:sz w:val="24"/>
          <w:szCs w:val="24"/>
        </w:rPr>
        <w:t>，属于</w:t>
      </w:r>
      <w:r>
        <w:rPr>
          <w:rFonts w:hint="eastAsia" w:ascii="宋体" w:hAnsi="宋体"/>
          <w:i/>
          <w:iCs/>
          <w:color w:val="000000" w:themeColor="text1"/>
          <w:sz w:val="24"/>
          <w:szCs w:val="24"/>
          <w:u w:val="single"/>
        </w:rPr>
        <w:t>（其他未列明行业）</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i/>
          <w:iCs/>
          <w:color w:val="000000" w:themeColor="text1"/>
          <w:sz w:val="24"/>
          <w:szCs w:val="24"/>
        </w:rPr>
        <w:t>2.</w:t>
      </w:r>
      <w:r>
        <w:rPr>
          <w:rFonts w:hint="eastAsia" w:ascii="宋体" w:hAnsi="宋体"/>
          <w:i/>
          <w:iCs/>
          <w:color w:val="000000" w:themeColor="text1"/>
          <w:sz w:val="24"/>
          <w:szCs w:val="24"/>
          <w:u w:val="single"/>
        </w:rPr>
        <w:t xml:space="preserve">（标的名称） </w:t>
      </w:r>
      <w:r>
        <w:rPr>
          <w:rFonts w:hint="eastAsia" w:ascii="宋体" w:hAnsi="宋体"/>
          <w:color w:val="000000" w:themeColor="text1"/>
          <w:sz w:val="24"/>
          <w:szCs w:val="24"/>
        </w:rPr>
        <w:t>，属于</w:t>
      </w:r>
      <w:r>
        <w:rPr>
          <w:rFonts w:hint="eastAsia" w:ascii="宋体" w:hAnsi="宋体"/>
          <w:i/>
          <w:iCs/>
          <w:color w:val="000000" w:themeColor="text1"/>
          <w:sz w:val="24"/>
          <w:szCs w:val="24"/>
          <w:u w:val="single"/>
        </w:rPr>
        <w:t>（其他未列明行业）</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本企业对上述声明内容的真实性负责。如有虚假，将依法承担相应责任。</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企业名称（盖章）：</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日期：</w:t>
      </w:r>
    </w:p>
    <w:p>
      <w:pPr>
        <w:jc w:val="left"/>
        <w:rPr>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从业人员、营业收入、资产总额填报上一年度数据，无上一年度数据的新成立企业可不填报。</w:t>
      </w:r>
    </w:p>
    <w:p>
      <w:pPr>
        <w:spacing w:line="360" w:lineRule="auto"/>
        <w:ind w:firstLine="3045" w:firstLineChars="1450"/>
        <w:rPr>
          <w:rFonts w:ascii="宋体" w:hAnsi="宋体"/>
          <w:color w:val="000000" w:themeColor="text1"/>
          <w:u w:val="single"/>
        </w:rPr>
      </w:pPr>
    </w:p>
    <w:p>
      <w:pPr>
        <w:spacing w:line="360" w:lineRule="auto"/>
        <w:ind w:firstLine="3045" w:firstLineChars="1450"/>
        <w:rPr>
          <w:rFonts w:ascii="宋体" w:hAnsi="宋体"/>
          <w:color w:val="000000" w:themeColor="text1"/>
          <w:u w:val="single"/>
        </w:rPr>
      </w:pPr>
    </w:p>
    <w:p>
      <w:pPr>
        <w:spacing w:line="560" w:lineRule="exact"/>
        <w:outlineLvl w:val="0"/>
        <w:rPr>
          <w:rFonts w:ascii="宋体" w:hAnsi="宋体"/>
          <w:b/>
          <w:color w:val="000000" w:themeColor="text1"/>
          <w:sz w:val="24"/>
          <w:szCs w:val="24"/>
        </w:rPr>
      </w:pPr>
      <w:bookmarkStart w:id="58" w:name="_Toc13776"/>
      <w:bookmarkStart w:id="59" w:name="_Toc11803"/>
      <w:bookmarkStart w:id="60" w:name="_Toc515647824"/>
      <w:bookmarkStart w:id="61" w:name="_Toc19971"/>
      <w:bookmarkStart w:id="62" w:name="_Toc9954"/>
      <w:bookmarkStart w:id="63" w:name="_Toc10977"/>
    </w:p>
    <w:bookmarkEnd w:id="58"/>
    <w:bookmarkEnd w:id="59"/>
    <w:bookmarkEnd w:id="60"/>
    <w:bookmarkEnd w:id="61"/>
    <w:bookmarkEnd w:id="62"/>
    <w:bookmarkEnd w:id="63"/>
    <w:p>
      <w:pPr>
        <w:spacing w:line="360" w:lineRule="auto"/>
        <w:outlineLvl w:val="0"/>
        <w:rPr>
          <w:rFonts w:ascii="宋体" w:hAnsi="宋体"/>
          <w:b/>
          <w:color w:val="000000" w:themeColor="text1"/>
          <w:sz w:val="24"/>
          <w:szCs w:val="24"/>
        </w:rPr>
      </w:pPr>
      <w:bookmarkStart w:id="64" w:name="_Toc7919"/>
      <w:bookmarkStart w:id="65" w:name="_Toc23107"/>
      <w:r>
        <w:rPr>
          <w:rFonts w:hint="eastAsia" w:ascii="宋体" w:hAnsi="宋体"/>
          <w:b/>
          <w:color w:val="000000" w:themeColor="text1"/>
          <w:sz w:val="24"/>
          <w:szCs w:val="24"/>
        </w:rPr>
        <w:t>残疾人福利性单位声明函</w:t>
      </w:r>
      <w:bookmarkEnd w:id="64"/>
      <w:bookmarkEnd w:id="65"/>
    </w:p>
    <w:p>
      <w:pPr>
        <w:spacing w:line="360" w:lineRule="auto"/>
        <w:rPr>
          <w:rFonts w:ascii="宋体" w:hAnsi="宋体"/>
          <w:b/>
          <w:color w:val="000000" w:themeColor="text1"/>
          <w:sz w:val="24"/>
          <w:szCs w:val="24"/>
        </w:rPr>
      </w:pPr>
    </w:p>
    <w:p>
      <w:pPr>
        <w:spacing w:line="360" w:lineRule="auto"/>
        <w:ind w:firstLine="482" w:firstLineChars="200"/>
        <w:jc w:val="center"/>
        <w:rPr>
          <w:rFonts w:ascii="宋体" w:hAnsi="宋体"/>
          <w:b/>
          <w:color w:val="000000" w:themeColor="text1"/>
          <w:sz w:val="24"/>
          <w:szCs w:val="24"/>
        </w:rPr>
      </w:pPr>
      <w:r>
        <w:rPr>
          <w:rFonts w:hint="eastAsia" w:ascii="宋体" w:hAnsi="宋体"/>
          <w:b/>
          <w:color w:val="000000" w:themeColor="text1"/>
          <w:sz w:val="24"/>
          <w:szCs w:val="24"/>
        </w:rPr>
        <w:t>残疾人福利性单位声明函</w:t>
      </w:r>
    </w:p>
    <w:p>
      <w:pPr>
        <w:spacing w:line="360" w:lineRule="auto"/>
        <w:ind w:firstLine="482" w:firstLineChars="200"/>
        <w:jc w:val="center"/>
        <w:rPr>
          <w:rFonts w:ascii="宋体" w:hAnsi="宋体"/>
          <w:b/>
          <w:color w:val="000000" w:themeColor="text1"/>
          <w:sz w:val="24"/>
          <w:szCs w:val="24"/>
        </w:rPr>
      </w:pP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olor w:val="000000" w:themeColor="text1"/>
          <w:kern w:val="0"/>
          <w:sz w:val="24"/>
          <w:szCs w:val="24"/>
        </w:rPr>
      </w:pPr>
    </w:p>
    <w:p>
      <w:pPr>
        <w:spacing w:line="360" w:lineRule="auto"/>
        <w:ind w:firstLine="3960" w:firstLineChars="1650"/>
        <w:rPr>
          <w:rStyle w:val="154"/>
          <w:rFonts w:ascii="宋体" w:hAnsi="宋体"/>
          <w:color w:val="000000" w:themeColor="text1"/>
          <w:sz w:val="24"/>
          <w:szCs w:val="24"/>
          <w:u w:val="single"/>
        </w:rPr>
      </w:pPr>
      <w:r>
        <w:rPr>
          <w:rFonts w:hint="eastAsia" w:ascii="宋体" w:hAnsi="宋体"/>
          <w:color w:val="000000" w:themeColor="text1"/>
          <w:kern w:val="0"/>
          <w:sz w:val="24"/>
          <w:szCs w:val="24"/>
        </w:rPr>
        <w:t>残疾人福利性</w:t>
      </w:r>
      <w:r>
        <w:rPr>
          <w:rFonts w:hint="eastAsia" w:ascii="宋体" w:hAnsi="宋体"/>
          <w:color w:val="000000" w:themeColor="text1"/>
          <w:sz w:val="24"/>
          <w:szCs w:val="24"/>
        </w:rPr>
        <w:t>单位名称（盖章）：</w:t>
      </w:r>
    </w:p>
    <w:p>
      <w:pPr>
        <w:spacing w:line="360" w:lineRule="auto"/>
        <w:ind w:firstLine="3960" w:firstLineChars="1650"/>
        <w:rPr>
          <w:rFonts w:ascii="宋体" w:hAnsi="宋体"/>
          <w:color w:val="000000" w:themeColor="text1"/>
          <w:sz w:val="24"/>
          <w:szCs w:val="24"/>
        </w:rPr>
      </w:pPr>
      <w:r>
        <w:rPr>
          <w:rFonts w:hint="eastAsia" w:ascii="宋体" w:hAnsi="宋体"/>
          <w:color w:val="000000" w:themeColor="text1"/>
          <w:sz w:val="24"/>
          <w:szCs w:val="24"/>
        </w:rPr>
        <w:t>日</w:t>
      </w:r>
      <w:r>
        <w:rPr>
          <w:rStyle w:val="154"/>
          <w:rFonts w:hint="eastAsia" w:ascii="宋体" w:hAnsi="宋体"/>
          <w:color w:val="000000" w:themeColor="text1"/>
          <w:sz w:val="24"/>
          <w:szCs w:val="24"/>
        </w:rPr>
        <w:t> </w:t>
      </w:r>
      <w:r>
        <w:rPr>
          <w:rFonts w:hint="eastAsia" w:ascii="宋体" w:hAnsi="宋体"/>
          <w:color w:val="000000" w:themeColor="text1"/>
          <w:sz w:val="24"/>
          <w:szCs w:val="24"/>
        </w:rPr>
        <w:t> 期：</w:t>
      </w:r>
    </w:p>
    <w:p>
      <w:pPr>
        <w:pStyle w:val="29"/>
        <w:rPr>
          <w:rFonts w:ascii="宋体" w:hAnsi="宋体" w:cs="宋体"/>
          <w:color w:val="000000" w:themeColor="text1"/>
        </w:rPr>
      </w:pPr>
    </w:p>
    <w:p>
      <w:pPr>
        <w:pStyle w:val="10"/>
        <w:rPr>
          <w:color w:val="000000" w:themeColor="text1"/>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hAnsi="宋体"/>
          <w:color w:val="000000" w:themeColor="text1"/>
          <w:sz w:val="32"/>
          <w:szCs w:val="32"/>
        </w:rPr>
      </w:pPr>
    </w:p>
    <w:p>
      <w:pPr>
        <w:snapToGrid w:val="0"/>
        <w:spacing w:before="50" w:after="50"/>
        <w:jc w:val="center"/>
        <w:rPr>
          <w:rFonts w:ascii="宋体" w:hAnsi="宋体"/>
          <w:color w:val="000000" w:themeColor="text1"/>
          <w:sz w:val="32"/>
          <w:szCs w:val="32"/>
        </w:rPr>
      </w:pPr>
    </w:p>
    <w:p>
      <w:pPr>
        <w:snapToGrid w:val="0"/>
        <w:spacing w:before="50" w:after="50"/>
        <w:jc w:val="center"/>
        <w:rPr>
          <w:rFonts w:ascii="宋体" w:hAnsi="宋体"/>
          <w:color w:val="000000" w:themeColor="text1"/>
          <w:sz w:val="28"/>
          <w:szCs w:val="28"/>
        </w:rPr>
      </w:pPr>
    </w:p>
    <w:p>
      <w:pPr>
        <w:snapToGrid w:val="0"/>
        <w:spacing w:before="50" w:after="50"/>
        <w:jc w:val="center"/>
        <w:outlineLvl w:val="0"/>
        <w:rPr>
          <w:rFonts w:ascii="宋体" w:hAnsi="宋体"/>
          <w:b/>
          <w:bCs/>
          <w:color w:val="000000" w:themeColor="text1"/>
          <w:sz w:val="32"/>
          <w:szCs w:val="32"/>
        </w:rPr>
      </w:pPr>
      <w:bookmarkStart w:id="66" w:name="_Toc6848"/>
      <w:bookmarkStart w:id="67" w:name="_Toc462564146"/>
      <w:bookmarkStart w:id="68" w:name="_Toc24191"/>
      <w:r>
        <w:rPr>
          <w:rFonts w:hint="eastAsia" w:ascii="宋体" w:hAnsi="宋体"/>
          <w:b/>
          <w:bCs/>
          <w:color w:val="000000" w:themeColor="text1"/>
          <w:sz w:val="32"/>
          <w:szCs w:val="32"/>
        </w:rPr>
        <w:t>六、技术方案、服务承诺、培训承诺等</w:t>
      </w:r>
      <w:bookmarkEnd w:id="66"/>
      <w:bookmarkEnd w:id="67"/>
      <w:bookmarkEnd w:id="68"/>
      <w:bookmarkStart w:id="69" w:name="_格式2__法定代表人授权书"/>
      <w:bookmarkEnd w:id="69"/>
    </w:p>
    <w:p>
      <w:pPr>
        <w:rPr>
          <w:rFonts w:ascii="宋体" w:hAnsi="宋体"/>
          <w:b/>
          <w:color w:val="000000" w:themeColor="text1"/>
          <w:sz w:val="24"/>
          <w:szCs w:val="24"/>
        </w:rPr>
      </w:pPr>
      <w:r>
        <w:rPr>
          <w:rFonts w:hint="eastAsia" w:ascii="宋体" w:hAnsi="宋体"/>
          <w:b/>
          <w:color w:val="000000" w:themeColor="text1"/>
          <w:sz w:val="24"/>
          <w:szCs w:val="24"/>
        </w:rPr>
        <w:t>体检质量、工期、安全、管理及后期服务承诺格式</w:t>
      </w:r>
    </w:p>
    <w:p>
      <w:pPr>
        <w:jc w:val="center"/>
        <w:rPr>
          <w:rFonts w:ascii="宋体" w:hAnsi="宋体"/>
          <w:color w:val="000000" w:themeColor="text1"/>
          <w:sz w:val="24"/>
          <w:szCs w:val="24"/>
        </w:rPr>
      </w:pPr>
      <w:r>
        <w:rPr>
          <w:rFonts w:hint="eastAsia" w:ascii="宋体" w:hAnsi="宋体"/>
          <w:color w:val="000000" w:themeColor="text1"/>
          <w:sz w:val="24"/>
          <w:szCs w:val="24"/>
        </w:rPr>
        <w:t>（可以部分填写，若无承诺可不填写，内容较多时可将承诺字体改小）</w:t>
      </w:r>
    </w:p>
    <w:p>
      <w:pPr>
        <w:spacing w:line="360" w:lineRule="auto"/>
        <w:rPr>
          <w:rFonts w:ascii="宋体" w:hAnsi="宋体"/>
          <w:color w:val="000000" w:themeColor="text1"/>
          <w:sz w:val="24"/>
          <w:szCs w:val="24"/>
        </w:rPr>
      </w:pPr>
      <w:r>
        <w:rPr>
          <w:rFonts w:hint="eastAsia" w:ascii="宋体" w:hAnsi="宋体"/>
          <w:color w:val="000000" w:themeColor="text1"/>
          <w:sz w:val="24"/>
          <w:szCs w:val="24"/>
        </w:rPr>
        <w:t>盐城工业职业技术学院：</w:t>
      </w:r>
    </w:p>
    <w:p>
      <w:pPr>
        <w:spacing w:line="360" w:lineRule="auto"/>
        <w:ind w:firstLine="528" w:firstLineChars="220"/>
        <w:rPr>
          <w:rFonts w:ascii="宋体" w:hAnsi="宋体"/>
          <w:color w:val="000000" w:themeColor="text1"/>
          <w:sz w:val="24"/>
          <w:szCs w:val="24"/>
        </w:rPr>
      </w:pPr>
      <w:r>
        <w:rPr>
          <w:rFonts w:hint="eastAsia" w:ascii="宋体" w:hAnsi="宋体"/>
          <w:color w:val="000000" w:themeColor="text1"/>
          <w:sz w:val="24"/>
          <w:szCs w:val="24"/>
        </w:rPr>
        <w:t>我单位（公司）积极参与贵校项目投标，为保证体检项目质量、工期（进度）、安全等，做到管理到位、服务到位，我单位（公司）特作如下承诺：</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7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承诺事项</w:t>
            </w:r>
          </w:p>
        </w:tc>
        <w:tc>
          <w:tcPr>
            <w:tcW w:w="7051"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承诺内容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2235"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体检质量（卫生）</w:t>
            </w:r>
          </w:p>
        </w:tc>
        <w:tc>
          <w:tcPr>
            <w:tcW w:w="7051" w:type="dxa"/>
            <w:vAlign w:val="center"/>
          </w:tcPr>
          <w:p>
            <w:pPr>
              <w:jc w:val="center"/>
              <w:rPr>
                <w:rFonts w:ascii="宋体" w:hAnsi="宋体"/>
                <w:color w:val="000000" w:themeColor="text1"/>
                <w:sz w:val="24"/>
                <w:szCs w:val="24"/>
              </w:rPr>
            </w:pPr>
          </w:p>
          <w:p>
            <w:pPr>
              <w:jc w:val="center"/>
              <w:rPr>
                <w:rFonts w:ascii="宋体" w:hAnsi="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2235"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工期或进度</w:t>
            </w:r>
          </w:p>
        </w:tc>
        <w:tc>
          <w:tcPr>
            <w:tcW w:w="7051" w:type="dxa"/>
            <w:vAlign w:val="center"/>
          </w:tcPr>
          <w:p>
            <w:pPr>
              <w:jc w:val="left"/>
              <w:rPr>
                <w:rFonts w:ascii="宋体" w:hAnsi="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235"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体检安全</w:t>
            </w:r>
          </w:p>
        </w:tc>
        <w:tc>
          <w:tcPr>
            <w:tcW w:w="7051" w:type="dxa"/>
            <w:vAlign w:val="center"/>
          </w:tcPr>
          <w:p>
            <w:pPr>
              <w:jc w:val="center"/>
              <w:rPr>
                <w:rFonts w:ascii="宋体" w:hAnsi="宋体"/>
                <w:color w:val="000000" w:themeColor="text1"/>
                <w:sz w:val="24"/>
                <w:szCs w:val="24"/>
              </w:rPr>
            </w:pPr>
          </w:p>
          <w:p>
            <w:pPr>
              <w:jc w:val="center"/>
              <w:rPr>
                <w:rFonts w:ascii="宋体" w:hAnsi="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trPr>
        <w:tc>
          <w:tcPr>
            <w:tcW w:w="2235"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体检项目负责人</w:t>
            </w:r>
          </w:p>
          <w:p>
            <w:pPr>
              <w:jc w:val="center"/>
              <w:rPr>
                <w:rFonts w:ascii="宋体" w:hAnsi="宋体"/>
                <w:color w:val="000000" w:themeColor="text1"/>
                <w:sz w:val="24"/>
                <w:szCs w:val="24"/>
              </w:rPr>
            </w:pPr>
            <w:r>
              <w:rPr>
                <w:rFonts w:hint="eastAsia" w:ascii="宋体" w:hAnsi="宋体"/>
                <w:color w:val="000000" w:themeColor="text1"/>
                <w:sz w:val="24"/>
                <w:szCs w:val="24"/>
              </w:rPr>
              <w:t>常驻现场</w:t>
            </w:r>
          </w:p>
        </w:tc>
        <w:tc>
          <w:tcPr>
            <w:tcW w:w="7051" w:type="dxa"/>
            <w:vAlign w:val="center"/>
          </w:tcPr>
          <w:p>
            <w:pPr>
              <w:jc w:val="center"/>
              <w:rPr>
                <w:rFonts w:ascii="宋体" w:hAnsi="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235" w:type="dxa"/>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后期服务</w:t>
            </w:r>
          </w:p>
        </w:tc>
        <w:tc>
          <w:tcPr>
            <w:tcW w:w="7051" w:type="dxa"/>
            <w:vAlign w:val="center"/>
          </w:tcPr>
          <w:p>
            <w:pPr>
              <w:jc w:val="center"/>
              <w:rPr>
                <w:rFonts w:ascii="宋体" w:hAnsi="宋体"/>
                <w:color w:val="000000" w:themeColor="text1"/>
                <w:sz w:val="24"/>
                <w:szCs w:val="24"/>
              </w:rPr>
            </w:pPr>
          </w:p>
        </w:tc>
      </w:tr>
    </w:tbl>
    <w:p>
      <w:pPr>
        <w:spacing w:line="360" w:lineRule="auto"/>
        <w:jc w:val="left"/>
        <w:rPr>
          <w:rFonts w:ascii="宋体" w:hAnsi="宋体"/>
          <w:color w:val="000000" w:themeColor="text1"/>
          <w:kern w:val="0"/>
          <w:sz w:val="24"/>
          <w:szCs w:val="24"/>
        </w:rPr>
      </w:pPr>
    </w:p>
    <w:p>
      <w:pPr>
        <w:spacing w:line="360" w:lineRule="auto"/>
        <w:ind w:firstLine="3840" w:firstLineChars="1600"/>
        <w:jc w:val="left"/>
        <w:rPr>
          <w:rFonts w:ascii="宋体" w:hAnsi="宋体"/>
          <w:color w:val="000000" w:themeColor="text1"/>
          <w:kern w:val="0"/>
          <w:sz w:val="24"/>
          <w:szCs w:val="24"/>
        </w:rPr>
      </w:pPr>
      <w:r>
        <w:rPr>
          <w:rFonts w:hint="eastAsia" w:ascii="宋体" w:hAnsi="宋体"/>
          <w:color w:val="000000" w:themeColor="text1"/>
          <w:kern w:val="0"/>
          <w:sz w:val="24"/>
          <w:szCs w:val="24"/>
        </w:rPr>
        <w:t>法定代表人或授权代表签字：</w:t>
      </w:r>
    </w:p>
    <w:p>
      <w:pPr>
        <w:spacing w:line="351" w:lineRule="atLeast"/>
        <w:ind w:firstLine="4800" w:firstLineChars="2000"/>
        <w:jc w:val="left"/>
        <w:rPr>
          <w:rFonts w:ascii="宋体" w:hAnsi="宋体"/>
          <w:color w:val="000000" w:themeColor="text1"/>
          <w:kern w:val="0"/>
          <w:sz w:val="24"/>
          <w:szCs w:val="24"/>
        </w:rPr>
      </w:pPr>
      <w:r>
        <w:rPr>
          <w:rFonts w:hint="eastAsia" w:ascii="宋体" w:hAnsi="宋体"/>
          <w:color w:val="000000" w:themeColor="text1"/>
          <w:kern w:val="0"/>
          <w:sz w:val="24"/>
          <w:szCs w:val="24"/>
        </w:rPr>
        <w:t>单位公章：</w:t>
      </w:r>
    </w:p>
    <w:p>
      <w:pPr>
        <w:pStyle w:val="29"/>
        <w:rPr>
          <w:rFonts w:ascii="宋体" w:hAnsi="宋体" w:cs="宋体"/>
          <w:color w:val="000000" w:themeColor="text1"/>
        </w:rPr>
      </w:pPr>
      <w:r>
        <w:rPr>
          <w:rFonts w:hint="eastAsia" w:ascii="宋体" w:hAnsi="宋体" w:cs="宋体"/>
          <w:color w:val="000000" w:themeColor="text1"/>
        </w:rPr>
        <w:t xml:space="preserve">                                       年  月  日</w:t>
      </w:r>
    </w:p>
    <w:p>
      <w:pPr>
        <w:jc w:val="left"/>
        <w:textAlignment w:val="auto"/>
        <w:rPr>
          <w:rFonts w:ascii="宋体"/>
          <w:color w:val="000000" w:themeColor="text1"/>
          <w:sz w:val="32"/>
          <w:szCs w:val="32"/>
        </w:rPr>
      </w:pPr>
      <w:r>
        <w:rPr>
          <w:rFonts w:ascii="宋体"/>
          <w:color w:val="000000" w:themeColor="text1"/>
          <w:sz w:val="32"/>
          <w:szCs w:val="32"/>
        </w:rPr>
        <w:br w:type="page"/>
      </w:r>
    </w:p>
    <w:p>
      <w:pPr>
        <w:snapToGrid w:val="0"/>
        <w:spacing w:before="50" w:after="50"/>
        <w:jc w:val="center"/>
        <w:rPr>
          <w:rFonts w:ascii="宋体"/>
          <w:color w:val="000000" w:themeColor="text1"/>
          <w:sz w:val="32"/>
          <w:szCs w:val="32"/>
        </w:rPr>
      </w:pPr>
    </w:p>
    <w:p>
      <w:pPr>
        <w:snapToGrid w:val="0"/>
        <w:spacing w:before="50" w:after="50"/>
        <w:ind w:firstLine="1606" w:firstLineChars="500"/>
        <w:outlineLvl w:val="0"/>
        <w:rPr>
          <w:rFonts w:ascii="宋体" w:hAnsi="宋体"/>
          <w:b/>
          <w:bCs/>
          <w:color w:val="000000" w:themeColor="text1"/>
          <w:sz w:val="32"/>
          <w:szCs w:val="32"/>
        </w:rPr>
      </w:pPr>
      <w:bookmarkStart w:id="70" w:name="_Toc2106"/>
      <w:bookmarkStart w:id="71" w:name="_Toc12520"/>
      <w:r>
        <w:rPr>
          <w:rFonts w:hint="eastAsia" w:ascii="宋体" w:hAnsi="宋体"/>
          <w:b/>
          <w:bCs/>
          <w:color w:val="000000" w:themeColor="text1"/>
          <w:sz w:val="32"/>
          <w:szCs w:val="32"/>
        </w:rPr>
        <w:t>七、盐城市政府采购事前信用承诺书</w:t>
      </w:r>
      <w:bookmarkEnd w:id="70"/>
      <w:bookmarkEnd w:id="71"/>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为营造我市公开、公平、公正、诚实守信的政府采购交易环境，树立诚信守法的投标人形象，本人代表本单位作出以下承诺：</w:t>
      </w:r>
    </w:p>
    <w:p>
      <w:pPr>
        <w:spacing w:line="500" w:lineRule="exact"/>
        <w:jc w:val="left"/>
        <w:rPr>
          <w:rFonts w:ascii="宋体"/>
          <w:color w:val="000000" w:themeColor="text1"/>
          <w:sz w:val="24"/>
        </w:rPr>
      </w:pPr>
      <w:r>
        <w:rPr>
          <w:rFonts w:hint="eastAsia" w:ascii="宋体" w:hAnsi="宋体"/>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（三）严格依照国家和省、市关于政府采购的法律、法规、规章、规范性文件，参加政府采购投标活动；积极履行社会责任，促进廉政建设；</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（四）严格遵守即时信息公示规定，及时维护和更新维护和更新盐城市政府采购网中与本单位相关的信息；</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（六）自觉接受政府、行业组织、社会公众、新闻舆论的监督；</w:t>
      </w:r>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（八）本人已认真阅读了上述承诺，并向本单位员工作了宣传教育。</w:t>
      </w:r>
    </w:p>
    <w:p>
      <w:pPr>
        <w:spacing w:line="500" w:lineRule="exact"/>
        <w:jc w:val="left"/>
        <w:rPr>
          <w:rFonts w:ascii="宋体"/>
          <w:color w:val="000000" w:themeColor="text1"/>
          <w:sz w:val="24"/>
        </w:rPr>
      </w:pPr>
    </w:p>
    <w:p>
      <w:pPr>
        <w:spacing w:line="500" w:lineRule="exact"/>
        <w:jc w:val="center"/>
        <w:outlineLvl w:val="1"/>
        <w:rPr>
          <w:rFonts w:ascii="宋体"/>
          <w:color w:val="000000" w:themeColor="text1"/>
          <w:sz w:val="24"/>
        </w:rPr>
      </w:pPr>
      <w:r>
        <w:rPr>
          <w:rFonts w:hint="eastAsia" w:ascii="宋体" w:hAnsi="宋体"/>
          <w:color w:val="000000" w:themeColor="text1"/>
          <w:sz w:val="24"/>
        </w:rPr>
        <w:t>法定代表人签名：</w:t>
      </w:r>
    </w:p>
    <w:p>
      <w:pPr>
        <w:spacing w:line="500" w:lineRule="exact"/>
        <w:jc w:val="center"/>
        <w:outlineLvl w:val="1"/>
        <w:rPr>
          <w:rFonts w:ascii="宋体"/>
          <w:color w:val="000000" w:themeColor="text1"/>
          <w:sz w:val="24"/>
        </w:rPr>
      </w:pPr>
      <w:r>
        <w:rPr>
          <w:rFonts w:hint="eastAsia" w:ascii="宋体" w:hAnsi="宋体"/>
          <w:color w:val="000000" w:themeColor="text1"/>
          <w:sz w:val="24"/>
        </w:rPr>
        <w:t>单位名称（盖章）：</w:t>
      </w:r>
    </w:p>
    <w:p>
      <w:pPr>
        <w:spacing w:line="500" w:lineRule="exact"/>
        <w:jc w:val="center"/>
        <w:outlineLvl w:val="1"/>
        <w:rPr>
          <w:rFonts w:ascii="宋体"/>
          <w:color w:val="000000" w:themeColor="text1"/>
          <w:sz w:val="32"/>
          <w:szCs w:val="32"/>
        </w:rPr>
      </w:pPr>
      <w:r>
        <w:rPr>
          <w:rFonts w:hint="eastAsia" w:ascii="宋体" w:hAnsi="宋体"/>
          <w:color w:val="000000" w:themeColor="text1"/>
          <w:sz w:val="24"/>
        </w:rPr>
        <w:t>年月日</w:t>
      </w:r>
    </w:p>
    <w:p>
      <w:pPr>
        <w:rPr>
          <w:color w:val="000000" w:themeColor="text1"/>
        </w:rPr>
      </w:pPr>
    </w:p>
    <w:p>
      <w:pPr>
        <w:pStyle w:val="139"/>
        <w:jc w:val="both"/>
        <w:rPr>
          <w:rStyle w:val="44"/>
          <w:rFonts w:ascii="宋体" w:hAnsi="宋体"/>
          <w:color w:val="000000" w:themeColor="text1"/>
        </w:rPr>
      </w:pPr>
    </w:p>
    <w:sectPr>
      <w:headerReference r:id="rId8" w:type="default"/>
      <w:footerReference r:id="rId9" w:type="default"/>
      <w:pgSz w:w="11906" w:h="16838"/>
      <w:pgMar w:top="1418" w:right="1588" w:bottom="1418" w:left="1365" w:header="851" w:footer="907" w:gutter="0"/>
      <w:pgNumType w:start="4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rect id="文本框 1" o:spid="_x0000_s1028"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0v9LC0AAAAAMBAAAPAAAAAAAAAAEAIAAAACIAAABk&#10;cnMvZG93bnJldi54bWxQSwECFAAUAAAACACHTuJAWfX7dtUBAACmAwAADgAAAAAAAAABACAAAAAf&#10;AQAAZHJzL2Uyb0RvYy54bWxQSwUGAAAAAAYABgBZAQAAZgUAAAAA&#10;">
          <v:path/>
          <v:fill on="f" focussize="0,0"/>
          <v:stroke on="f"/>
          <v:imagedata o:title=""/>
          <o:lock v:ext="edit"/>
          <v:textbox inset="0mm,0mm,0mm,0mm" style="mso-fit-shape-to-text:t;">
            <w:txbxContent>
              <w:p>
                <w:pPr>
                  <w:pStyle w:val="16"/>
                </w:pPr>
                <w:r>
                  <w:fldChar w:fldCharType="begin"/>
                </w:r>
                <w:r>
                  <w:instrText xml:space="preserve"> PAGE  \* MERGEFORMAT </w:instrText>
                </w:r>
                <w:r>
                  <w:fldChar w:fldCharType="separate"/>
                </w:r>
                <w:r>
                  <w:t>23</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rect id="文本框 2" o:spid="_x0000_s1026" o:spt="1"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VFj9W0QAAAAIBAAAPAAAAAAAAAAEAIAAAACIAAABk&#10;cnMvZG93bnJldi54bWxQSwECFAAUAAAACACHTuJAIO21MdQBAAClAwAADgAAAAAAAAABACAAAAAg&#10;AQAAZHJzL2Uyb0RvYy54bWxQSwUGAAAAAAYABgBZAQAAZgUAAAAA&#10;">
          <v:path/>
          <v:fill on="f" focussize="0,0"/>
          <v:stroke on="f"/>
          <v:imagedata o:title=""/>
          <o:lock v:ext="edit"/>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w:pict>
        <v:shape id="文本框 1026" o:spid="_x0000_s102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XcYXXSAAAAAwEAAA8AAAAAAAAAAQAgAAAAIgAAAGRycy9kb3ducmV2LnhtbFBLAQIUABQAAAAI&#10;AIdO4kCYyYG88wEAANYDAAAOAAAAAAAAAAEAIAAAACEBAABkcnMvZTJvRG9jLnhtbFBLBQYAAAAA&#10;BgAGAFkBAACGBQ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color w:val="FF0000"/>
      </w:rPr>
      <w:t>2022-028W</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color w:val="FF0000"/>
      </w:rPr>
      <w:t>2022-028W</w:t>
    </w: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隶书"/>
        <w:color w:val="FF0000"/>
        <w:spacing w:val="40"/>
        <w:sz w:val="21"/>
        <w:szCs w:val="21"/>
      </w:rPr>
    </w:pPr>
    <w:r>
      <w:rPr>
        <w:rFonts w:eastAsia="隶书"/>
        <w:color w:val="FF0000"/>
        <w:spacing w:val="40"/>
        <w:sz w:val="21"/>
        <w:szCs w:val="21"/>
      </w:rPr>
      <w:t>202</w:t>
    </w:r>
    <w:r>
      <w:rPr>
        <w:rFonts w:hint="eastAsia" w:eastAsia="隶书"/>
        <w:color w:val="FF0000"/>
        <w:spacing w:val="40"/>
        <w:sz w:val="21"/>
        <w:szCs w:val="21"/>
      </w:rPr>
      <w:t>2</w:t>
    </w:r>
    <w:r>
      <w:rPr>
        <w:rFonts w:eastAsia="隶书"/>
        <w:color w:val="FF0000"/>
        <w:spacing w:val="40"/>
        <w:sz w:val="21"/>
        <w:szCs w:val="21"/>
      </w:rPr>
      <w:t>-0</w:t>
    </w:r>
    <w:r>
      <w:rPr>
        <w:rFonts w:hint="eastAsia" w:eastAsia="隶书"/>
        <w:color w:val="FF0000"/>
        <w:spacing w:val="40"/>
        <w:sz w:val="21"/>
        <w:szCs w:val="21"/>
      </w:rPr>
      <w:t>21</w:t>
    </w:r>
    <w:r>
      <w:rPr>
        <w:rFonts w:eastAsia="隶书"/>
        <w:color w:val="FF0000"/>
        <w:spacing w:val="40"/>
        <w:sz w:val="21"/>
        <w:szCs w:val="21"/>
      </w:rPr>
      <w:t>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404EA"/>
    <w:multiLevelType w:val="singleLevel"/>
    <w:tmpl w:val="9EE404EA"/>
    <w:lvl w:ilvl="0" w:tentative="0">
      <w:start w:val="12"/>
      <w:numFmt w:val="decimal"/>
      <w:suff w:val="space"/>
      <w:lvlText w:val="%1."/>
      <w:lvlJc w:val="left"/>
    </w:lvl>
  </w:abstractNum>
  <w:abstractNum w:abstractNumId="1">
    <w:nsid w:val="E213B912"/>
    <w:multiLevelType w:val="singleLevel"/>
    <w:tmpl w:val="E213B912"/>
    <w:lvl w:ilvl="0" w:tentative="0">
      <w:start w:val="6"/>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00000006"/>
    <w:multiLevelType w:val="multilevel"/>
    <w:tmpl w:val="00000006"/>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abstractNum w:abstractNumId="4">
    <w:nsid w:val="287A089C"/>
    <w:multiLevelType w:val="singleLevel"/>
    <w:tmpl w:val="287A089C"/>
    <w:lvl w:ilvl="0" w:tentative="0">
      <w:start w:val="1"/>
      <w:numFmt w:val="upperLetter"/>
      <w:pStyle w:val="82"/>
      <w:lvlText w:val="附录%1."/>
      <w:lvlJc w:val="left"/>
      <w:pPr>
        <w:tabs>
          <w:tab w:val="left" w:pos="907"/>
        </w:tabs>
        <w:ind w:left="907" w:hanging="907"/>
        <w:textAlignment w:val="baseline"/>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lMzBiZTYyYTQ5ODVmZWE4MzI5ZDNkOGMwYTkzMDIifQ=="/>
  </w:docVars>
  <w:rsids>
    <w:rsidRoot w:val="00574B86"/>
    <w:rsid w:val="000261BA"/>
    <w:rsid w:val="00027F8E"/>
    <w:rsid w:val="000561B3"/>
    <w:rsid w:val="00065A96"/>
    <w:rsid w:val="00092F4C"/>
    <w:rsid w:val="000B3E25"/>
    <w:rsid w:val="000C44C0"/>
    <w:rsid w:val="000C4C1C"/>
    <w:rsid w:val="001368CF"/>
    <w:rsid w:val="00151743"/>
    <w:rsid w:val="001764D5"/>
    <w:rsid w:val="0019066A"/>
    <w:rsid w:val="001B1285"/>
    <w:rsid w:val="001B7EE2"/>
    <w:rsid w:val="001F14A1"/>
    <w:rsid w:val="001F2146"/>
    <w:rsid w:val="0020185D"/>
    <w:rsid w:val="002272AE"/>
    <w:rsid w:val="00247D13"/>
    <w:rsid w:val="00294E53"/>
    <w:rsid w:val="002B7C8B"/>
    <w:rsid w:val="00361483"/>
    <w:rsid w:val="00374497"/>
    <w:rsid w:val="003D796B"/>
    <w:rsid w:val="003F3116"/>
    <w:rsid w:val="004461C6"/>
    <w:rsid w:val="00454876"/>
    <w:rsid w:val="004C74DD"/>
    <w:rsid w:val="00542BFB"/>
    <w:rsid w:val="00555231"/>
    <w:rsid w:val="00574B86"/>
    <w:rsid w:val="005A07EE"/>
    <w:rsid w:val="005C39E0"/>
    <w:rsid w:val="005E0E4E"/>
    <w:rsid w:val="005F3085"/>
    <w:rsid w:val="006128E9"/>
    <w:rsid w:val="00621B70"/>
    <w:rsid w:val="00622FBF"/>
    <w:rsid w:val="0066011C"/>
    <w:rsid w:val="00666DF6"/>
    <w:rsid w:val="00691057"/>
    <w:rsid w:val="00691CA6"/>
    <w:rsid w:val="00702238"/>
    <w:rsid w:val="00713021"/>
    <w:rsid w:val="00715647"/>
    <w:rsid w:val="00747320"/>
    <w:rsid w:val="00747FF7"/>
    <w:rsid w:val="00785476"/>
    <w:rsid w:val="007C0381"/>
    <w:rsid w:val="007D458F"/>
    <w:rsid w:val="007F46E5"/>
    <w:rsid w:val="008A288D"/>
    <w:rsid w:val="008A2B46"/>
    <w:rsid w:val="008D06B4"/>
    <w:rsid w:val="00930855"/>
    <w:rsid w:val="00931EEF"/>
    <w:rsid w:val="009468C2"/>
    <w:rsid w:val="009C3441"/>
    <w:rsid w:val="009F2AFA"/>
    <w:rsid w:val="00A61B4D"/>
    <w:rsid w:val="00A97279"/>
    <w:rsid w:val="00AC3B0B"/>
    <w:rsid w:val="00AE4591"/>
    <w:rsid w:val="00B017E2"/>
    <w:rsid w:val="00B020DF"/>
    <w:rsid w:val="00B07CAA"/>
    <w:rsid w:val="00BE463B"/>
    <w:rsid w:val="00C24134"/>
    <w:rsid w:val="00C26E4C"/>
    <w:rsid w:val="00C30C75"/>
    <w:rsid w:val="00C56ACB"/>
    <w:rsid w:val="00C77138"/>
    <w:rsid w:val="00C90BD3"/>
    <w:rsid w:val="00CB1896"/>
    <w:rsid w:val="00CC4282"/>
    <w:rsid w:val="00CC5387"/>
    <w:rsid w:val="00CD3DD2"/>
    <w:rsid w:val="00CF16BE"/>
    <w:rsid w:val="00CF7E33"/>
    <w:rsid w:val="00D010E0"/>
    <w:rsid w:val="00D35849"/>
    <w:rsid w:val="00D52E84"/>
    <w:rsid w:val="00D83FDE"/>
    <w:rsid w:val="00D92068"/>
    <w:rsid w:val="00DA1B6B"/>
    <w:rsid w:val="00DE1536"/>
    <w:rsid w:val="00EC7768"/>
    <w:rsid w:val="00ED5A4D"/>
    <w:rsid w:val="00EE4A73"/>
    <w:rsid w:val="00F4330E"/>
    <w:rsid w:val="00F50FD0"/>
    <w:rsid w:val="00FB391D"/>
    <w:rsid w:val="00FE2749"/>
    <w:rsid w:val="029109B6"/>
    <w:rsid w:val="05FF0BC0"/>
    <w:rsid w:val="06233BF8"/>
    <w:rsid w:val="0A584D3A"/>
    <w:rsid w:val="0AEF393F"/>
    <w:rsid w:val="0C1C547D"/>
    <w:rsid w:val="0D5748EE"/>
    <w:rsid w:val="0E133C1B"/>
    <w:rsid w:val="0E360105"/>
    <w:rsid w:val="0FF87998"/>
    <w:rsid w:val="1519032E"/>
    <w:rsid w:val="17F139B5"/>
    <w:rsid w:val="19490ABF"/>
    <w:rsid w:val="19C702BB"/>
    <w:rsid w:val="1A596857"/>
    <w:rsid w:val="1B5B1A26"/>
    <w:rsid w:val="1C2E1A0C"/>
    <w:rsid w:val="214F0E3D"/>
    <w:rsid w:val="22184E8F"/>
    <w:rsid w:val="22C752AA"/>
    <w:rsid w:val="2477762C"/>
    <w:rsid w:val="25A34269"/>
    <w:rsid w:val="26C10356"/>
    <w:rsid w:val="28730611"/>
    <w:rsid w:val="29433099"/>
    <w:rsid w:val="2A592AC3"/>
    <w:rsid w:val="2A9B49B2"/>
    <w:rsid w:val="2D885811"/>
    <w:rsid w:val="2E283D2E"/>
    <w:rsid w:val="2EAD287E"/>
    <w:rsid w:val="2FAC1A65"/>
    <w:rsid w:val="304C288C"/>
    <w:rsid w:val="31397E77"/>
    <w:rsid w:val="32323F7B"/>
    <w:rsid w:val="32876DF9"/>
    <w:rsid w:val="32DF78E0"/>
    <w:rsid w:val="34026E28"/>
    <w:rsid w:val="353D3F70"/>
    <w:rsid w:val="389D7A44"/>
    <w:rsid w:val="397701F9"/>
    <w:rsid w:val="39C67D7D"/>
    <w:rsid w:val="39DF46D2"/>
    <w:rsid w:val="39F90185"/>
    <w:rsid w:val="3D5A48D8"/>
    <w:rsid w:val="3F4274DD"/>
    <w:rsid w:val="40101E63"/>
    <w:rsid w:val="475A49EA"/>
    <w:rsid w:val="4D476F50"/>
    <w:rsid w:val="54AF361A"/>
    <w:rsid w:val="560D29E0"/>
    <w:rsid w:val="57617384"/>
    <w:rsid w:val="59116E9A"/>
    <w:rsid w:val="592B5095"/>
    <w:rsid w:val="59B477F3"/>
    <w:rsid w:val="5B781E9D"/>
    <w:rsid w:val="5CD22A57"/>
    <w:rsid w:val="5DEC7F1F"/>
    <w:rsid w:val="5FA513BA"/>
    <w:rsid w:val="5FB342EC"/>
    <w:rsid w:val="60F63729"/>
    <w:rsid w:val="61D94C85"/>
    <w:rsid w:val="63EE715D"/>
    <w:rsid w:val="65A92B9F"/>
    <w:rsid w:val="65DA31AE"/>
    <w:rsid w:val="681F3E80"/>
    <w:rsid w:val="69AD0502"/>
    <w:rsid w:val="6A58065E"/>
    <w:rsid w:val="6A7B0410"/>
    <w:rsid w:val="6E7A6F40"/>
    <w:rsid w:val="6E9B1B8E"/>
    <w:rsid w:val="6F79022E"/>
    <w:rsid w:val="71712427"/>
    <w:rsid w:val="71EF6021"/>
    <w:rsid w:val="72A34862"/>
    <w:rsid w:val="73D03795"/>
    <w:rsid w:val="760C011A"/>
    <w:rsid w:val="77536BB7"/>
    <w:rsid w:val="7A923C76"/>
    <w:rsid w:val="7BF2064C"/>
    <w:rsid w:val="7DC9161D"/>
    <w:rsid w:val="7DCC32AE"/>
    <w:rsid w:val="7F865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7">
    <w:name w:val="heading 2"/>
    <w:basedOn w:val="6"/>
    <w:next w:val="1"/>
    <w:qFormat/>
    <w:uiPriority w:val="99"/>
    <w:pPr>
      <w:keepNext/>
      <w:keepLines/>
      <w:spacing w:before="260" w:after="260" w:line="416" w:lineRule="auto"/>
      <w:jc w:val="center"/>
      <w:outlineLvl w:val="1"/>
    </w:pPr>
    <w:rPr>
      <w:rFonts w:ascii="Arial" w:hAnsi="Arial" w:eastAsia="幼圆" w:cs="Arial"/>
      <w:sz w:val="44"/>
      <w:szCs w:val="44"/>
    </w:rPr>
  </w:style>
  <w:style w:type="paragraph" w:styleId="8">
    <w:name w:val="heading 3"/>
    <w:basedOn w:val="1"/>
    <w:next w:val="9"/>
    <w:qFormat/>
    <w:uiPriority w:val="1"/>
    <w:pPr>
      <w:spacing w:line="357" w:lineRule="exact"/>
      <w:ind w:left="774"/>
      <w:outlineLvl w:val="2"/>
    </w:pPr>
    <w:rPr>
      <w:b/>
      <w:bCs/>
      <w:sz w:val="28"/>
      <w:szCs w:val="28"/>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5">
    <w:name w:val="Body Text"/>
    <w:basedOn w:val="1"/>
    <w:next w:val="1"/>
    <w:qFormat/>
    <w:uiPriority w:val="1"/>
    <w:rPr>
      <w:sz w:val="28"/>
      <w:szCs w:val="28"/>
    </w:rPr>
  </w:style>
  <w:style w:type="paragraph" w:styleId="9">
    <w:name w:val="Normal Indent"/>
    <w:basedOn w:val="1"/>
    <w:link w:val="149"/>
    <w:qFormat/>
    <w:uiPriority w:val="0"/>
    <w:pPr>
      <w:ind w:firstLine="420"/>
    </w:pPr>
  </w:style>
  <w:style w:type="paragraph" w:styleId="11">
    <w:name w:val="Block Text"/>
    <w:basedOn w:val="1"/>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Verdana" w:hAnsi="Verdana"/>
      <w:szCs w:val="20"/>
    </w:r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szCs w:val="24"/>
    </w:rPr>
  </w:style>
  <w:style w:type="paragraph" w:styleId="15">
    <w:name w:val="Balloon Text"/>
    <w:basedOn w:val="1"/>
    <w:link w:val="155"/>
    <w:qFormat/>
    <w:uiPriority w:val="0"/>
    <w:rPr>
      <w:sz w:val="18"/>
      <w:szCs w:val="18"/>
    </w:rPr>
  </w:style>
  <w:style w:type="paragraph" w:styleId="16">
    <w:name w:val="footer"/>
    <w:basedOn w:val="1"/>
    <w:link w:val="73"/>
    <w:qFormat/>
    <w:uiPriority w:val="0"/>
    <w:pPr>
      <w:tabs>
        <w:tab w:val="center" w:pos="4153"/>
        <w:tab w:val="right" w:pos="8306"/>
      </w:tabs>
      <w:snapToGrid w:val="0"/>
      <w:jc w:val="left"/>
    </w:pPr>
    <w:rPr>
      <w:sz w:val="18"/>
      <w:szCs w:val="18"/>
    </w:rPr>
  </w:style>
  <w:style w:type="paragraph" w:styleId="17">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kern w:val="0"/>
      <w:sz w:val="24"/>
    </w:rPr>
  </w:style>
  <w:style w:type="paragraph" w:styleId="20">
    <w:name w:val="Body Text First Indent"/>
    <w:basedOn w:val="1"/>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cs="Times New Roman"/>
      <w:b/>
      <w:bCs/>
    </w:rPr>
  </w:style>
  <w:style w:type="character" w:styleId="25">
    <w:name w:val="page number"/>
    <w:basedOn w:val="23"/>
    <w:qFormat/>
    <w:uiPriority w:val="0"/>
  </w:style>
  <w:style w:type="character" w:styleId="26">
    <w:name w:val="FollowedHyperlink"/>
    <w:qFormat/>
    <w:uiPriority w:val="0"/>
    <w:rPr>
      <w:color w:val="800080"/>
    </w:rPr>
  </w:style>
  <w:style w:type="character" w:styleId="27">
    <w:name w:val="Emphasis"/>
    <w:qFormat/>
    <w:uiPriority w:val="0"/>
  </w:style>
  <w:style w:type="character" w:styleId="28">
    <w:name w:val="Hyperlink"/>
    <w:qFormat/>
    <w:uiPriority w:val="0"/>
    <w:rPr>
      <w:color w:val="0000FF"/>
    </w:rPr>
  </w:style>
  <w:style w:type="paragraph" w:customStyle="1" w:styleId="29">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一级条标题"/>
    <w:basedOn w:val="31"/>
    <w:next w:val="3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2">
    <w:name w:val="段"/>
    <w:next w:val="33"/>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3">
    <w:name w:val="正文 A"/>
    <w:next w:val="32"/>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qFormat/>
    <w:uiPriority w:val="0"/>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qFormat/>
    <w:uiPriority w:val="0"/>
    <w:rPr>
      <w:kern w:val="2"/>
      <w:sz w:val="21"/>
      <w:szCs w:val="21"/>
    </w:rPr>
  </w:style>
  <w:style w:type="paragraph" w:customStyle="1" w:styleId="68">
    <w:name w:val="AnnotationText"/>
    <w:basedOn w:val="1"/>
    <w:link w:val="67"/>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qFormat/>
    <w:uiPriority w:val="0"/>
    <w:rPr>
      <w:kern w:val="2"/>
      <w:sz w:val="18"/>
      <w:szCs w:val="18"/>
    </w:rPr>
  </w:style>
  <w:style w:type="paragraph" w:customStyle="1" w:styleId="72">
    <w:name w:val="Acetate"/>
    <w:basedOn w:val="1"/>
    <w:link w:val="71"/>
    <w:qFormat/>
    <w:uiPriority w:val="0"/>
    <w:rPr>
      <w:sz w:val="18"/>
      <w:szCs w:val="18"/>
    </w:rPr>
  </w:style>
  <w:style w:type="character" w:customStyle="1" w:styleId="73">
    <w:name w:val="页脚 Char"/>
    <w:link w:val="16"/>
    <w:qFormat/>
    <w:uiPriority w:val="0"/>
    <w:rPr>
      <w:kern w:val="2"/>
      <w:sz w:val="18"/>
      <w:szCs w:val="18"/>
    </w:rPr>
  </w:style>
  <w:style w:type="character" w:customStyle="1" w:styleId="74">
    <w:name w:val="页眉 Char"/>
    <w:link w:val="17"/>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qFormat/>
    <w:uiPriority w:val="0"/>
    <w:pPr>
      <w:ind w:left="630"/>
      <w:jc w:val="left"/>
    </w:pPr>
  </w:style>
  <w:style w:type="paragraph" w:customStyle="1" w:styleId="85">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qFormat/>
    <w:uiPriority w:val="0"/>
    <w:rPr>
      <w:rFonts w:cs="Times New Roman"/>
      <w:b/>
      <w:bCs/>
    </w:rPr>
  </w:style>
  <w:style w:type="paragraph" w:customStyle="1" w:styleId="101">
    <w:name w:val="TOC2"/>
    <w:basedOn w:val="1"/>
    <w:next w:val="1"/>
    <w:qFormat/>
    <w:uiPriority w:val="0"/>
    <w:pPr>
      <w:ind w:left="210"/>
      <w:jc w:val="left"/>
    </w:pPr>
    <w:rPr>
      <w:smallCaps/>
      <w:szCs w:val="24"/>
    </w:rPr>
  </w:style>
  <w:style w:type="paragraph" w:customStyle="1" w:styleId="102">
    <w:name w:val="TOC8"/>
    <w:basedOn w:val="1"/>
    <w:next w:val="1"/>
    <w:qFormat/>
    <w:uiPriority w:val="0"/>
    <w:pPr>
      <w:ind w:left="1470"/>
      <w:jc w:val="left"/>
    </w:pPr>
  </w:style>
  <w:style w:type="paragraph" w:customStyle="1" w:styleId="103">
    <w:name w:val="TOC7"/>
    <w:basedOn w:val="1"/>
    <w:next w:val="1"/>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qFormat/>
    <w:uiPriority w:val="0"/>
    <w:pPr>
      <w:ind w:left="1680"/>
      <w:jc w:val="left"/>
    </w:pPr>
  </w:style>
  <w:style w:type="paragraph" w:customStyle="1" w:styleId="106">
    <w:name w:val="TOC3"/>
    <w:basedOn w:val="1"/>
    <w:next w:val="1"/>
    <w:qFormat/>
    <w:uiPriority w:val="0"/>
    <w:pPr>
      <w:ind w:left="420"/>
      <w:jc w:val="left"/>
    </w:pPr>
    <w:rPr>
      <w:i/>
      <w:iCs/>
      <w:szCs w:val="24"/>
    </w:rPr>
  </w:style>
  <w:style w:type="paragraph" w:customStyle="1" w:styleId="107">
    <w:name w:val="TOC5"/>
    <w:basedOn w:val="1"/>
    <w:next w:val="1"/>
    <w:qFormat/>
    <w:uiPriority w:val="0"/>
    <w:pPr>
      <w:ind w:left="840"/>
      <w:jc w:val="left"/>
    </w:pPr>
  </w:style>
  <w:style w:type="paragraph" w:customStyle="1" w:styleId="108">
    <w:name w:val="BlockQuote"/>
    <w:basedOn w:val="1"/>
    <w:qFormat/>
    <w:uiPriority w:val="0"/>
    <w:pPr>
      <w:spacing w:after="120"/>
      <w:ind w:left="1440" w:leftChars="700" w:right="1440" w:rightChars="700"/>
    </w:pPr>
  </w:style>
  <w:style w:type="paragraph" w:customStyle="1" w:styleId="109">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1"/>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40">
    <w:name w:val="UserStyle_54"/>
    <w:basedOn w:val="1"/>
    <w:next w:val="104"/>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qFormat/>
    <w:uiPriority w:val="0"/>
    <w:tblPr>
      <w:tblCellMar>
        <w:top w:w="0" w:type="dxa"/>
        <w:left w:w="0" w:type="dxa"/>
        <w:bottom w:w="0" w:type="dxa"/>
        <w:right w:w="0" w:type="dxa"/>
      </w:tblCellMar>
    </w:tblPr>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paragraph" w:customStyle="1" w:styleId="148">
    <w:name w:val="纯文本1"/>
    <w:basedOn w:val="1"/>
    <w:qFormat/>
    <w:uiPriority w:val="0"/>
    <w:rPr>
      <w:rFonts w:ascii="宋体" w:hAnsi="Courier New"/>
      <w:sz w:val="28"/>
    </w:rPr>
  </w:style>
  <w:style w:type="character" w:customStyle="1" w:styleId="149">
    <w:name w:val="正文缩进 Char"/>
    <w:link w:val="9"/>
    <w:qFormat/>
    <w:uiPriority w:val="0"/>
    <w:rPr>
      <w:rFonts w:cs="宋体"/>
      <w:kern w:val="2"/>
      <w:sz w:val="21"/>
      <w:szCs w:val="21"/>
    </w:rPr>
  </w:style>
  <w:style w:type="table" w:customStyle="1" w:styleId="150">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1">
    <w:name w:val="石墨文档正文"/>
    <w:qFormat/>
    <w:uiPriority w:val="0"/>
    <w:rPr>
      <w:rFonts w:ascii="微软雅黑" w:hAnsi="微软雅黑" w:eastAsia="微软雅黑" w:cs="微软雅黑"/>
      <w:sz w:val="22"/>
      <w:szCs w:val="22"/>
      <w:lang w:val="en-US" w:eastAsia="zh-CN" w:bidi="ar-SA"/>
    </w:rPr>
  </w:style>
  <w:style w:type="paragraph" w:customStyle="1" w:styleId="152">
    <w:name w:val="WPSOffice手动目录 1"/>
    <w:qFormat/>
    <w:uiPriority w:val="0"/>
    <w:rPr>
      <w:rFonts w:ascii="Times New Roman" w:hAnsi="Times New Roman" w:eastAsia="宋体" w:cs="Times New Roman"/>
      <w:lang w:val="en-US" w:eastAsia="zh-CN" w:bidi="ar-SA"/>
    </w:rPr>
  </w:style>
  <w:style w:type="paragraph" w:customStyle="1" w:styleId="153">
    <w:name w:val="列出段落1"/>
    <w:basedOn w:val="1"/>
    <w:qFormat/>
    <w:uiPriority w:val="0"/>
    <w:pPr>
      <w:ind w:left="720"/>
      <w:contextualSpacing/>
      <w:jc w:val="left"/>
    </w:pPr>
    <w:rPr>
      <w:rFonts w:ascii="Calibri" w:hAnsi="Calibri"/>
      <w:kern w:val="0"/>
      <w:sz w:val="24"/>
      <w:szCs w:val="24"/>
      <w:lang w:eastAsia="en-US" w:bidi="en-US"/>
    </w:rPr>
  </w:style>
  <w:style w:type="character" w:customStyle="1" w:styleId="154">
    <w:name w:val="apple-converted-space"/>
    <w:basedOn w:val="23"/>
    <w:qFormat/>
    <w:uiPriority w:val="99"/>
  </w:style>
  <w:style w:type="character" w:customStyle="1" w:styleId="155">
    <w:name w:val="批注框文本 Char"/>
    <w:basedOn w:val="23"/>
    <w:link w:val="15"/>
    <w:qFormat/>
    <w:uiPriority w:val="0"/>
    <w:rPr>
      <w:rFonts w:cs="宋体"/>
      <w:kern w:val="2"/>
      <w:sz w:val="18"/>
      <w:szCs w:val="18"/>
    </w:rPr>
  </w:style>
  <w:style w:type="character" w:customStyle="1" w:styleId="156">
    <w:name w:val="item-name"/>
    <w:basedOn w:val="23"/>
    <w:qFormat/>
    <w:uiPriority w:val="0"/>
  </w:style>
  <w:style w:type="character" w:customStyle="1" w:styleId="157">
    <w:name w:val="item-name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3807</Words>
  <Characters>21701</Characters>
  <Lines>180</Lines>
  <Paragraphs>50</Paragraphs>
  <TotalTime>5</TotalTime>
  <ScaleCrop>false</ScaleCrop>
  <LinksUpToDate>false</LinksUpToDate>
  <CharactersWithSpaces>25458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2022-07-27T03:12:00Z</dcterms:created>
  <dc:creator>Administrator</dc:creator>
  <cp:lastModifiedBy>赵萌</cp:lastModifiedBy>
  <cp:lastPrinted>2022-07-25T02:14:00Z</cp:lastPrinted>
  <dcterms:modified xsi:type="dcterms:W3CDTF">2022-07-27T03:20:12Z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575BDA76CD5A4227B9EE07325402F8C4</vt:lpwstr>
  </property>
  <property fmtid="{D5CDD505-2E9C-101B-9397-08002B2CF9AE}" pid="4" name="commondata">
    <vt:lpwstr>eyJoZGlkIjoiZGUyOTdmNGQ3OTRkNDE2NWY5OGIxZTA4NWI1MjQyMTEifQ==</vt:lpwstr>
  </property>
</Properties>
</file>