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cs="宋体"/>
          <w:b/>
          <w:color w:val="auto"/>
          <w:sz w:val="28"/>
          <w:szCs w:val="28"/>
        </w:rPr>
      </w:pPr>
    </w:p>
    <w:p>
      <w:pPr>
        <w:spacing w:line="500" w:lineRule="exact"/>
        <w:rPr>
          <w:rFonts w:ascii="宋体" w:hAnsi="宋体" w:cs="宋体"/>
          <w:b/>
          <w:color w:val="auto"/>
          <w:sz w:val="28"/>
          <w:szCs w:val="28"/>
        </w:rPr>
      </w:pPr>
    </w:p>
    <w:p>
      <w:pPr>
        <w:spacing w:line="360" w:lineRule="auto"/>
        <w:jc w:val="center"/>
        <w:rPr>
          <w:rFonts w:ascii="宋体" w:hAnsi="宋体" w:cs="宋体"/>
          <w:b/>
          <w:color w:val="auto"/>
          <w:sz w:val="44"/>
          <w:szCs w:val="44"/>
        </w:rPr>
      </w:pPr>
      <w:r>
        <w:rPr>
          <w:rFonts w:hint="eastAsia" w:ascii="宋体" w:hAnsi="宋体" w:cs="宋体"/>
          <w:b/>
          <w:color w:val="auto"/>
          <w:sz w:val="44"/>
          <w:szCs w:val="44"/>
        </w:rPr>
        <w:t>盐城工业职业技术学院</w:t>
      </w:r>
    </w:p>
    <w:p>
      <w:pPr>
        <w:spacing w:line="360" w:lineRule="auto"/>
        <w:jc w:val="center"/>
        <w:rPr>
          <w:rFonts w:hint="eastAsia" w:ascii="宋体" w:hAnsi="宋体" w:eastAsia="宋体" w:cs="宋体"/>
          <w:b/>
          <w:color w:val="auto"/>
          <w:sz w:val="44"/>
          <w:szCs w:val="44"/>
          <w:lang w:val="en-US" w:eastAsia="zh-CN"/>
        </w:rPr>
      </w:pPr>
      <w:r>
        <w:rPr>
          <w:rFonts w:hint="eastAsia" w:ascii="宋体" w:hAnsi="宋体" w:cs="宋体"/>
          <w:b/>
          <w:color w:val="auto"/>
          <w:sz w:val="44"/>
          <w:szCs w:val="44"/>
          <w:lang w:eastAsia="zh-CN"/>
        </w:rPr>
        <w:t>食堂油烟净化及排油烟系统改造工程</w:t>
      </w:r>
    </w:p>
    <w:p>
      <w:pPr>
        <w:spacing w:line="480" w:lineRule="auto"/>
        <w:rPr>
          <w:rFonts w:ascii="宋体" w:hAnsi="宋体" w:cs="宋体"/>
          <w:color w:val="auto"/>
          <w:sz w:val="24"/>
        </w:rPr>
      </w:pPr>
    </w:p>
    <w:p>
      <w:pPr>
        <w:spacing w:line="480" w:lineRule="auto"/>
        <w:rPr>
          <w:rFonts w:ascii="宋体" w:hAnsi="宋体" w:cs="宋体"/>
          <w:color w:val="auto"/>
          <w:sz w:val="24"/>
        </w:rPr>
      </w:pPr>
    </w:p>
    <w:p>
      <w:pPr>
        <w:spacing w:line="480" w:lineRule="auto"/>
        <w:jc w:val="center"/>
        <w:rPr>
          <w:rFonts w:ascii="宋体" w:hAnsi="宋体" w:cs="宋体"/>
          <w:b/>
          <w:color w:val="auto"/>
          <w:sz w:val="84"/>
          <w:szCs w:val="84"/>
        </w:rPr>
      </w:pPr>
      <w:r>
        <w:rPr>
          <w:rFonts w:hint="eastAsia" w:ascii="宋体" w:hAnsi="宋体" w:cs="宋体"/>
          <w:b/>
          <w:color w:val="auto"/>
          <w:sz w:val="84"/>
          <w:szCs w:val="84"/>
        </w:rPr>
        <w:t>招 标 文 件</w:t>
      </w:r>
    </w:p>
    <w:p>
      <w:pPr>
        <w:jc w:val="center"/>
        <w:rPr>
          <w:rFonts w:ascii="宋体" w:hAnsi="宋体" w:cs="宋体"/>
          <w:b/>
          <w:color w:val="auto"/>
          <w:sz w:val="72"/>
          <w:szCs w:val="72"/>
        </w:rPr>
      </w:pPr>
    </w:p>
    <w:p>
      <w:pPr>
        <w:jc w:val="center"/>
        <w:rPr>
          <w:rFonts w:ascii="宋体" w:hAnsi="宋体" w:cs="宋体"/>
          <w:b/>
          <w:color w:val="auto"/>
          <w:sz w:val="30"/>
          <w:szCs w:val="30"/>
        </w:rPr>
      </w:pPr>
      <w:r>
        <w:rPr>
          <w:rFonts w:hint="eastAsia" w:ascii="宋体" w:hAnsi="宋体" w:cs="宋体"/>
          <w:b/>
          <w:color w:val="auto"/>
          <w:sz w:val="30"/>
          <w:szCs w:val="30"/>
        </w:rPr>
        <w:t>项目编号：2023-022W</w:t>
      </w: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500" w:lineRule="exact"/>
        <w:rPr>
          <w:rFonts w:ascii="宋体" w:hAnsi="宋体" w:cs="宋体"/>
          <w:color w:val="auto"/>
        </w:rPr>
      </w:pPr>
    </w:p>
    <w:p>
      <w:pPr>
        <w:spacing w:line="480" w:lineRule="auto"/>
        <w:ind w:right="-170" w:rightChars="-81" w:firstLine="2227" w:firstLineChars="696"/>
        <w:rPr>
          <w:rFonts w:ascii="宋体" w:hAnsi="宋体"/>
          <w:b/>
          <w:color w:val="auto"/>
          <w:sz w:val="32"/>
          <w:szCs w:val="32"/>
        </w:rPr>
      </w:pPr>
      <w:r>
        <w:rPr>
          <w:rFonts w:hint="eastAsia" w:ascii="宋体" w:hAnsi="宋体"/>
          <w:b/>
          <w:color w:val="auto"/>
          <w:sz w:val="32"/>
          <w:szCs w:val="32"/>
          <w:highlight w:val="white"/>
        </w:rPr>
        <w:t>招　标　人：盐城工业职业技术学院</w:t>
      </w:r>
    </w:p>
    <w:p>
      <w:pPr>
        <w:tabs>
          <w:tab w:val="left" w:pos="7560"/>
        </w:tabs>
        <w:spacing w:line="480" w:lineRule="auto"/>
        <w:ind w:right="-111" w:rightChars="-53" w:firstLine="627" w:firstLineChars="196"/>
        <w:rPr>
          <w:rFonts w:ascii="宋体" w:hAnsi="宋体"/>
          <w:b/>
          <w:color w:val="auto"/>
          <w:sz w:val="32"/>
          <w:szCs w:val="32"/>
          <w:highlight w:val="white"/>
        </w:rPr>
      </w:pPr>
    </w:p>
    <w:p>
      <w:pPr>
        <w:tabs>
          <w:tab w:val="left" w:pos="7560"/>
        </w:tabs>
        <w:spacing w:line="480" w:lineRule="auto"/>
        <w:ind w:right="-111" w:rightChars="-53" w:firstLine="2227" w:firstLineChars="696"/>
        <w:rPr>
          <w:rFonts w:ascii="宋体" w:hAnsi="宋体"/>
          <w:b/>
          <w:color w:val="auto"/>
          <w:sz w:val="32"/>
          <w:szCs w:val="32"/>
        </w:rPr>
      </w:pPr>
      <w:r>
        <w:rPr>
          <w:rFonts w:hint="eastAsia" w:ascii="宋体" w:hAnsi="宋体"/>
          <w:b/>
          <w:color w:val="auto"/>
          <w:sz w:val="32"/>
          <w:szCs w:val="32"/>
          <w:highlight w:val="white"/>
        </w:rPr>
        <w:t>招标代理机构:江苏伟业项目管理有限公司</w:t>
      </w:r>
    </w:p>
    <w:p>
      <w:pPr>
        <w:spacing w:line="480" w:lineRule="auto"/>
        <w:ind w:firstLine="640" w:firstLineChars="200"/>
        <w:rPr>
          <w:rFonts w:ascii="宋体" w:hAnsi="宋体"/>
          <w:b/>
          <w:color w:val="auto"/>
          <w:sz w:val="32"/>
          <w:szCs w:val="32"/>
          <w:highlight w:val="white"/>
        </w:rPr>
      </w:pPr>
    </w:p>
    <w:p>
      <w:pPr>
        <w:spacing w:line="400" w:lineRule="exact"/>
        <w:jc w:val="center"/>
        <w:rPr>
          <w:rFonts w:ascii="宋体" w:hAnsi="宋体" w:cs="宋体"/>
          <w:color w:val="auto"/>
          <w:sz w:val="24"/>
        </w:rPr>
      </w:pPr>
      <w:r>
        <w:rPr>
          <w:rFonts w:hint="eastAsia" w:ascii="宋体" w:hAnsi="宋体"/>
          <w:b/>
          <w:color w:val="auto"/>
          <w:sz w:val="32"/>
          <w:szCs w:val="32"/>
          <w:highlight w:val="white"/>
        </w:rPr>
        <w:t>日　　　期：</w:t>
      </w:r>
      <w:bookmarkStart w:id="0" w:name="EB318e83f7cad04f51aa6a60ce3a0d7315"/>
      <w:r>
        <w:rPr>
          <w:rFonts w:hint="eastAsia" w:ascii="宋体" w:hAnsi="宋体"/>
          <w:b/>
          <w:color w:val="auto"/>
          <w:sz w:val="32"/>
          <w:szCs w:val="32"/>
          <w:highlight w:val="white"/>
        </w:rPr>
        <w:t>2023年7月2</w:t>
      </w:r>
      <w:r>
        <w:rPr>
          <w:rFonts w:hint="eastAsia" w:ascii="宋体" w:hAnsi="宋体"/>
          <w:b/>
          <w:color w:val="auto"/>
          <w:sz w:val="32"/>
          <w:szCs w:val="32"/>
          <w:highlight w:val="white"/>
          <w:lang w:val="en-US" w:eastAsia="zh-CN"/>
        </w:rPr>
        <w:t>6</w:t>
      </w:r>
      <w:r>
        <w:rPr>
          <w:rFonts w:hint="eastAsia" w:ascii="宋体" w:hAnsi="宋体"/>
          <w:b/>
          <w:color w:val="auto"/>
          <w:sz w:val="32"/>
          <w:szCs w:val="32"/>
          <w:highlight w:val="white"/>
        </w:rPr>
        <w:t>日</w:t>
      </w:r>
      <w:bookmarkEnd w:id="0"/>
    </w:p>
    <w:p>
      <w:pPr>
        <w:spacing w:after="218" w:afterLines="70"/>
        <w:jc w:val="center"/>
        <w:rPr>
          <w:rFonts w:ascii="宋体" w:hAnsi="宋体" w:cs="宋体"/>
          <w:color w:val="auto"/>
          <w:sz w:val="24"/>
        </w:rPr>
      </w:pPr>
      <w:r>
        <w:rPr>
          <w:rFonts w:hint="eastAsia" w:ascii="宋体" w:hAnsi="宋体" w:cs="宋体"/>
          <w:color w:val="auto"/>
          <w:sz w:val="24"/>
        </w:rPr>
        <w:br w:type="page"/>
      </w:r>
    </w:p>
    <w:p>
      <w:pPr>
        <w:spacing w:after="218" w:afterLines="70"/>
        <w:jc w:val="center"/>
        <w:rPr>
          <w:rFonts w:ascii="宋体" w:hAnsi="宋体" w:cs="宋体"/>
          <w:b/>
          <w:bCs/>
          <w:color w:val="auto"/>
          <w:sz w:val="44"/>
        </w:rPr>
      </w:pPr>
      <w:r>
        <w:rPr>
          <w:rFonts w:hint="eastAsia" w:ascii="宋体" w:hAnsi="宋体" w:cs="宋体"/>
          <w:b/>
          <w:color w:val="auto"/>
          <w:sz w:val="44"/>
          <w:szCs w:val="44"/>
        </w:rPr>
        <w:t>第一部分  招标公告</w:t>
      </w:r>
    </w:p>
    <w:p>
      <w:pPr>
        <w:adjustRightInd w:val="0"/>
        <w:snapToGrid w:val="0"/>
        <w:spacing w:line="360" w:lineRule="auto"/>
        <w:jc w:val="center"/>
        <w:rPr>
          <w:rFonts w:hint="eastAsia" w:ascii="宋体" w:hAnsi="宋体" w:eastAsia="宋体" w:cs="宋体"/>
          <w:b/>
          <w:color w:val="auto"/>
          <w:sz w:val="32"/>
          <w:szCs w:val="32"/>
          <w:lang w:eastAsia="zh-CN"/>
        </w:rPr>
      </w:pPr>
      <w:bookmarkStart w:id="4" w:name="_GoBack"/>
      <w:r>
        <w:rPr>
          <w:rFonts w:hint="eastAsia" w:ascii="宋体" w:hAnsi="宋体" w:cs="宋体"/>
          <w:b/>
          <w:color w:val="auto"/>
          <w:sz w:val="32"/>
          <w:szCs w:val="32"/>
        </w:rPr>
        <w:t>盐城工业职业技术学院</w:t>
      </w:r>
      <w:r>
        <w:rPr>
          <w:rFonts w:hint="eastAsia" w:ascii="宋体" w:hAnsi="宋体" w:cs="宋体"/>
          <w:b/>
          <w:color w:val="auto"/>
          <w:sz w:val="32"/>
          <w:szCs w:val="32"/>
          <w:lang w:eastAsia="zh-CN"/>
        </w:rPr>
        <w:t>食堂油烟净化及排油烟系统改造工程</w:t>
      </w:r>
    </w:p>
    <w:p>
      <w:pPr>
        <w:adjustRightInd w:val="0"/>
        <w:snapToGrid w:val="0"/>
        <w:spacing w:line="360" w:lineRule="auto"/>
        <w:jc w:val="center"/>
        <w:rPr>
          <w:rFonts w:ascii="宋体" w:hAnsi="宋体" w:cs="宋体"/>
          <w:b/>
          <w:color w:val="auto"/>
          <w:kern w:val="0"/>
          <w:sz w:val="32"/>
          <w:szCs w:val="32"/>
          <w:shd w:val="clear" w:color="auto" w:fill="FFFFFF"/>
        </w:rPr>
      </w:pPr>
      <w:r>
        <w:rPr>
          <w:rFonts w:hint="eastAsia" w:ascii="宋体" w:hAnsi="宋体" w:cs="宋体"/>
          <w:b/>
          <w:color w:val="auto"/>
          <w:sz w:val="32"/>
          <w:szCs w:val="32"/>
        </w:rPr>
        <w:t>招标公告</w:t>
      </w:r>
    </w:p>
    <w:p>
      <w:pPr>
        <w:tabs>
          <w:tab w:val="left" w:pos="900"/>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根据盐城工业职业技术学院下达的招标计划，江苏伟业项目管理有限公司受盐城工业职业技术学院</w:t>
      </w:r>
      <w:r>
        <w:rPr>
          <w:rFonts w:hint="eastAsia" w:ascii="宋体" w:hAnsi="宋体" w:cs="宋体"/>
          <w:color w:val="auto"/>
          <w:sz w:val="24"/>
        </w:rPr>
        <w:softHyphen/>
      </w:r>
      <w:r>
        <w:rPr>
          <w:rFonts w:hint="eastAsia" w:ascii="宋体" w:hAnsi="宋体" w:cs="宋体"/>
          <w:color w:val="auto"/>
          <w:sz w:val="24"/>
        </w:rPr>
        <w:softHyphen/>
      </w:r>
      <w:r>
        <w:rPr>
          <w:rFonts w:hint="eastAsia" w:ascii="宋体" w:hAnsi="宋体" w:cs="宋体"/>
          <w:color w:val="auto"/>
          <w:sz w:val="24"/>
        </w:rPr>
        <w:t>的委托，决定就其所需的</w:t>
      </w:r>
      <w:r>
        <w:rPr>
          <w:rFonts w:hint="eastAsia" w:ascii="宋体" w:hAnsi="宋体" w:cs="宋体"/>
          <w:color w:val="auto"/>
          <w:sz w:val="24"/>
          <w:lang w:eastAsia="zh-CN"/>
        </w:rPr>
        <w:t>食堂油烟净化及排油烟系统改造工程</w:t>
      </w:r>
      <w:r>
        <w:rPr>
          <w:rFonts w:hint="eastAsia" w:ascii="宋体" w:hAnsi="宋体" w:cs="宋体"/>
          <w:color w:val="auto"/>
          <w:sz w:val="24"/>
        </w:rPr>
        <w:t>进行公开招标，现欢迎符合相关条件的合格投标人投标。</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一、招标项目名称及编号</w:t>
      </w:r>
    </w:p>
    <w:p>
      <w:pPr>
        <w:tabs>
          <w:tab w:val="left" w:pos="900"/>
        </w:tabs>
        <w:adjustRightInd w:val="0"/>
        <w:snapToGrid w:val="0"/>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项目名称：盐城工业职业技术学院</w:t>
      </w:r>
      <w:r>
        <w:rPr>
          <w:rFonts w:hint="eastAsia" w:ascii="宋体" w:hAnsi="宋体" w:cs="宋体"/>
          <w:color w:val="auto"/>
          <w:sz w:val="24"/>
          <w:lang w:eastAsia="zh-CN"/>
        </w:rPr>
        <w:t>食堂油烟净化及排油烟系统改造工程</w:t>
      </w:r>
    </w:p>
    <w:p>
      <w:pPr>
        <w:tabs>
          <w:tab w:val="left" w:pos="900"/>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标书编号：2023-022W</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二、项目概况</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1、项目建设地点：盐城工业职业技术学院内（盐城市解放南路285号）。</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2、供货期：签订合同后2</w:t>
      </w:r>
      <w:r>
        <w:rPr>
          <w:rFonts w:ascii="宋体" w:hAnsi="宋体" w:cs="宋体"/>
          <w:color w:val="auto"/>
          <w:sz w:val="24"/>
        </w:rPr>
        <w:t>0</w:t>
      </w:r>
      <w:r>
        <w:rPr>
          <w:rFonts w:hint="eastAsia" w:ascii="宋体" w:hAnsi="宋体" w:cs="宋体"/>
          <w:color w:val="auto"/>
          <w:sz w:val="24"/>
        </w:rPr>
        <w:t>日历天，同时确保于2023年 8月底（具体时间电话通知）全部供货并经验收合格交付使用。（如甲方需要延时交付，可另行约定时间）</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3、资金来源及落实情况：财政资金且已落实。 </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4、最高限价：12万元，投标人的投标报价不得超过最高限价，否则作为无效标书处理。</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5、招标范围及标段划分：采购高压风柜、低空油烟净化器等设备项目。详细内容请见本招标文件项目需求部分。</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三、投标人资格要求</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1、投标人资格要求：</w:t>
      </w:r>
    </w:p>
    <w:p>
      <w:pPr>
        <w:tabs>
          <w:tab w:val="left" w:pos="900"/>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w:t>
      </w:r>
      <w:r>
        <w:rPr>
          <w:rStyle w:val="50"/>
          <w:rFonts w:hint="eastAsia" w:ascii="宋体" w:hAnsi="宋体"/>
          <w:color w:val="auto"/>
          <w:sz w:val="24"/>
        </w:rPr>
        <w:t>法人或者其他组织的营业执照等证明文件，自然人的身份证明。</w:t>
      </w:r>
    </w:p>
    <w:p>
      <w:pPr>
        <w:tabs>
          <w:tab w:val="left" w:pos="900"/>
        </w:tabs>
        <w:adjustRightInd w:val="0"/>
        <w:snapToGrid w:val="0"/>
        <w:spacing w:line="360" w:lineRule="auto"/>
        <w:ind w:firstLine="480" w:firstLineChars="200"/>
        <w:jc w:val="left"/>
        <w:rPr>
          <w:rStyle w:val="50"/>
          <w:rFonts w:ascii="宋体" w:hAnsi="宋体"/>
          <w:color w:val="auto"/>
          <w:sz w:val="24"/>
        </w:rPr>
      </w:pPr>
      <w:r>
        <w:rPr>
          <w:rFonts w:hint="eastAsia" w:ascii="宋体" w:hAnsi="宋体" w:cs="宋体"/>
          <w:color w:val="auto"/>
          <w:sz w:val="24"/>
        </w:rPr>
        <w:t>1.2</w:t>
      </w:r>
      <w:r>
        <w:rPr>
          <w:rStyle w:val="50"/>
          <w:rFonts w:hint="eastAsia" w:ascii="宋体" w:hAnsi="宋体"/>
          <w:color w:val="auto"/>
          <w:sz w:val="24"/>
        </w:rPr>
        <w:t>上一年度（202</w:t>
      </w:r>
      <w:r>
        <w:rPr>
          <w:rStyle w:val="50"/>
          <w:rFonts w:ascii="宋体" w:hAnsi="宋体"/>
          <w:color w:val="auto"/>
          <w:sz w:val="24"/>
        </w:rPr>
        <w:t>2</w:t>
      </w:r>
      <w:r>
        <w:rPr>
          <w:rStyle w:val="50"/>
          <w:rFonts w:hint="eastAsia" w:ascii="宋体" w:hAnsi="宋体"/>
          <w:color w:val="auto"/>
          <w:sz w:val="24"/>
        </w:rPr>
        <w:t>）的财务报表（成立不满一年不需提供）。</w:t>
      </w:r>
    </w:p>
    <w:p>
      <w:pPr>
        <w:tabs>
          <w:tab w:val="left" w:pos="900"/>
        </w:tabs>
        <w:adjustRightInd w:val="0"/>
        <w:snapToGrid w:val="0"/>
        <w:spacing w:line="360" w:lineRule="auto"/>
        <w:ind w:firstLine="480" w:firstLineChars="200"/>
        <w:jc w:val="left"/>
        <w:rPr>
          <w:rStyle w:val="50"/>
          <w:rFonts w:ascii="宋体" w:hAnsi="宋体"/>
          <w:color w:val="auto"/>
          <w:sz w:val="24"/>
        </w:rPr>
      </w:pPr>
      <w:r>
        <w:rPr>
          <w:rFonts w:hint="eastAsia" w:ascii="宋体" w:hAnsi="宋体" w:cs="宋体"/>
          <w:color w:val="auto"/>
          <w:sz w:val="24"/>
        </w:rPr>
        <w:t>1.3</w:t>
      </w:r>
      <w:r>
        <w:rPr>
          <w:rStyle w:val="50"/>
          <w:rFonts w:hint="eastAsia" w:ascii="宋体" w:hAnsi="宋体"/>
          <w:color w:val="auto"/>
          <w:sz w:val="24"/>
        </w:rPr>
        <w:t>依法缴纳税收和社会保障资金的相关材料,依法免税或不需要缴纳社会保障资金的，应提供相应文件证明材料.</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2、信誉要求</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2.1投标人没有被国家、江苏省省级有关部门及盐城市级有关部门暂停招投标或市场准入资格且在公示处罚期内。</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2.2企业近1年内没有无正当理由放弃中标资格、不与招标人订立合同、拒不提供履约担保情形的。</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2.3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3、本招标项目不接受联合体投标。</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4、投标人不得存在下列情形之一：</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4.1为招标人不具有独立法人资格的附属机构（单位）。</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4.2与招标人存在利害关系可能影响招标公正性的。</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4.3单位负责人为同一人或者存在控股、管理关系的不同单位。    </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4.4处于被责令停业、财产被接管、冻结和破产状态，以及投标资格被取消或者被暂停且在暂停期内。</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4.5因拖欠工人工资或者因发生质量安全事故被有关部门限制在招标项目所在地承接项目的。</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4.6不符合法律、法规规定的其他条件。</w:t>
      </w:r>
    </w:p>
    <w:p>
      <w:pPr>
        <w:adjustRightInd w:val="0"/>
        <w:snapToGrid w:val="0"/>
        <w:spacing w:line="360" w:lineRule="auto"/>
        <w:ind w:firstLine="480" w:firstLineChars="200"/>
        <w:jc w:val="left"/>
        <w:rPr>
          <w:rFonts w:ascii="宋体" w:hAnsi="宋体" w:cs="宋体"/>
          <w:b/>
          <w:color w:val="auto"/>
          <w:kern w:val="0"/>
          <w:sz w:val="24"/>
          <w:shd w:val="clear" w:color="auto" w:fill="FFFFFF"/>
        </w:rPr>
      </w:pPr>
      <w:r>
        <w:rPr>
          <w:rFonts w:hint="eastAsia" w:ascii="宋体" w:hAnsi="宋体" w:cs="宋体"/>
          <w:b/>
          <w:color w:val="auto"/>
          <w:kern w:val="0"/>
          <w:sz w:val="24"/>
          <w:shd w:val="clear" w:color="auto" w:fill="FFFFFF"/>
        </w:rPr>
        <w:t>四、资格审查办法：</w:t>
      </w:r>
      <w:r>
        <w:rPr>
          <w:rFonts w:hint="eastAsia" w:ascii="宋体" w:hAnsi="宋体" w:cs="宋体"/>
          <w:bCs/>
          <w:color w:val="auto"/>
          <w:kern w:val="0"/>
          <w:sz w:val="24"/>
          <w:shd w:val="clear" w:color="auto" w:fill="FFFFFF"/>
        </w:rPr>
        <w:t>资格后审。</w:t>
      </w:r>
    </w:p>
    <w:p>
      <w:pPr>
        <w:adjustRightInd w:val="0"/>
        <w:snapToGrid w:val="0"/>
        <w:spacing w:line="360" w:lineRule="auto"/>
        <w:ind w:firstLine="480" w:firstLineChars="200"/>
        <w:jc w:val="left"/>
        <w:rPr>
          <w:rFonts w:ascii="宋体" w:hAnsi="宋体" w:cs="宋体"/>
          <w:b/>
          <w:color w:val="auto"/>
          <w:kern w:val="0"/>
          <w:sz w:val="24"/>
          <w:shd w:val="clear" w:color="auto" w:fill="FFFFFF"/>
        </w:rPr>
      </w:pPr>
      <w:r>
        <w:rPr>
          <w:rFonts w:hint="eastAsia" w:ascii="宋体" w:hAnsi="宋体" w:cs="宋体"/>
          <w:b/>
          <w:color w:val="auto"/>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本项目评标办法采用</w:t>
      </w:r>
      <w:r>
        <w:rPr>
          <w:rFonts w:hint="eastAsia" w:ascii="宋体" w:hAnsi="宋体" w:cs="宋体"/>
          <w:color w:val="auto"/>
          <w:sz w:val="24"/>
          <w:u w:val="single"/>
        </w:rPr>
        <w:t>经评审的最低投标价法</w:t>
      </w:r>
      <w:r>
        <w:rPr>
          <w:rFonts w:hint="eastAsia" w:ascii="宋体" w:hAnsi="宋体" w:cs="宋体"/>
          <w:color w:val="auto"/>
          <w:sz w:val="24"/>
        </w:rPr>
        <w:t>，具体详见招标文件正文。</w:t>
      </w:r>
    </w:p>
    <w:p>
      <w:pPr>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六、招标文件提供信息</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时间：自公告之日起至投标截止时间前1日</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地点：盐城工业职业技术学院招标采购网</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报名时间及地点：本公告发布后凡具备上述资格条件，并自愿参加本项目投标的投标人应于2023年</w:t>
      </w:r>
      <w:r>
        <w:rPr>
          <w:rStyle w:val="50"/>
          <w:rFonts w:hint="eastAsia" w:ascii="宋体" w:hAnsi="宋体" w:cs="宋体"/>
          <w:color w:val="auto"/>
          <w:sz w:val="24"/>
          <w:lang w:val="en-US" w:eastAsia="zh-CN"/>
        </w:rPr>
        <w:t>7</w:t>
      </w:r>
      <w:r>
        <w:rPr>
          <w:rStyle w:val="50"/>
          <w:rFonts w:hint="eastAsia" w:ascii="宋体" w:hAnsi="宋体" w:cs="宋体"/>
          <w:color w:val="auto"/>
          <w:sz w:val="24"/>
        </w:rPr>
        <w:t>月</w:t>
      </w:r>
      <w:r>
        <w:rPr>
          <w:rStyle w:val="50"/>
          <w:rFonts w:hint="eastAsia" w:ascii="宋体" w:hAnsi="宋体" w:cs="宋体"/>
          <w:color w:val="auto"/>
          <w:sz w:val="24"/>
          <w:lang w:val="en-US" w:eastAsia="zh-CN"/>
        </w:rPr>
        <w:t>26</w:t>
      </w:r>
      <w:r>
        <w:rPr>
          <w:rStyle w:val="50"/>
          <w:rFonts w:hint="eastAsia" w:ascii="宋体" w:hAnsi="宋体" w:cs="宋体"/>
          <w:color w:val="auto"/>
          <w:sz w:val="24"/>
        </w:rPr>
        <w:t>日至2023年</w:t>
      </w:r>
      <w:r>
        <w:rPr>
          <w:rStyle w:val="50"/>
          <w:rFonts w:hint="eastAsia" w:ascii="宋体" w:hAnsi="宋体" w:cs="宋体"/>
          <w:color w:val="auto"/>
          <w:sz w:val="24"/>
          <w:lang w:val="en-US" w:eastAsia="zh-CN"/>
        </w:rPr>
        <w:t>8</w:t>
      </w:r>
      <w:r>
        <w:rPr>
          <w:rStyle w:val="50"/>
          <w:rFonts w:hint="eastAsia" w:ascii="宋体" w:hAnsi="宋体" w:cs="宋体"/>
          <w:color w:val="auto"/>
          <w:sz w:val="24"/>
        </w:rPr>
        <w:t>月</w:t>
      </w:r>
      <w:r>
        <w:rPr>
          <w:rStyle w:val="50"/>
          <w:rFonts w:hint="eastAsia" w:ascii="宋体" w:hAnsi="宋体" w:cs="宋体"/>
          <w:color w:val="auto"/>
          <w:sz w:val="24"/>
          <w:lang w:val="en-US" w:eastAsia="zh-CN"/>
        </w:rPr>
        <w:t>4</w:t>
      </w:r>
      <w:r>
        <w:rPr>
          <w:rStyle w:val="50"/>
          <w:rFonts w:hint="eastAsia" w:ascii="宋体" w:hAnsi="宋体" w:cs="宋体"/>
          <w:color w:val="auto"/>
          <w:sz w:val="24"/>
        </w:rPr>
        <w:t>日委派本单位正式人员携带单位介绍信或授权委托书扫描件至我单位或添加微信（微信号:13305104722）购买招标文件，逾期的不予接收。</w:t>
      </w:r>
    </w:p>
    <w:p>
      <w:pPr>
        <w:adjustRightInd w:val="0"/>
        <w:snapToGrid w:val="0"/>
        <w:spacing w:line="360" w:lineRule="auto"/>
        <w:ind w:firstLine="480" w:firstLineChars="200"/>
        <w:rPr>
          <w:rFonts w:ascii="宋体" w:hAnsi="宋体" w:cs="宋体"/>
          <w:color w:val="auto"/>
          <w:sz w:val="24"/>
        </w:rPr>
      </w:pPr>
      <w:r>
        <w:rPr>
          <w:rStyle w:val="50"/>
          <w:rFonts w:hint="eastAsia" w:ascii="宋体" w:hAnsi="宋体" w:cs="宋体"/>
          <w:color w:val="auto"/>
          <w:sz w:val="24"/>
        </w:rPr>
        <w:t>售价：人民币500元，售后不退。</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七、</w:t>
      </w:r>
      <w:r>
        <w:rPr>
          <w:rStyle w:val="50"/>
          <w:rFonts w:hint="eastAsia" w:ascii="宋体" w:hAnsi="宋体"/>
          <w:b/>
          <w:bCs/>
          <w:color w:val="auto"/>
          <w:sz w:val="24"/>
        </w:rPr>
        <w:t>提交投标文件截止时间、开标时间和地点</w:t>
      </w:r>
    </w:p>
    <w:p>
      <w:pPr>
        <w:tabs>
          <w:tab w:val="left" w:pos="900"/>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时间：2023年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日9点00分（北京时间）</w:t>
      </w:r>
    </w:p>
    <w:p>
      <w:pPr>
        <w:tabs>
          <w:tab w:val="left" w:pos="900"/>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地点：盐城工业职业技术学院（盐城市解放南路285号）南食堂四楼402开标室。</w:t>
      </w:r>
    </w:p>
    <w:p>
      <w:pPr>
        <w:adjustRightInd w:val="0"/>
        <w:snapToGrid w:val="0"/>
        <w:spacing w:line="360" w:lineRule="auto"/>
        <w:ind w:firstLine="480" w:firstLineChars="200"/>
        <w:jc w:val="left"/>
        <w:rPr>
          <w:rFonts w:ascii="宋体" w:hAnsi="宋体" w:cs="宋体"/>
          <w:b/>
          <w:color w:val="auto"/>
          <w:sz w:val="24"/>
        </w:rPr>
      </w:pPr>
      <w:r>
        <w:rPr>
          <w:rFonts w:hint="eastAsia" w:ascii="宋体" w:hAnsi="宋体" w:cs="宋体"/>
          <w:b/>
          <w:color w:val="auto"/>
          <w:sz w:val="24"/>
        </w:rPr>
        <w:t>八、投标文件制作份数要求</w:t>
      </w:r>
    </w:p>
    <w:p>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正本份数：1份，副本份数：4份。</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九、投标保证金</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本项目无需缴纳投标保证金</w:t>
      </w:r>
    </w:p>
    <w:p>
      <w:pPr>
        <w:tabs>
          <w:tab w:val="left" w:pos="900"/>
        </w:tabs>
        <w:adjustRightInd w:val="0"/>
        <w:snapToGrid w:val="0"/>
        <w:spacing w:line="360" w:lineRule="auto"/>
        <w:ind w:firstLine="480" w:firstLineChars="200"/>
        <w:jc w:val="left"/>
        <w:rPr>
          <w:rFonts w:ascii="宋体" w:hAnsi="宋体" w:cs="宋体"/>
          <w:b/>
          <w:bCs/>
          <w:color w:val="auto"/>
          <w:sz w:val="24"/>
        </w:rPr>
      </w:pPr>
      <w:r>
        <w:rPr>
          <w:rFonts w:hint="eastAsia" w:ascii="宋体" w:hAnsi="宋体" w:cs="宋体"/>
          <w:b/>
          <w:bCs/>
          <w:color w:val="auto"/>
          <w:sz w:val="24"/>
        </w:rPr>
        <w:t>十、本次招标联系事项</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1.招标人信息</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名称：盐城工业职业技术学院</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地址：盐城市解放南路285号</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 xml:space="preserve">联系人：赵老师             </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联系电话：0515-88588707</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2.招标代理机构信息</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名称：江苏伟业项目管理有限公司</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地址：盐城市华邦国际东厦16楼</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 xml:space="preserve">联系人：陈先生              </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联系电话：</w:t>
      </w:r>
      <w:r>
        <w:rPr>
          <w:rFonts w:hint="eastAsia" w:ascii="宋体" w:hAnsi="宋体" w:cs="宋体"/>
          <w:bCs/>
          <w:color w:val="auto"/>
          <w:sz w:val="24"/>
        </w:rPr>
        <w:t>13305104722</w:t>
      </w:r>
    </w:p>
    <w:p>
      <w:pPr>
        <w:adjustRightInd w:val="0"/>
        <w:snapToGrid w:val="0"/>
        <w:spacing w:line="360" w:lineRule="auto"/>
        <w:ind w:firstLine="480" w:firstLineChars="200"/>
        <w:rPr>
          <w:rStyle w:val="50"/>
          <w:rFonts w:ascii="宋体" w:hAnsi="宋体" w:cs="宋体"/>
          <w:color w:val="auto"/>
          <w:sz w:val="24"/>
        </w:rPr>
      </w:pPr>
      <w:r>
        <w:rPr>
          <w:rStyle w:val="50"/>
          <w:rFonts w:hint="eastAsia" w:ascii="宋体" w:hAnsi="宋体" w:cs="宋体"/>
          <w:color w:val="auto"/>
          <w:sz w:val="24"/>
        </w:rPr>
        <w:t>3.项目联系方式</w:t>
      </w:r>
    </w:p>
    <w:p>
      <w:pPr>
        <w:adjustRightInd w:val="0"/>
        <w:snapToGrid w:val="0"/>
        <w:spacing w:line="360" w:lineRule="auto"/>
        <w:ind w:firstLine="480" w:firstLineChars="200"/>
        <w:textAlignment w:val="baseline"/>
        <w:rPr>
          <w:rStyle w:val="50"/>
          <w:rFonts w:ascii="宋体" w:hAnsi="宋体"/>
          <w:color w:val="auto"/>
          <w:sz w:val="24"/>
        </w:rPr>
      </w:pPr>
      <w:r>
        <w:rPr>
          <w:rStyle w:val="50"/>
          <w:rFonts w:hint="eastAsia" w:ascii="宋体" w:hAnsi="宋体" w:cs="宋体"/>
          <w:color w:val="auto"/>
          <w:sz w:val="24"/>
        </w:rPr>
        <w:t>项目联系人：顾向军</w:t>
      </w:r>
    </w:p>
    <w:p>
      <w:pPr>
        <w:adjustRightInd w:val="0"/>
        <w:snapToGrid w:val="0"/>
        <w:spacing w:line="360" w:lineRule="auto"/>
        <w:ind w:firstLine="480" w:firstLineChars="200"/>
        <w:textAlignment w:val="baseline"/>
        <w:rPr>
          <w:rStyle w:val="50"/>
          <w:rFonts w:ascii="宋体" w:hAnsi="宋体"/>
          <w:color w:val="auto"/>
          <w:sz w:val="24"/>
        </w:rPr>
      </w:pPr>
      <w:r>
        <w:rPr>
          <w:rStyle w:val="50"/>
          <w:rFonts w:hint="eastAsia" w:ascii="宋体" w:hAnsi="宋体"/>
          <w:color w:val="auto"/>
          <w:sz w:val="24"/>
        </w:rPr>
        <w:t>电话：13770023681</w:t>
      </w:r>
    </w:p>
    <w:bookmarkEnd w:id="4"/>
    <w:p>
      <w:pPr>
        <w:spacing w:line="500" w:lineRule="exact"/>
        <w:jc w:val="center"/>
        <w:rPr>
          <w:rFonts w:ascii="宋体" w:hAnsi="宋体" w:cs="宋体"/>
          <w:b/>
          <w:color w:val="auto"/>
          <w:sz w:val="28"/>
          <w:szCs w:val="28"/>
        </w:rPr>
      </w:pPr>
    </w:p>
    <w:p>
      <w:pPr>
        <w:spacing w:line="500" w:lineRule="exact"/>
        <w:ind w:firstLine="480" w:firstLineChars="200"/>
        <w:jc w:val="center"/>
        <w:rPr>
          <w:rFonts w:ascii="宋体" w:hAnsi="宋体" w:cs="宋体"/>
          <w:b/>
          <w:bCs/>
          <w:color w:val="auto"/>
          <w:sz w:val="44"/>
        </w:rPr>
      </w:pPr>
      <w:r>
        <w:rPr>
          <w:rFonts w:hint="eastAsia" w:ascii="宋体" w:hAnsi="宋体" w:cs="宋体"/>
          <w:b/>
          <w:color w:val="auto"/>
          <w:sz w:val="24"/>
        </w:rPr>
        <w:br w:type="page"/>
      </w:r>
      <w:r>
        <w:rPr>
          <w:rFonts w:hint="eastAsia" w:ascii="宋体" w:hAnsi="宋体" w:cs="宋体"/>
          <w:b/>
          <w:color w:val="auto"/>
          <w:sz w:val="44"/>
          <w:szCs w:val="44"/>
        </w:rPr>
        <w:t>第二部分  投标须知</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一、总则</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1、招标方式</w:t>
      </w:r>
    </w:p>
    <w:p>
      <w:pPr>
        <w:spacing w:line="500" w:lineRule="exact"/>
        <w:ind w:firstLine="480" w:firstLineChars="200"/>
        <w:rPr>
          <w:rFonts w:ascii="宋体" w:hAnsi="宋体" w:cs="宋体"/>
          <w:color w:val="auto"/>
          <w:sz w:val="24"/>
        </w:rPr>
      </w:pPr>
      <w:r>
        <w:rPr>
          <w:rFonts w:hint="eastAsia" w:ascii="宋体" w:hAnsi="宋体" w:cs="宋体"/>
          <w:color w:val="auto"/>
          <w:sz w:val="24"/>
        </w:rPr>
        <w:t>1.1 本次招标采取公开招标方式，本招标文件仅适用于招标公告中所述项目。</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2、合格的投标人</w:t>
      </w:r>
    </w:p>
    <w:p>
      <w:pPr>
        <w:spacing w:line="500" w:lineRule="exact"/>
        <w:ind w:firstLine="480" w:firstLineChars="200"/>
        <w:rPr>
          <w:rFonts w:ascii="宋体" w:hAnsi="宋体" w:cs="宋体"/>
          <w:color w:val="auto"/>
          <w:sz w:val="24"/>
        </w:rPr>
      </w:pPr>
      <w:r>
        <w:rPr>
          <w:rFonts w:hint="eastAsia" w:ascii="宋体" w:hAnsi="宋体" w:cs="宋体"/>
          <w:color w:val="auto"/>
          <w:sz w:val="24"/>
        </w:rPr>
        <w:t>2.1满足招标公告中投标人的资格要求的规定。</w:t>
      </w:r>
    </w:p>
    <w:p>
      <w:pPr>
        <w:spacing w:line="500" w:lineRule="exact"/>
        <w:ind w:firstLine="480" w:firstLineChars="200"/>
        <w:rPr>
          <w:rFonts w:ascii="宋体" w:hAnsi="宋体" w:cs="宋体"/>
          <w:color w:val="auto"/>
          <w:sz w:val="24"/>
        </w:rPr>
      </w:pPr>
      <w:r>
        <w:rPr>
          <w:rFonts w:hint="eastAsia" w:ascii="宋体" w:hAnsi="宋体" w:cs="宋体"/>
          <w:color w:val="auto"/>
          <w:sz w:val="24"/>
        </w:rPr>
        <w:t>2.2 满足本文件实质性条款的规定。</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3、适用法律</w:t>
      </w:r>
    </w:p>
    <w:p>
      <w:pPr>
        <w:spacing w:line="500" w:lineRule="exact"/>
        <w:ind w:firstLine="480" w:firstLineChars="200"/>
        <w:rPr>
          <w:rFonts w:ascii="宋体" w:hAnsi="宋体" w:cs="宋体"/>
          <w:color w:val="auto"/>
          <w:sz w:val="24"/>
        </w:rPr>
      </w:pPr>
      <w:r>
        <w:rPr>
          <w:rFonts w:hint="eastAsia" w:ascii="宋体" w:hAnsi="宋体" w:cs="宋体"/>
          <w:color w:val="auto"/>
          <w:sz w:val="24"/>
        </w:rPr>
        <w:t>3.1 本次招标及由此产生的合同受中华人民共和国有关的法律法规制约和保护。</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4、投标费用</w:t>
      </w:r>
    </w:p>
    <w:p>
      <w:pPr>
        <w:spacing w:line="500" w:lineRule="exact"/>
        <w:ind w:firstLine="480" w:firstLineChars="200"/>
        <w:rPr>
          <w:rFonts w:ascii="宋体" w:hAnsi="宋体" w:cs="宋体"/>
          <w:color w:val="auto"/>
          <w:sz w:val="24"/>
        </w:rPr>
      </w:pPr>
      <w:r>
        <w:rPr>
          <w:rFonts w:hint="eastAsia" w:ascii="宋体" w:hAnsi="宋体" w:cs="宋体"/>
          <w:color w:val="auto"/>
          <w:sz w:val="24"/>
        </w:rPr>
        <w:t>4.1 投标人应自行承担所有与参加投标有关的费用，无论投标过程中的做法和结果如何，招标人及招标代理在任何情况下均无义务和责任承担这些费用。</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color w:val="auto"/>
          <w:sz w:val="24"/>
          <w:szCs w:val="24"/>
        </w:rPr>
        <w:t>5、</w:t>
      </w:r>
      <w:r>
        <w:rPr>
          <w:rFonts w:hint="eastAsia" w:ascii="宋体" w:hAnsi="宋体" w:eastAsia="宋体" w:cs="宋体"/>
          <w:b w:val="0"/>
          <w:bCs w:val="0"/>
          <w:color w:val="auto"/>
          <w:sz w:val="24"/>
          <w:szCs w:val="24"/>
        </w:rPr>
        <w:t>招标文件的约束力</w:t>
      </w:r>
    </w:p>
    <w:p>
      <w:pPr>
        <w:spacing w:line="500" w:lineRule="exact"/>
        <w:ind w:firstLine="480" w:firstLineChars="200"/>
        <w:rPr>
          <w:rFonts w:ascii="宋体" w:hAnsi="宋体" w:cs="宋体"/>
          <w:color w:val="auto"/>
          <w:sz w:val="24"/>
        </w:rPr>
      </w:pPr>
      <w:r>
        <w:rPr>
          <w:rFonts w:hint="eastAsia" w:ascii="宋体" w:hAnsi="宋体" w:cs="宋体"/>
          <w:color w:val="auto"/>
          <w:sz w:val="24"/>
        </w:rPr>
        <w:t>5.1 投标人一旦参加本项目投标，即被认为接受了本招标文件的规定和约束，并且视为自招标公告期限届满之日起知道或应当知道自身权益是否受到了损害。</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6、招标文件的解释</w:t>
      </w:r>
    </w:p>
    <w:p>
      <w:pPr>
        <w:spacing w:line="500" w:lineRule="exact"/>
        <w:ind w:firstLine="480" w:firstLineChars="200"/>
        <w:rPr>
          <w:rFonts w:ascii="宋体" w:hAnsi="宋体" w:cs="宋体"/>
          <w:color w:val="auto"/>
          <w:sz w:val="24"/>
        </w:rPr>
      </w:pPr>
      <w:r>
        <w:rPr>
          <w:rFonts w:hint="eastAsia" w:ascii="宋体" w:hAnsi="宋体" w:cs="宋体"/>
          <w:color w:val="auto"/>
          <w:sz w:val="24"/>
        </w:rPr>
        <w:t>6.1 本招标文件由招标人和招标代理负责解释。</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二、招标文件</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7、招标文件构成</w:t>
      </w:r>
    </w:p>
    <w:p>
      <w:pPr>
        <w:spacing w:line="500" w:lineRule="exact"/>
        <w:ind w:firstLine="480" w:firstLineChars="200"/>
        <w:rPr>
          <w:rFonts w:ascii="宋体" w:hAnsi="宋体" w:cs="宋体"/>
          <w:color w:val="auto"/>
          <w:sz w:val="24"/>
        </w:rPr>
      </w:pPr>
      <w:r>
        <w:rPr>
          <w:rFonts w:hint="eastAsia" w:ascii="宋体" w:hAnsi="宋体" w:cs="宋体"/>
          <w:color w:val="auto"/>
          <w:sz w:val="24"/>
        </w:rPr>
        <w:t>7.1 招标文件有以下部分组成：</w:t>
      </w:r>
    </w:p>
    <w:p>
      <w:pPr>
        <w:spacing w:line="500" w:lineRule="exact"/>
        <w:ind w:firstLine="480" w:firstLineChars="200"/>
        <w:rPr>
          <w:rFonts w:ascii="宋体" w:hAnsi="宋体" w:cs="宋体"/>
          <w:color w:val="auto"/>
          <w:sz w:val="24"/>
        </w:rPr>
      </w:pPr>
      <w:r>
        <w:rPr>
          <w:rFonts w:hint="eastAsia" w:ascii="宋体" w:hAnsi="宋体" w:cs="宋体"/>
          <w:color w:val="auto"/>
          <w:sz w:val="24"/>
        </w:rPr>
        <w:t>（1）招标公告</w:t>
      </w:r>
    </w:p>
    <w:p>
      <w:pPr>
        <w:spacing w:line="500" w:lineRule="exact"/>
        <w:ind w:firstLine="480" w:firstLineChars="200"/>
        <w:rPr>
          <w:rFonts w:ascii="宋体" w:hAnsi="宋体" w:cs="宋体"/>
          <w:color w:val="auto"/>
          <w:sz w:val="24"/>
        </w:rPr>
      </w:pPr>
      <w:r>
        <w:rPr>
          <w:rFonts w:hint="eastAsia" w:ascii="宋体" w:hAnsi="宋体" w:cs="宋体"/>
          <w:color w:val="auto"/>
          <w:sz w:val="24"/>
        </w:rPr>
        <w:t>（2）投标人须知</w:t>
      </w:r>
    </w:p>
    <w:p>
      <w:pPr>
        <w:spacing w:line="500" w:lineRule="exact"/>
        <w:ind w:firstLine="480" w:firstLineChars="200"/>
        <w:rPr>
          <w:rFonts w:ascii="宋体" w:hAnsi="宋体" w:cs="宋体"/>
          <w:color w:val="auto"/>
          <w:sz w:val="24"/>
        </w:rPr>
      </w:pPr>
      <w:r>
        <w:rPr>
          <w:rFonts w:hint="eastAsia" w:ascii="宋体" w:hAnsi="宋体" w:cs="宋体"/>
          <w:color w:val="auto"/>
          <w:sz w:val="24"/>
        </w:rPr>
        <w:t>（3）项目需求</w:t>
      </w:r>
    </w:p>
    <w:p>
      <w:pPr>
        <w:spacing w:line="500" w:lineRule="exact"/>
        <w:ind w:firstLine="480" w:firstLineChars="200"/>
        <w:rPr>
          <w:rFonts w:ascii="宋体" w:hAnsi="宋体" w:cs="宋体"/>
          <w:color w:val="auto"/>
          <w:sz w:val="24"/>
        </w:rPr>
      </w:pPr>
      <w:r>
        <w:rPr>
          <w:rFonts w:hint="eastAsia" w:ascii="宋体" w:hAnsi="宋体" w:cs="宋体"/>
          <w:color w:val="auto"/>
          <w:sz w:val="24"/>
        </w:rPr>
        <w:t>（4）评标方法与评标标准</w:t>
      </w:r>
    </w:p>
    <w:p>
      <w:pPr>
        <w:spacing w:line="500" w:lineRule="exact"/>
        <w:ind w:firstLine="480" w:firstLineChars="200"/>
        <w:rPr>
          <w:rFonts w:ascii="宋体" w:hAnsi="宋体" w:cs="宋体"/>
          <w:color w:val="auto"/>
          <w:sz w:val="24"/>
        </w:rPr>
      </w:pPr>
      <w:r>
        <w:rPr>
          <w:rFonts w:hint="eastAsia" w:ascii="宋体" w:hAnsi="宋体" w:cs="宋体"/>
          <w:color w:val="auto"/>
          <w:sz w:val="24"/>
        </w:rPr>
        <w:t>（5）合同主要条款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（6）投标文件格式</w:t>
      </w:r>
    </w:p>
    <w:p>
      <w:pPr>
        <w:spacing w:line="500" w:lineRule="exact"/>
        <w:ind w:firstLine="480" w:firstLineChars="200"/>
        <w:rPr>
          <w:rFonts w:ascii="宋体" w:hAnsi="宋体" w:cs="宋体"/>
          <w:color w:val="auto"/>
          <w:sz w:val="24"/>
        </w:rPr>
      </w:pPr>
      <w:r>
        <w:rPr>
          <w:rFonts w:hint="eastAsia" w:ascii="宋体" w:hAnsi="宋体" w:cs="宋体"/>
          <w:color w:val="auto"/>
          <w:sz w:val="24"/>
        </w:rPr>
        <w:t>请仔细检查招标文件是否齐全，如有缺漏请立即与招标代理联系解决。</w:t>
      </w:r>
    </w:p>
    <w:p>
      <w:pPr>
        <w:spacing w:line="500" w:lineRule="exact"/>
        <w:ind w:firstLine="480" w:firstLineChars="200"/>
        <w:rPr>
          <w:rFonts w:ascii="宋体" w:hAnsi="宋体" w:cs="宋体"/>
          <w:color w:val="auto"/>
          <w:sz w:val="24"/>
        </w:rPr>
      </w:pPr>
      <w:r>
        <w:rPr>
          <w:rFonts w:hint="eastAsia" w:ascii="宋体" w:hAnsi="宋体" w:cs="宋体"/>
          <w:color w:val="auto"/>
          <w:sz w:val="24"/>
        </w:rPr>
        <w:t>7.2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8、招标文件的询问</w:t>
      </w:r>
    </w:p>
    <w:p>
      <w:pPr>
        <w:spacing w:line="500" w:lineRule="exact"/>
        <w:ind w:firstLine="480" w:firstLineChars="200"/>
        <w:rPr>
          <w:rFonts w:ascii="宋体" w:hAnsi="宋体" w:cs="宋体"/>
          <w:color w:val="auto"/>
          <w:sz w:val="24"/>
        </w:rPr>
      </w:pPr>
      <w:r>
        <w:rPr>
          <w:rFonts w:hint="eastAsia" w:ascii="宋体" w:hAnsi="宋体" w:cs="宋体"/>
          <w:color w:val="auto"/>
          <w:sz w:val="24"/>
        </w:rPr>
        <w:t>8.1 任何要求对招标文件进行询问的投标人，应在投标截止日期十五日前按招标公告中的通讯地址，向招标代理提出。</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9、招标文件的修改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9.1 在投标截止时间前，招标人可以对招标文件进行修改。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9.2招标人有权依法推迟投标截止日期和开标日期。</w:t>
      </w:r>
    </w:p>
    <w:p>
      <w:pPr>
        <w:spacing w:line="500" w:lineRule="exact"/>
        <w:ind w:firstLine="480" w:firstLineChars="200"/>
        <w:rPr>
          <w:rFonts w:ascii="宋体" w:hAnsi="宋体" w:cs="宋体"/>
          <w:color w:val="auto"/>
          <w:sz w:val="24"/>
        </w:rPr>
      </w:pPr>
      <w:r>
        <w:rPr>
          <w:rFonts w:hint="eastAsia" w:ascii="宋体" w:hAnsi="宋体" w:cs="宋体"/>
          <w:color w:val="auto"/>
          <w:sz w:val="24"/>
        </w:rPr>
        <w:t>9.3招标文件的修改将在同公告网址上公布，补充文件将作为招标文件的组成部分，并对投标人具有约束力。</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三、投标文件的编制</w:t>
      </w:r>
    </w:p>
    <w:p>
      <w:pPr>
        <w:pStyle w:val="7"/>
        <w:spacing w:before="0" w:after="0" w:line="500" w:lineRule="exact"/>
        <w:ind w:firstLine="480" w:firstLineChars="200"/>
        <w:rPr>
          <w:rFonts w:ascii="宋体" w:hAnsi="宋体" w:eastAsia="宋体" w:cs="宋体"/>
          <w:color w:val="auto"/>
          <w:sz w:val="24"/>
          <w:szCs w:val="24"/>
        </w:rPr>
      </w:pPr>
      <w:r>
        <w:rPr>
          <w:rFonts w:hint="eastAsia" w:ascii="宋体" w:hAnsi="宋体" w:eastAsia="宋体" w:cs="宋体"/>
          <w:b w:val="0"/>
          <w:bCs w:val="0"/>
          <w:color w:val="auto"/>
          <w:sz w:val="24"/>
          <w:szCs w:val="24"/>
        </w:rPr>
        <w:t>10、投标文件的语言及度量衡单位</w:t>
      </w:r>
    </w:p>
    <w:p>
      <w:pPr>
        <w:spacing w:line="500" w:lineRule="exact"/>
        <w:ind w:firstLine="480" w:firstLineChars="200"/>
        <w:rPr>
          <w:rFonts w:ascii="宋体" w:hAnsi="宋体" w:cs="宋体"/>
          <w:color w:val="auto"/>
          <w:sz w:val="24"/>
        </w:rPr>
      </w:pPr>
      <w:r>
        <w:rPr>
          <w:rFonts w:hint="eastAsia" w:ascii="宋体" w:hAnsi="宋体" w:cs="宋体"/>
          <w:color w:val="auto"/>
          <w:sz w:val="24"/>
        </w:rPr>
        <w:t>10.1 投标人提交的投标文件以及投标人与招标人就有关投标的所有来往通知、函件和文件均应使用简体中文。</w:t>
      </w:r>
    </w:p>
    <w:p>
      <w:pPr>
        <w:spacing w:line="500" w:lineRule="exact"/>
        <w:ind w:firstLine="480" w:firstLineChars="200"/>
        <w:rPr>
          <w:rFonts w:ascii="宋体" w:hAnsi="宋体" w:cs="宋体"/>
          <w:color w:val="auto"/>
          <w:sz w:val="24"/>
        </w:rPr>
      </w:pPr>
      <w:r>
        <w:rPr>
          <w:rFonts w:hint="eastAsia" w:ascii="宋体" w:hAnsi="宋体" w:cs="宋体"/>
          <w:color w:val="auto"/>
          <w:sz w:val="24"/>
        </w:rPr>
        <w:t>10.2 除技术性能另有规定外，投标文件所使用的度量衡单位，均须采用国家法定计量单位。</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11、投标文件构成</w:t>
      </w:r>
    </w:p>
    <w:p>
      <w:pPr>
        <w:spacing w:line="500" w:lineRule="exact"/>
        <w:ind w:firstLine="480" w:firstLineChars="200"/>
        <w:rPr>
          <w:rFonts w:ascii="宋体" w:hAnsi="宋体" w:cs="宋体"/>
          <w:color w:val="auto"/>
          <w:sz w:val="24"/>
        </w:rPr>
      </w:pPr>
      <w:r>
        <w:rPr>
          <w:rFonts w:hint="eastAsia" w:ascii="宋体" w:hAnsi="宋体" w:cs="宋体"/>
          <w:color w:val="auto"/>
          <w:sz w:val="24"/>
        </w:rPr>
        <w:t>本次投标文件共为一个标书，标书封袋大小根据需要自行制作，封袋中含正、副本，其中共正本一份、副本四份，并在封袋上正确标明工程名称、投标人名称、日期等。</w:t>
      </w:r>
    </w:p>
    <w:p>
      <w:pPr>
        <w:spacing w:line="500" w:lineRule="exact"/>
        <w:ind w:firstLine="480" w:firstLineChars="200"/>
        <w:rPr>
          <w:rFonts w:ascii="宋体" w:hAnsi="宋体" w:cs="宋体"/>
          <w:color w:val="auto"/>
          <w:sz w:val="24"/>
        </w:rPr>
      </w:pPr>
      <w:r>
        <w:rPr>
          <w:rFonts w:hint="eastAsia" w:ascii="宋体" w:hAnsi="宋体" w:cs="宋体"/>
          <w:color w:val="auto"/>
          <w:sz w:val="24"/>
        </w:rPr>
        <w:t>11.1投标人编写投标文件应按照招标文件要求及“投标文件的组成及格式”的要求制作投标文件。</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12、证明投标人资格及符合招标文件规定的文件</w:t>
      </w:r>
    </w:p>
    <w:p>
      <w:pPr>
        <w:pStyle w:val="7"/>
        <w:spacing w:before="0" w:after="0" w:line="500" w:lineRule="exact"/>
        <w:ind w:firstLine="480" w:firstLineChars="200"/>
        <w:rPr>
          <w:rFonts w:ascii="宋体" w:hAnsi="宋体" w:eastAsia="宋体" w:cs="宋体"/>
          <w:b w:val="0"/>
          <w:bCs w:val="0"/>
          <w:color w:val="auto"/>
          <w:sz w:val="24"/>
          <w:szCs w:val="24"/>
        </w:rPr>
      </w:pPr>
      <w:bookmarkStart w:id="1" w:name="_Toc49090508"/>
      <w:bookmarkStart w:id="2" w:name="_Toc14577355"/>
      <w:r>
        <w:rPr>
          <w:rFonts w:hint="eastAsia" w:ascii="宋体" w:hAnsi="宋体" w:eastAsia="宋体" w:cs="宋体"/>
          <w:b w:val="0"/>
          <w:bCs w:val="0"/>
          <w:color w:val="auto"/>
          <w:sz w:val="24"/>
          <w:szCs w:val="24"/>
        </w:rPr>
        <w:t>13、</w:t>
      </w:r>
      <w:bookmarkEnd w:id="1"/>
      <w:bookmarkEnd w:id="2"/>
      <w:r>
        <w:rPr>
          <w:rFonts w:hint="eastAsia" w:ascii="宋体" w:hAnsi="宋体" w:eastAsia="宋体" w:cs="宋体"/>
          <w:b w:val="0"/>
          <w:bCs w:val="0"/>
          <w:color w:val="auto"/>
          <w:sz w:val="24"/>
          <w:szCs w:val="24"/>
        </w:rPr>
        <w:t>标的物</w:t>
      </w:r>
    </w:p>
    <w:p>
      <w:pPr>
        <w:wordWrap w:val="0"/>
        <w:spacing w:line="360" w:lineRule="auto"/>
        <w:ind w:firstLine="480" w:firstLineChars="200"/>
        <w:rPr>
          <w:rFonts w:ascii="宋体" w:hAnsi="宋体"/>
          <w:color w:val="auto"/>
          <w:sz w:val="24"/>
        </w:rPr>
      </w:pPr>
      <w:r>
        <w:rPr>
          <w:rFonts w:hint="eastAsia" w:ascii="宋体" w:hAnsi="宋体"/>
          <w:color w:val="auto"/>
          <w:sz w:val="24"/>
        </w:rPr>
        <w:t>详见项目需求。</w:t>
      </w:r>
    </w:p>
    <w:p>
      <w:pPr>
        <w:wordWrap w:val="0"/>
        <w:spacing w:line="360" w:lineRule="auto"/>
        <w:ind w:firstLine="480" w:firstLineChars="200"/>
        <w:rPr>
          <w:rFonts w:ascii="宋体" w:hAnsi="宋体"/>
          <w:bCs/>
          <w:color w:val="auto"/>
          <w:sz w:val="24"/>
        </w:rPr>
      </w:pPr>
      <w:r>
        <w:rPr>
          <w:rFonts w:hint="eastAsia" w:ascii="宋体" w:hAnsi="宋体"/>
          <w:color w:val="auto"/>
          <w:sz w:val="24"/>
        </w:rPr>
        <w:t>13.3</w:t>
      </w:r>
      <w:r>
        <w:rPr>
          <w:rFonts w:hint="eastAsia" w:ascii="宋体" w:hAnsi="宋体"/>
          <w:bCs/>
          <w:color w:val="auto"/>
          <w:sz w:val="24"/>
        </w:rPr>
        <w:t>有关费用处理</w:t>
      </w:r>
    </w:p>
    <w:p>
      <w:pPr>
        <w:tabs>
          <w:tab w:val="left" w:pos="900"/>
        </w:tabs>
        <w:spacing w:line="360" w:lineRule="auto"/>
        <w:ind w:firstLine="480" w:firstLineChars="200"/>
        <w:rPr>
          <w:rFonts w:ascii="宋体" w:hAnsi="宋体" w:cs="宋体"/>
          <w:color w:val="auto"/>
          <w:kern w:val="0"/>
          <w:sz w:val="24"/>
        </w:rPr>
      </w:pPr>
      <w:r>
        <w:rPr>
          <w:rFonts w:hint="eastAsia" w:ascii="宋体" w:hAnsi="宋体"/>
          <w:color w:val="auto"/>
          <w:sz w:val="24"/>
        </w:rPr>
        <w:t>投标人的报价应包括为完成本项目发生的所有费用，招标人</w:t>
      </w:r>
      <w:r>
        <w:rPr>
          <w:rFonts w:hint="eastAsia" w:ascii="宋体" w:hAnsi="宋体" w:cs="宋体"/>
          <w:color w:val="auto"/>
          <w:kern w:val="0"/>
          <w:sz w:val="24"/>
        </w:rPr>
        <w:t>除按约定支付酬金外不再支付其它任何费用；盐城工业职业技术学院</w:t>
      </w:r>
      <w:r>
        <w:rPr>
          <w:rFonts w:hint="eastAsia" w:ascii="宋体" w:hAnsi="宋体" w:cs="宋体"/>
          <w:color w:val="auto"/>
          <w:kern w:val="0"/>
          <w:sz w:val="24"/>
          <w:lang w:eastAsia="zh-CN"/>
        </w:rPr>
        <w:t>食堂油烟净化及排油烟系统改造工程</w:t>
      </w:r>
      <w:r>
        <w:rPr>
          <w:rFonts w:hint="eastAsia" w:ascii="宋体" w:hAnsi="宋体" w:cs="宋体"/>
          <w:color w:val="auto"/>
          <w:kern w:val="0"/>
          <w:sz w:val="24"/>
        </w:rPr>
        <w:t>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wordWrap w:val="0"/>
        <w:spacing w:line="360" w:lineRule="auto"/>
        <w:ind w:firstLine="480" w:firstLineChars="200"/>
        <w:rPr>
          <w:rFonts w:ascii="宋体" w:hAnsi="宋体"/>
          <w:bCs/>
          <w:color w:val="auto"/>
          <w:sz w:val="24"/>
        </w:rPr>
      </w:pPr>
      <w:r>
        <w:rPr>
          <w:rFonts w:hint="eastAsia" w:ascii="宋体" w:hAnsi="宋体"/>
          <w:color w:val="auto"/>
          <w:sz w:val="24"/>
        </w:rPr>
        <w:t>13.4</w:t>
      </w:r>
      <w:r>
        <w:rPr>
          <w:rFonts w:hint="eastAsia" w:ascii="宋体" w:hAnsi="宋体"/>
          <w:bCs/>
          <w:color w:val="auto"/>
          <w:sz w:val="24"/>
        </w:rPr>
        <w:t>其它费用处理</w:t>
      </w:r>
    </w:p>
    <w:p>
      <w:pPr>
        <w:wordWrap w:val="0"/>
        <w:spacing w:line="360" w:lineRule="auto"/>
        <w:ind w:firstLine="480" w:firstLineChars="200"/>
        <w:rPr>
          <w:rFonts w:ascii="宋体" w:hAnsi="宋体"/>
          <w:bCs/>
          <w:color w:val="auto"/>
          <w:sz w:val="24"/>
        </w:rPr>
      </w:pPr>
      <w:r>
        <w:rPr>
          <w:rFonts w:hint="eastAsia" w:ascii="宋体" w:hAnsi="宋体"/>
          <w:bCs/>
          <w:color w:val="auto"/>
          <w:sz w:val="24"/>
        </w:rPr>
        <w:t>招标文件未列明，而投标人认为必需的费用也需列入报价。</w:t>
      </w:r>
    </w:p>
    <w:p>
      <w:pPr>
        <w:wordWrap w:val="0"/>
        <w:spacing w:line="360" w:lineRule="auto"/>
        <w:ind w:firstLine="480" w:firstLineChars="200"/>
        <w:rPr>
          <w:rFonts w:ascii="宋体" w:hAnsi="宋体"/>
          <w:bCs/>
          <w:color w:val="auto"/>
          <w:sz w:val="24"/>
        </w:rPr>
      </w:pPr>
      <w:r>
        <w:rPr>
          <w:rFonts w:hint="eastAsia" w:ascii="宋体" w:hAnsi="宋体"/>
          <w:color w:val="auto"/>
          <w:sz w:val="24"/>
        </w:rPr>
        <w:t>13.5</w:t>
      </w:r>
      <w:r>
        <w:rPr>
          <w:rFonts w:hint="eastAsia" w:ascii="宋体" w:hAnsi="宋体"/>
          <w:bCs/>
          <w:color w:val="auto"/>
          <w:sz w:val="24"/>
        </w:rPr>
        <w:t>投标货币</w:t>
      </w:r>
    </w:p>
    <w:p>
      <w:pPr>
        <w:wordWrap w:val="0"/>
        <w:spacing w:line="360" w:lineRule="auto"/>
        <w:ind w:firstLine="480" w:firstLineChars="200"/>
        <w:rPr>
          <w:rFonts w:ascii="宋体" w:hAnsi="宋体"/>
          <w:bCs/>
          <w:color w:val="auto"/>
          <w:sz w:val="24"/>
        </w:rPr>
      </w:pPr>
      <w:r>
        <w:rPr>
          <w:rFonts w:hint="eastAsia" w:ascii="宋体" w:hAnsi="宋体"/>
          <w:bCs/>
          <w:color w:val="auto"/>
          <w:sz w:val="24"/>
        </w:rPr>
        <w:t>投标文件中报价无特殊规定的采用人民币报价，以元为单位标注。</w:t>
      </w:r>
      <w:r>
        <w:rPr>
          <w:rFonts w:hint="eastAsia" w:ascii="宋体" w:hAnsi="宋体"/>
          <w:color w:val="auto"/>
          <w:sz w:val="24"/>
        </w:rPr>
        <w:t>招标文件中另有规定的按规定执行。</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14、开标一览表</w:t>
      </w:r>
    </w:p>
    <w:p>
      <w:pPr>
        <w:spacing w:line="500" w:lineRule="exact"/>
        <w:ind w:firstLine="480" w:firstLineChars="200"/>
        <w:rPr>
          <w:rFonts w:ascii="宋体" w:hAnsi="宋体" w:cs="宋体"/>
          <w:color w:val="auto"/>
          <w:sz w:val="24"/>
        </w:rPr>
      </w:pPr>
      <w:r>
        <w:rPr>
          <w:rFonts w:hint="eastAsia" w:ascii="宋体" w:hAnsi="宋体" w:cs="宋体"/>
          <w:color w:val="auto"/>
          <w:sz w:val="24"/>
        </w:rPr>
        <w:t>14.1 投标人应按照招标文件中提供的格式完整、正确填写相应内容，否则作为无效标书。</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15、投标保证金</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本项目无需缴纳投标保证金</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16、投标有效期</w:t>
      </w:r>
    </w:p>
    <w:p>
      <w:pPr>
        <w:spacing w:line="500" w:lineRule="exact"/>
        <w:ind w:firstLine="480" w:firstLineChars="200"/>
        <w:rPr>
          <w:rFonts w:ascii="宋体" w:hAnsi="宋体" w:cs="宋体"/>
          <w:color w:val="auto"/>
          <w:sz w:val="24"/>
        </w:rPr>
      </w:pPr>
      <w:r>
        <w:rPr>
          <w:rFonts w:hint="eastAsia" w:ascii="宋体" w:hAnsi="宋体" w:cs="宋体"/>
          <w:color w:val="auto"/>
          <w:sz w:val="24"/>
        </w:rPr>
        <w:t>16.1 投标有效期为招标人规定的开标之日后</w:t>
      </w:r>
      <w:r>
        <w:rPr>
          <w:rFonts w:hint="eastAsia" w:ascii="宋体" w:hAnsi="宋体" w:cs="宋体"/>
          <w:color w:val="auto"/>
          <w:sz w:val="24"/>
          <w:u w:val="single"/>
        </w:rPr>
        <w:t>六十（60）天</w:t>
      </w:r>
      <w:r>
        <w:rPr>
          <w:rFonts w:hint="eastAsia" w:ascii="宋体" w:hAnsi="宋体" w:cs="宋体"/>
          <w:color w:val="auto"/>
          <w:sz w:val="24"/>
        </w:rPr>
        <w:t>。投标有效期比规定短的将被视为非响应性投标而予以拒绝。</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17、投标文件份数和签署</w:t>
      </w:r>
    </w:p>
    <w:p>
      <w:pPr>
        <w:spacing w:line="500" w:lineRule="exact"/>
        <w:ind w:firstLine="480" w:firstLineChars="200"/>
        <w:rPr>
          <w:rFonts w:ascii="宋体" w:hAnsi="宋体" w:cs="宋体"/>
          <w:color w:val="auto"/>
          <w:sz w:val="24"/>
        </w:rPr>
      </w:pPr>
      <w:r>
        <w:rPr>
          <w:rFonts w:hint="eastAsia" w:ascii="宋体" w:hAnsi="宋体" w:cs="宋体"/>
          <w:color w:val="auto"/>
          <w:sz w:val="24"/>
        </w:rPr>
        <w:t>17.1</w:t>
      </w:r>
      <w:r>
        <w:rPr>
          <w:rFonts w:hint="eastAsia" w:ascii="宋体" w:hAnsi="宋体" w:cs="宋体"/>
          <w:b/>
          <w:bCs/>
          <w:color w:val="auto"/>
          <w:sz w:val="24"/>
        </w:rPr>
        <w:t xml:space="preserve"> </w:t>
      </w:r>
      <w:r>
        <w:rPr>
          <w:rFonts w:hint="eastAsia" w:ascii="宋体" w:hAnsi="宋体" w:cs="宋体"/>
          <w:color w:val="auto"/>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rFonts w:ascii="宋体" w:hAnsi="宋体" w:cs="宋体"/>
          <w:color w:val="auto"/>
          <w:sz w:val="24"/>
        </w:rPr>
      </w:pPr>
      <w:r>
        <w:rPr>
          <w:rFonts w:hint="eastAsia" w:ascii="宋体" w:hAnsi="宋体" w:cs="宋体"/>
          <w:color w:val="auto"/>
          <w:sz w:val="24"/>
        </w:rPr>
        <w:t>17.2</w:t>
      </w:r>
      <w:r>
        <w:rPr>
          <w:rFonts w:hint="eastAsia" w:ascii="宋体" w:hAnsi="宋体" w:cs="宋体"/>
          <w:b/>
          <w:bCs/>
          <w:color w:val="auto"/>
          <w:sz w:val="24"/>
        </w:rPr>
        <w:t xml:space="preserve"> </w:t>
      </w:r>
      <w:r>
        <w:rPr>
          <w:rFonts w:hint="eastAsia" w:ascii="宋体" w:hAnsi="宋体" w:cs="宋体"/>
          <w:color w:val="auto"/>
          <w:sz w:val="24"/>
        </w:rPr>
        <w:t>投标文件中，招标文件要求必须提供原件的按照要求提供，文字材料需打印或用不褪色墨水书写。 本采购文件所表述（指定）的公章是指法定名称章，不包括合同专用章、业务专用章等印章。</w:t>
      </w:r>
    </w:p>
    <w:p>
      <w:pPr>
        <w:spacing w:line="500" w:lineRule="exact"/>
        <w:ind w:firstLine="480" w:firstLineChars="200"/>
        <w:rPr>
          <w:rFonts w:ascii="宋体" w:hAnsi="宋体" w:cs="宋体"/>
          <w:color w:val="auto"/>
          <w:sz w:val="24"/>
        </w:rPr>
      </w:pPr>
      <w:r>
        <w:rPr>
          <w:rFonts w:hint="eastAsia" w:ascii="宋体" w:hAnsi="宋体" w:cs="宋体"/>
          <w:color w:val="auto"/>
          <w:sz w:val="24"/>
        </w:rPr>
        <w:t>17.3 除投标人对错处做必要修改外，投标文件不得行间插字、涂改或增删。如有修改错漏处，必须由投标文件签署人签字或盖章。</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四、投标文件的递交</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18、投标文件的密封和标记</w:t>
      </w:r>
    </w:p>
    <w:p>
      <w:pPr>
        <w:spacing w:line="500" w:lineRule="exact"/>
        <w:ind w:firstLine="480" w:firstLineChars="200"/>
        <w:rPr>
          <w:rFonts w:ascii="宋体" w:hAnsi="宋体" w:cs="宋体"/>
          <w:color w:val="auto"/>
          <w:sz w:val="24"/>
        </w:rPr>
      </w:pPr>
      <w:r>
        <w:rPr>
          <w:rFonts w:hint="eastAsia" w:ascii="宋体" w:hAnsi="宋体" w:cs="宋体"/>
          <w:color w:val="auto"/>
          <w:sz w:val="24"/>
        </w:rPr>
        <w:t>18.1投标人应将投标文件正本和所有副本密封，不论投标人中标与否，投标文件均不退回。</w:t>
      </w:r>
    </w:p>
    <w:p>
      <w:pPr>
        <w:spacing w:line="500" w:lineRule="exact"/>
        <w:ind w:firstLine="480" w:firstLineChars="200"/>
        <w:rPr>
          <w:rFonts w:ascii="宋体" w:hAnsi="宋体" w:cs="宋体"/>
          <w:color w:val="auto"/>
          <w:sz w:val="24"/>
        </w:rPr>
      </w:pPr>
      <w:r>
        <w:rPr>
          <w:rFonts w:hint="eastAsia" w:ascii="宋体" w:hAnsi="宋体" w:cs="宋体"/>
          <w:color w:val="auto"/>
          <w:sz w:val="24"/>
        </w:rPr>
        <w:t>18.2 密封的投标文件应：</w:t>
      </w:r>
    </w:p>
    <w:p>
      <w:pPr>
        <w:spacing w:line="500" w:lineRule="exact"/>
        <w:ind w:firstLine="480" w:firstLineChars="200"/>
        <w:rPr>
          <w:rFonts w:ascii="宋体" w:hAnsi="宋体" w:cs="宋体"/>
          <w:color w:val="auto"/>
          <w:sz w:val="24"/>
        </w:rPr>
      </w:pPr>
      <w:r>
        <w:rPr>
          <w:rFonts w:hint="eastAsia" w:ascii="宋体" w:hAnsi="宋体" w:cs="宋体"/>
          <w:color w:val="auto"/>
          <w:sz w:val="24"/>
        </w:rPr>
        <w:t>18.2.1 注明投标人名称，如因标注不清而产生的后果由投标人自负。按招标公告中注明的地址送达；</w:t>
      </w:r>
    </w:p>
    <w:p>
      <w:pPr>
        <w:spacing w:line="500" w:lineRule="exact"/>
        <w:ind w:firstLine="480" w:firstLineChars="200"/>
        <w:rPr>
          <w:rFonts w:ascii="宋体" w:hAnsi="宋体" w:cs="宋体"/>
          <w:color w:val="auto"/>
          <w:sz w:val="24"/>
        </w:rPr>
      </w:pPr>
      <w:r>
        <w:rPr>
          <w:rFonts w:hint="eastAsia" w:ascii="宋体" w:hAnsi="宋体" w:cs="宋体"/>
          <w:color w:val="auto"/>
          <w:sz w:val="24"/>
        </w:rPr>
        <w:t>18.2.2  注明投标项目名称、投标人、日期等。</w:t>
      </w:r>
    </w:p>
    <w:p>
      <w:pPr>
        <w:spacing w:line="500" w:lineRule="exact"/>
        <w:ind w:firstLine="480" w:firstLineChars="200"/>
        <w:rPr>
          <w:rFonts w:ascii="宋体" w:hAnsi="宋体" w:cs="宋体"/>
          <w:color w:val="auto"/>
          <w:sz w:val="24"/>
        </w:rPr>
      </w:pPr>
      <w:r>
        <w:rPr>
          <w:rFonts w:hint="eastAsia" w:ascii="宋体" w:hAnsi="宋体" w:cs="宋体"/>
          <w:color w:val="auto"/>
          <w:sz w:val="24"/>
        </w:rPr>
        <w:t>18.2.3  未按要求密封和加写标记，招标人对误投或过早启封概不负责。对由此造成提前开封的投标文件，招标人将予以拒绝。</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19、投标截止日期</w:t>
      </w:r>
    </w:p>
    <w:p>
      <w:pPr>
        <w:spacing w:line="500" w:lineRule="exact"/>
        <w:ind w:firstLine="480" w:firstLineChars="200"/>
        <w:rPr>
          <w:rFonts w:ascii="宋体" w:hAnsi="宋体" w:cs="宋体"/>
          <w:color w:val="auto"/>
          <w:sz w:val="24"/>
        </w:rPr>
      </w:pPr>
      <w:r>
        <w:rPr>
          <w:rFonts w:hint="eastAsia" w:ascii="宋体" w:hAnsi="宋体" w:cs="宋体"/>
          <w:color w:val="auto"/>
          <w:sz w:val="24"/>
        </w:rPr>
        <w:t>19.1 招标人收到投标文件的时间不得迟于招标文件中规定的截止时间。</w:t>
      </w:r>
    </w:p>
    <w:p>
      <w:pPr>
        <w:spacing w:line="500" w:lineRule="exact"/>
        <w:ind w:firstLine="480" w:firstLineChars="200"/>
        <w:rPr>
          <w:rFonts w:ascii="宋体" w:hAnsi="宋体" w:cs="宋体"/>
          <w:color w:val="auto"/>
          <w:sz w:val="24"/>
        </w:rPr>
      </w:pPr>
      <w:r>
        <w:rPr>
          <w:rFonts w:hint="eastAsia" w:ascii="宋体" w:hAnsi="宋体" w:cs="宋体"/>
          <w:color w:val="auto"/>
          <w:sz w:val="24"/>
        </w:rPr>
        <w:t>19.2 招标人有权通过修改招标文件酌情延长投标截止日期，在此情况下，投标人的所有权利和义务以及投标人受制的截止日期均应以延长后新的截止日期为准。</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20、迟交的投标文件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20.1 招标人拒绝接收在其规定的投标截止时间后递交的任何投标文件。</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21、投标文件的修改和撤回</w:t>
      </w:r>
    </w:p>
    <w:p>
      <w:pPr>
        <w:spacing w:line="500" w:lineRule="exact"/>
        <w:ind w:firstLine="480" w:firstLineChars="200"/>
        <w:rPr>
          <w:rFonts w:ascii="宋体" w:hAnsi="宋体" w:cs="宋体"/>
          <w:color w:val="auto"/>
          <w:sz w:val="24"/>
        </w:rPr>
      </w:pPr>
      <w:r>
        <w:rPr>
          <w:rFonts w:hint="eastAsia" w:ascii="宋体" w:hAnsi="宋体" w:cs="宋体"/>
          <w:color w:val="auto"/>
          <w:sz w:val="24"/>
        </w:rPr>
        <w:t>21.1 投标人在递交投标文件后，可以修改或撤回其投标文件，但这种修改和撤回，必须在规定的投标截止时间前，以书面形式通知招标人，修改或撤回其投标文件。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spacing w:line="500" w:lineRule="exact"/>
        <w:ind w:firstLine="480" w:firstLineChars="200"/>
        <w:rPr>
          <w:rFonts w:ascii="宋体" w:hAnsi="宋体" w:cs="宋体"/>
          <w:color w:val="auto"/>
          <w:sz w:val="24"/>
        </w:rPr>
      </w:pPr>
      <w:r>
        <w:rPr>
          <w:rFonts w:hint="eastAsia" w:ascii="宋体" w:hAnsi="宋体" w:cs="宋体"/>
          <w:color w:val="auto"/>
          <w:sz w:val="24"/>
        </w:rPr>
        <w:t>21.3 在投标截止时间之后，投标人不得对其投标文件作任何修改。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21.4 在投标截止时间至招标文件中规定的投标有效期满之间的这段时间内，投标人不得撤回其投标。</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五、开标与评标</w:t>
      </w:r>
    </w:p>
    <w:p>
      <w:pPr>
        <w:spacing w:line="500" w:lineRule="exact"/>
        <w:ind w:firstLine="480" w:firstLineChars="200"/>
        <w:rPr>
          <w:rFonts w:ascii="宋体" w:hAnsi="宋体" w:cs="宋体"/>
          <w:b/>
          <w:bCs/>
          <w:color w:val="auto"/>
          <w:sz w:val="24"/>
        </w:rPr>
      </w:pPr>
      <w:r>
        <w:rPr>
          <w:rFonts w:hint="eastAsia" w:ascii="宋体" w:hAnsi="宋体" w:cs="宋体"/>
          <w:b/>
          <w:bCs/>
          <w:color w:val="auto"/>
          <w:sz w:val="24"/>
        </w:rPr>
        <w:t>22、开标</w:t>
      </w:r>
    </w:p>
    <w:p>
      <w:pPr>
        <w:spacing w:line="500" w:lineRule="exact"/>
        <w:ind w:firstLine="480" w:firstLineChars="200"/>
        <w:rPr>
          <w:rFonts w:ascii="宋体" w:hAnsi="宋体" w:cs="宋体"/>
          <w:color w:val="auto"/>
          <w:sz w:val="24"/>
        </w:rPr>
      </w:pPr>
      <w:r>
        <w:rPr>
          <w:rFonts w:hint="eastAsia" w:ascii="宋体" w:hAnsi="宋体" w:cs="宋体"/>
          <w:color w:val="auto"/>
          <w:sz w:val="24"/>
        </w:rPr>
        <w:t>22.1 招标人将在招标公告中规定的时间和地点组织公开开标。招标人要求所有投标人出席开标会的人员，应当按时参加开标会；招标人要求出席开标会议的人员，应在招标人按开标程序进行点名时，出示本人二代身份证原件（不含临时身份证），凡二代身份证在开标时不能出示的或提供虚假证件的，招标人当场退回其投标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22.2开标仪式由招标代理组织，招标人、监管代表、投标人代表等参加。</w:t>
      </w:r>
    </w:p>
    <w:p>
      <w:pPr>
        <w:spacing w:line="500" w:lineRule="exact"/>
        <w:ind w:firstLine="480" w:firstLineChars="200"/>
        <w:rPr>
          <w:rFonts w:ascii="宋体" w:hAnsi="宋体" w:cs="宋体"/>
          <w:color w:val="auto"/>
          <w:sz w:val="24"/>
        </w:rPr>
      </w:pPr>
      <w:r>
        <w:rPr>
          <w:rFonts w:hint="eastAsia" w:ascii="宋体" w:hAnsi="宋体" w:cs="宋体"/>
          <w:color w:val="auto"/>
          <w:sz w:val="24"/>
        </w:rPr>
        <w:t>22.3</w:t>
      </w:r>
      <w:r>
        <w:rPr>
          <w:rFonts w:hint="eastAsia" w:ascii="宋体" w:hAnsi="宋体" w:cs="宋体"/>
          <w:b/>
          <w:bCs/>
          <w:color w:val="auto"/>
          <w:sz w:val="24"/>
        </w:rPr>
        <w:t xml:space="preserve"> </w:t>
      </w:r>
      <w:r>
        <w:rPr>
          <w:rFonts w:hint="eastAsia" w:ascii="宋体" w:hAnsi="宋体" w:cs="宋体"/>
          <w:color w:val="auto"/>
          <w:sz w:val="24"/>
        </w:rPr>
        <w:t>按照规定同意撤回的投标将不予开封。</w:t>
      </w:r>
    </w:p>
    <w:p>
      <w:pPr>
        <w:spacing w:line="500" w:lineRule="exact"/>
        <w:ind w:firstLine="480" w:firstLineChars="200"/>
        <w:rPr>
          <w:rFonts w:ascii="宋体" w:hAnsi="宋体" w:cs="宋体"/>
          <w:color w:val="auto"/>
          <w:sz w:val="24"/>
        </w:rPr>
      </w:pPr>
      <w:r>
        <w:rPr>
          <w:rFonts w:hint="eastAsia" w:ascii="宋体" w:hAnsi="宋体" w:cs="宋体"/>
          <w:color w:val="auto"/>
          <w:sz w:val="24"/>
        </w:rPr>
        <w:t>22.4 开标时请投标人代表查验投标文件密封情况，确认无误后，招标人当众拆封宣读每份投标文件中“开标一览表”的内容，未列入开标一览表的内容一律不在开标时宣读。开标时未宣读的投标报价信息，不得在评标时采用。</w:t>
      </w:r>
    </w:p>
    <w:p>
      <w:pPr>
        <w:spacing w:line="500" w:lineRule="exact"/>
        <w:ind w:firstLine="480" w:firstLineChars="200"/>
        <w:rPr>
          <w:rFonts w:ascii="宋体" w:hAnsi="宋体" w:cs="宋体"/>
          <w:color w:val="auto"/>
          <w:sz w:val="24"/>
        </w:rPr>
      </w:pPr>
      <w:r>
        <w:rPr>
          <w:rFonts w:hint="eastAsia" w:ascii="宋体" w:hAnsi="宋体" w:cs="宋体"/>
          <w:color w:val="auto"/>
          <w:sz w:val="24"/>
        </w:rPr>
        <w:t>22.5 招标人将指定专人负责开标记录并存档备查，各投标人需仔细核对开标记录相关内容并签字确认。</w:t>
      </w:r>
    </w:p>
    <w:p>
      <w:pPr>
        <w:spacing w:line="500" w:lineRule="exact"/>
        <w:ind w:firstLine="480" w:firstLineChars="200"/>
        <w:rPr>
          <w:rFonts w:ascii="宋体" w:hAnsi="宋体" w:cs="宋体"/>
          <w:color w:val="auto"/>
          <w:sz w:val="24"/>
        </w:rPr>
      </w:pPr>
      <w:r>
        <w:rPr>
          <w:rFonts w:hint="eastAsia" w:ascii="宋体" w:hAnsi="宋体" w:cs="宋体"/>
          <w:color w:val="auto"/>
          <w:sz w:val="24"/>
        </w:rPr>
        <w:t>22.6 投标人在报价时不允许采用选择性报价，否则将被视为无效投标。</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23、评标委员会</w:t>
      </w:r>
    </w:p>
    <w:p>
      <w:pPr>
        <w:spacing w:line="500" w:lineRule="exact"/>
        <w:ind w:firstLine="480" w:firstLineChars="200"/>
        <w:rPr>
          <w:rFonts w:ascii="宋体" w:hAnsi="宋体" w:cs="宋体"/>
          <w:color w:val="auto"/>
          <w:sz w:val="24"/>
        </w:rPr>
      </w:pPr>
      <w:r>
        <w:rPr>
          <w:rFonts w:hint="eastAsia" w:ascii="宋体" w:hAnsi="宋体" w:cs="宋体"/>
          <w:color w:val="auto"/>
          <w:sz w:val="24"/>
        </w:rPr>
        <w:t>23.1</w:t>
      </w:r>
      <w:r>
        <w:rPr>
          <w:rFonts w:hint="eastAsia" w:ascii="宋体" w:hAnsi="宋体" w:cs="宋体"/>
          <w:b/>
          <w:bCs/>
          <w:color w:val="auto"/>
          <w:sz w:val="24"/>
        </w:rPr>
        <w:t xml:space="preserve"> </w:t>
      </w:r>
      <w:r>
        <w:rPr>
          <w:rFonts w:hint="eastAsia" w:ascii="宋体" w:hAnsi="宋体" w:cs="宋体"/>
          <w:color w:val="auto"/>
          <w:sz w:val="24"/>
        </w:rPr>
        <w:t>评委会由招标人代表和有关技术、经济等方面的专家组成，且人员构成符合中国招投标法有关规定。</w:t>
      </w:r>
    </w:p>
    <w:p>
      <w:pPr>
        <w:spacing w:line="500" w:lineRule="exact"/>
        <w:ind w:firstLine="480" w:firstLineChars="200"/>
        <w:rPr>
          <w:rFonts w:ascii="宋体" w:hAnsi="宋体" w:cs="宋体"/>
          <w:color w:val="auto"/>
          <w:sz w:val="24"/>
        </w:rPr>
      </w:pPr>
      <w:r>
        <w:rPr>
          <w:rFonts w:hint="eastAsia" w:ascii="宋体" w:hAnsi="宋体" w:cs="宋体"/>
          <w:color w:val="auto"/>
          <w:sz w:val="24"/>
        </w:rPr>
        <w:t>23.2评委会独立工作，负责评审所有投标文件并确定中标侯选人。</w:t>
      </w:r>
    </w:p>
    <w:p>
      <w:pPr>
        <w:spacing w:line="500" w:lineRule="exact"/>
        <w:ind w:firstLine="480" w:firstLineChars="200"/>
        <w:rPr>
          <w:rFonts w:ascii="宋体" w:hAnsi="宋体" w:cs="宋体"/>
          <w:color w:val="auto"/>
          <w:sz w:val="24"/>
        </w:rPr>
      </w:pPr>
      <w:r>
        <w:rPr>
          <w:rFonts w:hint="eastAsia" w:ascii="宋体" w:hAnsi="宋体" w:cs="宋体"/>
          <w:color w:val="auto"/>
          <w:sz w:val="24"/>
        </w:rPr>
        <w:t>接受联合体的项目，两个以上的自然人、法人或者其他组织组成一个联合体，以一个供应商的身份共同参加本项目的,联合体成员存在不良信用记录的，视同联合体存在不良应用记录。</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24、评标过程的保密与公正</w:t>
      </w:r>
    </w:p>
    <w:p>
      <w:pPr>
        <w:spacing w:line="500" w:lineRule="exact"/>
        <w:ind w:firstLine="480" w:firstLineChars="200"/>
        <w:rPr>
          <w:rFonts w:ascii="宋体" w:hAnsi="宋体" w:cs="宋体"/>
          <w:color w:val="auto"/>
          <w:sz w:val="24"/>
        </w:rPr>
      </w:pPr>
      <w:r>
        <w:rPr>
          <w:rFonts w:hint="eastAsia" w:ascii="宋体" w:hAnsi="宋体" w:cs="宋体"/>
          <w:color w:val="auto"/>
          <w:sz w:val="24"/>
        </w:rPr>
        <w:t>24.1项目开标后，直至签订合同之日止，凡是与审查、澄清、评价和比较投标的有关资料以及授标建议等，招标人、评委、招标代理均不得向投标人或与评标无关的其他人员透露。</w:t>
      </w:r>
    </w:p>
    <w:p>
      <w:pPr>
        <w:spacing w:line="500" w:lineRule="exact"/>
        <w:ind w:firstLine="480" w:firstLineChars="200"/>
        <w:rPr>
          <w:rFonts w:ascii="宋体" w:hAnsi="宋体" w:cs="宋体"/>
          <w:color w:val="auto"/>
          <w:sz w:val="24"/>
        </w:rPr>
      </w:pPr>
      <w:r>
        <w:rPr>
          <w:rFonts w:hint="eastAsia" w:ascii="宋体" w:hAnsi="宋体" w:cs="宋体"/>
          <w:color w:val="auto"/>
          <w:sz w:val="24"/>
        </w:rPr>
        <w:t>24.2在评标过程中，投标人不得以任何行为影响评标过程，否则其投标文件将被作为无效投标文件。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24.3在评标期间，招标人将设专门人员与投标人联系。</w:t>
      </w:r>
    </w:p>
    <w:p>
      <w:pPr>
        <w:spacing w:line="500" w:lineRule="exact"/>
        <w:ind w:firstLine="480" w:firstLineChars="200"/>
        <w:rPr>
          <w:rFonts w:ascii="宋体" w:hAnsi="宋体" w:cs="宋体"/>
          <w:color w:val="auto"/>
          <w:sz w:val="24"/>
        </w:rPr>
      </w:pPr>
      <w:r>
        <w:rPr>
          <w:rFonts w:hint="eastAsia" w:ascii="宋体" w:hAnsi="宋体" w:cs="宋体"/>
          <w:color w:val="auto"/>
          <w:sz w:val="24"/>
        </w:rPr>
        <w:t>24.4 招标人和评标委员会不向落标的投标人解释未中标原因，也不公布评标过程中的相关细节。</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25、投标的澄清</w:t>
      </w:r>
    </w:p>
    <w:p>
      <w:pPr>
        <w:spacing w:line="500" w:lineRule="exact"/>
        <w:ind w:firstLine="480" w:firstLineChars="200"/>
        <w:rPr>
          <w:rFonts w:ascii="宋体" w:hAnsi="宋体" w:cs="宋体"/>
          <w:color w:val="auto"/>
          <w:sz w:val="24"/>
        </w:rPr>
      </w:pPr>
      <w:r>
        <w:rPr>
          <w:rFonts w:hint="eastAsia" w:ascii="宋体" w:hAnsi="宋体" w:cs="宋体"/>
          <w:color w:val="auto"/>
          <w:sz w:val="24"/>
        </w:rPr>
        <w:t>25.1评标期间，为有助于对投标文件的审查、评价和比较，评委会有权以书面形式要求投标人对其投标文件进行澄清，但并非对每个投标人都作澄清要求。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25.2接到评委会澄清要求的投标人应派人按评委会通知的时间和地点做出书面澄清，书面澄清的内容须由投标人法人或授权代表签署，并作为投标文件的补充部分，但投标的价格和实质性的内容不得做任何更改。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500" w:lineRule="exact"/>
        <w:ind w:firstLine="480" w:firstLineChars="200"/>
        <w:rPr>
          <w:rFonts w:ascii="宋体" w:hAnsi="宋体" w:cs="宋体"/>
          <w:color w:val="auto"/>
          <w:sz w:val="24"/>
        </w:rPr>
      </w:pPr>
      <w:r>
        <w:rPr>
          <w:rFonts w:hint="eastAsia" w:ascii="宋体" w:hAnsi="宋体" w:cs="宋体"/>
          <w:color w:val="auto"/>
          <w:sz w:val="24"/>
        </w:rPr>
        <w:t>25.3 接到评委会澄清要求的投标人如未按规定做出澄清，其风险由投标人自行承担。</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26、对投标文件的评审</w:t>
      </w:r>
    </w:p>
    <w:p>
      <w:pPr>
        <w:spacing w:line="500" w:lineRule="exact"/>
        <w:ind w:firstLine="480" w:firstLineChars="200"/>
        <w:rPr>
          <w:rFonts w:ascii="宋体" w:hAnsi="宋体" w:cs="宋体"/>
          <w:color w:val="auto"/>
          <w:sz w:val="24"/>
        </w:rPr>
      </w:pPr>
      <w:r>
        <w:rPr>
          <w:rFonts w:hint="eastAsia" w:ascii="宋体" w:hAnsi="宋体" w:cs="宋体"/>
          <w:color w:val="auto"/>
          <w:sz w:val="24"/>
        </w:rPr>
        <w:t>26.1资格审查：依据法律法规和招标文件的规定，由评委会对投标文件中的资格证明文件进行审查，以确定是否符合投标人资格要求。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26.1符合性检查：依据招标文件的规定，从投标文件的有效性、完整性和对招标文件的响应程度进行审查，以确定是否对招标文件的实质性要求作出响应。</w:t>
      </w:r>
    </w:p>
    <w:p>
      <w:pPr>
        <w:spacing w:line="500" w:lineRule="exact"/>
        <w:ind w:firstLine="480" w:firstLineChars="200"/>
        <w:rPr>
          <w:rFonts w:ascii="宋体" w:hAnsi="宋体" w:cs="宋体"/>
          <w:color w:val="auto"/>
          <w:sz w:val="24"/>
        </w:rPr>
      </w:pPr>
      <w:r>
        <w:rPr>
          <w:rFonts w:hint="eastAsia" w:ascii="宋体" w:hAnsi="宋体" w:cs="宋体"/>
          <w:color w:val="auto"/>
          <w:sz w:val="24"/>
        </w:rPr>
        <w:t>26.2在详细评标之前，评委会将首先审查每份投标文件是否实质性响应了招标文件的要求。实质性响应的投标应该是与招标文件要求的全部条款、条件和规格相符，没有重大偏离或保留的投标。</w:t>
      </w:r>
    </w:p>
    <w:p>
      <w:pPr>
        <w:spacing w:line="500" w:lineRule="exact"/>
        <w:ind w:firstLine="480" w:firstLineChars="200"/>
        <w:rPr>
          <w:rFonts w:ascii="宋体" w:hAnsi="宋体" w:cs="宋体"/>
          <w:color w:val="auto"/>
          <w:sz w:val="24"/>
        </w:rPr>
      </w:pPr>
      <w:r>
        <w:rPr>
          <w:rFonts w:hint="eastAsia" w:ascii="宋体" w:hAnsi="宋体" w:cs="宋体"/>
          <w:color w:val="auto"/>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pacing w:line="500" w:lineRule="exact"/>
        <w:ind w:firstLine="480" w:firstLineChars="200"/>
        <w:rPr>
          <w:rFonts w:ascii="宋体" w:hAnsi="宋体" w:cs="宋体"/>
          <w:color w:val="auto"/>
          <w:sz w:val="24"/>
        </w:rPr>
      </w:pPr>
      <w:r>
        <w:rPr>
          <w:rFonts w:hint="eastAsia" w:ascii="宋体" w:hAnsi="宋体" w:cs="宋体"/>
          <w:color w:val="auto"/>
          <w:sz w:val="24"/>
        </w:rPr>
        <w:t>26.3如果投标文件实质上没有响应招标文件的要求，评委会将按无效投标处理，投标人不得通过修改或撤销不合要求的偏离或保留而使其投标成为实质性响应的投标。</w:t>
      </w:r>
    </w:p>
    <w:p>
      <w:pPr>
        <w:spacing w:line="500" w:lineRule="exact"/>
        <w:ind w:firstLine="480" w:firstLineChars="200"/>
        <w:rPr>
          <w:rFonts w:ascii="宋体" w:hAnsi="宋体" w:cs="宋体"/>
          <w:color w:val="auto"/>
          <w:sz w:val="24"/>
        </w:rPr>
      </w:pPr>
      <w:r>
        <w:rPr>
          <w:rFonts w:hint="eastAsia" w:ascii="宋体" w:hAnsi="宋体" w:cs="宋体"/>
          <w:color w:val="auto"/>
          <w:sz w:val="24"/>
        </w:rPr>
        <w:t>26.4评委会将对确定为实质性响应的投标进行进一步审核，看其是否有计算上或累加上的算术错误，修正错误的原则如下：</w:t>
      </w:r>
    </w:p>
    <w:p>
      <w:pPr>
        <w:spacing w:line="500" w:lineRule="exact"/>
        <w:ind w:firstLine="480" w:firstLineChars="200"/>
        <w:rPr>
          <w:rFonts w:ascii="宋体" w:hAnsi="宋体" w:cs="宋体"/>
          <w:color w:val="auto"/>
          <w:sz w:val="24"/>
        </w:rPr>
      </w:pPr>
      <w:r>
        <w:rPr>
          <w:rFonts w:hint="eastAsia" w:ascii="宋体" w:hAnsi="宋体" w:cs="宋体"/>
          <w:color w:val="auto"/>
          <w:sz w:val="24"/>
        </w:rPr>
        <w:t>（1）投标文件中开标一览表内容与投标文件中相应内容不一致的，以开标一览表为准。</w:t>
      </w:r>
    </w:p>
    <w:p>
      <w:pPr>
        <w:spacing w:line="500" w:lineRule="exact"/>
        <w:ind w:firstLine="480" w:firstLineChars="200"/>
        <w:rPr>
          <w:rFonts w:ascii="宋体" w:hAnsi="宋体" w:cs="宋体"/>
          <w:color w:val="auto"/>
          <w:sz w:val="24"/>
        </w:rPr>
      </w:pPr>
      <w:r>
        <w:rPr>
          <w:rFonts w:hint="eastAsia" w:ascii="宋体" w:hAnsi="宋体" w:cs="宋体"/>
          <w:color w:val="auto"/>
          <w:sz w:val="24"/>
        </w:rPr>
        <w:t>（2）大写金额和小写金额不一致的，以大写金额为准。</w:t>
      </w:r>
    </w:p>
    <w:p>
      <w:pPr>
        <w:spacing w:line="500" w:lineRule="exact"/>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（3）单价金额小数点或者百分比有明显错位的，以开标一览表的总价为准，并修改单价。</w:t>
      </w:r>
    </w:p>
    <w:p>
      <w:pPr>
        <w:spacing w:line="500" w:lineRule="exact"/>
        <w:ind w:firstLine="480" w:firstLineChars="200"/>
        <w:rPr>
          <w:rFonts w:ascii="宋体" w:hAnsi="宋体" w:cs="宋体"/>
          <w:color w:val="auto"/>
          <w:sz w:val="24"/>
        </w:rPr>
      </w:pPr>
      <w:r>
        <w:rPr>
          <w:rFonts w:hint="eastAsia" w:ascii="宋体" w:hAnsi="宋体" w:cs="宋体"/>
          <w:color w:val="auto"/>
          <w:sz w:val="24"/>
        </w:rPr>
        <w:t>（4）总价金额与按单价汇总金额不一致的，以单价金额计算结果为准。</w:t>
      </w:r>
    </w:p>
    <w:p>
      <w:pPr>
        <w:spacing w:line="500" w:lineRule="exact"/>
        <w:ind w:firstLine="480" w:firstLineChars="200"/>
        <w:rPr>
          <w:rFonts w:ascii="宋体" w:hAnsi="宋体" w:cs="宋体"/>
          <w:color w:val="auto"/>
          <w:sz w:val="24"/>
        </w:rPr>
      </w:pPr>
      <w:r>
        <w:rPr>
          <w:rFonts w:hint="eastAsia" w:ascii="宋体" w:hAnsi="宋体" w:cs="宋体"/>
          <w:color w:val="auto"/>
          <w:sz w:val="24"/>
        </w:rPr>
        <w:t>同时出现两种以上错误的，按照前款规定的顺序修正。</w:t>
      </w:r>
    </w:p>
    <w:p>
      <w:pPr>
        <w:spacing w:line="500" w:lineRule="exact"/>
        <w:ind w:firstLine="480" w:firstLineChars="200"/>
        <w:rPr>
          <w:rFonts w:ascii="宋体" w:hAnsi="宋体" w:cs="宋体"/>
          <w:color w:val="auto"/>
          <w:sz w:val="24"/>
        </w:rPr>
      </w:pPr>
      <w:r>
        <w:rPr>
          <w:rFonts w:hint="eastAsia" w:ascii="宋体" w:hAnsi="宋体" w:cs="宋体"/>
          <w:color w:val="auto"/>
          <w:sz w:val="24"/>
        </w:rPr>
        <w:t>26.5评委会将按上述修正错误的方法调整投标文件中的投标报价，调整后的价格应对投标人具有约束力。如果投标人不接受修正后的价格，则其投标将被拒绝。</w:t>
      </w:r>
    </w:p>
    <w:p>
      <w:pPr>
        <w:spacing w:line="500" w:lineRule="exact"/>
        <w:ind w:firstLine="480" w:firstLineChars="200"/>
        <w:rPr>
          <w:rFonts w:ascii="宋体" w:hAnsi="宋体" w:cs="宋体"/>
          <w:color w:val="auto"/>
          <w:sz w:val="24"/>
        </w:rPr>
      </w:pPr>
      <w:r>
        <w:rPr>
          <w:rFonts w:hint="eastAsia" w:ascii="宋体" w:hAnsi="宋体" w:cs="宋体"/>
          <w:color w:val="auto"/>
          <w:sz w:val="24"/>
        </w:rPr>
        <w:t>26.6评委会将允许修正投标文件中不构成重大偏离的、微小的、非正规的、不一致的或不规则的地方，但这些修改不能影响任何投标人相应的名次排列。</w:t>
      </w:r>
    </w:p>
    <w:p>
      <w:pPr>
        <w:spacing w:line="500" w:lineRule="exact"/>
        <w:ind w:firstLine="480" w:firstLineChars="200"/>
        <w:rPr>
          <w:rFonts w:ascii="宋体" w:hAnsi="宋体" w:cs="宋体"/>
          <w:color w:val="auto"/>
          <w:sz w:val="24"/>
        </w:rPr>
      </w:pPr>
      <w:r>
        <w:rPr>
          <w:rFonts w:hint="eastAsia" w:ascii="宋体" w:hAnsi="宋体" w:cs="宋体"/>
          <w:color w:val="auto"/>
          <w:sz w:val="24"/>
        </w:rPr>
        <w:t>26.7 评委会对投标文件详细评审，参照招标文件评标方法与评标标准。</w:t>
      </w:r>
    </w:p>
    <w:p>
      <w:pPr>
        <w:spacing w:line="500" w:lineRule="exact"/>
        <w:ind w:firstLine="480" w:firstLineChars="200"/>
        <w:rPr>
          <w:rFonts w:ascii="宋体" w:hAnsi="宋体" w:cs="宋体"/>
          <w:color w:val="auto"/>
          <w:sz w:val="24"/>
        </w:rPr>
      </w:pPr>
      <w:r>
        <w:rPr>
          <w:rFonts w:hint="eastAsia" w:ascii="宋体" w:hAnsi="宋体" w:cs="宋体"/>
          <w:color w:val="auto"/>
          <w:sz w:val="24"/>
        </w:rPr>
        <w:t>27、无效投标条款和废标条款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27.1无效投标条款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27.1.1未按要求交纳投标保证金的（本项目无需缴纳）；</w:t>
      </w:r>
    </w:p>
    <w:p>
      <w:pPr>
        <w:spacing w:line="500" w:lineRule="exact"/>
        <w:ind w:firstLine="480" w:firstLineChars="200"/>
        <w:rPr>
          <w:rFonts w:ascii="宋体" w:hAnsi="宋体" w:cs="宋体"/>
          <w:color w:val="auto"/>
          <w:sz w:val="24"/>
        </w:rPr>
      </w:pPr>
      <w:r>
        <w:rPr>
          <w:rFonts w:hint="eastAsia" w:ascii="宋体" w:hAnsi="宋体" w:cs="宋体"/>
          <w:color w:val="auto"/>
          <w:sz w:val="24"/>
        </w:rPr>
        <w:t>27.1.2未按照招标文件规定要求密封、签署、盖章的；</w:t>
      </w:r>
    </w:p>
    <w:p>
      <w:pPr>
        <w:spacing w:line="500" w:lineRule="exact"/>
        <w:ind w:firstLine="480" w:firstLineChars="200"/>
        <w:rPr>
          <w:rFonts w:ascii="宋体" w:hAnsi="宋体" w:cs="宋体"/>
          <w:color w:val="auto"/>
          <w:sz w:val="24"/>
        </w:rPr>
      </w:pPr>
      <w:r>
        <w:rPr>
          <w:rFonts w:hint="eastAsia" w:ascii="宋体" w:hAnsi="宋体" w:cs="宋体"/>
          <w:color w:val="auto"/>
          <w:sz w:val="24"/>
        </w:rPr>
        <w:t>27.1.3投标人在报价时采用选择性报价；</w:t>
      </w:r>
    </w:p>
    <w:p>
      <w:pPr>
        <w:spacing w:line="500" w:lineRule="exact"/>
        <w:ind w:firstLine="480" w:firstLineChars="200"/>
        <w:rPr>
          <w:rFonts w:ascii="宋体" w:hAnsi="宋体" w:cs="宋体"/>
          <w:color w:val="auto"/>
          <w:sz w:val="24"/>
        </w:rPr>
      </w:pPr>
      <w:r>
        <w:rPr>
          <w:rFonts w:hint="eastAsia" w:ascii="宋体" w:hAnsi="宋体" w:cs="宋体"/>
          <w:color w:val="auto"/>
          <w:sz w:val="24"/>
        </w:rPr>
        <w:t>27.1.4投标人不具备招标文件中规定资格要求的；</w:t>
      </w:r>
    </w:p>
    <w:p>
      <w:pPr>
        <w:spacing w:line="500" w:lineRule="exact"/>
        <w:ind w:firstLine="480" w:firstLineChars="200"/>
        <w:rPr>
          <w:rFonts w:ascii="宋体" w:hAnsi="宋体" w:cs="宋体"/>
          <w:color w:val="auto"/>
          <w:sz w:val="24"/>
        </w:rPr>
      </w:pPr>
      <w:r>
        <w:rPr>
          <w:rFonts w:hint="eastAsia" w:ascii="宋体" w:hAnsi="宋体" w:cs="宋体"/>
          <w:color w:val="auto"/>
          <w:sz w:val="24"/>
        </w:rPr>
        <w:t>27.1.5投标人的报价超过了预算或最高限价的；</w:t>
      </w:r>
    </w:p>
    <w:p>
      <w:pPr>
        <w:spacing w:line="500" w:lineRule="exact"/>
        <w:ind w:firstLine="480" w:firstLineChars="200"/>
        <w:rPr>
          <w:rFonts w:ascii="宋体" w:hAnsi="宋体" w:cs="宋体"/>
          <w:i/>
          <w:iCs/>
          <w:color w:val="auto"/>
          <w:sz w:val="24"/>
          <w:u w:val="single"/>
        </w:rPr>
      </w:pPr>
      <w:r>
        <w:rPr>
          <w:rFonts w:hint="eastAsia" w:ascii="宋体" w:hAnsi="宋体" w:cs="宋体"/>
          <w:color w:val="auto"/>
          <w:sz w:val="24"/>
        </w:rPr>
        <w:t>27.1.6未通过符合性检查的；</w:t>
      </w:r>
    </w:p>
    <w:p>
      <w:pPr>
        <w:spacing w:line="500" w:lineRule="exact"/>
        <w:ind w:firstLine="480" w:firstLineChars="200"/>
        <w:rPr>
          <w:rFonts w:ascii="宋体" w:hAnsi="宋体" w:cs="宋体"/>
          <w:color w:val="auto"/>
          <w:sz w:val="24"/>
        </w:rPr>
      </w:pPr>
      <w:r>
        <w:rPr>
          <w:rFonts w:hint="eastAsia" w:ascii="宋体" w:hAnsi="宋体" w:cs="宋体"/>
          <w:color w:val="auto"/>
          <w:sz w:val="24"/>
        </w:rPr>
        <w:t>27.1.7不符合招标文件中规定的其他实质性要求和条件的；</w:t>
      </w:r>
    </w:p>
    <w:p>
      <w:pPr>
        <w:spacing w:line="500" w:lineRule="exact"/>
        <w:ind w:firstLine="480" w:firstLineChars="200"/>
        <w:rPr>
          <w:rFonts w:ascii="宋体" w:hAnsi="宋体" w:cs="宋体"/>
          <w:color w:val="auto"/>
          <w:sz w:val="24"/>
        </w:rPr>
      </w:pPr>
      <w:r>
        <w:rPr>
          <w:rFonts w:hint="eastAsia" w:ascii="宋体" w:hAnsi="宋体" w:cs="宋体"/>
          <w:color w:val="auto"/>
          <w:sz w:val="24"/>
        </w:rPr>
        <w:t>27.1.8 投标人串通投标；</w:t>
      </w:r>
    </w:p>
    <w:p>
      <w:pPr>
        <w:spacing w:line="500" w:lineRule="exact"/>
        <w:ind w:firstLine="480" w:firstLineChars="200"/>
        <w:rPr>
          <w:rFonts w:ascii="宋体" w:hAnsi="宋体" w:cs="宋体"/>
          <w:color w:val="auto"/>
          <w:sz w:val="24"/>
        </w:rPr>
      </w:pPr>
      <w:r>
        <w:rPr>
          <w:rFonts w:hint="eastAsia" w:ascii="宋体" w:hAnsi="宋体" w:cs="宋体"/>
          <w:color w:val="auto"/>
          <w:sz w:val="24"/>
        </w:rPr>
        <w:t>27.1.9  投标文件含有招标人不能接受的附加条件的。</w:t>
      </w:r>
    </w:p>
    <w:p>
      <w:pPr>
        <w:spacing w:line="500" w:lineRule="exact"/>
        <w:ind w:firstLine="480" w:firstLineChars="200"/>
        <w:rPr>
          <w:rFonts w:ascii="宋体" w:hAnsi="宋体" w:cs="宋体"/>
          <w:color w:val="auto"/>
          <w:sz w:val="24"/>
        </w:rPr>
      </w:pPr>
      <w:r>
        <w:rPr>
          <w:rFonts w:hint="eastAsia" w:ascii="宋体" w:hAnsi="宋体" w:cs="宋体"/>
          <w:color w:val="auto"/>
          <w:sz w:val="24"/>
        </w:rPr>
        <w:t>27.1.10 评标委员会认为投标人的报价明显低于其他通过符合性审查投标人的报价，有可能影响本项目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rPr>
          <w:rFonts w:ascii="宋体" w:hAnsi="宋体" w:cs="宋体"/>
          <w:color w:val="auto"/>
          <w:sz w:val="24"/>
        </w:rPr>
      </w:pPr>
      <w:r>
        <w:rPr>
          <w:rFonts w:hint="eastAsia" w:ascii="宋体" w:hAnsi="宋体" w:cs="宋体"/>
          <w:color w:val="auto"/>
          <w:sz w:val="24"/>
        </w:rPr>
        <w:t>27.1.11其他法律、法规及本招标文件规定的属无效投标的情形。</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27.2废标条款：                                                                                                                                                                                                                                                                                                                                                                                                                                                                                                                                                                                                                                                                                                                                                                                                                                                                                                                                                                                                                                                                                                                                                                                                                                                                                                                                                                                                                                                                         </w:t>
      </w:r>
    </w:p>
    <w:p>
      <w:pPr>
        <w:spacing w:line="500" w:lineRule="exact"/>
        <w:ind w:firstLine="480" w:firstLineChars="200"/>
        <w:rPr>
          <w:rFonts w:ascii="宋体" w:hAnsi="宋体" w:cs="宋体"/>
          <w:color w:val="auto"/>
          <w:sz w:val="24"/>
        </w:rPr>
      </w:pPr>
      <w:r>
        <w:rPr>
          <w:rFonts w:hint="eastAsia" w:ascii="宋体" w:hAnsi="宋体" w:cs="宋体"/>
          <w:color w:val="auto"/>
          <w:sz w:val="24"/>
        </w:rPr>
        <w:t>27.2.1符合专业条件的投标人或者对招标文件作实质响应的投标人不足三家的；</w:t>
      </w:r>
    </w:p>
    <w:p>
      <w:pPr>
        <w:spacing w:line="500" w:lineRule="exact"/>
        <w:ind w:firstLine="480" w:firstLineChars="200"/>
        <w:rPr>
          <w:rFonts w:ascii="宋体" w:hAnsi="宋体" w:cs="宋体"/>
          <w:color w:val="auto"/>
          <w:sz w:val="24"/>
        </w:rPr>
      </w:pPr>
      <w:r>
        <w:rPr>
          <w:rFonts w:hint="eastAsia" w:ascii="宋体" w:hAnsi="宋体" w:cs="宋体"/>
          <w:color w:val="auto"/>
          <w:sz w:val="24"/>
        </w:rPr>
        <w:t>27.2.2出现影响本项目公正的违法、违规行为的；</w:t>
      </w:r>
    </w:p>
    <w:p>
      <w:pPr>
        <w:spacing w:line="500" w:lineRule="exact"/>
        <w:ind w:firstLine="480" w:firstLineChars="200"/>
        <w:rPr>
          <w:rFonts w:ascii="宋体" w:hAnsi="宋体" w:cs="宋体"/>
          <w:color w:val="auto"/>
          <w:sz w:val="24"/>
        </w:rPr>
      </w:pPr>
      <w:r>
        <w:rPr>
          <w:rFonts w:hint="eastAsia" w:ascii="宋体" w:hAnsi="宋体" w:cs="宋体"/>
          <w:color w:val="auto"/>
          <w:sz w:val="24"/>
        </w:rPr>
        <w:t>27.2.3因重大变故，招标计划取消的；</w:t>
      </w:r>
    </w:p>
    <w:p>
      <w:pPr>
        <w:spacing w:line="500" w:lineRule="exact"/>
        <w:ind w:firstLine="480" w:firstLineChars="200"/>
        <w:rPr>
          <w:rFonts w:ascii="宋体" w:hAnsi="宋体" w:cs="宋体"/>
          <w:color w:val="auto"/>
          <w:sz w:val="24"/>
        </w:rPr>
      </w:pPr>
      <w:r>
        <w:rPr>
          <w:rFonts w:hint="eastAsia" w:ascii="宋体" w:hAnsi="宋体" w:cs="宋体"/>
          <w:color w:val="auto"/>
          <w:sz w:val="24"/>
        </w:rPr>
        <w:t>27.2.4评标委员会认定招标文件存在歧义、 重大缺陷导致评审工作无法进行。</w:t>
      </w:r>
    </w:p>
    <w:p>
      <w:pPr>
        <w:spacing w:line="500" w:lineRule="exact"/>
        <w:ind w:firstLine="480" w:firstLineChars="200"/>
        <w:rPr>
          <w:rFonts w:ascii="宋体" w:hAnsi="宋体" w:cs="宋体"/>
          <w:color w:val="auto"/>
          <w:sz w:val="24"/>
        </w:rPr>
      </w:pPr>
      <w:r>
        <w:rPr>
          <w:rFonts w:hint="eastAsia" w:ascii="宋体" w:hAnsi="宋体" w:cs="宋体"/>
          <w:color w:val="auto"/>
          <w:sz w:val="24"/>
        </w:rPr>
        <w:t>27.3 投标截止时间结束后参加投标的投标人不足三家的处理：</w:t>
      </w:r>
    </w:p>
    <w:p>
      <w:pPr>
        <w:spacing w:line="500" w:lineRule="exact"/>
        <w:ind w:firstLine="480" w:firstLineChars="200"/>
        <w:rPr>
          <w:rFonts w:ascii="宋体" w:hAnsi="宋体" w:cs="宋体"/>
          <w:color w:val="auto"/>
          <w:sz w:val="24"/>
        </w:rPr>
      </w:pPr>
      <w:r>
        <w:rPr>
          <w:rFonts w:hint="eastAsia" w:ascii="宋体" w:hAnsi="宋体" w:cs="宋体"/>
          <w:color w:val="auto"/>
          <w:sz w:val="24"/>
        </w:rPr>
        <w:t>27.3.1如出现投标截止时间结束后参加投标的投标人或者在评标期间对招标文件做出实质响应的投标人不足三家情况，根据中国招投标法相关规定作流标处理。</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六、定标</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28、确定中标单位</w:t>
      </w:r>
    </w:p>
    <w:p>
      <w:pPr>
        <w:spacing w:line="500" w:lineRule="exact"/>
        <w:ind w:firstLine="480" w:firstLineChars="200"/>
        <w:rPr>
          <w:rFonts w:ascii="宋体" w:hAnsi="宋体" w:cs="宋体"/>
          <w:color w:val="auto"/>
          <w:sz w:val="24"/>
        </w:rPr>
      </w:pPr>
      <w:r>
        <w:rPr>
          <w:rFonts w:hint="eastAsia" w:ascii="宋体" w:hAnsi="宋体" w:cs="宋体"/>
          <w:color w:val="auto"/>
          <w:sz w:val="24"/>
        </w:rPr>
        <w:t>28.1评委会根据本招标文件规定评标方法与评标标准向招标人推荐出不多于三名中标候选人。</w:t>
      </w:r>
    </w:p>
    <w:p>
      <w:pPr>
        <w:spacing w:line="500" w:lineRule="exact"/>
        <w:ind w:firstLine="480" w:firstLineChars="200"/>
        <w:rPr>
          <w:rFonts w:ascii="宋体" w:hAnsi="宋体" w:cs="宋体"/>
          <w:color w:val="auto"/>
          <w:sz w:val="24"/>
        </w:rPr>
      </w:pPr>
      <w:r>
        <w:rPr>
          <w:rFonts w:hint="eastAsia" w:ascii="宋体" w:hAnsi="宋体" w:cs="宋体"/>
          <w:color w:val="auto"/>
          <w:sz w:val="24"/>
        </w:rPr>
        <w:t>28.2 招标人应根据评委会推荐的中标候选人确定中标人。</w:t>
      </w:r>
    </w:p>
    <w:p>
      <w:pPr>
        <w:spacing w:line="500" w:lineRule="exact"/>
        <w:ind w:firstLine="480" w:firstLineChars="200"/>
        <w:rPr>
          <w:rFonts w:ascii="宋体" w:hAnsi="宋体" w:cs="宋体"/>
          <w:color w:val="auto"/>
          <w:sz w:val="24"/>
        </w:rPr>
      </w:pPr>
      <w:r>
        <w:rPr>
          <w:rFonts w:hint="eastAsia" w:ascii="宋体" w:hAnsi="宋体" w:cs="宋体"/>
          <w:color w:val="auto"/>
          <w:sz w:val="24"/>
        </w:rPr>
        <w:t>28.3招标人将在网上发布中标公告，公示期不少于3日。</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28.4若有充分证据证明，中标人出现下列情况之一的，一经查实，将被取消中标资格：</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28.4.1提供虚假材料谋取中标的；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28.4.2向招标人、招标代理行贿或者提供其他不正当利益的；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28.4.3恶意竞争，投标总报价明显低于其自身合理成本且又无法提供证明的；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28.4.4属于本文件规定的无效条件，但在评标过程中又未被评委会发现的；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28.4.5与招标人或者其他供应商恶意串通的；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28.4.6采取不正当手段诋毁、排挤其他供应商的；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28.4.7不符合法律、法规的规定的。</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28.5. </w:t>
      </w:r>
      <w:r>
        <w:rPr>
          <w:rFonts w:hint="eastAsia" w:ascii="宋体" w:hAnsi="宋体" w:cs="宋体"/>
          <w:color w:val="auto"/>
          <w:kern w:val="0"/>
          <w:sz w:val="24"/>
        </w:rPr>
        <w:t>有下列情形之一的，视为投标人串通投标，投标无效：</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28.5.1不同投标人的投标文件由同一单位或者个人编制。</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28.5.2不同投标人委托同一单位或者个人办理投标事宜。</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28.5.3 不同投标人的投标文件载明的项目管理成员或者联系人员为同一人。</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28.5.4不同投标人的投标文件异常一致或者投标报价呈规律性差异。</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28.5.5不同投标人的投标文件相互混装。</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29、质疑处理</w:t>
      </w:r>
      <w:r>
        <w:rPr>
          <w:rFonts w:hint="eastAsia" w:ascii="宋体" w:hAnsi="宋体" w:cs="宋体"/>
          <w:color w:val="auto"/>
          <w:sz w:val="24"/>
        </w:rPr>
        <w:tab/>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.1参加投标供应商认为招标文件、</w:t>
      </w:r>
      <w:r>
        <w:rPr>
          <w:rFonts w:hint="eastAsia" w:ascii="宋体" w:hAnsi="宋体" w:cs="宋体"/>
          <w:color w:val="auto"/>
          <w:sz w:val="24"/>
        </w:rPr>
        <w:t>招标</w:t>
      </w:r>
      <w:r>
        <w:rPr>
          <w:rFonts w:ascii="宋体" w:hAnsi="宋体" w:cs="宋体"/>
          <w:color w:val="auto"/>
          <w:sz w:val="24"/>
        </w:rPr>
        <w:t>过程和中标结果使自己的权益受到损害的，可以在知道或应知其权益受到损害之日起七个工作日内，以书面形式向</w:t>
      </w:r>
      <w:r>
        <w:rPr>
          <w:rFonts w:hint="eastAsia" w:ascii="宋体" w:hAnsi="宋体" w:cs="宋体"/>
          <w:color w:val="auto"/>
          <w:sz w:val="24"/>
        </w:rPr>
        <w:t>招标</w:t>
      </w:r>
      <w:r>
        <w:rPr>
          <w:rFonts w:ascii="宋体" w:hAnsi="宋体" w:cs="宋体"/>
          <w:color w:val="auto"/>
          <w:sz w:val="24"/>
        </w:rPr>
        <w:t>人或</w:t>
      </w:r>
      <w:r>
        <w:rPr>
          <w:rFonts w:hint="eastAsia" w:ascii="宋体" w:hAnsi="宋体" w:cs="宋体"/>
          <w:color w:val="auto"/>
          <w:sz w:val="24"/>
        </w:rPr>
        <w:t>招标</w:t>
      </w:r>
      <w:r>
        <w:rPr>
          <w:rFonts w:ascii="宋体" w:hAnsi="宋体" w:cs="宋体"/>
          <w:color w:val="auto"/>
          <w:sz w:val="24"/>
        </w:rPr>
        <w:t>代理机构提出质疑。上述应知其权益受到损害之日，是指：</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.1.1对可以质疑的招标文件提出质疑的，为收到招标文件之日或者招标文件公告期限届满之日；</w:t>
      </w:r>
    </w:p>
    <w:p>
      <w:pPr>
        <w:snapToGrid w:val="0"/>
        <w:spacing w:line="500" w:lineRule="exact"/>
        <w:ind w:firstLine="480" w:firstLineChars="200"/>
        <w:rPr>
          <w:rFonts w:ascii="宋体" w:hAnsi="宋体" w:cs="宋体"/>
          <w:color w:val="auto"/>
          <w:sz w:val="24"/>
        </w:rPr>
      </w:pPr>
      <w:r>
        <w:rPr>
          <w:rFonts w:ascii="宋体" w:hAnsi="宋体" w:cs="宋体"/>
          <w:color w:val="auto"/>
          <w:sz w:val="24"/>
        </w:rPr>
        <w:t>　　</w:t>
      </w:r>
      <w:r>
        <w:rPr>
          <w:rFonts w:hint="eastAsia" w:ascii="宋体" w:hAnsi="宋体" w:cs="宋体"/>
          <w:color w:val="auto"/>
          <w:sz w:val="24"/>
        </w:rPr>
        <w:t>29</w:t>
      </w:r>
      <w:r>
        <w:rPr>
          <w:rFonts w:ascii="宋体" w:hAnsi="宋体" w:cs="宋体"/>
          <w:color w:val="auto"/>
          <w:sz w:val="24"/>
        </w:rPr>
        <w:t>.1.2对采购过程提出质疑的，为各采购程序环节结束之日；</w:t>
      </w:r>
    </w:p>
    <w:p>
      <w:pPr>
        <w:snapToGrid w:val="0"/>
        <w:spacing w:line="500" w:lineRule="exact"/>
        <w:ind w:firstLine="480" w:firstLineChars="200"/>
        <w:rPr>
          <w:rFonts w:ascii="宋体" w:hAnsi="宋体" w:cs="宋体"/>
          <w:color w:val="auto"/>
          <w:sz w:val="24"/>
        </w:rPr>
      </w:pPr>
      <w:r>
        <w:rPr>
          <w:rFonts w:ascii="宋体" w:hAnsi="宋体" w:cs="宋体"/>
          <w:color w:val="auto"/>
          <w:sz w:val="24"/>
        </w:rPr>
        <w:t>　　</w:t>
      </w:r>
      <w:r>
        <w:rPr>
          <w:rFonts w:hint="eastAsia" w:ascii="宋体" w:hAnsi="宋体" w:cs="宋体"/>
          <w:color w:val="auto"/>
          <w:sz w:val="24"/>
        </w:rPr>
        <w:t>29</w:t>
      </w:r>
      <w:r>
        <w:rPr>
          <w:rFonts w:ascii="宋体" w:hAnsi="宋体" w:cs="宋体"/>
          <w:color w:val="auto"/>
          <w:sz w:val="24"/>
        </w:rPr>
        <w:t>.1.3对中标结果提出质疑的，为中标结果公告期限届满之日。</w:t>
      </w:r>
    </w:p>
    <w:p>
      <w:pPr>
        <w:snapToGrid w:val="0"/>
        <w:spacing w:line="500" w:lineRule="exact"/>
        <w:ind w:firstLine="480" w:firstLineChars="200"/>
        <w:rPr>
          <w:rFonts w:ascii="宋体" w:hAnsi="宋体" w:cs="宋体"/>
          <w:b/>
          <w:bCs/>
          <w:color w:val="auto"/>
          <w:sz w:val="24"/>
        </w:rPr>
      </w:pPr>
      <w:r>
        <w:rPr>
          <w:rFonts w:hint="eastAsia" w:ascii="宋体" w:hAnsi="宋体" w:cs="宋体"/>
          <w:color w:val="auto"/>
          <w:sz w:val="24"/>
        </w:rPr>
        <w:t>29</w:t>
      </w:r>
      <w:r>
        <w:rPr>
          <w:rFonts w:ascii="宋体" w:hAnsi="宋体" w:cs="宋体"/>
          <w:color w:val="auto"/>
          <w:sz w:val="24"/>
        </w:rPr>
        <w:t>.2质疑必须按相关规定提交，未按上述要求提交的质疑函（含传真、电子邮件等）采购人和采购代理机构有权不予受理。</w:t>
      </w:r>
      <w:r>
        <w:rPr>
          <w:rFonts w:ascii="宋体" w:hAnsi="宋体" w:cs="宋体"/>
          <w:b/>
          <w:bCs/>
          <w:color w:val="auto"/>
          <w:sz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.3未参加投标活动的供应商或在投标活动中自身权益未受到损害的供应商所提出的质疑不予受理。</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.4质疑函应当包括下列内容：</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.4.1质疑投标人的名称、地址、邮编、联系人、联系电话；</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.4.2具体的质疑事项及明确的请求；</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.4.3认为自己合法权益受到损害或可能受到损害的相关证据材料；</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.4.4提起质疑的日期；</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.5采购人或采购代理机构收到质疑函后，将对质疑的形式和内容进行审查，如质疑函内容、格式不符合规定，采购人或采购代理机构将告知质疑人进行补正。</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.6质疑人应当在法定质疑期限内进行补正并重新提交质疑函，拒不补正或者在法定期限内未重新提交质疑函的，为无效质疑，采购人和采购代理机构将不予受理。</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29</w:t>
      </w:r>
      <w:r>
        <w:rPr>
          <w:rFonts w:ascii="宋体" w:hAnsi="宋体" w:cs="宋体"/>
          <w:color w:val="auto"/>
          <w:sz w:val="24"/>
        </w:rPr>
        <w:t>.8投标人提出书面质疑必须有理、有据，不得恶意质疑或提交虚假质疑。否则，一经查实，采购人和采购代理机构有权依据采购的有关规定，报请政府采购监管部门对该投标人进行相应的行政处罚，并扣减其诚信记录分。</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30、中标通知书</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30.l 中标结果确定后，招标人将向中标人发出中标通知书。</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30.2中标通知书将是合同的一个组成部分。对招标人和中标人均具有法律效力。中标通知书发出后，招标人改变中标结果的，或者中标人放弃中标项目的，应当依法承担相应责任。</w:t>
      </w:r>
    </w:p>
    <w:p>
      <w:pPr>
        <w:pStyle w:val="5"/>
        <w:spacing w:before="0" w:after="0" w:line="500" w:lineRule="exact"/>
        <w:ind w:firstLine="480" w:firstLineChars="200"/>
        <w:rPr>
          <w:rFonts w:ascii="宋体" w:hAnsi="宋体" w:cs="宋体"/>
          <w:color w:val="auto"/>
          <w:sz w:val="24"/>
          <w:szCs w:val="24"/>
        </w:rPr>
      </w:pPr>
      <w:r>
        <w:rPr>
          <w:rFonts w:hint="eastAsia" w:ascii="宋体" w:hAnsi="宋体" w:cs="宋体"/>
          <w:color w:val="auto"/>
          <w:sz w:val="24"/>
          <w:szCs w:val="24"/>
        </w:rPr>
        <w:t>七、合同签订相关事项</w:t>
      </w:r>
    </w:p>
    <w:p>
      <w:pPr>
        <w:pStyle w:val="7"/>
        <w:spacing w:before="0" w:after="0" w:line="50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31. 签订合同</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31.l中标人应按中标通知书规定的时间、地点,按照招标文件确定的事项与招标人签订合同，由此给招标人造成损失的，中标人还应承担赔偿责任。</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31.2</w:t>
      </w:r>
      <w:r>
        <w:rPr>
          <w:rFonts w:hint="eastAsia" w:ascii="宋体" w:hAnsi="宋体" w:cs="宋体"/>
          <w:b/>
          <w:bCs/>
          <w:color w:val="auto"/>
          <w:sz w:val="24"/>
        </w:rPr>
        <w:t xml:space="preserve"> </w:t>
      </w:r>
      <w:r>
        <w:rPr>
          <w:rFonts w:hint="eastAsia" w:ascii="宋体" w:hAnsi="宋体" w:cs="宋体"/>
          <w:color w:val="auto"/>
          <w:sz w:val="24"/>
        </w:rPr>
        <w:t>招标文件、中标人的投标文件及招标过程中有关澄清、承诺文件均应作为合同附件。</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31.3 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pPr>
        <w:spacing w:line="500" w:lineRule="exact"/>
        <w:ind w:firstLine="480" w:firstLineChars="200"/>
        <w:rPr>
          <w:rFonts w:ascii="宋体" w:hAnsi="宋体" w:cs="宋体"/>
          <w:color w:val="auto"/>
          <w:sz w:val="24"/>
        </w:rPr>
      </w:pPr>
      <w:r>
        <w:rPr>
          <w:rFonts w:hint="eastAsia" w:ascii="宋体" w:hAnsi="宋体" w:cs="宋体"/>
          <w:color w:val="auto"/>
          <w:sz w:val="24"/>
        </w:rPr>
        <w:t>32、履约保证金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在签订合同时，须向招标人交纳履约保证金（中标价的5%）,于合同履行后无息退还。履约保证金用以约束成交供应商在合同履行中的行为，弥补合同执行中由于自身行为可能给招标人带来的各种损失。</w:t>
      </w:r>
    </w:p>
    <w:p>
      <w:pPr>
        <w:rPr>
          <w:rFonts w:ascii="宋体" w:hAnsi="宋体" w:cs="宋体"/>
          <w:b/>
          <w:color w:val="auto"/>
          <w:sz w:val="44"/>
          <w:szCs w:val="44"/>
        </w:rPr>
      </w:pPr>
      <w:r>
        <w:rPr>
          <w:rFonts w:hint="eastAsia" w:ascii="宋体" w:hAnsi="宋体" w:cs="宋体"/>
          <w:b/>
          <w:color w:val="auto"/>
          <w:sz w:val="44"/>
          <w:szCs w:val="44"/>
        </w:rPr>
        <w:br w:type="page"/>
      </w:r>
    </w:p>
    <w:p>
      <w:pPr>
        <w:spacing w:line="500" w:lineRule="exact"/>
        <w:jc w:val="center"/>
        <w:rPr>
          <w:rFonts w:ascii="宋体" w:hAnsi="宋体" w:cs="宋体"/>
          <w:b/>
          <w:color w:val="auto"/>
          <w:sz w:val="44"/>
          <w:szCs w:val="44"/>
        </w:rPr>
      </w:pPr>
      <w:r>
        <w:rPr>
          <w:rFonts w:hint="eastAsia" w:ascii="宋体" w:hAnsi="宋体" w:cs="宋体"/>
          <w:b/>
          <w:color w:val="auto"/>
          <w:sz w:val="44"/>
          <w:szCs w:val="44"/>
        </w:rPr>
        <w:t>第三部分  项目需求</w:t>
      </w:r>
    </w:p>
    <w:p>
      <w:pPr>
        <w:adjustRightInd w:val="0"/>
        <w:snapToGrid w:val="0"/>
        <w:spacing w:line="360" w:lineRule="auto"/>
        <w:ind w:firstLine="480" w:firstLineChars="200"/>
        <w:rPr>
          <w:rFonts w:ascii="宋体" w:hAnsi="宋体" w:cs="宋体"/>
          <w:b/>
          <w:color w:val="auto"/>
          <w:sz w:val="24"/>
        </w:rPr>
      </w:pPr>
      <w:r>
        <w:rPr>
          <w:rFonts w:hint="eastAsia" w:ascii="宋体" w:hAnsi="宋体" w:cs="宋体"/>
          <w:b/>
          <w:color w:val="auto"/>
          <w:sz w:val="24"/>
        </w:rPr>
        <w:t>一、服务要求：</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1、本项目合同履行地点为盐城工业职业技术学院，具体地点以甲方要求为准。成交方必须按采购人要求将本项目中货物送到指定地点，并实施安装调试，由采购人组织验收，检验不合格或不符合质量要求，成交方除无条件退货、返工外，还应承担采购人的一切损失。</w:t>
      </w:r>
    </w:p>
    <w:p>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2、成交方接到保修请求，维修应在2小时内响应，4小时内维修人员到达现场，必要时应向采购人提供应急备用设备。质保期后，供应商需保证零配件的供给。</w:t>
      </w:r>
    </w:p>
    <w:p>
      <w:pPr>
        <w:widowControl/>
        <w:adjustRightInd w:val="0"/>
        <w:snapToGrid w:val="0"/>
        <w:spacing w:line="360"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二、招标代理服务费</w:t>
      </w:r>
    </w:p>
    <w:p>
      <w:pPr>
        <w:widowControl/>
        <w:adjustRightInd w:val="0"/>
        <w:snapToGrid w:val="0"/>
        <w:spacing w:line="360"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widowControl/>
        <w:adjustRightInd w:val="0"/>
        <w:snapToGrid w:val="0"/>
        <w:spacing w:line="360" w:lineRule="auto"/>
        <w:ind w:firstLine="480" w:firstLineChars="200"/>
        <w:textAlignment w:val="baseline"/>
        <w:rPr>
          <w:rFonts w:ascii="宋体" w:hAnsi="宋体" w:cs="宋体"/>
          <w:bCs/>
          <w:color w:val="auto"/>
          <w:sz w:val="24"/>
          <w:szCs w:val="21"/>
        </w:rPr>
      </w:pPr>
      <w:r>
        <w:rPr>
          <w:rFonts w:hint="eastAsia" w:ascii="宋体" w:hAnsi="宋体" w:cs="宋体"/>
          <w:b/>
          <w:color w:val="auto"/>
          <w:sz w:val="24"/>
          <w:szCs w:val="21"/>
        </w:rPr>
        <w:t>三、工程量清单</w:t>
      </w:r>
    </w:p>
    <w:p>
      <w:pPr>
        <w:widowControl/>
        <w:adjustRightInd w:val="0"/>
        <w:snapToGrid w:val="0"/>
        <w:spacing w:line="360"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详见工程量清单报价表。</w:t>
      </w: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pStyle w:val="12"/>
        <w:ind w:left="1470" w:right="1470"/>
        <w:rPr>
          <w:rFonts w:ascii="宋体" w:hAnsi="宋体" w:cs="宋体"/>
          <w:b/>
          <w:bCs/>
          <w:color w:val="auto"/>
          <w:sz w:val="44"/>
        </w:rPr>
      </w:pPr>
    </w:p>
    <w:p>
      <w:pPr>
        <w:widowControl/>
        <w:jc w:val="center"/>
        <w:rPr>
          <w:rFonts w:ascii="宋体" w:hAnsi="宋体" w:cs="宋体"/>
          <w:b/>
          <w:bCs/>
          <w:color w:val="auto"/>
          <w:sz w:val="44"/>
        </w:rPr>
      </w:pPr>
      <w:r>
        <w:rPr>
          <w:rFonts w:hint="eastAsia" w:ascii="宋体" w:hAnsi="宋体" w:cs="宋体"/>
          <w:b/>
          <w:color w:val="auto"/>
          <w:sz w:val="44"/>
          <w:szCs w:val="44"/>
        </w:rPr>
        <w:t>第四部分  评标方法与评标标准</w:t>
      </w:r>
    </w:p>
    <w:p>
      <w:pPr>
        <w:widowControl/>
        <w:adjustRightInd w:val="0"/>
        <w:snapToGrid w:val="0"/>
        <w:spacing w:line="360" w:lineRule="auto"/>
        <w:ind w:firstLine="425"/>
        <w:jc w:val="left"/>
        <w:rPr>
          <w:rFonts w:ascii="宋体" w:hAnsi="宋体" w:cs="黑体"/>
          <w:b/>
          <w:color w:val="auto"/>
          <w:sz w:val="24"/>
          <w:lang w:val="zh-CN"/>
        </w:rPr>
      </w:pPr>
    </w:p>
    <w:p>
      <w:pPr>
        <w:widowControl/>
        <w:adjustRightInd w:val="0"/>
        <w:snapToGrid w:val="0"/>
        <w:spacing w:line="360" w:lineRule="auto"/>
        <w:ind w:firstLine="425"/>
        <w:jc w:val="left"/>
        <w:rPr>
          <w:rFonts w:ascii="宋体" w:hAnsi="宋体" w:cs="黑体"/>
          <w:b/>
          <w:color w:val="auto"/>
          <w:sz w:val="24"/>
          <w:lang w:val="zh-CN"/>
        </w:rPr>
      </w:pPr>
      <w:r>
        <w:rPr>
          <w:rFonts w:hint="eastAsia" w:ascii="宋体" w:hAnsi="宋体" w:cs="黑体"/>
          <w:b/>
          <w:color w:val="auto"/>
          <w:sz w:val="24"/>
          <w:lang w:val="zh-CN"/>
        </w:rPr>
        <w:t>一、定标原则</w:t>
      </w:r>
    </w:p>
    <w:p>
      <w:pPr>
        <w:widowControl/>
        <w:adjustRightInd w:val="0"/>
        <w:snapToGrid w:val="0"/>
        <w:spacing w:line="360" w:lineRule="auto"/>
        <w:ind w:firstLine="425"/>
        <w:jc w:val="left"/>
        <w:rPr>
          <w:rFonts w:ascii="宋体" w:hAnsi="宋体" w:cs="黑体"/>
          <w:color w:val="auto"/>
          <w:sz w:val="24"/>
          <w:lang w:val="zh-CN"/>
        </w:rPr>
      </w:pPr>
      <w:r>
        <w:rPr>
          <w:rFonts w:hint="eastAsia" w:ascii="宋体" w:hAnsi="宋体" w:cs="黑体"/>
          <w:b/>
          <w:color w:val="auto"/>
          <w:sz w:val="24"/>
          <w:lang w:val="zh-CN"/>
        </w:rPr>
        <w:t>本项目招标采用“资格后审”和“经评审的最低</w:t>
      </w:r>
      <w:r>
        <w:rPr>
          <w:rFonts w:hint="eastAsia" w:ascii="宋体" w:hAnsi="宋体" w:cs="黑体"/>
          <w:b/>
          <w:color w:val="auto"/>
          <w:sz w:val="24"/>
        </w:rPr>
        <w:t>投标</w:t>
      </w:r>
      <w:r>
        <w:rPr>
          <w:rFonts w:hint="eastAsia" w:ascii="宋体" w:hAnsi="宋体" w:cs="黑体"/>
          <w:b/>
          <w:color w:val="auto"/>
          <w:sz w:val="24"/>
          <w:lang w:val="zh-CN"/>
        </w:rPr>
        <w:t>价法”，确定中标单位。</w:t>
      </w:r>
      <w:r>
        <w:rPr>
          <w:rFonts w:hint="eastAsia" w:ascii="宋体" w:hAnsi="宋体" w:cs="黑体"/>
          <w:color w:val="auto"/>
          <w:sz w:val="24"/>
          <w:lang w:val="zh-CN"/>
        </w:rPr>
        <w:t>由采购人依法组建的评标委员会负责。评标委员会将按照本招标文件的要求对投标文件进行评审。</w:t>
      </w:r>
    </w:p>
    <w:p>
      <w:pPr>
        <w:adjustRightInd w:val="0"/>
        <w:snapToGrid w:val="0"/>
        <w:spacing w:line="360" w:lineRule="auto"/>
        <w:ind w:firstLine="480"/>
        <w:rPr>
          <w:rFonts w:ascii="宋体" w:hAnsi="宋体" w:cs="宋体"/>
          <w:color w:val="auto"/>
          <w:sz w:val="24"/>
        </w:rPr>
      </w:pPr>
      <w:r>
        <w:rPr>
          <w:rFonts w:hint="eastAsia" w:ascii="宋体" w:hAnsi="宋体" w:cs="宋体"/>
          <w:b/>
          <w:bCs/>
          <w:color w:val="auto"/>
          <w:sz w:val="24"/>
        </w:rPr>
        <w:t>二、评标标准</w:t>
      </w:r>
    </w:p>
    <w:p>
      <w:pPr>
        <w:adjustRightInd w:val="0"/>
        <w:snapToGrid w:val="0"/>
        <w:spacing w:line="360" w:lineRule="auto"/>
        <w:ind w:firstLine="480"/>
        <w:rPr>
          <w:rFonts w:ascii="宋体" w:hAnsi="宋体" w:cs="宋体"/>
          <w:b/>
          <w:color w:val="auto"/>
          <w:sz w:val="24"/>
        </w:rPr>
      </w:pPr>
      <w:r>
        <w:rPr>
          <w:rFonts w:hint="eastAsia" w:ascii="宋体" w:hAnsi="宋体" w:cs="宋体"/>
          <w:b/>
          <w:color w:val="auto"/>
          <w:sz w:val="24"/>
        </w:rPr>
        <w:t>1.资格审查</w:t>
      </w:r>
    </w:p>
    <w:p>
      <w:pPr>
        <w:adjustRightInd w:val="0"/>
        <w:snapToGrid w:val="0"/>
        <w:spacing w:line="360" w:lineRule="auto"/>
        <w:ind w:firstLine="480"/>
        <w:rPr>
          <w:rFonts w:ascii="宋体" w:hAnsi="宋体" w:cs="宋体"/>
          <w:color w:val="auto"/>
          <w:sz w:val="24"/>
        </w:rPr>
      </w:pPr>
      <w:r>
        <w:rPr>
          <w:rFonts w:hint="eastAsia" w:ascii="宋体" w:hAnsi="宋体" w:cs="宋体"/>
          <w:color w:val="auto"/>
          <w:sz w:val="24"/>
        </w:rPr>
        <w:t>投标单位须根据本招标文件要求提供真实、齐全、有效的资料。评标委员会将首先对投标单位资格条件材料进行逐项审查。资格条件审查不通过的其投标无效。</w:t>
      </w:r>
    </w:p>
    <w:p>
      <w:pPr>
        <w:adjustRightInd w:val="0"/>
        <w:snapToGrid w:val="0"/>
        <w:spacing w:line="360" w:lineRule="auto"/>
        <w:ind w:firstLine="480"/>
        <w:rPr>
          <w:rFonts w:ascii="宋体" w:hAnsi="宋体" w:cs="宋体"/>
          <w:b/>
          <w:color w:val="auto"/>
          <w:sz w:val="24"/>
        </w:rPr>
      </w:pPr>
      <w:r>
        <w:rPr>
          <w:rFonts w:hint="eastAsia" w:ascii="宋体" w:hAnsi="宋体" w:cs="宋体"/>
          <w:b/>
          <w:color w:val="auto"/>
          <w:sz w:val="24"/>
        </w:rPr>
        <w:t>2.符合性、技术性审查</w:t>
      </w:r>
    </w:p>
    <w:p>
      <w:pPr>
        <w:adjustRightInd w:val="0"/>
        <w:snapToGrid w:val="0"/>
        <w:spacing w:line="360" w:lineRule="auto"/>
        <w:ind w:firstLine="480"/>
        <w:rPr>
          <w:rFonts w:ascii="宋体" w:hAnsi="宋体" w:cs="宋体"/>
          <w:color w:val="auto"/>
          <w:sz w:val="24"/>
        </w:rPr>
      </w:pPr>
      <w:r>
        <w:rPr>
          <w:rFonts w:hint="eastAsia" w:ascii="宋体" w:hAnsi="宋体" w:cs="宋体"/>
          <w:color w:val="auto"/>
          <w:sz w:val="24"/>
        </w:rPr>
        <w:t>对资格审查通过的投标书进行符合性审查、技术性审查，主要审查：投标文件按规定盖章、签署；格式符合要求；内容完整；关键字迹清晰能辨认；供货（服务）期限满足要求、质量标准符合要求、技术参数及服务符合要求、实质性响应招标文件要求等，未通过的投标人不得推荐为中标候选人。</w:t>
      </w:r>
    </w:p>
    <w:p>
      <w:pPr>
        <w:adjustRightInd w:val="0"/>
        <w:snapToGrid w:val="0"/>
        <w:spacing w:line="360" w:lineRule="auto"/>
        <w:ind w:firstLine="480"/>
        <w:rPr>
          <w:rFonts w:ascii="宋体" w:hAnsi="宋体" w:cs="宋体"/>
          <w:b/>
          <w:color w:val="auto"/>
          <w:sz w:val="24"/>
        </w:rPr>
      </w:pPr>
      <w:r>
        <w:rPr>
          <w:rFonts w:hint="eastAsia" w:ascii="宋体" w:hAnsi="宋体" w:cs="宋体"/>
          <w:b/>
          <w:color w:val="auto"/>
          <w:sz w:val="24"/>
        </w:rPr>
        <w:t>3.商务性评审</w:t>
      </w:r>
    </w:p>
    <w:p>
      <w:pPr>
        <w:adjustRightInd w:val="0"/>
        <w:snapToGrid w:val="0"/>
        <w:spacing w:line="360" w:lineRule="auto"/>
        <w:ind w:firstLine="480"/>
        <w:rPr>
          <w:rFonts w:ascii="宋体" w:hAnsi="宋体" w:cs="宋体"/>
          <w:color w:val="auto"/>
          <w:sz w:val="24"/>
        </w:rPr>
      </w:pPr>
      <w:r>
        <w:rPr>
          <w:rFonts w:hint="eastAsia" w:ascii="宋体" w:hAnsi="宋体" w:cs="宋体"/>
          <w:color w:val="auto"/>
          <w:sz w:val="24"/>
        </w:rPr>
        <w:t>对符合性和技术性审查合格的投标文件进行商务性评审。</w:t>
      </w:r>
    </w:p>
    <w:p>
      <w:pPr>
        <w:adjustRightInd w:val="0"/>
        <w:snapToGrid w:val="0"/>
        <w:spacing w:line="360" w:lineRule="auto"/>
        <w:ind w:firstLine="240"/>
        <w:rPr>
          <w:rFonts w:ascii="宋体" w:hAnsi="宋体" w:cs="宋体"/>
          <w:color w:val="auto"/>
          <w:sz w:val="24"/>
        </w:rPr>
      </w:pPr>
      <w:r>
        <w:rPr>
          <w:rFonts w:hint="eastAsia" w:ascii="宋体" w:hAnsi="宋体" w:cs="宋体"/>
          <w:color w:val="auto"/>
          <w:sz w:val="24"/>
        </w:rPr>
        <w:t>（1）开标一览表中投标报价书写不规范且无法确定的；</w:t>
      </w:r>
    </w:p>
    <w:p>
      <w:pPr>
        <w:adjustRightInd w:val="0"/>
        <w:snapToGrid w:val="0"/>
        <w:spacing w:line="360" w:lineRule="auto"/>
        <w:ind w:firstLine="240"/>
        <w:rPr>
          <w:rFonts w:ascii="宋体" w:hAnsi="宋体" w:cs="宋体"/>
          <w:color w:val="auto"/>
          <w:sz w:val="24"/>
        </w:rPr>
      </w:pPr>
      <w:r>
        <w:rPr>
          <w:rFonts w:hint="eastAsia" w:ascii="宋体" w:hAnsi="宋体" w:cs="宋体"/>
          <w:color w:val="auto"/>
          <w:sz w:val="24"/>
        </w:rPr>
        <w:t>（2）投标报价高于采购人设定的最高限价的；</w:t>
      </w:r>
    </w:p>
    <w:p>
      <w:pPr>
        <w:adjustRightInd w:val="0"/>
        <w:snapToGrid w:val="0"/>
        <w:spacing w:line="360" w:lineRule="auto"/>
        <w:ind w:firstLine="240"/>
        <w:rPr>
          <w:rFonts w:ascii="宋体" w:hAnsi="宋体" w:cs="宋体"/>
          <w:color w:val="auto"/>
          <w:sz w:val="24"/>
        </w:rPr>
      </w:pPr>
      <w:r>
        <w:rPr>
          <w:rFonts w:hint="eastAsia" w:ascii="宋体" w:hAnsi="宋体" w:cs="宋体"/>
          <w:color w:val="auto"/>
          <w:sz w:val="24"/>
        </w:rPr>
        <w:t>（3）经评标委员会认定投标人的投标报价明显不合理，低于成本价的。</w:t>
      </w:r>
    </w:p>
    <w:p>
      <w:pPr>
        <w:adjustRightInd w:val="0"/>
        <w:snapToGrid w:val="0"/>
        <w:spacing w:line="360" w:lineRule="auto"/>
        <w:ind w:firstLine="480"/>
        <w:rPr>
          <w:rFonts w:ascii="宋体" w:hAnsi="宋体" w:cs="宋体"/>
          <w:b/>
          <w:color w:val="auto"/>
          <w:sz w:val="24"/>
        </w:rPr>
      </w:pPr>
      <w:r>
        <w:rPr>
          <w:rFonts w:hint="eastAsia" w:ascii="宋体" w:hAnsi="宋体" w:cs="宋体"/>
          <w:b/>
          <w:color w:val="auto"/>
          <w:sz w:val="24"/>
        </w:rPr>
        <w:t>4.定标</w:t>
      </w:r>
    </w:p>
    <w:p>
      <w:pPr>
        <w:adjustRightInd w:val="0"/>
        <w:snapToGrid w:val="0"/>
        <w:spacing w:line="360" w:lineRule="auto"/>
        <w:ind w:firstLine="480" w:firstLineChars="200"/>
        <w:rPr>
          <w:rFonts w:ascii="宋体" w:hAnsi="宋体" w:cs="宋体"/>
          <w:b/>
          <w:color w:val="auto"/>
          <w:sz w:val="24"/>
          <w:lang w:val="zh-CN"/>
        </w:rPr>
      </w:pPr>
      <w:r>
        <w:rPr>
          <w:rFonts w:hint="eastAsia" w:ascii="宋体" w:hAnsi="宋体" w:cs="宋体"/>
          <w:bCs/>
          <w:color w:val="auto"/>
          <w:sz w:val="24"/>
          <w:lang w:val="zh-CN"/>
        </w:rPr>
        <w:t>本项目推荐</w:t>
      </w:r>
      <w:r>
        <w:rPr>
          <w:rFonts w:hint="eastAsia" w:ascii="宋体" w:hAnsi="宋体" w:cs="宋体"/>
          <w:bCs/>
          <w:color w:val="auto"/>
          <w:sz w:val="24"/>
        </w:rPr>
        <w:t>1</w:t>
      </w:r>
      <w:r>
        <w:rPr>
          <w:rFonts w:hint="eastAsia" w:ascii="宋体" w:hAnsi="宋体" w:cs="宋体"/>
          <w:bCs/>
          <w:color w:val="auto"/>
          <w:sz w:val="24"/>
          <w:lang w:val="zh-CN"/>
        </w:rPr>
        <w:t>名中标候选人。如果其投标报价相同，</w:t>
      </w:r>
      <w:r>
        <w:rPr>
          <w:rFonts w:hint="eastAsia" w:ascii="宋体" w:hAnsi="宋体" w:cs="宋体"/>
          <w:bCs/>
          <w:color w:val="auto"/>
          <w:sz w:val="24"/>
        </w:rPr>
        <w:t>评标委员会将</w:t>
      </w:r>
      <w:r>
        <w:rPr>
          <w:rFonts w:hint="eastAsia" w:ascii="宋体" w:hAnsi="宋体" w:cs="宋体"/>
          <w:bCs/>
          <w:color w:val="auto"/>
          <w:sz w:val="24"/>
          <w:lang w:val="zh-CN"/>
        </w:rPr>
        <w:t>采用随机抽签方式确定排序。</w:t>
      </w:r>
    </w:p>
    <w:p>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资格条件审查通过的，除“投标无效”和“符合性、技术性、商务性评审未通过的不得作为中标候选人推荐”之外，其余有效报价中的最低投标报价者为第一中标候选人。如有效报价最低者不止一个，则通过抽签确定第一中标候选人。</w:t>
      </w:r>
    </w:p>
    <w:p>
      <w:pPr>
        <w:adjustRightInd w:val="0"/>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中标人拒绝与采购人签订合同的（含放弃中标、不按要求提交履约保证金等，下同），采购人可以重新招标。中标人拒绝与采购人签订合同的，采购人有权追索中标人赔偿其造成的一切损失（包含但不限于：履约保证金不予退还）。</w:t>
      </w:r>
    </w:p>
    <w:p>
      <w:pPr>
        <w:spacing w:line="500" w:lineRule="exact"/>
        <w:ind w:firstLine="560" w:firstLineChars="200"/>
        <w:jc w:val="center"/>
        <w:rPr>
          <w:rFonts w:ascii="宋体" w:hAnsi="宋体" w:cs="宋体"/>
          <w:b/>
          <w:color w:val="auto"/>
          <w:sz w:val="28"/>
          <w:szCs w:val="28"/>
        </w:rPr>
      </w:pPr>
      <w:r>
        <w:rPr>
          <w:rFonts w:hint="eastAsia" w:ascii="宋体" w:hAnsi="宋体" w:cs="宋体"/>
          <w:b/>
          <w:color w:val="auto"/>
          <w:sz w:val="28"/>
          <w:szCs w:val="28"/>
        </w:rPr>
        <w:br w:type="page"/>
      </w:r>
    </w:p>
    <w:p>
      <w:pPr>
        <w:widowControl/>
        <w:spacing w:line="460" w:lineRule="exact"/>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说明：</w:t>
      </w:r>
    </w:p>
    <w:p>
      <w:pPr>
        <w:widowControl/>
        <w:spacing w:line="460" w:lineRule="exact"/>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1、若供应商提供虚假资料，一经查实取消其中标候选人资格，并向相关主管部门汇报。</w:t>
      </w:r>
    </w:p>
    <w:p>
      <w:pPr>
        <w:widowControl/>
        <w:spacing w:line="460" w:lineRule="exact"/>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2、中标单位不得转包、分包，如果发现有转包、分包情况，则取消其中标候选人资格，并向相关主管部门汇报。</w:t>
      </w:r>
    </w:p>
    <w:p>
      <w:pPr>
        <w:widowControl/>
        <w:spacing w:line="460" w:lineRule="exact"/>
        <w:ind w:firstLine="480" w:firstLineChars="200"/>
        <w:textAlignment w:val="baseline"/>
        <w:rPr>
          <w:rFonts w:ascii="宋体" w:hAnsi="宋体" w:cs="宋体"/>
          <w:bCs/>
          <w:color w:val="auto"/>
          <w:sz w:val="24"/>
          <w:szCs w:val="21"/>
          <w:lang w:val="zh-CN"/>
        </w:rPr>
      </w:pPr>
      <w:r>
        <w:rPr>
          <w:rFonts w:hint="eastAsia" w:ascii="宋体" w:hAnsi="宋体" w:cs="宋体"/>
          <w:bCs/>
          <w:color w:val="auto"/>
          <w:sz w:val="24"/>
          <w:szCs w:val="21"/>
        </w:rPr>
        <w:t>3</w:t>
      </w:r>
      <w:r>
        <w:rPr>
          <w:rFonts w:hint="eastAsia" w:ascii="宋体" w:hAnsi="宋体" w:cs="宋体"/>
          <w:bCs/>
          <w:color w:val="auto"/>
          <w:sz w:val="24"/>
          <w:szCs w:val="21"/>
          <w:lang w:val="zh-CN"/>
        </w:rPr>
        <w:t>、中标公告期内，中标单位需向采购单位提供产品相关证明文件原件以供审核，如有不实采购人有权取消其中标资格。</w:t>
      </w: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pStyle w:val="15"/>
        <w:rPr>
          <w:rFonts w:ascii="宋体" w:hAnsi="宋体" w:cs="宋体"/>
          <w:bCs/>
          <w:color w:val="auto"/>
          <w:szCs w:val="21"/>
          <w:lang w:val="zh-CN"/>
        </w:rPr>
      </w:pPr>
    </w:p>
    <w:p>
      <w:pPr>
        <w:spacing w:line="500" w:lineRule="exact"/>
        <w:ind w:firstLine="560" w:firstLineChars="200"/>
        <w:jc w:val="center"/>
        <w:rPr>
          <w:rFonts w:ascii="宋体" w:hAnsi="宋体" w:cs="宋体"/>
          <w:b/>
          <w:color w:val="auto"/>
          <w:sz w:val="28"/>
          <w:szCs w:val="28"/>
        </w:rPr>
      </w:pPr>
    </w:p>
    <w:p>
      <w:pPr>
        <w:spacing w:line="500" w:lineRule="exact"/>
        <w:ind w:firstLine="880" w:firstLineChars="200"/>
        <w:jc w:val="center"/>
        <w:rPr>
          <w:rFonts w:ascii="宋体" w:hAnsi="宋体" w:cs="宋体"/>
          <w:b/>
          <w:color w:val="auto"/>
          <w:sz w:val="44"/>
          <w:szCs w:val="44"/>
        </w:rPr>
      </w:pPr>
      <w:r>
        <w:rPr>
          <w:rFonts w:hint="eastAsia" w:ascii="宋体" w:hAnsi="宋体" w:cs="宋体"/>
          <w:b/>
          <w:color w:val="auto"/>
          <w:sz w:val="44"/>
          <w:szCs w:val="44"/>
        </w:rPr>
        <w:t>第五部分  合同主要条款</w:t>
      </w:r>
    </w:p>
    <w:p>
      <w:pPr>
        <w:pStyle w:val="51"/>
        <w:jc w:val="center"/>
        <w:rPr>
          <w:rFonts w:ascii="华文中宋" w:hAnsi="华文中宋" w:eastAsia="华文中宋"/>
          <w:b/>
          <w:bCs/>
          <w:color w:val="auto"/>
          <w:sz w:val="44"/>
          <w:szCs w:val="44"/>
        </w:rPr>
      </w:pPr>
      <w:r>
        <w:rPr>
          <w:rFonts w:hint="eastAsia" w:ascii="华文中宋" w:hAnsi="华文中宋" w:eastAsia="华文中宋"/>
          <w:b/>
          <w:bCs/>
          <w:color w:val="auto"/>
          <w:sz w:val="28"/>
          <w:szCs w:val="28"/>
        </w:rPr>
        <w:t>货物合同</w:t>
      </w:r>
    </w:p>
    <w:p>
      <w:pPr>
        <w:widowControl/>
        <w:adjustRightInd w:val="0"/>
        <w:snapToGrid w:val="0"/>
        <w:spacing w:line="348" w:lineRule="auto"/>
        <w:ind w:firstLine="480" w:firstLineChars="200"/>
        <w:textAlignment w:val="baseline"/>
        <w:rPr>
          <w:rFonts w:hint="eastAsia" w:ascii="宋体" w:hAnsi="宋体" w:eastAsia="宋体" w:cs="宋体"/>
          <w:bCs/>
          <w:color w:val="auto"/>
          <w:sz w:val="24"/>
          <w:szCs w:val="21"/>
          <w:lang w:eastAsia="zh-CN"/>
        </w:rPr>
      </w:pPr>
      <w:r>
        <w:rPr>
          <w:rFonts w:hint="eastAsia" w:ascii="宋体" w:hAnsi="宋体" w:cs="宋体"/>
          <w:bCs/>
          <w:color w:val="auto"/>
          <w:sz w:val="24"/>
          <w:szCs w:val="21"/>
        </w:rPr>
        <w:t>项目名称：盐城工业职业技术学院</w:t>
      </w:r>
      <w:r>
        <w:rPr>
          <w:rFonts w:hint="eastAsia" w:ascii="宋体" w:hAnsi="宋体" w:cs="宋体"/>
          <w:bCs/>
          <w:color w:val="auto"/>
          <w:sz w:val="24"/>
          <w:szCs w:val="21"/>
          <w:lang w:eastAsia="zh-CN"/>
        </w:rPr>
        <w:t>食堂油烟净化及排油烟系统改造工程</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 xml:space="preserve">项目编号： </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甲方：（买方）盐城工业职业技术学院</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乙方：（卖方）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甲、乙双方根据</w:t>
      </w:r>
      <w:r>
        <w:rPr>
          <w:rFonts w:hint="eastAsia" w:ascii="宋体" w:hAnsi="宋体" w:cs="宋体"/>
          <w:bCs/>
          <w:color w:val="auto"/>
          <w:sz w:val="24"/>
          <w:szCs w:val="21"/>
          <w:u w:val="single"/>
        </w:rPr>
        <w:t>盐城工业职业技术学院</w:t>
      </w:r>
      <w:r>
        <w:rPr>
          <w:rFonts w:hint="eastAsia" w:ascii="宋体" w:hAnsi="宋体" w:cs="宋体"/>
          <w:bCs/>
          <w:color w:val="auto"/>
          <w:sz w:val="24"/>
          <w:szCs w:val="21"/>
          <w:u w:val="single"/>
          <w:lang w:eastAsia="zh-CN"/>
        </w:rPr>
        <w:t>食堂油烟净化及排油烟系统改造工程</w:t>
      </w:r>
      <w:r>
        <w:rPr>
          <w:rFonts w:hint="eastAsia" w:ascii="宋体" w:hAnsi="宋体" w:cs="宋体"/>
          <w:bCs/>
          <w:color w:val="auto"/>
          <w:sz w:val="24"/>
          <w:szCs w:val="21"/>
        </w:rPr>
        <w:t>公开招标的结果，签署本合同。</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一、货物内容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1.1 货物名称：盐城工业职业技术学院</w:t>
      </w:r>
      <w:r>
        <w:rPr>
          <w:rFonts w:hint="eastAsia" w:ascii="宋体" w:hAnsi="宋体" w:cs="宋体"/>
          <w:bCs/>
          <w:color w:val="auto"/>
          <w:sz w:val="24"/>
          <w:szCs w:val="21"/>
          <w:lang w:eastAsia="zh-CN"/>
        </w:rPr>
        <w:t>食堂油烟净化及排油烟系统改造工程</w:t>
      </w:r>
      <w:r>
        <w:rPr>
          <w:rFonts w:hint="eastAsia" w:ascii="宋体" w:hAnsi="宋体" w:cs="宋体"/>
          <w:bCs/>
          <w:color w:val="auto"/>
          <w:sz w:val="24"/>
          <w:szCs w:val="21"/>
        </w:rPr>
        <w:t>。</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1.2 型号规格：详按项目需求。</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1.3 数量（单位）：详按项目需求。</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二、合同金额</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2.1 本合同金额（大写）：________元（￥_______________元）人民币或其他币种。</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三、技术资料</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3.1乙方应按招标文件规定的时间向甲方提供使用货物的有关技术资料。</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Cs/>
          <w:color w:val="auto"/>
          <w:sz w:val="24"/>
          <w:szCs w:val="21"/>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四、知识产权</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4.1乙方应保证甲方在使用、接受本合同货物和服务或其任何一部分时不受第三方提出侵犯其专利权、版权、商标权和工业设计权等知识产权的起诉。一旦出现侵权，由乙方负全部责任。</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五、产权担保</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5.1 乙方保证所交付的货物的所有权完全属于乙方且无任何抵押、查封等产权瑕疵。</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六、履约保证金</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6.1乙方交纳人民币_________元作为本合同的履约保证金（合同金额的5%）。</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七、转包或分包</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7.1本合同范围的货物，应由乙方直接供应，不得转让他人供应；</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7.2 除非得到甲方的书面同意，乙方不得部分分包给他人供应。</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7.3如有转让和未经甲方同意的分包行为，甲方有权给予终止合同。</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八、质保期</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8.1 质保期</w:t>
      </w:r>
      <w:r>
        <w:rPr>
          <w:rFonts w:hint="eastAsia" w:ascii="宋体" w:hAnsi="宋体" w:cs="宋体"/>
          <w:bCs/>
          <w:color w:val="auto"/>
          <w:sz w:val="24"/>
          <w:szCs w:val="21"/>
          <w:u w:val="single"/>
        </w:rPr>
        <w:t xml:space="preserve">  贰 </w:t>
      </w:r>
      <w:r>
        <w:rPr>
          <w:rFonts w:hint="eastAsia" w:ascii="宋体" w:hAnsi="宋体" w:cs="宋体"/>
          <w:bCs/>
          <w:color w:val="auto"/>
          <w:sz w:val="24"/>
          <w:szCs w:val="21"/>
        </w:rPr>
        <w:t>年。（自交货验收合格之日起计）</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九、交货期、交货方式及交货地点</w:t>
      </w:r>
    </w:p>
    <w:p>
      <w:pPr>
        <w:pStyle w:val="22"/>
        <w:adjustRightInd w:val="0"/>
        <w:snapToGrid w:val="0"/>
        <w:spacing w:before="0" w:beforeAutospacing="0" w:after="0" w:afterAutospacing="0" w:line="348" w:lineRule="auto"/>
        <w:ind w:firstLine="480" w:firstLineChars="200"/>
        <w:jc w:val="both"/>
        <w:rPr>
          <w:bCs/>
          <w:color w:val="auto"/>
          <w:kern w:val="2"/>
          <w:szCs w:val="21"/>
        </w:rPr>
      </w:pPr>
      <w:r>
        <w:rPr>
          <w:rFonts w:hint="eastAsia"/>
          <w:bCs/>
          <w:color w:val="auto"/>
          <w:szCs w:val="21"/>
        </w:rPr>
        <w:t xml:space="preserve">9.1 交货期：     </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9.2 交货方式：送货上门</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9.3 交货地点：甲方指定地点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
          <w:color w:val="auto"/>
          <w:sz w:val="24"/>
          <w:szCs w:val="21"/>
        </w:rPr>
        <w:t>十、货款支付</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10.1 付款方式：招标范围内容全部完成并经安装调试结束，经甲方验收合格后付总价的90%；余款一年后根据售后服务情况付总价的5%，质保期满无质量问题付清尾款。乙方必须提供增值税专用发票，否则甲方有权不付款。</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10.2如验收不合格以及发现伪劣产品等，招标人将视其情形采取退货、拒付款、索赔等措施，直至通过市场监督部门，依法处理。</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10.3当采购数量与实际使用数量不一致时，乙方应根据实际使用量供货，合同的最终结算金额按实际使用量乘以成交单价进行计算。</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十一.税费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11.1本合同执行中相关的一切税费均由乙方负担。</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十二、质量保证及售后服务</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12.1 乙方应按招标文件规定的货物性能、技术要求、质量标准向甲方提供未经使用的全新产品。</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12.2 乙方提供的货物在质保期内因货物本身的质量问题发生故障，乙方应负责免费更换。对达不到技术要求者，根据实际情况，经双方协商，可按以下办法处理：</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⑴更换：由乙方承担所发生的全部费用。</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⑵贬值处理：由甲乙双方合议定价。</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⑶退货处理：乙方应退还甲方支付的合同款，同时应承担该货物的直接费用（运输、保险、检验、货款利息及银行手续费等）。</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12.3 如在使用过程中发生质量问题，维修方应在2小时内响应，4小时内维修人员到达现场，必要时应向采购人提供应急备用设备。</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12.4 在质保期内，乙方应对货物出现的质量及安全问题负责处理解决并承担一切费用。</w:t>
      </w:r>
    </w:p>
    <w:p>
      <w:pPr>
        <w:widowControl/>
        <w:adjustRightInd w:val="0"/>
        <w:snapToGrid w:val="0"/>
        <w:spacing w:line="348" w:lineRule="auto"/>
        <w:ind w:firstLine="480" w:firstLineChars="200"/>
        <w:textAlignment w:val="baseline"/>
        <w:rPr>
          <w:rFonts w:ascii="楷体" w:hAnsi="楷体" w:eastAsia="楷体" w:cs="楷体"/>
          <w:color w:val="auto"/>
          <w:sz w:val="24"/>
        </w:rPr>
      </w:pPr>
      <w:r>
        <w:rPr>
          <w:rFonts w:hint="eastAsia" w:ascii="宋体" w:hAnsi="宋体" w:cs="宋体"/>
          <w:bCs/>
          <w:color w:val="auto"/>
          <w:sz w:val="24"/>
          <w:szCs w:val="21"/>
        </w:rPr>
        <w:t>12.5上述的货物免费保修期，因人为因素出现的故障不在免费保修范围内。</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十三、调试和验收</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13.2 乙方交货前应对产品作出全面检查和对验收文件进行整理，并列出清单，作为甲方收货验收和使用的技术条件依据，检验的结果应随货物交甲方。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13.3对技术复杂的货物，甲方可请国家认可的专业检测机构参与初步验收及最终验收，并由其出具质量检测报告。</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13.4验收时乙方必须在现场，验收完毕后作出验收结果报告；验收费用由甲乙双方协商解决。</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十四、货物包装、发运及运输</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14.1 乙方应在货物发运前对其进行满足运输距离、防潮和防破损装卸等要求包装，以保证货物安全运达甲方指定地点。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14.2 使用说明书、质量检验证明书、随配附件和工具以及清单一并附于货物内。</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14.3 乙方在货物发运手续办理完毕后24小时内或货到甲方48小时前通知甲方，以准备接货。</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14.4 货物在交付甲方前发生的风险均由乙方负责。</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Cs/>
          <w:color w:val="auto"/>
          <w:sz w:val="24"/>
          <w:szCs w:val="21"/>
        </w:rPr>
        <w:t>14.5 货物在规定的交付期限内由乙方送达甲方指定的地点视为交付，乙方同时需通知甲方货物已送达。</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十五、违约责任</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15.1 甲方无正当理由拒收货物的，甲方向乙方偿付拒收货款总值的百分之五违约金。</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15.2 甲方无故逾期验收和办理货款支付手续的,甲方应按逾期付款总额每日万分之五向乙方支付违约金。</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十六、不可抗力事件处理</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16.1 在合同有效期内，任何一方因不可抗力事件导致不能履行合同，则合同履行期可延长，其延长期与不可抗力影响期相同。</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16.2 不可抗力事件发生后，应立即通知对方，并寄送有关权威机构出具的证明。</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16.3 不可抗力事件延续120天以上，双方应通过友好协商，确定是否继续履行合同。</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十七、诉讼</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16.1 双方在执行合同中所发生的一切争议，应通过协商解决。如协商不成，可向合同签订地法院起诉，合同签订地在此约定为盐城市。</w:t>
      </w:r>
    </w:p>
    <w:p>
      <w:pPr>
        <w:widowControl/>
        <w:adjustRightInd w:val="0"/>
        <w:snapToGrid w:val="0"/>
        <w:spacing w:line="348" w:lineRule="auto"/>
        <w:ind w:firstLine="480" w:firstLineChars="200"/>
        <w:textAlignment w:val="baseline"/>
        <w:rPr>
          <w:rFonts w:ascii="宋体" w:hAnsi="宋体" w:cs="宋体"/>
          <w:b/>
          <w:color w:val="auto"/>
          <w:sz w:val="24"/>
          <w:szCs w:val="21"/>
        </w:rPr>
      </w:pPr>
      <w:r>
        <w:rPr>
          <w:rFonts w:hint="eastAsia" w:ascii="宋体" w:hAnsi="宋体" w:cs="宋体"/>
          <w:b/>
          <w:color w:val="auto"/>
          <w:sz w:val="24"/>
          <w:szCs w:val="21"/>
        </w:rPr>
        <w:t>十八、合同生效及其它</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18.1 合同经双方法定代表人或授权委托代表人签字并加盖单位公章后生效。</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18.2本合同未尽事宜，遵照《中华人民共和国民法典》有关条文执行。</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18.3 本合同正本一式二份，副本一式六份，具有同等法律效力。</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甲方：                                  乙方：</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地址：                                  地址：</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法定代表人或授权代表：                  法定代表人或授权代表：</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联系电话：                              联系电话：</w:t>
      </w:r>
    </w:p>
    <w:p>
      <w:pPr>
        <w:widowControl/>
        <w:adjustRightInd w:val="0"/>
        <w:snapToGrid w:val="0"/>
        <w:spacing w:line="348" w:lineRule="auto"/>
        <w:ind w:firstLine="480" w:firstLineChars="200"/>
        <w:textAlignment w:val="baseline"/>
        <w:rPr>
          <w:rFonts w:ascii="宋体" w:hAnsi="宋体" w:cs="宋体"/>
          <w:bCs/>
          <w:color w:val="auto"/>
          <w:sz w:val="24"/>
          <w:szCs w:val="21"/>
        </w:rPr>
      </w:pPr>
      <w:r>
        <w:rPr>
          <w:rFonts w:hint="eastAsia" w:ascii="宋体" w:hAnsi="宋体" w:cs="宋体"/>
          <w:bCs/>
          <w:color w:val="auto"/>
          <w:sz w:val="24"/>
          <w:szCs w:val="21"/>
        </w:rPr>
        <w:t>采购部门负责人：</w:t>
      </w:r>
    </w:p>
    <w:p>
      <w:pPr>
        <w:adjustRightInd w:val="0"/>
        <w:snapToGrid w:val="0"/>
        <w:spacing w:line="348" w:lineRule="auto"/>
        <w:ind w:firstLine="480" w:firstLineChars="200"/>
        <w:rPr>
          <w:rFonts w:ascii="宋体" w:hAnsi="宋体" w:cs="宋体"/>
          <w:color w:val="auto"/>
          <w:sz w:val="24"/>
        </w:rPr>
      </w:pPr>
      <w:r>
        <w:rPr>
          <w:rFonts w:hint="eastAsia" w:ascii="宋体" w:hAnsi="宋体" w:cs="宋体"/>
          <w:color w:val="auto"/>
          <w:sz w:val="24"/>
        </w:rPr>
        <w:t xml:space="preserve">联系电话：                              </w:t>
      </w:r>
    </w:p>
    <w:p>
      <w:pPr>
        <w:adjustRightInd w:val="0"/>
        <w:snapToGrid w:val="0"/>
        <w:spacing w:line="348" w:lineRule="auto"/>
        <w:ind w:firstLine="480" w:firstLineChars="200"/>
        <w:rPr>
          <w:rFonts w:ascii="宋体" w:hAnsi="宋体" w:cs="宋体"/>
          <w:color w:val="auto"/>
          <w:sz w:val="24"/>
        </w:rPr>
      </w:pPr>
      <w:r>
        <w:rPr>
          <w:rFonts w:hint="eastAsia" w:ascii="宋体" w:hAnsi="宋体" w:cs="宋体"/>
          <w:color w:val="auto"/>
          <w:sz w:val="24"/>
        </w:rPr>
        <w:t>签订日期：   2023  年   月    日          签订日期：2023  年   月    日</w:t>
      </w:r>
    </w:p>
    <w:p>
      <w:pPr>
        <w:rPr>
          <w:rFonts w:ascii="宋体" w:hAnsi="宋体" w:cs="宋体"/>
          <w:b/>
          <w:bCs/>
          <w:color w:val="auto"/>
          <w:sz w:val="32"/>
          <w:szCs w:val="32"/>
        </w:rPr>
      </w:pPr>
      <w:r>
        <w:rPr>
          <w:b/>
          <w:bCs/>
          <w:color w:val="auto"/>
          <w:kern w:val="44"/>
          <w:sz w:val="44"/>
          <w:szCs w:val="44"/>
        </w:rPr>
        <w:br w:type="page"/>
      </w:r>
    </w:p>
    <w:p>
      <w:pPr>
        <w:pStyle w:val="22"/>
        <w:adjustRightInd w:val="0"/>
        <w:snapToGrid w:val="0"/>
        <w:spacing w:before="0" w:beforeAutospacing="0" w:after="0" w:afterAutospacing="0" w:line="360" w:lineRule="auto"/>
        <w:jc w:val="center"/>
        <w:textAlignment w:val="baseline"/>
        <w:rPr>
          <w:b/>
          <w:bCs/>
          <w:color w:val="auto"/>
          <w:sz w:val="32"/>
          <w:szCs w:val="32"/>
        </w:rPr>
      </w:pPr>
      <w:r>
        <w:rPr>
          <w:rFonts w:hint="eastAsia" w:ascii="Times New Roman" w:hAnsi="Times New Roman"/>
          <w:b/>
          <w:bCs/>
          <w:color w:val="auto"/>
          <w:kern w:val="44"/>
          <w:sz w:val="44"/>
          <w:szCs w:val="44"/>
        </w:rPr>
        <w:t>第六部分  投标文件格式</w:t>
      </w:r>
    </w:p>
    <w:p>
      <w:pPr>
        <w:pStyle w:val="22"/>
        <w:spacing w:before="0" w:beforeAutospacing="0" w:after="0" w:afterAutospacing="0" w:line="420" w:lineRule="exact"/>
        <w:jc w:val="both"/>
        <w:textAlignment w:val="baseline"/>
        <w:rPr>
          <w:b/>
          <w:bCs/>
          <w:color w:val="auto"/>
          <w:sz w:val="32"/>
          <w:szCs w:val="32"/>
        </w:rPr>
      </w:pPr>
    </w:p>
    <w:p>
      <w:pPr>
        <w:pStyle w:val="22"/>
        <w:spacing w:before="0" w:beforeAutospacing="0" w:after="0" w:afterAutospacing="0" w:line="420" w:lineRule="exact"/>
        <w:jc w:val="both"/>
        <w:textAlignment w:val="baseline"/>
        <w:rPr>
          <w:b/>
          <w:bCs/>
          <w:color w:val="auto"/>
          <w:sz w:val="28"/>
          <w:szCs w:val="28"/>
        </w:rPr>
      </w:pPr>
      <w:r>
        <w:rPr>
          <w:rFonts w:hint="eastAsia"/>
          <w:b/>
          <w:bCs/>
          <w:color w:val="auto"/>
          <w:sz w:val="28"/>
          <w:szCs w:val="28"/>
        </w:rPr>
        <w:t>附件1</w:t>
      </w:r>
    </w:p>
    <w:p>
      <w:pPr>
        <w:pStyle w:val="22"/>
        <w:spacing w:before="0" w:beforeAutospacing="0" w:after="0" w:afterAutospacing="0" w:line="700" w:lineRule="exact"/>
        <w:jc w:val="center"/>
        <w:textAlignment w:val="baseline"/>
        <w:rPr>
          <w:b/>
          <w:bCs/>
          <w:color w:val="auto"/>
          <w:sz w:val="32"/>
          <w:szCs w:val="32"/>
        </w:rPr>
      </w:pPr>
      <w:r>
        <w:rPr>
          <w:rFonts w:hint="eastAsia"/>
          <w:b/>
          <w:bCs/>
          <w:color w:val="auto"/>
          <w:sz w:val="32"/>
          <w:szCs w:val="32"/>
        </w:rPr>
        <w:t>诚信承诺书</w:t>
      </w:r>
    </w:p>
    <w:p>
      <w:pPr>
        <w:pStyle w:val="22"/>
        <w:spacing w:before="0" w:beforeAutospacing="0" w:after="0" w:afterAutospacing="0" w:line="420" w:lineRule="exact"/>
        <w:ind w:firstLine="548" w:firstLineChars="196"/>
        <w:jc w:val="center"/>
        <w:textAlignment w:val="baseline"/>
        <w:rPr>
          <w:bCs/>
          <w:color w:val="auto"/>
          <w:sz w:val="28"/>
          <w:szCs w:val="28"/>
        </w:rPr>
      </w:pPr>
    </w:p>
    <w:p>
      <w:pPr>
        <w:pStyle w:val="22"/>
        <w:spacing w:before="0" w:beforeAutospacing="0" w:after="0" w:afterAutospacing="0" w:line="420" w:lineRule="exact"/>
        <w:ind w:firstLine="470" w:firstLineChars="196"/>
        <w:textAlignment w:val="baseline"/>
        <w:rPr>
          <w:bCs/>
          <w:color w:val="auto"/>
        </w:rPr>
      </w:pPr>
      <w:r>
        <w:rPr>
          <w:rFonts w:hint="eastAsia"/>
          <w:bCs/>
          <w:color w:val="auto"/>
        </w:rPr>
        <w:t>本人__________（法定代表人全名）系_____（公司名称）法定代表人，现对该项目做出如下诚信承诺：</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①我方申报的所有资料都是真实、有效的;</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②我方不存在资质挂靠或参与串标、围标情形;</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③我方未被各级行政主管部门做出停止市场行为的处罚;</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④若我方中标，将严格按照规定及时与招标单位按照招标文件签订合同;</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⑤我方未与其他投标人串通投标，采取不正当手段诋毁、排挤其他投标人的公平竞争，损害招标人或其他投标人的合法权益；</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⑥我方杜绝捏造、虚构事实等方式进行恶意投诉的行为；</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fldChar w:fldCharType="begin"/>
      </w:r>
      <w:r>
        <w:rPr>
          <w:rFonts w:hint="eastAsia"/>
          <w:bCs/>
          <w:color w:val="auto"/>
        </w:rPr>
        <w:instrText xml:space="preserve">= 7 \* GB3</w:instrText>
      </w:r>
      <w:r>
        <w:rPr>
          <w:rFonts w:hint="eastAsia"/>
          <w:bCs/>
          <w:color w:val="auto"/>
        </w:rPr>
        <w:fldChar w:fldCharType="separate"/>
      </w:r>
      <w:r>
        <w:rPr>
          <w:rFonts w:hint="eastAsia"/>
          <w:bCs/>
          <w:color w:val="auto"/>
        </w:rPr>
        <w:t>⑦</w:t>
      </w:r>
      <w:r>
        <w:rPr>
          <w:rFonts w:hint="eastAsia"/>
          <w:bCs/>
          <w:color w:val="auto"/>
        </w:rPr>
        <w:fldChar w:fldCharType="end"/>
      </w:r>
      <w:r>
        <w:rPr>
          <w:rFonts w:hint="eastAsia"/>
          <w:bCs/>
          <w:color w:val="auto"/>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⑧若对本次投标有投诉（异议），我保证由我投标时授权的代理人全权处理投诉（异议）事项，不再另行委托他人处理，如若违背，招标人或监管机构有权拒绝受理我公司投诉（异议）事项。</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我方在本次招投标活动过程中如有违背上述承诺诚实行为的：</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①处罚公示期内，不得参与盐城市招标项目的投标。</w:t>
      </w:r>
    </w:p>
    <w:p>
      <w:pPr>
        <w:pStyle w:val="22"/>
        <w:spacing w:before="0" w:beforeAutospacing="0" w:after="0" w:afterAutospacing="0" w:line="400" w:lineRule="exact"/>
        <w:ind w:firstLine="480" w:firstLineChars="200"/>
        <w:textAlignment w:val="baseline"/>
        <w:rPr>
          <w:bCs/>
          <w:color w:val="auto"/>
        </w:rPr>
      </w:pPr>
      <w:r>
        <w:rPr>
          <w:rFonts w:hint="eastAsia"/>
          <w:bCs/>
          <w:color w:val="auto"/>
        </w:rPr>
        <w:t>②对造成的损失，任何法律和经济责任完全由我方负责。</w:t>
      </w:r>
    </w:p>
    <w:p>
      <w:pPr>
        <w:pStyle w:val="22"/>
        <w:spacing w:before="0" w:beforeAutospacing="0" w:after="0" w:afterAutospacing="0" w:line="400" w:lineRule="exact"/>
        <w:ind w:firstLine="480" w:firstLineChars="200"/>
        <w:textAlignment w:val="baseline"/>
        <w:rPr>
          <w:b/>
          <w:color w:val="auto"/>
        </w:rPr>
      </w:pPr>
      <w:r>
        <w:rPr>
          <w:rFonts w:hint="eastAsia"/>
          <w:b/>
          <w:color w:val="auto"/>
        </w:rPr>
        <w:t>投标人的法定代表人必须本人签署诚信承诺书，否则招标人将拒收（退回）其投标文件。</w:t>
      </w:r>
    </w:p>
    <w:p>
      <w:pPr>
        <w:pStyle w:val="10"/>
        <w:ind w:firstLine="1200" w:firstLineChars="500"/>
        <w:jc w:val="center"/>
        <w:rPr>
          <w:rFonts w:ascii="宋体" w:hAnsi="宋体" w:eastAsia="宋体" w:cs="宋体"/>
          <w:b w:val="0"/>
          <w:color w:val="auto"/>
        </w:rPr>
      </w:pPr>
      <w:r>
        <w:rPr>
          <w:rFonts w:hint="eastAsia" w:ascii="宋体" w:hAnsi="宋体" w:eastAsia="宋体" w:cs="宋体"/>
          <w:b w:val="0"/>
          <w:color w:val="auto"/>
        </w:rPr>
        <w:t xml:space="preserve">  投标人（盖章）：</w:t>
      </w:r>
    </w:p>
    <w:p>
      <w:pPr>
        <w:pStyle w:val="10"/>
        <w:ind w:firstLine="1200" w:firstLineChars="500"/>
        <w:jc w:val="center"/>
        <w:rPr>
          <w:rFonts w:ascii="宋体" w:hAnsi="宋体" w:eastAsia="宋体" w:cs="宋体"/>
          <w:b w:val="0"/>
          <w:color w:val="auto"/>
        </w:rPr>
      </w:pPr>
      <w:r>
        <w:rPr>
          <w:rFonts w:hint="eastAsia" w:ascii="宋体" w:hAnsi="宋体" w:eastAsia="宋体" w:cs="宋体"/>
          <w:b w:val="0"/>
          <w:color w:val="auto"/>
        </w:rPr>
        <w:t xml:space="preserve">      法定代表人（签字）：</w:t>
      </w:r>
    </w:p>
    <w:p>
      <w:pPr>
        <w:pStyle w:val="10"/>
        <w:ind w:firstLine="1200" w:firstLineChars="500"/>
        <w:jc w:val="center"/>
        <w:rPr>
          <w:rFonts w:ascii="宋体" w:hAnsi="宋体" w:eastAsia="宋体" w:cs="宋体"/>
          <w:b w:val="0"/>
          <w:color w:val="auto"/>
          <w:sz w:val="28"/>
          <w:szCs w:val="28"/>
        </w:rPr>
      </w:pPr>
      <w:r>
        <w:rPr>
          <w:rFonts w:hint="eastAsia" w:ascii="宋体" w:hAnsi="宋体" w:eastAsia="宋体" w:cs="宋体"/>
          <w:b w:val="0"/>
          <w:color w:val="auto"/>
        </w:rPr>
        <w:t>日期：　 年　  月　　日</w:t>
      </w:r>
    </w:p>
    <w:p>
      <w:pPr>
        <w:widowControl/>
        <w:jc w:val="left"/>
        <w:rPr>
          <w:rFonts w:ascii="宋体" w:hAnsi="宋体" w:cs="宋体"/>
          <w:b/>
          <w:color w:val="auto"/>
          <w:sz w:val="32"/>
          <w:szCs w:val="32"/>
        </w:rPr>
      </w:pPr>
      <w:r>
        <w:rPr>
          <w:rFonts w:hint="eastAsia" w:ascii="宋体" w:hAnsi="宋体" w:cs="宋体"/>
          <w:b/>
          <w:color w:val="auto"/>
          <w:sz w:val="32"/>
          <w:szCs w:val="32"/>
        </w:rPr>
        <w:br w:type="page"/>
      </w: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附件2</w:t>
      </w:r>
    </w:p>
    <w:p>
      <w:pPr>
        <w:spacing w:line="500" w:lineRule="exact"/>
        <w:jc w:val="center"/>
        <w:rPr>
          <w:rFonts w:ascii="宋体" w:hAnsi="宋体" w:cs="宋体"/>
          <w:b/>
          <w:color w:val="auto"/>
          <w:sz w:val="32"/>
          <w:szCs w:val="32"/>
        </w:rPr>
      </w:pPr>
    </w:p>
    <w:p>
      <w:pPr>
        <w:spacing w:line="500" w:lineRule="exact"/>
        <w:jc w:val="center"/>
        <w:rPr>
          <w:rFonts w:ascii="宋体" w:hAnsi="宋体" w:cs="宋体"/>
          <w:b/>
          <w:color w:val="auto"/>
          <w:sz w:val="44"/>
          <w:szCs w:val="44"/>
        </w:rPr>
      </w:pPr>
      <w:r>
        <w:rPr>
          <w:rFonts w:hint="eastAsia" w:ascii="宋体" w:hAnsi="宋体" w:cs="宋体"/>
          <w:b/>
          <w:color w:val="auto"/>
          <w:sz w:val="44"/>
          <w:szCs w:val="44"/>
        </w:rPr>
        <w:t>法定代表人身份证明书</w:t>
      </w:r>
    </w:p>
    <w:p>
      <w:pPr>
        <w:spacing w:line="500" w:lineRule="exact"/>
        <w:rPr>
          <w:rFonts w:ascii="宋体" w:hAnsi="宋体" w:cs="宋体"/>
          <w:color w:val="auto"/>
          <w:sz w:val="28"/>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单位名称：</w:t>
      </w:r>
    </w:p>
    <w:p>
      <w:pPr>
        <w:spacing w:line="500" w:lineRule="exact"/>
        <w:ind w:firstLine="480" w:firstLineChars="200"/>
        <w:rPr>
          <w:rFonts w:ascii="宋体" w:hAnsi="宋体" w:cs="宋体"/>
          <w:color w:val="auto"/>
          <w:sz w:val="24"/>
        </w:rPr>
      </w:pPr>
      <w:r>
        <w:rPr>
          <w:rFonts w:hint="eastAsia" w:ascii="宋体" w:hAnsi="宋体" w:cs="宋体"/>
          <w:color w:val="auto"/>
          <w:sz w:val="24"/>
        </w:rPr>
        <w:t>单位性质：</w:t>
      </w:r>
    </w:p>
    <w:p>
      <w:pPr>
        <w:spacing w:line="500" w:lineRule="exact"/>
        <w:ind w:firstLine="480" w:firstLineChars="200"/>
        <w:rPr>
          <w:rFonts w:ascii="宋体" w:hAnsi="宋体" w:cs="宋体"/>
          <w:color w:val="auto"/>
          <w:sz w:val="24"/>
        </w:rPr>
      </w:pPr>
      <w:r>
        <w:rPr>
          <w:rFonts w:hint="eastAsia" w:ascii="宋体" w:hAnsi="宋体" w:cs="宋体"/>
          <w:color w:val="auto"/>
          <w:sz w:val="24"/>
        </w:rPr>
        <w:t>地    址：</w:t>
      </w:r>
    </w:p>
    <w:p>
      <w:pPr>
        <w:spacing w:line="500" w:lineRule="exact"/>
        <w:ind w:firstLine="480" w:firstLineChars="200"/>
        <w:rPr>
          <w:rFonts w:ascii="宋体" w:hAnsi="宋体" w:cs="宋体"/>
          <w:color w:val="auto"/>
          <w:sz w:val="24"/>
        </w:rPr>
      </w:pPr>
      <w:r>
        <w:rPr>
          <w:rFonts w:hint="eastAsia" w:ascii="宋体" w:hAnsi="宋体" w:cs="宋体"/>
          <w:color w:val="auto"/>
          <w:sz w:val="24"/>
        </w:rPr>
        <w:t>成立时间：年月日</w:t>
      </w:r>
    </w:p>
    <w:p>
      <w:pPr>
        <w:spacing w:line="500" w:lineRule="exact"/>
        <w:ind w:firstLine="480" w:firstLineChars="200"/>
        <w:rPr>
          <w:rFonts w:ascii="宋体" w:hAnsi="宋体" w:cs="宋体"/>
          <w:color w:val="auto"/>
          <w:sz w:val="24"/>
        </w:rPr>
      </w:pPr>
      <w:r>
        <w:rPr>
          <w:rFonts w:hint="eastAsia" w:ascii="宋体" w:hAnsi="宋体" w:cs="宋体"/>
          <w:color w:val="auto"/>
          <w:sz w:val="24"/>
        </w:rPr>
        <w:t>经营期限：</w:t>
      </w:r>
    </w:p>
    <w:p>
      <w:pPr>
        <w:spacing w:line="500" w:lineRule="exact"/>
        <w:ind w:firstLine="480" w:firstLineChars="200"/>
        <w:rPr>
          <w:rFonts w:ascii="宋体" w:hAnsi="宋体" w:cs="宋体"/>
          <w:color w:val="auto"/>
          <w:sz w:val="24"/>
        </w:rPr>
      </w:pPr>
      <w:r>
        <w:rPr>
          <w:rFonts w:hint="eastAsia" w:ascii="宋体" w:hAnsi="宋体" w:cs="宋体"/>
          <w:color w:val="auto"/>
          <w:sz w:val="24"/>
        </w:rPr>
        <w:t>姓名： 性别： 年龄： 职务：</w:t>
      </w:r>
    </w:p>
    <w:p>
      <w:pPr>
        <w:spacing w:line="500" w:lineRule="exact"/>
        <w:rPr>
          <w:rFonts w:ascii="宋体" w:hAnsi="宋体" w:cs="宋体"/>
          <w:color w:val="auto"/>
          <w:sz w:val="24"/>
        </w:rPr>
      </w:pPr>
      <w:r>
        <w:rPr>
          <w:rFonts w:hint="eastAsia" w:ascii="宋体" w:hAnsi="宋体" w:cs="宋体"/>
          <w:color w:val="auto"/>
          <w:sz w:val="24"/>
        </w:rPr>
        <w:t>系（投标人）的法定代表人。</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r>
        <w:rPr>
          <w:rFonts w:hint="eastAsia" w:ascii="宋体" w:hAnsi="宋体" w:cs="宋体"/>
          <w:color w:val="auto"/>
          <w:sz w:val="24"/>
        </w:rPr>
        <w:t>特此证明。</w:t>
      </w:r>
    </w:p>
    <w:p>
      <w:pPr>
        <w:spacing w:line="500" w:lineRule="exact"/>
        <w:ind w:firstLine="480" w:firstLineChars="200"/>
        <w:rPr>
          <w:rFonts w:ascii="宋体" w:hAnsi="宋体" w:cs="宋体"/>
          <w:color w:val="auto"/>
          <w:sz w:val="24"/>
        </w:rPr>
      </w:pPr>
    </w:p>
    <w:p>
      <w:pPr>
        <w:spacing w:line="520" w:lineRule="atLeast"/>
        <w:ind w:firstLine="480" w:firstLineChars="200"/>
        <w:rPr>
          <w:rFonts w:ascii="宋体" w:hAnsi="宋体" w:cs="宋体"/>
          <w:b/>
          <w:color w:val="auto"/>
          <w:sz w:val="24"/>
        </w:rPr>
      </w:pPr>
      <w:r>
        <w:rPr>
          <w:rFonts w:hint="eastAsia" w:ascii="宋体" w:hAnsi="宋体" w:cs="宋体"/>
          <w:b/>
          <w:color w:val="auto"/>
          <w:sz w:val="24"/>
        </w:rPr>
        <w:t>身份证复印件粘贴处：</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rPr>
          <w:rFonts w:ascii="宋体" w:hAnsi="宋体" w:cs="宋体"/>
          <w:color w:val="auto"/>
          <w:sz w:val="24"/>
        </w:rPr>
      </w:pPr>
    </w:p>
    <w:p>
      <w:pPr>
        <w:spacing w:line="500" w:lineRule="exact"/>
        <w:ind w:firstLine="6240" w:firstLineChars="2600"/>
        <w:rPr>
          <w:rFonts w:ascii="宋体" w:hAnsi="宋体" w:cs="宋体"/>
          <w:color w:val="auto"/>
          <w:sz w:val="24"/>
        </w:rPr>
      </w:pPr>
      <w:r>
        <w:rPr>
          <w:rFonts w:hint="eastAsia" w:ascii="宋体" w:hAnsi="宋体" w:cs="宋体"/>
          <w:color w:val="auto"/>
          <w:sz w:val="24"/>
        </w:rPr>
        <w:t>投标人（盖章）：</w:t>
      </w:r>
    </w:p>
    <w:p>
      <w:pPr>
        <w:spacing w:line="500" w:lineRule="exact"/>
        <w:ind w:firstLine="3840" w:firstLineChars="1600"/>
        <w:rPr>
          <w:rFonts w:ascii="宋体" w:hAnsi="宋体" w:cs="宋体"/>
          <w:color w:val="auto"/>
          <w:sz w:val="24"/>
        </w:rPr>
      </w:pPr>
    </w:p>
    <w:p>
      <w:pPr>
        <w:spacing w:line="500" w:lineRule="exact"/>
        <w:jc w:val="right"/>
        <w:rPr>
          <w:rFonts w:ascii="宋体" w:hAnsi="宋体" w:cs="宋体"/>
          <w:color w:val="auto"/>
          <w:sz w:val="24"/>
        </w:rPr>
      </w:pPr>
      <w:r>
        <w:rPr>
          <w:rFonts w:hint="eastAsia" w:ascii="宋体" w:hAnsi="宋体" w:cs="宋体"/>
          <w:color w:val="auto"/>
          <w:sz w:val="24"/>
        </w:rPr>
        <w:t>日期：    年   月   日</w:t>
      </w:r>
    </w:p>
    <w:p>
      <w:pPr>
        <w:spacing w:line="500" w:lineRule="exact"/>
        <w:jc w:val="left"/>
        <w:rPr>
          <w:rFonts w:ascii="宋体" w:hAnsi="宋体" w:cs="宋体"/>
          <w:color w:val="auto"/>
          <w:sz w:val="24"/>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附件3</w:t>
      </w:r>
    </w:p>
    <w:p>
      <w:pPr>
        <w:spacing w:line="500" w:lineRule="exact"/>
        <w:jc w:val="center"/>
        <w:rPr>
          <w:rFonts w:ascii="宋体" w:hAnsi="宋体" w:cs="宋体"/>
          <w:b/>
          <w:color w:val="auto"/>
          <w:sz w:val="44"/>
          <w:szCs w:val="44"/>
        </w:rPr>
      </w:pPr>
      <w:r>
        <w:rPr>
          <w:rFonts w:hint="eastAsia" w:ascii="宋体" w:hAnsi="宋体" w:cs="宋体"/>
          <w:b/>
          <w:color w:val="auto"/>
          <w:sz w:val="44"/>
          <w:szCs w:val="44"/>
        </w:rPr>
        <w:t>授 权 委 托 书</w:t>
      </w:r>
    </w:p>
    <w:p>
      <w:pPr>
        <w:spacing w:line="520" w:lineRule="atLeast"/>
        <w:jc w:val="center"/>
        <w:rPr>
          <w:rFonts w:ascii="宋体" w:hAnsi="宋体" w:cs="宋体"/>
          <w:color w:val="auto"/>
          <w:sz w:val="44"/>
        </w:rPr>
      </w:pPr>
    </w:p>
    <w:p>
      <w:pPr>
        <w:spacing w:line="520" w:lineRule="atLeast"/>
        <w:ind w:firstLine="480" w:firstLineChars="200"/>
        <w:rPr>
          <w:rFonts w:ascii="宋体" w:hAnsi="宋体" w:cs="宋体"/>
          <w:color w:val="auto"/>
          <w:sz w:val="24"/>
        </w:rPr>
      </w:pPr>
      <w:r>
        <w:rPr>
          <w:rFonts w:hint="eastAsia" w:ascii="宋体" w:hAnsi="宋体" w:cs="宋体"/>
          <w:color w:val="auto"/>
          <w:sz w:val="24"/>
        </w:rPr>
        <w:t>本授权委托书声明：我</w:t>
      </w:r>
      <w:r>
        <w:rPr>
          <w:rFonts w:hint="eastAsia" w:ascii="宋体" w:hAnsi="宋体" w:cs="宋体"/>
          <w:color w:val="auto"/>
          <w:sz w:val="24"/>
          <w:u w:val="single"/>
        </w:rPr>
        <w:t>（姓名）</w:t>
      </w:r>
      <w:r>
        <w:rPr>
          <w:rFonts w:hint="eastAsia" w:ascii="宋体" w:hAnsi="宋体" w:cs="宋体"/>
          <w:color w:val="auto"/>
          <w:sz w:val="24"/>
        </w:rPr>
        <w:t>系</w:t>
      </w:r>
      <w:r>
        <w:rPr>
          <w:rFonts w:hint="eastAsia" w:ascii="宋体" w:hAnsi="宋体" w:cs="宋体"/>
          <w:color w:val="auto"/>
          <w:sz w:val="24"/>
          <w:u w:val="single"/>
        </w:rPr>
        <w:t>（投标人名称）</w:t>
      </w:r>
      <w:r>
        <w:rPr>
          <w:rFonts w:hint="eastAsia" w:ascii="宋体" w:hAnsi="宋体" w:cs="宋体"/>
          <w:color w:val="auto"/>
          <w:sz w:val="24"/>
        </w:rPr>
        <w:t>的法定代表人，现授权委托</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（姓名）</w:t>
      </w:r>
      <w:r>
        <w:rPr>
          <w:rFonts w:hint="eastAsia" w:ascii="宋体" w:hAnsi="宋体" w:cs="宋体"/>
          <w:color w:val="auto"/>
          <w:sz w:val="24"/>
        </w:rPr>
        <w:t>为我单位的代理人，以本单位的名义参加</w:t>
      </w:r>
      <w:r>
        <w:rPr>
          <w:rFonts w:hint="eastAsia" w:ascii="宋体" w:hAnsi="宋体" w:cs="宋体"/>
          <w:color w:val="auto"/>
          <w:sz w:val="24"/>
          <w:u w:val="single"/>
        </w:rPr>
        <w:t>（招标人名称）</w:t>
      </w:r>
      <w:r>
        <w:rPr>
          <w:rFonts w:hint="eastAsia" w:ascii="宋体" w:hAnsi="宋体" w:cs="宋体"/>
          <w:color w:val="auto"/>
          <w:sz w:val="24"/>
        </w:rPr>
        <w:t>的</w:t>
      </w:r>
      <w:r>
        <w:rPr>
          <w:rFonts w:hint="eastAsia" w:ascii="宋体" w:hAnsi="宋体" w:cs="宋体"/>
          <w:color w:val="auto"/>
          <w:sz w:val="24"/>
          <w:u w:val="single"/>
        </w:rPr>
        <w:t>（项目名称及编号）</w:t>
      </w:r>
      <w:r>
        <w:rPr>
          <w:rFonts w:hint="eastAsia" w:ascii="宋体" w:hAnsi="宋体" w:cs="宋体"/>
          <w:color w:val="auto"/>
          <w:sz w:val="24"/>
        </w:rPr>
        <w:t>项目的投标活动。代理人在开标、评标、合同谈判过程中所签署的一切文件和处理与之有关的一切事务，我均予以承认。代理人无转委托权。</w:t>
      </w:r>
    </w:p>
    <w:p>
      <w:pPr>
        <w:spacing w:line="520" w:lineRule="atLeast"/>
        <w:ind w:firstLine="480" w:firstLineChars="200"/>
        <w:rPr>
          <w:rFonts w:ascii="宋体" w:hAnsi="宋体" w:cs="宋体"/>
          <w:color w:val="auto"/>
          <w:sz w:val="24"/>
        </w:rPr>
      </w:pPr>
      <w:r>
        <w:rPr>
          <w:rFonts w:hint="eastAsia" w:ascii="宋体" w:hAnsi="宋体" w:cs="宋体"/>
          <w:color w:val="auto"/>
          <w:sz w:val="24"/>
        </w:rPr>
        <w:t>特此委托。</w:t>
      </w:r>
    </w:p>
    <w:p>
      <w:pPr>
        <w:spacing w:line="520" w:lineRule="atLeast"/>
        <w:rPr>
          <w:rFonts w:ascii="宋体" w:hAnsi="宋体" w:cs="宋体"/>
          <w:color w:val="auto"/>
          <w:sz w:val="24"/>
        </w:rPr>
      </w:pPr>
    </w:p>
    <w:p>
      <w:pPr>
        <w:spacing w:line="520" w:lineRule="atLeast"/>
        <w:ind w:firstLine="480" w:firstLineChars="200"/>
        <w:rPr>
          <w:rFonts w:ascii="宋体" w:hAnsi="宋体" w:cs="宋体"/>
          <w:color w:val="auto"/>
          <w:sz w:val="24"/>
        </w:rPr>
      </w:pPr>
      <w:r>
        <w:rPr>
          <w:rFonts w:hint="eastAsia" w:ascii="宋体" w:hAnsi="宋体" w:cs="宋体"/>
          <w:color w:val="auto"/>
          <w:sz w:val="24"/>
        </w:rPr>
        <w:t>代理人姓名：              性别：          身份证号码：</w:t>
      </w:r>
    </w:p>
    <w:p>
      <w:pPr>
        <w:spacing w:line="520" w:lineRule="atLeast"/>
        <w:ind w:firstLine="480" w:firstLineChars="200"/>
        <w:rPr>
          <w:rFonts w:ascii="宋体" w:hAnsi="宋体" w:cs="宋体"/>
          <w:color w:val="auto"/>
          <w:sz w:val="24"/>
        </w:rPr>
      </w:pPr>
      <w:r>
        <w:rPr>
          <w:rFonts w:hint="eastAsia" w:ascii="宋体" w:hAnsi="宋体" w:cs="宋体"/>
          <w:color w:val="auto"/>
          <w:sz w:val="24"/>
        </w:rPr>
        <w:t>电话：                    传真：          手机：</w:t>
      </w:r>
    </w:p>
    <w:p>
      <w:pPr>
        <w:spacing w:line="520" w:lineRule="atLeast"/>
        <w:rPr>
          <w:rFonts w:ascii="宋体" w:hAnsi="宋体" w:cs="宋体"/>
          <w:color w:val="auto"/>
          <w:sz w:val="24"/>
        </w:rPr>
      </w:pPr>
    </w:p>
    <w:p>
      <w:pPr>
        <w:spacing w:line="520" w:lineRule="atLeast"/>
        <w:jc w:val="center"/>
        <w:rPr>
          <w:rFonts w:ascii="宋体" w:hAnsi="宋体" w:cs="宋体"/>
          <w:color w:val="auto"/>
          <w:sz w:val="24"/>
        </w:rPr>
      </w:pPr>
      <w:r>
        <w:rPr>
          <w:rFonts w:hint="eastAsia" w:ascii="宋体" w:hAnsi="宋体" w:cs="宋体"/>
          <w:color w:val="auto"/>
          <w:sz w:val="24"/>
        </w:rPr>
        <w:t xml:space="preserve">        投标人（盖章）： </w:t>
      </w:r>
    </w:p>
    <w:p>
      <w:pPr>
        <w:spacing w:line="520" w:lineRule="atLeast"/>
        <w:jc w:val="center"/>
        <w:rPr>
          <w:rFonts w:ascii="宋体" w:hAnsi="宋体" w:cs="宋体"/>
          <w:color w:val="auto"/>
          <w:sz w:val="24"/>
        </w:rPr>
      </w:pPr>
    </w:p>
    <w:p>
      <w:pPr>
        <w:spacing w:line="520" w:lineRule="atLeast"/>
        <w:jc w:val="center"/>
        <w:rPr>
          <w:rFonts w:ascii="宋体" w:hAnsi="宋体" w:cs="宋体"/>
          <w:color w:val="auto"/>
          <w:sz w:val="24"/>
        </w:rPr>
      </w:pPr>
      <w:r>
        <w:rPr>
          <w:rFonts w:hint="eastAsia" w:ascii="宋体" w:hAnsi="宋体" w:cs="宋体"/>
          <w:color w:val="auto"/>
          <w:sz w:val="24"/>
        </w:rPr>
        <w:t xml:space="preserve">                  法定代表人（签字或盖章）：</w:t>
      </w:r>
    </w:p>
    <w:p>
      <w:pPr>
        <w:spacing w:line="520" w:lineRule="atLeast"/>
        <w:rPr>
          <w:rFonts w:ascii="宋体" w:hAnsi="宋体" w:cs="宋体"/>
          <w:color w:val="auto"/>
          <w:sz w:val="24"/>
        </w:rPr>
      </w:pPr>
    </w:p>
    <w:p>
      <w:pPr>
        <w:spacing w:line="520" w:lineRule="atLeast"/>
        <w:rPr>
          <w:rFonts w:ascii="宋体" w:hAnsi="宋体" w:cs="宋体"/>
          <w:color w:val="auto"/>
          <w:sz w:val="24"/>
        </w:rPr>
      </w:pPr>
    </w:p>
    <w:p>
      <w:pPr>
        <w:spacing w:line="520" w:lineRule="atLeast"/>
        <w:ind w:firstLine="480" w:firstLineChars="200"/>
        <w:rPr>
          <w:rFonts w:ascii="宋体" w:hAnsi="宋体" w:cs="宋体"/>
          <w:b/>
          <w:color w:val="auto"/>
          <w:sz w:val="24"/>
        </w:rPr>
      </w:pPr>
      <w:r>
        <w:rPr>
          <w:rFonts w:hint="eastAsia" w:ascii="宋体" w:hAnsi="宋体" w:cs="宋体"/>
          <w:b/>
          <w:color w:val="auto"/>
          <w:sz w:val="24"/>
        </w:rPr>
        <w:t>代理人身份证复印件粘贴处：</w:t>
      </w:r>
    </w:p>
    <w:p>
      <w:pPr>
        <w:spacing w:line="500" w:lineRule="exact"/>
        <w:jc w:val="left"/>
        <w:rPr>
          <w:rFonts w:ascii="宋体" w:hAnsi="宋体" w:cs="宋体"/>
          <w:color w:val="auto"/>
          <w:sz w:val="24"/>
        </w:rPr>
      </w:pPr>
      <w:r>
        <w:rPr>
          <w:rFonts w:hint="eastAsia" w:ascii="宋体" w:hAnsi="宋体" w:cs="宋体"/>
          <w:color w:val="auto"/>
          <w:sz w:val="24"/>
        </w:rPr>
        <w:br w:type="page"/>
      </w:r>
    </w:p>
    <w:p>
      <w:pPr>
        <w:pStyle w:val="10"/>
        <w:tabs>
          <w:tab w:val="left" w:pos="840"/>
        </w:tabs>
        <w:spacing w:after="156" w:afterLines="50" w:line="320" w:lineRule="exact"/>
        <w:ind w:firstLine="0"/>
        <w:rPr>
          <w:rFonts w:ascii="宋体" w:hAnsi="宋体" w:eastAsia="宋体" w:cs="宋体"/>
          <w:color w:val="auto"/>
        </w:rPr>
      </w:pPr>
      <w:r>
        <w:rPr>
          <w:rFonts w:hint="eastAsia" w:ascii="宋体" w:hAnsi="宋体" w:eastAsia="宋体" w:cs="宋体"/>
          <w:bCs w:val="0"/>
          <w:color w:val="auto"/>
          <w:sz w:val="32"/>
          <w:szCs w:val="32"/>
        </w:rPr>
        <w:t>附件4</w:t>
      </w:r>
    </w:p>
    <w:p>
      <w:pPr>
        <w:pStyle w:val="10"/>
        <w:spacing w:after="156" w:afterLines="50" w:line="240" w:lineRule="auto"/>
        <w:ind w:firstLine="516"/>
        <w:jc w:val="center"/>
        <w:rPr>
          <w:rFonts w:ascii="宋体" w:hAnsi="宋体" w:eastAsia="宋体" w:cs="宋体"/>
          <w:bCs w:val="0"/>
          <w:color w:val="auto"/>
          <w:sz w:val="32"/>
          <w:szCs w:val="32"/>
        </w:rPr>
      </w:pPr>
      <w:r>
        <w:rPr>
          <w:rFonts w:hint="eastAsia" w:ascii="宋体" w:hAnsi="宋体" w:eastAsia="宋体" w:cs="宋体"/>
          <w:bCs w:val="0"/>
          <w:color w:val="auto"/>
          <w:sz w:val="44"/>
          <w:szCs w:val="44"/>
        </w:rPr>
        <w:t>投标承诺书</w:t>
      </w:r>
    </w:p>
    <w:p>
      <w:pPr>
        <w:pStyle w:val="10"/>
        <w:spacing w:line="336" w:lineRule="auto"/>
        <w:rPr>
          <w:rFonts w:ascii="宋体" w:hAnsi="宋体" w:eastAsia="宋体" w:cs="宋体"/>
          <w:b w:val="0"/>
          <w:color w:val="auto"/>
          <w:u w:val="single"/>
        </w:rPr>
      </w:pPr>
      <w:r>
        <w:rPr>
          <w:rFonts w:hint="eastAsia" w:ascii="宋体" w:hAnsi="宋体" w:eastAsia="宋体" w:cs="宋体"/>
          <w:b w:val="0"/>
          <w:color w:val="auto"/>
        </w:rPr>
        <w:t>致：　</w:t>
      </w:r>
      <w:r>
        <w:rPr>
          <w:rFonts w:hint="eastAsia" w:ascii="宋体" w:hAnsi="宋体" w:eastAsia="宋体" w:cs="宋体"/>
          <w:b w:val="0"/>
          <w:color w:val="auto"/>
          <w:u w:val="single"/>
        </w:rPr>
        <w:t>　　　　　　　　　　　　　　　　（招标人名称）：</w:t>
      </w:r>
    </w:p>
    <w:p>
      <w:pPr>
        <w:pStyle w:val="10"/>
        <w:spacing w:line="420" w:lineRule="exact"/>
        <w:ind w:firstLine="520" w:firstLineChars="200"/>
        <w:rPr>
          <w:rFonts w:ascii="宋体" w:hAnsi="宋体" w:eastAsia="宋体" w:cs="宋体"/>
          <w:b w:val="0"/>
          <w:color w:val="auto"/>
        </w:rPr>
      </w:pPr>
      <w:r>
        <w:rPr>
          <w:rFonts w:hint="eastAsia" w:ascii="宋体" w:hAnsi="宋体" w:eastAsia="宋体" w:cs="宋体"/>
          <w:b w:val="0"/>
          <w:color w:val="auto"/>
          <w:spacing w:val="10"/>
        </w:rPr>
        <w:t>1、根据你方招标项目</w:t>
      </w:r>
      <w:r>
        <w:rPr>
          <w:rFonts w:hint="eastAsia" w:ascii="宋体" w:hAnsi="宋体" w:eastAsia="宋体" w:cs="宋体"/>
          <w:b w:val="0"/>
          <w:color w:val="auto"/>
          <w:spacing w:val="10"/>
          <w:u w:val="single"/>
        </w:rPr>
        <w:t>　　　　　         　</w:t>
      </w:r>
      <w:r>
        <w:rPr>
          <w:rFonts w:hint="eastAsia" w:ascii="宋体" w:hAnsi="宋体" w:eastAsia="宋体" w:cs="宋体"/>
          <w:b w:val="0"/>
          <w:color w:val="auto"/>
          <w:spacing w:val="10"/>
        </w:rPr>
        <w:t>的招标文件、遵照《中华人民共和国招标投标法》等有关规定，经踏勘项目现场和研究上述招标文件的投标须知、合同条</w:t>
      </w:r>
      <w:r>
        <w:rPr>
          <w:rFonts w:hint="eastAsia" w:ascii="宋体" w:hAnsi="宋体" w:eastAsia="宋体" w:cs="宋体"/>
          <w:b w:val="0"/>
          <w:color w:val="auto"/>
          <w:spacing w:val="10"/>
          <w:kern w:val="24"/>
        </w:rPr>
        <w:t>款、项目需求、质量标准和采购清单及其他有关文件后，我方愿以</w:t>
      </w:r>
      <w:r>
        <w:rPr>
          <w:rFonts w:hint="eastAsia" w:ascii="宋体" w:hAnsi="宋体" w:eastAsia="宋体" w:cs="宋体"/>
          <w:b w:val="0"/>
          <w:bCs w:val="0"/>
          <w:color w:val="auto"/>
        </w:rPr>
        <w:t>开标一览表中报价</w:t>
      </w:r>
      <w:r>
        <w:rPr>
          <w:rFonts w:hint="eastAsia" w:ascii="宋体" w:hAnsi="宋体" w:eastAsia="宋体" w:cs="宋体"/>
          <w:b w:val="0"/>
          <w:color w:val="auto"/>
          <w:spacing w:val="10"/>
        </w:rPr>
        <w:t>并按上述合同条</w:t>
      </w:r>
      <w:r>
        <w:rPr>
          <w:rFonts w:hint="eastAsia" w:ascii="宋体" w:hAnsi="宋体" w:eastAsia="宋体" w:cs="宋体"/>
          <w:b w:val="0"/>
          <w:color w:val="auto"/>
          <w:spacing w:val="10"/>
          <w:kern w:val="24"/>
        </w:rPr>
        <w:t>款、项目需求、质量标准和采购清单等招标文件所有</w:t>
      </w:r>
      <w:r>
        <w:rPr>
          <w:rFonts w:hint="eastAsia" w:ascii="宋体" w:hAnsi="宋体" w:eastAsia="宋体" w:cs="宋体"/>
          <w:b w:val="0"/>
          <w:color w:val="auto"/>
        </w:rPr>
        <w:t>条件要求承包上述项目的供货、验收等所有内容，并承担任何质量缺陷保修责任。</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2、我方已详细阅读全部招标文件，包括修改文件、答疑（如有）及有关附件，我方承诺完全响应并认可上述文件的所有内容。</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3、我方承认投标承诺书附件是我方投标承诺书的组成部分。</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4、一旦我方中标，我方保证在招标人要求的供货期内完成并交付全部货物，并确保质量达到合格标准并符合招标文件及招标人要求。</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5、如果我方在投标有效期内撤回投标、无故放弃中标资格，或违反招标文件、法律、法规规定的其他事项，我方将承担相应的责任。</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6、我方同意所提交的投标文件在招标文件规定的投标有效期内有效，在此期间内如果中标，我方将受此约束。</w:t>
      </w:r>
    </w:p>
    <w:p>
      <w:pPr>
        <w:pStyle w:val="10"/>
        <w:spacing w:line="420" w:lineRule="exact"/>
        <w:ind w:firstLine="480" w:firstLineChars="200"/>
        <w:rPr>
          <w:rFonts w:ascii="宋体" w:hAnsi="宋体" w:eastAsia="宋体" w:cs="宋体"/>
          <w:b w:val="0"/>
          <w:color w:val="auto"/>
        </w:rPr>
      </w:pPr>
      <w:r>
        <w:rPr>
          <w:rFonts w:hint="eastAsia" w:ascii="宋体" w:hAnsi="宋体" w:eastAsia="宋体" w:cs="宋体"/>
          <w:b w:val="0"/>
          <w:color w:val="auto"/>
        </w:rPr>
        <w:t>7、除非另外达成协议生效，你方的《中标通知书》和本投标文件将成为约束双方的合同文件的组成部分。</w:t>
      </w:r>
    </w:p>
    <w:p>
      <w:pPr>
        <w:pStyle w:val="10"/>
        <w:spacing w:line="340" w:lineRule="exact"/>
        <w:ind w:firstLine="1473" w:firstLineChars="614"/>
        <w:rPr>
          <w:rFonts w:ascii="宋体" w:hAnsi="宋体" w:eastAsia="宋体" w:cs="宋体"/>
          <w:b w:val="0"/>
          <w:color w:val="auto"/>
        </w:rPr>
      </w:pPr>
    </w:p>
    <w:p>
      <w:pPr>
        <w:pStyle w:val="10"/>
        <w:spacing w:line="340" w:lineRule="exact"/>
        <w:ind w:firstLine="1473" w:firstLineChars="614"/>
        <w:rPr>
          <w:rFonts w:ascii="宋体" w:hAnsi="宋体" w:eastAsia="宋体" w:cs="宋体"/>
          <w:b w:val="0"/>
          <w:color w:val="auto"/>
        </w:rPr>
      </w:pPr>
    </w:p>
    <w:p>
      <w:pPr>
        <w:pStyle w:val="10"/>
        <w:spacing w:line="500" w:lineRule="exact"/>
        <w:ind w:firstLine="1473" w:firstLineChars="614"/>
        <w:rPr>
          <w:rFonts w:ascii="宋体" w:hAnsi="宋体" w:eastAsia="宋体" w:cs="宋体"/>
          <w:b w:val="0"/>
          <w:color w:val="auto"/>
        </w:rPr>
      </w:pPr>
      <w:r>
        <w:rPr>
          <w:rFonts w:hint="eastAsia" w:ascii="宋体" w:hAnsi="宋体" w:eastAsia="宋体" w:cs="宋体"/>
          <w:b w:val="0"/>
          <w:color w:val="auto"/>
        </w:rPr>
        <w:t>投标人（盖章）：</w:t>
      </w:r>
      <w:r>
        <w:rPr>
          <w:rFonts w:hint="eastAsia" w:ascii="宋体" w:hAnsi="宋体" w:eastAsia="宋体" w:cs="宋体"/>
          <w:b w:val="0"/>
          <w:color w:val="auto"/>
          <w:u w:val="single"/>
        </w:rPr>
        <w:t>　　　　　　　　　　　　　　　   　　　　</w:t>
      </w:r>
    </w:p>
    <w:p>
      <w:pPr>
        <w:pStyle w:val="10"/>
        <w:spacing w:line="500" w:lineRule="exact"/>
        <w:ind w:left="315" w:firstLine="1200" w:firstLineChars="500"/>
        <w:rPr>
          <w:rFonts w:ascii="宋体" w:hAnsi="宋体" w:eastAsia="宋体" w:cs="宋体"/>
          <w:b w:val="0"/>
          <w:color w:val="auto"/>
          <w:u w:val="single"/>
        </w:rPr>
      </w:pPr>
      <w:r>
        <w:rPr>
          <w:rFonts w:hint="eastAsia" w:ascii="宋体" w:hAnsi="宋体" w:eastAsia="宋体" w:cs="宋体"/>
          <w:b w:val="0"/>
          <w:color w:val="auto"/>
        </w:rPr>
        <w:t>地址：</w:t>
      </w:r>
      <w:r>
        <w:rPr>
          <w:rFonts w:hint="eastAsia" w:ascii="宋体" w:hAnsi="宋体" w:eastAsia="宋体" w:cs="宋体"/>
          <w:b w:val="0"/>
          <w:color w:val="auto"/>
          <w:u w:val="single"/>
        </w:rPr>
        <w:t>　　　　　　　　　   　　　　　　　　　　 　　　　</w:t>
      </w:r>
    </w:p>
    <w:p>
      <w:pPr>
        <w:pStyle w:val="10"/>
        <w:spacing w:line="500" w:lineRule="exact"/>
        <w:ind w:left="315" w:firstLine="1200" w:firstLineChars="500"/>
        <w:rPr>
          <w:rFonts w:ascii="宋体" w:hAnsi="宋体" w:eastAsia="宋体" w:cs="宋体"/>
          <w:b w:val="0"/>
          <w:color w:val="auto"/>
          <w:u w:val="single"/>
        </w:rPr>
      </w:pPr>
      <w:r>
        <w:rPr>
          <w:rFonts w:hint="eastAsia" w:ascii="宋体" w:hAnsi="宋体" w:eastAsia="宋体" w:cs="宋体"/>
          <w:b w:val="0"/>
          <w:color w:val="auto"/>
        </w:rPr>
        <w:t>法定代表人或其委托代理人（签字或盖章）：</w:t>
      </w:r>
      <w:r>
        <w:rPr>
          <w:rFonts w:hint="eastAsia" w:ascii="宋体" w:hAnsi="宋体" w:eastAsia="宋体" w:cs="宋体"/>
          <w:b w:val="0"/>
          <w:color w:val="auto"/>
          <w:u w:val="single"/>
        </w:rPr>
        <w:t>　　　　　　 　　</w:t>
      </w:r>
    </w:p>
    <w:p>
      <w:pPr>
        <w:pStyle w:val="10"/>
        <w:spacing w:line="500" w:lineRule="exact"/>
        <w:ind w:left="315" w:firstLine="1200" w:firstLineChars="500"/>
        <w:rPr>
          <w:rFonts w:ascii="宋体" w:hAnsi="宋体" w:eastAsia="宋体" w:cs="宋体"/>
          <w:b w:val="0"/>
          <w:color w:val="auto"/>
        </w:rPr>
      </w:pPr>
      <w:r>
        <w:rPr>
          <w:rFonts w:hint="eastAsia" w:ascii="宋体" w:hAnsi="宋体" w:eastAsia="宋体" w:cs="宋体"/>
          <w:b w:val="0"/>
          <w:color w:val="auto"/>
        </w:rPr>
        <w:t>邮政编码：</w:t>
      </w:r>
      <w:r>
        <w:rPr>
          <w:rFonts w:hint="eastAsia" w:ascii="宋体" w:hAnsi="宋体" w:eastAsia="宋体" w:cs="宋体"/>
          <w:b w:val="0"/>
          <w:color w:val="auto"/>
          <w:u w:val="single"/>
        </w:rPr>
        <w:t>　　　　</w:t>
      </w:r>
      <w:r>
        <w:rPr>
          <w:rFonts w:hint="eastAsia" w:ascii="宋体" w:hAnsi="宋体" w:eastAsia="宋体" w:cs="宋体"/>
          <w:b w:val="0"/>
          <w:color w:val="auto"/>
        </w:rPr>
        <w:t>　　电话：</w:t>
      </w:r>
      <w:r>
        <w:rPr>
          <w:rFonts w:hint="eastAsia" w:ascii="宋体" w:hAnsi="宋体" w:eastAsia="宋体" w:cs="宋体"/>
          <w:b w:val="0"/>
          <w:color w:val="auto"/>
          <w:u w:val="single"/>
        </w:rPr>
        <w:t>　　　　</w:t>
      </w:r>
      <w:r>
        <w:rPr>
          <w:rFonts w:hint="eastAsia" w:ascii="宋体" w:hAnsi="宋体" w:eastAsia="宋体" w:cs="宋体"/>
          <w:b w:val="0"/>
          <w:color w:val="auto"/>
        </w:rPr>
        <w:t>　　传真：</w:t>
      </w:r>
      <w:r>
        <w:rPr>
          <w:rFonts w:hint="eastAsia" w:ascii="宋体" w:hAnsi="宋体" w:eastAsia="宋体" w:cs="宋体"/>
          <w:b w:val="0"/>
          <w:color w:val="auto"/>
          <w:u w:val="single"/>
        </w:rPr>
        <w:t>　　　　　</w:t>
      </w:r>
    </w:p>
    <w:p>
      <w:pPr>
        <w:spacing w:line="500" w:lineRule="exact"/>
        <w:ind w:firstLine="5145" w:firstLineChars="2450"/>
        <w:jc w:val="left"/>
        <w:rPr>
          <w:rFonts w:ascii="宋体" w:hAnsi="宋体" w:cs="宋体"/>
          <w:color w:val="auto"/>
        </w:rPr>
      </w:pPr>
      <w:r>
        <w:rPr>
          <w:rFonts w:hint="eastAsia" w:ascii="宋体" w:hAnsi="宋体" w:cs="宋体"/>
          <w:color w:val="auto"/>
        </w:rPr>
        <w:t>日期：　　　年　  月　　日</w:t>
      </w: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pStyle w:val="10"/>
        <w:tabs>
          <w:tab w:val="left" w:pos="840"/>
        </w:tabs>
        <w:spacing w:after="156" w:afterLines="50" w:line="320" w:lineRule="exact"/>
        <w:ind w:firstLine="0"/>
        <w:rPr>
          <w:rFonts w:ascii="宋体" w:hAnsi="宋体" w:eastAsia="宋体" w:cs="宋体"/>
          <w:color w:val="auto"/>
        </w:rPr>
      </w:pPr>
      <w:bookmarkStart w:id="3" w:name="_Toc11930"/>
      <w:r>
        <w:rPr>
          <w:rFonts w:hint="eastAsia" w:ascii="宋体" w:hAnsi="宋体" w:eastAsia="宋体" w:cs="宋体"/>
          <w:bCs w:val="0"/>
          <w:color w:val="auto"/>
          <w:sz w:val="32"/>
          <w:szCs w:val="32"/>
        </w:rPr>
        <w:t>附件5</w:t>
      </w:r>
    </w:p>
    <w:p>
      <w:pPr>
        <w:pStyle w:val="7"/>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开标一览表</w:t>
      </w:r>
      <w:bookmarkEnd w:id="3"/>
    </w:p>
    <w:p>
      <w:pPr>
        <w:rPr>
          <w:color w:val="auto"/>
        </w:rPr>
      </w:pPr>
    </w:p>
    <w:tbl>
      <w:tblPr>
        <w:tblStyle w:val="25"/>
        <w:tblW w:w="90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auto"/>
                <w:szCs w:val="28"/>
              </w:rPr>
            </w:pPr>
            <w:r>
              <w:rPr>
                <w:rFonts w:hint="eastAsia" w:ascii="宋体" w:hAnsi="宋体" w:cs="宋体"/>
                <w:color w:val="auto"/>
                <w:szCs w:val="28"/>
              </w:rPr>
              <w:t>项目编号</w:t>
            </w:r>
          </w:p>
        </w:tc>
        <w:tc>
          <w:tcPr>
            <w:tcW w:w="6663" w:type="dxa"/>
            <w:vAlign w:val="center"/>
          </w:tcPr>
          <w:p>
            <w:pPr>
              <w:pStyle w:val="4"/>
              <w:jc w:val="both"/>
              <w:rPr>
                <w:rFonts w:ascii="宋体" w:hAnsi="宋体" w:eastAsia="宋体" w:cs="宋体"/>
                <w:color w:val="auto"/>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auto"/>
                <w:szCs w:val="28"/>
              </w:rPr>
            </w:pPr>
            <w:r>
              <w:rPr>
                <w:rFonts w:hint="eastAsia" w:ascii="宋体" w:hAnsi="宋体" w:cs="宋体"/>
                <w:color w:val="auto"/>
                <w:szCs w:val="28"/>
              </w:rPr>
              <w:t>项目名称</w:t>
            </w:r>
          </w:p>
        </w:tc>
        <w:tc>
          <w:tcPr>
            <w:tcW w:w="6663" w:type="dxa"/>
            <w:vAlign w:val="center"/>
          </w:tcPr>
          <w:p>
            <w:pPr>
              <w:pStyle w:val="4"/>
              <w:jc w:val="both"/>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color w:val="auto"/>
                <w:szCs w:val="28"/>
                <w:u w:val="single"/>
              </w:rPr>
            </w:pPr>
            <w:r>
              <w:rPr>
                <w:rFonts w:hint="eastAsia" w:ascii="宋体" w:hAnsi="宋体" w:cs="宋体"/>
                <w:b/>
                <w:bCs/>
                <w:color w:val="auto"/>
                <w:szCs w:val="28"/>
              </w:rPr>
              <w:t>项目投标报价：总价（大写）</w:t>
            </w:r>
            <w:r>
              <w:rPr>
                <w:rFonts w:hint="eastAsia" w:ascii="宋体" w:hAnsi="宋体" w:cs="宋体"/>
                <w:b/>
                <w:bCs/>
                <w:color w:val="auto"/>
                <w:szCs w:val="28"/>
                <w:u w:val="single"/>
              </w:rPr>
              <w:t xml:space="preserve">      </w:t>
            </w:r>
            <w:r>
              <w:rPr>
                <w:rFonts w:hint="eastAsia" w:ascii="宋体" w:hAnsi="宋体" w:cs="宋体"/>
                <w:b/>
                <w:bCs/>
                <w:color w:val="auto"/>
                <w:szCs w:val="28"/>
              </w:rPr>
              <w:t>元 ，小写</w:t>
            </w:r>
            <w:r>
              <w:rPr>
                <w:rFonts w:hint="eastAsia" w:ascii="宋体" w:hAnsi="宋体" w:cs="宋体"/>
                <w:b/>
                <w:bCs/>
                <w:color w:val="auto"/>
                <w:szCs w:val="28"/>
                <w:u w:val="single"/>
              </w:rPr>
              <w:t xml:space="preserve">     </w:t>
            </w:r>
            <w:r>
              <w:rPr>
                <w:rFonts w:hint="eastAsia" w:ascii="宋体" w:hAnsi="宋体" w:cs="宋体"/>
                <w:b/>
                <w:bCs/>
                <w:color w:val="auto"/>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auto"/>
                <w:szCs w:val="28"/>
              </w:rPr>
            </w:pPr>
            <w:r>
              <w:rPr>
                <w:rFonts w:hint="eastAsia" w:ascii="宋体" w:hAnsi="宋体" w:cs="宋体"/>
                <w:b/>
                <w:bCs/>
                <w:color w:val="auto"/>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79" w:type="dxa"/>
            <w:gridSpan w:val="2"/>
            <w:vAlign w:val="center"/>
          </w:tcPr>
          <w:p>
            <w:pPr>
              <w:rPr>
                <w:rFonts w:ascii="宋体" w:cs="宋体"/>
                <w:b/>
                <w:bCs/>
                <w:color w:val="auto"/>
                <w:szCs w:val="28"/>
              </w:rPr>
            </w:pPr>
            <w:r>
              <w:rPr>
                <w:rFonts w:hint="eastAsia" w:ascii="宋体" w:hAnsi="宋体" w:cs="宋体"/>
                <w:b/>
                <w:bCs/>
                <w:color w:val="auto"/>
                <w:szCs w:val="28"/>
              </w:rPr>
              <w:t>项目实施时间（供期或工期）：</w:t>
            </w:r>
          </w:p>
        </w:tc>
      </w:tr>
    </w:tbl>
    <w:p>
      <w:pPr>
        <w:spacing w:line="180" w:lineRule="atLeast"/>
        <w:rPr>
          <w:rFonts w:ascii="宋体" w:hAnsi="宋体" w:cs="宋体"/>
          <w:color w:val="auto"/>
          <w:szCs w:val="28"/>
        </w:rPr>
      </w:pPr>
    </w:p>
    <w:p>
      <w:pPr>
        <w:spacing w:line="180" w:lineRule="atLeast"/>
        <w:rPr>
          <w:rFonts w:ascii="宋体" w:cs="宋体"/>
          <w:color w:val="auto"/>
          <w:sz w:val="24"/>
        </w:rPr>
      </w:pPr>
      <w:r>
        <w:rPr>
          <w:rFonts w:hint="eastAsia" w:ascii="宋体" w:hAnsi="宋体" w:cs="宋体"/>
          <w:color w:val="auto"/>
          <w:szCs w:val="28"/>
        </w:rPr>
        <w:t>填写说明：</w:t>
      </w:r>
      <w:r>
        <w:rPr>
          <w:rFonts w:hint="eastAsia" w:ascii="宋体" w:hAnsi="宋体" w:cs="宋体"/>
          <w:color w:val="auto"/>
          <w:sz w:val="24"/>
        </w:rPr>
        <w:t>开标一览表不得填报选择性报价，否则将作为无效投标。</w:t>
      </w:r>
    </w:p>
    <w:p>
      <w:pPr>
        <w:ind w:firstLine="2640" w:firstLineChars="600"/>
        <w:rPr>
          <w:rFonts w:ascii="宋体" w:cs="宋体"/>
          <w:color w:val="auto"/>
          <w:sz w:val="44"/>
        </w:rPr>
      </w:pPr>
    </w:p>
    <w:p>
      <w:pPr>
        <w:ind w:firstLine="480"/>
        <w:rPr>
          <w:rFonts w:ascii="宋体" w:cs="宋体"/>
          <w:color w:val="auto"/>
          <w:sz w:val="24"/>
        </w:rPr>
      </w:pPr>
    </w:p>
    <w:p>
      <w:pPr>
        <w:ind w:firstLine="480"/>
        <w:rPr>
          <w:rFonts w:ascii="宋体" w:cs="宋体"/>
          <w:color w:val="auto"/>
          <w:sz w:val="24"/>
        </w:rPr>
      </w:pPr>
    </w:p>
    <w:p>
      <w:pPr>
        <w:pStyle w:val="10"/>
        <w:spacing w:line="500" w:lineRule="exact"/>
        <w:ind w:firstLine="1473" w:firstLineChars="614"/>
        <w:rPr>
          <w:rFonts w:ascii="宋体" w:hAnsi="宋体" w:eastAsia="宋体" w:cs="宋体"/>
          <w:b w:val="0"/>
          <w:color w:val="auto"/>
        </w:rPr>
      </w:pPr>
      <w:r>
        <w:rPr>
          <w:rFonts w:hint="eastAsia" w:ascii="宋体" w:hAnsi="宋体" w:eastAsia="宋体" w:cs="宋体"/>
          <w:b w:val="0"/>
          <w:color w:val="auto"/>
        </w:rPr>
        <w:t>投标人（盖章）：</w:t>
      </w:r>
      <w:r>
        <w:rPr>
          <w:rFonts w:hint="eastAsia" w:ascii="宋体" w:hAnsi="宋体" w:eastAsia="宋体" w:cs="宋体"/>
          <w:b w:val="0"/>
          <w:color w:val="auto"/>
          <w:u w:val="single"/>
        </w:rPr>
        <w:t>　　　　　　　　　　　　　　　   　　　　</w:t>
      </w:r>
    </w:p>
    <w:p>
      <w:pPr>
        <w:pStyle w:val="10"/>
        <w:spacing w:line="500" w:lineRule="exact"/>
        <w:ind w:left="315" w:firstLine="1200" w:firstLineChars="500"/>
        <w:rPr>
          <w:rFonts w:ascii="宋体" w:hAnsi="宋体" w:eastAsia="宋体" w:cs="宋体"/>
          <w:b w:val="0"/>
          <w:color w:val="auto"/>
          <w:u w:val="single"/>
        </w:rPr>
      </w:pPr>
      <w:r>
        <w:rPr>
          <w:rFonts w:hint="eastAsia" w:ascii="宋体" w:hAnsi="宋体" w:eastAsia="宋体" w:cs="宋体"/>
          <w:b w:val="0"/>
          <w:color w:val="auto"/>
        </w:rPr>
        <w:t>法定代表人或其委托代理人（签字或盖章）：</w:t>
      </w:r>
      <w:r>
        <w:rPr>
          <w:rFonts w:hint="eastAsia" w:ascii="宋体" w:hAnsi="宋体" w:eastAsia="宋体" w:cs="宋体"/>
          <w:b w:val="0"/>
          <w:color w:val="auto"/>
          <w:u w:val="single"/>
        </w:rPr>
        <w:t>　　　　　　 　　</w:t>
      </w:r>
    </w:p>
    <w:p>
      <w:pPr>
        <w:spacing w:line="500" w:lineRule="exact"/>
        <w:ind w:firstLine="5145" w:firstLineChars="2450"/>
        <w:jc w:val="left"/>
        <w:rPr>
          <w:rFonts w:ascii="宋体" w:hAnsi="宋体" w:cs="宋体"/>
          <w:color w:val="auto"/>
        </w:rPr>
      </w:pPr>
    </w:p>
    <w:p>
      <w:pPr>
        <w:spacing w:line="500" w:lineRule="exact"/>
        <w:ind w:firstLine="5145" w:firstLineChars="2450"/>
        <w:jc w:val="left"/>
        <w:rPr>
          <w:rFonts w:ascii="宋体" w:hAnsi="宋体" w:cs="宋体"/>
          <w:color w:val="auto"/>
        </w:rPr>
      </w:pPr>
      <w:r>
        <w:rPr>
          <w:rFonts w:hint="eastAsia" w:ascii="宋体" w:hAnsi="宋体" w:cs="宋体"/>
          <w:color w:val="auto"/>
        </w:rPr>
        <w:t>日期：　　　年　  月　　日</w:t>
      </w: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pPr>
    </w:p>
    <w:p>
      <w:pPr>
        <w:spacing w:line="500" w:lineRule="exact"/>
        <w:jc w:val="left"/>
        <w:rPr>
          <w:rFonts w:ascii="宋体" w:hAnsi="宋体" w:cs="宋体"/>
          <w:b/>
          <w:color w:val="auto"/>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p>
    <w:tbl>
      <w:tblPr>
        <w:tblStyle w:val="25"/>
        <w:tblW w:w="14970" w:type="dxa"/>
        <w:tblInd w:w="91" w:type="dxa"/>
        <w:tblLayout w:type="fixed"/>
        <w:tblCellMar>
          <w:top w:w="0" w:type="dxa"/>
          <w:left w:w="108" w:type="dxa"/>
          <w:bottom w:w="0" w:type="dxa"/>
          <w:right w:w="108" w:type="dxa"/>
        </w:tblCellMar>
      </w:tblPr>
      <w:tblGrid>
        <w:gridCol w:w="670"/>
        <w:gridCol w:w="1245"/>
        <w:gridCol w:w="1026"/>
        <w:gridCol w:w="744"/>
        <w:gridCol w:w="877"/>
        <w:gridCol w:w="1030"/>
        <w:gridCol w:w="986"/>
        <w:gridCol w:w="1319"/>
        <w:gridCol w:w="4237"/>
        <w:gridCol w:w="2836"/>
      </w:tblGrid>
      <w:tr>
        <w:tblPrEx>
          <w:tblCellMar>
            <w:top w:w="0" w:type="dxa"/>
            <w:left w:w="108" w:type="dxa"/>
            <w:bottom w:w="0" w:type="dxa"/>
            <w:right w:w="108" w:type="dxa"/>
          </w:tblCellMar>
        </w:tblPrEx>
        <w:trPr>
          <w:cantSplit/>
        </w:trPr>
        <w:tc>
          <w:tcPr>
            <w:tcW w:w="14970"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44"/>
                <w:szCs w:val="44"/>
              </w:rPr>
            </w:pPr>
            <w:r>
              <w:rPr>
                <w:rFonts w:hint="eastAsia" w:ascii="宋体" w:hAnsi="宋体" w:cs="宋体"/>
                <w:color w:val="auto"/>
                <w:kern w:val="0"/>
                <w:sz w:val="44"/>
                <w:szCs w:val="44"/>
                <w:lang w:bidi="ar"/>
              </w:rPr>
              <w:t xml:space="preserve">  盐城工业职业技术学院</w:t>
            </w:r>
            <w:r>
              <w:rPr>
                <w:rFonts w:hint="eastAsia" w:ascii="宋体" w:hAnsi="宋体" w:cs="宋体"/>
                <w:color w:val="auto"/>
                <w:kern w:val="0"/>
                <w:sz w:val="44"/>
                <w:szCs w:val="44"/>
                <w:lang w:eastAsia="zh-CN" w:bidi="ar"/>
              </w:rPr>
              <w:t>食堂油烟净化及排油烟系统改造工程</w:t>
            </w:r>
            <w:r>
              <w:rPr>
                <w:rFonts w:hint="eastAsia" w:ascii="宋体" w:hAnsi="宋体" w:cs="宋体"/>
                <w:color w:val="auto"/>
                <w:kern w:val="0"/>
                <w:sz w:val="44"/>
                <w:szCs w:val="44"/>
                <w:lang w:bidi="ar"/>
              </w:rPr>
              <w:br w:type="textWrapping"/>
            </w:r>
            <w:r>
              <w:rPr>
                <w:rFonts w:hint="eastAsia" w:ascii="宋体" w:hAnsi="宋体" w:cs="宋体"/>
                <w:color w:val="auto"/>
                <w:kern w:val="0"/>
                <w:sz w:val="44"/>
                <w:szCs w:val="44"/>
                <w:lang w:bidi="ar"/>
              </w:rPr>
              <w:t>工程量清单报价表</w:t>
            </w:r>
          </w:p>
        </w:tc>
      </w:tr>
      <w:tr>
        <w:tblPrEx>
          <w:tblCellMar>
            <w:top w:w="0" w:type="dxa"/>
            <w:left w:w="108" w:type="dxa"/>
            <w:bottom w:w="0" w:type="dxa"/>
            <w:right w:w="108" w:type="dxa"/>
          </w:tblCellMar>
        </w:tblPrEx>
        <w:trPr>
          <w:cantSplit/>
          <w:trHeight w:val="632"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序号</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设备名称</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规格</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数量</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单位</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单价（元）</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小计（元）</w:t>
            </w: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推荐品牌</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备注</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图片</w:t>
            </w:r>
          </w:p>
        </w:tc>
      </w:tr>
      <w:tr>
        <w:tblPrEx>
          <w:tblCellMar>
            <w:top w:w="0" w:type="dxa"/>
            <w:left w:w="108" w:type="dxa"/>
            <w:bottom w:w="0" w:type="dxa"/>
            <w:right w:w="108" w:type="dxa"/>
          </w:tblCellMar>
        </w:tblPrEx>
        <w:trPr>
          <w:cantSpli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高压风柜22寸</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11KW</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爱美风/硕普特/沃美风</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1、外型材料：外壳采用≥1.0mm双面烤漆钢板制作，，强度高、耐高温、防暴晒、不褪色；                                                        2、叶轮：采用高效多翼式离心叶轮,                                    3、一体成型式倾角型材，框架式结构，方便拆装  ；                                     4、风机轴承：采用高密度品牌轴承，运行稳定；                              5、皮带盘统一采用欧标锥套盘，动平衡性能好；不易损坏；</w:t>
            </w:r>
          </w:p>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 xml:space="preserve">6，多孔加棉消音板 欧标锥套盘 后倾多翼式高压风轮 风机专用轴承 后倾 </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产品特点:超高压、大风量</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双进风后倾高压叶轮，大流量、高效率，专为排油烟设计。</w:t>
            </w:r>
          </w:p>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7，风量风压明显高于同类产品30%,                                   8，所投风机重要部件皮带符合GB/T 10125-2021试验标准。</w:t>
            </w:r>
            <w:r>
              <w:rPr>
                <w:rFonts w:ascii="宋体" w:hAnsi="宋体" w:cs="宋体"/>
                <w:color w:val="auto"/>
                <w:kern w:val="0"/>
                <w:sz w:val="18"/>
                <w:szCs w:val="18"/>
                <w:lang w:bidi="ar"/>
              </w:rPr>
              <w:t xml:space="preserve"> </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9，所投风机重要部件电机依据GB/T 10125-2021《人造气氛腐蚀试验 盐雾试验》标准，评定结果应达10级及以上，提供第三方检测机构出具的带CMA或CNAS标识的检测报告。                                                            10， 所投风机内部重要部件叶轮依据GB/T 10125-2021《人造气氛腐蚀试验 盐雾试验》标准，评定结果应达10级及以上，提供第三方检测机构出具的带CMA或CNAS标识的检测报告。                                                          11，设备功率：11KW，流量23500-29500，全压：750-580，转速820</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shd w:val="clear" w:color="auto" w:fill="FFFFFF"/>
              </w:rPr>
              <w:drawing>
                <wp:anchor distT="0" distB="0" distL="114300" distR="114300" simplePos="0" relativeHeight="251659264" behindDoc="0" locked="0" layoutInCell="1" allowOverlap="1">
                  <wp:simplePos x="0" y="0"/>
                  <wp:positionH relativeFrom="column">
                    <wp:posOffset>160655</wp:posOffset>
                  </wp:positionH>
                  <wp:positionV relativeFrom="paragraph">
                    <wp:posOffset>1562100</wp:posOffset>
                  </wp:positionV>
                  <wp:extent cx="1351915" cy="1461135"/>
                  <wp:effectExtent l="0" t="0" r="635" b="5715"/>
                  <wp:wrapNone/>
                  <wp:docPr id="34" name="图片_2"/>
                  <wp:cNvGraphicFramePr/>
                  <a:graphic xmlns:a="http://schemas.openxmlformats.org/drawingml/2006/main">
                    <a:graphicData uri="http://schemas.openxmlformats.org/drawingml/2006/picture">
                      <pic:pic xmlns:pic="http://schemas.openxmlformats.org/drawingml/2006/picture">
                        <pic:nvPicPr>
                          <pic:cNvPr id="34" name="图片_2"/>
                          <pic:cNvPicPr/>
                        </pic:nvPicPr>
                        <pic:blipFill>
                          <a:blip r:embed="rId6"/>
                          <a:stretch>
                            <a:fillRect/>
                          </a:stretch>
                        </pic:blipFill>
                        <pic:spPr>
                          <a:xfrm>
                            <a:off x="0" y="0"/>
                            <a:ext cx="1351915" cy="1461135"/>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高压风柜22寸</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7.5KW</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爱美风/硕普特/沃美风</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1、外型材料：外壳采用≥1.0mm双面烤漆钢板制作，，强度高、耐高温、防暴晒、不褪色；                                                        2、叶轮：采用高效多翼式离心叶轮,                                    3、一体成型式倾角型材，框架式结构，方便拆装  ；                                     4、风机轴承：采用高密度品牌轴承，运行稳定；                              5、皮带盘统一采用欧标锥套盘，动平衡性能好；不易损坏；</w:t>
            </w:r>
          </w:p>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 xml:space="preserve">6，多孔加棉消音板 欧标锥套盘 后倾多翼式高压风轮 风机专用轴承 后倾 </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产品特点:超高压、大风量</w:t>
            </w:r>
            <w:r>
              <w:rPr>
                <w:rFonts w:hint="eastAsia" w:ascii="宋体" w:hAnsi="宋体" w:cs="宋体"/>
                <w:color w:val="auto"/>
                <w:kern w:val="0"/>
                <w:sz w:val="18"/>
                <w:szCs w:val="18"/>
                <w:lang w:bidi="ar"/>
              </w:rPr>
              <w:br w:type="textWrapping"/>
            </w:r>
            <w:r>
              <w:rPr>
                <w:rFonts w:hint="eastAsia" w:ascii="宋体" w:hAnsi="宋体" w:cs="宋体"/>
                <w:color w:val="auto"/>
                <w:kern w:val="0"/>
                <w:sz w:val="18"/>
                <w:szCs w:val="18"/>
                <w:lang w:bidi="ar"/>
              </w:rPr>
              <w:t>双进风后倾高压叶轮，大流量、高效率，专为排油烟设计。.</w:t>
            </w:r>
          </w:p>
          <w:p>
            <w:pPr>
              <w:widowControl/>
              <w:jc w:val="left"/>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7，风量风压明显高于同类产品30%,                                   8，所投风机重要部件皮带符合GB/T 10125-2021试验标准。</w:t>
            </w:r>
          </w:p>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9，  所投风机重要部件电机依据GB/T 10125-2021《人造气氛腐蚀试验 盐雾试验》标准，评定结果应达10级及以上，提供第三方检测机构出具的带CMA或CNAS标识的检测报告。                                                             10， 所投风机内部重要部件叶轮依据GB/T 10125-2021《人造气氛腐蚀试验 盐雾试验》标准，评定结果应达10级及以上，提供第三方检测机构出具的带CMA或CNAS标识的检测报告。                                                              11，设备功率：7.5KW，流量19500，全压：750-580，转速750</w:t>
            </w:r>
          </w:p>
        </w:tc>
        <w:tc>
          <w:tcPr>
            <w:tcW w:w="2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shd w:val="clear" w:color="auto" w:fill="FFFFFF"/>
              </w:rPr>
              <w:drawing>
                <wp:anchor distT="0" distB="0" distL="114300" distR="114300" simplePos="0" relativeHeight="251660288" behindDoc="0" locked="0" layoutInCell="1" allowOverlap="1">
                  <wp:simplePos x="0" y="0"/>
                  <wp:positionH relativeFrom="column">
                    <wp:posOffset>170180</wp:posOffset>
                  </wp:positionH>
                  <wp:positionV relativeFrom="paragraph">
                    <wp:posOffset>226060</wp:posOffset>
                  </wp:positionV>
                  <wp:extent cx="1352550" cy="1470660"/>
                  <wp:effectExtent l="0" t="0" r="0" b="15240"/>
                  <wp:wrapNone/>
                  <wp:docPr id="29" name="图片_2_SpCnt_1"/>
                  <wp:cNvGraphicFramePr/>
                  <a:graphic xmlns:a="http://schemas.openxmlformats.org/drawingml/2006/main">
                    <a:graphicData uri="http://schemas.openxmlformats.org/drawingml/2006/picture">
                      <pic:pic xmlns:pic="http://schemas.openxmlformats.org/drawingml/2006/picture">
                        <pic:nvPicPr>
                          <pic:cNvPr id="29" name="图片_2_SpCnt_1"/>
                          <pic:cNvPicPr/>
                        </pic:nvPicPr>
                        <pic:blipFill>
                          <a:blip r:embed="rId7"/>
                          <a:stretch>
                            <a:fillRect/>
                          </a:stretch>
                        </pic:blipFill>
                        <pic:spPr>
                          <a:xfrm>
                            <a:off x="0" y="0"/>
                            <a:ext cx="1352550" cy="147066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低空油烟净化器</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20000风量</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台</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永嘉</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新款恒压电源 净化器电场采用航空铝材质 弹簧撞针设计，开门断电 可选择加装显示屏，厚度高达0.91，多根加强柱，多次清洗不易变形。智能恒定电源，为放电电场提供了充足的电流，电流大，电压低。电源DSP设置打火迅速降压、断电保护功能，安全无隐患!电源4个，电场数量8个，处理风量：2</w:t>
            </w:r>
            <w:r>
              <w:rPr>
                <w:rFonts w:hint="eastAsia" w:ascii="宋体" w:hAnsi="宋体" w:cs="宋体"/>
                <w:color w:val="auto"/>
                <w:kern w:val="0"/>
                <w:sz w:val="18"/>
                <w:szCs w:val="18"/>
                <w:lang w:val="en-US" w:eastAsia="zh-CN" w:bidi="ar"/>
              </w:rPr>
              <w:t>0</w:t>
            </w:r>
            <w:r>
              <w:rPr>
                <w:rFonts w:hint="eastAsia" w:ascii="宋体" w:hAnsi="宋体" w:cs="宋体"/>
                <w:color w:val="auto"/>
                <w:kern w:val="0"/>
                <w:sz w:val="18"/>
                <w:szCs w:val="18"/>
                <w:lang w:bidi="ar"/>
              </w:rPr>
              <w:t>000。</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1312" behindDoc="0" locked="0" layoutInCell="1" allowOverlap="1">
                  <wp:simplePos x="0" y="0"/>
                  <wp:positionH relativeFrom="column">
                    <wp:posOffset>119380</wp:posOffset>
                  </wp:positionH>
                  <wp:positionV relativeFrom="paragraph">
                    <wp:posOffset>1713865</wp:posOffset>
                  </wp:positionV>
                  <wp:extent cx="1252220" cy="1187450"/>
                  <wp:effectExtent l="0" t="0" r="5080" b="12700"/>
                  <wp:wrapNone/>
                  <wp:docPr id="33" name="图片_1"/>
                  <wp:cNvGraphicFramePr/>
                  <a:graphic xmlns:a="http://schemas.openxmlformats.org/drawingml/2006/main">
                    <a:graphicData uri="http://schemas.openxmlformats.org/drawingml/2006/picture">
                      <pic:pic xmlns:pic="http://schemas.openxmlformats.org/drawingml/2006/picture">
                        <pic:nvPicPr>
                          <pic:cNvPr id="33" name="图片_1"/>
                          <pic:cNvPicPr/>
                        </pic:nvPicPr>
                        <pic:blipFill>
                          <a:blip r:embed="rId8"/>
                          <a:stretch>
                            <a:fillRect/>
                          </a:stretch>
                        </pic:blipFill>
                        <pic:spPr>
                          <a:xfrm>
                            <a:off x="0" y="0"/>
                            <a:ext cx="1252220" cy="118745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614"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风机槽钢支架</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现场定制</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1、材料：镀锌10号国标槽钢，焊接面做防锈处理，强度高、耐腐蚀，</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2336" behindDoc="0" locked="0" layoutInCell="1" allowOverlap="1">
                  <wp:simplePos x="0" y="0"/>
                  <wp:positionH relativeFrom="column">
                    <wp:posOffset>323850</wp:posOffset>
                  </wp:positionH>
                  <wp:positionV relativeFrom="paragraph">
                    <wp:posOffset>107950</wp:posOffset>
                  </wp:positionV>
                  <wp:extent cx="905510" cy="779145"/>
                  <wp:effectExtent l="0" t="0" r="8890" b="1905"/>
                  <wp:wrapNone/>
                  <wp:docPr id="35" name="图片_5"/>
                  <wp:cNvGraphicFramePr/>
                  <a:graphic xmlns:a="http://schemas.openxmlformats.org/drawingml/2006/main">
                    <a:graphicData uri="http://schemas.openxmlformats.org/drawingml/2006/picture">
                      <pic:pic xmlns:pic="http://schemas.openxmlformats.org/drawingml/2006/picture">
                        <pic:nvPicPr>
                          <pic:cNvPr id="35" name="图片_5"/>
                          <pic:cNvPicPr/>
                        </pic:nvPicPr>
                        <pic:blipFill>
                          <a:blip r:embed="rId9"/>
                          <a:stretch>
                            <a:fillRect/>
                          </a:stretch>
                        </pic:blipFill>
                        <pic:spPr>
                          <a:xfrm>
                            <a:off x="0" y="0"/>
                            <a:ext cx="905510" cy="779145"/>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504"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净化器槽钢支架</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现场定制</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套</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1、材料：镀锌10号国标槽钢，焊接面做防锈处理，强度高、耐腐蚀，</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3360" behindDoc="0" locked="0" layoutInCell="1" allowOverlap="1">
                  <wp:simplePos x="0" y="0"/>
                  <wp:positionH relativeFrom="column">
                    <wp:posOffset>409575</wp:posOffset>
                  </wp:positionH>
                  <wp:positionV relativeFrom="paragraph">
                    <wp:posOffset>141605</wp:posOffset>
                  </wp:positionV>
                  <wp:extent cx="905510" cy="779145"/>
                  <wp:effectExtent l="0" t="0" r="8890" b="1905"/>
                  <wp:wrapNone/>
                  <wp:docPr id="28" name="图片_10"/>
                  <wp:cNvGraphicFramePr/>
                  <a:graphic xmlns:a="http://schemas.openxmlformats.org/drawingml/2006/main">
                    <a:graphicData uri="http://schemas.openxmlformats.org/drawingml/2006/picture">
                      <pic:pic xmlns:pic="http://schemas.openxmlformats.org/drawingml/2006/picture">
                        <pic:nvPicPr>
                          <pic:cNvPr id="28" name="图片_10"/>
                          <pic:cNvPicPr/>
                        </pic:nvPicPr>
                        <pic:blipFill>
                          <a:blip r:embed="rId9"/>
                          <a:stretch>
                            <a:fillRect/>
                          </a:stretch>
                        </pic:blipFill>
                        <pic:spPr>
                          <a:xfrm>
                            <a:off x="0" y="0"/>
                            <a:ext cx="905510" cy="779145"/>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872"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不锈钢风管</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500*500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米</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★SUS201材质不锈钢材质，1.0厚含法兰，</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4384" behindDoc="0" locked="0" layoutInCell="1" allowOverlap="1">
                  <wp:simplePos x="0" y="0"/>
                  <wp:positionH relativeFrom="column">
                    <wp:posOffset>192405</wp:posOffset>
                  </wp:positionH>
                  <wp:positionV relativeFrom="paragraph">
                    <wp:posOffset>125095</wp:posOffset>
                  </wp:positionV>
                  <wp:extent cx="1188085" cy="1000760"/>
                  <wp:effectExtent l="0" t="0" r="12065" b="8890"/>
                  <wp:wrapNone/>
                  <wp:docPr id="32" name="图片_11"/>
                  <wp:cNvGraphicFramePr/>
                  <a:graphic xmlns:a="http://schemas.openxmlformats.org/drawingml/2006/main">
                    <a:graphicData uri="http://schemas.openxmlformats.org/drawingml/2006/picture">
                      <pic:pic xmlns:pic="http://schemas.openxmlformats.org/drawingml/2006/picture">
                        <pic:nvPicPr>
                          <pic:cNvPr id="32" name="图片_11"/>
                          <pic:cNvPicPr/>
                        </pic:nvPicPr>
                        <pic:blipFill>
                          <a:blip r:embed="rId10"/>
                          <a:stretch>
                            <a:fillRect/>
                          </a:stretch>
                        </pic:blipFill>
                        <pic:spPr>
                          <a:xfrm>
                            <a:off x="0" y="0"/>
                            <a:ext cx="1188085" cy="100076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2056"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不锈钢风管变径与净化机连接</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500*500变780*1100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★SUS201材质不锈钢材质，1.0厚含法兰，</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5408" behindDoc="0" locked="0" layoutInCell="1" allowOverlap="1">
                  <wp:simplePos x="0" y="0"/>
                  <wp:positionH relativeFrom="column">
                    <wp:posOffset>348615</wp:posOffset>
                  </wp:positionH>
                  <wp:positionV relativeFrom="paragraph">
                    <wp:posOffset>134620</wp:posOffset>
                  </wp:positionV>
                  <wp:extent cx="1080770" cy="943610"/>
                  <wp:effectExtent l="0" t="0" r="5080" b="8890"/>
                  <wp:wrapNone/>
                  <wp:docPr id="27" name="图片_14"/>
                  <wp:cNvGraphicFramePr/>
                  <a:graphic xmlns:a="http://schemas.openxmlformats.org/drawingml/2006/main">
                    <a:graphicData uri="http://schemas.openxmlformats.org/drawingml/2006/picture">
                      <pic:pic xmlns:pic="http://schemas.openxmlformats.org/drawingml/2006/picture">
                        <pic:nvPicPr>
                          <pic:cNvPr id="27" name="图片_14"/>
                          <pic:cNvPicPr/>
                        </pic:nvPicPr>
                        <pic:blipFill>
                          <a:blip r:embed="rId11"/>
                          <a:stretch>
                            <a:fillRect/>
                          </a:stretch>
                        </pic:blipFill>
                        <pic:spPr>
                          <a:xfrm>
                            <a:off x="0" y="0"/>
                            <a:ext cx="1080770" cy="94361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856"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不锈钢风管变径与风机机连接</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780*1100变1110*1055</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★SUS201材质不锈钢材质，1.0厚含法兰，</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6432" behindDoc="0" locked="0" layoutInCell="1" allowOverlap="1">
                  <wp:simplePos x="0" y="0"/>
                  <wp:positionH relativeFrom="column">
                    <wp:posOffset>281305</wp:posOffset>
                  </wp:positionH>
                  <wp:positionV relativeFrom="paragraph">
                    <wp:posOffset>52705</wp:posOffset>
                  </wp:positionV>
                  <wp:extent cx="1080770" cy="943610"/>
                  <wp:effectExtent l="0" t="0" r="5080" b="8890"/>
                  <wp:wrapNone/>
                  <wp:docPr id="30" name="图片_15"/>
                  <wp:cNvGraphicFramePr/>
                  <a:graphic xmlns:a="http://schemas.openxmlformats.org/drawingml/2006/main">
                    <a:graphicData uri="http://schemas.openxmlformats.org/drawingml/2006/picture">
                      <pic:pic xmlns:pic="http://schemas.openxmlformats.org/drawingml/2006/picture">
                        <pic:nvPicPr>
                          <pic:cNvPr id="30" name="图片_15"/>
                          <pic:cNvPicPr/>
                        </pic:nvPicPr>
                        <pic:blipFill>
                          <a:blip r:embed="rId11"/>
                          <a:stretch>
                            <a:fillRect/>
                          </a:stretch>
                        </pic:blipFill>
                        <pic:spPr>
                          <a:xfrm>
                            <a:off x="0" y="0"/>
                            <a:ext cx="1080770" cy="94361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819"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不锈钢风机出风口弯头</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710*630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★SUS201材质不锈钢材质，1.0厚含法兰，</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7456" behindDoc="0" locked="0" layoutInCell="1" allowOverlap="1">
                  <wp:simplePos x="0" y="0"/>
                  <wp:positionH relativeFrom="column">
                    <wp:posOffset>571500</wp:posOffset>
                  </wp:positionH>
                  <wp:positionV relativeFrom="paragraph">
                    <wp:posOffset>370840</wp:posOffset>
                  </wp:positionV>
                  <wp:extent cx="638175" cy="639445"/>
                  <wp:effectExtent l="0" t="0" r="9525" b="8255"/>
                  <wp:wrapNone/>
                  <wp:docPr id="36" name="图片_19"/>
                  <wp:cNvGraphicFramePr/>
                  <a:graphic xmlns:a="http://schemas.openxmlformats.org/drawingml/2006/main">
                    <a:graphicData uri="http://schemas.openxmlformats.org/drawingml/2006/picture">
                      <pic:pic xmlns:pic="http://schemas.openxmlformats.org/drawingml/2006/picture">
                        <pic:nvPicPr>
                          <pic:cNvPr id="36" name="图片_19"/>
                          <pic:cNvPicPr/>
                        </pic:nvPicPr>
                        <pic:blipFill>
                          <a:blip r:embed="rId12"/>
                          <a:stretch>
                            <a:fillRect/>
                          </a:stretch>
                        </pic:blipFill>
                        <pic:spPr>
                          <a:xfrm>
                            <a:off x="0" y="0"/>
                            <a:ext cx="638175" cy="639445"/>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2382"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软接</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500*500</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耐高温，防腐蚀</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8480" behindDoc="0" locked="0" layoutInCell="1" allowOverlap="1">
                  <wp:simplePos x="0" y="0"/>
                  <wp:positionH relativeFrom="column">
                    <wp:posOffset>438785</wp:posOffset>
                  </wp:positionH>
                  <wp:positionV relativeFrom="paragraph">
                    <wp:posOffset>106045</wp:posOffset>
                  </wp:positionV>
                  <wp:extent cx="818515" cy="1092200"/>
                  <wp:effectExtent l="0" t="0" r="635" b="12700"/>
                  <wp:wrapNone/>
                  <wp:docPr id="26" name="图片_20"/>
                  <wp:cNvGraphicFramePr/>
                  <a:graphic xmlns:a="http://schemas.openxmlformats.org/drawingml/2006/main">
                    <a:graphicData uri="http://schemas.openxmlformats.org/drawingml/2006/picture">
                      <pic:pic xmlns:pic="http://schemas.openxmlformats.org/drawingml/2006/picture">
                        <pic:nvPicPr>
                          <pic:cNvPr id="26" name="图片_20"/>
                          <pic:cNvPicPr/>
                        </pic:nvPicPr>
                        <pic:blipFill>
                          <a:blip r:embed="rId13"/>
                          <a:stretch>
                            <a:fillRect/>
                          </a:stretch>
                        </pic:blipFill>
                        <pic:spPr>
                          <a:xfrm>
                            <a:off x="0" y="0"/>
                            <a:ext cx="818515" cy="109220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2224"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风机控制电箱</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11KW</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 xml:space="preserve"> 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带防缺项及漏电保护功能，具备降压启动功能。配置德力西电器</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69504" behindDoc="0" locked="0" layoutInCell="1" allowOverlap="1">
                  <wp:simplePos x="0" y="0"/>
                  <wp:positionH relativeFrom="column">
                    <wp:posOffset>351790</wp:posOffset>
                  </wp:positionH>
                  <wp:positionV relativeFrom="paragraph">
                    <wp:posOffset>67310</wp:posOffset>
                  </wp:positionV>
                  <wp:extent cx="972820" cy="972185"/>
                  <wp:effectExtent l="0" t="0" r="17780" b="18415"/>
                  <wp:wrapNone/>
                  <wp:docPr id="31" name="图片_21"/>
                  <wp:cNvGraphicFramePr/>
                  <a:graphic xmlns:a="http://schemas.openxmlformats.org/drawingml/2006/main">
                    <a:graphicData uri="http://schemas.openxmlformats.org/drawingml/2006/picture">
                      <pic:pic xmlns:pic="http://schemas.openxmlformats.org/drawingml/2006/picture">
                        <pic:nvPicPr>
                          <pic:cNvPr id="31" name="图片_21"/>
                          <pic:cNvPicPr/>
                        </pic:nvPicPr>
                        <pic:blipFill>
                          <a:blip r:embed="rId14"/>
                          <a:stretch>
                            <a:fillRect/>
                          </a:stretch>
                        </pic:blipFill>
                        <pic:spPr>
                          <a:xfrm>
                            <a:off x="0" y="0"/>
                            <a:ext cx="972820" cy="972185"/>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2039"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风机控制电箱</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7.5KW</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个</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带防缺项及漏电保护功能，具备降压启动功能。配置德力西电器</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bdr w:val="single" w:color="000000" w:sz="4" w:space="0"/>
              </w:rPr>
              <w:drawing>
                <wp:anchor distT="0" distB="0" distL="114300" distR="114300" simplePos="0" relativeHeight="251670528" behindDoc="0" locked="0" layoutInCell="1" allowOverlap="1">
                  <wp:simplePos x="0" y="0"/>
                  <wp:positionH relativeFrom="column">
                    <wp:posOffset>342265</wp:posOffset>
                  </wp:positionH>
                  <wp:positionV relativeFrom="paragraph">
                    <wp:posOffset>118110</wp:posOffset>
                  </wp:positionV>
                  <wp:extent cx="972185" cy="970280"/>
                  <wp:effectExtent l="0" t="0" r="18415" b="1270"/>
                  <wp:wrapNone/>
                  <wp:docPr id="25" name="图片_22"/>
                  <wp:cNvGraphicFramePr/>
                  <a:graphic xmlns:a="http://schemas.openxmlformats.org/drawingml/2006/main">
                    <a:graphicData uri="http://schemas.openxmlformats.org/drawingml/2006/picture">
                      <pic:pic xmlns:pic="http://schemas.openxmlformats.org/drawingml/2006/picture">
                        <pic:nvPicPr>
                          <pic:cNvPr id="25" name="图片_22"/>
                          <pic:cNvPicPr/>
                        </pic:nvPicPr>
                        <pic:blipFill>
                          <a:blip r:embed="rId15"/>
                          <a:stretch>
                            <a:fillRect/>
                          </a:stretch>
                        </pic:blipFill>
                        <pic:spPr>
                          <a:xfrm>
                            <a:off x="0" y="0"/>
                            <a:ext cx="972185" cy="970280"/>
                          </a:xfrm>
                          <a:prstGeom prst="rect">
                            <a:avLst/>
                          </a:prstGeom>
                          <a:noFill/>
                          <a:ln>
                            <a:noFill/>
                          </a:ln>
                        </pic:spPr>
                      </pic:pic>
                    </a:graphicData>
                  </a:graphic>
                </wp:anchor>
              </w:drawing>
            </w:r>
          </w:p>
        </w:tc>
      </w:tr>
      <w:tr>
        <w:tblPrEx>
          <w:tblCellMar>
            <w:top w:w="0" w:type="dxa"/>
            <w:left w:w="108" w:type="dxa"/>
            <w:bottom w:w="0" w:type="dxa"/>
            <w:right w:w="108" w:type="dxa"/>
          </w:tblCellMar>
        </w:tblPrEx>
        <w:trPr>
          <w:cantSplit/>
          <w:trHeight w:val="1127"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吊车费与拆除费</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现场定制</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项</w:t>
            </w:r>
          </w:p>
        </w:tc>
        <w:tc>
          <w:tcPr>
            <w:tcW w:w="10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厂制品</w:t>
            </w: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吊车，拆除原来5台风机与风管。</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18"/>
                <w:szCs w:val="18"/>
              </w:rPr>
            </w:pPr>
          </w:p>
        </w:tc>
      </w:tr>
      <w:tr>
        <w:tblPrEx>
          <w:tblCellMar>
            <w:top w:w="0" w:type="dxa"/>
            <w:left w:w="108" w:type="dxa"/>
            <w:bottom w:w="0" w:type="dxa"/>
            <w:right w:w="108" w:type="dxa"/>
          </w:tblCellMar>
        </w:tblPrEx>
        <w:trPr>
          <w:cantSplit/>
          <w:trHeight w:val="1212" w:hRule="atLeast"/>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492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合计</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13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auto"/>
                <w:sz w:val="18"/>
                <w:szCs w:val="18"/>
              </w:rPr>
            </w:pPr>
          </w:p>
        </w:tc>
        <w:tc>
          <w:tcPr>
            <w:tcW w:w="4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18"/>
                <w:szCs w:val="18"/>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auto"/>
                <w:sz w:val="18"/>
                <w:szCs w:val="18"/>
              </w:rPr>
            </w:pPr>
          </w:p>
        </w:tc>
      </w:tr>
    </w:tbl>
    <w:p>
      <w:pPr>
        <w:pStyle w:val="2"/>
        <w:ind w:firstLine="210"/>
        <w:rPr>
          <w:color w:val="auto"/>
        </w:rPr>
      </w:pPr>
    </w:p>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注：投标人选投的设备品牌可以是招标人的参考品牌，如果在参考品牌之外自选品牌的，其技术标准与性能要求应相当于或者优于招标人的参考品牌和技术参数要求，并提供证明材料，得到评标委员会的认可。</w:t>
      </w:r>
    </w:p>
    <w:p>
      <w:pPr>
        <w:spacing w:line="500" w:lineRule="exact"/>
        <w:jc w:val="left"/>
        <w:rPr>
          <w:rFonts w:ascii="宋体" w:hAnsi="宋体" w:cs="宋体"/>
          <w:b/>
          <w:color w:val="auto"/>
          <w:sz w:val="32"/>
          <w:szCs w:val="32"/>
        </w:rPr>
      </w:pPr>
    </w:p>
    <w:p>
      <w:pPr>
        <w:pStyle w:val="2"/>
        <w:ind w:firstLine="321"/>
        <w:rPr>
          <w:rFonts w:ascii="宋体" w:hAnsi="宋体" w:cs="宋体"/>
          <w:b/>
          <w:color w:val="auto"/>
          <w:sz w:val="32"/>
          <w:szCs w:val="32"/>
        </w:rPr>
      </w:pPr>
    </w:p>
    <w:p>
      <w:pPr>
        <w:pStyle w:val="10"/>
        <w:spacing w:line="500" w:lineRule="exact"/>
        <w:ind w:firstLine="1473" w:firstLineChars="614"/>
        <w:rPr>
          <w:rFonts w:ascii="宋体" w:hAnsi="宋体" w:eastAsia="宋体" w:cs="宋体"/>
          <w:b w:val="0"/>
          <w:color w:val="auto"/>
        </w:rPr>
      </w:pPr>
      <w:r>
        <w:rPr>
          <w:rFonts w:hint="eastAsia" w:ascii="宋体" w:hAnsi="宋体" w:eastAsia="宋体" w:cs="宋体"/>
          <w:b w:val="0"/>
          <w:color w:val="auto"/>
        </w:rPr>
        <w:t>投标人（盖章）：</w:t>
      </w:r>
      <w:r>
        <w:rPr>
          <w:rFonts w:hint="eastAsia" w:ascii="宋体" w:hAnsi="宋体" w:eastAsia="宋体" w:cs="宋体"/>
          <w:b w:val="0"/>
          <w:color w:val="auto"/>
          <w:u w:val="single"/>
        </w:rPr>
        <w:t>　　　　　　　　　　　　　　　   　　　　</w:t>
      </w:r>
    </w:p>
    <w:p>
      <w:pPr>
        <w:pStyle w:val="10"/>
        <w:spacing w:line="500" w:lineRule="exact"/>
        <w:ind w:left="315" w:firstLine="1200" w:firstLineChars="500"/>
        <w:rPr>
          <w:rFonts w:ascii="宋体" w:hAnsi="宋体" w:eastAsia="宋体" w:cs="宋体"/>
          <w:b w:val="0"/>
          <w:color w:val="auto"/>
          <w:u w:val="single"/>
        </w:rPr>
      </w:pPr>
      <w:r>
        <w:rPr>
          <w:rFonts w:hint="eastAsia" w:ascii="宋体" w:hAnsi="宋体" w:eastAsia="宋体" w:cs="宋体"/>
          <w:b w:val="0"/>
          <w:color w:val="auto"/>
        </w:rPr>
        <w:t>法定代表人或其委托代理人（签字或盖章）：</w:t>
      </w:r>
      <w:r>
        <w:rPr>
          <w:rFonts w:hint="eastAsia" w:ascii="宋体" w:hAnsi="宋体" w:eastAsia="宋体" w:cs="宋体"/>
          <w:b w:val="0"/>
          <w:color w:val="auto"/>
          <w:u w:val="single"/>
        </w:rPr>
        <w:t>　　　　　　 　　</w:t>
      </w:r>
    </w:p>
    <w:p>
      <w:pPr>
        <w:spacing w:line="500" w:lineRule="exact"/>
        <w:ind w:firstLine="5145" w:firstLineChars="2450"/>
        <w:jc w:val="left"/>
        <w:rPr>
          <w:rFonts w:ascii="宋体" w:hAnsi="宋体" w:cs="宋体"/>
          <w:color w:val="auto"/>
        </w:rPr>
      </w:pPr>
    </w:p>
    <w:p>
      <w:pPr>
        <w:spacing w:line="500" w:lineRule="exact"/>
        <w:ind w:firstLine="5145" w:firstLineChars="2450"/>
        <w:jc w:val="left"/>
        <w:rPr>
          <w:rFonts w:ascii="宋体" w:hAnsi="宋体" w:cs="宋体"/>
          <w:color w:val="auto"/>
        </w:rPr>
      </w:pPr>
      <w:r>
        <w:rPr>
          <w:rFonts w:hint="eastAsia" w:ascii="宋体" w:hAnsi="宋体" w:cs="宋体"/>
          <w:color w:val="auto"/>
        </w:rPr>
        <w:t>日期：　　　年　  月　　日</w:t>
      </w:r>
    </w:p>
    <w:p>
      <w:pPr>
        <w:pStyle w:val="2"/>
        <w:ind w:firstLine="321"/>
        <w:rPr>
          <w:rFonts w:ascii="宋体" w:hAnsi="宋体" w:cs="宋体"/>
          <w:b/>
          <w:color w:val="auto"/>
          <w:sz w:val="32"/>
          <w:szCs w:val="32"/>
        </w:rPr>
        <w:sectPr>
          <w:pgSz w:w="16838" w:h="11906" w:orient="landscape"/>
          <w:pgMar w:top="1417" w:right="1701" w:bottom="1417" w:left="1440" w:header="851" w:footer="992" w:gutter="0"/>
          <w:cols w:space="0" w:num="1"/>
          <w:docGrid w:type="linesAndChars" w:linePitch="312" w:charSpace="0"/>
        </w:sectPr>
      </w:pPr>
    </w:p>
    <w:p>
      <w:pPr>
        <w:spacing w:line="500" w:lineRule="exact"/>
        <w:jc w:val="left"/>
        <w:rPr>
          <w:rFonts w:ascii="宋体" w:hAnsi="宋体" w:cs="宋体"/>
          <w:b/>
          <w:color w:val="auto"/>
          <w:sz w:val="32"/>
          <w:szCs w:val="32"/>
        </w:rPr>
      </w:pPr>
      <w:r>
        <w:rPr>
          <w:rFonts w:hint="eastAsia" w:ascii="宋体" w:hAnsi="宋体" w:cs="宋体"/>
          <w:b/>
          <w:color w:val="auto"/>
          <w:sz w:val="32"/>
          <w:szCs w:val="32"/>
        </w:rPr>
        <w:t>附件6</w:t>
      </w:r>
    </w:p>
    <w:p>
      <w:pPr>
        <w:spacing w:line="500" w:lineRule="exact"/>
        <w:rPr>
          <w:rFonts w:ascii="宋体" w:hAnsi="宋体" w:cs="宋体"/>
          <w:color w:val="auto"/>
          <w:sz w:val="24"/>
        </w:rPr>
      </w:pPr>
      <w:r>
        <w:rPr>
          <w:rFonts w:hint="eastAsia" w:ascii="宋体" w:hAnsi="宋体" w:cs="宋体"/>
          <w:color w:val="auto"/>
          <w:sz w:val="24"/>
        </w:rPr>
        <w:t>封面样式：</w:t>
      </w:r>
    </w:p>
    <w:p>
      <w:pPr>
        <w:spacing w:line="520" w:lineRule="atLeast"/>
        <w:jc w:val="right"/>
        <w:rPr>
          <w:rFonts w:ascii="宋体" w:hAnsi="宋体" w:cs="宋体"/>
          <w:color w:val="auto"/>
          <w:sz w:val="28"/>
        </w:rPr>
      </w:pPr>
      <w:r>
        <w:rPr>
          <w:rFonts w:hint="eastAsia" w:ascii="宋体" w:hAnsi="宋体" w:cs="宋体"/>
          <w:color w:val="auto"/>
          <w:sz w:val="28"/>
        </w:rPr>
        <w:t>本</w:t>
      </w:r>
    </w:p>
    <w:p>
      <w:pPr>
        <w:pStyle w:val="13"/>
        <w:adjustRightInd w:val="0"/>
        <w:snapToGrid w:val="0"/>
        <w:spacing w:line="300" w:lineRule="exact"/>
        <w:ind w:left="109" w:leftChars="52"/>
        <w:rPr>
          <w:rFonts w:hAnsi="宋体" w:cs="宋体"/>
          <w:b/>
          <w:bCs/>
          <w:color w:val="auto"/>
          <w:sz w:val="32"/>
          <w:szCs w:val="32"/>
        </w:rPr>
      </w:pPr>
    </w:p>
    <w:p>
      <w:pPr>
        <w:pStyle w:val="13"/>
        <w:adjustRightInd w:val="0"/>
        <w:snapToGrid w:val="0"/>
        <w:spacing w:line="300" w:lineRule="exact"/>
        <w:ind w:left="109" w:leftChars="52"/>
        <w:rPr>
          <w:rFonts w:hAnsi="宋体" w:cs="宋体"/>
          <w:b/>
          <w:bCs/>
          <w:color w:val="auto"/>
          <w:sz w:val="32"/>
          <w:szCs w:val="32"/>
        </w:rPr>
      </w:pPr>
    </w:p>
    <w:p>
      <w:pPr>
        <w:pStyle w:val="13"/>
        <w:adjustRightInd w:val="0"/>
        <w:snapToGrid w:val="0"/>
        <w:spacing w:line="300" w:lineRule="exact"/>
        <w:ind w:left="109" w:leftChars="52"/>
        <w:rPr>
          <w:rFonts w:hAnsi="宋体" w:cs="宋体"/>
          <w:b/>
          <w:bCs/>
          <w:color w:val="auto"/>
          <w:sz w:val="32"/>
          <w:szCs w:val="32"/>
        </w:rPr>
      </w:pPr>
    </w:p>
    <w:p>
      <w:pPr>
        <w:pStyle w:val="13"/>
        <w:adjustRightInd w:val="0"/>
        <w:snapToGrid w:val="0"/>
        <w:spacing w:line="300" w:lineRule="exact"/>
        <w:ind w:left="109" w:leftChars="52"/>
        <w:rPr>
          <w:rFonts w:hAnsi="宋体" w:cs="宋体"/>
          <w:b/>
          <w:bCs/>
          <w:color w:val="auto"/>
          <w:sz w:val="32"/>
          <w:szCs w:val="32"/>
        </w:rPr>
      </w:pPr>
    </w:p>
    <w:p>
      <w:pPr>
        <w:pStyle w:val="13"/>
        <w:adjustRightInd w:val="0"/>
        <w:snapToGrid w:val="0"/>
        <w:spacing w:line="800" w:lineRule="exact"/>
        <w:jc w:val="center"/>
        <w:rPr>
          <w:rFonts w:hAnsi="宋体" w:cs="宋体"/>
          <w:b/>
          <w:bCs/>
          <w:color w:val="auto"/>
          <w:spacing w:val="-20"/>
          <w:sz w:val="36"/>
          <w:szCs w:val="36"/>
        </w:rPr>
      </w:pPr>
      <w:r>
        <w:rPr>
          <w:rFonts w:hint="eastAsia" w:hAnsi="宋体" w:cs="宋体"/>
          <w:b/>
          <w:color w:val="auto"/>
          <w:sz w:val="36"/>
          <w:szCs w:val="36"/>
        </w:rPr>
        <w:t>（项目名称）</w:t>
      </w:r>
    </w:p>
    <w:p>
      <w:pPr>
        <w:pStyle w:val="13"/>
        <w:adjustRightInd w:val="0"/>
        <w:snapToGrid w:val="0"/>
        <w:spacing w:line="800" w:lineRule="exact"/>
        <w:jc w:val="center"/>
        <w:rPr>
          <w:rFonts w:hAnsi="宋体" w:cs="宋体"/>
          <w:b/>
          <w:color w:val="auto"/>
          <w:sz w:val="36"/>
          <w:szCs w:val="36"/>
        </w:rPr>
      </w:pPr>
      <w:r>
        <w:rPr>
          <w:rFonts w:hint="eastAsia" w:hAnsi="宋体" w:cs="宋体"/>
          <w:b/>
          <w:color w:val="auto"/>
          <w:sz w:val="36"/>
          <w:szCs w:val="36"/>
        </w:rPr>
        <w:t>（项目编号）</w:t>
      </w:r>
    </w:p>
    <w:p>
      <w:pPr>
        <w:spacing w:line="520" w:lineRule="atLeast"/>
        <w:jc w:val="center"/>
        <w:rPr>
          <w:rFonts w:ascii="宋体" w:hAnsi="宋体" w:cs="宋体"/>
          <w:color w:val="auto"/>
          <w:sz w:val="36"/>
        </w:rPr>
      </w:pPr>
    </w:p>
    <w:p>
      <w:pPr>
        <w:spacing w:line="520" w:lineRule="atLeast"/>
        <w:rPr>
          <w:rFonts w:ascii="宋体" w:hAnsi="宋体" w:cs="宋体"/>
          <w:color w:val="auto"/>
          <w:sz w:val="48"/>
        </w:rPr>
      </w:pPr>
    </w:p>
    <w:p>
      <w:pPr>
        <w:spacing w:line="520" w:lineRule="atLeast"/>
        <w:jc w:val="center"/>
        <w:rPr>
          <w:rFonts w:ascii="宋体" w:hAnsi="宋体" w:cs="宋体"/>
          <w:b/>
          <w:bCs/>
          <w:color w:val="auto"/>
          <w:sz w:val="72"/>
        </w:rPr>
      </w:pPr>
      <w:r>
        <w:rPr>
          <w:rFonts w:hint="eastAsia" w:ascii="宋体" w:hAnsi="宋体" w:cs="宋体"/>
          <w:b/>
          <w:bCs/>
          <w:color w:val="auto"/>
          <w:sz w:val="72"/>
        </w:rPr>
        <w:t>投 标 文 件</w:t>
      </w:r>
    </w:p>
    <w:p>
      <w:pPr>
        <w:spacing w:line="520" w:lineRule="atLeast"/>
        <w:jc w:val="center"/>
        <w:rPr>
          <w:rFonts w:ascii="宋体" w:hAnsi="宋体" w:cs="宋体"/>
          <w:b/>
          <w:bCs/>
          <w:color w:val="auto"/>
          <w:sz w:val="36"/>
        </w:rPr>
      </w:pPr>
    </w:p>
    <w:p>
      <w:pPr>
        <w:spacing w:line="520" w:lineRule="atLeast"/>
        <w:rPr>
          <w:rFonts w:ascii="宋体" w:hAnsi="宋体" w:cs="宋体"/>
          <w:b/>
          <w:bCs/>
          <w:color w:val="auto"/>
          <w:sz w:val="48"/>
        </w:rPr>
      </w:pPr>
    </w:p>
    <w:p>
      <w:pPr>
        <w:spacing w:line="520" w:lineRule="atLeast"/>
        <w:rPr>
          <w:rFonts w:ascii="宋体" w:hAnsi="宋体" w:cs="宋体"/>
          <w:color w:val="auto"/>
          <w:sz w:val="28"/>
        </w:rPr>
      </w:pPr>
    </w:p>
    <w:p>
      <w:pPr>
        <w:spacing w:line="520" w:lineRule="atLeast"/>
        <w:rPr>
          <w:rFonts w:ascii="宋体" w:hAnsi="宋体" w:cs="宋体"/>
          <w:color w:val="auto"/>
          <w:sz w:val="28"/>
        </w:rPr>
      </w:pPr>
    </w:p>
    <w:p>
      <w:pPr>
        <w:spacing w:line="520" w:lineRule="atLeast"/>
        <w:rPr>
          <w:rFonts w:ascii="宋体" w:hAnsi="宋体" w:cs="宋体"/>
          <w:color w:val="auto"/>
          <w:sz w:val="28"/>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投标人（盖章）：</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法定代表人或授权委托人（签字或盖章）：</w:t>
      </w:r>
    </w:p>
    <w:p>
      <w:pPr>
        <w:spacing w:line="500" w:lineRule="exact"/>
        <w:ind w:firstLine="480" w:firstLineChars="200"/>
        <w:rPr>
          <w:rFonts w:ascii="宋体" w:hAnsi="宋体" w:cs="宋体"/>
          <w:color w:val="auto"/>
          <w:sz w:val="24"/>
        </w:rPr>
      </w:pPr>
    </w:p>
    <w:p>
      <w:pPr>
        <w:spacing w:line="500" w:lineRule="exact"/>
        <w:ind w:firstLine="480" w:firstLineChars="200"/>
        <w:rPr>
          <w:rFonts w:ascii="宋体" w:hAnsi="宋体" w:cs="宋体"/>
          <w:color w:val="auto"/>
          <w:sz w:val="24"/>
        </w:rPr>
      </w:pPr>
    </w:p>
    <w:p>
      <w:pPr>
        <w:spacing w:line="500" w:lineRule="exact"/>
        <w:ind w:firstLine="480" w:firstLineChars="200"/>
        <w:jc w:val="center"/>
        <w:rPr>
          <w:rFonts w:ascii="宋体" w:hAnsi="宋体" w:cs="宋体"/>
          <w:b/>
          <w:color w:val="auto"/>
          <w:sz w:val="32"/>
          <w:szCs w:val="32"/>
        </w:rPr>
      </w:pPr>
      <w:r>
        <w:rPr>
          <w:rFonts w:hint="eastAsia" w:ascii="宋体" w:hAnsi="宋体" w:cs="宋体"/>
          <w:color w:val="auto"/>
          <w:sz w:val="24"/>
        </w:rPr>
        <w:t>年     月     日</w:t>
      </w:r>
    </w:p>
    <w:p>
      <w:pPr>
        <w:spacing w:line="360" w:lineRule="auto"/>
        <w:jc w:val="left"/>
        <w:rPr>
          <w:rFonts w:ascii="宋体" w:hAnsi="宋体" w:cs="宋体"/>
          <w:b/>
          <w:color w:val="auto"/>
          <w:sz w:val="32"/>
          <w:szCs w:val="32"/>
        </w:rPr>
      </w:pPr>
    </w:p>
    <w:sectPr>
      <w:pgSz w:w="11906" w:h="16838"/>
      <w:pgMar w:top="1701" w:right="1417" w:bottom="1440" w:left="1417" w:header="851" w:footer="992" w:gutter="0"/>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7"/>
          <w:jc w:val="center"/>
        </w:pPr>
        <w:r>
          <w:fldChar w:fldCharType="begin"/>
        </w:r>
        <w:r>
          <w:instrText xml:space="preserve"> PAGE   \* MERGEFORMAT </w:instrText>
        </w:r>
        <w:r>
          <w:fldChar w:fldCharType="separate"/>
        </w:r>
        <w:r>
          <w:rPr>
            <w:lang w:val="zh-CN"/>
          </w:rPr>
          <w:t>36</w:t>
        </w:r>
        <w:r>
          <w:rPr>
            <w:lang w:val="zh-CN"/>
          </w:rPr>
          <w:fldChar w:fldCharType="end"/>
        </w:r>
      </w:p>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pPr>
    <w:r>
      <w:rPr>
        <w:rFonts w:hint="eastAsia" w:eastAsia="隶书"/>
        <w:spacing w:val="40"/>
        <w:sz w:val="21"/>
        <w:szCs w:val="21"/>
      </w:rPr>
      <w:t>2023-022W</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172A27"/>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2B68"/>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16"/>
    <w:rsid w:val="00131AC1"/>
    <w:rsid w:val="00132713"/>
    <w:rsid w:val="00133497"/>
    <w:rsid w:val="00136CAC"/>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72A27"/>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5343"/>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93702"/>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15B8C"/>
    <w:rsid w:val="003208EC"/>
    <w:rsid w:val="003226E4"/>
    <w:rsid w:val="00324DCE"/>
    <w:rsid w:val="00330BF0"/>
    <w:rsid w:val="003340DF"/>
    <w:rsid w:val="003431B7"/>
    <w:rsid w:val="0034434B"/>
    <w:rsid w:val="003446D1"/>
    <w:rsid w:val="00344ACC"/>
    <w:rsid w:val="00346867"/>
    <w:rsid w:val="00346C72"/>
    <w:rsid w:val="00352C66"/>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201C"/>
    <w:rsid w:val="003977BF"/>
    <w:rsid w:val="003A21A0"/>
    <w:rsid w:val="003A345E"/>
    <w:rsid w:val="003A60AC"/>
    <w:rsid w:val="003A63FC"/>
    <w:rsid w:val="003A6792"/>
    <w:rsid w:val="003B0FB9"/>
    <w:rsid w:val="003B212E"/>
    <w:rsid w:val="003B6515"/>
    <w:rsid w:val="003B7BD1"/>
    <w:rsid w:val="003C0153"/>
    <w:rsid w:val="003C1B0B"/>
    <w:rsid w:val="003C40B0"/>
    <w:rsid w:val="003C47FA"/>
    <w:rsid w:val="003C4C91"/>
    <w:rsid w:val="003C7E63"/>
    <w:rsid w:val="003D0885"/>
    <w:rsid w:val="003D210A"/>
    <w:rsid w:val="003D22AC"/>
    <w:rsid w:val="003D687B"/>
    <w:rsid w:val="003E26F6"/>
    <w:rsid w:val="003E2B82"/>
    <w:rsid w:val="003E4BEE"/>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37F"/>
    <w:rsid w:val="00466707"/>
    <w:rsid w:val="00474400"/>
    <w:rsid w:val="00480876"/>
    <w:rsid w:val="00482639"/>
    <w:rsid w:val="004836F3"/>
    <w:rsid w:val="0048373E"/>
    <w:rsid w:val="00484BA8"/>
    <w:rsid w:val="00485309"/>
    <w:rsid w:val="00485B11"/>
    <w:rsid w:val="004907C6"/>
    <w:rsid w:val="004915A7"/>
    <w:rsid w:val="0049268F"/>
    <w:rsid w:val="00493359"/>
    <w:rsid w:val="00494B1C"/>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1DAC"/>
    <w:rsid w:val="0050204E"/>
    <w:rsid w:val="00504B8E"/>
    <w:rsid w:val="00507821"/>
    <w:rsid w:val="00514D32"/>
    <w:rsid w:val="0051768E"/>
    <w:rsid w:val="0052086C"/>
    <w:rsid w:val="005217B5"/>
    <w:rsid w:val="005240E4"/>
    <w:rsid w:val="005279FF"/>
    <w:rsid w:val="0053314B"/>
    <w:rsid w:val="005333D9"/>
    <w:rsid w:val="00535763"/>
    <w:rsid w:val="005358C9"/>
    <w:rsid w:val="00535C43"/>
    <w:rsid w:val="005367B6"/>
    <w:rsid w:val="0053784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7FE"/>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0E8E"/>
    <w:rsid w:val="00672106"/>
    <w:rsid w:val="00682CBE"/>
    <w:rsid w:val="00684C8D"/>
    <w:rsid w:val="00687836"/>
    <w:rsid w:val="00687B86"/>
    <w:rsid w:val="00692947"/>
    <w:rsid w:val="00695B44"/>
    <w:rsid w:val="00695CF5"/>
    <w:rsid w:val="00696E80"/>
    <w:rsid w:val="006A619F"/>
    <w:rsid w:val="006A77E8"/>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58F"/>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3BD7"/>
    <w:rsid w:val="008A69FD"/>
    <w:rsid w:val="008A7511"/>
    <w:rsid w:val="008B269D"/>
    <w:rsid w:val="008B4273"/>
    <w:rsid w:val="008B6463"/>
    <w:rsid w:val="008B7F66"/>
    <w:rsid w:val="008C0245"/>
    <w:rsid w:val="008D181C"/>
    <w:rsid w:val="008D2135"/>
    <w:rsid w:val="008D26CC"/>
    <w:rsid w:val="008D3727"/>
    <w:rsid w:val="008D47BF"/>
    <w:rsid w:val="008D4DF3"/>
    <w:rsid w:val="008D6F67"/>
    <w:rsid w:val="008E16BB"/>
    <w:rsid w:val="008E3334"/>
    <w:rsid w:val="008E3AC9"/>
    <w:rsid w:val="008E55A1"/>
    <w:rsid w:val="008F48EB"/>
    <w:rsid w:val="008F59F9"/>
    <w:rsid w:val="009014B0"/>
    <w:rsid w:val="00904244"/>
    <w:rsid w:val="00904A8D"/>
    <w:rsid w:val="00905259"/>
    <w:rsid w:val="00917FED"/>
    <w:rsid w:val="00920C8E"/>
    <w:rsid w:val="009220F8"/>
    <w:rsid w:val="0092282D"/>
    <w:rsid w:val="0092523C"/>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149"/>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2E91"/>
    <w:rsid w:val="009D699E"/>
    <w:rsid w:val="009D6B1A"/>
    <w:rsid w:val="009E1102"/>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16BA"/>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6EC"/>
    <w:rsid w:val="00B377A9"/>
    <w:rsid w:val="00B4154D"/>
    <w:rsid w:val="00B42BCC"/>
    <w:rsid w:val="00B46611"/>
    <w:rsid w:val="00B4713F"/>
    <w:rsid w:val="00B54246"/>
    <w:rsid w:val="00B57D6D"/>
    <w:rsid w:val="00B6097B"/>
    <w:rsid w:val="00B624FF"/>
    <w:rsid w:val="00B65A2F"/>
    <w:rsid w:val="00B70C01"/>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0C95"/>
    <w:rsid w:val="00C83218"/>
    <w:rsid w:val="00C90453"/>
    <w:rsid w:val="00C90E03"/>
    <w:rsid w:val="00C91AD6"/>
    <w:rsid w:val="00C92A23"/>
    <w:rsid w:val="00C9458F"/>
    <w:rsid w:val="00C965C0"/>
    <w:rsid w:val="00C976A9"/>
    <w:rsid w:val="00CB2243"/>
    <w:rsid w:val="00CC2B9C"/>
    <w:rsid w:val="00CC331D"/>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0A6F"/>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A9F"/>
    <w:rsid w:val="00E31C4F"/>
    <w:rsid w:val="00E32CE8"/>
    <w:rsid w:val="00E3655A"/>
    <w:rsid w:val="00E36B28"/>
    <w:rsid w:val="00E40AA4"/>
    <w:rsid w:val="00E40C27"/>
    <w:rsid w:val="00E41F5F"/>
    <w:rsid w:val="00E42710"/>
    <w:rsid w:val="00E42E42"/>
    <w:rsid w:val="00E522BC"/>
    <w:rsid w:val="00E543F2"/>
    <w:rsid w:val="00E54B57"/>
    <w:rsid w:val="00E574BE"/>
    <w:rsid w:val="00E616B9"/>
    <w:rsid w:val="00E64B6F"/>
    <w:rsid w:val="00E65924"/>
    <w:rsid w:val="00E7062A"/>
    <w:rsid w:val="00E74B41"/>
    <w:rsid w:val="00E764D1"/>
    <w:rsid w:val="00E80D85"/>
    <w:rsid w:val="00E83C2D"/>
    <w:rsid w:val="00E8601E"/>
    <w:rsid w:val="00E872EE"/>
    <w:rsid w:val="00E876AE"/>
    <w:rsid w:val="00E900E0"/>
    <w:rsid w:val="00E94A81"/>
    <w:rsid w:val="00E96212"/>
    <w:rsid w:val="00E96CBC"/>
    <w:rsid w:val="00EA3058"/>
    <w:rsid w:val="00EA7493"/>
    <w:rsid w:val="00EB4C40"/>
    <w:rsid w:val="00EB4DD9"/>
    <w:rsid w:val="00EB624C"/>
    <w:rsid w:val="00EC1164"/>
    <w:rsid w:val="00EC3A34"/>
    <w:rsid w:val="00EC627E"/>
    <w:rsid w:val="00ED5BD1"/>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33D9"/>
    <w:rsid w:val="00F46870"/>
    <w:rsid w:val="00F52CFF"/>
    <w:rsid w:val="00F536BE"/>
    <w:rsid w:val="00F554AF"/>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34FEF"/>
    <w:rsid w:val="0124391B"/>
    <w:rsid w:val="012E7AD9"/>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173534"/>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181D0F"/>
    <w:rsid w:val="0A245448"/>
    <w:rsid w:val="0A7C3F6D"/>
    <w:rsid w:val="0A7D3AE6"/>
    <w:rsid w:val="0ACA060F"/>
    <w:rsid w:val="0AD71E9B"/>
    <w:rsid w:val="0B0B5F07"/>
    <w:rsid w:val="0B4C5E2C"/>
    <w:rsid w:val="0B674F8E"/>
    <w:rsid w:val="0B89775E"/>
    <w:rsid w:val="0BC96235"/>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B07AA4"/>
    <w:rsid w:val="0ED36ED3"/>
    <w:rsid w:val="0EE6002D"/>
    <w:rsid w:val="0EEE1E26"/>
    <w:rsid w:val="0F00375C"/>
    <w:rsid w:val="0F560D8D"/>
    <w:rsid w:val="0F5764BB"/>
    <w:rsid w:val="0F6117CA"/>
    <w:rsid w:val="0F6257C5"/>
    <w:rsid w:val="0F8757AD"/>
    <w:rsid w:val="0FB42DAE"/>
    <w:rsid w:val="0FBB1C4A"/>
    <w:rsid w:val="0FC41391"/>
    <w:rsid w:val="0FC43940"/>
    <w:rsid w:val="0FC46960"/>
    <w:rsid w:val="0FDE036F"/>
    <w:rsid w:val="0FF72380"/>
    <w:rsid w:val="10227FC7"/>
    <w:rsid w:val="1029166D"/>
    <w:rsid w:val="108C1B09"/>
    <w:rsid w:val="10F3457C"/>
    <w:rsid w:val="10FE2ED7"/>
    <w:rsid w:val="11160C7D"/>
    <w:rsid w:val="1155348D"/>
    <w:rsid w:val="116105A8"/>
    <w:rsid w:val="11746A5F"/>
    <w:rsid w:val="11B241B9"/>
    <w:rsid w:val="11CB3F36"/>
    <w:rsid w:val="11F15383"/>
    <w:rsid w:val="12065192"/>
    <w:rsid w:val="12125307"/>
    <w:rsid w:val="125F51F7"/>
    <w:rsid w:val="12607E18"/>
    <w:rsid w:val="132C0FC9"/>
    <w:rsid w:val="134A346C"/>
    <w:rsid w:val="13D453EA"/>
    <w:rsid w:val="13D93BEF"/>
    <w:rsid w:val="13DC1C7A"/>
    <w:rsid w:val="13DF6617"/>
    <w:rsid w:val="14085FB9"/>
    <w:rsid w:val="14923288"/>
    <w:rsid w:val="156845D9"/>
    <w:rsid w:val="156A2131"/>
    <w:rsid w:val="15B74989"/>
    <w:rsid w:val="15F54513"/>
    <w:rsid w:val="16742C11"/>
    <w:rsid w:val="167D64C8"/>
    <w:rsid w:val="16B44944"/>
    <w:rsid w:val="16C53D0A"/>
    <w:rsid w:val="16D62715"/>
    <w:rsid w:val="16DB7598"/>
    <w:rsid w:val="16E057F3"/>
    <w:rsid w:val="173B3423"/>
    <w:rsid w:val="174E1EC3"/>
    <w:rsid w:val="174F614E"/>
    <w:rsid w:val="17593F7C"/>
    <w:rsid w:val="179C6BA6"/>
    <w:rsid w:val="17B140BD"/>
    <w:rsid w:val="17B9383D"/>
    <w:rsid w:val="17C75809"/>
    <w:rsid w:val="17E165CB"/>
    <w:rsid w:val="17EB74E7"/>
    <w:rsid w:val="180D7E99"/>
    <w:rsid w:val="18237001"/>
    <w:rsid w:val="185C66AE"/>
    <w:rsid w:val="186B2AA6"/>
    <w:rsid w:val="1876710A"/>
    <w:rsid w:val="187C3036"/>
    <w:rsid w:val="188D3123"/>
    <w:rsid w:val="18DC4043"/>
    <w:rsid w:val="18DD0937"/>
    <w:rsid w:val="18E93070"/>
    <w:rsid w:val="190D6C99"/>
    <w:rsid w:val="19223429"/>
    <w:rsid w:val="19245762"/>
    <w:rsid w:val="19666E6B"/>
    <w:rsid w:val="19690B66"/>
    <w:rsid w:val="19B85E10"/>
    <w:rsid w:val="19BC22D6"/>
    <w:rsid w:val="19ED6C08"/>
    <w:rsid w:val="1A0265AC"/>
    <w:rsid w:val="1A230D00"/>
    <w:rsid w:val="1A3106BF"/>
    <w:rsid w:val="1A5B6C23"/>
    <w:rsid w:val="1A8717B9"/>
    <w:rsid w:val="1A9F3A88"/>
    <w:rsid w:val="1AC6787B"/>
    <w:rsid w:val="1ACB0AE0"/>
    <w:rsid w:val="1ADD7669"/>
    <w:rsid w:val="1AED2EFC"/>
    <w:rsid w:val="1B0D313F"/>
    <w:rsid w:val="1B131BD7"/>
    <w:rsid w:val="1B320224"/>
    <w:rsid w:val="1B830DA9"/>
    <w:rsid w:val="1BB42BC2"/>
    <w:rsid w:val="1BC3044B"/>
    <w:rsid w:val="1C1007DD"/>
    <w:rsid w:val="1C3938AC"/>
    <w:rsid w:val="1C3B2B44"/>
    <w:rsid w:val="1C3E68C5"/>
    <w:rsid w:val="1C551678"/>
    <w:rsid w:val="1CA677B8"/>
    <w:rsid w:val="1CD6295C"/>
    <w:rsid w:val="1D393F6D"/>
    <w:rsid w:val="1D664BF1"/>
    <w:rsid w:val="1D66642C"/>
    <w:rsid w:val="1D817FD4"/>
    <w:rsid w:val="1D961DA5"/>
    <w:rsid w:val="1D97493F"/>
    <w:rsid w:val="1D975A54"/>
    <w:rsid w:val="1DA958AD"/>
    <w:rsid w:val="1DB84D0E"/>
    <w:rsid w:val="1DE53774"/>
    <w:rsid w:val="1DF06B0A"/>
    <w:rsid w:val="1DF16F24"/>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34149A"/>
    <w:rsid w:val="1F49440C"/>
    <w:rsid w:val="1F7478B7"/>
    <w:rsid w:val="1FCB7610"/>
    <w:rsid w:val="201D571C"/>
    <w:rsid w:val="201F614A"/>
    <w:rsid w:val="2036061A"/>
    <w:rsid w:val="2086137D"/>
    <w:rsid w:val="20956654"/>
    <w:rsid w:val="20BF6B4D"/>
    <w:rsid w:val="20CE49E5"/>
    <w:rsid w:val="20EB177E"/>
    <w:rsid w:val="20EC2AB3"/>
    <w:rsid w:val="21075EAE"/>
    <w:rsid w:val="212D70AA"/>
    <w:rsid w:val="21446D64"/>
    <w:rsid w:val="21680BC4"/>
    <w:rsid w:val="218E227A"/>
    <w:rsid w:val="219B0E35"/>
    <w:rsid w:val="21B262B5"/>
    <w:rsid w:val="21C46F29"/>
    <w:rsid w:val="21F82CE7"/>
    <w:rsid w:val="220732D0"/>
    <w:rsid w:val="22493602"/>
    <w:rsid w:val="22881CC9"/>
    <w:rsid w:val="232F01AE"/>
    <w:rsid w:val="235A2118"/>
    <w:rsid w:val="2382400D"/>
    <w:rsid w:val="23A302C8"/>
    <w:rsid w:val="23AE428F"/>
    <w:rsid w:val="23CA04FD"/>
    <w:rsid w:val="23EF4F44"/>
    <w:rsid w:val="24017C3E"/>
    <w:rsid w:val="2447669B"/>
    <w:rsid w:val="2478400A"/>
    <w:rsid w:val="24A977D4"/>
    <w:rsid w:val="25482D76"/>
    <w:rsid w:val="254830E5"/>
    <w:rsid w:val="25675E63"/>
    <w:rsid w:val="25830BDD"/>
    <w:rsid w:val="2595447B"/>
    <w:rsid w:val="25AB53AA"/>
    <w:rsid w:val="25CA6E03"/>
    <w:rsid w:val="25D90F8B"/>
    <w:rsid w:val="26205CFD"/>
    <w:rsid w:val="263B1339"/>
    <w:rsid w:val="263D681D"/>
    <w:rsid w:val="266807FF"/>
    <w:rsid w:val="26712B05"/>
    <w:rsid w:val="26911AED"/>
    <w:rsid w:val="26A32593"/>
    <w:rsid w:val="26AC098C"/>
    <w:rsid w:val="26AF4030"/>
    <w:rsid w:val="26F02FAB"/>
    <w:rsid w:val="270E243E"/>
    <w:rsid w:val="272145E0"/>
    <w:rsid w:val="275E3610"/>
    <w:rsid w:val="276A51E0"/>
    <w:rsid w:val="277B3338"/>
    <w:rsid w:val="277E33C0"/>
    <w:rsid w:val="27A11072"/>
    <w:rsid w:val="2809407D"/>
    <w:rsid w:val="280C0039"/>
    <w:rsid w:val="282D258B"/>
    <w:rsid w:val="282E3FB6"/>
    <w:rsid w:val="285E0683"/>
    <w:rsid w:val="28BA186B"/>
    <w:rsid w:val="28CD09C9"/>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2FC12533"/>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3E22ACC"/>
    <w:rsid w:val="347608AD"/>
    <w:rsid w:val="34B45F97"/>
    <w:rsid w:val="34C533CE"/>
    <w:rsid w:val="34DE1476"/>
    <w:rsid w:val="34E7797D"/>
    <w:rsid w:val="34EE48B6"/>
    <w:rsid w:val="34FE17D1"/>
    <w:rsid w:val="350100F6"/>
    <w:rsid w:val="35081CE0"/>
    <w:rsid w:val="3532176D"/>
    <w:rsid w:val="353225AF"/>
    <w:rsid w:val="35372BEB"/>
    <w:rsid w:val="357D18D4"/>
    <w:rsid w:val="35825CD6"/>
    <w:rsid w:val="3583106D"/>
    <w:rsid w:val="358D6E27"/>
    <w:rsid w:val="35AB1587"/>
    <w:rsid w:val="35D93BF2"/>
    <w:rsid w:val="35E073D3"/>
    <w:rsid w:val="35FB01E4"/>
    <w:rsid w:val="35FC2475"/>
    <w:rsid w:val="36000DEE"/>
    <w:rsid w:val="3619247E"/>
    <w:rsid w:val="361C32E3"/>
    <w:rsid w:val="363B4F21"/>
    <w:rsid w:val="365325D3"/>
    <w:rsid w:val="366115F3"/>
    <w:rsid w:val="36B36891"/>
    <w:rsid w:val="36C733A6"/>
    <w:rsid w:val="36F24313"/>
    <w:rsid w:val="37096D47"/>
    <w:rsid w:val="37176A8D"/>
    <w:rsid w:val="372F0C76"/>
    <w:rsid w:val="37332780"/>
    <w:rsid w:val="37461637"/>
    <w:rsid w:val="383306CA"/>
    <w:rsid w:val="38C66435"/>
    <w:rsid w:val="38C72C82"/>
    <w:rsid w:val="391E4543"/>
    <w:rsid w:val="39297CD8"/>
    <w:rsid w:val="39555064"/>
    <w:rsid w:val="39720837"/>
    <w:rsid w:val="39CC4360"/>
    <w:rsid w:val="39DB0183"/>
    <w:rsid w:val="39E16FE0"/>
    <w:rsid w:val="3A084041"/>
    <w:rsid w:val="3A0C5A88"/>
    <w:rsid w:val="3A22197C"/>
    <w:rsid w:val="3AC8207F"/>
    <w:rsid w:val="3AF172AC"/>
    <w:rsid w:val="3B22543A"/>
    <w:rsid w:val="3BA5009C"/>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9038AE"/>
    <w:rsid w:val="3FAF1BDB"/>
    <w:rsid w:val="401A5896"/>
    <w:rsid w:val="402F10B7"/>
    <w:rsid w:val="403F3D05"/>
    <w:rsid w:val="406F7B0C"/>
    <w:rsid w:val="40861459"/>
    <w:rsid w:val="40E63087"/>
    <w:rsid w:val="40EE74C4"/>
    <w:rsid w:val="417047AC"/>
    <w:rsid w:val="41D74163"/>
    <w:rsid w:val="41E35074"/>
    <w:rsid w:val="420402E9"/>
    <w:rsid w:val="422C3BCD"/>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AF7BA4"/>
    <w:rsid w:val="45B03354"/>
    <w:rsid w:val="460D03A3"/>
    <w:rsid w:val="46170337"/>
    <w:rsid w:val="46BA1B0B"/>
    <w:rsid w:val="46BE22F6"/>
    <w:rsid w:val="4709536A"/>
    <w:rsid w:val="47346345"/>
    <w:rsid w:val="474C22E0"/>
    <w:rsid w:val="47917D5C"/>
    <w:rsid w:val="479E0BF9"/>
    <w:rsid w:val="47CC2CBF"/>
    <w:rsid w:val="48026040"/>
    <w:rsid w:val="4806597B"/>
    <w:rsid w:val="480D5010"/>
    <w:rsid w:val="4818686D"/>
    <w:rsid w:val="482047B3"/>
    <w:rsid w:val="482A37A9"/>
    <w:rsid w:val="482F00F2"/>
    <w:rsid w:val="485E3463"/>
    <w:rsid w:val="48985421"/>
    <w:rsid w:val="48A90E72"/>
    <w:rsid w:val="48AB7543"/>
    <w:rsid w:val="48D90BAA"/>
    <w:rsid w:val="48F60966"/>
    <w:rsid w:val="49563556"/>
    <w:rsid w:val="495B46CC"/>
    <w:rsid w:val="49791ED9"/>
    <w:rsid w:val="4994738B"/>
    <w:rsid w:val="49C47816"/>
    <w:rsid w:val="49F56DB8"/>
    <w:rsid w:val="49FC0847"/>
    <w:rsid w:val="49FF6276"/>
    <w:rsid w:val="4A0B6EFE"/>
    <w:rsid w:val="4A106B86"/>
    <w:rsid w:val="4A5934BB"/>
    <w:rsid w:val="4A720EEF"/>
    <w:rsid w:val="4AA91B97"/>
    <w:rsid w:val="4AD706A1"/>
    <w:rsid w:val="4B434E7D"/>
    <w:rsid w:val="4B6603D5"/>
    <w:rsid w:val="4B981AFB"/>
    <w:rsid w:val="4BFB0D39"/>
    <w:rsid w:val="4C3460DC"/>
    <w:rsid w:val="4C940FE0"/>
    <w:rsid w:val="4D1D334B"/>
    <w:rsid w:val="4D1F5259"/>
    <w:rsid w:val="4D310CE0"/>
    <w:rsid w:val="4D6B61CD"/>
    <w:rsid w:val="4D7609DC"/>
    <w:rsid w:val="4DA274F8"/>
    <w:rsid w:val="4DCB4C25"/>
    <w:rsid w:val="4DCD485F"/>
    <w:rsid w:val="4DEC7F03"/>
    <w:rsid w:val="4DF2743F"/>
    <w:rsid w:val="4DF60082"/>
    <w:rsid w:val="4DF9198D"/>
    <w:rsid w:val="4E3F10A8"/>
    <w:rsid w:val="4E4B26D4"/>
    <w:rsid w:val="4E547C4C"/>
    <w:rsid w:val="4E6B3D76"/>
    <w:rsid w:val="4E7F48DD"/>
    <w:rsid w:val="4E846489"/>
    <w:rsid w:val="4E874D01"/>
    <w:rsid w:val="4E931ECD"/>
    <w:rsid w:val="4EAE4A4F"/>
    <w:rsid w:val="4EB34DD0"/>
    <w:rsid w:val="4ECE788B"/>
    <w:rsid w:val="4ED861A2"/>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1328CE"/>
    <w:rsid w:val="5120599C"/>
    <w:rsid w:val="51205C57"/>
    <w:rsid w:val="513235E9"/>
    <w:rsid w:val="5145465F"/>
    <w:rsid w:val="515E708D"/>
    <w:rsid w:val="5169663D"/>
    <w:rsid w:val="51E03A19"/>
    <w:rsid w:val="52563E44"/>
    <w:rsid w:val="527F2428"/>
    <w:rsid w:val="52870E84"/>
    <w:rsid w:val="52BC1638"/>
    <w:rsid w:val="52D070F5"/>
    <w:rsid w:val="52FF75B0"/>
    <w:rsid w:val="534E0590"/>
    <w:rsid w:val="535B66F3"/>
    <w:rsid w:val="53AD4E07"/>
    <w:rsid w:val="5415503F"/>
    <w:rsid w:val="543E07CB"/>
    <w:rsid w:val="546F68DE"/>
    <w:rsid w:val="54CD13A5"/>
    <w:rsid w:val="54CE60A9"/>
    <w:rsid w:val="54D71C0F"/>
    <w:rsid w:val="552134EF"/>
    <w:rsid w:val="55346F44"/>
    <w:rsid w:val="55491C85"/>
    <w:rsid w:val="556548A8"/>
    <w:rsid w:val="55780BB3"/>
    <w:rsid w:val="559D25E7"/>
    <w:rsid w:val="55B8599C"/>
    <w:rsid w:val="55C51D6D"/>
    <w:rsid w:val="55E8649E"/>
    <w:rsid w:val="55EC16DE"/>
    <w:rsid w:val="56176C65"/>
    <w:rsid w:val="562354D7"/>
    <w:rsid w:val="564C3BAF"/>
    <w:rsid w:val="565E1D7F"/>
    <w:rsid w:val="56971C9D"/>
    <w:rsid w:val="56A13FD5"/>
    <w:rsid w:val="56B22FD9"/>
    <w:rsid w:val="56CD5DF2"/>
    <w:rsid w:val="56EF0E1E"/>
    <w:rsid w:val="56F55E75"/>
    <w:rsid w:val="57085025"/>
    <w:rsid w:val="570925BD"/>
    <w:rsid w:val="571D7BAC"/>
    <w:rsid w:val="574A01C9"/>
    <w:rsid w:val="57683EB8"/>
    <w:rsid w:val="57C970C0"/>
    <w:rsid w:val="58055912"/>
    <w:rsid w:val="580F5F80"/>
    <w:rsid w:val="582F37A4"/>
    <w:rsid w:val="5863641D"/>
    <w:rsid w:val="587161E6"/>
    <w:rsid w:val="588F79F3"/>
    <w:rsid w:val="589F6B5B"/>
    <w:rsid w:val="58B06C41"/>
    <w:rsid w:val="58B67E67"/>
    <w:rsid w:val="58F637C8"/>
    <w:rsid w:val="58FA1C78"/>
    <w:rsid w:val="59023CB2"/>
    <w:rsid w:val="59114924"/>
    <w:rsid w:val="591E35A8"/>
    <w:rsid w:val="594A0D9A"/>
    <w:rsid w:val="596140D0"/>
    <w:rsid w:val="596F395C"/>
    <w:rsid w:val="5976348A"/>
    <w:rsid w:val="598A1B97"/>
    <w:rsid w:val="598B6B08"/>
    <w:rsid w:val="598E537E"/>
    <w:rsid w:val="59A8766A"/>
    <w:rsid w:val="5A1662FA"/>
    <w:rsid w:val="5A35296A"/>
    <w:rsid w:val="5A666AA8"/>
    <w:rsid w:val="5ABF7889"/>
    <w:rsid w:val="5ACE43B9"/>
    <w:rsid w:val="5B17524C"/>
    <w:rsid w:val="5B530B81"/>
    <w:rsid w:val="5B6A0214"/>
    <w:rsid w:val="5B6A078A"/>
    <w:rsid w:val="5B725AC7"/>
    <w:rsid w:val="5B7D66A9"/>
    <w:rsid w:val="5B7F6419"/>
    <w:rsid w:val="5B827C48"/>
    <w:rsid w:val="5B8B15FE"/>
    <w:rsid w:val="5BAC00C5"/>
    <w:rsid w:val="5C003D71"/>
    <w:rsid w:val="5C4D2776"/>
    <w:rsid w:val="5C62594C"/>
    <w:rsid w:val="5C814268"/>
    <w:rsid w:val="5C86422F"/>
    <w:rsid w:val="5CBD6243"/>
    <w:rsid w:val="5CEB1947"/>
    <w:rsid w:val="5CF2164B"/>
    <w:rsid w:val="5CFB35C0"/>
    <w:rsid w:val="5CFE0B84"/>
    <w:rsid w:val="5D1B0BA6"/>
    <w:rsid w:val="5D2D4F79"/>
    <w:rsid w:val="5D592377"/>
    <w:rsid w:val="5D5E376C"/>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EEA2B2E"/>
    <w:rsid w:val="5F37360D"/>
    <w:rsid w:val="5F49229E"/>
    <w:rsid w:val="5F684F25"/>
    <w:rsid w:val="5F6E48EF"/>
    <w:rsid w:val="5F760A23"/>
    <w:rsid w:val="5F817211"/>
    <w:rsid w:val="5FA66240"/>
    <w:rsid w:val="5FC554F9"/>
    <w:rsid w:val="5FCB6C9D"/>
    <w:rsid w:val="5FDF438C"/>
    <w:rsid w:val="5FED4422"/>
    <w:rsid w:val="5FF304E0"/>
    <w:rsid w:val="6029526F"/>
    <w:rsid w:val="60897059"/>
    <w:rsid w:val="60AB0DF5"/>
    <w:rsid w:val="60C61CEC"/>
    <w:rsid w:val="60D7093C"/>
    <w:rsid w:val="60EC2501"/>
    <w:rsid w:val="61104A26"/>
    <w:rsid w:val="61126BD8"/>
    <w:rsid w:val="61240A21"/>
    <w:rsid w:val="61471A2E"/>
    <w:rsid w:val="616022A7"/>
    <w:rsid w:val="61807D53"/>
    <w:rsid w:val="6199549E"/>
    <w:rsid w:val="62224DCD"/>
    <w:rsid w:val="62405901"/>
    <w:rsid w:val="626A0712"/>
    <w:rsid w:val="62990AE3"/>
    <w:rsid w:val="62E658D4"/>
    <w:rsid w:val="63274F41"/>
    <w:rsid w:val="6371469D"/>
    <w:rsid w:val="63750C45"/>
    <w:rsid w:val="63916F28"/>
    <w:rsid w:val="63BB0C29"/>
    <w:rsid w:val="63D72C74"/>
    <w:rsid w:val="64814DC1"/>
    <w:rsid w:val="648C085D"/>
    <w:rsid w:val="651B5E29"/>
    <w:rsid w:val="652D0934"/>
    <w:rsid w:val="653063AB"/>
    <w:rsid w:val="65B473BF"/>
    <w:rsid w:val="65DB5613"/>
    <w:rsid w:val="65EF0909"/>
    <w:rsid w:val="65FE13CB"/>
    <w:rsid w:val="66130CF9"/>
    <w:rsid w:val="66345BE8"/>
    <w:rsid w:val="66365C97"/>
    <w:rsid w:val="66822AB6"/>
    <w:rsid w:val="668460E0"/>
    <w:rsid w:val="669E44D1"/>
    <w:rsid w:val="66CD7E07"/>
    <w:rsid w:val="66CE14BB"/>
    <w:rsid w:val="67113266"/>
    <w:rsid w:val="675E17FD"/>
    <w:rsid w:val="676E458A"/>
    <w:rsid w:val="678547BB"/>
    <w:rsid w:val="67DE5F73"/>
    <w:rsid w:val="6826276A"/>
    <w:rsid w:val="683D512D"/>
    <w:rsid w:val="686E5BB4"/>
    <w:rsid w:val="68F631D5"/>
    <w:rsid w:val="694C5544"/>
    <w:rsid w:val="696A7D45"/>
    <w:rsid w:val="696C0643"/>
    <w:rsid w:val="69824C75"/>
    <w:rsid w:val="698B1EAA"/>
    <w:rsid w:val="6991300A"/>
    <w:rsid w:val="69B11567"/>
    <w:rsid w:val="6A0B7CAC"/>
    <w:rsid w:val="6A3F4B44"/>
    <w:rsid w:val="6A767940"/>
    <w:rsid w:val="6A96278C"/>
    <w:rsid w:val="6AAB6638"/>
    <w:rsid w:val="6AE9678D"/>
    <w:rsid w:val="6B015D49"/>
    <w:rsid w:val="6B526AFF"/>
    <w:rsid w:val="6B547775"/>
    <w:rsid w:val="6B8C5DC0"/>
    <w:rsid w:val="6B926804"/>
    <w:rsid w:val="6BD1233E"/>
    <w:rsid w:val="6BEA4587"/>
    <w:rsid w:val="6BFF58F6"/>
    <w:rsid w:val="6C1A0D74"/>
    <w:rsid w:val="6C1B5164"/>
    <w:rsid w:val="6C1D3E6F"/>
    <w:rsid w:val="6C1F4C5F"/>
    <w:rsid w:val="6C22550C"/>
    <w:rsid w:val="6C6626E3"/>
    <w:rsid w:val="6C6E2AEC"/>
    <w:rsid w:val="6CDB2174"/>
    <w:rsid w:val="6CF62758"/>
    <w:rsid w:val="6CF73707"/>
    <w:rsid w:val="6D3163D3"/>
    <w:rsid w:val="6D34441D"/>
    <w:rsid w:val="6D3B47A6"/>
    <w:rsid w:val="6D483DE7"/>
    <w:rsid w:val="6D8F609F"/>
    <w:rsid w:val="6DDA1073"/>
    <w:rsid w:val="6DFC17CF"/>
    <w:rsid w:val="6E093526"/>
    <w:rsid w:val="6E1B3F67"/>
    <w:rsid w:val="6E202BC7"/>
    <w:rsid w:val="6E37733A"/>
    <w:rsid w:val="6E690C17"/>
    <w:rsid w:val="6E9E6DE2"/>
    <w:rsid w:val="6EB4157C"/>
    <w:rsid w:val="6EB47DBF"/>
    <w:rsid w:val="6F655E08"/>
    <w:rsid w:val="6F9E422F"/>
    <w:rsid w:val="6F9F02B2"/>
    <w:rsid w:val="6FC71D13"/>
    <w:rsid w:val="6FDF692D"/>
    <w:rsid w:val="70004EC4"/>
    <w:rsid w:val="70054296"/>
    <w:rsid w:val="702142B6"/>
    <w:rsid w:val="70D03517"/>
    <w:rsid w:val="70D46B74"/>
    <w:rsid w:val="70E43CE1"/>
    <w:rsid w:val="710F1327"/>
    <w:rsid w:val="71273FA1"/>
    <w:rsid w:val="71A34F9A"/>
    <w:rsid w:val="71D87605"/>
    <w:rsid w:val="720E6B9F"/>
    <w:rsid w:val="721358ED"/>
    <w:rsid w:val="7224755A"/>
    <w:rsid w:val="72444127"/>
    <w:rsid w:val="72537A2C"/>
    <w:rsid w:val="72A539E6"/>
    <w:rsid w:val="72B73122"/>
    <w:rsid w:val="73511E13"/>
    <w:rsid w:val="738E738B"/>
    <w:rsid w:val="73A159D5"/>
    <w:rsid w:val="744317E0"/>
    <w:rsid w:val="74450F3F"/>
    <w:rsid w:val="745665A3"/>
    <w:rsid w:val="746F221E"/>
    <w:rsid w:val="74711172"/>
    <w:rsid w:val="74726C32"/>
    <w:rsid w:val="74945132"/>
    <w:rsid w:val="74C306D0"/>
    <w:rsid w:val="74CF2F06"/>
    <w:rsid w:val="756273A8"/>
    <w:rsid w:val="75800318"/>
    <w:rsid w:val="758B51E5"/>
    <w:rsid w:val="75A91B7B"/>
    <w:rsid w:val="75F3613A"/>
    <w:rsid w:val="75F46F2C"/>
    <w:rsid w:val="76087A16"/>
    <w:rsid w:val="763F7892"/>
    <w:rsid w:val="76456B6F"/>
    <w:rsid w:val="764A1DE3"/>
    <w:rsid w:val="76735396"/>
    <w:rsid w:val="7674730B"/>
    <w:rsid w:val="76C30678"/>
    <w:rsid w:val="76E35557"/>
    <w:rsid w:val="7713302C"/>
    <w:rsid w:val="77136A2D"/>
    <w:rsid w:val="773F00B5"/>
    <w:rsid w:val="77591066"/>
    <w:rsid w:val="778F6DA7"/>
    <w:rsid w:val="77991202"/>
    <w:rsid w:val="77A271B3"/>
    <w:rsid w:val="77AE7827"/>
    <w:rsid w:val="77CB5AC9"/>
    <w:rsid w:val="78194131"/>
    <w:rsid w:val="782112B1"/>
    <w:rsid w:val="7823551A"/>
    <w:rsid w:val="782C408D"/>
    <w:rsid w:val="78C651E8"/>
    <w:rsid w:val="78DB0A49"/>
    <w:rsid w:val="78F2466F"/>
    <w:rsid w:val="79132357"/>
    <w:rsid w:val="792B1401"/>
    <w:rsid w:val="793C03C5"/>
    <w:rsid w:val="79474056"/>
    <w:rsid w:val="79650D4B"/>
    <w:rsid w:val="796C152E"/>
    <w:rsid w:val="79BB424A"/>
    <w:rsid w:val="79C40F42"/>
    <w:rsid w:val="79CE6679"/>
    <w:rsid w:val="79D31158"/>
    <w:rsid w:val="7A0B5E51"/>
    <w:rsid w:val="7A110017"/>
    <w:rsid w:val="7A343FE5"/>
    <w:rsid w:val="7A557FF1"/>
    <w:rsid w:val="7A5D0C82"/>
    <w:rsid w:val="7AA349F6"/>
    <w:rsid w:val="7AAF3C03"/>
    <w:rsid w:val="7AB25337"/>
    <w:rsid w:val="7ACD61FF"/>
    <w:rsid w:val="7B2F5EA3"/>
    <w:rsid w:val="7B4C5EEA"/>
    <w:rsid w:val="7B5C4060"/>
    <w:rsid w:val="7BCC7612"/>
    <w:rsid w:val="7BD63BC4"/>
    <w:rsid w:val="7BE01F2B"/>
    <w:rsid w:val="7BF13B58"/>
    <w:rsid w:val="7C3941DD"/>
    <w:rsid w:val="7C637794"/>
    <w:rsid w:val="7C872DCE"/>
    <w:rsid w:val="7C8D4593"/>
    <w:rsid w:val="7C9C6253"/>
    <w:rsid w:val="7CA22103"/>
    <w:rsid w:val="7CC54136"/>
    <w:rsid w:val="7CDD4C12"/>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4E3611"/>
    <w:rsid w:val="7FB02405"/>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3"/>
    <w:next w:val="1"/>
    <w:qFormat/>
    <w:uiPriority w:val="99"/>
    <w:pPr>
      <w:keepLines/>
      <w:spacing w:before="260" w:after="260" w:line="416" w:lineRule="auto"/>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ind w:firstLine="420" w:firstLineChars="100"/>
    </w:pPr>
  </w:style>
  <w:style w:type="paragraph" w:styleId="6">
    <w:name w:val="Normal Indent"/>
    <w:basedOn w:val="1"/>
    <w:qFormat/>
    <w:uiPriority w:val="0"/>
    <w:pPr>
      <w:ind w:firstLine="420"/>
    </w:pPr>
    <w:rPr>
      <w:szCs w:val="21"/>
    </w:rPr>
  </w:style>
  <w:style w:type="paragraph" w:styleId="8">
    <w:name w:val="Document Map"/>
    <w:basedOn w:val="1"/>
    <w:link w:val="40"/>
    <w:qFormat/>
    <w:uiPriority w:val="0"/>
    <w:pPr>
      <w:shd w:val="clear" w:color="auto" w:fill="000080"/>
    </w:pPr>
    <w:rPr>
      <w:kern w:val="0"/>
      <w:sz w:val="20"/>
    </w:rPr>
  </w:style>
  <w:style w:type="paragraph" w:styleId="9">
    <w:name w:val="Body Text"/>
    <w:basedOn w:val="1"/>
    <w:link w:val="35"/>
    <w:qFormat/>
    <w:uiPriority w:val="0"/>
    <w:pPr>
      <w:spacing w:after="120"/>
    </w:pPr>
    <w:rPr>
      <w:rFonts w:asciiTheme="minorHAnsi" w:hAnsiTheme="minorHAnsi" w:eastAsiaTheme="minorEastAsia" w:cstheme="minorBidi"/>
    </w:rPr>
  </w:style>
  <w:style w:type="paragraph" w:styleId="10">
    <w:name w:val="Body Text Indent"/>
    <w:basedOn w:val="1"/>
    <w:next w:val="11"/>
    <w:link w:val="42"/>
    <w:qFormat/>
    <w:uiPriority w:val="0"/>
    <w:pPr>
      <w:spacing w:line="400" w:lineRule="exact"/>
      <w:ind w:firstLine="515"/>
    </w:pPr>
    <w:rPr>
      <w:rFonts w:ascii="楷体_GB2312" w:eastAsia="楷体_GB2312"/>
      <w:b/>
      <w:bCs/>
      <w:kern w:val="0"/>
      <w:sz w:val="24"/>
    </w:rPr>
  </w:style>
  <w:style w:type="paragraph" w:customStyle="1" w:styleId="11">
    <w:name w:val="正文表格"/>
    <w:basedOn w:val="1"/>
    <w:qFormat/>
    <w:uiPriority w:val="0"/>
    <w:pPr>
      <w:jc w:val="center"/>
    </w:pPr>
    <w:rPr>
      <w:rFonts w:ascii="宋体" w:hAnsi="宋体"/>
    </w:rPr>
  </w:style>
  <w:style w:type="paragraph" w:styleId="12">
    <w:name w:val="Block Text"/>
    <w:basedOn w:val="1"/>
    <w:qFormat/>
    <w:uiPriority w:val="0"/>
    <w:pPr>
      <w:tabs>
        <w:tab w:val="left" w:pos="9000"/>
      </w:tabs>
      <w:spacing w:after="120"/>
      <w:ind w:left="1440" w:leftChars="700" w:right="1440" w:rightChars="700"/>
    </w:pPr>
  </w:style>
  <w:style w:type="paragraph" w:styleId="13">
    <w:name w:val="Plain Text"/>
    <w:basedOn w:val="1"/>
    <w:link w:val="41"/>
    <w:qFormat/>
    <w:uiPriority w:val="0"/>
    <w:rPr>
      <w:rFonts w:ascii="宋体" w:hAnsi="Courier New"/>
      <w:kern w:val="0"/>
      <w:sz w:val="20"/>
      <w:szCs w:val="21"/>
    </w:rPr>
  </w:style>
  <w:style w:type="paragraph" w:styleId="14">
    <w:name w:val="Date"/>
    <w:basedOn w:val="1"/>
    <w:next w:val="1"/>
    <w:link w:val="36"/>
    <w:qFormat/>
    <w:uiPriority w:val="0"/>
    <w:pPr>
      <w:ind w:left="100" w:leftChars="2500"/>
    </w:pPr>
    <w:rPr>
      <w:kern w:val="0"/>
      <w:sz w:val="28"/>
    </w:rPr>
  </w:style>
  <w:style w:type="paragraph" w:styleId="15">
    <w:name w:val="Body Text Indent 2"/>
    <w:basedOn w:val="1"/>
    <w:link w:val="39"/>
    <w:qFormat/>
    <w:uiPriority w:val="0"/>
    <w:pPr>
      <w:spacing w:line="400" w:lineRule="exact"/>
      <w:ind w:left="-1" w:firstLine="480" w:firstLineChars="200"/>
    </w:pPr>
    <w:rPr>
      <w:rFonts w:ascii="楷体_GB2312" w:eastAsia="楷体_GB2312"/>
      <w:kern w:val="0"/>
      <w:sz w:val="24"/>
    </w:rPr>
  </w:style>
  <w:style w:type="paragraph" w:styleId="16">
    <w:name w:val="Balloon Text"/>
    <w:basedOn w:val="1"/>
    <w:link w:val="37"/>
    <w:qFormat/>
    <w:uiPriority w:val="0"/>
    <w:rPr>
      <w:kern w:val="0"/>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1"/>
    <w:unhideWhenUsed/>
    <w:qFormat/>
    <w:uiPriority w:val="99"/>
    <w:pPr>
      <w:tabs>
        <w:tab w:val="center" w:pos="4153"/>
        <w:tab w:val="right" w:pos="8306"/>
      </w:tabs>
      <w:snapToGrid w:val="0"/>
      <w:jc w:val="center"/>
    </w:pPr>
    <w:rPr>
      <w:sz w:val="18"/>
      <w:szCs w:val="18"/>
    </w:rPr>
  </w:style>
  <w:style w:type="paragraph" w:styleId="20">
    <w:name w:val="Body Text Indent 3"/>
    <w:basedOn w:val="1"/>
    <w:link w:val="43"/>
    <w:qFormat/>
    <w:uiPriority w:val="0"/>
    <w:pPr>
      <w:spacing w:line="440" w:lineRule="exact"/>
      <w:ind w:firstLine="540"/>
    </w:pPr>
    <w:rPr>
      <w:rFonts w:ascii="楷体_GB2312" w:eastAsia="楷体_GB2312"/>
      <w:bCs/>
      <w:kern w:val="0"/>
      <w:sz w:val="24"/>
    </w:rPr>
  </w:style>
  <w:style w:type="paragraph" w:styleId="21">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10"/>
    <w:next w:val="24"/>
    <w:qFormat/>
    <w:uiPriority w:val="0"/>
    <w:pPr>
      <w:spacing w:after="120" w:line="240" w:lineRule="auto"/>
      <w:ind w:left="420" w:leftChars="200" w:firstLine="420" w:firstLineChars="200"/>
    </w:pPr>
    <w:rPr>
      <w:sz w:val="21"/>
    </w:rPr>
  </w:style>
  <w:style w:type="paragraph" w:customStyle="1" w:styleId="24">
    <w:name w:val="正文首行缩进  2字符"/>
    <w:basedOn w:val="1"/>
    <w:qFormat/>
    <w:uiPriority w:val="0"/>
    <w:pPr>
      <w:widowControl/>
      <w:spacing w:line="360" w:lineRule="auto"/>
      <w:ind w:firstLine="480"/>
    </w:pPr>
    <w:rPr>
      <w:sz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page number"/>
    <w:basedOn w:val="27"/>
    <w:qFormat/>
    <w:uiPriority w:val="0"/>
  </w:style>
  <w:style w:type="character" w:styleId="29">
    <w:name w:val="FollowedHyperlink"/>
    <w:qFormat/>
    <w:uiPriority w:val="0"/>
    <w:rPr>
      <w:color w:val="800080"/>
      <w:u w:val="single"/>
    </w:rPr>
  </w:style>
  <w:style w:type="character" w:styleId="30">
    <w:name w:val="Hyperlink"/>
    <w:qFormat/>
    <w:uiPriority w:val="0"/>
    <w:rPr>
      <w:color w:val="0000FF"/>
      <w:u w:val="single"/>
    </w:rPr>
  </w:style>
  <w:style w:type="character" w:customStyle="1" w:styleId="31">
    <w:name w:val="页眉 字符"/>
    <w:basedOn w:val="27"/>
    <w:link w:val="19"/>
    <w:qFormat/>
    <w:uiPriority w:val="99"/>
    <w:rPr>
      <w:rFonts w:ascii="Times New Roman" w:hAnsi="Times New Roman" w:eastAsia="宋体" w:cs="Times New Roman"/>
      <w:sz w:val="18"/>
      <w:szCs w:val="18"/>
    </w:rPr>
  </w:style>
  <w:style w:type="character" w:customStyle="1" w:styleId="32">
    <w:name w:val="页脚 字符"/>
    <w:basedOn w:val="27"/>
    <w:link w:val="17"/>
    <w:qFormat/>
    <w:uiPriority w:val="99"/>
    <w:rPr>
      <w:sz w:val="18"/>
      <w:szCs w:val="18"/>
    </w:rPr>
  </w:style>
  <w:style w:type="character" w:customStyle="1" w:styleId="33">
    <w:name w:val="正文文本 Char"/>
    <w:qFormat/>
    <w:uiPriority w:val="0"/>
    <w:rPr>
      <w:szCs w:val="24"/>
    </w:rPr>
  </w:style>
  <w:style w:type="paragraph" w:styleId="34">
    <w:name w:val="List Paragraph"/>
    <w:basedOn w:val="1"/>
    <w:qFormat/>
    <w:uiPriority w:val="34"/>
    <w:pPr>
      <w:ind w:firstLine="420" w:firstLineChars="200"/>
    </w:pPr>
  </w:style>
  <w:style w:type="character" w:customStyle="1" w:styleId="35">
    <w:name w:val="正文文本 字符"/>
    <w:basedOn w:val="27"/>
    <w:link w:val="9"/>
    <w:semiHidden/>
    <w:qFormat/>
    <w:uiPriority w:val="99"/>
    <w:rPr>
      <w:rFonts w:ascii="Times New Roman" w:hAnsi="Times New Roman" w:eastAsia="宋体" w:cs="Times New Roman"/>
      <w:szCs w:val="24"/>
    </w:rPr>
  </w:style>
  <w:style w:type="character" w:customStyle="1" w:styleId="36">
    <w:name w:val="日期 字符"/>
    <w:basedOn w:val="27"/>
    <w:link w:val="14"/>
    <w:qFormat/>
    <w:uiPriority w:val="0"/>
    <w:rPr>
      <w:rFonts w:ascii="Times New Roman" w:hAnsi="Times New Roman" w:eastAsia="宋体" w:cs="Times New Roman"/>
      <w:kern w:val="0"/>
      <w:sz w:val="28"/>
      <w:szCs w:val="24"/>
    </w:rPr>
  </w:style>
  <w:style w:type="character" w:customStyle="1" w:styleId="37">
    <w:name w:val="批注框文本 字符"/>
    <w:basedOn w:val="27"/>
    <w:link w:val="16"/>
    <w:qFormat/>
    <w:uiPriority w:val="0"/>
    <w:rPr>
      <w:rFonts w:ascii="Times New Roman" w:hAnsi="Times New Roman" w:eastAsia="宋体" w:cs="Times New Roman"/>
      <w:kern w:val="0"/>
      <w:sz w:val="18"/>
      <w:szCs w:val="18"/>
    </w:rPr>
  </w:style>
  <w:style w:type="paragraph" w:customStyle="1" w:styleId="38">
    <w:name w:val="_Style 9"/>
    <w:basedOn w:val="1"/>
    <w:next w:val="13"/>
    <w:qFormat/>
    <w:uiPriority w:val="0"/>
    <w:rPr>
      <w:rFonts w:ascii="宋体" w:hAnsi="Courier New"/>
      <w:szCs w:val="21"/>
    </w:rPr>
  </w:style>
  <w:style w:type="character" w:customStyle="1" w:styleId="39">
    <w:name w:val="正文文本缩进 2 字符"/>
    <w:basedOn w:val="27"/>
    <w:link w:val="15"/>
    <w:qFormat/>
    <w:uiPriority w:val="0"/>
    <w:rPr>
      <w:rFonts w:ascii="楷体_GB2312" w:hAnsi="Times New Roman" w:eastAsia="楷体_GB2312" w:cs="Times New Roman"/>
      <w:kern w:val="0"/>
      <w:sz w:val="24"/>
      <w:szCs w:val="24"/>
    </w:rPr>
  </w:style>
  <w:style w:type="character" w:customStyle="1" w:styleId="40">
    <w:name w:val="文档结构图 字符"/>
    <w:basedOn w:val="27"/>
    <w:link w:val="8"/>
    <w:qFormat/>
    <w:uiPriority w:val="0"/>
    <w:rPr>
      <w:rFonts w:ascii="Times New Roman" w:hAnsi="Times New Roman" w:eastAsia="宋体" w:cs="Times New Roman"/>
      <w:kern w:val="0"/>
      <w:sz w:val="20"/>
      <w:szCs w:val="24"/>
      <w:shd w:val="clear" w:color="auto" w:fill="000080"/>
    </w:rPr>
  </w:style>
  <w:style w:type="character" w:customStyle="1" w:styleId="41">
    <w:name w:val="纯文本 字符"/>
    <w:basedOn w:val="27"/>
    <w:link w:val="13"/>
    <w:qFormat/>
    <w:uiPriority w:val="0"/>
    <w:rPr>
      <w:rFonts w:ascii="宋体" w:hAnsi="Courier New" w:eastAsia="宋体" w:cs="Times New Roman"/>
      <w:kern w:val="0"/>
      <w:sz w:val="20"/>
      <w:szCs w:val="21"/>
    </w:rPr>
  </w:style>
  <w:style w:type="character" w:customStyle="1" w:styleId="42">
    <w:name w:val="正文文本缩进 字符"/>
    <w:basedOn w:val="27"/>
    <w:link w:val="10"/>
    <w:qFormat/>
    <w:uiPriority w:val="0"/>
    <w:rPr>
      <w:rFonts w:ascii="楷体_GB2312" w:hAnsi="Times New Roman" w:eastAsia="楷体_GB2312" w:cs="Times New Roman"/>
      <w:b/>
      <w:bCs/>
      <w:kern w:val="0"/>
      <w:sz w:val="24"/>
      <w:szCs w:val="24"/>
    </w:rPr>
  </w:style>
  <w:style w:type="character" w:customStyle="1" w:styleId="43">
    <w:name w:val="正文文本缩进 3 字符"/>
    <w:basedOn w:val="27"/>
    <w:link w:val="20"/>
    <w:qFormat/>
    <w:uiPriority w:val="0"/>
    <w:rPr>
      <w:rFonts w:ascii="楷体_GB2312" w:hAnsi="Times New Roman" w:eastAsia="楷体_GB2312" w:cs="Times New Roman"/>
      <w:bCs/>
      <w:kern w:val="0"/>
      <w:sz w:val="24"/>
      <w:szCs w:val="24"/>
    </w:rPr>
  </w:style>
  <w:style w:type="character" w:customStyle="1" w:styleId="44">
    <w:name w:val="HTML 预设格式 字符"/>
    <w:basedOn w:val="27"/>
    <w:link w:val="21"/>
    <w:qFormat/>
    <w:uiPriority w:val="0"/>
    <w:rPr>
      <w:rFonts w:ascii="黑体" w:hAnsi="Courier New" w:eastAsia="黑体" w:cs="Times New Roman"/>
      <w:kern w:val="0"/>
      <w:sz w:val="20"/>
      <w:szCs w:val="20"/>
    </w:rPr>
  </w:style>
  <w:style w:type="paragraph" w:customStyle="1" w:styleId="45">
    <w:name w:val="Char Char Char7"/>
    <w:basedOn w:val="1"/>
    <w:qFormat/>
    <w:uiPriority w:val="0"/>
    <w:rPr>
      <w:rFonts w:ascii="仿宋_GB2312" w:eastAsia="仿宋_GB2312" w:cs="仿宋_GB2312"/>
      <w:b/>
      <w:bCs/>
      <w:sz w:val="32"/>
      <w:szCs w:val="32"/>
    </w:rPr>
  </w:style>
  <w:style w:type="paragraph" w:customStyle="1" w:styleId="4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7">
    <w:name w:val="font11"/>
    <w:basedOn w:val="27"/>
    <w:qFormat/>
    <w:uiPriority w:val="0"/>
    <w:rPr>
      <w:rFonts w:hint="eastAsia" w:ascii="宋体" w:hAnsi="宋体" w:eastAsia="宋体" w:cs="宋体"/>
      <w:color w:val="000000"/>
      <w:sz w:val="20"/>
      <w:szCs w:val="20"/>
      <w:u w:val="none"/>
    </w:rPr>
  </w:style>
  <w:style w:type="character" w:customStyle="1" w:styleId="48">
    <w:name w:val="font01"/>
    <w:basedOn w:val="27"/>
    <w:qFormat/>
    <w:uiPriority w:val="0"/>
    <w:rPr>
      <w:rFonts w:hint="eastAsia" w:ascii="宋体" w:hAnsi="宋体" w:eastAsia="宋体" w:cs="宋体"/>
      <w:color w:val="000000"/>
      <w:sz w:val="22"/>
      <w:szCs w:val="22"/>
      <w:u w:val="none"/>
    </w:rPr>
  </w:style>
  <w:style w:type="paragraph" w:customStyle="1" w:styleId="49">
    <w:name w:val="正文_0"/>
    <w:next w:val="23"/>
    <w:qFormat/>
    <w:uiPriority w:val="1"/>
    <w:pPr>
      <w:widowControl w:val="0"/>
      <w:autoSpaceDE w:val="0"/>
      <w:autoSpaceDN w:val="0"/>
    </w:pPr>
    <w:rPr>
      <w:rFonts w:ascii="宋体" w:hAnsi="宋体" w:eastAsia="宋体" w:cs="宋体"/>
      <w:sz w:val="22"/>
      <w:szCs w:val="22"/>
      <w:lang w:val="zh-CN" w:eastAsia="zh-CN" w:bidi="zh-CN"/>
    </w:rPr>
  </w:style>
  <w:style w:type="character" w:customStyle="1" w:styleId="50">
    <w:name w:val="NormalCharacter"/>
    <w:qFormat/>
    <w:uiPriority w:val="0"/>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文本_1"/>
    <w:basedOn w:val="51"/>
    <w:next w:val="51"/>
    <w:qFormat/>
    <w:uiPriority w:val="0"/>
    <w:pPr>
      <w:spacing w:after="120"/>
    </w:pPr>
  </w:style>
  <w:style w:type="paragraph" w:styleId="5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3"/>
    <w:next w:val="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文本_2"/>
    <w:basedOn w:val="54"/>
    <w:next w:val="5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81A14C-88EE-4EB7-8BF0-8B022845256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14861</Words>
  <Characters>15878</Characters>
  <Lines>137</Lines>
  <Paragraphs>38</Paragraphs>
  <TotalTime>15</TotalTime>
  <ScaleCrop>false</ScaleCrop>
  <LinksUpToDate>false</LinksUpToDate>
  <CharactersWithSpaces>18624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2023-07-26T02:30:00Z</dcterms:created>
  <dc:creator>User</dc:creator>
  <cp:lastModifiedBy>Samsung</cp:lastModifiedBy>
  <cp:lastPrinted>2020-04-12T01:53:00Z</cp:lastPrinted>
  <dcterms:modified xsi:type="dcterms:W3CDTF">2023-07-26T09:10:53Z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E9B903ECA13C4482B5A9BCB760036399_12</vt:lpwstr>
  </property>
</Properties>
</file>