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themeColor="text1"/>
          <w:sz w:val="84"/>
          <w:szCs w:val="84"/>
          <w14:textFill>
            <w14:solidFill>
              <w14:schemeClr w14:val="tx1"/>
            </w14:solidFill>
          </w14:textFill>
        </w:rPr>
      </w:pPr>
    </w:p>
    <w:p>
      <w:pPr>
        <w:jc w:val="center"/>
        <w:rPr>
          <w:rFonts w:hint="eastAsia" w:ascii="宋体" w:hAnsi="宋体" w:eastAsia="宋体" w:cs="宋体"/>
          <w:b/>
          <w:color w:val="000000" w:themeColor="text1"/>
          <w:sz w:val="84"/>
          <w:szCs w:val="84"/>
          <w14:textFill>
            <w14:solidFill>
              <w14:schemeClr w14:val="tx1"/>
            </w14:solidFill>
          </w14:textFill>
        </w:rPr>
      </w:pPr>
    </w:p>
    <w:p>
      <w:pPr>
        <w:jc w:val="center"/>
        <w:rPr>
          <w:rFonts w:hint="eastAsia" w:ascii="宋体" w:hAnsi="宋体" w:eastAsia="宋体" w:cs="宋体"/>
          <w:b/>
          <w:color w:val="000000" w:themeColor="text1"/>
          <w:sz w:val="84"/>
          <w:szCs w:val="84"/>
          <w14:textFill>
            <w14:solidFill>
              <w14:schemeClr w14:val="tx1"/>
            </w14:solidFill>
          </w14:textFill>
        </w:rPr>
      </w:pPr>
      <w:r>
        <w:rPr>
          <w:rFonts w:hint="eastAsia" w:ascii="宋体" w:hAnsi="宋体" w:eastAsia="宋体" w:cs="宋体"/>
          <w:b/>
          <w:color w:val="000000" w:themeColor="text1"/>
          <w:sz w:val="84"/>
          <w:szCs w:val="84"/>
          <w14:textFill>
            <w14:solidFill>
              <w14:schemeClr w14:val="tx1"/>
            </w14:solidFill>
          </w14:textFill>
        </w:rPr>
        <w:t>竞争性谈判文件</w:t>
      </w:r>
    </w:p>
    <w:p>
      <w:pPr>
        <w:rPr>
          <w:rFonts w:hint="eastAsia" w:ascii="宋体" w:hAnsi="宋体" w:eastAsia="宋体" w:cs="宋体"/>
          <w:b/>
          <w:color w:val="000000" w:themeColor="text1"/>
          <w:sz w:val="32"/>
          <w:szCs w:val="32"/>
          <w14:textFill>
            <w14:solidFill>
              <w14:schemeClr w14:val="tx1"/>
            </w14:solidFill>
          </w14:textFill>
        </w:rPr>
      </w:pPr>
    </w:p>
    <w:p>
      <w:pPr>
        <w:jc w:val="center"/>
        <w:rPr>
          <w:rFonts w:hint="eastAsia" w:ascii="宋体" w:hAnsi="宋体" w:eastAsia="宋体" w:cs="宋体"/>
          <w:b/>
          <w:color w:val="000000" w:themeColor="text1"/>
          <w:sz w:val="32"/>
          <w:szCs w:val="32"/>
          <w14:textFill>
            <w14:solidFill>
              <w14:schemeClr w14:val="tx1"/>
            </w14:solidFill>
          </w14:textFill>
        </w:rPr>
      </w:pPr>
    </w:p>
    <w:p>
      <w:pPr>
        <w:jc w:val="center"/>
        <w:rPr>
          <w:rFonts w:hint="eastAsia" w:ascii="宋体" w:hAnsi="宋体" w:eastAsia="宋体" w:cs="宋体"/>
          <w:b/>
          <w:color w:val="000000" w:themeColor="text1"/>
          <w:sz w:val="32"/>
          <w:szCs w:val="32"/>
          <w14:textFill>
            <w14:solidFill>
              <w14:schemeClr w14:val="tx1"/>
            </w14:solidFill>
          </w14:textFill>
        </w:rPr>
      </w:pPr>
    </w:p>
    <w:p>
      <w:pPr>
        <w:jc w:val="center"/>
        <w:rPr>
          <w:rFonts w:hint="eastAsia" w:ascii="宋体" w:hAnsi="宋体" w:eastAsia="宋体" w:cs="宋体"/>
          <w:b/>
          <w:color w:val="000000" w:themeColor="text1"/>
          <w:sz w:val="32"/>
          <w:szCs w:val="32"/>
          <w14:textFill>
            <w14:solidFill>
              <w14:schemeClr w14:val="tx1"/>
            </w14:solidFill>
          </w14:textFill>
        </w:rPr>
      </w:pPr>
    </w:p>
    <w:p>
      <w:pPr>
        <w:jc w:val="center"/>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项目编号：</w:t>
      </w:r>
      <w:r>
        <w:rPr>
          <w:rFonts w:hint="eastAsia" w:ascii="宋体" w:hAnsi="宋体" w:eastAsia="宋体" w:cs="宋体"/>
          <w:b/>
          <w:color w:val="000000" w:themeColor="text1"/>
          <w:sz w:val="36"/>
          <w:szCs w:val="36"/>
          <w:lang w:eastAsia="zh-CN"/>
          <w14:textFill>
            <w14:solidFill>
              <w14:schemeClr w14:val="tx1"/>
            </w14:solidFill>
          </w14:textFill>
        </w:rPr>
        <w:t>2019-005S-3</w:t>
      </w:r>
    </w:p>
    <w:p>
      <w:pPr>
        <w:jc w:val="center"/>
        <w:rPr>
          <w:rFonts w:hint="eastAsia" w:ascii="宋体" w:hAnsi="宋体" w:eastAsia="宋体" w:cs="宋体"/>
          <w:b/>
          <w:color w:val="000000" w:themeColor="text1"/>
          <w:sz w:val="32"/>
          <w:szCs w:val="32"/>
          <w14:textFill>
            <w14:solidFill>
              <w14:schemeClr w14:val="tx1"/>
            </w14:solidFill>
          </w14:textFill>
        </w:rPr>
      </w:pPr>
    </w:p>
    <w:p>
      <w:pPr>
        <w:jc w:val="center"/>
        <w:rPr>
          <w:rFonts w:hint="eastAsia" w:ascii="宋体" w:hAnsi="宋体" w:eastAsia="宋体" w:cs="宋体"/>
          <w:b/>
          <w:color w:val="000000" w:themeColor="text1"/>
          <w:sz w:val="32"/>
          <w:szCs w:val="32"/>
          <w14:textFill>
            <w14:solidFill>
              <w14:schemeClr w14:val="tx1"/>
            </w14:solidFill>
          </w14:textFill>
        </w:rPr>
      </w:pPr>
    </w:p>
    <w:p>
      <w:pPr>
        <w:jc w:val="center"/>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项目名称：盐城工业职业技术学院汽车工程学院2018-2019第二学期机械类实训耗材采购项目</w:t>
      </w:r>
    </w:p>
    <w:p>
      <w:pPr>
        <w:rPr>
          <w:rFonts w:hint="eastAsia" w:ascii="宋体" w:hAnsi="宋体" w:eastAsia="宋体" w:cs="宋体"/>
          <w:b/>
          <w:color w:val="000000" w:themeColor="text1"/>
          <w:sz w:val="32"/>
          <w:szCs w:val="32"/>
          <w14:textFill>
            <w14:solidFill>
              <w14:schemeClr w14:val="tx1"/>
            </w14:solidFill>
          </w14:textFill>
        </w:rPr>
      </w:pPr>
    </w:p>
    <w:p>
      <w:pPr>
        <w:rPr>
          <w:rFonts w:hint="eastAsia" w:ascii="宋体" w:hAnsi="宋体" w:eastAsia="宋体" w:cs="宋体"/>
          <w:b/>
          <w:color w:val="000000" w:themeColor="text1"/>
          <w:sz w:val="32"/>
          <w:szCs w:val="32"/>
          <w14:textFill>
            <w14:solidFill>
              <w14:schemeClr w14:val="tx1"/>
            </w14:solidFill>
          </w14:textFill>
        </w:rPr>
      </w:pPr>
    </w:p>
    <w:p>
      <w:pPr>
        <w:rPr>
          <w:rFonts w:hint="eastAsia" w:ascii="宋体" w:hAnsi="宋体" w:eastAsia="宋体" w:cs="宋体"/>
          <w:b/>
          <w:color w:val="000000" w:themeColor="text1"/>
          <w:sz w:val="32"/>
          <w:szCs w:val="32"/>
          <w14:textFill>
            <w14:solidFill>
              <w14:schemeClr w14:val="tx1"/>
            </w14:solidFill>
          </w14:textFill>
        </w:rPr>
      </w:pPr>
    </w:p>
    <w:p>
      <w:pPr>
        <w:rPr>
          <w:rFonts w:hint="eastAsia" w:ascii="宋体" w:hAnsi="宋体" w:eastAsia="宋体" w:cs="宋体"/>
          <w:b/>
          <w:color w:val="000000" w:themeColor="text1"/>
          <w:sz w:val="32"/>
          <w:szCs w:val="32"/>
          <w14:textFill>
            <w14:solidFill>
              <w14:schemeClr w14:val="tx1"/>
            </w14:solidFill>
          </w14:textFill>
        </w:rPr>
      </w:pPr>
    </w:p>
    <w:p>
      <w:pPr>
        <w:jc w:val="center"/>
        <w:rPr>
          <w:rFonts w:hint="eastAsia" w:ascii="宋体" w:hAnsi="宋体" w:eastAsia="宋体" w:cs="宋体"/>
          <w:color w:val="000000" w:themeColor="text1"/>
          <w:sz w:val="36"/>
          <w:szCs w:val="36"/>
          <w:lang w:eastAsia="zh-CN"/>
          <w14:textFill>
            <w14:solidFill>
              <w14:schemeClr w14:val="tx1"/>
            </w14:solidFill>
          </w14:textFill>
        </w:rPr>
      </w:pPr>
      <w:r>
        <w:rPr>
          <w:rFonts w:hint="eastAsia" w:ascii="宋体" w:hAnsi="宋体" w:eastAsia="宋体" w:cs="宋体"/>
          <w:color w:val="000000" w:themeColor="text1"/>
          <w:sz w:val="36"/>
          <w:szCs w:val="36"/>
          <w:lang w:eastAsia="zh-CN"/>
          <w14:textFill>
            <w14:solidFill>
              <w14:schemeClr w14:val="tx1"/>
            </w14:solidFill>
          </w14:textFill>
        </w:rPr>
        <w:t>盐城工业职业技术学院</w:t>
      </w:r>
    </w:p>
    <w:p>
      <w:pPr>
        <w:jc w:val="center"/>
        <w:rPr>
          <w:rFonts w:hint="eastAsia" w:ascii="宋体" w:hAnsi="宋体" w:eastAsia="宋体" w:cs="宋体"/>
          <w:color w:val="000000" w:themeColor="text1"/>
          <w:sz w:val="36"/>
          <w:szCs w:val="36"/>
          <w:lang w:eastAsia="zh-CN"/>
          <w14:textFill>
            <w14:solidFill>
              <w14:schemeClr w14:val="tx1"/>
            </w14:solidFill>
          </w14:textFill>
        </w:rPr>
      </w:pPr>
      <w:r>
        <w:rPr>
          <w:rFonts w:hint="eastAsia" w:ascii="宋体" w:hAnsi="宋体" w:eastAsia="宋体" w:cs="宋体"/>
          <w:color w:val="000000" w:themeColor="text1"/>
          <w:sz w:val="36"/>
          <w:szCs w:val="36"/>
          <w:lang w:eastAsia="zh-CN"/>
          <w14:textFill>
            <w14:solidFill>
              <w14:schemeClr w14:val="tx1"/>
            </w14:solidFill>
          </w14:textFill>
        </w:rPr>
        <w:t>江苏双清工程造价咨询有限公司</w:t>
      </w:r>
    </w:p>
    <w:p>
      <w:pPr>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2019年</w:t>
      </w:r>
      <w:r>
        <w:rPr>
          <w:rFonts w:hint="eastAsia" w:ascii="宋体" w:hAnsi="宋体" w:eastAsia="宋体" w:cs="宋体"/>
          <w:b/>
          <w:color w:val="000000" w:themeColor="text1"/>
          <w:sz w:val="36"/>
          <w:szCs w:val="36"/>
          <w:lang w:val="en-US" w:eastAsia="zh-CN"/>
          <w14:textFill>
            <w14:solidFill>
              <w14:schemeClr w14:val="tx1"/>
            </w14:solidFill>
          </w14:textFill>
        </w:rPr>
        <w:t>6</w:t>
      </w:r>
      <w:r>
        <w:rPr>
          <w:rFonts w:hint="eastAsia" w:ascii="宋体" w:hAnsi="宋体" w:eastAsia="宋体" w:cs="宋体"/>
          <w:b/>
          <w:color w:val="000000" w:themeColor="text1"/>
          <w:sz w:val="36"/>
          <w:szCs w:val="36"/>
          <w14:textFill>
            <w14:solidFill>
              <w14:schemeClr w14:val="tx1"/>
            </w14:solidFill>
          </w14:textFill>
        </w:rPr>
        <w:t>月</w:t>
      </w:r>
      <w:r>
        <w:rPr>
          <w:rFonts w:hint="eastAsia" w:ascii="宋体" w:hAnsi="宋体" w:eastAsia="宋体" w:cs="宋体"/>
          <w:b/>
          <w:color w:val="000000" w:themeColor="text1"/>
          <w:sz w:val="36"/>
          <w:szCs w:val="36"/>
          <w:lang w:val="en-US" w:eastAsia="zh-CN"/>
          <w14:textFill>
            <w14:solidFill>
              <w14:schemeClr w14:val="tx1"/>
            </w14:solidFill>
          </w14:textFill>
        </w:rPr>
        <w:t>3</w:t>
      </w:r>
      <w:r>
        <w:rPr>
          <w:rFonts w:hint="eastAsia" w:ascii="宋体" w:hAnsi="宋体" w:eastAsia="宋体" w:cs="宋体"/>
          <w:b/>
          <w:color w:val="000000" w:themeColor="text1"/>
          <w:sz w:val="36"/>
          <w:szCs w:val="36"/>
          <w14:textFill>
            <w14:solidFill>
              <w14:schemeClr w14:val="tx1"/>
            </w14:solidFill>
          </w14:textFill>
        </w:rPr>
        <w:t>日</w:t>
      </w:r>
    </w:p>
    <w:p>
      <w:pPr>
        <w:spacing w:line="480" w:lineRule="auto"/>
        <w:jc w:val="center"/>
        <w:outlineLvl w:val="0"/>
        <w:rPr>
          <w:rFonts w:hint="eastAsia" w:ascii="宋体" w:hAnsi="宋体" w:eastAsia="宋体" w:cs="宋体"/>
          <w:b/>
          <w:color w:val="000000" w:themeColor="text1"/>
          <w:sz w:val="44"/>
          <w:szCs w:val="44"/>
          <w14:textFill>
            <w14:solidFill>
              <w14:schemeClr w14:val="tx1"/>
            </w14:solidFill>
          </w14:textFill>
        </w:rPr>
        <w:sectPr>
          <w:footerReference r:id="rId5" w:type="first"/>
          <w:headerReference r:id="rId3" w:type="default"/>
          <w:footerReference r:id="rId4" w:type="default"/>
          <w:pgSz w:w="11906" w:h="16838"/>
          <w:pgMar w:top="1440" w:right="1800" w:bottom="1440" w:left="1800" w:header="851" w:footer="992" w:gutter="0"/>
          <w:pgNumType w:fmt="decimal" w:start="0"/>
          <w:cols w:space="425" w:num="1"/>
          <w:docGrid w:type="lines" w:linePitch="312" w:charSpace="0"/>
        </w:sectPr>
      </w:pPr>
      <w:bookmarkStart w:id="0" w:name="_Toc120614210"/>
      <w:bookmarkStart w:id="1" w:name="_Toc523127445"/>
      <w:bookmarkStart w:id="2" w:name="_Toc16938516"/>
      <w:bookmarkStart w:id="3" w:name="_Toc20823272"/>
      <w:bookmarkStart w:id="4" w:name="_Toc479757206"/>
      <w:bookmarkStart w:id="5" w:name="_Toc513029200"/>
    </w:p>
    <w:p>
      <w:pPr>
        <w:spacing w:line="480" w:lineRule="auto"/>
        <w:jc w:val="center"/>
        <w:outlineLvl w:val="0"/>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总  目  录</w:t>
      </w:r>
    </w:p>
    <w:p>
      <w:pPr>
        <w:spacing w:line="480" w:lineRule="auto"/>
        <w:rPr>
          <w:rFonts w:hint="eastAsia" w:ascii="宋体" w:hAnsi="宋体" w:eastAsia="宋体" w:cs="宋体"/>
          <w:b/>
          <w:color w:val="000000" w:themeColor="text1"/>
          <w:sz w:val="28"/>
          <w:szCs w:val="28"/>
          <w14:textFill>
            <w14:solidFill>
              <w14:schemeClr w14:val="tx1"/>
            </w14:solidFill>
          </w14:textFill>
        </w:rPr>
      </w:pPr>
    </w:p>
    <w:p>
      <w:pPr>
        <w:widowControl/>
        <w:numPr>
          <w:ilvl w:val="0"/>
          <w:numId w:val="1"/>
        </w:numPr>
        <w:spacing w:line="720" w:lineRule="auto"/>
        <w:ind w:hanging="1014"/>
        <w:outlineLvl w:val="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xml:space="preserve">竞争性谈判采购公告…………………… </w:t>
      </w:r>
    </w:p>
    <w:p>
      <w:pPr>
        <w:widowControl/>
        <w:numPr>
          <w:ilvl w:val="0"/>
          <w:numId w:val="1"/>
        </w:numPr>
        <w:spacing w:line="720" w:lineRule="auto"/>
        <w:ind w:hanging="1014"/>
        <w:outlineLvl w:val="0"/>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xml:space="preserve">谈判须知………………………………… </w:t>
      </w:r>
    </w:p>
    <w:p>
      <w:pPr>
        <w:widowControl/>
        <w:numPr>
          <w:ilvl w:val="0"/>
          <w:numId w:val="1"/>
        </w:numPr>
        <w:spacing w:line="720" w:lineRule="auto"/>
        <w:ind w:hanging="1014"/>
        <w:outlineLvl w:val="0"/>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合同条款及格式…………………………</w:t>
      </w:r>
    </w:p>
    <w:p>
      <w:pPr>
        <w:widowControl/>
        <w:numPr>
          <w:ilvl w:val="0"/>
          <w:numId w:val="1"/>
        </w:numPr>
        <w:spacing w:line="720" w:lineRule="auto"/>
        <w:ind w:hanging="1014"/>
        <w:outlineLvl w:val="0"/>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项目需求…………………………………</w:t>
      </w:r>
    </w:p>
    <w:p>
      <w:pPr>
        <w:widowControl/>
        <w:numPr>
          <w:ilvl w:val="0"/>
          <w:numId w:val="1"/>
        </w:numPr>
        <w:spacing w:line="720" w:lineRule="auto"/>
        <w:ind w:hanging="1014"/>
        <w:outlineLvl w:val="0"/>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谈判响应文件格式………………………</w:t>
      </w:r>
    </w:p>
    <w:p>
      <w:pPr>
        <w:pStyle w:val="2"/>
        <w:spacing w:line="360" w:lineRule="auto"/>
        <w:rPr>
          <w:rFonts w:hint="eastAsia" w:ascii="宋体" w:hAnsi="宋体" w:eastAsia="宋体" w:cs="宋体"/>
          <w:color w:val="000000" w:themeColor="text1"/>
          <w:sz w:val="44"/>
          <w:szCs w:val="44"/>
          <w14:textFill>
            <w14:solidFill>
              <w14:schemeClr w14:val="tx1"/>
            </w14:solidFill>
          </w14:textFill>
        </w:rPr>
      </w:pPr>
    </w:p>
    <w:p>
      <w:pPr>
        <w:pStyle w:val="2"/>
        <w:spacing w:line="360" w:lineRule="auto"/>
        <w:rPr>
          <w:rFonts w:hint="eastAsia" w:ascii="宋体" w:hAnsi="宋体" w:eastAsia="宋体" w:cs="宋体"/>
          <w:color w:val="000000" w:themeColor="text1"/>
          <w:sz w:val="44"/>
          <w:szCs w:val="44"/>
          <w14:textFill>
            <w14:solidFill>
              <w14:schemeClr w14:val="tx1"/>
            </w14:solidFill>
          </w14:textFill>
        </w:rPr>
      </w:pPr>
    </w:p>
    <w:p>
      <w:pPr>
        <w:pStyle w:val="2"/>
        <w:spacing w:line="360" w:lineRule="auto"/>
        <w:rPr>
          <w:rFonts w:hint="eastAsia" w:ascii="宋体" w:hAnsi="宋体" w:eastAsia="宋体" w:cs="宋体"/>
          <w:color w:val="000000" w:themeColor="text1"/>
          <w:sz w:val="44"/>
          <w:szCs w:val="44"/>
          <w14:textFill>
            <w14:solidFill>
              <w14:schemeClr w14:val="tx1"/>
            </w14:solidFill>
          </w14:textFill>
        </w:rPr>
      </w:pPr>
    </w:p>
    <w:p>
      <w:pPr>
        <w:pStyle w:val="2"/>
        <w:spacing w:line="360" w:lineRule="auto"/>
        <w:rPr>
          <w:rFonts w:hint="eastAsia" w:ascii="宋体" w:hAnsi="宋体" w:eastAsia="宋体" w:cs="宋体"/>
          <w:color w:val="000000" w:themeColor="text1"/>
          <w:sz w:val="44"/>
          <w:szCs w:val="44"/>
          <w14:textFill>
            <w14:solidFill>
              <w14:schemeClr w14:val="tx1"/>
            </w14:solidFill>
          </w14:textFill>
        </w:rPr>
      </w:pPr>
    </w:p>
    <w:p>
      <w:pPr>
        <w:pStyle w:val="2"/>
        <w:spacing w:line="360" w:lineRule="auto"/>
        <w:rPr>
          <w:rFonts w:hint="eastAsia" w:ascii="宋体" w:hAnsi="宋体" w:eastAsia="宋体" w:cs="宋体"/>
          <w:color w:val="000000" w:themeColor="text1"/>
          <w:sz w:val="44"/>
          <w:szCs w:val="44"/>
          <w14:textFill>
            <w14:solidFill>
              <w14:schemeClr w14:val="tx1"/>
            </w14:solidFill>
          </w14:textFill>
        </w:rPr>
      </w:pPr>
    </w:p>
    <w:p>
      <w:pPr>
        <w:pStyle w:val="2"/>
        <w:spacing w:line="360" w:lineRule="auto"/>
        <w:rPr>
          <w:rFonts w:hint="eastAsia" w:ascii="宋体" w:hAnsi="宋体" w:eastAsia="宋体" w:cs="宋体"/>
          <w:color w:val="000000" w:themeColor="text1"/>
          <w:sz w:val="44"/>
          <w:szCs w:val="44"/>
          <w14:textFill>
            <w14:solidFill>
              <w14:schemeClr w14:val="tx1"/>
            </w14:solidFill>
          </w14:textFill>
        </w:rPr>
      </w:pPr>
    </w:p>
    <w:p>
      <w:pPr>
        <w:pStyle w:val="2"/>
        <w:spacing w:line="360" w:lineRule="auto"/>
        <w:rPr>
          <w:rFonts w:hint="eastAsia" w:ascii="宋体" w:hAnsi="宋体" w:eastAsia="宋体" w:cs="宋体"/>
          <w:color w:val="000000" w:themeColor="text1"/>
          <w:sz w:val="44"/>
          <w:szCs w:val="44"/>
          <w14:textFill>
            <w14:solidFill>
              <w14:schemeClr w14:val="tx1"/>
            </w14:solidFill>
          </w14:textFill>
        </w:rPr>
      </w:pPr>
    </w:p>
    <w:p>
      <w:pPr>
        <w:pStyle w:val="2"/>
        <w:spacing w:line="360" w:lineRule="auto"/>
        <w:rPr>
          <w:rFonts w:hint="eastAsia" w:ascii="宋体" w:hAnsi="宋体" w:eastAsia="宋体" w:cs="宋体"/>
          <w:color w:val="000000" w:themeColor="text1"/>
          <w:sz w:val="44"/>
          <w:szCs w:val="44"/>
          <w14:textFill>
            <w14:solidFill>
              <w14:schemeClr w14:val="tx1"/>
            </w14:solidFill>
          </w14:textFill>
        </w:rPr>
      </w:pPr>
    </w:p>
    <w:p>
      <w:pPr>
        <w:pStyle w:val="2"/>
        <w:spacing w:line="360" w:lineRule="auto"/>
        <w:rPr>
          <w:rFonts w:hint="eastAsia" w:ascii="宋体" w:hAnsi="宋体" w:eastAsia="宋体" w:cs="宋体"/>
          <w:color w:val="000000" w:themeColor="text1"/>
          <w:sz w:val="44"/>
          <w:szCs w:val="44"/>
          <w14:textFill>
            <w14:solidFill>
              <w14:schemeClr w14:val="tx1"/>
            </w14:solidFill>
          </w14:textFill>
        </w:rPr>
      </w:pPr>
    </w:p>
    <w:p>
      <w:pPr>
        <w:rPr>
          <w:rFonts w:hint="eastAsia" w:ascii="宋体" w:hAnsi="宋体" w:eastAsia="宋体" w:cs="宋体"/>
          <w:color w:val="000000" w:themeColor="text1"/>
          <w:sz w:val="44"/>
          <w:szCs w:val="44"/>
          <w14:textFill>
            <w14:solidFill>
              <w14:schemeClr w14:val="tx1"/>
            </w14:solidFill>
          </w14:textFill>
        </w:rPr>
      </w:pPr>
    </w:p>
    <w:p>
      <w:pPr>
        <w:rPr>
          <w:rFonts w:hint="eastAsia" w:ascii="宋体" w:hAnsi="宋体" w:eastAsia="宋体" w:cs="宋体"/>
          <w:color w:val="000000" w:themeColor="text1"/>
          <w:sz w:val="44"/>
          <w:szCs w:val="44"/>
          <w14:textFill>
            <w14:solidFill>
              <w14:schemeClr w14:val="tx1"/>
            </w14:solidFill>
          </w14:textFill>
        </w:rPr>
      </w:pPr>
    </w:p>
    <w:bookmarkEnd w:id="0"/>
    <w:p>
      <w:pPr>
        <w:pStyle w:val="2"/>
        <w:spacing w:line="360" w:lineRule="auto"/>
        <w:rPr>
          <w:rFonts w:hint="eastAsia" w:ascii="宋体" w:hAnsi="宋体" w:eastAsia="宋体" w:cs="宋体"/>
          <w:color w:val="000000" w:themeColor="text1"/>
          <w:sz w:val="20"/>
          <w:szCs w:val="20"/>
          <w14:textFill>
            <w14:solidFill>
              <w14:schemeClr w14:val="tx1"/>
            </w14:solidFill>
          </w14:textFill>
        </w:rPr>
      </w:pPr>
    </w:p>
    <w:p>
      <w:pPr>
        <w:wordWrap w:val="0"/>
        <w:rPr>
          <w:rFonts w:hint="eastAsia" w:ascii="宋体" w:hAnsi="宋体" w:eastAsia="宋体" w:cs="宋体"/>
          <w:color w:val="000000" w:themeColor="text1"/>
          <w14:textFill>
            <w14:solidFill>
              <w14:schemeClr w14:val="tx1"/>
            </w14:solidFill>
          </w14:textFill>
        </w:rPr>
      </w:pPr>
    </w:p>
    <w:p>
      <w:pPr>
        <w:wordWrap w:val="0"/>
        <w:rPr>
          <w:rFonts w:hint="eastAsia" w:ascii="宋体" w:hAnsi="宋体" w:eastAsia="宋体" w:cs="宋体"/>
          <w:color w:val="000000" w:themeColor="text1"/>
          <w14:textFill>
            <w14:solidFill>
              <w14:schemeClr w14:val="tx1"/>
            </w14:solidFill>
          </w14:textFill>
        </w:rPr>
      </w:pPr>
    </w:p>
    <w:p>
      <w:pPr>
        <w:spacing w:line="360" w:lineRule="auto"/>
        <w:ind w:firstLine="600"/>
        <w:jc w:val="left"/>
        <w:rPr>
          <w:rFonts w:hint="eastAsia" w:ascii="宋体" w:hAnsi="宋体" w:eastAsia="宋体" w:cs="宋体"/>
          <w:color w:val="000000" w:themeColor="text1"/>
          <w:sz w:val="24"/>
          <w:szCs w:val="24"/>
          <w14:textFill>
            <w14:solidFill>
              <w14:schemeClr w14:val="tx1"/>
            </w14:solidFill>
          </w14:textFill>
        </w:rPr>
      </w:pPr>
    </w:p>
    <w:p>
      <w:pPr>
        <w:pStyle w:val="2"/>
        <w:spacing w:line="360" w:lineRule="auto"/>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第一章 竞争性谈判采购公告</w:t>
      </w:r>
    </w:p>
    <w:p>
      <w:pPr>
        <w:rPr>
          <w:rFonts w:hint="eastAsia" w:ascii="宋体" w:hAnsi="宋体" w:eastAsia="宋体" w:cs="宋体"/>
          <w:color w:val="000000" w:themeColor="text1"/>
          <w14:textFill>
            <w14:solidFill>
              <w14:schemeClr w14:val="tx1"/>
            </w14:solidFill>
          </w14:textFill>
        </w:rPr>
      </w:pPr>
    </w:p>
    <w:p>
      <w:pPr>
        <w:snapToGrid w:val="0"/>
        <w:spacing w:line="48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根据</w:t>
      </w:r>
      <w:r>
        <w:rPr>
          <w:rFonts w:hint="eastAsia" w:ascii="宋体" w:hAnsi="宋体" w:eastAsia="宋体" w:cs="宋体"/>
          <w:color w:val="000000" w:themeColor="text1"/>
          <w:sz w:val="24"/>
          <w:szCs w:val="24"/>
          <w:lang w:eastAsia="zh-CN"/>
          <w14:textFill>
            <w14:solidFill>
              <w14:schemeClr w14:val="tx1"/>
            </w14:solidFill>
          </w14:textFill>
        </w:rPr>
        <w:t>盐城工业职业技术学院</w:t>
      </w:r>
      <w:r>
        <w:rPr>
          <w:rFonts w:hint="eastAsia" w:ascii="宋体" w:hAnsi="宋体" w:eastAsia="宋体" w:cs="宋体"/>
          <w:color w:val="000000" w:themeColor="text1"/>
          <w:sz w:val="24"/>
          <w:szCs w:val="24"/>
          <w14:textFill>
            <w14:solidFill>
              <w14:schemeClr w14:val="tx1"/>
            </w14:solidFill>
          </w14:textFill>
        </w:rPr>
        <w:t>下达的政府采购计划，</w:t>
      </w:r>
      <w:r>
        <w:rPr>
          <w:rFonts w:hint="eastAsia" w:ascii="宋体" w:hAnsi="宋体" w:eastAsia="宋体" w:cs="宋体"/>
          <w:color w:val="000000" w:themeColor="text1"/>
          <w:sz w:val="24"/>
          <w:szCs w:val="24"/>
          <w:lang w:eastAsia="zh-CN"/>
          <w14:textFill>
            <w14:solidFill>
              <w14:schemeClr w14:val="tx1"/>
            </w14:solidFill>
          </w14:textFill>
        </w:rPr>
        <w:t>江苏双清工程造价咨询有限公司</w:t>
      </w:r>
      <w:r>
        <w:rPr>
          <w:rFonts w:hint="eastAsia" w:ascii="宋体" w:hAnsi="宋体" w:eastAsia="宋体" w:cs="宋体"/>
          <w:color w:val="000000" w:themeColor="text1"/>
          <w:sz w:val="24"/>
          <w:szCs w:val="24"/>
          <w14:textFill>
            <w14:solidFill>
              <w14:schemeClr w14:val="tx1"/>
            </w14:solidFill>
          </w14:textFill>
        </w:rPr>
        <w:t>受</w:t>
      </w:r>
      <w:r>
        <w:rPr>
          <w:rFonts w:hint="eastAsia" w:ascii="宋体" w:hAnsi="宋体" w:eastAsia="宋体" w:cs="宋体"/>
          <w:color w:val="000000" w:themeColor="text1"/>
          <w:sz w:val="24"/>
          <w:szCs w:val="24"/>
          <w:u w:val="single"/>
          <w:lang w:eastAsia="zh-CN"/>
          <w14:textFill>
            <w14:solidFill>
              <w14:schemeClr w14:val="tx1"/>
            </w14:solidFill>
          </w14:textFill>
        </w:rPr>
        <w:t>盐城工业职业技术学院</w:t>
      </w:r>
      <w:r>
        <w:rPr>
          <w:rFonts w:hint="eastAsia" w:ascii="宋体" w:hAnsi="宋体" w:eastAsia="宋体" w:cs="宋体"/>
          <w:color w:val="000000" w:themeColor="text1"/>
          <w:sz w:val="24"/>
          <w:szCs w:val="24"/>
          <w14:textFill>
            <w14:solidFill>
              <w14:schemeClr w14:val="tx1"/>
            </w14:solidFill>
          </w14:textFill>
        </w:rPr>
        <w:t>的委托，决定就其所需的</w:t>
      </w:r>
      <w:r>
        <w:rPr>
          <w:rFonts w:hint="eastAsia" w:ascii="宋体" w:hAnsi="宋体" w:eastAsia="宋体" w:cs="宋体"/>
          <w:color w:val="000000" w:themeColor="text1"/>
          <w:sz w:val="24"/>
          <w:szCs w:val="24"/>
          <w:u w:val="single"/>
          <w:lang w:eastAsia="zh-CN"/>
          <w14:textFill>
            <w14:solidFill>
              <w14:schemeClr w14:val="tx1"/>
            </w14:solidFill>
          </w14:textFill>
        </w:rPr>
        <w:t>盐城工业职业技术学院汽车工程学院2018-2019第二学期机械类实训耗材</w:t>
      </w:r>
      <w:r>
        <w:rPr>
          <w:rFonts w:hint="eastAsia" w:ascii="宋体" w:hAnsi="宋体" w:eastAsia="宋体" w:cs="宋体"/>
          <w:color w:val="000000" w:themeColor="text1"/>
          <w:sz w:val="24"/>
          <w:szCs w:val="24"/>
          <w:u w:val="single"/>
          <w14:textFill>
            <w14:solidFill>
              <w14:schemeClr w14:val="tx1"/>
            </w14:solidFill>
          </w14:textFill>
        </w:rPr>
        <w:t>采购项目</w:t>
      </w:r>
      <w:r>
        <w:rPr>
          <w:rFonts w:hint="eastAsia" w:ascii="宋体" w:hAnsi="宋体" w:eastAsia="宋体" w:cs="宋体"/>
          <w:color w:val="000000" w:themeColor="text1"/>
          <w:sz w:val="24"/>
          <w:szCs w:val="24"/>
          <w14:textFill>
            <w14:solidFill>
              <w14:schemeClr w14:val="tx1"/>
            </w14:solidFill>
          </w14:textFill>
        </w:rPr>
        <w:t>进行竞争性谈判采购，现欢迎符合相关条件的合格供应商投标。</w:t>
      </w:r>
    </w:p>
    <w:p>
      <w:pPr>
        <w:snapToGrid w:val="0"/>
        <w:spacing w:line="48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一、采购项目名称及编号</w:t>
      </w:r>
    </w:p>
    <w:p>
      <w:pPr>
        <w:snapToGrid w:val="0"/>
        <w:spacing w:line="48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lang w:eastAsia="zh-CN"/>
          <w14:textFill>
            <w14:solidFill>
              <w14:schemeClr w14:val="tx1"/>
            </w14:solidFill>
          </w14:textFill>
        </w:rPr>
        <w:t>盐城工业职业技术学院汽车工程学院2018-2019第二学期机械类实训耗材</w:t>
      </w:r>
      <w:r>
        <w:rPr>
          <w:rFonts w:hint="eastAsia" w:ascii="宋体" w:hAnsi="宋体" w:eastAsia="宋体" w:cs="宋体"/>
          <w:color w:val="000000" w:themeColor="text1"/>
          <w:sz w:val="24"/>
          <w:szCs w:val="24"/>
          <w14:textFill>
            <w14:solidFill>
              <w14:schemeClr w14:val="tx1"/>
            </w14:solidFill>
          </w14:textFill>
        </w:rPr>
        <w:t>采购项目。</w:t>
      </w:r>
    </w:p>
    <w:p>
      <w:pPr>
        <w:snapToGrid w:val="0"/>
        <w:spacing w:line="480" w:lineRule="exact"/>
        <w:ind w:firstLine="48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标书编号：</w:t>
      </w:r>
      <w:r>
        <w:rPr>
          <w:rFonts w:hint="eastAsia" w:ascii="宋体" w:hAnsi="宋体" w:eastAsia="宋体" w:cs="宋体"/>
          <w:color w:val="000000" w:themeColor="text1"/>
          <w:sz w:val="24"/>
          <w:szCs w:val="24"/>
          <w:lang w:eastAsia="zh-CN"/>
          <w14:textFill>
            <w14:solidFill>
              <w14:schemeClr w14:val="tx1"/>
            </w14:solidFill>
          </w14:textFill>
        </w:rPr>
        <w:t>2019-005S-3</w:t>
      </w:r>
    </w:p>
    <w:p>
      <w:pPr>
        <w:tabs>
          <w:tab w:val="left" w:pos="900"/>
        </w:tabs>
        <w:spacing w:line="480" w:lineRule="exact"/>
        <w:ind w:firstLine="482"/>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二、采购项目（简要说明）及预算金额</w:t>
      </w:r>
    </w:p>
    <w:p>
      <w:pPr>
        <w:tabs>
          <w:tab w:val="left" w:pos="900"/>
        </w:tabs>
        <w:spacing w:line="480" w:lineRule="exact"/>
        <w:ind w:firstLine="36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（一）招标项目简要说明：</w:t>
      </w:r>
      <w:r>
        <w:rPr>
          <w:rFonts w:hint="eastAsia" w:ascii="宋体" w:hAnsi="宋体" w:eastAsia="宋体" w:cs="宋体"/>
          <w:sz w:val="24"/>
        </w:rPr>
        <w:t>本项目主要为</w:t>
      </w:r>
      <w:r>
        <w:rPr>
          <w:rFonts w:hint="eastAsia" w:ascii="宋体" w:hAnsi="宋体" w:eastAsia="宋体" w:cs="宋体"/>
          <w:sz w:val="24"/>
          <w:lang w:eastAsia="zh-CN"/>
        </w:rPr>
        <w:t>盐城工业职业技术学院汽车工程学院2018-2019第二学期机械类实训耗材</w:t>
      </w:r>
      <w:r>
        <w:rPr>
          <w:rFonts w:hint="eastAsia" w:ascii="宋体" w:hAnsi="宋体" w:eastAsia="宋体" w:cs="宋体"/>
          <w:sz w:val="24"/>
        </w:rPr>
        <w:t>的采购、供应、运输、</w:t>
      </w:r>
      <w:r>
        <w:rPr>
          <w:rFonts w:hint="eastAsia" w:ascii="宋体" w:hAnsi="宋体" w:eastAsia="宋体" w:cs="宋体"/>
          <w:sz w:val="24"/>
          <w:lang w:eastAsia="zh-CN"/>
        </w:rPr>
        <w:t>验收交付、</w:t>
      </w:r>
      <w:r>
        <w:rPr>
          <w:rFonts w:hint="eastAsia" w:ascii="宋体" w:hAnsi="宋体" w:eastAsia="宋体" w:cs="宋体"/>
          <w:sz w:val="24"/>
        </w:rPr>
        <w:t>售前、售后等伴随服务工作，具体内容及要求详见项目需求，招标人保留适当变更的权利。</w:t>
      </w:r>
    </w:p>
    <w:p>
      <w:pPr>
        <w:tabs>
          <w:tab w:val="left" w:pos="900"/>
        </w:tabs>
        <w:spacing w:line="480" w:lineRule="exact"/>
        <w:ind w:firstLine="3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（二）本项目采购预算为</w:t>
      </w:r>
      <w:r>
        <w:rPr>
          <w:rFonts w:hint="eastAsia" w:ascii="宋体" w:hAnsi="宋体" w:eastAsia="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万元。</w:t>
      </w:r>
    </w:p>
    <w:p>
      <w:pPr>
        <w:tabs>
          <w:tab w:val="left" w:pos="900"/>
        </w:tabs>
        <w:spacing w:line="480" w:lineRule="exact"/>
        <w:ind w:firstLine="3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（三）本项目设定最高限价，最高限价为</w:t>
      </w:r>
      <w:r>
        <w:rPr>
          <w:rFonts w:hint="eastAsia" w:ascii="宋体" w:hAnsi="宋体" w:eastAsia="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万元，谈判供应商的报价不得超过最高限价。</w:t>
      </w:r>
    </w:p>
    <w:p>
      <w:pPr>
        <w:tabs>
          <w:tab w:val="left" w:pos="900"/>
        </w:tabs>
        <w:spacing w:line="480" w:lineRule="exact"/>
        <w:ind w:firstLine="482"/>
        <w:rPr>
          <w:rFonts w:hint="eastAsia" w:ascii="宋体" w:hAnsi="宋体" w:eastAsia="宋体" w:cs="宋体"/>
          <w:color w:val="000000" w:themeColor="text1"/>
          <w:sz w:val="24"/>
          <w:szCs w:val="24"/>
          <w:shd w:val="clear" w:color="000000" w:fill="FFFFFF"/>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三、谈判供应商资格要求</w:t>
      </w:r>
    </w:p>
    <w:p>
      <w:pPr>
        <w:spacing w:line="480" w:lineRule="exact"/>
        <w:ind w:firstLine="3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（一）符合政府采购法第二十二条第一款规定的条件，并提供下列材料：</w:t>
      </w:r>
    </w:p>
    <w:p>
      <w:pPr>
        <w:spacing w:line="480" w:lineRule="exact"/>
        <w:ind w:firstLine="6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1、法人或者其他组织的营业执照等证明文件，自然人的身份证明；</w:t>
      </w:r>
    </w:p>
    <w:p>
      <w:pPr>
        <w:spacing w:line="480" w:lineRule="exact"/>
        <w:ind w:firstLine="6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、具备履行合同所必需的设备和专业技术能力的书面声明；</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、参加政府采购活动前3年内在经营活动中没有重大违法记录的书面声明；</w:t>
      </w:r>
    </w:p>
    <w:p>
      <w:pPr>
        <w:snapToGrid w:val="0"/>
        <w:spacing w:line="48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（二）其他资格条件：</w:t>
      </w:r>
    </w:p>
    <w:p>
      <w:pPr>
        <w:snapToGrid w:val="0"/>
        <w:spacing w:line="480" w:lineRule="exact"/>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spacing w:line="4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（三）本项目</w:t>
      </w:r>
      <w:r>
        <w:rPr>
          <w:rFonts w:hint="eastAsia" w:ascii="宋体" w:hAnsi="宋体" w:eastAsia="宋体" w:cs="宋体"/>
          <w:color w:val="000000" w:themeColor="text1"/>
          <w:sz w:val="24"/>
          <w:szCs w:val="24"/>
          <w:u w:val="single"/>
          <w14:textFill>
            <w14:solidFill>
              <w14:schemeClr w14:val="tx1"/>
            </w14:solidFill>
          </w14:textFill>
        </w:rPr>
        <w:t>不接受</w:t>
      </w:r>
      <w:r>
        <w:rPr>
          <w:rFonts w:hint="eastAsia" w:ascii="宋体" w:hAnsi="宋体" w:eastAsia="宋体" w:cs="宋体"/>
          <w:color w:val="000000" w:themeColor="text1"/>
          <w:sz w:val="24"/>
          <w:szCs w:val="24"/>
          <w14:textFill>
            <w14:solidFill>
              <w14:schemeClr w14:val="tx1"/>
            </w14:solidFill>
          </w14:textFill>
        </w:rPr>
        <w:t>联合体参与谈判；</w:t>
      </w:r>
    </w:p>
    <w:p>
      <w:pPr>
        <w:snapToGrid w:val="0"/>
        <w:spacing w:line="480" w:lineRule="exact"/>
        <w:ind w:firstLine="5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四、谈判文件提供信息</w:t>
      </w:r>
    </w:p>
    <w:p>
      <w:pPr>
        <w:snapToGrid w:val="0"/>
        <w:spacing w:line="480" w:lineRule="exact"/>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本谈判文件提供及公告期限：自谈判公告在</w:t>
      </w:r>
      <w:r>
        <w:rPr>
          <w:rFonts w:hint="eastAsia" w:ascii="宋体" w:hAnsi="宋体" w:eastAsia="宋体" w:cs="宋体"/>
          <w:color w:val="000000" w:themeColor="text1"/>
          <w:sz w:val="24"/>
          <w:szCs w:val="24"/>
          <w:lang w:eastAsia="zh-CN"/>
          <w14:textFill>
            <w14:solidFill>
              <w14:schemeClr w14:val="tx1"/>
            </w14:solidFill>
          </w14:textFill>
        </w:rPr>
        <w:t>“盐城市政府采购网”和“盐城工业职业技术学院招标采购网”</w:t>
      </w:r>
      <w:r>
        <w:rPr>
          <w:rFonts w:hint="eastAsia" w:ascii="宋体" w:hAnsi="宋体" w:eastAsia="宋体" w:cs="宋体"/>
          <w:color w:val="000000" w:themeColor="text1"/>
          <w:sz w:val="24"/>
          <w:szCs w:val="24"/>
          <w14:textFill>
            <w14:solidFill>
              <w14:schemeClr w14:val="tx1"/>
            </w14:solidFill>
          </w14:textFill>
        </w:rPr>
        <w:t>发布之日起3个工作日。本谈判文件在</w:t>
      </w:r>
      <w:r>
        <w:rPr>
          <w:rFonts w:hint="eastAsia" w:ascii="宋体" w:hAnsi="宋体" w:eastAsia="宋体" w:cs="宋体"/>
          <w:color w:val="000000" w:themeColor="text1"/>
          <w:sz w:val="24"/>
          <w:szCs w:val="24"/>
          <w:lang w:eastAsia="zh-CN"/>
          <w14:textFill>
            <w14:solidFill>
              <w14:schemeClr w14:val="tx1"/>
            </w14:solidFill>
          </w14:textFill>
        </w:rPr>
        <w:t>“盐城市政府采购网”和“盐城工业职业技术学院招标采购网”</w:t>
      </w:r>
      <w:r>
        <w:rPr>
          <w:rFonts w:hint="eastAsia" w:ascii="宋体" w:hAnsi="宋体" w:eastAsia="宋体" w:cs="宋体"/>
          <w:color w:val="000000" w:themeColor="text1"/>
          <w:sz w:val="24"/>
          <w:szCs w:val="24"/>
          <w14:textFill>
            <w14:solidFill>
              <w14:schemeClr w14:val="tx1"/>
            </w14:solidFill>
          </w14:textFill>
        </w:rPr>
        <w:t>上下载</w:t>
      </w:r>
      <w:r>
        <w:rPr>
          <w:rFonts w:hint="eastAsia" w:ascii="宋体" w:hAnsi="宋体" w:eastAsia="宋体" w:cs="宋体"/>
          <w:sz w:val="24"/>
        </w:rPr>
        <w:t>（招标文件工本费</w:t>
      </w:r>
      <w:r>
        <w:rPr>
          <w:rFonts w:hint="eastAsia" w:ascii="宋体" w:hAnsi="宋体" w:eastAsia="宋体" w:cs="宋体"/>
          <w:sz w:val="24"/>
          <w:lang w:val="en-US" w:eastAsia="zh-CN"/>
        </w:rPr>
        <w:t>3</w:t>
      </w:r>
      <w:r>
        <w:rPr>
          <w:rFonts w:hint="eastAsia" w:ascii="宋体" w:hAnsi="宋体" w:eastAsia="宋体" w:cs="宋体"/>
          <w:sz w:val="24"/>
        </w:rPr>
        <w:t>00元在开标现场现金交纳）</w:t>
      </w:r>
      <w:r>
        <w:rPr>
          <w:rFonts w:hint="eastAsia" w:ascii="宋体" w:hAnsi="宋体" w:eastAsia="宋体" w:cs="宋体"/>
          <w:color w:val="000000" w:themeColor="text1"/>
          <w:sz w:val="24"/>
          <w:szCs w:val="24"/>
          <w14:textFill>
            <w14:solidFill>
              <w14:schemeClr w14:val="tx1"/>
            </w14:solidFill>
          </w14:textFill>
        </w:rPr>
        <w:t>，有关本次采购的事项若存在变动和修改，敬请及时关注</w:t>
      </w:r>
      <w:r>
        <w:rPr>
          <w:rFonts w:hint="eastAsia" w:ascii="宋体" w:hAnsi="宋体" w:eastAsia="宋体" w:cs="宋体"/>
          <w:color w:val="000000" w:themeColor="text1"/>
          <w:sz w:val="24"/>
          <w:szCs w:val="24"/>
          <w:lang w:eastAsia="zh-CN"/>
          <w14:textFill>
            <w14:solidFill>
              <w14:schemeClr w14:val="tx1"/>
            </w14:solidFill>
          </w14:textFill>
        </w:rPr>
        <w:t>“盐城市政府采购网”和“盐城工业职业技术学院招标采购网”</w:t>
      </w:r>
      <w:r>
        <w:rPr>
          <w:rFonts w:hint="eastAsia" w:ascii="宋体" w:hAnsi="宋体" w:eastAsia="宋体" w:cs="宋体"/>
          <w:color w:val="000000" w:themeColor="text1"/>
          <w:sz w:val="24"/>
          <w:szCs w:val="24"/>
          <w14:textFill>
            <w14:solidFill>
              <w14:schemeClr w14:val="tx1"/>
            </w14:solidFill>
          </w14:textFill>
        </w:rPr>
        <w:t>发布的信息更正公告。</w:t>
      </w:r>
    </w:p>
    <w:p>
      <w:pPr>
        <w:snapToGrid w:val="0"/>
        <w:spacing w:line="480" w:lineRule="exact"/>
        <w:ind w:firstLine="6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五、响应文件接收信息</w:t>
      </w:r>
    </w:p>
    <w:p>
      <w:pPr>
        <w:snapToGrid w:val="0"/>
        <w:spacing w:line="480" w:lineRule="exact"/>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响应文件接收时间：2019年</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sz w:val="24"/>
        </w:rPr>
        <w:t>14:30</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w:t>
      </w:r>
    </w:p>
    <w:p>
      <w:pPr>
        <w:snapToGrid w:val="0"/>
        <w:spacing w:line="480" w:lineRule="exact"/>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响应文件接收截止时间：2019年</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w:t>
      </w:r>
    </w:p>
    <w:p>
      <w:pPr>
        <w:snapToGrid w:val="0"/>
        <w:spacing w:line="480" w:lineRule="exact"/>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投标文件接收地点：</w:t>
      </w:r>
      <w:r>
        <w:rPr>
          <w:rFonts w:hint="eastAsia" w:ascii="宋体" w:hAnsi="宋体" w:eastAsia="宋体" w:cs="宋体"/>
          <w:sz w:val="24"/>
        </w:rPr>
        <w:t>盐城工业职业技术学院（盐城市解放南路285号）图书馆三楼第二会议室</w:t>
      </w:r>
    </w:p>
    <w:p>
      <w:pPr>
        <w:snapToGrid w:val="0"/>
        <w:spacing w:line="480" w:lineRule="exact"/>
        <w:ind w:firstLine="602"/>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六、开标有关信息</w:t>
      </w:r>
    </w:p>
    <w:p>
      <w:pPr>
        <w:snapToGrid w:val="0"/>
        <w:spacing w:line="480" w:lineRule="exact"/>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开标时间：2019年</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w:t>
      </w:r>
    </w:p>
    <w:p>
      <w:pPr>
        <w:snapToGrid w:val="0"/>
        <w:spacing w:line="480" w:lineRule="exact"/>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开标地点：</w:t>
      </w:r>
      <w:r>
        <w:rPr>
          <w:rFonts w:hint="eastAsia" w:ascii="宋体" w:hAnsi="宋体" w:eastAsia="宋体" w:cs="宋体"/>
          <w:sz w:val="24"/>
        </w:rPr>
        <w:t>盐城工业职业技术学院（盐城市解放南路285号）图书馆三楼第二会议室</w:t>
      </w:r>
    </w:p>
    <w:p>
      <w:pPr>
        <w:snapToGrid w:val="0"/>
        <w:spacing w:line="480" w:lineRule="exact"/>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七、本次谈判采购联系事项</w:t>
      </w:r>
    </w:p>
    <w:p>
      <w:pPr>
        <w:tabs>
          <w:tab w:val="left" w:pos="900"/>
        </w:tabs>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（一）采购人项目联系人：陈中玉，联系电话：15851045245；</w:t>
      </w:r>
    </w:p>
    <w:p>
      <w:pPr>
        <w:tabs>
          <w:tab w:val="left" w:pos="900"/>
        </w:tabs>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采购人招标联系人：赵萌</w:t>
      </w:r>
      <w:r>
        <w:rPr>
          <w:rFonts w:hint="eastAsia" w:ascii="宋体" w:hAnsi="宋体" w:eastAsia="宋体" w:cs="宋体"/>
          <w:color w:val="auto"/>
          <w:sz w:val="24"/>
          <w:szCs w:val="24"/>
        </w:rPr>
        <w:t>，联系电话：</w:t>
      </w:r>
      <w:r>
        <w:rPr>
          <w:rFonts w:hint="eastAsia" w:ascii="宋体" w:hAnsi="宋体" w:eastAsia="宋体" w:cs="宋体"/>
          <w:color w:val="auto"/>
          <w:sz w:val="24"/>
        </w:rPr>
        <w:t>0515-88588707；</w:t>
      </w:r>
    </w:p>
    <w:p>
      <w:pPr>
        <w:tabs>
          <w:tab w:val="left" w:pos="900"/>
        </w:tabs>
        <w:spacing w:line="500" w:lineRule="exact"/>
        <w:ind w:firstLine="480" w:firstLineChars="200"/>
        <w:rPr>
          <w:rFonts w:hint="eastAsia" w:ascii="宋体" w:hAnsi="宋体" w:eastAsia="宋体" w:cs="宋体"/>
          <w:sz w:val="24"/>
        </w:rPr>
      </w:pPr>
      <w:r>
        <w:rPr>
          <w:rFonts w:hint="eastAsia" w:ascii="宋体" w:hAnsi="宋体" w:eastAsia="宋体" w:cs="宋体"/>
          <w:sz w:val="24"/>
        </w:rPr>
        <w:t>采购人地址：盐城工业职业技术学院图文信息中心六楼604室；</w:t>
      </w:r>
    </w:p>
    <w:p>
      <w:pPr>
        <w:tabs>
          <w:tab w:val="left" w:pos="900"/>
        </w:tabs>
        <w:spacing w:line="500" w:lineRule="exact"/>
        <w:ind w:firstLine="480" w:firstLineChars="200"/>
        <w:rPr>
          <w:rFonts w:hint="eastAsia" w:ascii="宋体" w:hAnsi="宋体" w:eastAsia="宋体" w:cs="宋体"/>
          <w:sz w:val="24"/>
        </w:rPr>
      </w:pPr>
      <w:r>
        <w:rPr>
          <w:rFonts w:hint="eastAsia" w:ascii="宋体" w:hAnsi="宋体" w:eastAsia="宋体" w:cs="宋体"/>
          <w:sz w:val="24"/>
        </w:rPr>
        <w:t>（二）采购代理机构联系人：尤鸿望， 联系电话：0515-88200316；</w:t>
      </w:r>
    </w:p>
    <w:p>
      <w:pPr>
        <w:tabs>
          <w:tab w:val="left" w:pos="900"/>
        </w:tabs>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采购代理机构联系地址：盐城市紫薇广场C区7楼。 </w:t>
      </w:r>
    </w:p>
    <w:p>
      <w:pPr>
        <w:snapToGrid w:val="0"/>
        <w:spacing w:line="480" w:lineRule="exact"/>
        <w:ind w:firstLine="6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对项目需求部分的询问、质疑请与采购人</w:t>
      </w:r>
      <w:r>
        <w:rPr>
          <w:rFonts w:hint="eastAsia" w:ascii="宋体" w:hAnsi="宋体" w:eastAsia="宋体" w:cs="宋体"/>
          <w:b/>
          <w:color w:val="000000" w:themeColor="text1"/>
          <w:sz w:val="24"/>
          <w:szCs w:val="24"/>
          <w:lang w:eastAsia="zh-CN"/>
          <w14:textFill>
            <w14:solidFill>
              <w14:schemeClr w14:val="tx1"/>
            </w14:solidFill>
          </w14:textFill>
        </w:rPr>
        <w:t>项目</w:t>
      </w:r>
      <w:r>
        <w:rPr>
          <w:rFonts w:hint="eastAsia" w:ascii="宋体" w:hAnsi="宋体" w:eastAsia="宋体" w:cs="宋体"/>
          <w:b/>
          <w:color w:val="000000" w:themeColor="text1"/>
          <w:sz w:val="24"/>
          <w:szCs w:val="24"/>
          <w14:textFill>
            <w14:solidFill>
              <w14:schemeClr w14:val="tx1"/>
            </w14:solidFill>
          </w14:textFill>
        </w:rPr>
        <w:t>联系人联系，需求部分的询问、质疑由采购人</w:t>
      </w:r>
      <w:r>
        <w:rPr>
          <w:rFonts w:hint="eastAsia" w:ascii="宋体" w:hAnsi="宋体" w:eastAsia="宋体" w:cs="宋体"/>
          <w:b/>
          <w:color w:val="000000" w:themeColor="text1"/>
          <w:sz w:val="24"/>
          <w:szCs w:val="24"/>
          <w:lang w:eastAsia="zh-CN"/>
          <w14:textFill>
            <w14:solidFill>
              <w14:schemeClr w14:val="tx1"/>
            </w14:solidFill>
          </w14:textFill>
        </w:rPr>
        <w:t>项目</w:t>
      </w:r>
      <w:r>
        <w:rPr>
          <w:rFonts w:hint="eastAsia" w:ascii="宋体" w:hAnsi="宋体" w:eastAsia="宋体" w:cs="宋体"/>
          <w:b/>
          <w:color w:val="000000" w:themeColor="text1"/>
          <w:sz w:val="24"/>
          <w:szCs w:val="24"/>
          <w14:textFill>
            <w14:solidFill>
              <w14:schemeClr w14:val="tx1"/>
            </w14:solidFill>
          </w14:textFill>
        </w:rPr>
        <w:t>联系人负责答复。</w:t>
      </w:r>
    </w:p>
    <w:p>
      <w:pPr>
        <w:snapToGrid w:val="0"/>
        <w:spacing w:line="480" w:lineRule="exact"/>
        <w:ind w:firstLine="6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八、本次谈判响应文件制作份数要求</w:t>
      </w:r>
    </w:p>
    <w:p>
      <w:pPr>
        <w:snapToGrid w:val="0"/>
        <w:spacing w:line="480" w:lineRule="exact"/>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正本份数：1份   副本份数：</w:t>
      </w:r>
      <w:r>
        <w:rPr>
          <w:rFonts w:hint="eastAsia" w:ascii="宋体" w:hAnsi="宋体" w:eastAsia="宋体" w:cs="宋体"/>
          <w:color w:val="000000" w:themeColor="text1"/>
          <w:sz w:val="24"/>
          <w:szCs w:val="24"/>
          <w:u w:val="single"/>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份 </w:t>
      </w:r>
    </w:p>
    <w:p>
      <w:pPr>
        <w:snapToGrid w:val="0"/>
        <w:spacing w:line="480" w:lineRule="exact"/>
        <w:ind w:firstLine="6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九、本次谈判保证金要求</w:t>
      </w:r>
    </w:p>
    <w:p>
      <w:pPr>
        <w:snapToGrid w:val="0"/>
        <w:spacing w:line="480" w:lineRule="exact"/>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本次谈判保证金金额为人民币</w:t>
      </w:r>
      <w:r>
        <w:rPr>
          <w:rFonts w:hint="eastAsia" w:ascii="宋体" w:hAnsi="宋体" w:eastAsia="宋体" w:cs="宋体"/>
          <w:sz w:val="24"/>
          <w:u w:val="single"/>
          <w:lang w:eastAsia="zh-CN"/>
        </w:rPr>
        <w:t>贰仟陆佰</w:t>
      </w:r>
      <w:r>
        <w:rPr>
          <w:rFonts w:hint="eastAsia" w:ascii="宋体" w:hAnsi="宋体" w:eastAsia="宋体" w:cs="宋体"/>
          <w:sz w:val="24"/>
          <w:u w:val="single"/>
        </w:rPr>
        <w:t>元整</w:t>
      </w:r>
      <w:r>
        <w:rPr>
          <w:rFonts w:hint="eastAsia" w:ascii="宋体" w:hAnsi="宋体" w:eastAsia="宋体" w:cs="宋体"/>
          <w:color w:val="000000" w:themeColor="text1"/>
          <w:sz w:val="24"/>
          <w:szCs w:val="24"/>
          <w14:textFill>
            <w14:solidFill>
              <w14:schemeClr w14:val="tx1"/>
            </w14:solidFill>
          </w14:textFill>
        </w:rPr>
        <w:t>，谈判保证金必须在谈判响应文件提交截止期前与谈判文件一起送达谈判响应文件接收地点（不要密封在响应文件中）。</w:t>
      </w:r>
    </w:p>
    <w:p>
      <w:pPr>
        <w:spacing w:line="500" w:lineRule="exact"/>
        <w:ind w:firstLine="482" w:firstLineChars="200"/>
        <w:outlineLvl w:val="1"/>
        <w:rPr>
          <w:rFonts w:hint="eastAsia" w:ascii="宋体" w:hAnsi="宋体" w:eastAsia="宋体" w:cs="宋体"/>
          <w:sz w:val="24"/>
        </w:rPr>
      </w:pPr>
      <w:r>
        <w:rPr>
          <w:rFonts w:hint="eastAsia" w:ascii="宋体" w:hAnsi="宋体" w:eastAsia="宋体" w:cs="宋体"/>
          <w:b/>
          <w:kern w:val="0"/>
          <w:sz w:val="24"/>
          <w:lang w:eastAsia="zh-CN"/>
        </w:rPr>
        <w:t>谈判保证金</w:t>
      </w:r>
      <w:r>
        <w:rPr>
          <w:rFonts w:hint="eastAsia" w:ascii="宋体" w:hAnsi="宋体" w:eastAsia="宋体" w:cs="宋体"/>
          <w:b/>
          <w:kern w:val="0"/>
          <w:sz w:val="24"/>
        </w:rPr>
        <w:t>必须采用有效银行本票或银行汇票，不接受电汇、转账、现金、现金交款单、支票或其他形式的保证金。</w:t>
      </w:r>
      <w:r>
        <w:rPr>
          <w:rFonts w:hint="eastAsia" w:ascii="宋体" w:hAnsi="宋体" w:eastAsia="宋体" w:cs="宋体"/>
          <w:sz w:val="24"/>
        </w:rPr>
        <w:t>各谈判供应商须在响应文件接收截止时间前将</w:t>
      </w:r>
      <w:r>
        <w:rPr>
          <w:rFonts w:hint="eastAsia" w:ascii="宋体" w:hAnsi="宋体" w:eastAsia="宋体" w:cs="宋体"/>
          <w:sz w:val="24"/>
          <w:lang w:eastAsia="zh-CN"/>
        </w:rPr>
        <w:t>谈判保证金</w:t>
      </w:r>
      <w:r>
        <w:rPr>
          <w:rFonts w:hint="eastAsia" w:ascii="宋体" w:hAnsi="宋体" w:eastAsia="宋体" w:cs="宋体"/>
          <w:sz w:val="24"/>
        </w:rPr>
        <w:t>从谈判供应商本单位的基本账户上汇出（不入账），以谈判供应商汇出资金的银行日期为准，且保证金汇出单位必须与谈判供应商名称一致，收款人名称：江苏双清工程造价咨询有限公司，开户行：中国银行股份有限公司盐城分行，账号：513158208001。响应文件接收截止时间前，各谈判供应商将有效银行本票或银行汇票原件带至开标现场交工作人员核验，未按上述要求交纳</w:t>
      </w:r>
      <w:r>
        <w:rPr>
          <w:rFonts w:hint="eastAsia" w:ascii="宋体" w:hAnsi="宋体" w:eastAsia="宋体" w:cs="宋体"/>
          <w:sz w:val="24"/>
          <w:lang w:eastAsia="zh-CN"/>
        </w:rPr>
        <w:t>谈判保证金</w:t>
      </w:r>
      <w:r>
        <w:rPr>
          <w:rFonts w:hint="eastAsia" w:ascii="宋体" w:hAnsi="宋体" w:eastAsia="宋体" w:cs="宋体"/>
          <w:sz w:val="24"/>
        </w:rPr>
        <w:t>的，将被视为非响应性投标而予以拒绝。</w:t>
      </w:r>
    </w:p>
    <w:p>
      <w:pPr>
        <w:spacing w:line="500" w:lineRule="exact"/>
        <w:ind w:firstLine="480" w:firstLineChars="200"/>
        <w:outlineLvl w:val="1"/>
        <w:rPr>
          <w:rFonts w:hint="eastAsia" w:ascii="宋体" w:hAnsi="宋体" w:eastAsia="宋体" w:cs="宋体"/>
          <w:sz w:val="24"/>
        </w:rPr>
      </w:pPr>
      <w:r>
        <w:rPr>
          <w:rFonts w:hint="eastAsia" w:ascii="宋体" w:hAnsi="宋体" w:eastAsia="宋体" w:cs="宋体"/>
          <w:sz w:val="24"/>
          <w:lang w:eastAsia="zh-CN"/>
        </w:rPr>
        <w:t>谈判保证金</w:t>
      </w:r>
      <w:r>
        <w:rPr>
          <w:rFonts w:hint="eastAsia" w:ascii="宋体" w:hAnsi="宋体" w:eastAsia="宋体" w:cs="宋体"/>
          <w:sz w:val="24"/>
        </w:rPr>
        <w:t>退还方式：未</w:t>
      </w:r>
      <w:r>
        <w:rPr>
          <w:rFonts w:hint="eastAsia" w:ascii="宋体" w:hAnsi="宋体" w:eastAsia="宋体" w:cs="宋体"/>
          <w:sz w:val="24"/>
          <w:lang w:eastAsia="zh-CN"/>
        </w:rPr>
        <w:t>成交供应商</w:t>
      </w:r>
      <w:r>
        <w:rPr>
          <w:rFonts w:hint="eastAsia" w:ascii="宋体" w:hAnsi="宋体" w:eastAsia="宋体" w:cs="宋体"/>
          <w:sz w:val="24"/>
        </w:rPr>
        <w:t>的</w:t>
      </w:r>
      <w:r>
        <w:rPr>
          <w:rFonts w:hint="eastAsia" w:ascii="宋体" w:hAnsi="宋体" w:eastAsia="宋体" w:cs="宋体"/>
          <w:sz w:val="24"/>
          <w:lang w:eastAsia="zh-CN"/>
        </w:rPr>
        <w:t>谈判保证金</w:t>
      </w:r>
      <w:r>
        <w:rPr>
          <w:rFonts w:hint="eastAsia" w:ascii="宋体" w:hAnsi="宋体" w:eastAsia="宋体" w:cs="宋体"/>
          <w:sz w:val="24"/>
        </w:rPr>
        <w:t>现场退还，</w:t>
      </w:r>
      <w:r>
        <w:rPr>
          <w:rFonts w:hint="eastAsia" w:ascii="宋体" w:hAnsi="宋体" w:eastAsia="宋体" w:cs="宋体"/>
          <w:sz w:val="24"/>
          <w:lang w:eastAsia="zh-CN"/>
        </w:rPr>
        <w:t>成交供应商</w:t>
      </w:r>
      <w:r>
        <w:rPr>
          <w:rFonts w:hint="eastAsia" w:ascii="宋体" w:hAnsi="宋体" w:eastAsia="宋体" w:cs="宋体"/>
          <w:sz w:val="24"/>
        </w:rPr>
        <w:t>的</w:t>
      </w:r>
      <w:r>
        <w:rPr>
          <w:rFonts w:hint="eastAsia" w:ascii="宋体" w:hAnsi="宋体" w:eastAsia="宋体" w:cs="宋体"/>
          <w:sz w:val="24"/>
          <w:lang w:eastAsia="zh-CN"/>
        </w:rPr>
        <w:t>谈判保证金</w:t>
      </w:r>
      <w:r>
        <w:rPr>
          <w:rFonts w:hint="eastAsia" w:ascii="宋体" w:hAnsi="宋体" w:eastAsia="宋体" w:cs="宋体"/>
          <w:sz w:val="24"/>
        </w:rPr>
        <w:t>在签订合同并交纳招标代理服务费后，凭合同原件及交费凭证至</w:t>
      </w:r>
      <w:r>
        <w:rPr>
          <w:rFonts w:hint="eastAsia" w:ascii="宋体" w:hAnsi="宋体" w:eastAsia="宋体" w:cs="宋体"/>
          <w:sz w:val="24"/>
          <w:lang w:eastAsia="zh-CN"/>
        </w:rPr>
        <w:t>采购</w:t>
      </w:r>
      <w:r>
        <w:rPr>
          <w:rFonts w:hint="eastAsia" w:ascii="宋体" w:hAnsi="宋体" w:eastAsia="宋体" w:cs="宋体"/>
          <w:sz w:val="24"/>
        </w:rPr>
        <w:t>代理机构财务部退还。</w:t>
      </w:r>
    </w:p>
    <w:p>
      <w:pPr>
        <w:ind w:firstLine="48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ind w:firstLine="480"/>
        <w:jc w:val="right"/>
        <w:rPr>
          <w:rFonts w:hint="eastAsia" w:ascii="宋体" w:hAnsi="宋体" w:eastAsia="宋体" w:cs="宋体"/>
          <w:color w:val="000000" w:themeColor="text1"/>
          <w:sz w:val="24"/>
          <w:szCs w:val="24"/>
          <w14:textFill>
            <w14:solidFill>
              <w14:schemeClr w14:val="tx1"/>
            </w14:solidFill>
          </w14:textFill>
        </w:rPr>
      </w:pPr>
    </w:p>
    <w:p>
      <w:pPr>
        <w:ind w:firstLine="480"/>
        <w:jc w:val="right"/>
        <w:rPr>
          <w:rFonts w:hint="eastAsia" w:ascii="宋体" w:hAnsi="宋体" w:eastAsia="宋体" w:cs="宋体"/>
          <w:color w:val="000000" w:themeColor="text1"/>
          <w:sz w:val="24"/>
          <w:szCs w:val="24"/>
          <w14:textFill>
            <w14:solidFill>
              <w14:schemeClr w14:val="tx1"/>
            </w14:solidFill>
          </w14:textFill>
        </w:rPr>
      </w:pPr>
    </w:p>
    <w:p>
      <w:pPr>
        <w:ind w:firstLine="480"/>
        <w:jc w:val="right"/>
        <w:rPr>
          <w:rFonts w:hint="eastAsia" w:ascii="宋体" w:hAnsi="宋体" w:eastAsia="宋体" w:cs="宋体"/>
          <w:color w:val="000000" w:themeColor="text1"/>
          <w:sz w:val="24"/>
          <w:szCs w:val="24"/>
          <w14:textFill>
            <w14:solidFill>
              <w14:schemeClr w14:val="tx1"/>
            </w14:solidFill>
          </w14:textFill>
        </w:rPr>
      </w:pPr>
    </w:p>
    <w:p>
      <w:pPr>
        <w:ind w:firstLine="480"/>
        <w:jc w:val="center"/>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b/>
          <w:color w:val="000000" w:themeColor="text1"/>
          <w:sz w:val="24"/>
          <w:szCs w:val="24"/>
          <w:lang w:eastAsia="zh-CN"/>
          <w14:textFill>
            <w14:solidFill>
              <w14:schemeClr w14:val="tx1"/>
            </w14:solidFill>
          </w14:textFill>
        </w:rPr>
        <w:t>盐城工业职业技术学院</w:t>
      </w:r>
    </w:p>
    <w:p>
      <w:pPr>
        <w:ind w:firstLine="482"/>
        <w:jc w:val="right"/>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w:t>
      </w:r>
      <w:r>
        <w:rPr>
          <w:rFonts w:hint="eastAsia" w:ascii="宋体" w:hAnsi="宋体" w:eastAsia="宋体" w:cs="宋体"/>
          <w:b/>
          <w:color w:val="000000" w:themeColor="text1"/>
          <w:sz w:val="24"/>
          <w:szCs w:val="24"/>
          <w:lang w:eastAsia="zh-CN"/>
          <w14:textFill>
            <w14:solidFill>
              <w14:schemeClr w14:val="tx1"/>
            </w14:solidFill>
          </w14:textFill>
        </w:rPr>
        <w:t>江苏双清工程造价咨询有限公司</w:t>
      </w:r>
    </w:p>
    <w:p>
      <w:pPr>
        <w:spacing w:line="276" w:lineRule="auto"/>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2019年</w:t>
      </w:r>
      <w:r>
        <w:rPr>
          <w:rFonts w:hint="eastAsia" w:ascii="宋体" w:hAnsi="宋体" w:eastAsia="宋体" w:cs="宋体"/>
          <w:b/>
          <w:color w:val="000000" w:themeColor="text1"/>
          <w:sz w:val="24"/>
          <w:szCs w:val="24"/>
          <w:lang w:val="en-US" w:eastAsia="zh-CN"/>
          <w14:textFill>
            <w14:solidFill>
              <w14:schemeClr w14:val="tx1"/>
            </w14:solidFill>
          </w14:textFill>
        </w:rPr>
        <w:t>6</w:t>
      </w:r>
      <w:bookmarkStart w:id="92" w:name="_GoBack"/>
      <w:bookmarkEnd w:id="92"/>
      <w:r>
        <w:rPr>
          <w:rFonts w:hint="eastAsia" w:ascii="宋体" w:hAnsi="宋体" w:eastAsia="宋体" w:cs="宋体"/>
          <w:b/>
          <w:color w:val="000000" w:themeColor="text1"/>
          <w:sz w:val="24"/>
          <w:szCs w:val="24"/>
          <w14:textFill>
            <w14:solidFill>
              <w14:schemeClr w14:val="tx1"/>
            </w14:solidFill>
          </w14:textFill>
        </w:rPr>
        <w:t>月</w:t>
      </w:r>
      <w:r>
        <w:rPr>
          <w:rFonts w:hint="eastAsia" w:ascii="宋体" w:hAnsi="宋体" w:eastAsia="宋体" w:cs="宋体"/>
          <w:b/>
          <w:color w:val="000000" w:themeColor="text1"/>
          <w:sz w:val="24"/>
          <w:szCs w:val="24"/>
          <w:lang w:val="en-US" w:eastAsia="zh-CN"/>
          <w14:textFill>
            <w14:solidFill>
              <w14:schemeClr w14:val="tx1"/>
            </w14:solidFill>
          </w14:textFill>
        </w:rPr>
        <w:t>3</w:t>
      </w:r>
      <w:r>
        <w:rPr>
          <w:rFonts w:hint="eastAsia" w:ascii="宋体" w:hAnsi="宋体" w:eastAsia="宋体" w:cs="宋体"/>
          <w:b/>
          <w:color w:val="000000" w:themeColor="text1"/>
          <w:sz w:val="24"/>
          <w:szCs w:val="24"/>
          <w14:textFill>
            <w14:solidFill>
              <w14:schemeClr w14:val="tx1"/>
            </w14:solidFill>
          </w14:textFill>
        </w:rPr>
        <w:t>日</w:t>
      </w:r>
      <w:bookmarkEnd w:id="1"/>
      <w:bookmarkEnd w:id="2"/>
      <w:bookmarkEnd w:id="3"/>
      <w:bookmarkEnd w:id="4"/>
      <w:bookmarkEnd w:id="5"/>
      <w:bookmarkStart w:id="6" w:name="_Toc120614211"/>
      <w:bookmarkEnd w:id="6"/>
    </w:p>
    <w:p>
      <w:pPr>
        <w:pStyle w:val="3"/>
        <w:spacing w:before="260" w:after="260" w:line="360" w:lineRule="auto"/>
        <w:rPr>
          <w:rFonts w:hint="eastAsia" w:ascii="宋体" w:hAnsi="宋体" w:eastAsia="宋体" w:cs="宋体"/>
          <w:color w:val="000000" w:themeColor="text1"/>
          <w14:textFill>
            <w14:solidFill>
              <w14:schemeClr w14:val="tx1"/>
            </w14:solidFill>
          </w14:textFill>
        </w:rPr>
      </w:pPr>
    </w:p>
    <w:p>
      <w:pPr>
        <w:pStyle w:val="3"/>
        <w:spacing w:before="260" w:after="260" w:line="360" w:lineRule="auto"/>
        <w:rPr>
          <w:rFonts w:hint="eastAsia" w:ascii="宋体" w:hAnsi="宋体" w:eastAsia="宋体" w:cs="宋体"/>
          <w:color w:val="000000" w:themeColor="text1"/>
          <w14:textFill>
            <w14:solidFill>
              <w14:schemeClr w14:val="tx1"/>
            </w14:solidFill>
          </w14:textFill>
        </w:rPr>
      </w:pPr>
    </w:p>
    <w:p>
      <w:pPr>
        <w:pStyle w:val="3"/>
        <w:spacing w:before="260" w:after="260" w:line="360" w:lineRule="auto"/>
        <w:rPr>
          <w:rFonts w:hint="eastAsia" w:ascii="宋体" w:hAnsi="宋体" w:eastAsia="宋体" w:cs="宋体"/>
          <w:color w:val="000000" w:themeColor="text1"/>
          <w14:textFill>
            <w14:solidFill>
              <w14:schemeClr w14:val="tx1"/>
            </w14:solidFill>
          </w14:textFill>
        </w:rPr>
      </w:pPr>
    </w:p>
    <w:p>
      <w:pPr>
        <w:spacing w:line="460" w:lineRule="exact"/>
        <w:outlineLvl w:val="0"/>
        <w:rPr>
          <w:rFonts w:hint="eastAsia" w:ascii="宋体" w:hAnsi="宋体" w:eastAsia="宋体" w:cs="宋体"/>
          <w:color w:val="000000" w:themeColor="text1"/>
          <w:sz w:val="24"/>
          <w:szCs w:val="24"/>
          <w14:textFill>
            <w14:solidFill>
              <w14:schemeClr w14:val="tx1"/>
            </w14:solidFill>
          </w14:textFill>
        </w:rPr>
      </w:pPr>
    </w:p>
    <w:p>
      <w:pPr>
        <w:spacing w:line="460" w:lineRule="exact"/>
        <w:outlineLvl w:val="0"/>
        <w:rPr>
          <w:rFonts w:hint="eastAsia" w:ascii="宋体" w:hAnsi="宋体" w:eastAsia="宋体" w:cs="宋体"/>
          <w:color w:val="000000" w:themeColor="text1"/>
          <w:sz w:val="24"/>
          <w:szCs w:val="24"/>
          <w14:textFill>
            <w14:solidFill>
              <w14:schemeClr w14:val="tx1"/>
            </w14:solidFill>
          </w14:textFill>
        </w:rPr>
      </w:pPr>
    </w:p>
    <w:p>
      <w:pPr>
        <w:spacing w:line="460" w:lineRule="exact"/>
        <w:outlineLvl w:val="0"/>
        <w:rPr>
          <w:rFonts w:hint="eastAsia" w:ascii="宋体" w:hAnsi="宋体" w:eastAsia="宋体" w:cs="宋体"/>
          <w:color w:val="000000" w:themeColor="text1"/>
          <w:sz w:val="24"/>
          <w:szCs w:val="24"/>
          <w14:textFill>
            <w14:solidFill>
              <w14:schemeClr w14:val="tx1"/>
            </w14:solidFill>
          </w14:textFill>
        </w:rPr>
      </w:pPr>
    </w:p>
    <w:p>
      <w:pPr>
        <w:spacing w:line="460" w:lineRule="exact"/>
        <w:outlineLvl w:val="0"/>
        <w:rPr>
          <w:rFonts w:hint="eastAsia" w:ascii="宋体" w:hAnsi="宋体" w:eastAsia="宋体" w:cs="宋体"/>
          <w:color w:val="000000" w:themeColor="text1"/>
          <w:sz w:val="24"/>
          <w:szCs w:val="24"/>
          <w14:textFill>
            <w14:solidFill>
              <w14:schemeClr w14:val="tx1"/>
            </w14:solidFill>
          </w14:textFill>
        </w:rPr>
      </w:pPr>
    </w:p>
    <w:p>
      <w:pPr>
        <w:spacing w:line="460" w:lineRule="exact"/>
        <w:outlineLvl w:val="0"/>
        <w:rPr>
          <w:rFonts w:hint="eastAsia" w:ascii="宋体" w:hAnsi="宋体" w:eastAsia="宋体" w:cs="宋体"/>
          <w:color w:val="000000" w:themeColor="text1"/>
          <w:sz w:val="24"/>
          <w:szCs w:val="24"/>
          <w14:textFill>
            <w14:solidFill>
              <w14:schemeClr w14:val="tx1"/>
            </w14:solidFill>
          </w14:textFill>
        </w:rPr>
      </w:pPr>
    </w:p>
    <w:p>
      <w:pPr>
        <w:spacing w:line="460" w:lineRule="exact"/>
        <w:outlineLvl w:val="0"/>
        <w:rPr>
          <w:rFonts w:hint="eastAsia" w:ascii="宋体" w:hAnsi="宋体" w:eastAsia="宋体" w:cs="宋体"/>
          <w:color w:val="000000" w:themeColor="text1"/>
          <w:sz w:val="24"/>
          <w:szCs w:val="24"/>
          <w14:textFill>
            <w14:solidFill>
              <w14:schemeClr w14:val="tx1"/>
            </w14:solidFill>
          </w14:textFill>
        </w:rPr>
      </w:pPr>
    </w:p>
    <w:p>
      <w:pPr>
        <w:spacing w:line="460" w:lineRule="exact"/>
        <w:outlineLvl w:val="0"/>
        <w:rPr>
          <w:rFonts w:hint="eastAsia" w:ascii="宋体" w:hAnsi="宋体" w:eastAsia="宋体" w:cs="宋体"/>
          <w:color w:val="000000" w:themeColor="text1"/>
          <w:sz w:val="24"/>
          <w:szCs w:val="24"/>
          <w14:textFill>
            <w14:solidFill>
              <w14:schemeClr w14:val="tx1"/>
            </w14:solidFill>
          </w14:textFill>
        </w:rPr>
      </w:pPr>
    </w:p>
    <w:p>
      <w:pPr>
        <w:spacing w:line="460" w:lineRule="exact"/>
        <w:outlineLvl w:val="0"/>
        <w:rPr>
          <w:rFonts w:hint="eastAsia" w:ascii="宋体" w:hAnsi="宋体" w:eastAsia="宋体" w:cs="宋体"/>
          <w:color w:val="000000" w:themeColor="text1"/>
          <w:sz w:val="24"/>
          <w:szCs w:val="24"/>
          <w14:textFill>
            <w14:solidFill>
              <w14:schemeClr w14:val="tx1"/>
            </w14:solidFill>
          </w14:textFill>
        </w:rPr>
      </w:pPr>
    </w:p>
    <w:p>
      <w:pPr>
        <w:pStyle w:val="3"/>
        <w:spacing w:before="260" w:after="26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第二章  谈判须知</w:t>
      </w:r>
    </w:p>
    <w:p>
      <w:pPr>
        <w:spacing w:line="460" w:lineRule="exact"/>
        <w:jc w:val="center"/>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（参加竞争性谈判的供应商以下简称“谈判供应商”）</w:t>
      </w:r>
    </w:p>
    <w:p>
      <w:pPr>
        <w:spacing w:line="460" w:lineRule="exact"/>
        <w:ind w:firstLine="321"/>
        <w:outlineLvl w:val="2"/>
        <w:rPr>
          <w:rFonts w:hint="eastAsia" w:ascii="宋体" w:hAnsi="宋体" w:eastAsia="宋体" w:cs="宋体"/>
          <w:b/>
          <w:color w:val="000000" w:themeColor="text1"/>
          <w:sz w:val="32"/>
          <w:szCs w:val="32"/>
          <w14:textFill>
            <w14:solidFill>
              <w14:schemeClr w14:val="tx1"/>
            </w14:solidFill>
          </w14:textFill>
        </w:rPr>
      </w:pPr>
      <w:bookmarkStart w:id="7" w:name="_Toc16938519"/>
      <w:bookmarkStart w:id="8" w:name="_Toc513029203"/>
      <w:bookmarkStart w:id="9" w:name="_Toc120614214"/>
      <w:bookmarkStart w:id="10" w:name="_Toc20823275"/>
      <w:r>
        <w:rPr>
          <w:rFonts w:hint="eastAsia" w:ascii="宋体" w:hAnsi="宋体" w:eastAsia="宋体" w:cs="宋体"/>
          <w:b/>
          <w:color w:val="000000" w:themeColor="text1"/>
          <w:sz w:val="32"/>
          <w:szCs w:val="32"/>
          <w14:textFill>
            <w14:solidFill>
              <w14:schemeClr w14:val="tx1"/>
            </w14:solidFill>
          </w14:textFill>
        </w:rPr>
        <w:t>一、总则</w:t>
      </w:r>
      <w:bookmarkEnd w:id="7"/>
      <w:bookmarkEnd w:id="8"/>
      <w:bookmarkEnd w:id="9"/>
      <w:bookmarkEnd w:id="10"/>
    </w:p>
    <w:p>
      <w:pPr>
        <w:spacing w:line="460" w:lineRule="exact"/>
        <w:ind w:firstLine="420"/>
        <w:outlineLvl w:val="3"/>
        <w:rPr>
          <w:rFonts w:hint="eastAsia" w:ascii="宋体" w:hAnsi="宋体" w:eastAsia="宋体" w:cs="宋体"/>
          <w:color w:val="000000" w:themeColor="text1"/>
          <w:sz w:val="28"/>
          <w:szCs w:val="28"/>
          <w14:textFill>
            <w14:solidFill>
              <w14:schemeClr w14:val="tx1"/>
            </w14:solidFill>
          </w14:textFill>
        </w:rPr>
      </w:pPr>
      <w:bookmarkStart w:id="11" w:name="_Hlt16619475"/>
      <w:bookmarkEnd w:id="11"/>
      <w:bookmarkStart w:id="12" w:name="_Toc458694821"/>
      <w:bookmarkStart w:id="13" w:name="_Toc20823276"/>
      <w:bookmarkStart w:id="14" w:name="_Toc513029204"/>
      <w:bookmarkStart w:id="15" w:name="_Toc16938520"/>
      <w:r>
        <w:rPr>
          <w:rFonts w:hint="eastAsia" w:ascii="宋体" w:hAnsi="宋体" w:eastAsia="宋体" w:cs="宋体"/>
          <w:color w:val="000000" w:themeColor="text1"/>
          <w:sz w:val="28"/>
          <w:szCs w:val="28"/>
          <w14:textFill>
            <w14:solidFill>
              <w14:schemeClr w14:val="tx1"/>
            </w14:solidFill>
          </w14:textFill>
        </w:rPr>
        <w:t>1</w:t>
      </w:r>
      <w:bookmarkEnd w:id="12"/>
      <w:r>
        <w:rPr>
          <w:rFonts w:hint="eastAsia" w:ascii="宋体" w:hAnsi="宋体" w:eastAsia="宋体" w:cs="宋体"/>
          <w:color w:val="000000" w:themeColor="text1"/>
          <w:sz w:val="28"/>
          <w:szCs w:val="28"/>
          <w14:textFill>
            <w14:solidFill>
              <w14:schemeClr w14:val="tx1"/>
            </w14:solidFill>
          </w14:textFill>
        </w:rPr>
        <w:t>、</w:t>
      </w:r>
      <w:bookmarkEnd w:id="13"/>
      <w:bookmarkEnd w:id="14"/>
      <w:bookmarkEnd w:id="15"/>
      <w:r>
        <w:rPr>
          <w:rFonts w:hint="eastAsia" w:ascii="宋体" w:hAnsi="宋体" w:eastAsia="宋体" w:cs="宋体"/>
          <w:color w:val="000000" w:themeColor="text1"/>
          <w:sz w:val="28"/>
          <w:szCs w:val="28"/>
          <w14:textFill>
            <w14:solidFill>
              <w14:schemeClr w14:val="tx1"/>
            </w14:solidFill>
          </w14:textFill>
        </w:rPr>
        <w:t>适用范围</w:t>
      </w:r>
    </w:p>
    <w:p>
      <w:pPr>
        <w:spacing w:line="460" w:lineRule="exact"/>
        <w:ind w:firstLine="360"/>
        <w:outlineLvl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 本竞争性谈判文件（以下简称谈判文件）仅适用此项目。</w:t>
      </w:r>
    </w:p>
    <w:p>
      <w:pPr>
        <w:spacing w:line="460" w:lineRule="exact"/>
        <w:ind w:firstLine="420"/>
        <w:outlineLvl w:val="3"/>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2、项目采购方式</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本次采购采取竞争性谈判的方式。</w:t>
      </w:r>
    </w:p>
    <w:p>
      <w:pPr>
        <w:spacing w:line="460" w:lineRule="exact"/>
        <w:ind w:firstLine="420"/>
        <w:outlineLvl w:val="3"/>
        <w:rPr>
          <w:rFonts w:hint="eastAsia" w:ascii="宋体" w:hAnsi="宋体" w:eastAsia="宋体" w:cs="宋体"/>
          <w:color w:val="000000" w:themeColor="text1"/>
          <w:sz w:val="28"/>
          <w:szCs w:val="28"/>
          <w14:textFill>
            <w14:solidFill>
              <w14:schemeClr w14:val="tx1"/>
            </w14:solidFill>
          </w14:textFill>
        </w:rPr>
      </w:pPr>
      <w:bookmarkStart w:id="16" w:name="_Toc16938521"/>
      <w:bookmarkStart w:id="17" w:name="_Toc20823277"/>
      <w:bookmarkStart w:id="18" w:name="_Toc513029205"/>
      <w:r>
        <w:rPr>
          <w:rFonts w:hint="eastAsia" w:ascii="宋体" w:hAnsi="宋体" w:eastAsia="宋体" w:cs="宋体"/>
          <w:color w:val="000000" w:themeColor="text1"/>
          <w:sz w:val="28"/>
          <w:szCs w:val="28"/>
          <w14:textFill>
            <w14:solidFill>
              <w14:schemeClr w14:val="tx1"/>
            </w14:solidFill>
          </w14:textFill>
        </w:rPr>
        <w:t>3、合格的</w:t>
      </w:r>
      <w:bookmarkEnd w:id="16"/>
      <w:bookmarkEnd w:id="17"/>
      <w:bookmarkEnd w:id="18"/>
      <w:r>
        <w:rPr>
          <w:rFonts w:hint="eastAsia" w:ascii="宋体" w:hAnsi="宋体" w:eastAsia="宋体" w:cs="宋体"/>
          <w:color w:val="000000" w:themeColor="text1"/>
          <w:sz w:val="28"/>
          <w:szCs w:val="28"/>
          <w14:textFill>
            <w14:solidFill>
              <w14:schemeClr w14:val="tx1"/>
            </w14:solidFill>
          </w14:textFill>
        </w:rPr>
        <w:t>谈判供应商</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3.1满足本谈判文件“竞争性谈判采购公告”中合格谈判供应商资格要求的规定。</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 满足本谈判文件实质性要求和条件的规定。</w:t>
      </w:r>
    </w:p>
    <w:p>
      <w:pPr>
        <w:spacing w:line="460" w:lineRule="exact"/>
        <w:ind w:firstLine="420"/>
        <w:outlineLvl w:val="3"/>
        <w:rPr>
          <w:rFonts w:hint="eastAsia" w:ascii="宋体" w:hAnsi="宋体" w:eastAsia="宋体" w:cs="宋体"/>
          <w:color w:val="000000" w:themeColor="text1"/>
          <w:sz w:val="28"/>
          <w:szCs w:val="28"/>
          <w14:textFill>
            <w14:solidFill>
              <w14:schemeClr w14:val="tx1"/>
            </w14:solidFill>
          </w14:textFill>
        </w:rPr>
      </w:pPr>
      <w:bookmarkStart w:id="19" w:name="_Toc513029207"/>
      <w:bookmarkStart w:id="20" w:name="_Toc20823279"/>
      <w:bookmarkStart w:id="21" w:name="_Toc16938523"/>
      <w:bookmarkStart w:id="22" w:name="_Toc462564067"/>
      <w:r>
        <w:rPr>
          <w:rFonts w:hint="eastAsia" w:ascii="宋体" w:hAnsi="宋体" w:eastAsia="宋体" w:cs="宋体"/>
          <w:color w:val="000000" w:themeColor="text1"/>
          <w:sz w:val="28"/>
          <w:szCs w:val="28"/>
          <w14:textFill>
            <w14:solidFill>
              <w14:schemeClr w14:val="tx1"/>
            </w14:solidFill>
          </w14:textFill>
        </w:rPr>
        <w:t>4、参加谈判费用</w:t>
      </w:r>
      <w:bookmarkEnd w:id="19"/>
      <w:bookmarkEnd w:id="20"/>
      <w:bookmarkEnd w:id="21"/>
      <w:bookmarkEnd w:id="22"/>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 参加谈判供应商应自行承担所有与参加谈判有关的费用，无论谈判过程中的做法和结果如何，</w:t>
      </w:r>
      <w:r>
        <w:rPr>
          <w:rFonts w:hint="eastAsia" w:ascii="宋体" w:hAnsi="宋体" w:eastAsia="宋体" w:cs="宋体"/>
          <w:color w:val="000000" w:themeColor="text1"/>
          <w:sz w:val="24"/>
          <w:szCs w:val="24"/>
          <w:lang w:eastAsia="zh-CN"/>
          <w14:textFill>
            <w14:solidFill>
              <w14:schemeClr w14:val="tx1"/>
            </w14:solidFill>
          </w14:textFill>
        </w:rPr>
        <w:t>采购人和采购代理机构</w:t>
      </w:r>
      <w:r>
        <w:rPr>
          <w:rFonts w:hint="eastAsia" w:ascii="宋体" w:hAnsi="宋体" w:eastAsia="宋体" w:cs="宋体"/>
          <w:color w:val="000000" w:themeColor="text1"/>
          <w:sz w:val="24"/>
          <w:szCs w:val="24"/>
          <w14:textFill>
            <w14:solidFill>
              <w14:schemeClr w14:val="tx1"/>
            </w14:solidFill>
          </w14:textFill>
        </w:rPr>
        <w:t>在任何情况下均无义务和责任承担这些费用。</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rPr>
        <w:t>4.2本项目</w:t>
      </w:r>
      <w:r>
        <w:rPr>
          <w:rFonts w:hint="eastAsia" w:ascii="宋体" w:hAnsi="宋体" w:eastAsia="宋体" w:cs="宋体"/>
          <w:sz w:val="24"/>
          <w:lang w:eastAsia="zh-CN"/>
        </w:rPr>
        <w:t>成交供应商</w:t>
      </w:r>
      <w:r>
        <w:rPr>
          <w:rFonts w:hint="eastAsia" w:ascii="宋体" w:hAnsi="宋体" w:eastAsia="宋体" w:cs="宋体"/>
          <w:sz w:val="24"/>
        </w:rPr>
        <w:t>与采购人签订合同前，须向采购代理机构支付招标代理服务费，收费标准按</w:t>
      </w:r>
      <w:r>
        <w:rPr>
          <w:rFonts w:hint="eastAsia" w:ascii="宋体" w:hAnsi="宋体" w:eastAsia="宋体" w:cs="宋体"/>
          <w:sz w:val="24"/>
          <w:lang w:eastAsia="zh-CN"/>
        </w:rPr>
        <w:t>成交</w:t>
      </w:r>
      <w:r>
        <w:rPr>
          <w:rFonts w:hint="eastAsia" w:ascii="宋体" w:hAnsi="宋体" w:eastAsia="宋体" w:cs="宋体"/>
          <w:sz w:val="24"/>
        </w:rPr>
        <w:t>价的1.5%×42%计取（如低于3000元的直接按3000计取）；上述费用由各</w:t>
      </w:r>
      <w:r>
        <w:rPr>
          <w:rFonts w:hint="eastAsia" w:ascii="宋体" w:hAnsi="宋体" w:eastAsia="宋体" w:cs="宋体"/>
          <w:sz w:val="24"/>
          <w:lang w:eastAsia="zh-CN"/>
        </w:rPr>
        <w:t>谈判供应商</w:t>
      </w:r>
      <w:r>
        <w:rPr>
          <w:rFonts w:hint="eastAsia" w:ascii="宋体" w:hAnsi="宋体" w:eastAsia="宋体" w:cs="宋体"/>
          <w:sz w:val="24"/>
        </w:rPr>
        <w:t>在</w:t>
      </w:r>
      <w:r>
        <w:rPr>
          <w:rFonts w:hint="eastAsia" w:ascii="宋体" w:hAnsi="宋体" w:eastAsia="宋体" w:cs="宋体"/>
          <w:sz w:val="24"/>
          <w:lang w:eastAsia="zh-CN"/>
        </w:rPr>
        <w:t>谈判</w:t>
      </w:r>
      <w:r>
        <w:rPr>
          <w:rFonts w:hint="eastAsia" w:ascii="宋体" w:hAnsi="宋体" w:eastAsia="宋体" w:cs="宋体"/>
          <w:sz w:val="24"/>
        </w:rPr>
        <w:t>时自行综合考虑分摊含进</w:t>
      </w:r>
      <w:r>
        <w:rPr>
          <w:rFonts w:hint="eastAsia" w:ascii="宋体" w:hAnsi="宋体" w:eastAsia="宋体" w:cs="宋体"/>
          <w:sz w:val="24"/>
          <w:lang w:eastAsia="zh-CN"/>
        </w:rPr>
        <w:t>谈判</w:t>
      </w:r>
      <w:r>
        <w:rPr>
          <w:rFonts w:hint="eastAsia" w:ascii="宋体" w:hAnsi="宋体" w:eastAsia="宋体" w:cs="宋体"/>
          <w:sz w:val="24"/>
        </w:rPr>
        <w:t>报价中，且不得单列</w:t>
      </w:r>
      <w:r>
        <w:rPr>
          <w:rFonts w:hint="eastAsia" w:ascii="宋体" w:hAnsi="宋体" w:eastAsia="宋体" w:cs="宋体"/>
          <w:sz w:val="24"/>
          <w:lang w:eastAsia="zh-CN"/>
        </w:rPr>
        <w:t>，采购人将不再承担支付该项费用</w:t>
      </w:r>
      <w:r>
        <w:rPr>
          <w:rFonts w:hint="eastAsia" w:ascii="宋体" w:hAnsi="宋体" w:eastAsia="宋体" w:cs="宋体"/>
          <w:sz w:val="24"/>
        </w:rPr>
        <w:t>。</w:t>
      </w:r>
    </w:p>
    <w:p>
      <w:pPr>
        <w:spacing w:line="460" w:lineRule="exact"/>
        <w:ind w:firstLine="452"/>
        <w:outlineLvl w:val="3"/>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谈判文件的约束力</w:t>
      </w:r>
    </w:p>
    <w:p>
      <w:pPr>
        <w:tabs>
          <w:tab w:val="left" w:pos="900"/>
        </w:tabs>
        <w:spacing w:line="460" w:lineRule="exact"/>
        <w:ind w:left="120" w:firstLine="47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5.1供应商一旦下载了本谈判文件并决定参加谈判，即被认为接受了本谈判文件的规定和约束，并且视为自竞争性谈判公告期限届满之日起知道或应当知道自身权益是否受到了损害。</w:t>
      </w:r>
    </w:p>
    <w:p>
      <w:pPr>
        <w:spacing w:line="460" w:lineRule="exact"/>
        <w:ind w:firstLine="420"/>
        <w:outlineLvl w:val="3"/>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6、谈判文件的询问及修改</w:t>
      </w:r>
    </w:p>
    <w:p>
      <w:pPr>
        <w:tabs>
          <w:tab w:val="left" w:pos="900"/>
        </w:tabs>
        <w:spacing w:line="460" w:lineRule="exact"/>
        <w:ind w:left="120" w:firstLine="478"/>
        <w:rPr>
          <w:rFonts w:hint="eastAsia" w:ascii="宋体" w:hAnsi="宋体" w:eastAsia="宋体" w:cs="宋体"/>
          <w:color w:val="000000" w:themeColor="text1"/>
          <w:sz w:val="24"/>
          <w:szCs w:val="24"/>
          <w14:textFill>
            <w14:solidFill>
              <w14:schemeClr w14:val="tx1"/>
            </w14:solidFill>
          </w14:textFill>
        </w:rPr>
      </w:pPr>
      <w:bookmarkStart w:id="23" w:name="_Toc120614215"/>
      <w:bookmarkStart w:id="24" w:name="_Toc16938525"/>
      <w:bookmarkStart w:id="25" w:name="_Toc20823281"/>
      <w:bookmarkStart w:id="26" w:name="_Toc513029209"/>
      <w:r>
        <w:rPr>
          <w:rFonts w:hint="eastAsia" w:ascii="宋体" w:hAnsi="宋体" w:eastAsia="宋体" w:cs="宋体"/>
          <w:color w:val="000000" w:themeColor="text1"/>
          <w:sz w:val="24"/>
          <w:szCs w:val="24"/>
          <w14:textFill>
            <w14:solidFill>
              <w14:schemeClr w14:val="tx1"/>
            </w14:solidFill>
          </w14:textFill>
        </w:rPr>
        <w:t>6.1任何要求对谈判文件进行询问的供应商，均应在提交首次响应文件截止时间3个工作日前按竞争性谈判采购公告中的通讯地址，向采购人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采购代理机构提出。提交首次响应文件截止之日前，采购人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采购代理机构可以对已发出的谈判文件进行必要的澄清或者修改，澄清或者修改的内容作为谈判文件的组成部分。澄清或者修改的内容可能影响响应文件编制的，采购人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采购代理机构将在提交首次响应文件截止时间至少3个工作日前，在</w:t>
      </w:r>
      <w:r>
        <w:rPr>
          <w:rFonts w:hint="eastAsia" w:ascii="宋体" w:hAnsi="宋体" w:eastAsia="宋体" w:cs="宋体"/>
          <w:sz w:val="24"/>
        </w:rPr>
        <w:t>“盐城市政府采购网”和“盐城工业职业技术学院招标采购网”</w:t>
      </w:r>
      <w:r>
        <w:rPr>
          <w:rFonts w:hint="eastAsia" w:ascii="宋体" w:hAnsi="宋体" w:eastAsia="宋体" w:cs="宋体"/>
          <w:color w:val="000000" w:themeColor="text1"/>
          <w:sz w:val="24"/>
          <w:szCs w:val="24"/>
          <w14:textFill>
            <w14:solidFill>
              <w14:schemeClr w14:val="tx1"/>
            </w14:solidFill>
          </w14:textFill>
        </w:rPr>
        <w:t>网上发布书面更正公告形式通知所有获取谈判文件的供应商。不足3个工作日的，采购人和采购代理机构应当顺延提交首次响应文件截止时间。</w:t>
      </w:r>
    </w:p>
    <w:p>
      <w:pPr>
        <w:tabs>
          <w:tab w:val="left" w:pos="900"/>
        </w:tabs>
        <w:spacing w:line="460" w:lineRule="exact"/>
        <w:ind w:left="120" w:firstLine="47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凡在规定时间内未对本次竞争性谈判提出书面质疑的谈判供应商，采购人视为对竞争性谈判采购文件无异议或认可解释权属采购人【可认定其所报配置型号或施工工艺为可能存在情况的最高标准或按有利于采购人的原则确定规格型号或施工工艺】。</w:t>
      </w:r>
    </w:p>
    <w:p>
      <w:pPr>
        <w:spacing w:line="460" w:lineRule="exact"/>
        <w:ind w:firstLine="321"/>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二、</w:t>
      </w:r>
      <w:bookmarkEnd w:id="23"/>
      <w:bookmarkEnd w:id="24"/>
      <w:bookmarkEnd w:id="25"/>
      <w:bookmarkEnd w:id="26"/>
      <w:r>
        <w:rPr>
          <w:rFonts w:hint="eastAsia" w:ascii="宋体" w:hAnsi="宋体" w:eastAsia="宋体" w:cs="宋体"/>
          <w:b/>
          <w:color w:val="000000" w:themeColor="text1"/>
          <w:sz w:val="32"/>
          <w:szCs w:val="32"/>
          <w14:textFill>
            <w14:solidFill>
              <w14:schemeClr w14:val="tx1"/>
            </w14:solidFill>
          </w14:textFill>
        </w:rPr>
        <w:t>谈判响应文件的编制及保证金收取</w:t>
      </w:r>
    </w:p>
    <w:p>
      <w:pPr>
        <w:spacing w:line="460" w:lineRule="exact"/>
        <w:ind w:firstLine="420"/>
        <w:outlineLvl w:val="3"/>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1、谈判响应文件份数和签署</w:t>
      </w:r>
    </w:p>
    <w:p>
      <w:pPr>
        <w:snapToGrid w:val="0"/>
        <w:spacing w:line="460" w:lineRule="exact"/>
        <w:ind w:firstLine="480"/>
        <w:rPr>
          <w:rFonts w:hint="eastAsia" w:ascii="宋体" w:hAnsi="宋体" w:eastAsia="宋体" w:cs="宋体"/>
          <w:color w:val="000000" w:themeColor="text1"/>
          <w:sz w:val="24"/>
          <w:szCs w:val="24"/>
          <w14:textFill>
            <w14:solidFill>
              <w14:schemeClr w14:val="tx1"/>
            </w14:solidFill>
          </w14:textFill>
        </w:rPr>
      </w:pPr>
      <w:bookmarkStart w:id="27" w:name="_Toc513029217"/>
      <w:bookmarkStart w:id="28" w:name="_Toc61149557"/>
      <w:r>
        <w:rPr>
          <w:rFonts w:hint="eastAsia" w:ascii="宋体" w:hAnsi="宋体" w:eastAsia="宋体" w:cs="宋体"/>
          <w:color w:val="000000" w:themeColor="text1"/>
          <w:sz w:val="24"/>
          <w:szCs w:val="24"/>
          <w14:textFill>
            <w14:solidFill>
              <w14:schemeClr w14:val="tx1"/>
            </w14:solidFill>
          </w14:textFill>
        </w:rPr>
        <w:t>1.1 参加谈判供应商应严格按照竞争性谈判采购公告要求准备谈判响应文件（以下简称响应文件），每份响应文件须清楚地标明“正本”或“副本”字样。一旦正本和副本不符，以正本为准</w:t>
      </w:r>
    </w:p>
    <w:p>
      <w:pPr>
        <w:snapToGrid w:val="0"/>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pPr>
        <w:snapToGrid w:val="0"/>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 除谈判供应商对错处做必要修改外，谈判响应文件不得行间插字、涂改或增删。如有修改错漏处，必须由响应文件签署人签字或盖章。</w:t>
      </w:r>
    </w:p>
    <w:p>
      <w:pPr>
        <w:snapToGrid w:val="0"/>
        <w:spacing w:line="460" w:lineRule="exact"/>
        <w:ind w:firstLine="480"/>
        <w:rPr>
          <w:rFonts w:hint="eastAsia" w:ascii="宋体" w:hAnsi="宋体" w:eastAsia="宋体" w:cs="宋体"/>
          <w:color w:val="000000" w:themeColor="text1"/>
          <w:sz w:val="24"/>
          <w:szCs w:val="24"/>
          <w14:textFill>
            <w14:solidFill>
              <w14:schemeClr w14:val="tx1"/>
            </w14:solidFill>
          </w14:textFill>
        </w:rPr>
      </w:pPr>
      <w:bookmarkStart w:id="29" w:name="_Hlt26954834"/>
      <w:bookmarkEnd w:id="29"/>
      <w:bookmarkStart w:id="30" w:name="_Toc513029215"/>
      <w:bookmarkStart w:id="31" w:name="_Toc61149555"/>
      <w:bookmarkStart w:id="32" w:name="_Toc14577353"/>
      <w:bookmarkStart w:id="33" w:name="_Toc462564074"/>
      <w:bookmarkStart w:id="34" w:name="_Toc513029214"/>
      <w:bookmarkStart w:id="35" w:name="_Toc462564073"/>
      <w:bookmarkStart w:id="36" w:name="_Toc14577352"/>
      <w:bookmarkStart w:id="37" w:name="_Toc61149554"/>
      <w:r>
        <w:rPr>
          <w:rFonts w:hint="eastAsia" w:ascii="宋体" w:hAnsi="宋体" w:eastAsia="宋体" w:cs="宋体"/>
          <w:color w:val="000000" w:themeColor="text1"/>
          <w:sz w:val="24"/>
          <w:szCs w:val="24"/>
          <w14:textFill>
            <w14:solidFill>
              <w14:schemeClr w14:val="tx1"/>
            </w14:solidFill>
          </w14:textFill>
        </w:rPr>
        <w:t>2、响应文件</w:t>
      </w:r>
      <w:bookmarkEnd w:id="30"/>
      <w:bookmarkEnd w:id="31"/>
      <w:bookmarkEnd w:id="32"/>
      <w:bookmarkEnd w:id="33"/>
      <w:r>
        <w:rPr>
          <w:rFonts w:hint="eastAsia" w:ascii="宋体" w:hAnsi="宋体" w:eastAsia="宋体" w:cs="宋体"/>
          <w:color w:val="000000" w:themeColor="text1"/>
          <w:sz w:val="24"/>
          <w:szCs w:val="24"/>
          <w14:textFill>
            <w14:solidFill>
              <w14:schemeClr w14:val="tx1"/>
            </w14:solidFill>
          </w14:textFill>
        </w:rPr>
        <w:t>编制要求</w:t>
      </w:r>
      <w:bookmarkEnd w:id="34"/>
      <w:bookmarkEnd w:id="35"/>
      <w:bookmarkEnd w:id="36"/>
      <w:bookmarkEnd w:id="37"/>
    </w:p>
    <w:p>
      <w:pPr>
        <w:snapToGrid w:val="0"/>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2.1谈判供应商提交的响应文件以及谈判供应商与采购人就有关谈判的所有来往函电均应使用简体中文。谈判文件中既有中文也有外文的，以中文意义为准。</w:t>
      </w:r>
    </w:p>
    <w:p>
      <w:pPr>
        <w:snapToGrid w:val="0"/>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 除技术性能另有规定外，响应文件所使用的度量衡单位，均须采用国家法定计量单位。</w:t>
      </w:r>
    </w:p>
    <w:p>
      <w:pPr>
        <w:snapToGrid w:val="0"/>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2.3谈判文件构成：</w:t>
      </w:r>
    </w:p>
    <w:p>
      <w:pPr>
        <w:snapToGrid w:val="0"/>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2.3.1参加谈判供应商应严格按本谈判文件第五章的要求编制响应文件。</w:t>
      </w:r>
    </w:p>
    <w:p>
      <w:pPr>
        <w:snapToGrid w:val="0"/>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2.3.2响应文件共分一个标书。</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（1）资格性审查响应对照表； </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（2）资信证明文件；</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（3）符合性审查相应对照表；</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（4）谈判响应函（见格式，允许另附一个详细说明）；</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（5）开标一览表（格式），谈判供应商必须按表中规定格式完整、清晰、正确填写，装入投标文件；</w:t>
      </w:r>
    </w:p>
    <w:p>
      <w:pPr>
        <w:spacing w:line="460" w:lineRule="exact"/>
        <w:ind w:firstLine="48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（6）</w:t>
      </w:r>
      <w:r>
        <w:rPr>
          <w:rFonts w:hint="eastAsia" w:ascii="宋体" w:hAnsi="宋体" w:eastAsia="宋体" w:cs="宋体"/>
          <w:b w:val="0"/>
          <w:bCs/>
          <w:color w:val="000000" w:themeColor="text1"/>
          <w:sz w:val="24"/>
          <w14:textFill>
            <w14:solidFill>
              <w14:schemeClr w14:val="tx1"/>
            </w14:solidFill>
          </w14:textFill>
        </w:rPr>
        <w:t>投标配置与分项报价表</w:t>
      </w:r>
      <w:r>
        <w:rPr>
          <w:rFonts w:hint="eastAsia" w:ascii="宋体" w:hAnsi="宋体" w:eastAsia="宋体" w:cs="宋体"/>
          <w:b w:val="0"/>
          <w:bCs/>
          <w:color w:val="000000" w:themeColor="text1"/>
          <w:sz w:val="24"/>
          <w:szCs w:val="24"/>
          <w14:textFill>
            <w14:solidFill>
              <w14:schemeClr w14:val="tx1"/>
            </w14:solidFill>
          </w14:textFill>
        </w:rPr>
        <w:t>；</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（7）商务条款响应及偏离表；</w:t>
      </w:r>
    </w:p>
    <w:p>
      <w:pPr>
        <w:spacing w:line="460" w:lineRule="exact"/>
        <w:ind w:firstLine="48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（8）谈判文件中规定要求提供的材料或谈判供应商认为需要提供的其他材料。</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bookmarkStart w:id="38" w:name="_Toc14577357"/>
      <w:bookmarkStart w:id="39" w:name="_Toc513029219"/>
      <w:bookmarkStart w:id="40" w:name="_Toc61149558"/>
      <w:bookmarkStart w:id="41" w:name="_Toc14577355"/>
      <w:r>
        <w:rPr>
          <w:rFonts w:hint="eastAsia" w:ascii="宋体" w:hAnsi="宋体" w:eastAsia="宋体" w:cs="宋体"/>
          <w:color w:val="000000" w:themeColor="text1"/>
          <w:sz w:val="24"/>
          <w:szCs w:val="24"/>
          <w14:textFill>
            <w14:solidFill>
              <w14:schemeClr w14:val="tx1"/>
            </w14:solidFill>
          </w14:textFill>
        </w:rPr>
        <w:t>3、参加谈判供应商资格的文件</w:t>
      </w:r>
      <w:bookmarkEnd w:id="38"/>
      <w:bookmarkEnd w:id="39"/>
      <w:bookmarkEnd w:id="40"/>
      <w:r>
        <w:rPr>
          <w:rFonts w:hint="eastAsia" w:ascii="宋体" w:hAnsi="宋体" w:eastAsia="宋体" w:cs="宋体"/>
          <w:color w:val="000000" w:themeColor="text1"/>
          <w:sz w:val="24"/>
          <w:szCs w:val="24"/>
          <w14:textFill>
            <w14:solidFill>
              <w14:schemeClr w14:val="tx1"/>
            </w14:solidFill>
          </w14:textFill>
        </w:rPr>
        <w:t>证明</w:t>
      </w:r>
    </w:p>
    <w:p>
      <w:pPr>
        <w:snapToGrid w:val="0"/>
        <w:spacing w:line="460" w:lineRule="exact"/>
        <w:ind w:firstLine="480"/>
        <w:rPr>
          <w:rFonts w:hint="eastAsia" w:ascii="宋体" w:hAnsi="宋体" w:eastAsia="宋体" w:cs="宋体"/>
          <w:color w:val="000000" w:themeColor="text1"/>
          <w:sz w:val="24"/>
          <w:szCs w:val="24"/>
          <w14:textFill>
            <w14:solidFill>
              <w14:schemeClr w14:val="tx1"/>
            </w14:solidFill>
          </w14:textFill>
        </w:rPr>
      </w:pPr>
      <w:bookmarkStart w:id="42" w:name="_Hlt26668999"/>
      <w:bookmarkEnd w:id="42"/>
      <w:r>
        <w:rPr>
          <w:rFonts w:hint="eastAsia" w:ascii="宋体" w:hAnsi="宋体" w:eastAsia="宋体" w:cs="宋体"/>
          <w:color w:val="000000" w:themeColor="text1"/>
          <w:sz w:val="24"/>
          <w:szCs w:val="24"/>
          <w14:textFill>
            <w14:solidFill>
              <w14:schemeClr w14:val="tx1"/>
            </w14:solidFill>
          </w14:textFill>
        </w:rPr>
        <w:t>3.1谈判供应商应提交证明其有资格参加谈判和成交后有能力独立履行合同的文件，并作为其响应文件的一部分。</w:t>
      </w:r>
    </w:p>
    <w:p>
      <w:pPr>
        <w:snapToGrid w:val="0"/>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3.2谈判供应商除必须具有履行合同所需提供的设备以及服务的能力外，还必须具备相应的财务、技术方面的能力。</w:t>
      </w:r>
    </w:p>
    <w:p>
      <w:pPr>
        <w:snapToGrid w:val="0"/>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3.3谈判供应商应填写并提交谈判文件所附的“资格证明文件”。</w:t>
      </w:r>
    </w:p>
    <w:p>
      <w:pPr>
        <w:snapToGrid w:val="0"/>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4、开标一览表和</w:t>
      </w:r>
      <w:bookmarkEnd w:id="41"/>
      <w:r>
        <w:rPr>
          <w:rFonts w:hint="eastAsia" w:ascii="宋体" w:hAnsi="宋体" w:eastAsia="宋体" w:cs="宋体"/>
          <w:color w:val="000000" w:themeColor="text1"/>
          <w:sz w:val="24"/>
          <w14:textFill>
            <w14:solidFill>
              <w14:schemeClr w14:val="tx1"/>
            </w14:solidFill>
          </w14:textFill>
        </w:rPr>
        <w:t>投标配置与分项报价表</w:t>
      </w:r>
    </w:p>
    <w:p>
      <w:pPr>
        <w:snapToGrid w:val="0"/>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 参加谈判的供应商应按照谈判文件规定格式填报开标一览表、</w:t>
      </w:r>
      <w:r>
        <w:rPr>
          <w:rFonts w:hint="eastAsia" w:ascii="宋体" w:hAnsi="宋体" w:eastAsia="宋体" w:cs="宋体"/>
          <w:color w:val="000000" w:themeColor="text1"/>
          <w:sz w:val="24"/>
          <w14:textFill>
            <w14:solidFill>
              <w14:schemeClr w14:val="tx1"/>
            </w14:solidFill>
          </w14:textFill>
        </w:rPr>
        <w:t>投标配置与分项报价表</w:t>
      </w:r>
      <w:r>
        <w:rPr>
          <w:rFonts w:hint="eastAsia" w:ascii="宋体" w:hAnsi="宋体" w:eastAsia="宋体" w:cs="宋体"/>
          <w:color w:val="000000" w:themeColor="text1"/>
          <w:sz w:val="24"/>
          <w:szCs w:val="24"/>
          <w14:textFill>
            <w14:solidFill>
              <w14:schemeClr w14:val="tx1"/>
            </w14:solidFill>
          </w14:textFill>
        </w:rPr>
        <w:t>，每项清单只允许有一个报价，任何有选择的报价将不予接受。</w:t>
      </w:r>
      <w:bookmarkEnd w:id="27"/>
      <w:bookmarkEnd w:id="28"/>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 标的物</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详见项目需求。</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 有关费用处理</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本次采购谈判供应商的总报价应包括为完成本项目发生的所有费用，本谈判文件中另有规定的除外。</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 其它费用处理</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谈判文件未列明，而谈判供应商认为必需的费用也需列入报价。</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4.5报价采用的货币</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响应文件中的单价和总价，无特殊规定的采用人民币报价，以元为单位标注。谈判文件中另有规定的按规定执行。</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4.6谈判响应报价表上的价格应按谈判文件规定填写。</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bookmarkStart w:id="43" w:name="_Toc61149559"/>
      <w:bookmarkStart w:id="44" w:name="_Toc513029221"/>
      <w:r>
        <w:rPr>
          <w:rFonts w:hint="eastAsia" w:ascii="宋体" w:hAnsi="宋体" w:eastAsia="宋体" w:cs="宋体"/>
          <w:color w:val="000000" w:themeColor="text1"/>
          <w:sz w:val="24"/>
          <w:szCs w:val="24"/>
          <w14:textFill>
            <w14:solidFill>
              <w14:schemeClr w14:val="tx1"/>
            </w14:solidFill>
          </w14:textFill>
        </w:rPr>
        <w:t>5、谈判保证金</w:t>
      </w:r>
      <w:bookmarkEnd w:id="43"/>
      <w:bookmarkEnd w:id="44"/>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谈判供应商在递交谈判响应文件时必须按照竞争性谈判采购公告的要求提交谈判保证金，作为其谈判的一部分。谈判保证金是为了保护采购人免遭因谈判供应商的行为而蒙受的损失，采购人因谈判供应商的行为受到损害时，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采购代理机构可根据相关规定处理。</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5.2在谈判时，对在谈判响应文件递交截止时间以前未按谈判文件要求提交谈判保证金的响应文件，采购人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采购代理机构将视其为无效响应文件而予以拒绝。</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5.3未中标的投标人的谈判保证金，将</w:t>
      </w:r>
      <w:r>
        <w:rPr>
          <w:rFonts w:hint="eastAsia" w:ascii="宋体" w:hAnsi="宋体" w:eastAsia="宋体" w:cs="宋体"/>
          <w:color w:val="000000" w:themeColor="text1"/>
          <w:sz w:val="24"/>
          <w:szCs w:val="24"/>
          <w:lang w:eastAsia="zh-CN"/>
          <w14:textFill>
            <w14:solidFill>
              <w14:schemeClr w14:val="tx1"/>
            </w14:solidFill>
          </w14:textFill>
        </w:rPr>
        <w:t>根据谈判公告中的约定</w:t>
      </w:r>
      <w:r>
        <w:rPr>
          <w:rFonts w:hint="eastAsia" w:ascii="宋体" w:hAnsi="宋体" w:eastAsia="宋体" w:cs="宋体"/>
          <w:color w:val="000000" w:themeColor="text1"/>
          <w:sz w:val="24"/>
          <w:szCs w:val="24"/>
          <w14:textFill>
            <w14:solidFill>
              <w14:schemeClr w14:val="tx1"/>
            </w14:solidFill>
          </w14:textFill>
        </w:rPr>
        <w:t>予以退还，不计利息。</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5.4在签订合同时，须向采购人交纳履约保证金,于合同履行后无息退还。履约保证金用以约束成交供应商在合同履行中的行为，弥补合同执行中由于自身行为可能给采购人带来的各种损失。</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5.5下列任何情况发生时，谈判保证金不予退还：</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（1）谈判供应商在谈判有效期内无正当理由撤回其谈判响应文件或者在谈判过程中无正当理由退出谈判活动；</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（2）为谋取最终成交，谈判供应商在整个谈判过程中提供的相关文件被确认是虚假的、不真实的；</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（3）参加谈判的供应商之间被证实有串通、欺诈行为或者恶意进行竞争，影响采购人合法权益的。</w:t>
      </w:r>
    </w:p>
    <w:p>
      <w:pPr>
        <w:snapToGrid w:val="0"/>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（4）整个采购活动中采取不正当手段诋毁、排挤其他供应商的；</w:t>
      </w:r>
    </w:p>
    <w:p>
      <w:pPr>
        <w:snapToGrid w:val="0"/>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（5）与采购人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采购代理机构相关工作人员恶意串通的；</w:t>
      </w:r>
    </w:p>
    <w:p>
      <w:pPr>
        <w:snapToGrid w:val="0"/>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（6）向采购人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采购代理机构相关工作人员行贿或者提供其他不正当利益的；</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（7）成交供应商在规定期限内未能根据规定签订合同；</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（8）成交供应商在规定期限内未能根据规定交纳履约保证金。</w:t>
      </w:r>
    </w:p>
    <w:p>
      <w:pPr>
        <w:spacing w:line="460" w:lineRule="exact"/>
        <w:ind w:firstLine="321"/>
        <w:outlineLvl w:val="2"/>
        <w:rPr>
          <w:rFonts w:hint="eastAsia" w:ascii="宋体" w:hAnsi="宋体" w:eastAsia="宋体" w:cs="宋体"/>
          <w:b/>
          <w:color w:val="000000" w:themeColor="text1"/>
          <w:sz w:val="32"/>
          <w:szCs w:val="32"/>
          <w14:textFill>
            <w14:solidFill>
              <w14:schemeClr w14:val="tx1"/>
            </w14:solidFill>
          </w14:textFill>
        </w:rPr>
      </w:pPr>
      <w:bookmarkStart w:id="45" w:name="_Toc16938529"/>
      <w:bookmarkStart w:id="46" w:name="_Toc462564072"/>
      <w:bookmarkStart w:id="47" w:name="_Toc513029213"/>
      <w:bookmarkStart w:id="48" w:name="_Toc120614216"/>
      <w:bookmarkStart w:id="49" w:name="_Toc20823285"/>
      <w:r>
        <w:rPr>
          <w:rFonts w:hint="eastAsia" w:ascii="宋体" w:hAnsi="宋体" w:eastAsia="宋体" w:cs="宋体"/>
          <w:b/>
          <w:color w:val="000000" w:themeColor="text1"/>
          <w:sz w:val="32"/>
          <w:szCs w:val="32"/>
          <w14:textFill>
            <w14:solidFill>
              <w14:schemeClr w14:val="tx1"/>
            </w14:solidFill>
          </w14:textFill>
        </w:rPr>
        <w:t>三、</w:t>
      </w:r>
      <w:bookmarkEnd w:id="45"/>
      <w:bookmarkEnd w:id="46"/>
      <w:bookmarkEnd w:id="47"/>
      <w:bookmarkEnd w:id="48"/>
      <w:bookmarkEnd w:id="49"/>
      <w:r>
        <w:rPr>
          <w:rFonts w:hint="eastAsia" w:ascii="宋体" w:hAnsi="宋体" w:eastAsia="宋体" w:cs="宋体"/>
          <w:b/>
          <w:color w:val="000000" w:themeColor="text1"/>
          <w:sz w:val="32"/>
          <w:szCs w:val="32"/>
          <w14:textFill>
            <w14:solidFill>
              <w14:schemeClr w14:val="tx1"/>
            </w14:solidFill>
          </w14:textFill>
        </w:rPr>
        <w:t>谈判响应文件的递交</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bookmarkStart w:id="50" w:name="_Toc14577363"/>
      <w:bookmarkStart w:id="51" w:name="_Toc61149563"/>
      <w:r>
        <w:rPr>
          <w:rFonts w:hint="eastAsia" w:ascii="宋体" w:hAnsi="宋体" w:eastAsia="宋体" w:cs="宋体"/>
          <w:color w:val="000000" w:themeColor="text1"/>
          <w:sz w:val="24"/>
          <w:szCs w:val="24"/>
          <w14:textFill>
            <w14:solidFill>
              <w14:schemeClr w14:val="tx1"/>
            </w14:solidFill>
          </w14:textFill>
        </w:rPr>
        <w:t>1、谈判响应文件</w:t>
      </w:r>
      <w:bookmarkStart w:id="52" w:name="_Hlt26954743"/>
      <w:bookmarkEnd w:id="52"/>
      <w:r>
        <w:rPr>
          <w:rFonts w:hint="eastAsia" w:ascii="宋体" w:hAnsi="宋体" w:eastAsia="宋体" w:cs="宋体"/>
          <w:color w:val="000000" w:themeColor="text1"/>
          <w:sz w:val="24"/>
          <w:szCs w:val="24"/>
          <w14:textFill>
            <w14:solidFill>
              <w14:schemeClr w14:val="tx1"/>
            </w14:solidFill>
          </w14:textFill>
        </w:rPr>
        <w:t>的密封和标记</w:t>
      </w:r>
      <w:bookmarkEnd w:id="50"/>
      <w:bookmarkEnd w:id="51"/>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1.1参加谈判供应商应将谈判响应文件密封，密封的谈判响应文件应标明“正本”、“副本”的字样。</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1.2密封的谈判响应文件应：</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（1）按采购公告中注明的地址送达规定地点；</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（2）注明参加谈判项目名称、谈判文件编号及参加的分包号；</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（3）密封包装上应写明参加谈判供应商名称。</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1.3如果密封包装未按要求密封和加写标记，采购人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采购代理机构对误投或过早启封概不负责。对由此造成提前开封的谈判响应文件，采购人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采购代理机构将予以拒绝。</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bookmarkStart w:id="53" w:name="_Hlt26954752"/>
      <w:bookmarkEnd w:id="53"/>
      <w:bookmarkStart w:id="54" w:name="_Hlt26670496"/>
      <w:bookmarkEnd w:id="54"/>
      <w:bookmarkStart w:id="55" w:name="_Hlt26954858"/>
      <w:bookmarkEnd w:id="55"/>
      <w:bookmarkStart w:id="56" w:name="_Toc61149564"/>
      <w:bookmarkStart w:id="57" w:name="_Toc14577364"/>
      <w:r>
        <w:rPr>
          <w:rFonts w:hint="eastAsia" w:ascii="宋体" w:hAnsi="宋体" w:eastAsia="宋体" w:cs="宋体"/>
          <w:color w:val="000000" w:themeColor="text1"/>
          <w:sz w:val="24"/>
          <w:szCs w:val="24"/>
          <w14:textFill>
            <w14:solidFill>
              <w14:schemeClr w14:val="tx1"/>
            </w14:solidFill>
          </w14:textFill>
        </w:rPr>
        <w:t>2、</w:t>
      </w:r>
      <w:bookmarkEnd w:id="56"/>
      <w:bookmarkEnd w:id="57"/>
      <w:r>
        <w:rPr>
          <w:rFonts w:hint="eastAsia" w:ascii="宋体" w:hAnsi="宋体" w:eastAsia="宋体" w:cs="宋体"/>
          <w:color w:val="000000" w:themeColor="text1"/>
          <w:sz w:val="24"/>
          <w:szCs w:val="24"/>
          <w14:textFill>
            <w14:solidFill>
              <w14:schemeClr w14:val="tx1"/>
            </w14:solidFill>
          </w14:textFill>
        </w:rPr>
        <w:t>响应文件开启时间</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采购代理机构收到响应文件的时间不得迟于本谈判文件规定的响应文件接收截止时间。</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采购代理机构可通过修改谈判文件自行决定酌情推迟响应文件接收截止时间，在此情况下，谈判供应商的所有权利和义务以及受制的响应文件接收截止时间均应以延长后新的响应文件接收截止时间为准。</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bookmarkStart w:id="58" w:name="_Hlt26954860"/>
      <w:bookmarkEnd w:id="58"/>
      <w:bookmarkStart w:id="59" w:name="_Toc14577365"/>
      <w:bookmarkStart w:id="60" w:name="_Toc61149565"/>
      <w:r>
        <w:rPr>
          <w:rFonts w:hint="eastAsia" w:ascii="宋体" w:hAnsi="宋体" w:eastAsia="宋体" w:cs="宋体"/>
          <w:color w:val="000000" w:themeColor="text1"/>
          <w:sz w:val="24"/>
          <w:szCs w:val="24"/>
          <w14:textFill>
            <w14:solidFill>
              <w14:schemeClr w14:val="tx1"/>
            </w14:solidFill>
          </w14:textFill>
        </w:rPr>
        <w:t>3、迟交的谈判响应文件</w:t>
      </w:r>
      <w:bookmarkEnd w:id="59"/>
      <w:bookmarkEnd w:id="60"/>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采购代理机构将拒绝在其规定的响应文件接收截止时间后接收谈判响应文件。</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bookmarkStart w:id="61" w:name="_Hlt26954862"/>
      <w:bookmarkEnd w:id="61"/>
      <w:bookmarkStart w:id="62" w:name="_Hlt26954754"/>
      <w:bookmarkEnd w:id="62"/>
      <w:bookmarkStart w:id="63" w:name="_Toc14577366"/>
      <w:bookmarkStart w:id="64" w:name="_Toc61149566"/>
      <w:r>
        <w:rPr>
          <w:rFonts w:hint="eastAsia" w:ascii="宋体" w:hAnsi="宋体" w:eastAsia="宋体" w:cs="宋体"/>
          <w:color w:val="000000" w:themeColor="text1"/>
          <w:sz w:val="24"/>
          <w:szCs w:val="24"/>
          <w14:textFill>
            <w14:solidFill>
              <w14:schemeClr w14:val="tx1"/>
            </w14:solidFill>
          </w14:textFill>
        </w:rPr>
        <w:t>4、谈判响应文件</w:t>
      </w:r>
      <w:bookmarkStart w:id="65" w:name="_Hlt26670588"/>
      <w:r>
        <w:rPr>
          <w:rFonts w:hint="eastAsia" w:ascii="宋体" w:hAnsi="宋体" w:eastAsia="宋体" w:cs="宋体"/>
          <w:color w:val="000000" w:themeColor="text1"/>
          <w:sz w:val="24"/>
          <w:szCs w:val="24"/>
          <w14:textFill>
            <w14:solidFill>
              <w14:schemeClr w14:val="tx1"/>
            </w14:solidFill>
          </w14:textFill>
        </w:rPr>
        <w:t>的修改</w:t>
      </w:r>
      <w:bookmarkEnd w:id="65"/>
      <w:r>
        <w:rPr>
          <w:rFonts w:hint="eastAsia" w:ascii="宋体" w:hAnsi="宋体" w:eastAsia="宋体" w:cs="宋体"/>
          <w:color w:val="000000" w:themeColor="text1"/>
          <w:sz w:val="24"/>
          <w:szCs w:val="24"/>
          <w14:textFill>
            <w14:solidFill>
              <w14:schemeClr w14:val="tx1"/>
            </w14:solidFill>
          </w14:textFill>
        </w:rPr>
        <w:t>和撤回</w:t>
      </w:r>
      <w:bookmarkEnd w:id="63"/>
      <w:bookmarkEnd w:id="64"/>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4.1谈判供应商在递交谈判响应文件后，可以修改或撤回其谈判响应文件，但这种修改和撤回，必须在规定的响应文件接收截止时间前，以书面形式送达指定地点。</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4.2谈判供应商的修改或撤回通知书，应按本文件规定进行编制、密封、标记和发送，并应在封套上加注“修改”和“撤回”字样。</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4.3谈判供应商在提交最后报价之前，可以根据谈判情况退出谈判，采购人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采购代理机构退还退出谈判的供应商的谈判保证金。</w:t>
      </w:r>
    </w:p>
    <w:p>
      <w:pPr>
        <w:spacing w:line="460" w:lineRule="exact"/>
        <w:ind w:firstLine="321"/>
        <w:outlineLvl w:val="2"/>
        <w:rPr>
          <w:rFonts w:hint="eastAsia" w:ascii="宋体" w:hAnsi="宋体" w:eastAsia="宋体" w:cs="宋体"/>
          <w:b/>
          <w:color w:val="000000" w:themeColor="text1"/>
          <w:sz w:val="32"/>
          <w:szCs w:val="32"/>
          <w14:textFill>
            <w14:solidFill>
              <w14:schemeClr w14:val="tx1"/>
            </w14:solidFill>
          </w14:textFill>
        </w:rPr>
      </w:pPr>
      <w:bookmarkStart w:id="66" w:name="_Toc120614217"/>
      <w:bookmarkStart w:id="67" w:name="_Toc16938540"/>
      <w:bookmarkStart w:id="68" w:name="_Toc513029224"/>
      <w:bookmarkStart w:id="69" w:name="_Toc20823296"/>
      <w:r>
        <w:rPr>
          <w:rFonts w:hint="eastAsia" w:ascii="宋体" w:hAnsi="宋体" w:eastAsia="宋体" w:cs="宋体"/>
          <w:b/>
          <w:color w:val="000000" w:themeColor="text1"/>
          <w:sz w:val="32"/>
          <w:szCs w:val="32"/>
          <w14:textFill>
            <w14:solidFill>
              <w14:schemeClr w14:val="tx1"/>
            </w14:solidFill>
          </w14:textFill>
        </w:rPr>
        <w:t>四、</w:t>
      </w:r>
      <w:bookmarkEnd w:id="66"/>
      <w:bookmarkEnd w:id="67"/>
      <w:bookmarkEnd w:id="68"/>
      <w:bookmarkEnd w:id="69"/>
      <w:r>
        <w:rPr>
          <w:rFonts w:hint="eastAsia" w:ascii="宋体" w:hAnsi="宋体" w:eastAsia="宋体" w:cs="宋体"/>
          <w:b/>
          <w:color w:val="000000" w:themeColor="text1"/>
          <w:sz w:val="32"/>
          <w:szCs w:val="32"/>
          <w14:textFill>
            <w14:solidFill>
              <w14:schemeClr w14:val="tx1"/>
            </w14:solidFill>
          </w14:textFill>
        </w:rPr>
        <w:t>谈判与评审</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bookmarkStart w:id="70" w:name="_Toc16938545"/>
      <w:bookmarkStart w:id="71" w:name="_Toc120614218"/>
      <w:bookmarkStart w:id="72" w:name="_Toc20823301"/>
      <w:bookmarkStart w:id="73" w:name="_Toc513029229"/>
      <w:r>
        <w:rPr>
          <w:rFonts w:hint="eastAsia" w:ascii="宋体" w:hAnsi="宋体" w:eastAsia="宋体" w:cs="宋体"/>
          <w:color w:val="000000" w:themeColor="text1"/>
          <w:sz w:val="24"/>
          <w:szCs w:val="24"/>
          <w14:textFill>
            <w14:solidFill>
              <w14:schemeClr w14:val="tx1"/>
            </w14:solidFill>
          </w14:textFill>
        </w:rPr>
        <w:t>1、谈判仪式</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1.1采购人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采购代理机构将在采购公告中规定的时间和地点组织谈判开始仪式，仪式由采购人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采购代理机构主持，供应商应委派携带有效证件的代表准时参加，参加仪式的代表需签名以证明其出席。</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2、谈判小组</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谈判开始仪式结束后，采购人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采购代理机构将立即组织谈判小组进行评审、谈判。</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 谈判小组由政府采购评审专家、采购人代表组成，且人员构成符合政府采购有关规定。</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2.3谈判小组应以科学、公正的态度参加评审、谈判工作并推荐成交候选人。评审专家在评审过程中不受任何干扰，独立、负责地提出评审意见，并对自己的评审意见承担责任。</w:t>
      </w:r>
    </w:p>
    <w:p>
      <w:pPr>
        <w:spacing w:line="460" w:lineRule="exact"/>
        <w:ind w:firstLine="3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2.4谈判小组将对供应商的商业、技术秘密予以保密。</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3、评审过程的保密与公正</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3.1谈判开始仪式结束后，直至签订合同之日止，凡是与审查、澄清、评价和比较谈判响应文件的有关资料以及推荐建议等，均不得向供应商或与评审无关的其他人员透露。</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3.2在评审过程中，如果供应商试图向采购人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采购代理机构和参与评审的人员施加任何影响，有可能对其响应文件按无效处理。</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4、评审过程的澄清、说明和更正</w:t>
      </w:r>
    </w:p>
    <w:p>
      <w:pPr>
        <w:tabs>
          <w:tab w:val="left" w:pos="900"/>
        </w:tabs>
        <w:spacing w:line="460" w:lineRule="exact"/>
        <w:ind w:firstLine="47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460" w:lineRule="exact"/>
        <w:ind w:firstLine="47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 接到谈判小组澄清要求的供应商如未按规定做出澄清，其风险由供应商自行承担。</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5、对响应文件的初审</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5.1响应文件初审分为资格性检查和符合性检查。</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资格性检查：依据法律法规和采购文件的规定，对响应文件中的资格证明文件、谈判保证金等进行审查，以确定供应商是否具备参加谈判的资格。</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小组在进行资格性审查的同时，将在“信用中国”网站（www.creditchina.gov.cn）对供应商是否被列入失信被执行人、重大税收违法案件当事人名单、政府采购严重失信行为记录名单情况进行查询，以确定供应商是否具备参加谈判的资格。查询结果将以网页打印的形式留存并归档。</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符合性检查：依据采购文件的规定，从响应文件的有效性、完整性和对采购文件的响应程度进行审查，以确定是否对采购文件的实质性要求作出响应。</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5.2在正式谈判之前，谈判小组将首先审查每份谈判响应文件是否实质性响应了采购文件的要求。实质性响应的谈判响应文件应该是与采购文件要求的全部条款、条件和规格相符，没有重大偏离或保留。</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响应文件本身的内容，而不寻求外部的证据。</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5.3被认定为未实质性和符合性响应谈判文件的响应文件的情形</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未按要求交纳谈判保证金的；</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未按照采购文件规定要求密封、签署、盖章的；</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供应商在报价时采用选择性报价；</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 供应商不符合采购文件中规定的合格谈判供应商资格要求的；</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 不符合法律、法规和采购文件中规定的其他实质性要求的；</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 其他法律、法规及本采购文件规定的属未实质性响应的响应文件的情形。</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5.4未实质性响应谈判文件的响应文件按无效响应处理，谈判小组将予以拒绝，供应商不得通过修改或撤销不合要求的偏离或保留而使其谈判响应文件成为实质性响应的文件。</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5.5同一项目（项目未分包）或同一分包（项目有不同分包），如出现同一品牌同一型号的产品有多个供应商参加谈判时，谈判中在其他条件合格的前提下，选取报价最低的供应商参加谈判报价，其他供应商作为无效谈判响应处理。</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6、谈判程序及成交原则</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6.1谈判程序</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 对于通过资格性和符合性审查的供应商，谈判小组所有成员将集中与单一供应商分别进行谈判。</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6.1.2谈判文件能够详细列明采购标的的技术、服务要求的，谈判结束后，谈判小组将要求所有实质性响应的供应商在规定时间内提交最后报价。</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最后报价是供应商响应文件的有效组成部分。符合《政府采购非招标采购方式管理暂行办法》第二十七条相关规定情形的，提交最后报价的供应商可以为2家。</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6.1.3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采购代理机构将退还退出谈判的供应商的谈判保证金。</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6.1.4 各供应商最后报价结束后,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成交原则</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6.2.1谈判小组将从质量和服务均能满足采购文件实质性响应要求的供应商中，按照最后报价由低到高顺序推荐成交候选人。</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6.2.2供应商的最后报价如相同，则优先采购 “环境标志产品”或“节能产品”；若均非“环境标志产品”、“节能产品”，则将优先采购交货期短者。</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环境标志产品是指列入财政部、环境保护部最新公布的《环境标志产品政府采购清单》内的产品；节能产品是指列入财政部、国家发改委最新公布的《节能产品政府采购清单》内的产品。</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6.3采购活动终止的情况</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出现下列情形之一的，本次竞争性谈判采购活动将被终止：</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（1）因情况变化，不再符合规定的竞争性谈判采购方式适用情形的；</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（2）出现影响采购公正的违法、违规行为的；</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（3）在采购过程中符合竞争要求的供应商或者报价未超过采购预算的供应商不足3家的。</w:t>
      </w:r>
    </w:p>
    <w:p>
      <w:pPr>
        <w:spacing w:line="460" w:lineRule="exact"/>
        <w:ind w:firstLine="48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（4）因重大变故，采购任务取消的。</w:t>
      </w:r>
    </w:p>
    <w:p>
      <w:pPr>
        <w:spacing w:line="460" w:lineRule="exact"/>
        <w:ind w:firstLine="321"/>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五、</w:t>
      </w:r>
      <w:bookmarkEnd w:id="70"/>
      <w:bookmarkEnd w:id="71"/>
      <w:bookmarkEnd w:id="72"/>
      <w:bookmarkEnd w:id="73"/>
      <w:r>
        <w:rPr>
          <w:rFonts w:hint="eastAsia" w:ascii="宋体" w:hAnsi="宋体" w:eastAsia="宋体" w:cs="宋体"/>
          <w:b/>
          <w:color w:val="000000" w:themeColor="text1"/>
          <w:sz w:val="32"/>
          <w:szCs w:val="32"/>
          <w14:textFill>
            <w14:solidFill>
              <w14:schemeClr w14:val="tx1"/>
            </w14:solidFill>
          </w14:textFill>
        </w:rPr>
        <w:t>成交</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bookmarkStart w:id="74" w:name="_Toc20823307"/>
      <w:bookmarkStart w:id="75" w:name="_Toc120614219"/>
      <w:bookmarkStart w:id="76" w:name="_Toc16938551"/>
      <w:bookmarkStart w:id="77" w:name="_Toc513029235"/>
      <w:r>
        <w:rPr>
          <w:rFonts w:hint="eastAsia" w:ascii="宋体" w:hAnsi="宋体" w:eastAsia="宋体" w:cs="宋体"/>
          <w:color w:val="000000" w:themeColor="text1"/>
          <w:sz w:val="24"/>
          <w:szCs w:val="24"/>
          <w14:textFill>
            <w14:solidFill>
              <w14:schemeClr w14:val="tx1"/>
            </w14:solidFill>
          </w14:textFill>
        </w:rPr>
        <w:t>1、确定成交单位</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1.1谈判小组根据本采购文件规定评审办法、原始谈判记录和谈判结果，编写评审报告，推荐成交候选人。</w:t>
      </w:r>
    </w:p>
    <w:p>
      <w:pPr>
        <w:tabs>
          <w:tab w:val="left" w:pos="900"/>
        </w:tabs>
        <w:spacing w:line="460" w:lineRule="exact"/>
        <w:ind w:firstLine="47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1.2采购人根据谈判小组推荐的成交候选人确定成交供应商。采购人确定成交供应商后，将在</w:t>
      </w:r>
      <w:r>
        <w:rPr>
          <w:rFonts w:hint="eastAsia" w:ascii="宋体" w:hAnsi="宋体" w:eastAsia="宋体" w:cs="宋体"/>
          <w:color w:val="000000" w:themeColor="text1"/>
          <w:sz w:val="24"/>
          <w:szCs w:val="24"/>
          <w:lang w:eastAsia="zh-CN"/>
          <w14:textFill>
            <w14:solidFill>
              <w14:schemeClr w14:val="tx1"/>
            </w14:solidFill>
          </w14:textFill>
        </w:rPr>
        <w:t>“盐城市政府采购网”和“盐城工业职业技术学院招标采购网”</w:t>
      </w:r>
      <w:r>
        <w:rPr>
          <w:rFonts w:hint="eastAsia" w:ascii="宋体" w:hAnsi="宋体" w:eastAsia="宋体" w:cs="宋体"/>
          <w:color w:val="000000" w:themeColor="text1"/>
          <w:sz w:val="24"/>
          <w:szCs w:val="24"/>
          <w14:textFill>
            <w14:solidFill>
              <w14:schemeClr w14:val="tx1"/>
            </w14:solidFill>
          </w14:textFill>
        </w:rPr>
        <w:t>发布成交结果公告，公告期限为1个工作日。</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1.3若有充分证据证明，成交供应商出现下列情况之一的，一经查实，将被取消成交资格：</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（1）提供虚假材料谋取成交的；</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（2）与评审专家、采购人、其他供应商或者采购</w:t>
      </w:r>
      <w:r>
        <w:rPr>
          <w:rFonts w:hint="eastAsia" w:ascii="宋体" w:hAnsi="宋体" w:eastAsia="宋体" w:cs="宋体"/>
          <w:color w:val="000000" w:themeColor="text1"/>
          <w:sz w:val="24"/>
          <w:szCs w:val="24"/>
          <w:lang w:eastAsia="zh-CN"/>
          <w14:textFill>
            <w14:solidFill>
              <w14:schemeClr w14:val="tx1"/>
            </w14:solidFill>
          </w14:textFill>
        </w:rPr>
        <w:t>代理机构</w:t>
      </w:r>
      <w:r>
        <w:rPr>
          <w:rFonts w:hint="eastAsia" w:ascii="宋体" w:hAnsi="宋体" w:eastAsia="宋体" w:cs="宋体"/>
          <w:color w:val="000000" w:themeColor="text1"/>
          <w:sz w:val="24"/>
          <w:szCs w:val="24"/>
          <w14:textFill>
            <w14:solidFill>
              <w14:schemeClr w14:val="tx1"/>
            </w14:solidFill>
          </w14:textFill>
        </w:rPr>
        <w:t>工作人员恶意串通的；</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（3）向评审专家、采购人或采购</w:t>
      </w:r>
      <w:r>
        <w:rPr>
          <w:rFonts w:hint="eastAsia" w:ascii="宋体" w:hAnsi="宋体" w:eastAsia="宋体" w:cs="宋体"/>
          <w:color w:val="000000" w:themeColor="text1"/>
          <w:sz w:val="24"/>
          <w:szCs w:val="24"/>
          <w:lang w:eastAsia="zh-CN"/>
          <w14:textFill>
            <w14:solidFill>
              <w14:schemeClr w14:val="tx1"/>
            </w14:solidFill>
          </w14:textFill>
        </w:rPr>
        <w:t>代理机构</w:t>
      </w:r>
      <w:r>
        <w:rPr>
          <w:rFonts w:hint="eastAsia" w:ascii="宋体" w:hAnsi="宋体" w:eastAsia="宋体" w:cs="宋体"/>
          <w:color w:val="000000" w:themeColor="text1"/>
          <w:sz w:val="24"/>
          <w:szCs w:val="24"/>
          <w14:textFill>
            <w14:solidFill>
              <w14:schemeClr w14:val="tx1"/>
            </w14:solidFill>
          </w14:textFill>
        </w:rPr>
        <w:t>工作人员行贿或者提供其他不正当利益的；</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（4）恶意竞争，最终总报价明显低于其自身合理成本且又无法提供证明的；</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（5）不满足本采购文件规定的实质性要求，但在评审过程中又未被谈判小组发现的；</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（6）成交后无正当理由拒不与采购人签订政府采购合同或者未按照采购文件确定的事项签订政府采购合同；</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（7）将政府采购合同转包；</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（8）法律、法规、规章规定的属于成交无效的其他情形。</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2、质疑处理</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2.1参加谈判供应商认为采购文件、采购过程和采购结果使自己的权益受到损害的，可以在知道或应知其权益受到损害之日起七个工作日内，以书面形式向采购人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采购代理机构提出质疑。上述应知其权益受到损害之日，是指：</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2.1.1对可以质疑的采购文件提出质疑的，为收到采购文件之日或者采购文件公告期限届满之日；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2.1.2对采购过程提出质疑的，为各采购程序环节结束之日；</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2.1.3对成交结果提出质疑的，为成交结果公告期限届满之日。</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2.2质疑必须按《政府采购法》、《政府采购法实施条例》及《江苏省政府采购供应商监督管理暂行办法》的相关规定提交，未按上述要求提交的质疑函（含传真、电子邮件等）采购人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采购代理机构有权不予受理。</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2.3未参加谈判采购活动的供应商或在谈判采购活动中自身权益未受到损害的供应商所提出的质疑不予受理。</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2.4质疑函应当包括下列内容：</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2.4.1质疑供应商的名称、地址、邮编、联系人、联系电话；</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2.4.2具体的质疑事项及明确的请求；</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2.4.3认为自己合法权益受到损害或可能受到损害的相关证据材料；</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2.4.4提起质疑的日期；</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采购代理机构将不予受理。质疑人委托代理质疑的，应当向采购人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采购代理机构提交授权委托书，并载明委托代理的具体权限和事项。</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采购代理机构收到质疑函后，将对质疑的形式和内容进行审查，如质疑函内容、格式不符合规定，采购人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采购代理机构将告知质疑人进行补正。</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2.6质疑人应当在法定质疑期限内进行补正并重新提交质疑函，拒不补正或者在法定期限内未重新提交质疑函的，为无效质疑，采购人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采购代理机构将不予受理。</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2.7对于内容、格式符合规定的质疑函，采购人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采购代理机构应当在收到参加谈判供应商的书面质疑后七个工作日内作出答复，但答复的内容不得涉及商业秘密。</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2.8供应商提出书面质疑必须有理、有据，不得恶意质疑或提交虚假质疑。否则，一经查实，采购人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采购代理机构有权依据政府采购的有关规定，报请政府采购监管部门对该供应商进行相应的行政处罚。</w:t>
      </w:r>
    </w:p>
    <w:p>
      <w:pPr>
        <w:spacing w:line="460" w:lineRule="exact"/>
        <w:ind w:firstLine="321"/>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六、</w:t>
      </w:r>
      <w:bookmarkEnd w:id="74"/>
      <w:bookmarkEnd w:id="75"/>
      <w:bookmarkEnd w:id="76"/>
      <w:bookmarkEnd w:id="77"/>
      <w:r>
        <w:rPr>
          <w:rFonts w:hint="eastAsia" w:ascii="宋体" w:hAnsi="宋体" w:eastAsia="宋体" w:cs="宋体"/>
          <w:b/>
          <w:color w:val="000000" w:themeColor="text1"/>
          <w:sz w:val="32"/>
          <w:szCs w:val="32"/>
          <w14:textFill>
            <w14:solidFill>
              <w14:schemeClr w14:val="tx1"/>
            </w14:solidFill>
          </w14:textFill>
        </w:rPr>
        <w:t>合同签订相关事项</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bookmarkStart w:id="78" w:name="_Toc120614220"/>
      <w:bookmarkStart w:id="79" w:name="_Toc513029236"/>
      <w:bookmarkStart w:id="80" w:name="_Toc20823308"/>
      <w:bookmarkStart w:id="81" w:name="_Toc16938552"/>
      <w:r>
        <w:rPr>
          <w:rFonts w:hint="eastAsia" w:ascii="宋体" w:hAnsi="宋体" w:eastAsia="宋体" w:cs="宋体"/>
          <w:color w:val="000000" w:themeColor="text1"/>
          <w:sz w:val="24"/>
          <w:szCs w:val="24"/>
          <w14:textFill>
            <w14:solidFill>
              <w14:schemeClr w14:val="tx1"/>
            </w14:solidFill>
          </w14:textFill>
        </w:rPr>
        <w:t>1、签订合同</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1.l成交供应商确定后，采购人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采购代理机构将向成交供应商发出成交通知书。成交供应商应按成交通知书规定的时间、地点,按照采购文件确定的事项与采购人签订政府采购合同，且不得迟于成交通知书发出之日起三十日内，否则谈判保证金将不予退还，由此给采购人造成损失的，成交供应商还应承担赔偿责任。</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 采购文件、成交供应商的谈判响应文件及谈判采购过程中有关澄清、承诺文件均应作为合同附件。</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2、履约保证金</w:t>
      </w:r>
    </w:p>
    <w:p>
      <w:pPr>
        <w:tabs>
          <w:tab w:val="left" w:pos="900"/>
        </w:tabs>
        <w:spacing w:line="460" w:lineRule="exact"/>
        <w:ind w:firstLine="47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在签订合同时，须向采购人交纳履约保证金（</w:t>
      </w:r>
      <w:r>
        <w:rPr>
          <w:rFonts w:hint="eastAsia" w:ascii="宋体" w:hAnsi="宋体" w:eastAsia="宋体" w:cs="宋体"/>
          <w:b/>
          <w:color w:val="000000" w:themeColor="text1"/>
          <w:sz w:val="24"/>
          <w:szCs w:val="24"/>
          <w14:textFill>
            <w14:solidFill>
              <w14:schemeClr w14:val="tx1"/>
            </w14:solidFill>
          </w14:textFill>
        </w:rPr>
        <w:t>本采购项目履约保证金为中标价的10%，中标后在签订合同前，成交供应商必须将履约保证金以转帐、电汇或银行汇票形式汇转至采购人指定帐户</w:t>
      </w:r>
      <w:r>
        <w:rPr>
          <w:rFonts w:hint="eastAsia" w:ascii="宋体" w:hAnsi="宋体" w:eastAsia="宋体" w:cs="宋体"/>
          <w:color w:val="000000" w:themeColor="text1"/>
          <w:sz w:val="24"/>
          <w:szCs w:val="24"/>
          <w14:textFill>
            <w14:solidFill>
              <w14:schemeClr w14:val="tx1"/>
            </w14:solidFill>
          </w14:textFill>
        </w:rPr>
        <w:t>）,于合同履行后无息退还。履约保证金用以约束成交供应商在合同履行中的行为，弥补合同执行中由于自身行为可能给采购人带来的各种损失。</w:t>
      </w:r>
    </w:p>
    <w:p>
      <w:pPr>
        <w:spacing w:line="460" w:lineRule="exact"/>
        <w:ind w:firstLine="320"/>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七、样品</w:t>
      </w:r>
    </w:p>
    <w:p>
      <w:pPr>
        <w:spacing w:line="460" w:lineRule="exact"/>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项目要求提供样品的，中标人的样品由采购人负责保管、封存，并作为履约验收的参考。未中标人的样品将及时退还。</w:t>
      </w:r>
    </w:p>
    <w:bookmarkEnd w:id="78"/>
    <w:bookmarkEnd w:id="79"/>
    <w:bookmarkEnd w:id="80"/>
    <w:bookmarkEnd w:id="81"/>
    <w:p>
      <w:pPr>
        <w:pStyle w:val="3"/>
        <w:tabs>
          <w:tab w:val="left" w:pos="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82" w:name="_Hlt16619350"/>
      <w:bookmarkStart w:id="83" w:name="_Toc120614244"/>
      <w:bookmarkStart w:id="84" w:name="_Toc20823346"/>
      <w:bookmarkStart w:id="85" w:name="_Toc16938590"/>
      <w:bookmarkStart w:id="86" w:name="_Toc462564139"/>
      <w:bookmarkStart w:id="87" w:name="_Toc479757211"/>
      <w:r>
        <w:rPr>
          <w:rFonts w:hint="eastAsia" w:ascii="宋体" w:hAnsi="宋体" w:eastAsia="宋体" w:cs="宋体"/>
          <w:color w:val="000000" w:themeColor="text1"/>
          <w14:textFill>
            <w14:solidFill>
              <w14:schemeClr w14:val="tx1"/>
            </w14:solidFill>
          </w14:textFill>
        </w:rPr>
        <w:t>第三章  合同条款及格式</w:t>
      </w:r>
    </w:p>
    <w:p>
      <w:pPr>
        <w:spacing w:line="500" w:lineRule="exact"/>
        <w:ind w:firstLine="480" w:firstLineChars="200"/>
        <w:rPr>
          <w:rFonts w:hint="eastAsia" w:ascii="宋体" w:hAnsi="宋体" w:eastAsia="宋体" w:cs="宋体"/>
          <w:bCs/>
          <w:color w:val="000000" w:themeColor="text1"/>
          <w:sz w:val="24"/>
          <w14:textFill>
            <w14:solidFill>
              <w14:schemeClr w14:val="tx1"/>
            </w14:solidFill>
          </w14:textFill>
        </w:rPr>
      </w:pPr>
      <w:bookmarkStart w:id="88" w:name="_Hlt16619369"/>
      <w:bookmarkEnd w:id="88"/>
      <w:r>
        <w:rPr>
          <w:rFonts w:hint="eastAsia" w:ascii="宋体" w:hAnsi="宋体" w:eastAsia="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pPr>
        <w:snapToGrid w:val="0"/>
        <w:spacing w:before="156" w:beforeLines="50" w:after="156" w:afterLines="50"/>
        <w:jc w:val="center"/>
        <w:outlineLvl w:val="0"/>
        <w:rPr>
          <w:rFonts w:hint="eastAsia" w:ascii="宋体" w:hAnsi="宋体" w:eastAsia="宋体" w:cs="宋体"/>
          <w:b/>
          <w:bCs/>
          <w:color w:val="000000" w:themeColor="text1"/>
          <w:sz w:val="30"/>
          <w:szCs w:val="20"/>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政府采购合同（格式）</w:t>
      </w:r>
    </w:p>
    <w:p>
      <w:pPr>
        <w:snapToGrid w:val="0"/>
        <w:spacing w:line="440" w:lineRule="exact"/>
        <w:ind w:firstLine="602" w:firstLineChars="200"/>
        <w:jc w:val="center"/>
        <w:outlineLvl w:val="0"/>
        <w:rPr>
          <w:rFonts w:hint="eastAsia" w:ascii="宋体" w:hAnsi="宋体" w:eastAsia="宋体" w:cs="宋体"/>
          <w:b/>
          <w:bCs/>
          <w:sz w:val="30"/>
          <w:szCs w:val="20"/>
        </w:rPr>
      </w:pPr>
      <w:r>
        <w:rPr>
          <w:rFonts w:hint="eastAsia" w:ascii="宋体" w:hAnsi="宋体" w:eastAsia="宋体" w:cs="宋体"/>
          <w:b/>
          <w:sz w:val="30"/>
        </w:rPr>
        <w:t>政府采购合同（货物格式）</w:t>
      </w:r>
    </w:p>
    <w:p>
      <w:pPr>
        <w:pStyle w:val="22"/>
        <w:snapToGrid w:val="0"/>
        <w:spacing w:line="44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u w:val="single"/>
          <w:lang w:eastAsia="zh-CN"/>
        </w:rPr>
        <w:t>盐城工业职业技术学院汽车工程学院2018-2019第二学期机械类实训耗材采购项目</w:t>
      </w:r>
    </w:p>
    <w:p>
      <w:pPr>
        <w:pStyle w:val="22"/>
        <w:snapToGrid w:val="0"/>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pPr>
        <w:pStyle w:val="22"/>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甲方：（买方）</w:t>
      </w:r>
      <w:r>
        <w:rPr>
          <w:rFonts w:hint="eastAsia" w:ascii="宋体" w:hAnsi="宋体" w:eastAsia="宋体" w:cs="宋体"/>
          <w:sz w:val="24"/>
          <w:szCs w:val="24"/>
          <w:u w:val="single"/>
        </w:rPr>
        <w:t>盐城工业职业技术学院</w:t>
      </w:r>
    </w:p>
    <w:p>
      <w:pPr>
        <w:pStyle w:val="22"/>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乙方：（卖方）</w:t>
      </w:r>
      <w:r>
        <w:rPr>
          <w:rFonts w:hint="eastAsia" w:ascii="宋体" w:hAnsi="宋体" w:eastAsia="宋体" w:cs="宋体"/>
          <w:sz w:val="24"/>
          <w:szCs w:val="24"/>
          <w:u w:val="single"/>
        </w:rPr>
        <w:t xml:space="preserve">                    </w:t>
      </w:r>
    </w:p>
    <w:p>
      <w:pPr>
        <w:spacing w:line="44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甲、乙双方根据</w:t>
      </w:r>
      <w:r>
        <w:rPr>
          <w:rFonts w:hint="eastAsia" w:ascii="宋体" w:hAnsi="宋体" w:eastAsia="宋体" w:cs="宋体"/>
          <w:sz w:val="24"/>
          <w:szCs w:val="24"/>
          <w:u w:val="single"/>
          <w:lang w:eastAsia="zh-CN"/>
        </w:rPr>
        <w:t>盐城工业职业技术学院汽车工程学院2018-2019第二学期机械类实训耗材采购项目</w:t>
      </w:r>
      <w:r>
        <w:rPr>
          <w:rFonts w:hint="eastAsia" w:ascii="宋体" w:hAnsi="宋体" w:eastAsia="宋体" w:cs="宋体"/>
          <w:sz w:val="24"/>
          <w:szCs w:val="24"/>
        </w:rPr>
        <w:t>公开招标的结果，签署本合同。</w:t>
      </w:r>
    </w:p>
    <w:p>
      <w:pPr>
        <w:pStyle w:val="22"/>
        <w:snapToGrid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一、货物内容</w:t>
      </w:r>
    </w:p>
    <w:p>
      <w:pPr>
        <w:pStyle w:val="22"/>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 货物名称：</w:t>
      </w:r>
      <w:r>
        <w:rPr>
          <w:rFonts w:hint="eastAsia" w:ascii="宋体" w:hAnsi="宋体" w:eastAsia="宋体" w:cs="宋体"/>
          <w:sz w:val="24"/>
          <w:szCs w:val="24"/>
          <w:u w:val="single"/>
          <w:lang w:eastAsia="zh-CN"/>
        </w:rPr>
        <w:t>汽车工程学院2018-2019第二学期机械类实训耗材采购</w:t>
      </w:r>
      <w:r>
        <w:rPr>
          <w:rFonts w:hint="eastAsia" w:ascii="宋体" w:hAnsi="宋体" w:eastAsia="宋体" w:cs="宋体"/>
          <w:sz w:val="24"/>
          <w:szCs w:val="24"/>
          <w:u w:val="single"/>
        </w:rPr>
        <w:t>项目</w:t>
      </w:r>
      <w:r>
        <w:rPr>
          <w:rFonts w:hint="eastAsia" w:ascii="宋体" w:hAnsi="宋体" w:eastAsia="宋体" w:cs="宋体"/>
          <w:sz w:val="24"/>
          <w:szCs w:val="24"/>
        </w:rPr>
        <w:t>。</w:t>
      </w:r>
    </w:p>
    <w:p>
      <w:pPr>
        <w:pStyle w:val="22"/>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 型号规格：</w:t>
      </w:r>
      <w:r>
        <w:rPr>
          <w:rFonts w:hint="eastAsia" w:ascii="宋体" w:hAnsi="宋体" w:eastAsia="宋体" w:cs="宋体"/>
          <w:sz w:val="24"/>
          <w:szCs w:val="24"/>
          <w:u w:val="single"/>
        </w:rPr>
        <w:t>详按项目需求</w:t>
      </w:r>
      <w:r>
        <w:rPr>
          <w:rFonts w:hint="eastAsia" w:ascii="宋体" w:hAnsi="宋体" w:eastAsia="宋体" w:cs="宋体"/>
          <w:sz w:val="24"/>
          <w:szCs w:val="24"/>
        </w:rPr>
        <w:t>。</w:t>
      </w:r>
    </w:p>
    <w:p>
      <w:pPr>
        <w:pStyle w:val="22"/>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 数量（单位）：</w:t>
      </w:r>
      <w:r>
        <w:rPr>
          <w:rFonts w:hint="eastAsia" w:ascii="宋体" w:hAnsi="宋体" w:eastAsia="宋体" w:cs="宋体"/>
          <w:sz w:val="24"/>
          <w:szCs w:val="24"/>
          <w:u w:val="single"/>
        </w:rPr>
        <w:t>详按项目需求</w:t>
      </w:r>
      <w:r>
        <w:rPr>
          <w:rFonts w:hint="eastAsia" w:ascii="宋体" w:hAnsi="宋体" w:eastAsia="宋体" w:cs="宋体"/>
          <w:sz w:val="24"/>
          <w:szCs w:val="24"/>
        </w:rPr>
        <w:t>。</w:t>
      </w:r>
    </w:p>
    <w:p>
      <w:pPr>
        <w:pStyle w:val="22"/>
        <w:snapToGrid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二、合同金额</w:t>
      </w:r>
    </w:p>
    <w:p>
      <w:pPr>
        <w:pStyle w:val="22"/>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 本合同金额为（大写）：________元（_______________元）人民币或其他币种。</w:t>
      </w:r>
    </w:p>
    <w:p>
      <w:pPr>
        <w:pStyle w:val="22"/>
        <w:snapToGrid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三、技术资料</w:t>
      </w:r>
    </w:p>
    <w:p>
      <w:pPr>
        <w:spacing w:line="440" w:lineRule="exact"/>
        <w:ind w:firstLine="480" w:firstLineChars="200"/>
        <w:rPr>
          <w:rFonts w:hint="eastAsia" w:ascii="宋体" w:hAnsi="宋体" w:eastAsia="宋体" w:cs="宋体"/>
          <w:bCs/>
          <w:sz w:val="24"/>
        </w:rPr>
      </w:pPr>
      <w:r>
        <w:rPr>
          <w:rFonts w:hint="eastAsia" w:ascii="宋体" w:hAnsi="宋体" w:eastAsia="宋体" w:cs="宋体"/>
          <w:bCs/>
          <w:sz w:val="24"/>
        </w:rPr>
        <w:t>3.1乙方应按招标文件规定的时间向甲方提供使用货物的有关技术资料。</w:t>
      </w:r>
    </w:p>
    <w:p>
      <w:pPr>
        <w:spacing w:line="440" w:lineRule="exact"/>
        <w:ind w:firstLine="480" w:firstLineChars="200"/>
        <w:rPr>
          <w:rFonts w:hint="eastAsia" w:ascii="宋体" w:hAnsi="宋体" w:eastAsia="宋体" w:cs="宋体"/>
          <w:bCs/>
          <w:sz w:val="24"/>
        </w:rPr>
      </w:pPr>
      <w:r>
        <w:rPr>
          <w:rFonts w:hint="eastAsia" w:ascii="宋体" w:hAnsi="宋体" w:eastAsia="宋体" w:cs="宋体"/>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2"/>
        <w:snapToGrid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四、知识产权</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szCs w:val="24"/>
        </w:rPr>
        <w:t>4.1乙</w:t>
      </w:r>
      <w:r>
        <w:rPr>
          <w:rFonts w:hint="eastAsia" w:ascii="宋体" w:hAnsi="宋体" w:eastAsia="宋体" w:cs="宋体"/>
          <w:sz w:val="24"/>
        </w:rPr>
        <w:t>方应保证甲方在使用、接受本合同货物和服务或其任何一部分时不受第三方提出侵犯其专利权、版权、商标权和工业设计权等知识产权的起诉。一旦出现侵权，由乙方负全部责任。</w:t>
      </w:r>
    </w:p>
    <w:p>
      <w:pPr>
        <w:pStyle w:val="22"/>
        <w:snapToGrid w:val="0"/>
        <w:spacing w:line="440" w:lineRule="exact"/>
        <w:ind w:firstLine="482" w:firstLineChars="200"/>
        <w:rPr>
          <w:rFonts w:hint="eastAsia" w:ascii="宋体" w:hAnsi="宋体" w:eastAsia="宋体" w:cs="宋体"/>
          <w:sz w:val="24"/>
          <w:szCs w:val="24"/>
          <w:u w:val="single"/>
        </w:rPr>
      </w:pPr>
      <w:r>
        <w:rPr>
          <w:rFonts w:hint="eastAsia" w:ascii="宋体" w:hAnsi="宋体" w:eastAsia="宋体" w:cs="宋体"/>
          <w:b/>
          <w:sz w:val="24"/>
          <w:szCs w:val="24"/>
        </w:rPr>
        <w:t>五、产权担保</w:t>
      </w:r>
    </w:p>
    <w:p>
      <w:pPr>
        <w:pStyle w:val="22"/>
        <w:snapToGrid w:val="0"/>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5.1 乙方保证所交付的货物的所有权完全属于乙方且无任何抵押、查封等产权瑕疵。</w:t>
      </w:r>
    </w:p>
    <w:p>
      <w:pPr>
        <w:pStyle w:val="22"/>
        <w:snapToGrid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六、履约保证金</w:t>
      </w:r>
    </w:p>
    <w:p>
      <w:pPr>
        <w:pStyle w:val="22"/>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6.1乙方交纳人民币_________元作为本合同的履约保证金（合同金额的5%）。</w:t>
      </w:r>
    </w:p>
    <w:p>
      <w:pPr>
        <w:snapToGrid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七、转包或分包</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7.1本合同范围的货物，应由乙方直接供应，不得转让他人供应；</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 除非得到甲方的书面同意，乙方不得部分分包给他人供应。</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7.3如有转让和未经甲方同意的分包行为，甲方有权给予终止合同。</w:t>
      </w:r>
    </w:p>
    <w:p>
      <w:pPr>
        <w:pStyle w:val="22"/>
        <w:snapToGrid w:val="0"/>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八、质保期</w:t>
      </w:r>
    </w:p>
    <w:p>
      <w:pPr>
        <w:pStyle w:val="22"/>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color w:val="FF0000"/>
          <w:sz w:val="24"/>
          <w:szCs w:val="24"/>
        </w:rPr>
        <w:t>8.1 质保期</w:t>
      </w:r>
      <w:r>
        <w:rPr>
          <w:rFonts w:hint="eastAsia" w:ascii="宋体" w:hAnsi="宋体" w:eastAsia="宋体" w:cs="宋体"/>
          <w:color w:val="FF0000"/>
          <w:sz w:val="24"/>
          <w:szCs w:val="24"/>
          <w:u w:val="single"/>
        </w:rPr>
        <w:t>不少于</w:t>
      </w:r>
      <w:r>
        <w:rPr>
          <w:rFonts w:hint="eastAsia" w:ascii="宋体" w:hAnsi="宋体" w:eastAsia="宋体" w:cs="宋体"/>
          <w:color w:val="FF0000"/>
          <w:sz w:val="24"/>
          <w:szCs w:val="24"/>
          <w:u w:val="single"/>
          <w:lang w:eastAsia="zh-CN"/>
        </w:rPr>
        <w:t>叁个月</w:t>
      </w:r>
      <w:r>
        <w:rPr>
          <w:rFonts w:hint="eastAsia" w:ascii="宋体" w:hAnsi="宋体" w:eastAsia="宋体" w:cs="宋体"/>
          <w:sz w:val="24"/>
          <w:szCs w:val="24"/>
        </w:rPr>
        <w:t>。（自交货验收合格之日起计）</w:t>
      </w:r>
    </w:p>
    <w:p>
      <w:pPr>
        <w:pStyle w:val="22"/>
        <w:snapToGrid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九、交货期、交货方式及交货地点</w:t>
      </w:r>
    </w:p>
    <w:p>
      <w:pPr>
        <w:pStyle w:val="22"/>
        <w:snapToGrid w:val="0"/>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9.1 交货期：</w:t>
      </w:r>
      <w:r>
        <w:rPr>
          <w:rFonts w:hint="eastAsia" w:ascii="宋体" w:hAnsi="宋体" w:eastAsia="宋体" w:cs="宋体"/>
          <w:color w:val="FF0000"/>
          <w:sz w:val="24"/>
          <w:szCs w:val="24"/>
          <w:u w:val="single"/>
          <w:lang w:val="en-US" w:eastAsia="zh-CN"/>
        </w:rPr>
        <w:t>15</w:t>
      </w:r>
      <w:r>
        <w:rPr>
          <w:rFonts w:hint="eastAsia" w:ascii="宋体" w:hAnsi="宋体" w:eastAsia="宋体" w:cs="宋体"/>
          <w:color w:val="FF0000"/>
          <w:sz w:val="24"/>
          <w:szCs w:val="24"/>
          <w:u w:val="single"/>
        </w:rPr>
        <w:t>日历天</w:t>
      </w:r>
    </w:p>
    <w:p>
      <w:pPr>
        <w:pStyle w:val="22"/>
        <w:snapToGrid w:val="0"/>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9.2 交货方式：</w:t>
      </w:r>
      <w:r>
        <w:rPr>
          <w:rFonts w:hint="eastAsia" w:ascii="宋体" w:hAnsi="宋体" w:eastAsia="宋体" w:cs="宋体"/>
          <w:sz w:val="24"/>
          <w:szCs w:val="24"/>
          <w:u w:val="single"/>
        </w:rPr>
        <w:t>送货上门</w:t>
      </w:r>
    </w:p>
    <w:p>
      <w:pPr>
        <w:pStyle w:val="22"/>
        <w:snapToGrid w:val="0"/>
        <w:spacing w:line="440" w:lineRule="exact"/>
        <w:ind w:firstLine="480" w:firstLineChars="200"/>
        <w:rPr>
          <w:rFonts w:hint="eastAsia" w:ascii="宋体" w:hAnsi="宋体" w:eastAsia="宋体" w:cs="宋体"/>
          <w:b/>
          <w:sz w:val="24"/>
          <w:szCs w:val="24"/>
        </w:rPr>
      </w:pPr>
      <w:r>
        <w:rPr>
          <w:rFonts w:hint="eastAsia" w:ascii="宋体" w:hAnsi="宋体" w:eastAsia="宋体" w:cs="宋体"/>
          <w:bCs/>
          <w:sz w:val="24"/>
          <w:szCs w:val="24"/>
        </w:rPr>
        <w:t>9.3 交货地点：</w:t>
      </w:r>
      <w:r>
        <w:rPr>
          <w:rFonts w:hint="eastAsia" w:ascii="宋体" w:hAnsi="宋体" w:eastAsia="宋体" w:cs="宋体"/>
          <w:sz w:val="24"/>
          <w:szCs w:val="24"/>
          <w:u w:val="single"/>
        </w:rPr>
        <w:t>甲方指定地点</w:t>
      </w:r>
    </w:p>
    <w:p>
      <w:pPr>
        <w:pStyle w:val="22"/>
        <w:snapToGrid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十、货款支付</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 付款方式：</w:t>
      </w:r>
      <w:r>
        <w:rPr>
          <w:rFonts w:hint="eastAsia" w:ascii="宋体" w:hAnsi="宋体" w:eastAsia="宋体" w:cs="宋体"/>
          <w:sz w:val="24"/>
          <w:szCs w:val="24"/>
          <w:u w:val="single"/>
        </w:rPr>
        <w:t>招标范围内容全部完成并经验收合格后付总价的9</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%；质保期满后根据售后服务情况付总价的5%。</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10.2当采购数量与实际使用数量不一致时，乙方应根据实际使用量供货，合同的最终结算金额按实际使用量乘以成交单价进行计算。</w:t>
      </w:r>
    </w:p>
    <w:p>
      <w:pPr>
        <w:snapToGrid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十一.税费</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11.1本合同执行中相关的一切税费均由乙方负担。</w:t>
      </w:r>
    </w:p>
    <w:p>
      <w:pPr>
        <w:pStyle w:val="22"/>
        <w:snapToGrid w:val="0"/>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十二、质量保证及售后服务</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 乙方应按招标文件规定的货物性能、技术要求、质量标准向甲方提供未经使用的全新产品。</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 乙方提供的货物在质量期内因货物本身的质量问题发生故障，乙方应负责免费更换。对达不到技术要求者，根据实际情况，经双方协商，可按以下办法处理：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⑴更换：由乙方承担所发生的全部费用。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⑵贬值处理：由甲乙双方合议定价。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⑶退货处理：乙方应退还甲方支付的合同款，同时应承担该货物的直接费用（运输、保险、检验、货款利息及银行手续费等）。</w:t>
      </w:r>
    </w:p>
    <w:p>
      <w:pPr>
        <w:spacing w:line="440" w:lineRule="exact"/>
        <w:ind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12.3 </w:t>
      </w:r>
      <w:r>
        <w:rPr>
          <w:rFonts w:hint="eastAsia" w:ascii="宋体" w:hAnsi="宋体" w:eastAsia="宋体" w:cs="宋体"/>
          <w:color w:val="FF0000"/>
          <w:sz w:val="24"/>
          <w:szCs w:val="24"/>
          <w:lang w:eastAsia="zh-CN"/>
        </w:rPr>
        <w:t>乙方必须保证所有</w:t>
      </w:r>
      <w:r>
        <w:rPr>
          <w:rFonts w:hint="eastAsia" w:ascii="宋体" w:hAnsi="宋体" w:eastAsia="宋体" w:cs="宋体"/>
          <w:bCs/>
          <w:color w:val="FF0000"/>
          <w:sz w:val="24"/>
          <w:szCs w:val="24"/>
        </w:rPr>
        <w:t>耗材</w:t>
      </w:r>
      <w:r>
        <w:rPr>
          <w:rFonts w:hint="eastAsia" w:ascii="宋体" w:hAnsi="宋体" w:eastAsia="宋体" w:cs="宋体"/>
          <w:bCs/>
          <w:color w:val="FF0000"/>
          <w:sz w:val="24"/>
          <w:szCs w:val="24"/>
          <w:lang w:eastAsia="zh-CN"/>
        </w:rPr>
        <w:t>均</w:t>
      </w:r>
      <w:r>
        <w:rPr>
          <w:rFonts w:hint="eastAsia" w:ascii="宋体" w:hAnsi="宋体" w:eastAsia="宋体" w:cs="宋体"/>
          <w:bCs/>
          <w:color w:val="FF0000"/>
          <w:sz w:val="24"/>
          <w:szCs w:val="24"/>
        </w:rPr>
        <w:t>为正品，否则按违约处理</w:t>
      </w:r>
      <w:r>
        <w:rPr>
          <w:rFonts w:hint="eastAsia" w:ascii="宋体" w:hAnsi="宋体" w:eastAsia="宋体" w:cs="宋体"/>
          <w:color w:val="FF0000"/>
          <w:sz w:val="24"/>
          <w:szCs w:val="24"/>
          <w:lang w:eastAsia="zh-CN"/>
        </w:rPr>
        <w:t>，甲方有权直接终止合同且不支付任何费用，由此给甲方造成的损失均由乙方承担，涉及到违法行为的将依法向有关部门移交</w:t>
      </w:r>
      <w:r>
        <w:rPr>
          <w:rFonts w:hint="eastAsia" w:ascii="宋体" w:hAnsi="宋体" w:eastAsia="宋体" w:cs="宋体"/>
          <w:color w:val="FF0000"/>
          <w:sz w:val="24"/>
          <w:szCs w:val="24"/>
        </w:rPr>
        <w:t>。</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12.4 在质保期内，乙方应对货物出现的质量及安全问题负责处理解决并承担一切费用。</w:t>
      </w:r>
    </w:p>
    <w:p>
      <w:pPr>
        <w:pStyle w:val="22"/>
        <w:snapToGrid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十三、调试和验收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13.2 乙方交货前应对产品作出全面检查和对验收文件进行整理，并列出清单，作为甲方收货验收和使用的技术条件依据，检验的结果应随货物交甲方。</w:t>
      </w:r>
    </w:p>
    <w:p>
      <w:pPr>
        <w:pStyle w:val="22"/>
        <w:snapToGrid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十四、货物包装、发运及运输</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 乙方应在货物发运前对其进行满足运输距离、防潮、防震、防锈和防破损装卸等要求包装，以保证货物安全运达甲方指定地点。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货物在交付甲方前发生的风险均由乙方负责。</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货物在规定的交付期限内由乙方送达甲方指定的地点视为交付，乙方同时需通知甲方货物已送达。</w:t>
      </w:r>
    </w:p>
    <w:p>
      <w:pPr>
        <w:pStyle w:val="22"/>
        <w:snapToGrid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十五、违约责任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15.1 甲方无正当理由拒收货物的，甲方向乙方偿付拒收货款总值的百分之五违约金。</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 甲方无故逾期验收和办理货款支付手续的,甲方应按逾期付款总额每日万分之五向乙方支付违约金。</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2"/>
        <w:snapToGrid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十六、不可抗力事件处理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16.1 在合同有效期内，任何一方因不可抗力事件导致不能履行合同，则合同履行期可延长，其延长期与不可抗力影响期相同。</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16.2 不可抗力事件发生后，应立即通知对方，并寄送有关权威机构出具的证明。</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 不可抗力事件延续120天以上，双方应通过友好协商，确定是否继续履行合同。</w:t>
      </w:r>
    </w:p>
    <w:p>
      <w:pPr>
        <w:pStyle w:val="22"/>
        <w:snapToGrid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十七、诉讼</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 双方在执行合同中所发生的一切争议，应通过协商解决。如协商不成，可向合同签订地法院起诉，合同签订地在此约定为盐城市。</w:t>
      </w:r>
    </w:p>
    <w:p>
      <w:pPr>
        <w:pStyle w:val="22"/>
        <w:snapToGrid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十八、合同生效及其它</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18.1 合同经双方法定代表人或授权委托代表人签字并加盖单位公章后生效。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18.2本合同未尽事宜，遵照《合同法》有关条文执行。</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 本合同正本一式二份，副本一式六份，具有同等法律效力。</w:t>
      </w:r>
    </w:p>
    <w:p>
      <w:pPr>
        <w:pStyle w:val="22"/>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甲方：                                   乙方： </w:t>
      </w:r>
    </w:p>
    <w:p>
      <w:pPr>
        <w:pStyle w:val="22"/>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地址：                                   地址： </w:t>
      </w:r>
    </w:p>
    <w:p>
      <w:pPr>
        <w:pStyle w:val="22"/>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法定代表人或授权代表：                   法定代表人或授权代表：</w:t>
      </w:r>
    </w:p>
    <w:p>
      <w:pPr>
        <w:pStyle w:val="22"/>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采购单位负责人：</w:t>
      </w:r>
    </w:p>
    <w:p>
      <w:pPr>
        <w:pStyle w:val="22"/>
        <w:snapToGrid w:val="0"/>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联系电话：                               联系电话：</w:t>
      </w:r>
    </w:p>
    <w:p>
      <w:pPr>
        <w:pStyle w:val="22"/>
        <w:snapToGrid w:val="0"/>
        <w:spacing w:line="440" w:lineRule="exact"/>
        <w:ind w:firstLine="480" w:firstLineChars="200"/>
        <w:rPr>
          <w:rFonts w:hint="eastAsia" w:ascii="宋体" w:hAnsi="宋体" w:eastAsia="宋体" w:cs="宋体"/>
          <w:sz w:val="24"/>
          <w:szCs w:val="24"/>
        </w:rPr>
      </w:pPr>
    </w:p>
    <w:p>
      <w:pPr>
        <w:pStyle w:val="22"/>
        <w:snapToGrid w:val="0"/>
        <w:spacing w:before="120" w:after="120"/>
        <w:rPr>
          <w:rFonts w:hint="eastAsia" w:ascii="宋体" w:hAnsi="宋体" w:eastAsia="宋体" w:cs="宋体"/>
          <w:sz w:val="24"/>
          <w:szCs w:val="24"/>
        </w:rPr>
      </w:pPr>
    </w:p>
    <w:p>
      <w:pPr>
        <w:pStyle w:val="22"/>
        <w:snapToGrid w:val="0"/>
        <w:spacing w:before="120" w:after="120"/>
        <w:rPr>
          <w:rFonts w:hint="eastAsia" w:ascii="宋体" w:hAnsi="宋体" w:eastAsia="宋体" w:cs="宋体"/>
          <w:sz w:val="24"/>
          <w:szCs w:val="24"/>
        </w:rPr>
      </w:pPr>
      <w:r>
        <w:rPr>
          <w:rFonts w:hint="eastAsia" w:ascii="宋体" w:hAnsi="宋体" w:eastAsia="宋体" w:cs="宋体"/>
        </w:rPr>
        <w:t xml:space="preserve">                                        </w:t>
      </w:r>
      <w:r>
        <w:rPr>
          <w:rFonts w:hint="eastAsia" w:ascii="宋体" w:hAnsi="宋体" w:eastAsia="宋体" w:cs="宋体"/>
          <w:sz w:val="24"/>
          <w:szCs w:val="24"/>
        </w:rPr>
        <w:t xml:space="preserve">  签订日期：      年  月  日</w:t>
      </w:r>
    </w:p>
    <w:p>
      <w:pPr>
        <w:overflowPunct w:val="0"/>
        <w:snapToGrid w:val="0"/>
        <w:spacing w:line="480" w:lineRule="exact"/>
        <w:ind w:firstLine="240"/>
        <w:jc w:val="center"/>
        <w:rPr>
          <w:rFonts w:hint="eastAsia" w:ascii="宋体" w:hAnsi="宋体" w:eastAsia="宋体" w:cs="宋体"/>
          <w:b/>
          <w:color w:val="000000" w:themeColor="text1"/>
          <w:sz w:val="32"/>
          <w:szCs w:val="32"/>
          <w14:textFill>
            <w14:solidFill>
              <w14:schemeClr w14:val="tx1"/>
            </w14:solidFill>
          </w14:textFill>
        </w:rPr>
      </w:pPr>
    </w:p>
    <w:p>
      <w:pPr>
        <w:overflowPunct w:val="0"/>
        <w:snapToGrid w:val="0"/>
        <w:spacing w:line="480" w:lineRule="exact"/>
        <w:ind w:firstLine="240"/>
        <w:jc w:val="center"/>
        <w:rPr>
          <w:rFonts w:hint="eastAsia" w:ascii="宋体" w:hAnsi="宋体" w:eastAsia="宋体" w:cs="宋体"/>
          <w:b/>
          <w:color w:val="000000" w:themeColor="text1"/>
          <w:sz w:val="32"/>
          <w:szCs w:val="32"/>
          <w14:textFill>
            <w14:solidFill>
              <w14:schemeClr w14:val="tx1"/>
            </w14:solidFill>
          </w14:textFill>
        </w:rPr>
      </w:pPr>
    </w:p>
    <w:p>
      <w:pPr>
        <w:overflowPunct w:val="0"/>
        <w:snapToGrid w:val="0"/>
        <w:spacing w:line="480" w:lineRule="exact"/>
        <w:rPr>
          <w:rFonts w:hint="eastAsia" w:ascii="宋体" w:hAnsi="宋体" w:eastAsia="宋体" w:cs="宋体"/>
          <w:b/>
          <w:color w:val="000000" w:themeColor="text1"/>
          <w:sz w:val="32"/>
          <w:szCs w:val="32"/>
          <w14:textFill>
            <w14:solidFill>
              <w14:schemeClr w14:val="tx1"/>
            </w14:solidFill>
          </w14:textFill>
        </w:rPr>
      </w:pPr>
    </w:p>
    <w:p>
      <w:pPr>
        <w:overflowPunct w:val="0"/>
        <w:snapToGrid w:val="0"/>
        <w:spacing w:line="480" w:lineRule="exact"/>
        <w:ind w:firstLine="240"/>
        <w:jc w:val="center"/>
        <w:rPr>
          <w:rFonts w:hint="eastAsia" w:ascii="宋体" w:hAnsi="宋体" w:eastAsia="宋体" w:cs="宋体"/>
          <w:b/>
          <w:color w:val="000000" w:themeColor="text1"/>
          <w:sz w:val="32"/>
          <w:szCs w:val="32"/>
          <w14:textFill>
            <w14:solidFill>
              <w14:schemeClr w14:val="tx1"/>
            </w14:solidFill>
          </w14:textFill>
        </w:rPr>
      </w:pPr>
    </w:p>
    <w:p>
      <w:pPr>
        <w:overflowPunct w:val="0"/>
        <w:snapToGrid w:val="0"/>
        <w:spacing w:line="480" w:lineRule="exact"/>
        <w:ind w:firstLine="240"/>
        <w:jc w:val="center"/>
        <w:rPr>
          <w:rFonts w:hint="eastAsia" w:ascii="宋体" w:hAnsi="宋体" w:eastAsia="宋体" w:cs="宋体"/>
          <w:b/>
          <w:color w:val="000000" w:themeColor="text1"/>
          <w:sz w:val="32"/>
          <w:szCs w:val="32"/>
          <w14:textFill>
            <w14:solidFill>
              <w14:schemeClr w14:val="tx1"/>
            </w14:solidFill>
          </w14:textFill>
        </w:rPr>
      </w:pPr>
    </w:p>
    <w:p>
      <w:pPr>
        <w:overflowPunct w:val="0"/>
        <w:snapToGrid w:val="0"/>
        <w:spacing w:line="480" w:lineRule="exact"/>
        <w:ind w:firstLine="240"/>
        <w:jc w:val="center"/>
        <w:rPr>
          <w:rFonts w:hint="eastAsia" w:ascii="宋体" w:hAnsi="宋体" w:eastAsia="宋体" w:cs="宋体"/>
          <w:b/>
          <w:color w:val="000000" w:themeColor="text1"/>
          <w:sz w:val="32"/>
          <w:szCs w:val="32"/>
          <w14:textFill>
            <w14:solidFill>
              <w14:schemeClr w14:val="tx1"/>
            </w14:solidFill>
          </w14:textFill>
        </w:rPr>
      </w:pPr>
    </w:p>
    <w:p>
      <w:pPr>
        <w:overflowPunct w:val="0"/>
        <w:snapToGrid w:val="0"/>
        <w:spacing w:line="480" w:lineRule="exact"/>
        <w:ind w:firstLine="240"/>
        <w:jc w:val="center"/>
        <w:rPr>
          <w:rFonts w:hint="eastAsia" w:ascii="宋体" w:hAnsi="宋体" w:eastAsia="宋体" w:cs="宋体"/>
          <w:b/>
          <w:color w:val="000000" w:themeColor="text1"/>
          <w:sz w:val="32"/>
          <w:szCs w:val="32"/>
          <w14:textFill>
            <w14:solidFill>
              <w14:schemeClr w14:val="tx1"/>
            </w14:solidFill>
          </w14:textFill>
        </w:rPr>
      </w:pPr>
    </w:p>
    <w:p>
      <w:pPr>
        <w:overflowPunct w:val="0"/>
        <w:snapToGrid w:val="0"/>
        <w:spacing w:line="480" w:lineRule="exact"/>
        <w:ind w:firstLine="240"/>
        <w:jc w:val="center"/>
        <w:rPr>
          <w:rFonts w:hint="eastAsia" w:ascii="宋体" w:hAnsi="宋体" w:eastAsia="宋体" w:cs="宋体"/>
          <w:b/>
          <w:color w:val="000000" w:themeColor="text1"/>
          <w:sz w:val="32"/>
          <w:szCs w:val="32"/>
          <w14:textFill>
            <w14:solidFill>
              <w14:schemeClr w14:val="tx1"/>
            </w14:solidFill>
          </w14:textFill>
        </w:rPr>
      </w:pPr>
    </w:p>
    <w:p>
      <w:pPr>
        <w:overflowPunct w:val="0"/>
        <w:snapToGrid w:val="0"/>
        <w:spacing w:line="480" w:lineRule="exact"/>
        <w:ind w:firstLine="240"/>
        <w:jc w:val="center"/>
        <w:rPr>
          <w:rFonts w:hint="eastAsia" w:ascii="宋体" w:hAnsi="宋体" w:eastAsia="宋体" w:cs="宋体"/>
          <w:b/>
          <w:color w:val="000000" w:themeColor="text1"/>
          <w:sz w:val="32"/>
          <w:szCs w:val="32"/>
          <w14:textFill>
            <w14:solidFill>
              <w14:schemeClr w14:val="tx1"/>
            </w14:solidFill>
          </w14:textFill>
        </w:rPr>
      </w:pPr>
    </w:p>
    <w:p>
      <w:pPr>
        <w:overflowPunct w:val="0"/>
        <w:snapToGrid w:val="0"/>
        <w:spacing w:line="480" w:lineRule="exact"/>
        <w:ind w:firstLine="240"/>
        <w:jc w:val="center"/>
        <w:rPr>
          <w:rFonts w:hint="eastAsia" w:ascii="宋体" w:hAnsi="宋体" w:eastAsia="宋体" w:cs="宋体"/>
          <w:b/>
          <w:color w:val="000000" w:themeColor="text1"/>
          <w:sz w:val="32"/>
          <w:szCs w:val="32"/>
          <w14:textFill>
            <w14:solidFill>
              <w14:schemeClr w14:val="tx1"/>
            </w14:solidFill>
          </w14:textFill>
        </w:rPr>
      </w:pPr>
    </w:p>
    <w:p>
      <w:pPr>
        <w:pStyle w:val="22"/>
        <w:snapToGrid w:val="0"/>
        <w:spacing w:before="120" w:after="120" w:line="400" w:lineRule="exact"/>
        <w:rPr>
          <w:rFonts w:hint="eastAsia" w:ascii="宋体" w:hAnsi="宋体" w:eastAsia="宋体" w:cs="宋体"/>
          <w:color w:val="000000" w:themeColor="text1"/>
          <w:sz w:val="40"/>
          <w:szCs w:val="40"/>
          <w14:textFill>
            <w14:solidFill>
              <w14:schemeClr w14:val="tx1"/>
            </w14:solidFill>
          </w14:textFill>
        </w:rPr>
      </w:pPr>
    </w:p>
    <w:p>
      <w:pPr>
        <w:pStyle w:val="22"/>
        <w:snapToGrid w:val="0"/>
        <w:spacing w:before="120" w:after="120" w:line="400" w:lineRule="exact"/>
        <w:jc w:val="center"/>
        <w:rPr>
          <w:rFonts w:hint="eastAsia" w:ascii="宋体" w:hAnsi="宋体" w:eastAsia="宋体" w:cs="宋体"/>
          <w:color w:val="000000" w:themeColor="text1"/>
          <w:sz w:val="40"/>
          <w:szCs w:val="40"/>
          <w14:textFill>
            <w14:solidFill>
              <w14:schemeClr w14:val="tx1"/>
            </w14:solidFill>
          </w14:textFill>
        </w:rPr>
      </w:pPr>
    </w:p>
    <w:p>
      <w:pPr>
        <w:rPr>
          <w:rFonts w:hint="eastAsia" w:ascii="宋体" w:hAnsi="宋体" w:eastAsia="宋体" w:cs="宋体"/>
          <w:color w:val="000000" w:themeColor="text1"/>
          <w:sz w:val="40"/>
          <w:szCs w:val="40"/>
          <w14:textFill>
            <w14:solidFill>
              <w14:schemeClr w14:val="tx1"/>
            </w14:solidFill>
          </w14:textFill>
        </w:rPr>
      </w:pPr>
      <w:r>
        <w:rPr>
          <w:rFonts w:hint="eastAsia" w:ascii="宋体" w:hAnsi="宋体" w:eastAsia="宋体" w:cs="宋体"/>
          <w:color w:val="000000" w:themeColor="text1"/>
          <w:sz w:val="40"/>
          <w:szCs w:val="40"/>
          <w14:textFill>
            <w14:solidFill>
              <w14:schemeClr w14:val="tx1"/>
            </w14:solidFill>
          </w14:textFill>
        </w:rPr>
        <w:br w:type="page"/>
      </w:r>
    </w:p>
    <w:p>
      <w:pPr>
        <w:pStyle w:val="22"/>
        <w:snapToGrid w:val="0"/>
        <w:spacing w:before="120" w:after="120" w:line="400" w:lineRule="exact"/>
        <w:jc w:val="center"/>
        <w:rPr>
          <w:rFonts w:hint="eastAsia" w:ascii="宋体" w:hAnsi="宋体" w:eastAsia="宋体" w:cs="宋体"/>
          <w:color w:val="000000" w:themeColor="text1"/>
          <w:sz w:val="40"/>
          <w:szCs w:val="40"/>
          <w14:textFill>
            <w14:solidFill>
              <w14:schemeClr w14:val="tx1"/>
            </w14:solidFill>
          </w14:textFill>
        </w:rPr>
      </w:pPr>
      <w:r>
        <w:rPr>
          <w:rFonts w:hint="eastAsia" w:ascii="宋体" w:hAnsi="宋体" w:eastAsia="宋体" w:cs="宋体"/>
          <w:color w:val="000000" w:themeColor="text1"/>
          <w:sz w:val="40"/>
          <w:szCs w:val="40"/>
          <w14:textFill>
            <w14:solidFill>
              <w14:schemeClr w14:val="tx1"/>
            </w14:solidFill>
          </w14:textFill>
        </w:rPr>
        <w:t>第</w:t>
      </w:r>
      <w:bookmarkEnd w:id="82"/>
      <w:r>
        <w:rPr>
          <w:rFonts w:hint="eastAsia" w:ascii="宋体" w:hAnsi="宋体" w:eastAsia="宋体" w:cs="宋体"/>
          <w:color w:val="000000" w:themeColor="text1"/>
          <w:sz w:val="40"/>
          <w:szCs w:val="40"/>
          <w14:textFill>
            <w14:solidFill>
              <w14:schemeClr w14:val="tx1"/>
            </w14:solidFill>
          </w14:textFill>
        </w:rPr>
        <w:t>四章 项目需求</w:t>
      </w:r>
      <w:bookmarkEnd w:id="83"/>
      <w:bookmarkEnd w:id="84"/>
      <w:bookmarkEnd w:id="85"/>
      <w:bookmarkStart w:id="89" w:name="_Toc26554093"/>
      <w:bookmarkStart w:id="90" w:name="_Toc49090575"/>
    </w:p>
    <w:p>
      <w:pPr>
        <w:ind w:firstLine="480" w:firstLineChars="200"/>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eastAsia="zh-CN"/>
        </w:rPr>
        <w:t>一、招标范围：本项目主要为盐城工业职业技术学院汽车工程学院2018-2019第二学期机械类实训耗材的采购、生产制造、供应、运输、验收交付、售前、售后等伴随服务工作，具体内容及要求详见项目需求，招标人保留适当变更的权利。</w:t>
      </w:r>
    </w:p>
    <w:p>
      <w:pPr>
        <w:ind w:firstLine="480" w:firstLineChars="200"/>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eastAsia="zh-CN"/>
        </w:rPr>
        <w:t>二、投标报价统一采用人民币作为计量单位，并且精确到元、角、分(精确到小数点后二位数)。</w:t>
      </w:r>
    </w:p>
    <w:p>
      <w:pPr>
        <w:ind w:firstLine="480" w:firstLineChars="200"/>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eastAsia="zh-CN"/>
        </w:rPr>
        <w:t>投标报价包括了交付使用前的全部费用，包括但不限于耗材费（包括所有制造采购成本、附件、配件、备品备件及专用工具费等）、运输费、保险费、装卸费、质保期内的货物调换费、人工费、材料费、机械费、管理费、利润、税金、规费、措施费、其他费用（如包装费、仓储费、保管费、资料费以及完成本项目所需要的其他费用）等一切费用。</w:t>
      </w:r>
    </w:p>
    <w:p>
      <w:pPr>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eastAsia="zh-CN"/>
        </w:rPr>
        <w:t>三、技术要求采购清单</w:t>
      </w:r>
    </w:p>
    <w:tbl>
      <w:tblPr>
        <w:tblStyle w:val="45"/>
        <w:tblW w:w="83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006"/>
        <w:gridCol w:w="3812"/>
        <w:gridCol w:w="114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序号</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产品名称</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技术参数（规格）</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单位</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1</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90度车刀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4*4*20</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个</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2</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切槽刀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4*4*200</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个</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3</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角磨机</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锐奇9917B</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个</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4</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六角扳手</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世达09101</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套</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5</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卷尺</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5米</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把</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6</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京选螺丝刀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一字</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个</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7</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京选螺丝刀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十字</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个</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8</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世达活扳手</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世达12寸</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个</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9</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呆扳手</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18</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个</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10</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京选工业剪刀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京选电工剪刀8寸</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个</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11</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三角螺纹刀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4*4*200</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个</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12</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充电手枪钻</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锐奇6012</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个</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13</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游标卡尺</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成量150</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把</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14</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带表卡尺</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成亮200</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把</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15</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半圆锉刀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6寸</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个</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16</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切槽刀刀片</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NG NN-400</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盒</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17</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尖刀刀片</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京瓷0404</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盒</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18</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尖刀刀片</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京瓷0408</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盒</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19</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铣刀刀片</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1604 m02</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盒</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20</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铣刀圆刀片</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RPMT10T3NO</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盒</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21</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硬质合金铣刀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直径2</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把</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22</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硬质合金铣刀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直径4</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把</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23</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硬质合金铣刀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直径6</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把</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24</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硬质合金铣刀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直径8</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把</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25</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硬质合金铣刀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直径10</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把</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26</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硬质合金铣刀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直径12</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把</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27</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硬质合金</w:t>
            </w:r>
            <w:r>
              <w:rPr>
                <w:rFonts w:hint="eastAsia" w:ascii="宋体" w:hAnsi="宋体" w:eastAsia="宋体" w:cs="宋体"/>
                <w:color w:val="FF0000"/>
                <w:szCs w:val="22"/>
              </w:rPr>
              <w:br w:type="textWrapping"/>
            </w:r>
            <w:r>
              <w:rPr>
                <w:rFonts w:hint="eastAsia" w:ascii="宋体" w:hAnsi="宋体" w:eastAsia="宋体" w:cs="宋体"/>
                <w:color w:val="FF0000"/>
                <w:szCs w:val="22"/>
              </w:rPr>
              <w:t>球头铣刀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直径2</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把</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28</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硬质合金</w:t>
            </w:r>
            <w:r>
              <w:rPr>
                <w:rFonts w:hint="eastAsia" w:ascii="宋体" w:hAnsi="宋体" w:eastAsia="宋体" w:cs="宋体"/>
                <w:color w:val="FF0000"/>
                <w:szCs w:val="22"/>
              </w:rPr>
              <w:br w:type="textWrapping"/>
            </w:r>
            <w:r>
              <w:rPr>
                <w:rFonts w:hint="eastAsia" w:ascii="宋体" w:hAnsi="宋体" w:eastAsia="宋体" w:cs="宋体"/>
                <w:color w:val="FF0000"/>
                <w:szCs w:val="22"/>
              </w:rPr>
              <w:t>球头铣刀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直径4</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把</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29</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硬质合金</w:t>
            </w:r>
            <w:r>
              <w:rPr>
                <w:rFonts w:hint="eastAsia" w:ascii="宋体" w:hAnsi="宋体" w:eastAsia="宋体" w:cs="宋体"/>
                <w:color w:val="FF0000"/>
                <w:szCs w:val="22"/>
              </w:rPr>
              <w:br w:type="textWrapping"/>
            </w:r>
            <w:r>
              <w:rPr>
                <w:rFonts w:hint="eastAsia" w:ascii="宋体" w:hAnsi="宋体" w:eastAsia="宋体" w:cs="宋体"/>
                <w:color w:val="FF0000"/>
                <w:szCs w:val="22"/>
              </w:rPr>
              <w:t>球头铣刀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直径6</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把</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30</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液压油</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32号</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桶</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31</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切削液</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1535乳化油</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桶</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32</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垫刀片</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0.1-2.0</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盒</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33</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工业防护眼镜</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个</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34</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刀片（WNMG080404）</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京瓷</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盒</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35</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刀片（WNMG080408）</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三菱</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盒</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36</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切割片</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NG NN-400</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盒</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37</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手套</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打</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38</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砂纸</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AA-600  AA-320</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张</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39</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砂纸</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AA-600  AA-321</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张</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40</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钻头</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6</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根</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41</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钻头</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7.8</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根</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42</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钻头</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10</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根</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43</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钻头</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12</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根</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44</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钳工材料</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8*85钢板</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公斤</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45</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3M强力胶水</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胶水CA40H</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盒</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46</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美工刀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个</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47</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美工刀片</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盒</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48</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卡簧钳</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6</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套</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49</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工具箱</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GP330</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个</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50</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大力钳</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10</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个</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51</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铰刀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直径4</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根</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52</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铰刀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直径6</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根</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53</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铰刀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直径8</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根</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5"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54</w:t>
            </w:r>
          </w:p>
        </w:tc>
        <w:tc>
          <w:tcPr>
            <w:tcW w:w="2006"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铰刀</w:t>
            </w:r>
          </w:p>
        </w:tc>
        <w:tc>
          <w:tcPr>
            <w:tcW w:w="3812" w:type="dxa"/>
            <w:noWrap w:val="0"/>
            <w:vAlign w:val="center"/>
          </w:tcPr>
          <w:p>
            <w:pPr>
              <w:spacing w:line="360" w:lineRule="auto"/>
              <w:rPr>
                <w:rFonts w:hint="eastAsia" w:ascii="宋体" w:hAnsi="宋体" w:eastAsia="宋体" w:cs="宋体"/>
                <w:color w:val="FF0000"/>
                <w:szCs w:val="22"/>
              </w:rPr>
            </w:pPr>
            <w:r>
              <w:rPr>
                <w:rFonts w:hint="eastAsia" w:ascii="宋体" w:hAnsi="宋体" w:eastAsia="宋体" w:cs="宋体"/>
                <w:color w:val="FF0000"/>
                <w:szCs w:val="22"/>
              </w:rPr>
              <w:t>直径10</w:t>
            </w:r>
          </w:p>
        </w:tc>
        <w:tc>
          <w:tcPr>
            <w:tcW w:w="114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根</w:t>
            </w:r>
          </w:p>
        </w:tc>
        <w:tc>
          <w:tcPr>
            <w:tcW w:w="709" w:type="dxa"/>
            <w:noWrap w:val="0"/>
            <w:vAlign w:val="center"/>
          </w:tcPr>
          <w:p>
            <w:pPr>
              <w:spacing w:line="360" w:lineRule="auto"/>
              <w:jc w:val="center"/>
              <w:rPr>
                <w:rFonts w:hint="eastAsia" w:ascii="宋体" w:hAnsi="宋体" w:eastAsia="宋体" w:cs="宋体"/>
                <w:color w:val="FF0000"/>
                <w:szCs w:val="22"/>
              </w:rPr>
            </w:pPr>
            <w:r>
              <w:rPr>
                <w:rFonts w:hint="eastAsia" w:ascii="宋体" w:hAnsi="宋体" w:eastAsia="宋体" w:cs="宋体"/>
                <w:color w:val="FF0000"/>
                <w:szCs w:val="22"/>
              </w:rPr>
              <w:t>20</w:t>
            </w:r>
          </w:p>
        </w:tc>
      </w:tr>
    </w:tbl>
    <w:p>
      <w:pPr>
        <w:spacing w:line="360" w:lineRule="auto"/>
        <w:rPr>
          <w:rFonts w:hint="eastAsia" w:ascii="宋体" w:hAnsi="宋体" w:eastAsia="宋体" w:cs="宋体"/>
          <w:szCs w:val="22"/>
        </w:rPr>
      </w:pPr>
    </w:p>
    <w:p>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说明：</w:t>
      </w:r>
    </w:p>
    <w:p>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1.供货日期为自中标通知书发出之日起15日历天；</w:t>
      </w:r>
    </w:p>
    <w:p>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2.以上耗材要求为正品，否则按违约处理。</w:t>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3"/>
        <w:spacing w:before="260" w:after="260" w:line="415"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第五章  谈判响应文件的组成和格式</w:t>
      </w:r>
    </w:p>
    <w:p>
      <w:pPr>
        <w:jc w:val="center"/>
        <w:rPr>
          <w:rFonts w:hint="eastAsia" w:ascii="宋体" w:hAnsi="宋体" w:eastAsia="宋体" w:cs="宋体"/>
          <w:b/>
          <w:color w:val="000000" w:themeColor="text1"/>
          <w:sz w:val="72"/>
          <w:szCs w:val="72"/>
          <w14:textFill>
            <w14:solidFill>
              <w14:schemeClr w14:val="tx1"/>
            </w14:solidFill>
          </w14:textFill>
        </w:rPr>
      </w:pPr>
    </w:p>
    <w:p>
      <w:pPr>
        <w:jc w:val="center"/>
        <w:rPr>
          <w:rFonts w:hint="eastAsia" w:ascii="宋体" w:hAnsi="宋体" w:eastAsia="宋体" w:cs="宋体"/>
          <w:b/>
          <w:color w:val="000000" w:themeColor="text1"/>
          <w:sz w:val="72"/>
          <w:szCs w:val="72"/>
          <w14:textFill>
            <w14:solidFill>
              <w14:schemeClr w14:val="tx1"/>
            </w14:solidFill>
          </w14:textFill>
        </w:rPr>
      </w:pPr>
      <w:r>
        <w:rPr>
          <w:rFonts w:hint="eastAsia" w:ascii="宋体" w:hAnsi="宋体" w:eastAsia="宋体" w:cs="宋体"/>
          <w:b/>
          <w:color w:val="000000" w:themeColor="text1"/>
          <w:sz w:val="72"/>
          <w:szCs w:val="72"/>
          <w14:textFill>
            <w14:solidFill>
              <w14:schemeClr w14:val="tx1"/>
            </w14:solidFill>
          </w14:textFill>
        </w:rPr>
        <w:t>竞争性谈判响应文件</w:t>
      </w:r>
    </w:p>
    <w:p>
      <w:pPr>
        <w:pStyle w:val="150"/>
        <w:spacing w:before="120" w:after="120" w:line="360" w:lineRule="auto"/>
        <w:ind w:firstLine="0"/>
        <w:jc w:val="center"/>
        <w:rPr>
          <w:rFonts w:hint="eastAsia" w:ascii="宋体" w:hAnsi="宋体" w:eastAsia="宋体" w:cs="宋体"/>
          <w:b/>
          <w:color w:val="000000" w:themeColor="text1"/>
          <w:sz w:val="32"/>
          <w:szCs w:val="32"/>
          <w14:textFill>
            <w14:solidFill>
              <w14:schemeClr w14:val="tx1"/>
            </w14:solidFill>
          </w14:textFill>
        </w:rPr>
      </w:pPr>
    </w:p>
    <w:p>
      <w:pPr>
        <w:ind w:firstLine="1084"/>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（正或副本）</w:t>
      </w:r>
    </w:p>
    <w:p>
      <w:pPr>
        <w:ind w:firstLine="1084"/>
        <w:rPr>
          <w:rFonts w:hint="eastAsia" w:ascii="宋体" w:hAnsi="宋体" w:eastAsia="宋体" w:cs="宋体"/>
          <w:b/>
          <w:color w:val="000000" w:themeColor="text1"/>
          <w:sz w:val="36"/>
          <w:szCs w:val="36"/>
          <w14:textFill>
            <w14:solidFill>
              <w14:schemeClr w14:val="tx1"/>
            </w14:solidFill>
          </w14:textFill>
        </w:rPr>
      </w:pPr>
    </w:p>
    <w:p>
      <w:pPr>
        <w:ind w:firstLine="1084"/>
        <w:rPr>
          <w:rFonts w:hint="eastAsia" w:ascii="宋体" w:hAnsi="宋体" w:eastAsia="宋体" w:cs="宋体"/>
          <w:b/>
          <w:color w:val="000000" w:themeColor="text1"/>
          <w:sz w:val="36"/>
          <w:szCs w:val="36"/>
          <w14:textFill>
            <w14:solidFill>
              <w14:schemeClr w14:val="tx1"/>
            </w14:solidFill>
          </w14:textFill>
        </w:rPr>
      </w:pPr>
    </w:p>
    <w:p>
      <w:pPr>
        <w:ind w:firstLine="1084"/>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项 目 名 称：</w:t>
      </w:r>
    </w:p>
    <w:p>
      <w:pPr>
        <w:ind w:firstLine="1084"/>
        <w:rPr>
          <w:rFonts w:hint="eastAsia" w:ascii="宋体" w:hAnsi="宋体" w:eastAsia="宋体" w:cs="宋体"/>
          <w:b/>
          <w:color w:val="000000" w:themeColor="text1"/>
          <w:sz w:val="36"/>
          <w:szCs w:val="36"/>
          <w:u w:val="single"/>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项 目 编 号：</w:t>
      </w:r>
    </w:p>
    <w:p>
      <w:pPr>
        <w:ind w:firstLine="1084"/>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谈判供应商名称：               </w:t>
      </w:r>
    </w:p>
    <w:p>
      <w:pP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日       期：</w:t>
      </w:r>
    </w:p>
    <w:p>
      <w:pPr>
        <w:pStyle w:val="150"/>
        <w:spacing w:line="360" w:lineRule="auto"/>
        <w:ind w:firstLine="0"/>
        <w:jc w:val="left"/>
        <w:rPr>
          <w:rFonts w:hint="eastAsia" w:ascii="宋体" w:hAnsi="宋体" w:eastAsia="宋体" w:cs="宋体"/>
          <w:color w:val="000000" w:themeColor="text1"/>
          <w14:textFill>
            <w14:solidFill>
              <w14:schemeClr w14:val="tx1"/>
            </w14:solidFill>
          </w14:textFill>
        </w:rPr>
      </w:pPr>
    </w:p>
    <w:p>
      <w:pPr>
        <w:pStyle w:val="150"/>
        <w:spacing w:line="360" w:lineRule="auto"/>
        <w:ind w:firstLine="0"/>
        <w:jc w:val="left"/>
        <w:rPr>
          <w:rFonts w:hint="eastAsia" w:ascii="宋体" w:hAnsi="宋体" w:eastAsia="宋体" w:cs="宋体"/>
          <w:color w:val="000000" w:themeColor="text1"/>
          <w14:textFill>
            <w14:solidFill>
              <w14:schemeClr w14:val="tx1"/>
            </w14:solidFill>
          </w14:textFill>
        </w:rPr>
      </w:pPr>
    </w:p>
    <w:p>
      <w:pPr>
        <w:pStyle w:val="150"/>
        <w:spacing w:line="360" w:lineRule="auto"/>
        <w:ind w:firstLine="0"/>
        <w:jc w:val="left"/>
        <w:rPr>
          <w:rFonts w:hint="eastAsia" w:ascii="宋体" w:hAnsi="宋体" w:eastAsia="宋体" w:cs="宋体"/>
          <w:color w:val="000000" w:themeColor="text1"/>
          <w14:textFill>
            <w14:solidFill>
              <w14:schemeClr w14:val="tx1"/>
            </w14:solidFill>
          </w14:textFill>
        </w:rPr>
      </w:pPr>
    </w:p>
    <w:p>
      <w:pPr>
        <w:pStyle w:val="150"/>
        <w:spacing w:line="360" w:lineRule="auto"/>
        <w:ind w:firstLine="0"/>
        <w:jc w:val="left"/>
        <w:rPr>
          <w:rFonts w:hint="eastAsia" w:ascii="宋体" w:hAnsi="宋体" w:eastAsia="宋体" w:cs="宋体"/>
          <w:color w:val="000000" w:themeColor="text1"/>
          <w14:textFill>
            <w14:solidFill>
              <w14:schemeClr w14:val="tx1"/>
            </w14:solidFill>
          </w14:textFill>
        </w:rPr>
      </w:pPr>
    </w:p>
    <w:p>
      <w:pPr>
        <w:pStyle w:val="150"/>
        <w:spacing w:line="360" w:lineRule="auto"/>
        <w:ind w:firstLine="0"/>
        <w:jc w:val="left"/>
        <w:rPr>
          <w:rFonts w:hint="eastAsia" w:ascii="宋体" w:hAnsi="宋体" w:eastAsia="宋体" w:cs="宋体"/>
          <w:color w:val="000000" w:themeColor="text1"/>
          <w14:textFill>
            <w14:solidFill>
              <w14:schemeClr w14:val="tx1"/>
            </w14:solidFill>
          </w14:textFill>
        </w:rPr>
      </w:pPr>
    </w:p>
    <w:p>
      <w:pPr>
        <w:spacing w:line="44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4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4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4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4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40" w:lineRule="exact"/>
        <w:rPr>
          <w:rFonts w:hint="eastAsia" w:ascii="宋体" w:hAnsi="宋体" w:eastAsia="宋体" w:cs="宋体"/>
          <w:b/>
          <w:color w:val="000000" w:themeColor="text1"/>
          <w:sz w:val="28"/>
          <w:szCs w:val="28"/>
          <w14:textFill>
            <w14:solidFill>
              <w14:schemeClr w14:val="tx1"/>
            </w14:solidFill>
          </w14:textFill>
        </w:rPr>
      </w:pPr>
    </w:p>
    <w:p>
      <w:pPr>
        <w:spacing w:line="44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44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响应文件主要目录</w:t>
      </w:r>
    </w:p>
    <w:p>
      <w:pPr>
        <w:spacing w:line="560" w:lineRule="exact"/>
        <w:jc w:val="center"/>
        <w:rPr>
          <w:rFonts w:hint="eastAsia" w:ascii="宋体" w:hAnsi="宋体" w:eastAsia="宋体" w:cs="宋体"/>
          <w:b/>
          <w:color w:val="000000" w:themeColor="text1"/>
          <w:sz w:val="24"/>
          <w:szCs w:val="24"/>
          <w14:textFill>
            <w14:solidFill>
              <w14:schemeClr w14:val="tx1"/>
            </w14:solidFill>
          </w14:textFill>
        </w:rPr>
      </w:pPr>
    </w:p>
    <w:p>
      <w:pPr>
        <w:wordWrap w:val="0"/>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一、资格性审查响应对照表</w:t>
      </w:r>
    </w:p>
    <w:p>
      <w:pPr>
        <w:wordWrap w:val="0"/>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、资信证明文件</w:t>
      </w:r>
    </w:p>
    <w:p>
      <w:pPr>
        <w:wordWrap w:val="0"/>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谈判响应函</w:t>
      </w:r>
    </w:p>
    <w:p>
      <w:pPr>
        <w:wordWrap w:val="0"/>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开标一览表</w:t>
      </w:r>
    </w:p>
    <w:p>
      <w:pPr>
        <w:wordWrap w:val="0"/>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五、</w:t>
      </w:r>
      <w:r>
        <w:rPr>
          <w:rFonts w:hint="eastAsia" w:ascii="宋体" w:hAnsi="宋体" w:eastAsia="宋体" w:cs="宋体"/>
          <w:color w:val="000000" w:themeColor="text1"/>
          <w:sz w:val="24"/>
          <w14:textFill>
            <w14:solidFill>
              <w14:schemeClr w14:val="tx1"/>
            </w14:solidFill>
          </w14:textFill>
        </w:rPr>
        <w:t>投标配置与分项报价表</w:t>
      </w:r>
    </w:p>
    <w:p>
      <w:pPr>
        <w:wordWrap w:val="0"/>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商务条款响应及偏离表</w:t>
      </w:r>
    </w:p>
    <w:p>
      <w:pPr>
        <w:wordWrap w:val="0"/>
        <w:ind w:firstLine="480"/>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七</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文件中规定要求提供的材料或谈判供应商认为需要提供的其他材料</w:t>
      </w:r>
    </w:p>
    <w:p>
      <w:pPr>
        <w:ind w:firstLine="480"/>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b/>
          <w:color w:val="000000" w:themeColor="text1"/>
          <w:sz w:val="32"/>
          <w:szCs w:val="32"/>
          <w14:textFill>
            <w14:solidFill>
              <w14:schemeClr w14:val="tx1"/>
            </w14:solidFill>
          </w14:textFill>
        </w:rPr>
      </w:pPr>
    </w:p>
    <w:p>
      <w:pPr>
        <w:snapToGrid w:val="0"/>
        <w:spacing w:before="50" w:after="50" w:line="276" w:lineRule="auto"/>
        <w:jc w:val="center"/>
        <w:rPr>
          <w:rFonts w:hint="eastAsia" w:ascii="宋体" w:hAnsi="宋体" w:eastAsia="宋体" w:cs="宋体"/>
          <w:color w:val="000000" w:themeColor="text1"/>
          <w:sz w:val="32"/>
          <w:szCs w:val="32"/>
          <w14:textFill>
            <w14:solidFill>
              <w14:schemeClr w14:val="tx1"/>
            </w14:solidFill>
          </w14:textFill>
        </w:rPr>
      </w:pPr>
    </w:p>
    <w:p>
      <w:pPr>
        <w:snapToGrid w:val="0"/>
        <w:spacing w:before="50" w:after="50" w:line="276" w:lineRule="auto"/>
        <w:jc w:val="center"/>
        <w:rPr>
          <w:rFonts w:hint="eastAsia" w:ascii="宋体" w:hAnsi="宋体" w:eastAsia="宋体" w:cs="宋体"/>
          <w:color w:val="000000" w:themeColor="text1"/>
          <w:sz w:val="32"/>
          <w:szCs w:val="32"/>
          <w14:textFill>
            <w14:solidFill>
              <w14:schemeClr w14:val="tx1"/>
            </w14:solidFill>
          </w14:textFill>
        </w:rPr>
      </w:pPr>
    </w:p>
    <w:p>
      <w:pPr>
        <w:snapToGrid w:val="0"/>
        <w:spacing w:before="50" w:after="50" w:line="276" w:lineRule="auto"/>
        <w:jc w:val="center"/>
        <w:rPr>
          <w:rFonts w:hint="eastAsia" w:ascii="宋体" w:hAnsi="宋体" w:eastAsia="宋体" w:cs="宋体"/>
          <w:color w:val="000000" w:themeColor="text1"/>
          <w:sz w:val="32"/>
          <w:szCs w:val="32"/>
          <w14:textFill>
            <w14:solidFill>
              <w14:schemeClr w14:val="tx1"/>
            </w14:solidFill>
          </w14:textFill>
        </w:rPr>
      </w:pPr>
    </w:p>
    <w:p>
      <w:pPr>
        <w:snapToGrid w:val="0"/>
        <w:spacing w:before="50" w:after="50" w:line="276" w:lineRule="auto"/>
        <w:jc w:val="center"/>
        <w:rPr>
          <w:rFonts w:hint="eastAsia" w:ascii="宋体" w:hAnsi="宋体" w:eastAsia="宋体" w:cs="宋体"/>
          <w:color w:val="000000" w:themeColor="text1"/>
          <w:sz w:val="32"/>
          <w:szCs w:val="32"/>
          <w14:textFill>
            <w14:solidFill>
              <w14:schemeClr w14:val="tx1"/>
            </w14:solidFill>
          </w14:textFill>
        </w:rPr>
      </w:pPr>
    </w:p>
    <w:p>
      <w:pPr>
        <w:snapToGrid w:val="0"/>
        <w:spacing w:before="50" w:after="50" w:line="276" w:lineRule="auto"/>
        <w:jc w:val="center"/>
        <w:rPr>
          <w:rFonts w:hint="eastAsia" w:ascii="宋体" w:hAnsi="宋体" w:eastAsia="宋体" w:cs="宋体"/>
          <w:color w:val="000000" w:themeColor="text1"/>
          <w:sz w:val="32"/>
          <w:szCs w:val="32"/>
          <w14:textFill>
            <w14:solidFill>
              <w14:schemeClr w14:val="tx1"/>
            </w14:solidFill>
          </w14:textFill>
        </w:rPr>
      </w:pPr>
    </w:p>
    <w:p>
      <w:pPr>
        <w:snapToGrid w:val="0"/>
        <w:spacing w:before="50" w:after="50" w:line="276" w:lineRule="auto"/>
        <w:jc w:val="center"/>
        <w:rPr>
          <w:rFonts w:hint="eastAsia" w:ascii="宋体" w:hAnsi="宋体" w:eastAsia="宋体" w:cs="宋体"/>
          <w:color w:val="000000" w:themeColor="text1"/>
          <w:sz w:val="32"/>
          <w:szCs w:val="32"/>
          <w14:textFill>
            <w14:solidFill>
              <w14:schemeClr w14:val="tx1"/>
            </w14:solidFill>
          </w14:textFill>
        </w:rPr>
      </w:pPr>
    </w:p>
    <w:p>
      <w:pPr>
        <w:snapToGrid w:val="0"/>
        <w:spacing w:before="50" w:after="50" w:line="276" w:lineRule="auto"/>
        <w:jc w:val="center"/>
        <w:rPr>
          <w:rFonts w:hint="eastAsia" w:ascii="宋体" w:hAnsi="宋体" w:eastAsia="宋体" w:cs="宋体"/>
          <w:color w:val="000000" w:themeColor="text1"/>
          <w:sz w:val="32"/>
          <w:szCs w:val="32"/>
          <w14:textFill>
            <w14:solidFill>
              <w14:schemeClr w14:val="tx1"/>
            </w14:solidFill>
          </w14:textFill>
        </w:rPr>
      </w:pPr>
    </w:p>
    <w:p>
      <w:pPr>
        <w:snapToGrid w:val="0"/>
        <w:spacing w:before="50" w:after="50" w:line="276" w:lineRule="auto"/>
        <w:jc w:val="center"/>
        <w:rPr>
          <w:rFonts w:hint="eastAsia" w:ascii="宋体" w:hAnsi="宋体" w:eastAsia="宋体" w:cs="宋体"/>
          <w:color w:val="000000" w:themeColor="text1"/>
          <w:sz w:val="32"/>
          <w:szCs w:val="32"/>
          <w14:textFill>
            <w14:solidFill>
              <w14:schemeClr w14:val="tx1"/>
            </w14:solidFill>
          </w14:textFill>
        </w:rPr>
      </w:pPr>
    </w:p>
    <w:p>
      <w:pPr>
        <w:wordWrap w:val="0"/>
        <w:snapToGrid w:val="0"/>
        <w:spacing w:before="50" w:after="50"/>
        <w:rPr>
          <w:rFonts w:hint="eastAsia" w:ascii="宋体" w:hAnsi="宋体" w:eastAsia="宋体" w:cs="宋体"/>
          <w:color w:val="000000" w:themeColor="text1"/>
          <w:sz w:val="32"/>
          <w:szCs w:val="32"/>
          <w14:textFill>
            <w14:solidFill>
              <w14:schemeClr w14:val="tx1"/>
            </w14:solidFill>
          </w14:textFill>
        </w:rPr>
      </w:pPr>
    </w:p>
    <w:p>
      <w:pPr>
        <w:wordWrap w:val="0"/>
        <w:snapToGrid w:val="0"/>
        <w:spacing w:before="50" w:after="50"/>
        <w:jc w:val="center"/>
        <w:rPr>
          <w:rFonts w:hint="eastAsia" w:ascii="宋体" w:hAnsi="宋体" w:eastAsia="宋体" w:cs="宋体"/>
          <w:color w:val="000000" w:themeColor="text1"/>
          <w:sz w:val="32"/>
          <w:szCs w:val="32"/>
          <w14:textFill>
            <w14:solidFill>
              <w14:schemeClr w14:val="tx1"/>
            </w14:solidFill>
          </w14:textFill>
        </w:rPr>
      </w:pPr>
    </w:p>
    <w:p>
      <w:pPr>
        <w:wordWrap w:val="0"/>
        <w:snapToGrid w:val="0"/>
        <w:spacing w:before="50" w:after="50"/>
        <w:jc w:val="center"/>
        <w:rPr>
          <w:rFonts w:hint="eastAsia" w:ascii="宋体" w:hAnsi="宋体" w:eastAsia="宋体" w:cs="宋体"/>
          <w:color w:val="000000" w:themeColor="text1"/>
          <w:sz w:val="32"/>
          <w:szCs w:val="32"/>
          <w14:textFill>
            <w14:solidFill>
              <w14:schemeClr w14:val="tx1"/>
            </w14:solidFill>
          </w14:textFill>
        </w:rPr>
      </w:pPr>
    </w:p>
    <w:p>
      <w:pPr>
        <w:wordWrap w:val="0"/>
        <w:snapToGrid w:val="0"/>
        <w:spacing w:before="50" w:after="50"/>
        <w:jc w:val="center"/>
        <w:rPr>
          <w:rFonts w:hint="eastAsia" w:ascii="宋体" w:hAnsi="宋体" w:eastAsia="宋体" w:cs="宋体"/>
          <w:color w:val="000000" w:themeColor="text1"/>
          <w:sz w:val="32"/>
          <w:szCs w:val="32"/>
          <w14:textFill>
            <w14:solidFill>
              <w14:schemeClr w14:val="tx1"/>
            </w14:solidFill>
          </w14:textFill>
        </w:rPr>
      </w:pPr>
    </w:p>
    <w:p>
      <w:pPr>
        <w:wordWrap w:val="0"/>
        <w:snapToGrid w:val="0"/>
        <w:spacing w:before="50" w:after="50"/>
        <w:jc w:val="center"/>
        <w:rPr>
          <w:rFonts w:hint="eastAsia" w:ascii="宋体" w:hAnsi="宋体" w:eastAsia="宋体" w:cs="宋体"/>
          <w:color w:val="000000" w:themeColor="text1"/>
          <w:sz w:val="32"/>
          <w:szCs w:val="32"/>
          <w14:textFill>
            <w14:solidFill>
              <w14:schemeClr w14:val="tx1"/>
            </w14:solidFill>
          </w14:textFill>
        </w:rPr>
      </w:pPr>
    </w:p>
    <w:p>
      <w:pPr>
        <w:wordWrap w:val="0"/>
        <w:snapToGrid w:val="0"/>
        <w:spacing w:before="50" w:after="50"/>
        <w:jc w:val="center"/>
        <w:rPr>
          <w:rFonts w:hint="eastAsia" w:ascii="宋体" w:hAnsi="宋体" w:eastAsia="宋体" w:cs="宋体"/>
          <w:color w:val="000000" w:themeColor="text1"/>
          <w:sz w:val="32"/>
          <w:szCs w:val="32"/>
          <w14:textFill>
            <w14:solidFill>
              <w14:schemeClr w14:val="tx1"/>
            </w14:solidFill>
          </w14:textFill>
        </w:rPr>
      </w:pPr>
    </w:p>
    <w:p>
      <w:pPr>
        <w:wordWrap w:val="0"/>
        <w:snapToGrid w:val="0"/>
        <w:spacing w:before="50" w:after="50"/>
        <w:jc w:val="center"/>
        <w:rPr>
          <w:rFonts w:hint="eastAsia" w:ascii="宋体" w:hAnsi="宋体" w:eastAsia="宋体" w:cs="宋体"/>
          <w:color w:val="000000" w:themeColor="text1"/>
          <w:sz w:val="32"/>
          <w:szCs w:val="32"/>
          <w14:textFill>
            <w14:solidFill>
              <w14:schemeClr w14:val="tx1"/>
            </w14:solidFill>
          </w14:textFill>
        </w:rPr>
      </w:pPr>
    </w:p>
    <w:p>
      <w:pPr>
        <w:wordWrap w:val="0"/>
        <w:snapToGrid w:val="0"/>
        <w:spacing w:before="50" w:after="50"/>
        <w:jc w:val="center"/>
        <w:rPr>
          <w:rFonts w:hint="eastAsia" w:ascii="宋体" w:hAnsi="宋体" w:eastAsia="宋体" w:cs="宋体"/>
          <w:color w:val="000000" w:themeColor="text1"/>
          <w:sz w:val="32"/>
          <w:szCs w:val="32"/>
          <w14:textFill>
            <w14:solidFill>
              <w14:schemeClr w14:val="tx1"/>
            </w14:solidFill>
          </w14:textFill>
        </w:rPr>
      </w:pPr>
    </w:p>
    <w:p>
      <w:pPr>
        <w:wordWrap w:val="0"/>
        <w:snapToGrid w:val="0"/>
        <w:spacing w:before="50" w:after="5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一、资格性审查响应对照表（格式）</w:t>
      </w:r>
    </w:p>
    <w:p>
      <w:pPr>
        <w:wordWrap w:val="0"/>
        <w:ind w:firstLine="30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谈判供应商全称（加盖公章）：</w:t>
      </w:r>
    </w:p>
    <w:tbl>
      <w:tblPr>
        <w:tblStyle w:val="45"/>
        <w:tblW w:w="96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5447"/>
        <w:gridCol w:w="1680"/>
        <w:gridCol w:w="1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2"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序号</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资格性审查响应内容</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8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是否响应</w:t>
            </w:r>
          </w:p>
          <w:p>
            <w:pPr>
              <w:wordWrap w:val="0"/>
              <w:snapToGrid w:val="0"/>
              <w:spacing w:line="48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（填是或者否）</w:t>
            </w:r>
          </w:p>
        </w:tc>
        <w:tc>
          <w:tcPr>
            <w:tcW w:w="1813"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8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采购文件中的</w:t>
            </w:r>
          </w:p>
          <w:p>
            <w:pPr>
              <w:wordWrap w:val="0"/>
              <w:snapToGrid w:val="0"/>
              <w:spacing w:line="48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color w:val="000000" w:themeColor="text1"/>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b/>
                <w:color w:val="000000" w:themeColor="text1"/>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color w:val="000000" w:themeColor="text1"/>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color w:val="000000" w:themeColor="text1"/>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color w:val="000000" w:themeColor="text1"/>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hint="eastAsia" w:ascii="宋体" w:hAnsi="宋体" w:eastAsia="宋体" w:cs="宋体"/>
                <w:color w:val="000000" w:themeColor="text1"/>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4"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color w:val="000000" w:themeColor="text1"/>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9"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color w:val="000000" w:themeColor="text1"/>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color w:val="000000" w:themeColor="text1"/>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hint="eastAsia" w:ascii="宋体" w:hAnsi="宋体" w:eastAsia="宋体" w:cs="宋体"/>
                <w:color w:val="000000" w:themeColor="text1"/>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hint="eastAsia" w:ascii="宋体" w:hAnsi="宋体" w:eastAsia="宋体" w:cs="宋体"/>
                <w:color w:val="000000" w:themeColor="text1"/>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hint="eastAsia" w:ascii="宋体" w:hAnsi="宋体" w:eastAsia="宋体" w:cs="宋体"/>
                <w:color w:val="000000" w:themeColor="text1"/>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采购文件中规定要求提供的材料或谈判供应商认为需要提供的其他材料</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hint="eastAsia" w:ascii="宋体" w:hAnsi="宋体" w:eastAsia="宋体" w:cs="宋体"/>
                <w:color w:val="000000" w:themeColor="text1"/>
                <w14:textFill>
                  <w14:solidFill>
                    <w14:schemeClr w14:val="tx1"/>
                  </w14:solidFill>
                </w14:textFill>
              </w:rPr>
            </w:pPr>
          </w:p>
        </w:tc>
      </w:tr>
    </w:tbl>
    <w:p>
      <w:pPr>
        <w:snapToGrid w:val="0"/>
        <w:spacing w:before="50" w:after="50" w:line="276" w:lineRule="auto"/>
        <w:rPr>
          <w:rFonts w:hint="eastAsia" w:ascii="宋体" w:hAnsi="宋体" w:eastAsia="宋体" w:cs="宋体"/>
          <w:b/>
          <w:color w:val="000000" w:themeColor="text1"/>
          <w:sz w:val="32"/>
          <w:szCs w:val="32"/>
          <w14:textFill>
            <w14:solidFill>
              <w14:schemeClr w14:val="tx1"/>
            </w14:solidFill>
          </w14:textFill>
        </w:rPr>
      </w:pPr>
    </w:p>
    <w:p>
      <w:pPr>
        <w:snapToGrid w:val="0"/>
        <w:spacing w:before="50" w:after="50" w:line="276" w:lineRule="auto"/>
        <w:rPr>
          <w:rFonts w:hint="eastAsia" w:ascii="宋体" w:hAnsi="宋体" w:eastAsia="宋体" w:cs="宋体"/>
          <w:b/>
          <w:color w:val="000000" w:themeColor="text1"/>
          <w:sz w:val="32"/>
          <w:szCs w:val="32"/>
          <w14:textFill>
            <w14:solidFill>
              <w14:schemeClr w14:val="tx1"/>
            </w14:solidFill>
          </w14:textFill>
        </w:rPr>
      </w:pPr>
    </w:p>
    <w:p>
      <w:pPr>
        <w:snapToGrid w:val="0"/>
        <w:spacing w:before="50" w:after="50" w:line="276" w:lineRule="auto"/>
        <w:jc w:val="center"/>
        <w:rPr>
          <w:rFonts w:hint="eastAsia" w:ascii="宋体" w:hAnsi="宋体" w:eastAsia="宋体" w:cs="宋体"/>
          <w:b/>
          <w:color w:val="000000" w:themeColor="text1"/>
          <w:sz w:val="32"/>
          <w:szCs w:val="32"/>
          <w14:textFill>
            <w14:solidFill>
              <w14:schemeClr w14:val="tx1"/>
            </w14:solidFill>
          </w14:textFill>
        </w:rPr>
      </w:pPr>
    </w:p>
    <w:p>
      <w:pPr>
        <w:snapToGrid w:val="0"/>
        <w:spacing w:before="50" w:after="50" w:line="276" w:lineRule="auto"/>
        <w:jc w:val="center"/>
        <w:rPr>
          <w:rFonts w:hint="eastAsia" w:ascii="宋体" w:hAnsi="宋体" w:eastAsia="宋体" w:cs="宋体"/>
          <w:b/>
          <w:color w:val="000000" w:themeColor="text1"/>
          <w:sz w:val="32"/>
          <w:szCs w:val="32"/>
          <w14:textFill>
            <w14:solidFill>
              <w14:schemeClr w14:val="tx1"/>
            </w14:solidFill>
          </w14:textFill>
        </w:rPr>
      </w:pPr>
    </w:p>
    <w:p>
      <w:pPr>
        <w:snapToGrid w:val="0"/>
        <w:spacing w:before="50" w:after="50" w:line="276" w:lineRule="auto"/>
        <w:jc w:val="center"/>
        <w:rPr>
          <w:rFonts w:hint="eastAsia" w:ascii="宋体" w:hAnsi="宋体" w:eastAsia="宋体" w:cs="宋体"/>
          <w:b/>
          <w:color w:val="000000" w:themeColor="text1"/>
          <w:sz w:val="32"/>
          <w:szCs w:val="32"/>
          <w14:textFill>
            <w14:solidFill>
              <w14:schemeClr w14:val="tx1"/>
            </w14:solidFill>
          </w14:textFill>
        </w:rPr>
      </w:pPr>
    </w:p>
    <w:p>
      <w:pPr>
        <w:snapToGrid w:val="0"/>
        <w:spacing w:before="50" w:after="50" w:line="276" w:lineRule="auto"/>
        <w:jc w:val="center"/>
        <w:rPr>
          <w:rFonts w:hint="eastAsia" w:ascii="宋体" w:hAnsi="宋体" w:eastAsia="宋体" w:cs="宋体"/>
          <w:b/>
          <w:color w:val="000000" w:themeColor="text1"/>
          <w:sz w:val="32"/>
          <w:szCs w:val="32"/>
          <w14:textFill>
            <w14:solidFill>
              <w14:schemeClr w14:val="tx1"/>
            </w14:solidFill>
          </w14:textFill>
        </w:rPr>
      </w:pPr>
    </w:p>
    <w:p>
      <w:pPr>
        <w:snapToGrid w:val="0"/>
        <w:spacing w:before="50" w:after="50" w:line="276" w:lineRule="auto"/>
        <w:jc w:val="center"/>
        <w:rPr>
          <w:rFonts w:hint="eastAsia" w:ascii="宋体" w:hAnsi="宋体" w:eastAsia="宋体" w:cs="宋体"/>
          <w:b/>
          <w:color w:val="000000" w:themeColor="text1"/>
          <w:sz w:val="32"/>
          <w:szCs w:val="32"/>
          <w14:textFill>
            <w14:solidFill>
              <w14:schemeClr w14:val="tx1"/>
            </w14:solidFill>
          </w14:textFill>
        </w:rPr>
      </w:pPr>
    </w:p>
    <w:p>
      <w:pPr>
        <w:snapToGrid w:val="0"/>
        <w:spacing w:before="50" w:after="50" w:line="276" w:lineRule="auto"/>
        <w:jc w:val="center"/>
        <w:rPr>
          <w:rFonts w:hint="eastAsia" w:ascii="宋体" w:hAnsi="宋体" w:eastAsia="宋体" w:cs="宋体"/>
          <w:b/>
          <w:color w:val="000000" w:themeColor="text1"/>
          <w:sz w:val="32"/>
          <w:szCs w:val="32"/>
          <w14:textFill>
            <w14:solidFill>
              <w14:schemeClr w14:val="tx1"/>
            </w14:solidFill>
          </w14:textFill>
        </w:rPr>
      </w:pPr>
    </w:p>
    <w:p>
      <w:pPr>
        <w:snapToGrid w:val="0"/>
        <w:spacing w:before="50" w:after="50" w:line="276"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二、资信证明文件</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文件1  法人或者其他组织的营业执照等证明文件，自然人的身份证明（复印件）</w:t>
      </w:r>
    </w:p>
    <w:p>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文件</w:t>
      </w:r>
      <w:r>
        <w:rPr>
          <w:rFonts w:hint="eastAsia" w:ascii="宋体" w:hAnsi="宋体" w:eastAsia="宋体" w:cs="宋体"/>
          <w:sz w:val="24"/>
          <w:lang w:val="en-US" w:eastAsia="zh-CN"/>
        </w:rPr>
        <w:t>2</w:t>
      </w:r>
      <w:r>
        <w:rPr>
          <w:rFonts w:hint="eastAsia" w:ascii="宋体" w:hAnsi="宋体" w:eastAsia="宋体" w:cs="宋体"/>
          <w:sz w:val="24"/>
        </w:rPr>
        <w:t xml:space="preserve">  具备履行合同所必需的设备和专业技术能力证明材料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文件</w:t>
      </w:r>
      <w:r>
        <w:rPr>
          <w:rFonts w:hint="eastAsia" w:ascii="宋体" w:hAnsi="宋体" w:eastAsia="宋体" w:cs="宋体"/>
          <w:sz w:val="24"/>
          <w:lang w:val="en-US" w:eastAsia="zh-CN"/>
        </w:rPr>
        <w:t>3</w:t>
      </w:r>
      <w:r>
        <w:rPr>
          <w:rFonts w:hint="eastAsia" w:ascii="宋体" w:hAnsi="宋体" w:eastAsia="宋体" w:cs="宋体"/>
          <w:sz w:val="24"/>
        </w:rPr>
        <w:t xml:space="preserve">  参加政府采购活动前 3 年内在经营活动中没有重大违法记录的书面声明</w:t>
      </w:r>
    </w:p>
    <w:p>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文件</w:t>
      </w:r>
      <w:r>
        <w:rPr>
          <w:rFonts w:hint="eastAsia" w:ascii="宋体" w:hAnsi="宋体" w:eastAsia="宋体" w:cs="宋体"/>
          <w:sz w:val="24"/>
          <w:lang w:val="en-US" w:eastAsia="zh-CN"/>
        </w:rPr>
        <w:t>4</w:t>
      </w:r>
      <w:r>
        <w:rPr>
          <w:rFonts w:hint="eastAsia" w:ascii="宋体" w:hAnsi="宋体" w:eastAsia="宋体" w:cs="宋体"/>
          <w:sz w:val="24"/>
        </w:rPr>
        <w:t xml:space="preserve">  法人授权书</w:t>
      </w:r>
    </w:p>
    <w:p>
      <w:pPr>
        <w:wordWrap w:val="0"/>
        <w:snapToGrid w:val="0"/>
        <w:spacing w:line="360" w:lineRule="auto"/>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资格审查要求的其他资料：</w:t>
      </w:r>
    </w:p>
    <w:p>
      <w:pPr>
        <w:wordWrap w:val="0"/>
        <w:snapToGrid w:val="0"/>
        <w:spacing w:line="360" w:lineRule="auto"/>
        <w:ind w:firstLine="482"/>
        <w:rPr>
          <w:rFonts w:hint="eastAsia" w:ascii="宋体" w:hAnsi="宋体" w:eastAsia="宋体" w:cs="宋体"/>
          <w:kern w:val="0"/>
          <w:sz w:val="24"/>
        </w:rPr>
      </w:pPr>
      <w:r>
        <w:rPr>
          <w:rFonts w:hint="eastAsia" w:ascii="宋体" w:hAnsi="宋体" w:eastAsia="宋体" w:cs="宋体"/>
          <w:kern w:val="0"/>
          <w:sz w:val="24"/>
        </w:rPr>
        <w:t>未被“信用中国”网站（www.creditchina.gov.cn）列入失信被执行人、重大税收违法案件当事人名单、政府采购严重失信行为记录名单的网上查询截图（查询日期为竞争性谈判采购公告发布之日当天或以后任一时间）。</w:t>
      </w:r>
    </w:p>
    <w:p>
      <w:pPr>
        <w:wordWrap w:val="0"/>
        <w:snapToGrid w:val="0"/>
        <w:spacing w:line="360" w:lineRule="auto"/>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文件8采购文件中规定要求提供的材料或谈判供应商认为需要提供的其他材料。</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注：上述复印件均须加盖供应商单位公章。</w:t>
      </w:r>
    </w:p>
    <w:p>
      <w:pPr>
        <w:adjustRightInd w:val="0"/>
        <w:snapToGrid w:val="0"/>
        <w:spacing w:line="360" w:lineRule="auto"/>
        <w:ind w:left="239" w:leftChars="114" w:firstLine="241" w:firstLineChars="100"/>
        <w:jc w:val="left"/>
        <w:rPr>
          <w:rFonts w:hint="eastAsia" w:ascii="宋体" w:hAnsi="宋体" w:eastAsia="宋体" w:cs="宋体"/>
          <w:sz w:val="24"/>
        </w:rPr>
      </w:pPr>
      <w:r>
        <w:rPr>
          <w:rFonts w:hint="eastAsia" w:ascii="宋体" w:hAnsi="宋体" w:eastAsia="宋体" w:cs="宋体"/>
          <w:b/>
          <w:sz w:val="24"/>
        </w:rPr>
        <w:t>谈判文件要求提供原件的必须单独封装并与投标文件一起递交，评标结束后原件退回；未要求提供原件的提供复印件，原件自带备查。</w:t>
      </w:r>
    </w:p>
    <w:p>
      <w:pPr>
        <w:wordWrap w:val="0"/>
        <w:snapToGrid w:val="0"/>
        <w:spacing w:line="480" w:lineRule="exact"/>
        <w:ind w:firstLine="482"/>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具备履行合同所必需的设备和专业技术能力的书面声明</w:t>
      </w:r>
    </w:p>
    <w:p>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wordWrap w:val="0"/>
        <w:snapToGrid w:val="0"/>
        <w:spacing w:line="360" w:lineRule="auto"/>
        <w:ind w:firstLine="482"/>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主要设备有：</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pPr>
        <w:spacing w:line="460" w:lineRule="exact"/>
        <w:ind w:firstLine="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主要专业技术能力有：</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pPr>
        <w:spacing w:line="4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供应商名称（公章）：</w:t>
      </w:r>
    </w:p>
    <w:p>
      <w:pPr>
        <w:spacing w:line="4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spacing w:line="4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pStyle w:val="4"/>
        <w:spacing w:before="260" w:after="260" w:line="415" w:lineRule="auto"/>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4"/>
        <w:spacing w:before="260" w:after="260" w:line="415" w:lineRule="auto"/>
        <w:rPr>
          <w:rFonts w:hint="eastAsia" w:ascii="宋体" w:hAnsi="宋体" w:eastAsia="宋体" w:cs="宋体"/>
          <w:color w:val="000000" w:themeColor="text1"/>
          <w14:textFill>
            <w14:solidFill>
              <w14:schemeClr w14:val="tx1"/>
            </w14:solidFill>
          </w14:textFill>
        </w:rPr>
      </w:pPr>
    </w:p>
    <w:p>
      <w:pPr>
        <w:pStyle w:val="4"/>
        <w:spacing w:before="260" w:after="260" w:line="415" w:lineRule="auto"/>
        <w:ind w:firstLine="708"/>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wordWrap w:val="0"/>
        <w:spacing w:before="260" w:after="260" w:line="415" w:lineRule="auto"/>
        <w:outlineLvl w:val="2"/>
        <w:rPr>
          <w:rFonts w:hint="eastAsia" w:ascii="宋体" w:hAnsi="宋体" w:eastAsia="宋体" w:cs="宋体"/>
          <w:b/>
          <w:color w:val="000000" w:themeColor="text1"/>
          <w:sz w:val="24"/>
          <w:szCs w:val="24"/>
          <w14:textFill>
            <w14:solidFill>
              <w14:schemeClr w14:val="tx1"/>
            </w14:solidFill>
          </w14:textFill>
        </w:rPr>
      </w:pPr>
    </w:p>
    <w:p>
      <w:pPr>
        <w:spacing w:before="260" w:after="260" w:line="415" w:lineRule="auto"/>
        <w:outlineLvl w:val="2"/>
        <w:rPr>
          <w:rFonts w:hint="eastAsia" w:ascii="宋体" w:hAnsi="宋体" w:eastAsia="宋体" w:cs="宋体"/>
          <w:b/>
          <w:color w:val="000000" w:themeColor="text1"/>
          <w:sz w:val="24"/>
          <w:szCs w:val="24"/>
          <w14:textFill>
            <w14:solidFill>
              <w14:schemeClr w14:val="tx1"/>
            </w14:solidFill>
          </w14:textFill>
        </w:rPr>
      </w:pPr>
    </w:p>
    <w:p>
      <w:pPr>
        <w:spacing w:before="260" w:after="260" w:line="415" w:lineRule="auto"/>
        <w:jc w:val="center"/>
        <w:outlineLvl w:val="2"/>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参加政府采购活动前 3 年内在经营活动中没有重大违法记录的书面声明</w:t>
      </w:r>
    </w:p>
    <w:p>
      <w:pPr>
        <w:wordWrap w:val="0"/>
        <w:spacing w:line="460" w:lineRule="exact"/>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w:t>
      </w:r>
      <w:r>
        <w:rPr>
          <w:rFonts w:hint="eastAsia" w:ascii="宋体" w:hAnsi="宋体" w:eastAsia="宋体" w:cs="宋体"/>
          <w:b/>
          <w:color w:val="000000" w:themeColor="text1"/>
          <w:sz w:val="44"/>
          <w:szCs w:val="44"/>
          <w14:textFill>
            <w14:solidFill>
              <w14:schemeClr w14:val="tx1"/>
            </w14:solidFill>
          </w14:textFill>
        </w:rPr>
        <w:t xml:space="preserve">   </w:t>
      </w:r>
    </w:p>
    <w:p>
      <w:pPr>
        <w:wordWrap w:val="0"/>
        <w:spacing w:line="460" w:lineRule="exact"/>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 xml:space="preserve">                   声  明</w:t>
      </w:r>
    </w:p>
    <w:p>
      <w:pPr>
        <w:wordWrap w:val="0"/>
        <w:spacing w:line="4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wordWrap w:val="0"/>
        <w:spacing w:line="4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供应商名称（公章）：</w:t>
      </w:r>
    </w:p>
    <w:p>
      <w:pPr>
        <w:wordWrap w:val="0"/>
        <w:spacing w:line="4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授权代表签字：</w:t>
      </w:r>
      <w:r>
        <w:rPr>
          <w:rFonts w:hint="eastAsia" w:ascii="宋体" w:hAnsi="宋体" w:eastAsia="宋体" w:cs="宋体"/>
          <w:color w:val="000000" w:themeColor="text1"/>
          <w:sz w:val="24"/>
          <w:szCs w:val="24"/>
          <w:u w:val="single"/>
          <w14:textFill>
            <w14:solidFill>
              <w14:schemeClr w14:val="tx1"/>
            </w14:solidFill>
          </w14:textFill>
        </w:rPr>
        <w:t>_______________________</w:t>
      </w:r>
    </w:p>
    <w:p>
      <w:pPr>
        <w:wordWrap w:val="0"/>
        <w:spacing w:line="4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日期：</w:t>
      </w:r>
      <w:r>
        <w:rPr>
          <w:rFonts w:hint="eastAsia" w:ascii="宋体" w:hAnsi="宋体" w:eastAsia="宋体" w:cs="宋体"/>
          <w:color w:val="000000" w:themeColor="text1"/>
          <w:sz w:val="24"/>
          <w:szCs w:val="24"/>
          <w:u w:val="single"/>
          <w14:textFill>
            <w14:solidFill>
              <w14:schemeClr w14:val="tx1"/>
            </w14:solidFill>
          </w14:textFill>
        </w:rPr>
        <w:t>______</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spacing w:line="460" w:lineRule="exact"/>
        <w:jc w:val="center"/>
        <w:rPr>
          <w:rFonts w:hint="eastAsia" w:ascii="宋体" w:hAnsi="宋体" w:eastAsia="宋体" w:cs="宋体"/>
          <w:color w:val="000000" w:themeColor="text1"/>
          <w:sz w:val="24"/>
          <w:szCs w:val="24"/>
          <w14:textFill>
            <w14:solidFill>
              <w14:schemeClr w14:val="tx1"/>
            </w14:solidFill>
          </w14:textFill>
        </w:rPr>
      </w:pPr>
    </w:p>
    <w:p>
      <w:pPr>
        <w:spacing w:line="460" w:lineRule="exact"/>
        <w:jc w:val="center"/>
        <w:rPr>
          <w:rFonts w:hint="eastAsia" w:ascii="宋体" w:hAnsi="宋体" w:eastAsia="宋体" w:cs="宋体"/>
          <w:color w:val="000000" w:themeColor="text1"/>
          <w:sz w:val="24"/>
          <w:szCs w:val="24"/>
          <w14:textFill>
            <w14:solidFill>
              <w14:schemeClr w14:val="tx1"/>
            </w14:solidFill>
          </w14:textFill>
        </w:rPr>
      </w:pPr>
    </w:p>
    <w:p>
      <w:pPr>
        <w:spacing w:line="460" w:lineRule="exact"/>
        <w:jc w:val="center"/>
        <w:rPr>
          <w:rFonts w:hint="eastAsia" w:ascii="宋体" w:hAnsi="宋体" w:eastAsia="宋体" w:cs="宋体"/>
          <w:color w:val="000000" w:themeColor="text1"/>
          <w:sz w:val="24"/>
          <w:szCs w:val="24"/>
          <w14:textFill>
            <w14:solidFill>
              <w14:schemeClr w14:val="tx1"/>
            </w14:solidFill>
          </w14:textFill>
        </w:rPr>
      </w:pPr>
    </w:p>
    <w:p>
      <w:pPr>
        <w:spacing w:line="460" w:lineRule="exact"/>
        <w:jc w:val="center"/>
        <w:rPr>
          <w:rFonts w:hint="eastAsia" w:ascii="宋体" w:hAnsi="宋体" w:eastAsia="宋体" w:cs="宋体"/>
          <w:color w:val="000000" w:themeColor="text1"/>
          <w:sz w:val="24"/>
          <w:szCs w:val="24"/>
          <w14:textFill>
            <w14:solidFill>
              <w14:schemeClr w14:val="tx1"/>
            </w14:solidFill>
          </w14:textFill>
        </w:rPr>
      </w:pPr>
    </w:p>
    <w:p>
      <w:pPr>
        <w:spacing w:line="460" w:lineRule="exact"/>
        <w:rPr>
          <w:rFonts w:hint="eastAsia" w:ascii="宋体" w:hAnsi="宋体" w:eastAsia="宋体" w:cs="宋体"/>
          <w:color w:val="000000" w:themeColor="text1"/>
          <w:sz w:val="24"/>
          <w:szCs w:val="24"/>
          <w14:textFill>
            <w14:solidFill>
              <w14:schemeClr w14:val="tx1"/>
            </w14:solidFill>
          </w14:textFill>
        </w:rPr>
      </w:pPr>
    </w:p>
    <w:p>
      <w:pPr>
        <w:spacing w:line="460" w:lineRule="exact"/>
        <w:rPr>
          <w:rFonts w:hint="eastAsia" w:ascii="宋体" w:hAnsi="宋体" w:eastAsia="宋体" w:cs="宋体"/>
          <w:color w:val="000000" w:themeColor="text1"/>
          <w:sz w:val="24"/>
          <w:szCs w:val="24"/>
          <w14:textFill>
            <w14:solidFill>
              <w14:schemeClr w14:val="tx1"/>
            </w14:solidFill>
          </w14:textFill>
        </w:rPr>
      </w:pPr>
    </w:p>
    <w:p>
      <w:pPr>
        <w:spacing w:line="460" w:lineRule="exact"/>
        <w:rPr>
          <w:rFonts w:hint="eastAsia" w:ascii="宋体" w:hAnsi="宋体" w:eastAsia="宋体" w:cs="宋体"/>
          <w:color w:val="000000" w:themeColor="text1"/>
          <w:sz w:val="24"/>
          <w:szCs w:val="24"/>
          <w14:textFill>
            <w14:solidFill>
              <w14:schemeClr w14:val="tx1"/>
            </w14:solidFill>
          </w14:textFill>
        </w:rPr>
      </w:pPr>
    </w:p>
    <w:p>
      <w:pPr>
        <w:spacing w:line="460" w:lineRule="exact"/>
        <w:rPr>
          <w:rFonts w:hint="eastAsia" w:ascii="宋体" w:hAnsi="宋体" w:eastAsia="宋体" w:cs="宋体"/>
          <w:color w:val="000000" w:themeColor="text1"/>
          <w:sz w:val="24"/>
          <w:szCs w:val="24"/>
          <w14:textFill>
            <w14:solidFill>
              <w14:schemeClr w14:val="tx1"/>
            </w14:solidFill>
          </w14:textFill>
        </w:rPr>
      </w:pPr>
    </w:p>
    <w:p>
      <w:pPr>
        <w:spacing w:line="460" w:lineRule="exact"/>
        <w:rPr>
          <w:rFonts w:hint="eastAsia" w:ascii="宋体" w:hAnsi="宋体" w:eastAsia="宋体" w:cs="宋体"/>
          <w:color w:val="000000" w:themeColor="text1"/>
          <w:sz w:val="24"/>
          <w:szCs w:val="24"/>
          <w14:textFill>
            <w14:solidFill>
              <w14:schemeClr w14:val="tx1"/>
            </w14:solidFill>
          </w14:textFill>
        </w:rPr>
      </w:pPr>
    </w:p>
    <w:p>
      <w:pPr>
        <w:spacing w:line="460" w:lineRule="exact"/>
        <w:rPr>
          <w:rFonts w:hint="eastAsia" w:ascii="宋体" w:hAnsi="宋体" w:eastAsia="宋体" w:cs="宋体"/>
          <w:color w:val="000000" w:themeColor="text1"/>
          <w:sz w:val="24"/>
          <w:szCs w:val="24"/>
          <w14:textFill>
            <w14:solidFill>
              <w14:schemeClr w14:val="tx1"/>
            </w14:solidFill>
          </w14:textFill>
        </w:rPr>
      </w:pPr>
    </w:p>
    <w:p>
      <w:pPr>
        <w:spacing w:line="460" w:lineRule="exact"/>
        <w:rPr>
          <w:rFonts w:hint="eastAsia" w:ascii="宋体" w:hAnsi="宋体" w:eastAsia="宋体" w:cs="宋体"/>
          <w:color w:val="000000" w:themeColor="text1"/>
          <w:sz w:val="24"/>
          <w:szCs w:val="24"/>
          <w14:textFill>
            <w14:solidFill>
              <w14:schemeClr w14:val="tx1"/>
            </w14:solidFill>
          </w14:textFill>
        </w:rPr>
      </w:pPr>
    </w:p>
    <w:p>
      <w:pPr>
        <w:spacing w:line="460" w:lineRule="exact"/>
        <w:rPr>
          <w:rFonts w:hint="eastAsia" w:ascii="宋体" w:hAnsi="宋体" w:eastAsia="宋体" w:cs="宋体"/>
          <w:color w:val="000000" w:themeColor="text1"/>
          <w:sz w:val="24"/>
          <w:szCs w:val="24"/>
          <w14:textFill>
            <w14:solidFill>
              <w14:schemeClr w14:val="tx1"/>
            </w14:solidFill>
          </w14:textFill>
        </w:rPr>
      </w:pPr>
    </w:p>
    <w:p>
      <w:pPr>
        <w:spacing w:line="460" w:lineRule="exact"/>
        <w:rPr>
          <w:rFonts w:hint="eastAsia" w:ascii="宋体" w:hAnsi="宋体" w:eastAsia="宋体" w:cs="宋体"/>
          <w:color w:val="000000" w:themeColor="text1"/>
          <w:sz w:val="24"/>
          <w:szCs w:val="24"/>
          <w14:textFill>
            <w14:solidFill>
              <w14:schemeClr w14:val="tx1"/>
            </w14:solidFill>
          </w14:textFill>
        </w:rPr>
      </w:pPr>
    </w:p>
    <w:p>
      <w:pPr>
        <w:spacing w:line="460" w:lineRule="exact"/>
        <w:rPr>
          <w:rFonts w:hint="eastAsia" w:ascii="宋体" w:hAnsi="宋体" w:eastAsia="宋体" w:cs="宋体"/>
          <w:color w:val="000000" w:themeColor="text1"/>
          <w:sz w:val="24"/>
          <w:szCs w:val="24"/>
          <w14:textFill>
            <w14:solidFill>
              <w14:schemeClr w14:val="tx1"/>
            </w14:solidFill>
          </w14:textFill>
        </w:rPr>
      </w:pPr>
    </w:p>
    <w:p>
      <w:pPr>
        <w:spacing w:line="460" w:lineRule="exact"/>
        <w:rPr>
          <w:rFonts w:hint="eastAsia" w:ascii="宋体" w:hAnsi="宋体" w:eastAsia="宋体" w:cs="宋体"/>
          <w:color w:val="000000" w:themeColor="text1"/>
          <w:sz w:val="24"/>
          <w:szCs w:val="24"/>
          <w14:textFill>
            <w14:solidFill>
              <w14:schemeClr w14:val="tx1"/>
            </w14:solidFill>
          </w14:textFill>
        </w:rPr>
      </w:pPr>
    </w:p>
    <w:p>
      <w:pPr>
        <w:spacing w:line="460" w:lineRule="exact"/>
        <w:rPr>
          <w:rFonts w:hint="eastAsia" w:ascii="宋体" w:hAnsi="宋体" w:eastAsia="宋体" w:cs="宋体"/>
          <w:color w:val="000000" w:themeColor="text1"/>
          <w:sz w:val="24"/>
          <w:szCs w:val="24"/>
          <w14:textFill>
            <w14:solidFill>
              <w14:schemeClr w14:val="tx1"/>
            </w14:solidFill>
          </w14:textFill>
        </w:rPr>
      </w:pPr>
    </w:p>
    <w:p>
      <w:pPr>
        <w:spacing w:line="460" w:lineRule="exact"/>
        <w:rPr>
          <w:rFonts w:hint="eastAsia" w:ascii="宋体" w:hAnsi="宋体" w:eastAsia="宋体" w:cs="宋体"/>
          <w:color w:val="000000" w:themeColor="text1"/>
          <w:sz w:val="24"/>
          <w:szCs w:val="24"/>
          <w14:textFill>
            <w14:solidFill>
              <w14:schemeClr w14:val="tx1"/>
            </w14:solidFill>
          </w14:textFill>
        </w:rPr>
      </w:pPr>
    </w:p>
    <w:p>
      <w:pPr>
        <w:wordWrap w:val="0"/>
        <w:snapToGrid w:val="0"/>
        <w:spacing w:before="50" w:after="50"/>
        <w:jc w:val="center"/>
        <w:outlineLvl w:val="1"/>
        <w:rPr>
          <w:rFonts w:hint="eastAsia" w:ascii="宋体" w:hAnsi="宋体" w:eastAsia="宋体" w:cs="宋体"/>
          <w:b/>
          <w:color w:val="000000" w:themeColor="text1"/>
          <w:sz w:val="24"/>
          <w:szCs w:val="24"/>
          <w14:textFill>
            <w14:solidFill>
              <w14:schemeClr w14:val="tx1"/>
            </w14:solidFill>
          </w14:textFill>
        </w:rPr>
      </w:pPr>
      <w:bookmarkStart w:id="91" w:name="_Toc120614284"/>
      <w:r>
        <w:rPr>
          <w:rFonts w:hint="eastAsia" w:ascii="宋体" w:hAnsi="宋体" w:eastAsia="宋体" w:cs="宋体"/>
          <w:color w:val="000000" w:themeColor="text1"/>
          <w14:textFill>
            <w14:solidFill>
              <w14:schemeClr w14:val="tx1"/>
            </w14:solidFill>
          </w14:textFill>
        </w:rPr>
        <w:br w:type="page"/>
      </w:r>
    </w:p>
    <w:p>
      <w:pPr>
        <w:wordWrap w:val="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法人授权书</w:t>
      </w:r>
    </w:p>
    <w:p>
      <w:pPr>
        <w:wordWrap w:val="0"/>
        <w:jc w:val="center"/>
        <w:rPr>
          <w:rFonts w:hint="eastAsia" w:ascii="宋体" w:hAnsi="宋体" w:eastAsia="宋体" w:cs="宋体"/>
          <w:b/>
          <w:color w:val="000000" w:themeColor="text1"/>
          <w14:textFill>
            <w14:solidFill>
              <w14:schemeClr w14:val="tx1"/>
            </w14:solidFill>
          </w14:textFill>
        </w:rPr>
      </w:pPr>
    </w:p>
    <w:p>
      <w:pPr>
        <w:tabs>
          <w:tab w:val="left" w:pos="360"/>
        </w:tabs>
        <w:wordWrap w:val="0"/>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本授权书声明：____________（供应商名称）授权________________（被授权人的姓名）为我方就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号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项目采购活动的合法代理人，以本公司名义全权处理一切与该项目采购有关的事务。</w:t>
      </w:r>
    </w:p>
    <w:p>
      <w:pPr>
        <w:tabs>
          <w:tab w:val="left" w:pos="360"/>
        </w:tabs>
        <w:wordWrap w:val="0"/>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本授权书于______年____月____日起生效，特此声明。</w:t>
      </w:r>
    </w:p>
    <w:p>
      <w:pPr>
        <w:tabs>
          <w:tab w:val="left" w:pos="360"/>
        </w:tabs>
        <w:wordWrap w:val="0"/>
        <w:ind w:firstLine="480"/>
        <w:rPr>
          <w:rFonts w:hint="eastAsia" w:ascii="宋体" w:hAnsi="宋体" w:eastAsia="宋体" w:cs="宋体"/>
          <w:color w:val="000000" w:themeColor="text1"/>
          <w:sz w:val="24"/>
          <w:szCs w:val="24"/>
          <w14:textFill>
            <w14:solidFill>
              <w14:schemeClr w14:val="tx1"/>
            </w14:solidFill>
          </w14:textFill>
        </w:rPr>
      </w:pPr>
    </w:p>
    <w:p>
      <w:pPr>
        <w:tabs>
          <w:tab w:val="left" w:pos="360"/>
        </w:tabs>
        <w:wordWrap w:val="0"/>
        <w:ind w:firstLine="480"/>
        <w:rPr>
          <w:rFonts w:hint="eastAsia" w:ascii="宋体" w:hAnsi="宋体" w:eastAsia="宋体" w:cs="宋体"/>
          <w:color w:val="000000" w:themeColor="text1"/>
          <w:sz w:val="24"/>
          <w:szCs w:val="24"/>
          <w14:textFill>
            <w14:solidFill>
              <w14:schemeClr w14:val="tx1"/>
            </w14:solidFill>
          </w14:textFill>
        </w:rPr>
      </w:pPr>
    </w:p>
    <w:p>
      <w:pPr>
        <w:tabs>
          <w:tab w:val="left" w:pos="360"/>
        </w:tabs>
        <w:wordWrap w:val="0"/>
        <w:ind w:firstLine="480"/>
        <w:rPr>
          <w:rFonts w:hint="eastAsia" w:ascii="宋体" w:hAnsi="宋体" w:eastAsia="宋体" w:cs="宋体"/>
          <w:color w:val="000000" w:themeColor="text1"/>
          <w:sz w:val="24"/>
          <w:szCs w:val="24"/>
          <w14:textFill>
            <w14:solidFill>
              <w14:schemeClr w14:val="tx1"/>
            </w14:solidFill>
          </w14:textFill>
        </w:rPr>
      </w:pPr>
    </w:p>
    <w:p>
      <w:pPr>
        <w:tabs>
          <w:tab w:val="left" w:pos="360"/>
        </w:tabs>
        <w:wordWrap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代理人（被授权人）：_______________________</w:t>
      </w:r>
    </w:p>
    <w:p>
      <w:pPr>
        <w:tabs>
          <w:tab w:val="left" w:pos="360"/>
        </w:tabs>
        <w:wordWrap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tabs>
          <w:tab w:val="left" w:pos="360"/>
        </w:tabs>
        <w:wordWrap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单位名称：_____________________________________</w:t>
      </w:r>
    </w:p>
    <w:p>
      <w:pPr>
        <w:tabs>
          <w:tab w:val="left" w:pos="360"/>
        </w:tabs>
        <w:wordWrap w:val="0"/>
        <w:ind w:firstLine="480"/>
        <w:rPr>
          <w:rFonts w:hint="eastAsia" w:ascii="宋体" w:hAnsi="宋体" w:eastAsia="宋体" w:cs="宋体"/>
          <w:color w:val="000000" w:themeColor="text1"/>
          <w:sz w:val="24"/>
          <w:szCs w:val="24"/>
          <w14:textFill>
            <w14:solidFill>
              <w14:schemeClr w14:val="tx1"/>
            </w14:solidFill>
          </w14:textFill>
        </w:rPr>
      </w:pPr>
    </w:p>
    <w:p>
      <w:pPr>
        <w:tabs>
          <w:tab w:val="left" w:pos="360"/>
        </w:tabs>
        <w:wordWrap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授权单位盖章：_________________________________</w:t>
      </w:r>
    </w:p>
    <w:p>
      <w:pPr>
        <w:tabs>
          <w:tab w:val="left" w:pos="360"/>
        </w:tabs>
        <w:wordWrap w:val="0"/>
        <w:rPr>
          <w:rFonts w:hint="eastAsia" w:ascii="宋体" w:hAnsi="宋体" w:eastAsia="宋体" w:cs="宋体"/>
          <w:color w:val="000000" w:themeColor="text1"/>
          <w:sz w:val="24"/>
          <w:szCs w:val="24"/>
          <w14:textFill>
            <w14:solidFill>
              <w14:schemeClr w14:val="tx1"/>
            </w14:solidFill>
          </w14:textFill>
        </w:rPr>
      </w:pPr>
    </w:p>
    <w:p>
      <w:pPr>
        <w:tabs>
          <w:tab w:val="left" w:pos="360"/>
        </w:tabs>
        <w:wordWrap w:val="0"/>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单位名称：_____________________________________</w:t>
      </w:r>
    </w:p>
    <w:p>
      <w:pPr>
        <w:tabs>
          <w:tab w:val="left" w:pos="360"/>
        </w:tabs>
        <w:wordWrap w:val="0"/>
        <w:ind w:firstLine="480"/>
        <w:rPr>
          <w:rFonts w:hint="eastAsia" w:ascii="宋体" w:hAnsi="宋体" w:eastAsia="宋体" w:cs="宋体"/>
          <w:color w:val="000000" w:themeColor="text1"/>
          <w:sz w:val="24"/>
          <w:szCs w:val="24"/>
          <w14:textFill>
            <w14:solidFill>
              <w14:schemeClr w14:val="tx1"/>
            </w14:solidFill>
          </w14:textFill>
        </w:rPr>
      </w:pPr>
    </w:p>
    <w:p>
      <w:pPr>
        <w:tabs>
          <w:tab w:val="left" w:pos="360"/>
        </w:tabs>
        <w:wordWrap w:val="0"/>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地址：   </w:t>
      </w:r>
    </w:p>
    <w:p>
      <w:pPr>
        <w:tabs>
          <w:tab w:val="left" w:pos="360"/>
        </w:tabs>
        <w:wordWrap w:val="0"/>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tabs>
          <w:tab w:val="left" w:pos="360"/>
        </w:tabs>
        <w:wordWrap w:val="0"/>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日期：</w:t>
      </w:r>
    </w:p>
    <w:p>
      <w:pPr>
        <w:tabs>
          <w:tab w:val="left" w:pos="360"/>
        </w:tabs>
        <w:wordWrap w:val="0"/>
        <w:ind w:firstLine="480"/>
        <w:rPr>
          <w:rFonts w:hint="eastAsia" w:ascii="宋体" w:hAnsi="宋体" w:eastAsia="宋体" w:cs="宋体"/>
          <w:color w:val="000000" w:themeColor="text1"/>
          <w:sz w:val="24"/>
          <w:szCs w:val="24"/>
          <w14:textFill>
            <w14:solidFill>
              <w14:schemeClr w14:val="tx1"/>
            </w14:solidFill>
          </w14:textFill>
        </w:rPr>
      </w:pPr>
    </w:p>
    <w:p>
      <w:pPr>
        <w:tabs>
          <w:tab w:val="left" w:pos="360"/>
        </w:tabs>
        <w:wordWrap w:val="0"/>
        <w:ind w:firstLine="480"/>
        <w:rPr>
          <w:rFonts w:hint="eastAsia" w:ascii="宋体" w:hAnsi="宋体" w:eastAsia="宋体" w:cs="宋体"/>
          <w:color w:val="000000" w:themeColor="text1"/>
          <w:sz w:val="24"/>
          <w:szCs w:val="24"/>
          <w14:textFill>
            <w14:solidFill>
              <w14:schemeClr w14:val="tx1"/>
            </w14:solidFill>
          </w14:textFill>
        </w:rPr>
      </w:pPr>
    </w:p>
    <w:p>
      <w:pPr>
        <w:tabs>
          <w:tab w:val="left" w:pos="360"/>
        </w:tabs>
        <w:wordWrap w:val="0"/>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spacing w:line="560" w:lineRule="exact"/>
        <w:rPr>
          <w:rFonts w:hint="eastAsia" w:ascii="宋体" w:hAnsi="宋体" w:eastAsia="宋体" w:cs="宋体"/>
          <w:b/>
          <w:color w:val="000000" w:themeColor="text1"/>
          <w:sz w:val="24"/>
          <w:szCs w:val="24"/>
          <w14:textFill>
            <w14:solidFill>
              <w14:schemeClr w14:val="tx1"/>
            </w14:solidFill>
          </w14:textFill>
        </w:rPr>
      </w:pPr>
    </w:p>
    <w:p>
      <w:pPr>
        <w:spacing w:line="560" w:lineRule="exact"/>
        <w:jc w:val="center"/>
        <w:rPr>
          <w:rFonts w:hint="eastAsia" w:ascii="宋体" w:hAnsi="宋体" w:eastAsia="宋体" w:cs="宋体"/>
          <w:b/>
          <w:color w:val="000000" w:themeColor="text1"/>
          <w:sz w:val="24"/>
          <w:szCs w:val="24"/>
          <w14:textFill>
            <w14:solidFill>
              <w14:schemeClr w14:val="tx1"/>
            </w14:solidFill>
          </w14:textFill>
        </w:rPr>
      </w:pPr>
    </w:p>
    <w:p>
      <w:pPr>
        <w:wordWrap w:val="0"/>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三、</w:t>
      </w:r>
      <w:r>
        <w:rPr>
          <w:rFonts w:hint="eastAsia" w:ascii="宋体" w:hAnsi="宋体" w:eastAsia="宋体" w:cs="宋体"/>
          <w:b/>
          <w:color w:val="000000" w:themeColor="text1"/>
          <w:sz w:val="32"/>
          <w:szCs w:val="32"/>
          <w14:textFill>
            <w14:solidFill>
              <w14:schemeClr w14:val="tx1"/>
            </w14:solidFill>
          </w14:textFill>
        </w:rPr>
        <w:t>谈判响应函</w:t>
      </w:r>
    </w:p>
    <w:p>
      <w:pPr>
        <w:tabs>
          <w:tab w:val="left" w:pos="360"/>
        </w:tabs>
        <w:wordWrap w:val="0"/>
        <w:spacing w:line="560" w:lineRule="exact"/>
        <w:ind w:firstLine="48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（采购人）</w:t>
      </w:r>
    </w:p>
    <w:p>
      <w:pPr>
        <w:tabs>
          <w:tab w:val="left" w:pos="360"/>
        </w:tabs>
        <w:wordWrap w:val="0"/>
        <w:spacing w:line="560" w:lineRule="exact"/>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根据贵方的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号采购文件，正式授权下述签字人_________ (姓名和职务)代表我方______________（供应商的名称），全权处理本次项目谈判采购的有关事宜。</w:t>
      </w:r>
    </w:p>
    <w:p>
      <w:pPr>
        <w:tabs>
          <w:tab w:val="left" w:pos="360"/>
        </w:tabs>
        <w:wordWrap w:val="0"/>
        <w:spacing w:line="560" w:lineRule="exact"/>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据此函，__________（签字人）兹宣布同意如下：</w:t>
      </w:r>
    </w:p>
    <w:p>
      <w:pPr>
        <w:tabs>
          <w:tab w:val="left" w:pos="360"/>
        </w:tabs>
        <w:wordWrap w:val="0"/>
        <w:spacing w:line="560" w:lineRule="exact"/>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1.按采购文件规定的各项要求，向买方提供所需服务。</w:t>
      </w:r>
    </w:p>
    <w:p>
      <w:pPr>
        <w:tabs>
          <w:tab w:val="left" w:pos="360"/>
        </w:tabs>
        <w:wordWrap w:val="0"/>
        <w:spacing w:line="560" w:lineRule="exact"/>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2.我们已详细审核全部采购文件及其有效补充文件，我们知道必须放弃提出含糊不清或误解问题的权利。</w:t>
      </w:r>
    </w:p>
    <w:p>
      <w:pPr>
        <w:tabs>
          <w:tab w:val="left" w:pos="360"/>
        </w:tabs>
        <w:wordWrap w:val="0"/>
        <w:spacing w:line="560" w:lineRule="exact"/>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3.我们同意从规定的响应文件接收截止时间起遵循本响应文件，并在规定的谈判有效期期满之前均具有约束力。</w:t>
      </w:r>
    </w:p>
    <w:p>
      <w:pPr>
        <w:tabs>
          <w:tab w:val="left" w:pos="360"/>
        </w:tabs>
        <w:wordWrap w:val="0"/>
        <w:spacing w:line="560" w:lineRule="exact"/>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4.如果在响应文件接收截止时间后规定的谈判有效期内撤回响应文件或成交后拒绝签订合同，我们的谈判保证金可被贵方没收。</w:t>
      </w:r>
    </w:p>
    <w:p>
      <w:pPr>
        <w:tabs>
          <w:tab w:val="left" w:pos="360"/>
        </w:tabs>
        <w:wordWrap w:val="0"/>
        <w:spacing w:line="560" w:lineRule="exact"/>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5.同意向贵方提供贵方可能另外要求的与谈判采购有关的任何证据或资料，并保证我方已提供和将要提供的文件是真实的、准确的。</w:t>
      </w:r>
    </w:p>
    <w:p>
      <w:pPr>
        <w:tabs>
          <w:tab w:val="left" w:pos="360"/>
        </w:tabs>
        <w:wordWrap w:val="0"/>
        <w:spacing w:line="560" w:lineRule="exact"/>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6.一旦我方成交，我方将根据采购文件的规定，严格履行合同的责任和义务，并保证在采购文件规定的时间完成项目，交付买方验收、使用。</w:t>
      </w:r>
    </w:p>
    <w:p>
      <w:pPr>
        <w:tabs>
          <w:tab w:val="left" w:pos="360"/>
        </w:tabs>
        <w:wordWrap w:val="0"/>
        <w:spacing w:line="560" w:lineRule="exact"/>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7.遵守采购文件中要求的收费项目和标准。</w:t>
      </w:r>
    </w:p>
    <w:p>
      <w:pPr>
        <w:tabs>
          <w:tab w:val="left" w:pos="360"/>
        </w:tabs>
        <w:wordWrap w:val="0"/>
        <w:spacing w:line="560" w:lineRule="exact"/>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8.与本采购有关的正式通讯地址为：</w:t>
      </w:r>
    </w:p>
    <w:p>
      <w:pPr>
        <w:tabs>
          <w:tab w:val="left" w:pos="360"/>
        </w:tabs>
        <w:wordWrap w:val="0"/>
        <w:spacing w:line="560" w:lineRule="exact"/>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                         邮 编：</w:t>
      </w:r>
    </w:p>
    <w:p>
      <w:pPr>
        <w:tabs>
          <w:tab w:val="left" w:pos="360"/>
        </w:tabs>
        <w:wordWrap w:val="0"/>
        <w:spacing w:line="560" w:lineRule="exact"/>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                         传 真：</w:t>
      </w:r>
    </w:p>
    <w:p>
      <w:pPr>
        <w:tabs>
          <w:tab w:val="left" w:pos="360"/>
        </w:tabs>
        <w:wordWrap w:val="0"/>
        <w:spacing w:line="560" w:lineRule="exact"/>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供应商开户行：                  账 户： </w:t>
      </w:r>
    </w:p>
    <w:p>
      <w:pPr>
        <w:tabs>
          <w:tab w:val="left" w:pos="360"/>
        </w:tabs>
        <w:wordWrap w:val="0"/>
        <w:spacing w:line="560" w:lineRule="exact"/>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法定代表人或授权代表姓名（签字）：     联系电话：</w:t>
      </w:r>
    </w:p>
    <w:p>
      <w:pPr>
        <w:tabs>
          <w:tab w:val="left" w:pos="360"/>
        </w:tabs>
        <w:wordWrap w:val="0"/>
        <w:spacing w:line="560" w:lineRule="exact"/>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供应商名称（公章）：            </w:t>
      </w:r>
    </w:p>
    <w:p>
      <w:pPr>
        <w:tabs>
          <w:tab w:val="left" w:pos="360"/>
        </w:tabs>
        <w:wordWrap w:val="0"/>
        <w:spacing w:line="560" w:lineRule="exact"/>
        <w:ind w:firstLine="48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期：________年____月____日</w:t>
      </w:r>
    </w:p>
    <w:p>
      <w:pPr>
        <w:jc w:val="center"/>
        <w:rPr>
          <w:rFonts w:hint="eastAsia" w:ascii="宋体" w:hAnsi="宋体" w:eastAsia="宋体" w:cs="宋体"/>
          <w:b/>
          <w:color w:val="000000" w:themeColor="text1"/>
          <w:sz w:val="32"/>
          <w:szCs w:val="32"/>
          <w14:textFill>
            <w14:solidFill>
              <w14:schemeClr w14:val="tx1"/>
            </w14:solidFill>
          </w14:textFill>
        </w:rPr>
      </w:pPr>
    </w:p>
    <w:p>
      <w:pPr>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四、</w:t>
      </w:r>
      <w:r>
        <w:rPr>
          <w:rFonts w:hint="eastAsia" w:ascii="宋体" w:hAnsi="宋体" w:eastAsia="宋体" w:cs="宋体"/>
          <w:b/>
          <w:color w:val="000000" w:themeColor="text1"/>
          <w:sz w:val="32"/>
          <w:szCs w:val="32"/>
          <w14:textFill>
            <w14:solidFill>
              <w14:schemeClr w14:val="tx1"/>
            </w14:solidFill>
          </w14:textFill>
        </w:rPr>
        <w:t>开标一览表</w:t>
      </w:r>
    </w:p>
    <w:p>
      <w:pPr>
        <w:wordWrap w:val="0"/>
        <w:rPr>
          <w:rFonts w:hint="eastAsia" w:ascii="宋体" w:hAnsi="宋体" w:eastAsia="宋体" w:cs="宋体"/>
          <w:color w:val="000000" w:themeColor="text1"/>
          <w:sz w:val="36"/>
          <w:szCs w:val="36"/>
          <w14:textFill>
            <w14:solidFill>
              <w14:schemeClr w14:val="tx1"/>
            </w14:solidFill>
          </w14:textFill>
        </w:rPr>
      </w:pPr>
    </w:p>
    <w:tbl>
      <w:tblPr>
        <w:tblStyle w:val="45"/>
        <w:tblW w:w="1014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ordWrap w:val="0"/>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 目 编 号</w:t>
            </w:r>
          </w:p>
        </w:tc>
        <w:tc>
          <w:tcPr>
            <w:tcW w:w="7445" w:type="dxa"/>
            <w:tcBorders>
              <w:top w:val="single" w:color="auto" w:sz="4" w:space="0"/>
              <w:left w:val="single" w:color="auto" w:sz="4" w:space="0"/>
              <w:bottom w:val="single" w:color="auto" w:sz="4" w:space="0"/>
              <w:right w:val="single" w:color="auto" w:sz="4" w:space="0"/>
            </w:tcBorders>
            <w:vAlign w:val="center"/>
          </w:tcPr>
          <w:p>
            <w:pPr>
              <w:wordWrap w:val="0"/>
              <w:spacing w:before="260" w:after="260" w:line="415" w:lineRule="auto"/>
              <w:outlineLvl w:val="1"/>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2019-005S-3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ordWrap w:val="0"/>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 目 名 称</w:t>
            </w:r>
          </w:p>
        </w:tc>
        <w:tc>
          <w:tcPr>
            <w:tcW w:w="7445" w:type="dxa"/>
            <w:tcBorders>
              <w:top w:val="single" w:color="auto" w:sz="4" w:space="0"/>
              <w:left w:val="single" w:color="auto" w:sz="4" w:space="0"/>
              <w:bottom w:val="single" w:color="auto" w:sz="4" w:space="0"/>
              <w:right w:val="single" w:color="auto" w:sz="4" w:space="0"/>
            </w:tcBorders>
            <w:vAlign w:val="center"/>
          </w:tcPr>
          <w:p>
            <w:pPr>
              <w:wordWrap w:val="0"/>
              <w:spacing w:before="260" w:after="260" w:line="415"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盐城工业职业技术学院汽车工程学院2018-2019第二学期机械类实训耗材</w:t>
            </w:r>
            <w:r>
              <w:rPr>
                <w:rFonts w:hint="eastAsia" w:ascii="宋体" w:hAnsi="宋体" w:eastAsia="宋体" w:cs="宋体"/>
                <w:b/>
                <w:color w:val="000000" w:themeColor="text1"/>
                <w:sz w:val="28"/>
                <w:szCs w:val="28"/>
                <w14:textFill>
                  <w14:solidFill>
                    <w14:schemeClr w14:val="tx1"/>
                  </w14:solidFill>
                </w14:textFill>
              </w:rPr>
              <w:t>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项目投标报价：（大写）</w:t>
            </w:r>
            <w:r>
              <w:rPr>
                <w:rFonts w:hint="eastAsia" w:ascii="宋体" w:hAnsi="宋体" w:eastAsia="宋体" w:cs="宋体"/>
                <w:b/>
                <w:color w:val="000000" w:themeColor="text1"/>
                <w:u w:val="single"/>
                <w14:textFill>
                  <w14:solidFill>
                    <w14:schemeClr w14:val="tx1"/>
                  </w14:solidFill>
                </w14:textFill>
              </w:rPr>
              <w:t xml:space="preserve">                       </w:t>
            </w:r>
            <w:r>
              <w:rPr>
                <w:rFonts w:hint="eastAsia" w:ascii="宋体" w:hAnsi="宋体" w:eastAsia="宋体" w:cs="宋体"/>
                <w:b/>
                <w:color w:val="000000" w:themeColor="text1"/>
                <w14:textFill>
                  <w14:solidFill>
                    <w14:schemeClr w14:val="tx1"/>
                  </w14:solidFill>
                </w14:textFill>
              </w:rPr>
              <w:t>，小写：</w:t>
            </w:r>
            <w:r>
              <w:rPr>
                <w:rFonts w:hint="eastAsia" w:ascii="宋体" w:hAnsi="宋体" w:eastAsia="宋体" w:cs="宋体"/>
                <w:b/>
                <w:color w:val="000000" w:themeColor="text1"/>
                <w:u w:val="single"/>
                <w14:textFill>
                  <w14:solidFill>
                    <w14:schemeClr w14:val="tx1"/>
                  </w14:solidFill>
                </w14:textFill>
              </w:rPr>
              <w:t xml:space="preserve">                     </w:t>
            </w:r>
            <w:r>
              <w:rPr>
                <w:rFonts w:hint="eastAsia" w:ascii="宋体" w:hAnsi="宋体" w:eastAsia="宋体" w:cs="宋体"/>
                <w:b/>
                <w:color w:val="000000" w:themeColor="text1"/>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项目负责人：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工期：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9"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保证金形式：</w:t>
            </w:r>
          </w:p>
        </w:tc>
      </w:tr>
    </w:tbl>
    <w:p>
      <w:pPr>
        <w:wordWrap w:val="0"/>
        <w:spacing w:line="180" w:lineRule="atLeas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填写说明：</w:t>
      </w:r>
    </w:p>
    <w:p>
      <w:pPr>
        <w:widowControl/>
        <w:numPr>
          <w:ilvl w:val="0"/>
          <w:numId w:val="2"/>
        </w:numPr>
        <w:wordWrap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开标一览表不得填报选择性报价，否则将作为无效投标；</w:t>
      </w:r>
    </w:p>
    <w:p>
      <w:pPr>
        <w:widowControl/>
        <w:numPr>
          <w:ilvl w:val="0"/>
          <w:numId w:val="2"/>
        </w:numPr>
        <w:wordWrap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开标一览表中报价与投标分项明细报价表中不符时时，以开标一览表为准；</w:t>
      </w:r>
    </w:p>
    <w:p>
      <w:pPr>
        <w:wordWrap w:val="0"/>
        <w:ind w:firstLine="2640"/>
        <w:rPr>
          <w:rFonts w:hint="eastAsia" w:ascii="宋体" w:hAnsi="宋体" w:eastAsia="宋体" w:cs="宋体"/>
          <w:color w:val="000000" w:themeColor="text1"/>
          <w:sz w:val="44"/>
          <w:szCs w:val="44"/>
          <w14:textFill>
            <w14:solidFill>
              <w14:schemeClr w14:val="tx1"/>
            </w14:solidFill>
          </w14:textFill>
        </w:rPr>
      </w:pPr>
    </w:p>
    <w:p>
      <w:pPr>
        <w:wordWrap w:val="0"/>
        <w:ind w:firstLine="2640"/>
        <w:rPr>
          <w:rFonts w:hint="eastAsia" w:ascii="宋体" w:hAnsi="宋体" w:eastAsia="宋体" w:cs="宋体"/>
          <w:color w:val="000000" w:themeColor="text1"/>
          <w:sz w:val="44"/>
          <w:szCs w:val="44"/>
          <w14:textFill>
            <w14:solidFill>
              <w14:schemeClr w14:val="tx1"/>
            </w14:solidFill>
          </w14:textFill>
        </w:rPr>
      </w:pPr>
    </w:p>
    <w:p>
      <w:pPr>
        <w:wordWrap w:val="0"/>
        <w:spacing w:line="348" w:lineRule="auto"/>
        <w:ind w:firstLine="285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谈判供应商（单位公章）：</w:t>
      </w:r>
    </w:p>
    <w:p>
      <w:pPr>
        <w:wordWrap w:val="0"/>
        <w:spacing w:line="348" w:lineRule="auto"/>
        <w:ind w:firstLine="3900"/>
        <w:rPr>
          <w:rFonts w:hint="eastAsia" w:ascii="宋体" w:hAnsi="宋体" w:eastAsia="宋体" w:cs="宋体"/>
          <w:color w:val="000000" w:themeColor="text1"/>
          <w:sz w:val="30"/>
          <w:szCs w:val="30"/>
          <w14:textFill>
            <w14:solidFill>
              <w14:schemeClr w14:val="tx1"/>
            </w14:solidFill>
          </w14:textFill>
        </w:rPr>
      </w:pPr>
    </w:p>
    <w:p>
      <w:pPr>
        <w:wordWrap w:val="0"/>
        <w:spacing w:line="348" w:lineRule="auto"/>
        <w:ind w:firstLine="285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法定代表人或授权代表（签字或盖章）：</w:t>
      </w:r>
    </w:p>
    <w:p>
      <w:pPr>
        <w:wordWrap w:val="0"/>
        <w:spacing w:line="348" w:lineRule="auto"/>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 xml:space="preserve">                                       </w:t>
      </w:r>
    </w:p>
    <w:p>
      <w:pPr>
        <w:wordWrap w:val="0"/>
        <w:spacing w:line="348" w:lineRule="auto"/>
        <w:ind w:firstLine="2850"/>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日 期：</w:t>
      </w:r>
      <w:r>
        <w:rPr>
          <w:rFonts w:hint="eastAsia" w:ascii="宋体" w:hAnsi="宋体" w:eastAsia="宋体" w:cs="宋体"/>
          <w:color w:val="000000" w:themeColor="text1"/>
          <w:sz w:val="30"/>
          <w:szCs w:val="30"/>
          <w:u w:val="single"/>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年</w:t>
      </w:r>
      <w:r>
        <w:rPr>
          <w:rFonts w:hint="eastAsia" w:ascii="宋体" w:hAnsi="宋体" w:eastAsia="宋体" w:cs="宋体"/>
          <w:color w:val="000000" w:themeColor="text1"/>
          <w:sz w:val="30"/>
          <w:szCs w:val="30"/>
          <w:u w:val="single"/>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月</w:t>
      </w:r>
      <w:r>
        <w:rPr>
          <w:rFonts w:hint="eastAsia" w:ascii="宋体" w:hAnsi="宋体" w:eastAsia="宋体" w:cs="宋体"/>
          <w:color w:val="000000" w:themeColor="text1"/>
          <w:sz w:val="30"/>
          <w:szCs w:val="30"/>
          <w:u w:val="single"/>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日</w:t>
      </w:r>
    </w:p>
    <w:p>
      <w:pPr>
        <w:wordWrap w:val="0"/>
        <w:snapToGrid w:val="0"/>
        <w:spacing w:before="50" w:after="50"/>
        <w:outlineLvl w:val="1"/>
        <w:rPr>
          <w:rFonts w:hint="eastAsia" w:ascii="宋体" w:hAnsi="宋体" w:eastAsia="宋体" w:cs="宋体"/>
          <w:b/>
          <w:color w:val="000000" w:themeColor="text1"/>
          <w:sz w:val="32"/>
          <w:szCs w:val="32"/>
          <w14:textFill>
            <w14:solidFill>
              <w14:schemeClr w14:val="tx1"/>
            </w14:solidFill>
          </w14:textFill>
        </w:rPr>
      </w:pPr>
    </w:p>
    <w:p>
      <w:pPr>
        <w:wordWrap w:val="0"/>
        <w:snapToGrid w:val="0"/>
        <w:spacing w:before="50" w:after="50"/>
        <w:jc w:val="center"/>
        <w:outlineLvl w:val="1"/>
        <w:rPr>
          <w:rFonts w:hint="eastAsia" w:ascii="宋体" w:hAnsi="宋体" w:eastAsia="宋体" w:cs="宋体"/>
          <w:b/>
          <w:color w:val="000000" w:themeColor="text1"/>
          <w:sz w:val="32"/>
          <w:szCs w:val="32"/>
          <w14:textFill>
            <w14:solidFill>
              <w14:schemeClr w14:val="tx1"/>
            </w14:solidFill>
          </w14:textFill>
        </w:rPr>
      </w:pP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五、</w:t>
      </w:r>
      <w:r>
        <w:rPr>
          <w:rFonts w:hint="eastAsia" w:ascii="宋体" w:hAnsi="宋体" w:eastAsia="宋体" w:cs="宋体"/>
          <w:b/>
          <w:color w:val="000000" w:themeColor="text1"/>
          <w:sz w:val="32"/>
          <w:szCs w:val="32"/>
          <w14:textFill>
            <w14:solidFill>
              <w14:schemeClr w14:val="tx1"/>
            </w14:solidFill>
          </w14:textFill>
        </w:rPr>
        <w:t>投标配置与分项报价表</w:t>
      </w:r>
    </w:p>
    <w:p>
      <w:pPr>
        <w:spacing w:after="145" w:afterLines="50" w:line="5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r>
        <w:rPr>
          <w:rFonts w:hint="eastAsia" w:ascii="宋体" w:hAnsi="宋体" w:eastAsia="宋体" w:cs="宋体"/>
          <w:bCs/>
          <w:color w:val="000000" w:themeColor="text1"/>
          <w:sz w:val="24"/>
          <w:lang w:eastAsia="zh-CN"/>
          <w14:textFill>
            <w14:solidFill>
              <w14:schemeClr w14:val="tx1"/>
            </w14:solidFill>
          </w14:textFill>
        </w:rPr>
        <w:t>盐城工业职业技术学院汽车工程学院2018-2019第二学期机械类实训耗材</w:t>
      </w:r>
      <w:r>
        <w:rPr>
          <w:rFonts w:hint="eastAsia" w:ascii="宋体" w:hAnsi="宋体" w:eastAsia="宋体" w:cs="宋体"/>
          <w:bCs/>
          <w:color w:val="000000" w:themeColor="text1"/>
          <w:sz w:val="24"/>
          <w14:textFill>
            <w14:solidFill>
              <w14:schemeClr w14:val="tx1"/>
            </w14:solidFill>
          </w14:textFill>
        </w:rPr>
        <w:t>采购项目</w:t>
      </w:r>
    </w:p>
    <w:p>
      <w:pPr>
        <w:pStyle w:val="24"/>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w:t>
      </w:r>
      <w:r>
        <w:rPr>
          <w:rFonts w:hint="eastAsia" w:ascii="宋体" w:hAnsi="宋体" w:eastAsia="宋体" w:cs="宋体"/>
          <w:color w:val="000000" w:themeColor="text1"/>
          <w:lang w:eastAsia="zh-CN"/>
          <w14:textFill>
            <w14:solidFill>
              <w14:schemeClr w14:val="tx1"/>
            </w14:solidFill>
          </w14:textFill>
        </w:rPr>
        <w:t>2019-005S-3</w:t>
      </w:r>
      <w:r>
        <w:rPr>
          <w:rFonts w:hint="eastAsia" w:ascii="宋体" w:hAnsi="宋体" w:eastAsia="宋体" w:cs="宋体"/>
          <w:color w:val="000000" w:themeColor="text1"/>
          <w14:textFill>
            <w14:solidFill>
              <w14:schemeClr w14:val="tx1"/>
            </w14:solidFill>
          </w14:textFill>
        </w:rPr>
        <w:t xml:space="preserve">                                                 </w:t>
      </w:r>
    </w:p>
    <w:tbl>
      <w:tblPr>
        <w:tblStyle w:val="4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83"/>
        <w:gridCol w:w="1488"/>
        <w:gridCol w:w="10"/>
        <w:gridCol w:w="1070"/>
        <w:gridCol w:w="1080"/>
        <w:gridCol w:w="1080"/>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设备名称</w:t>
            </w: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品牌型号</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单价</w:t>
            </w: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产地</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单项</w:t>
            </w: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合计价</w:t>
            </w: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353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总报价</w:t>
            </w:r>
          </w:p>
        </w:tc>
        <w:tc>
          <w:tcPr>
            <w:tcW w:w="5570"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人民币（大写）：</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圆整</w:t>
            </w:r>
          </w:p>
          <w:p>
            <w:pPr>
              <w:spacing w:line="360" w:lineRule="auto"/>
              <w:jc w:val="distribute"/>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p>
        </w:tc>
      </w:tr>
    </w:tbl>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法定代表人或者授权代表人（签字或盖章）：                    </w:t>
      </w:r>
    </w:p>
    <w:p>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谈判供应商全称（盖章）：</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日期：    年   月    日</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价格构成或报价要求：</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1、此表可以根据需要自行增减行数，且该表报价非本次谈判中的最后报价。</w:t>
      </w:r>
    </w:p>
    <w:p>
      <w:pPr>
        <w:spacing w:line="360" w:lineRule="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2、项目如有分包，请各谈判供应商按投报的分包分别列表。</w:t>
      </w:r>
    </w:p>
    <w:p>
      <w:pPr>
        <w:wordWrap w:val="0"/>
        <w:ind w:firstLine="420"/>
        <w:rPr>
          <w:rFonts w:hint="eastAsia" w:ascii="宋体" w:hAnsi="宋体" w:eastAsia="宋体" w:cs="宋体"/>
          <w:b/>
          <w:color w:val="000000" w:themeColor="text1"/>
          <w:sz w:val="32"/>
          <w:szCs w:val="32"/>
          <w14:textFill>
            <w14:solidFill>
              <w14:schemeClr w14:val="tx1"/>
            </w14:solidFill>
          </w14:textFill>
        </w:rPr>
      </w:pPr>
    </w:p>
    <w:p>
      <w:pPr>
        <w:wordWrap w:val="0"/>
        <w:ind w:firstLine="420"/>
        <w:rPr>
          <w:rFonts w:hint="eastAsia" w:ascii="宋体" w:hAnsi="宋体" w:eastAsia="宋体" w:cs="宋体"/>
          <w:b/>
          <w:color w:val="000000" w:themeColor="text1"/>
          <w:sz w:val="32"/>
          <w:szCs w:val="32"/>
          <w14:textFill>
            <w14:solidFill>
              <w14:schemeClr w14:val="tx1"/>
            </w14:solidFill>
          </w14:textFill>
        </w:rPr>
      </w:pPr>
    </w:p>
    <w:p>
      <w:pPr>
        <w:wordWrap w:val="0"/>
        <w:ind w:firstLine="420"/>
        <w:rPr>
          <w:rFonts w:hint="eastAsia" w:ascii="宋体" w:hAnsi="宋体" w:eastAsia="宋体" w:cs="宋体"/>
          <w:b/>
          <w:color w:val="000000" w:themeColor="text1"/>
          <w:sz w:val="32"/>
          <w:szCs w:val="32"/>
          <w14:textFill>
            <w14:solidFill>
              <w14:schemeClr w14:val="tx1"/>
            </w14:solidFill>
          </w14:textFill>
        </w:rPr>
      </w:pPr>
    </w:p>
    <w:p>
      <w:pPr>
        <w:wordWrap w:val="0"/>
        <w:ind w:firstLine="420"/>
        <w:rPr>
          <w:rFonts w:hint="eastAsia" w:ascii="宋体" w:hAnsi="宋体" w:eastAsia="宋体" w:cs="宋体"/>
          <w:b/>
          <w:color w:val="000000" w:themeColor="text1"/>
          <w:sz w:val="32"/>
          <w:szCs w:val="32"/>
          <w14:textFill>
            <w14:solidFill>
              <w14:schemeClr w14:val="tx1"/>
            </w14:solidFill>
          </w14:textFill>
        </w:rPr>
      </w:pPr>
    </w:p>
    <w:p>
      <w:pPr>
        <w:wordWrap w:val="0"/>
        <w:ind w:firstLine="420"/>
        <w:rPr>
          <w:rFonts w:hint="eastAsia" w:ascii="宋体" w:hAnsi="宋体" w:eastAsia="宋体" w:cs="宋体"/>
          <w:b/>
          <w:color w:val="000000" w:themeColor="text1"/>
          <w:sz w:val="32"/>
          <w:szCs w:val="32"/>
          <w14:textFill>
            <w14:solidFill>
              <w14:schemeClr w14:val="tx1"/>
            </w14:solidFill>
          </w14:textFill>
        </w:rPr>
      </w:pPr>
    </w:p>
    <w:p>
      <w:pPr>
        <w:wordWrap w:val="0"/>
        <w:spacing w:line="360" w:lineRule="auto"/>
        <w:rPr>
          <w:rFonts w:hint="eastAsia" w:ascii="宋体" w:hAnsi="宋体" w:eastAsia="宋体" w:cs="宋体"/>
          <w:b/>
          <w:color w:val="000000" w:themeColor="text1"/>
          <w:sz w:val="32"/>
          <w:szCs w:val="32"/>
          <w14:textFill>
            <w14:solidFill>
              <w14:schemeClr w14:val="tx1"/>
            </w14:solidFill>
          </w14:textFill>
        </w:rPr>
      </w:pPr>
    </w:p>
    <w:p>
      <w:pPr>
        <w:wordWrap w:val="0"/>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六</w:t>
      </w:r>
      <w:r>
        <w:rPr>
          <w:rFonts w:hint="eastAsia" w:ascii="宋体" w:hAnsi="宋体" w:eastAsia="宋体" w:cs="宋体"/>
          <w:b/>
          <w:color w:val="000000" w:themeColor="text1"/>
          <w:sz w:val="32"/>
          <w:szCs w:val="32"/>
          <w14:textFill>
            <w14:solidFill>
              <w14:schemeClr w14:val="tx1"/>
            </w14:solidFill>
          </w14:textFill>
        </w:rPr>
        <w:t>、技术参数</w:t>
      </w:r>
      <w:r>
        <w:rPr>
          <w:rFonts w:hint="eastAsia" w:ascii="宋体" w:hAnsi="宋体" w:eastAsia="宋体" w:cs="宋体"/>
          <w:b/>
          <w:color w:val="000000" w:themeColor="text1"/>
          <w:sz w:val="32"/>
          <w:szCs w:val="32"/>
          <w:lang w:eastAsia="zh-CN"/>
          <w14:textFill>
            <w14:solidFill>
              <w14:schemeClr w14:val="tx1"/>
            </w14:solidFill>
          </w14:textFill>
        </w:rPr>
        <w:t>、</w:t>
      </w:r>
      <w:r>
        <w:rPr>
          <w:rFonts w:hint="eastAsia" w:ascii="宋体" w:hAnsi="宋体" w:eastAsia="宋体" w:cs="宋体"/>
          <w:b/>
          <w:color w:val="000000" w:themeColor="text1"/>
          <w:sz w:val="32"/>
          <w:szCs w:val="32"/>
          <w14:textFill>
            <w14:solidFill>
              <w14:schemeClr w14:val="tx1"/>
            </w14:solidFill>
          </w14:textFill>
        </w:rPr>
        <w:t>商务条款响应及偏离表（如有）</w:t>
      </w:r>
    </w:p>
    <w:p>
      <w:pPr>
        <w:jc w:val="center"/>
        <w:rPr>
          <w:rFonts w:hint="eastAsia" w:ascii="宋体" w:hAnsi="宋体" w:eastAsia="宋体" w:cs="宋体"/>
        </w:rPr>
      </w:pPr>
    </w:p>
    <w:p>
      <w:pPr>
        <w:jc w:val="both"/>
        <w:rPr>
          <w:rFonts w:hint="eastAsia" w:ascii="宋体" w:hAnsi="宋体" w:eastAsia="宋体" w:cs="宋体"/>
        </w:rPr>
      </w:pPr>
    </w:p>
    <w:p>
      <w:pPr>
        <w:jc w:val="center"/>
        <w:rPr>
          <w:rFonts w:hint="eastAsia" w:ascii="宋体" w:hAnsi="宋体" w:eastAsia="宋体" w:cs="宋体"/>
        </w:rPr>
      </w:pPr>
    </w:p>
    <w:p>
      <w:pPr>
        <w:jc w:val="center"/>
        <w:rPr>
          <w:rFonts w:hint="eastAsia" w:ascii="宋体" w:hAnsi="宋体" w:eastAsia="宋体" w:cs="宋体"/>
        </w:rPr>
      </w:pPr>
      <w:r>
        <w:rPr>
          <w:rFonts w:hint="eastAsia" w:ascii="宋体" w:hAnsi="宋体" w:eastAsia="宋体" w:cs="宋体"/>
          <w:sz w:val="44"/>
          <w:szCs w:val="44"/>
        </w:rPr>
        <w:t>响应</w:t>
      </w:r>
      <w:r>
        <w:rPr>
          <w:rFonts w:hint="eastAsia" w:ascii="宋体" w:hAnsi="宋体" w:eastAsia="宋体" w:cs="宋体"/>
          <w:sz w:val="44"/>
          <w:szCs w:val="44"/>
          <w:lang w:eastAsia="zh-CN"/>
        </w:rPr>
        <w:t>谈判</w:t>
      </w:r>
      <w:r>
        <w:rPr>
          <w:rFonts w:hint="eastAsia" w:ascii="宋体" w:hAnsi="宋体" w:eastAsia="宋体" w:cs="宋体"/>
          <w:sz w:val="44"/>
          <w:szCs w:val="44"/>
        </w:rPr>
        <w:t>文件，无偏离。</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ind w:firstLine="3900" w:firstLineChars="1300"/>
        <w:rPr>
          <w:rFonts w:hint="eastAsia" w:ascii="宋体" w:hAnsi="宋体" w:eastAsia="宋体" w:cs="宋体"/>
          <w:sz w:val="30"/>
          <w:szCs w:val="30"/>
        </w:rPr>
      </w:pPr>
      <w:r>
        <w:rPr>
          <w:rFonts w:hint="eastAsia" w:ascii="宋体" w:hAnsi="宋体" w:eastAsia="宋体" w:cs="宋体"/>
          <w:sz w:val="30"/>
          <w:szCs w:val="30"/>
          <w:lang w:eastAsia="zh-CN"/>
        </w:rPr>
        <w:t>谈判供应商</w:t>
      </w:r>
      <w:r>
        <w:rPr>
          <w:rFonts w:hint="eastAsia" w:ascii="宋体" w:hAnsi="宋体" w:eastAsia="宋体" w:cs="宋体"/>
          <w:sz w:val="30"/>
          <w:szCs w:val="30"/>
        </w:rPr>
        <w:t xml:space="preserve">（加盖公章）：       </w:t>
      </w:r>
    </w:p>
    <w:p>
      <w:pPr>
        <w:ind w:firstLine="3900" w:firstLineChars="1300"/>
        <w:rPr>
          <w:rFonts w:hint="eastAsia" w:ascii="宋体" w:hAnsi="宋体" w:eastAsia="宋体" w:cs="宋体"/>
          <w:sz w:val="30"/>
          <w:szCs w:val="30"/>
        </w:rPr>
      </w:pPr>
      <w:r>
        <w:rPr>
          <w:rFonts w:hint="eastAsia" w:ascii="宋体" w:hAnsi="宋体" w:eastAsia="宋体" w:cs="宋体"/>
          <w:sz w:val="30"/>
          <w:szCs w:val="30"/>
        </w:rPr>
        <w:t>法定代表人或授权代表签字：</w:t>
      </w: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rPr>
      </w:pPr>
    </w:p>
    <w:p>
      <w:pPr>
        <w:outlineLvl w:val="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br w:type="page"/>
      </w:r>
    </w:p>
    <w:p>
      <w:pPr>
        <w:jc w:val="center"/>
        <w:outlineLvl w:val="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lang w:eastAsia="zh-CN"/>
          <w14:textFill>
            <w14:solidFill>
              <w14:schemeClr w14:val="tx1"/>
            </w14:solidFill>
          </w14:textFill>
        </w:rPr>
        <w:t>七</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eastAsia="宋体" w:cs="宋体"/>
          <w:b/>
          <w:color w:val="000000" w:themeColor="text1"/>
          <w:sz w:val="30"/>
          <w:szCs w:val="30"/>
          <w:lang w:eastAsia="zh-CN"/>
          <w14:textFill>
            <w14:solidFill>
              <w14:schemeClr w14:val="tx1"/>
            </w14:solidFill>
          </w14:textFill>
        </w:rPr>
        <w:t>谈判</w:t>
      </w:r>
      <w:r>
        <w:rPr>
          <w:rFonts w:hint="eastAsia" w:ascii="宋体" w:hAnsi="宋体" w:eastAsia="宋体" w:cs="宋体"/>
          <w:b/>
          <w:color w:val="000000" w:themeColor="text1"/>
          <w:sz w:val="30"/>
          <w:szCs w:val="30"/>
          <w14:textFill>
            <w14:solidFill>
              <w14:schemeClr w14:val="tx1"/>
            </w14:solidFill>
          </w14:textFill>
        </w:rPr>
        <w:t>文件中规定要求提供的材料或谈判供应商认为需要提供的其他材料</w:t>
      </w:r>
    </w:p>
    <w:p>
      <w:pPr>
        <w:jc w:val="center"/>
        <w:outlineLvl w:val="0"/>
        <w:rPr>
          <w:rFonts w:hint="eastAsia" w:ascii="宋体" w:hAnsi="宋体" w:eastAsia="宋体" w:cs="宋体"/>
          <w:b/>
          <w:color w:val="000000" w:themeColor="text1"/>
          <w:sz w:val="30"/>
          <w:szCs w:val="30"/>
          <w14:textFill>
            <w14:solidFill>
              <w14:schemeClr w14:val="tx1"/>
            </w14:solidFill>
          </w14:textFill>
        </w:rPr>
      </w:pPr>
    </w:p>
    <w:p>
      <w:pPr>
        <w:jc w:val="center"/>
        <w:outlineLvl w:val="0"/>
        <w:rPr>
          <w:rFonts w:hint="eastAsia" w:ascii="宋体" w:hAnsi="宋体" w:eastAsia="宋体" w:cs="宋体"/>
          <w:b/>
          <w:color w:val="000000" w:themeColor="text1"/>
          <w:sz w:val="30"/>
          <w:szCs w:val="30"/>
          <w14:textFill>
            <w14:solidFill>
              <w14:schemeClr w14:val="tx1"/>
            </w14:solidFill>
          </w14:textFill>
        </w:rPr>
      </w:pPr>
    </w:p>
    <w:p>
      <w:pPr>
        <w:jc w:val="center"/>
        <w:outlineLvl w:val="0"/>
        <w:rPr>
          <w:rFonts w:hint="eastAsia" w:ascii="宋体" w:hAnsi="宋体" w:eastAsia="宋体" w:cs="宋体"/>
          <w:b/>
          <w:color w:val="000000" w:themeColor="text1"/>
          <w:sz w:val="30"/>
          <w:szCs w:val="30"/>
          <w14:textFill>
            <w14:solidFill>
              <w14:schemeClr w14:val="tx1"/>
            </w14:solidFill>
          </w14:textFill>
        </w:rPr>
      </w:pPr>
    </w:p>
    <w:p>
      <w:pPr>
        <w:jc w:val="center"/>
        <w:outlineLvl w:val="0"/>
        <w:rPr>
          <w:rFonts w:hint="eastAsia" w:ascii="宋体" w:hAnsi="宋体" w:eastAsia="宋体" w:cs="宋体"/>
          <w:b/>
          <w:color w:val="000000" w:themeColor="text1"/>
          <w:sz w:val="30"/>
          <w:szCs w:val="30"/>
          <w14:textFill>
            <w14:solidFill>
              <w14:schemeClr w14:val="tx1"/>
            </w14:solidFill>
          </w14:textFill>
        </w:rPr>
      </w:pPr>
    </w:p>
    <w:p>
      <w:pPr>
        <w:jc w:val="center"/>
        <w:outlineLvl w:val="0"/>
        <w:rPr>
          <w:rFonts w:hint="eastAsia" w:ascii="宋体" w:hAnsi="宋体" w:eastAsia="宋体" w:cs="宋体"/>
          <w:b/>
          <w:color w:val="000000" w:themeColor="text1"/>
          <w:sz w:val="30"/>
          <w:szCs w:val="30"/>
          <w14:textFill>
            <w14:solidFill>
              <w14:schemeClr w14:val="tx1"/>
            </w14:solidFill>
          </w14:textFill>
        </w:rPr>
      </w:pPr>
    </w:p>
    <w:p>
      <w:pPr>
        <w:jc w:val="center"/>
        <w:outlineLvl w:val="0"/>
        <w:rPr>
          <w:rFonts w:hint="eastAsia" w:ascii="宋体" w:hAnsi="宋体" w:eastAsia="宋体" w:cs="宋体"/>
          <w:b/>
          <w:color w:val="000000" w:themeColor="text1"/>
          <w:sz w:val="30"/>
          <w:szCs w:val="30"/>
          <w14:textFill>
            <w14:solidFill>
              <w14:schemeClr w14:val="tx1"/>
            </w14:solidFill>
          </w14:textFill>
        </w:rPr>
      </w:pPr>
    </w:p>
    <w:p>
      <w:pPr>
        <w:jc w:val="center"/>
        <w:outlineLvl w:val="0"/>
        <w:rPr>
          <w:rFonts w:hint="eastAsia" w:ascii="宋体" w:hAnsi="宋体" w:eastAsia="宋体" w:cs="宋体"/>
          <w:b/>
          <w:color w:val="000000" w:themeColor="text1"/>
          <w:sz w:val="30"/>
          <w:szCs w:val="30"/>
          <w14:textFill>
            <w14:solidFill>
              <w14:schemeClr w14:val="tx1"/>
            </w14:solidFill>
          </w14:textFill>
        </w:rPr>
      </w:pPr>
    </w:p>
    <w:p>
      <w:pPr>
        <w:jc w:val="center"/>
        <w:outlineLvl w:val="0"/>
        <w:rPr>
          <w:rFonts w:hint="eastAsia" w:ascii="宋体" w:hAnsi="宋体" w:eastAsia="宋体" w:cs="宋体"/>
          <w:b/>
          <w:color w:val="000000" w:themeColor="text1"/>
          <w:sz w:val="30"/>
          <w:szCs w:val="30"/>
          <w14:textFill>
            <w14:solidFill>
              <w14:schemeClr w14:val="tx1"/>
            </w14:solidFill>
          </w14:textFill>
        </w:rPr>
      </w:pPr>
    </w:p>
    <w:p>
      <w:pPr>
        <w:jc w:val="center"/>
        <w:outlineLvl w:val="0"/>
        <w:rPr>
          <w:rFonts w:hint="eastAsia" w:ascii="宋体" w:hAnsi="宋体" w:eastAsia="宋体" w:cs="宋体"/>
          <w:b/>
          <w:color w:val="000000" w:themeColor="text1"/>
          <w:sz w:val="30"/>
          <w:szCs w:val="30"/>
          <w14:textFill>
            <w14:solidFill>
              <w14:schemeClr w14:val="tx1"/>
            </w14:solidFill>
          </w14:textFill>
        </w:rPr>
      </w:pPr>
    </w:p>
    <w:p>
      <w:pPr>
        <w:jc w:val="center"/>
        <w:outlineLvl w:val="0"/>
        <w:rPr>
          <w:rFonts w:hint="eastAsia" w:ascii="宋体" w:hAnsi="宋体" w:eastAsia="宋体" w:cs="宋体"/>
          <w:b/>
          <w:color w:val="000000" w:themeColor="text1"/>
          <w:sz w:val="30"/>
          <w:szCs w:val="30"/>
          <w14:textFill>
            <w14:solidFill>
              <w14:schemeClr w14:val="tx1"/>
            </w14:solidFill>
          </w14:textFill>
        </w:rPr>
      </w:pPr>
    </w:p>
    <w:p>
      <w:pPr>
        <w:jc w:val="center"/>
        <w:outlineLvl w:val="0"/>
        <w:rPr>
          <w:rFonts w:hint="eastAsia" w:ascii="宋体" w:hAnsi="宋体" w:eastAsia="宋体" w:cs="宋体"/>
          <w:b/>
          <w:color w:val="000000" w:themeColor="text1"/>
          <w:sz w:val="30"/>
          <w:szCs w:val="30"/>
          <w14:textFill>
            <w14:solidFill>
              <w14:schemeClr w14:val="tx1"/>
            </w14:solidFill>
          </w14:textFill>
        </w:rPr>
      </w:pPr>
    </w:p>
    <w:p>
      <w:pPr>
        <w:jc w:val="center"/>
        <w:outlineLvl w:val="0"/>
        <w:rPr>
          <w:rFonts w:hint="eastAsia" w:ascii="宋体" w:hAnsi="宋体" w:eastAsia="宋体" w:cs="宋体"/>
          <w:b/>
          <w:color w:val="000000" w:themeColor="text1"/>
          <w:sz w:val="30"/>
          <w:szCs w:val="30"/>
          <w14:textFill>
            <w14:solidFill>
              <w14:schemeClr w14:val="tx1"/>
            </w14:solidFill>
          </w14:textFill>
        </w:rPr>
      </w:pPr>
    </w:p>
    <w:p>
      <w:pPr>
        <w:jc w:val="center"/>
        <w:outlineLvl w:val="0"/>
        <w:rPr>
          <w:rFonts w:hint="eastAsia" w:ascii="宋体" w:hAnsi="宋体" w:eastAsia="宋体" w:cs="宋体"/>
          <w:b/>
          <w:color w:val="000000" w:themeColor="text1"/>
          <w:sz w:val="30"/>
          <w:szCs w:val="30"/>
          <w14:textFill>
            <w14:solidFill>
              <w14:schemeClr w14:val="tx1"/>
            </w14:solidFill>
          </w14:textFill>
        </w:rPr>
      </w:pPr>
    </w:p>
    <w:p>
      <w:pPr>
        <w:jc w:val="center"/>
        <w:outlineLvl w:val="0"/>
        <w:rPr>
          <w:rFonts w:hint="eastAsia" w:ascii="宋体" w:hAnsi="宋体" w:eastAsia="宋体" w:cs="宋体"/>
          <w:b/>
          <w:color w:val="000000" w:themeColor="text1"/>
          <w:sz w:val="30"/>
          <w:szCs w:val="30"/>
          <w14:textFill>
            <w14:solidFill>
              <w14:schemeClr w14:val="tx1"/>
            </w14:solidFill>
          </w14:textFill>
        </w:rPr>
      </w:pPr>
    </w:p>
    <w:p>
      <w:pPr>
        <w:jc w:val="center"/>
        <w:outlineLvl w:val="0"/>
        <w:rPr>
          <w:rFonts w:hint="eastAsia" w:ascii="宋体" w:hAnsi="宋体" w:eastAsia="宋体" w:cs="宋体"/>
          <w:b/>
          <w:color w:val="000000" w:themeColor="text1"/>
          <w:sz w:val="30"/>
          <w:szCs w:val="30"/>
          <w14:textFill>
            <w14:solidFill>
              <w14:schemeClr w14:val="tx1"/>
            </w14:solidFill>
          </w14:textFill>
        </w:rPr>
      </w:pPr>
    </w:p>
    <w:p>
      <w:pPr>
        <w:jc w:val="center"/>
        <w:outlineLvl w:val="0"/>
        <w:rPr>
          <w:rFonts w:hint="eastAsia" w:ascii="宋体" w:hAnsi="宋体" w:eastAsia="宋体" w:cs="宋体"/>
          <w:b/>
          <w:color w:val="000000" w:themeColor="text1"/>
          <w:sz w:val="30"/>
          <w:szCs w:val="30"/>
          <w14:textFill>
            <w14:solidFill>
              <w14:schemeClr w14:val="tx1"/>
            </w14:solidFill>
          </w14:textFill>
        </w:rPr>
      </w:pPr>
    </w:p>
    <w:p>
      <w:pPr>
        <w:jc w:val="center"/>
        <w:outlineLvl w:val="0"/>
        <w:rPr>
          <w:rFonts w:hint="eastAsia" w:ascii="宋体" w:hAnsi="宋体" w:eastAsia="宋体" w:cs="宋体"/>
          <w:b/>
          <w:color w:val="000000" w:themeColor="text1"/>
          <w:sz w:val="30"/>
          <w:szCs w:val="30"/>
          <w14:textFill>
            <w14:solidFill>
              <w14:schemeClr w14:val="tx1"/>
            </w14:solidFill>
          </w14:textFill>
        </w:rPr>
      </w:pPr>
    </w:p>
    <w:p>
      <w:pPr>
        <w:jc w:val="center"/>
        <w:outlineLvl w:val="0"/>
        <w:rPr>
          <w:rFonts w:hint="eastAsia" w:ascii="宋体" w:hAnsi="宋体" w:eastAsia="宋体" w:cs="宋体"/>
          <w:b/>
          <w:color w:val="000000" w:themeColor="text1"/>
          <w:sz w:val="30"/>
          <w:szCs w:val="30"/>
          <w14:textFill>
            <w14:solidFill>
              <w14:schemeClr w14:val="tx1"/>
            </w14:solidFill>
          </w14:textFill>
        </w:rPr>
      </w:pPr>
    </w:p>
    <w:p>
      <w:pPr>
        <w:jc w:val="center"/>
        <w:outlineLvl w:val="0"/>
        <w:rPr>
          <w:rFonts w:hint="eastAsia" w:ascii="宋体" w:hAnsi="宋体" w:eastAsia="宋体" w:cs="宋体"/>
          <w:b/>
          <w:color w:val="000000" w:themeColor="text1"/>
          <w:sz w:val="30"/>
          <w:szCs w:val="30"/>
          <w14:textFill>
            <w14:solidFill>
              <w14:schemeClr w14:val="tx1"/>
            </w14:solidFill>
          </w14:textFill>
        </w:rPr>
      </w:pPr>
    </w:p>
    <w:bookmarkEnd w:id="86"/>
    <w:bookmarkEnd w:id="87"/>
    <w:bookmarkEnd w:id="89"/>
    <w:bookmarkEnd w:id="90"/>
    <w:bookmarkEnd w:id="91"/>
    <w:p>
      <w:pPr>
        <w:spacing w:line="276" w:lineRule="auto"/>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sectPr>
      <w:footerReference r:id="rId6" w:type="default"/>
      <w:footerReference r:id="rId7" w:type="even"/>
      <w:pgSz w:w="11906" w:h="16838"/>
      <w:pgMar w:top="93" w:right="1418" w:bottom="1418" w:left="1418" w:header="851" w:footer="907" w:gutter="0"/>
      <w:pgNumType w:fmt="decimal"/>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微软雅黑"/>
    <w:panose1 w:val="00000000000000000000"/>
    <w:charset w:val="7A"/>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0000000000000000000"/>
    <w:charset w:val="7A"/>
    <w:family w:val="script"/>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b/>
        <w:i/>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54</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Style w:val="49"/>
        <w:rFonts w:ascii="Times New Roman" w:hAnsi="Times New Roman" w:eastAsia="宋体"/>
      </w:rPr>
    </w:pPr>
    <w:r>
      <w:fldChar w:fldCharType="begin"/>
    </w:r>
    <w:r>
      <w:instrText xml:space="preserve">PAGE  \* MERGEFORMAT</w:instrText>
    </w:r>
    <w:r>
      <w:fldChar w:fldCharType="separate"/>
    </w:r>
    <w:r>
      <w:rPr>
        <w:rStyle w:val="49"/>
        <w:rFonts w:ascii="Times New Roman" w:hAnsi="Times New Roman" w:eastAsia="宋体"/>
      </w:rPr>
      <w:t>41</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000000" w:sz="6" w:space="0"/>
      </w:pBdr>
      <w:rPr>
        <w:rFonts w:hAnsi="隶书" w:eastAsia="隶书"/>
        <w:spacing w:val="40"/>
        <w:sz w:val="21"/>
        <w:szCs w:val="21"/>
      </w:rPr>
    </w:pPr>
    <w:r>
      <w:rPr>
        <w:rFonts w:hint="eastAsia" w:eastAsia="隶书"/>
        <w:color w:val="FF0000"/>
        <w:spacing w:val="40"/>
        <w:sz w:val="21"/>
        <w:szCs w:val="21"/>
      </w:rPr>
      <w:t>201</w:t>
    </w:r>
    <w:r>
      <w:rPr>
        <w:rFonts w:hint="eastAsia" w:eastAsia="隶书"/>
        <w:color w:val="FF0000"/>
        <w:spacing w:val="40"/>
        <w:sz w:val="21"/>
        <w:szCs w:val="21"/>
        <w:lang w:val="en-US" w:eastAsia="zh-CN"/>
      </w:rPr>
      <w:t>9-005</w:t>
    </w:r>
    <w:r>
      <w:rPr>
        <w:rFonts w:hint="eastAsia" w:eastAsia="隶书"/>
        <w:color w:val="FF0000"/>
        <w:spacing w:val="40"/>
        <w:sz w:val="21"/>
        <w:szCs w:val="21"/>
        <w:lang w:eastAsia="zh-CN"/>
      </w:rPr>
      <w:t>S-3</w:t>
    </w:r>
    <w:r>
      <w:rPr>
        <w:rFonts w:hAnsi="隶书" w:eastAsia="隶书"/>
        <w:spacing w:val="40"/>
        <w:sz w:val="21"/>
        <w:szCs w:val="21"/>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2F000000"/>
    <w:lvl w:ilvl="0"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abstractNum>
  <w:abstractNum w:abstractNumId="1">
    <w:nsid w:val="2F000002"/>
    <w:multiLevelType w:val="multilevel"/>
    <w:tmpl w:val="2F000002"/>
    <w:lvl w:ilvl="0"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1"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2"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3"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4"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5"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6"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7"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8"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3C"/>
    <w:rsid w:val="0003314B"/>
    <w:rsid w:val="00094040"/>
    <w:rsid w:val="000C05AB"/>
    <w:rsid w:val="0012793D"/>
    <w:rsid w:val="00130568"/>
    <w:rsid w:val="00163CD2"/>
    <w:rsid w:val="001D1681"/>
    <w:rsid w:val="001D54EC"/>
    <w:rsid w:val="001E0FBC"/>
    <w:rsid w:val="001E3384"/>
    <w:rsid w:val="00292CFF"/>
    <w:rsid w:val="00332D70"/>
    <w:rsid w:val="003537D8"/>
    <w:rsid w:val="00374CCC"/>
    <w:rsid w:val="00386E32"/>
    <w:rsid w:val="003A5C39"/>
    <w:rsid w:val="003D464E"/>
    <w:rsid w:val="003E5B43"/>
    <w:rsid w:val="00407450"/>
    <w:rsid w:val="00435B1A"/>
    <w:rsid w:val="00490948"/>
    <w:rsid w:val="004B7110"/>
    <w:rsid w:val="004C1A01"/>
    <w:rsid w:val="004C53AD"/>
    <w:rsid w:val="004F3471"/>
    <w:rsid w:val="0050499C"/>
    <w:rsid w:val="00570F2C"/>
    <w:rsid w:val="005E33A1"/>
    <w:rsid w:val="00616FC0"/>
    <w:rsid w:val="006A7100"/>
    <w:rsid w:val="00730A45"/>
    <w:rsid w:val="0074474F"/>
    <w:rsid w:val="007559EF"/>
    <w:rsid w:val="00790DF3"/>
    <w:rsid w:val="007910B1"/>
    <w:rsid w:val="007C6EEB"/>
    <w:rsid w:val="007D1AFF"/>
    <w:rsid w:val="0084660B"/>
    <w:rsid w:val="00881C45"/>
    <w:rsid w:val="008E63C0"/>
    <w:rsid w:val="00970648"/>
    <w:rsid w:val="0099752C"/>
    <w:rsid w:val="00A10999"/>
    <w:rsid w:val="00A37BE4"/>
    <w:rsid w:val="00A97859"/>
    <w:rsid w:val="00AA6152"/>
    <w:rsid w:val="00B15038"/>
    <w:rsid w:val="00B25F53"/>
    <w:rsid w:val="00B61A41"/>
    <w:rsid w:val="00BC166E"/>
    <w:rsid w:val="00C011FD"/>
    <w:rsid w:val="00C057BA"/>
    <w:rsid w:val="00C55E00"/>
    <w:rsid w:val="00CF54AE"/>
    <w:rsid w:val="00D47691"/>
    <w:rsid w:val="00D92AF3"/>
    <w:rsid w:val="00DB2ADB"/>
    <w:rsid w:val="00DE771E"/>
    <w:rsid w:val="00E05A3C"/>
    <w:rsid w:val="00E06BCE"/>
    <w:rsid w:val="00E21837"/>
    <w:rsid w:val="00E22B02"/>
    <w:rsid w:val="00E94B1E"/>
    <w:rsid w:val="00F51397"/>
    <w:rsid w:val="00F52FA8"/>
    <w:rsid w:val="00F54778"/>
    <w:rsid w:val="00F601EE"/>
    <w:rsid w:val="00F870AC"/>
    <w:rsid w:val="00F962D2"/>
    <w:rsid w:val="00FA2175"/>
    <w:rsid w:val="00FC4920"/>
    <w:rsid w:val="03943A1E"/>
    <w:rsid w:val="094C41D1"/>
    <w:rsid w:val="0A66282B"/>
    <w:rsid w:val="0FA2557A"/>
    <w:rsid w:val="100E552D"/>
    <w:rsid w:val="1190679F"/>
    <w:rsid w:val="224665C0"/>
    <w:rsid w:val="23F334B0"/>
    <w:rsid w:val="26A0553F"/>
    <w:rsid w:val="2AE73D3B"/>
    <w:rsid w:val="31EF255F"/>
    <w:rsid w:val="37DA0ACD"/>
    <w:rsid w:val="3C0957DA"/>
    <w:rsid w:val="404676F4"/>
    <w:rsid w:val="427B711E"/>
    <w:rsid w:val="44C97BC1"/>
    <w:rsid w:val="48BD14E3"/>
    <w:rsid w:val="48DC0277"/>
    <w:rsid w:val="48E05694"/>
    <w:rsid w:val="4CCF0BA0"/>
    <w:rsid w:val="4CE27E15"/>
    <w:rsid w:val="4CF939A1"/>
    <w:rsid w:val="5881362E"/>
    <w:rsid w:val="5A4C2B26"/>
    <w:rsid w:val="5FFE6BD2"/>
    <w:rsid w:val="61C322AB"/>
    <w:rsid w:val="67E14695"/>
    <w:rsid w:val="689700D3"/>
    <w:rsid w:val="69CA38A6"/>
    <w:rsid w:val="7902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name="FollowedHyperlink"/>
    <w:lsdException w:qFormat="1" w:unhideWhenUsed="0" w:uiPriority="20" w:semiHidden="0" w:name="Strong"/>
    <w:lsdException w:qFormat="1" w:unhideWhenUsed="0" w:uiPriority="18"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8"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9"/>
    <w:pPr>
      <w:keepNext/>
      <w:widowControl/>
      <w:jc w:val="center"/>
      <w:outlineLvl w:val="0"/>
    </w:pPr>
    <w:rPr>
      <w:rFonts w:ascii="楷体_GB2312" w:hAnsi="楷体_GB2312" w:eastAsia="楷体_GB2312" w:cs="Times New Roman"/>
      <w:kern w:val="0"/>
      <w:sz w:val="28"/>
      <w:szCs w:val="28"/>
    </w:rPr>
  </w:style>
  <w:style w:type="paragraph" w:styleId="3">
    <w:name w:val="heading 2"/>
    <w:basedOn w:val="1"/>
    <w:next w:val="1"/>
    <w:link w:val="57"/>
    <w:qFormat/>
    <w:uiPriority w:val="9"/>
    <w:pPr>
      <w:keepNext/>
      <w:keepLines/>
      <w:widowControl/>
      <w:jc w:val="center"/>
      <w:outlineLvl w:val="1"/>
    </w:pPr>
    <w:rPr>
      <w:rFonts w:ascii="Arial" w:hAnsi="Arial" w:eastAsia="幼圆" w:cs="Times New Roman"/>
      <w:b/>
      <w:kern w:val="0"/>
      <w:sz w:val="44"/>
      <w:szCs w:val="44"/>
    </w:rPr>
  </w:style>
  <w:style w:type="paragraph" w:styleId="4">
    <w:name w:val="heading 3"/>
    <w:basedOn w:val="1"/>
    <w:next w:val="1"/>
    <w:link w:val="58"/>
    <w:qFormat/>
    <w:uiPriority w:val="9"/>
    <w:pPr>
      <w:keepNext/>
      <w:keepLines/>
      <w:widowControl/>
      <w:outlineLvl w:val="2"/>
    </w:pPr>
    <w:rPr>
      <w:rFonts w:ascii="Times New Roman" w:hAnsi="Times New Roman" w:eastAsia="宋体" w:cs="Times New Roman"/>
      <w:b/>
      <w:kern w:val="0"/>
      <w:sz w:val="32"/>
      <w:szCs w:val="32"/>
    </w:rPr>
  </w:style>
  <w:style w:type="paragraph" w:styleId="5">
    <w:name w:val="heading 4"/>
    <w:basedOn w:val="1"/>
    <w:next w:val="1"/>
    <w:link w:val="59"/>
    <w:qFormat/>
    <w:uiPriority w:val="9"/>
    <w:pPr>
      <w:keepNext/>
      <w:keepLines/>
      <w:widowControl/>
      <w:outlineLvl w:val="3"/>
    </w:pPr>
    <w:rPr>
      <w:rFonts w:ascii="Arial" w:hAnsi="Arial" w:eastAsia="黑体" w:cs="Times New Roman"/>
      <w:b/>
      <w:kern w:val="0"/>
      <w:sz w:val="28"/>
      <w:szCs w:val="28"/>
    </w:rPr>
  </w:style>
  <w:style w:type="paragraph" w:styleId="6">
    <w:name w:val="heading 5"/>
    <w:basedOn w:val="1"/>
    <w:next w:val="1"/>
    <w:link w:val="60"/>
    <w:qFormat/>
    <w:uiPriority w:val="9"/>
    <w:pPr>
      <w:keepNext/>
      <w:widowControl/>
      <w:autoSpaceDE w:val="0"/>
      <w:autoSpaceDN w:val="0"/>
      <w:outlineLvl w:val="4"/>
    </w:pPr>
    <w:rPr>
      <w:rFonts w:ascii="宋体" w:hAnsi="宋体" w:eastAsia="宋体" w:cs="Times New Roman"/>
      <w:color w:val="000000"/>
      <w:kern w:val="0"/>
      <w:sz w:val="28"/>
      <w:szCs w:val="28"/>
    </w:rPr>
  </w:style>
  <w:style w:type="paragraph" w:styleId="7">
    <w:name w:val="heading 6"/>
    <w:basedOn w:val="1"/>
    <w:next w:val="1"/>
    <w:link w:val="61"/>
    <w:qFormat/>
    <w:uiPriority w:val="9"/>
    <w:pPr>
      <w:keepNext/>
      <w:keepLines/>
      <w:widowControl/>
      <w:outlineLvl w:val="5"/>
    </w:pPr>
    <w:rPr>
      <w:rFonts w:ascii="Arial" w:hAnsi="Arial" w:eastAsia="黑体" w:cs="Times New Roman"/>
      <w:b/>
      <w:kern w:val="0"/>
      <w:sz w:val="24"/>
      <w:szCs w:val="24"/>
    </w:rPr>
  </w:style>
  <w:style w:type="paragraph" w:styleId="8">
    <w:name w:val="heading 7"/>
    <w:basedOn w:val="1"/>
    <w:next w:val="1"/>
    <w:link w:val="62"/>
    <w:qFormat/>
    <w:uiPriority w:val="13"/>
    <w:pPr>
      <w:keepNext/>
      <w:keepLines/>
      <w:widowControl/>
      <w:outlineLvl w:val="6"/>
    </w:pPr>
    <w:rPr>
      <w:rFonts w:ascii="Times New Roman" w:hAnsi="Times New Roman" w:eastAsia="宋体" w:cs="Times New Roman"/>
      <w:b/>
      <w:kern w:val="0"/>
      <w:sz w:val="24"/>
      <w:szCs w:val="24"/>
    </w:rPr>
  </w:style>
  <w:style w:type="paragraph" w:styleId="9">
    <w:name w:val="heading 8"/>
    <w:basedOn w:val="1"/>
    <w:next w:val="1"/>
    <w:link w:val="63"/>
    <w:qFormat/>
    <w:uiPriority w:val="14"/>
    <w:pPr>
      <w:keepNext/>
      <w:keepLines/>
      <w:widowControl/>
      <w:outlineLvl w:val="7"/>
    </w:pPr>
    <w:rPr>
      <w:rFonts w:ascii="Arial" w:hAnsi="Arial" w:eastAsia="黑体" w:cs="Times New Roman"/>
      <w:kern w:val="0"/>
      <w:sz w:val="24"/>
      <w:szCs w:val="24"/>
    </w:rPr>
  </w:style>
  <w:style w:type="paragraph" w:styleId="10">
    <w:name w:val="heading 9"/>
    <w:basedOn w:val="1"/>
    <w:next w:val="1"/>
    <w:link w:val="64"/>
    <w:qFormat/>
    <w:uiPriority w:val="15"/>
    <w:pPr>
      <w:keepNext/>
      <w:keepLines/>
      <w:widowControl/>
      <w:outlineLvl w:val="8"/>
    </w:pPr>
    <w:rPr>
      <w:rFonts w:ascii="Arial" w:hAnsi="Arial" w:eastAsia="黑体" w:cs="Times New Roman"/>
      <w:kern w:val="0"/>
      <w:sz w:val="2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widowControl/>
      <w:ind w:left="100" w:hanging="200"/>
    </w:pPr>
    <w:rPr>
      <w:rFonts w:ascii="Times New Roman" w:hAnsi="Times New Roman" w:eastAsia="宋体" w:cs="Times New Roman"/>
      <w:kern w:val="0"/>
      <w:szCs w:val="21"/>
    </w:rPr>
  </w:style>
  <w:style w:type="paragraph" w:styleId="12">
    <w:name w:val="toc 7"/>
    <w:basedOn w:val="1"/>
    <w:next w:val="1"/>
    <w:qFormat/>
    <w:uiPriority w:val="34"/>
    <w:pPr>
      <w:widowControl/>
      <w:ind w:left="1260"/>
    </w:pPr>
    <w:rPr>
      <w:rFonts w:ascii="Times New Roman" w:hAnsi="Times New Roman" w:eastAsia="宋体" w:cs="Times New Roman"/>
      <w:kern w:val="0"/>
      <w:szCs w:val="21"/>
    </w:rPr>
  </w:style>
  <w:style w:type="paragraph" w:styleId="13">
    <w:name w:val="Normal Indent"/>
    <w:basedOn w:val="1"/>
    <w:link w:val="86"/>
    <w:qFormat/>
    <w:uiPriority w:val="0"/>
    <w:pPr>
      <w:widowControl/>
      <w:ind w:firstLine="420"/>
    </w:pPr>
    <w:rPr>
      <w:szCs w:val="21"/>
    </w:rPr>
  </w:style>
  <w:style w:type="paragraph" w:styleId="14">
    <w:name w:val="Document Map"/>
    <w:basedOn w:val="1"/>
    <w:link w:val="77"/>
    <w:semiHidden/>
    <w:qFormat/>
    <w:uiPriority w:val="0"/>
    <w:pPr>
      <w:widowControl/>
      <w:shd w:val="clear" w:color="000000" w:fill="000080"/>
    </w:pPr>
    <w:rPr>
      <w:rFonts w:ascii="Times New Roman" w:hAnsi="Times New Roman" w:eastAsia="Times New Roman"/>
      <w:szCs w:val="21"/>
    </w:rPr>
  </w:style>
  <w:style w:type="paragraph" w:styleId="15">
    <w:name w:val="annotation text"/>
    <w:basedOn w:val="1"/>
    <w:link w:val="65"/>
    <w:semiHidden/>
    <w:qFormat/>
    <w:uiPriority w:val="0"/>
    <w:pPr>
      <w:widowControl/>
    </w:pPr>
    <w:rPr>
      <w:rFonts w:ascii="Times New Roman" w:hAnsi="Times New Roman" w:eastAsia="Times New Roman"/>
      <w:szCs w:val="21"/>
    </w:rPr>
  </w:style>
  <w:style w:type="paragraph" w:styleId="16">
    <w:name w:val="Body Text 3"/>
    <w:basedOn w:val="1"/>
    <w:link w:val="78"/>
    <w:qFormat/>
    <w:uiPriority w:val="0"/>
    <w:pPr>
      <w:widowControl/>
    </w:pPr>
    <w:rPr>
      <w:rFonts w:ascii="仿宋_GB2312" w:hAnsi="仿宋_GB2312" w:eastAsia="Times New Roman"/>
      <w:sz w:val="32"/>
      <w:szCs w:val="32"/>
    </w:rPr>
  </w:style>
  <w:style w:type="paragraph" w:styleId="17">
    <w:name w:val="Body Text"/>
    <w:basedOn w:val="1"/>
    <w:link w:val="74"/>
    <w:qFormat/>
    <w:uiPriority w:val="0"/>
    <w:pPr>
      <w:widowControl/>
    </w:pPr>
    <w:rPr>
      <w:rFonts w:ascii="Times New Roman" w:hAnsi="Times New Roman" w:eastAsia="Times New Roman"/>
      <w:szCs w:val="21"/>
    </w:rPr>
  </w:style>
  <w:style w:type="paragraph" w:styleId="18">
    <w:name w:val="Body Text Indent"/>
    <w:basedOn w:val="1"/>
    <w:link w:val="81"/>
    <w:qFormat/>
    <w:uiPriority w:val="0"/>
    <w:pPr>
      <w:widowControl/>
      <w:ind w:firstLine="645"/>
    </w:pPr>
    <w:rPr>
      <w:rFonts w:ascii="楷体_GB2312" w:hAnsi="楷体_GB2312" w:eastAsia="Times New Roman"/>
      <w:sz w:val="32"/>
      <w:szCs w:val="32"/>
    </w:rPr>
  </w:style>
  <w:style w:type="paragraph" w:styleId="19">
    <w:name w:val="List 2"/>
    <w:basedOn w:val="1"/>
    <w:qFormat/>
    <w:uiPriority w:val="0"/>
    <w:pPr>
      <w:widowControl/>
      <w:ind w:left="100" w:hanging="200"/>
    </w:pPr>
    <w:rPr>
      <w:rFonts w:ascii="Times New Roman" w:hAnsi="Times New Roman" w:eastAsia="宋体" w:cs="Times New Roman"/>
      <w:kern w:val="0"/>
      <w:szCs w:val="21"/>
    </w:rPr>
  </w:style>
  <w:style w:type="paragraph" w:styleId="20">
    <w:name w:val="toc 5"/>
    <w:basedOn w:val="1"/>
    <w:next w:val="1"/>
    <w:qFormat/>
    <w:uiPriority w:val="32"/>
    <w:pPr>
      <w:widowControl/>
      <w:ind w:left="840"/>
    </w:pPr>
    <w:rPr>
      <w:rFonts w:ascii="Times New Roman" w:hAnsi="Times New Roman" w:eastAsia="宋体" w:cs="Times New Roman"/>
      <w:kern w:val="0"/>
      <w:szCs w:val="21"/>
    </w:rPr>
  </w:style>
  <w:style w:type="paragraph" w:styleId="21">
    <w:name w:val="toc 3"/>
    <w:basedOn w:val="1"/>
    <w:next w:val="1"/>
    <w:qFormat/>
    <w:uiPriority w:val="30"/>
    <w:pPr>
      <w:widowControl/>
      <w:ind w:left="420"/>
    </w:pPr>
    <w:rPr>
      <w:rFonts w:ascii="Times New Roman" w:hAnsi="Times New Roman" w:eastAsia="宋体" w:cs="Times New Roman"/>
      <w:i/>
      <w:kern w:val="0"/>
      <w:sz w:val="20"/>
      <w:szCs w:val="20"/>
    </w:rPr>
  </w:style>
  <w:style w:type="paragraph" w:styleId="22">
    <w:name w:val="Plain Text"/>
    <w:basedOn w:val="1"/>
    <w:link w:val="82"/>
    <w:qFormat/>
    <w:uiPriority w:val="0"/>
    <w:pPr>
      <w:widowControl/>
    </w:pPr>
    <w:rPr>
      <w:rFonts w:ascii="宋体" w:hAnsi="宋体" w:eastAsia="Times New Roman"/>
      <w:szCs w:val="21"/>
    </w:rPr>
  </w:style>
  <w:style w:type="paragraph" w:styleId="23">
    <w:name w:val="toc 8"/>
    <w:basedOn w:val="1"/>
    <w:next w:val="1"/>
    <w:qFormat/>
    <w:uiPriority w:val="35"/>
    <w:pPr>
      <w:widowControl/>
      <w:ind w:left="1470"/>
    </w:pPr>
    <w:rPr>
      <w:rFonts w:ascii="Times New Roman" w:hAnsi="Times New Roman" w:eastAsia="宋体" w:cs="Times New Roman"/>
      <w:kern w:val="0"/>
      <w:szCs w:val="21"/>
    </w:rPr>
  </w:style>
  <w:style w:type="paragraph" w:styleId="24">
    <w:name w:val="Date"/>
    <w:basedOn w:val="1"/>
    <w:next w:val="1"/>
    <w:link w:val="83"/>
    <w:qFormat/>
    <w:uiPriority w:val="0"/>
    <w:pPr>
      <w:widowControl/>
    </w:pPr>
    <w:rPr>
      <w:rFonts w:ascii="Times New Roman" w:hAnsi="Times New Roman" w:eastAsia="Times New Roman"/>
      <w:sz w:val="24"/>
      <w:szCs w:val="24"/>
    </w:rPr>
  </w:style>
  <w:style w:type="paragraph" w:styleId="25">
    <w:name w:val="Body Text Indent 2"/>
    <w:basedOn w:val="1"/>
    <w:link w:val="84"/>
    <w:qFormat/>
    <w:uiPriority w:val="0"/>
    <w:pPr>
      <w:widowControl/>
      <w:ind w:left="630" w:firstLine="645"/>
    </w:pPr>
    <w:rPr>
      <w:rFonts w:ascii="Arial" w:hAnsi="Arial" w:eastAsia="Times New Roman"/>
      <w:sz w:val="32"/>
      <w:szCs w:val="32"/>
    </w:rPr>
  </w:style>
  <w:style w:type="paragraph" w:styleId="26">
    <w:name w:val="Balloon Text"/>
    <w:basedOn w:val="1"/>
    <w:link w:val="85"/>
    <w:semiHidden/>
    <w:qFormat/>
    <w:uiPriority w:val="0"/>
    <w:pPr>
      <w:widowControl/>
    </w:pPr>
    <w:rPr>
      <w:rFonts w:ascii="Times New Roman" w:hAnsi="Times New Roman" w:eastAsia="Times New Roman"/>
      <w:sz w:val="18"/>
      <w:szCs w:val="18"/>
    </w:rPr>
  </w:style>
  <w:style w:type="paragraph" w:styleId="27">
    <w:name w:val="footer"/>
    <w:basedOn w:val="1"/>
    <w:link w:val="55"/>
    <w:unhideWhenUsed/>
    <w:qFormat/>
    <w:uiPriority w:val="99"/>
    <w:pPr>
      <w:tabs>
        <w:tab w:val="center" w:pos="4153"/>
        <w:tab w:val="right" w:pos="8306"/>
      </w:tabs>
      <w:snapToGrid w:val="0"/>
      <w:jc w:val="left"/>
    </w:pPr>
    <w:rPr>
      <w:sz w:val="18"/>
      <w:szCs w:val="18"/>
    </w:rPr>
  </w:style>
  <w:style w:type="paragraph" w:styleId="28">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28"/>
    <w:pPr>
      <w:widowControl/>
      <w:tabs>
        <w:tab w:val="right" w:leader="dot" w:pos="8720"/>
      </w:tabs>
    </w:pPr>
    <w:rPr>
      <w:rFonts w:ascii="宋体" w:hAnsi="宋体" w:eastAsia="宋体" w:cs="Times New Roman"/>
      <w:caps/>
      <w:kern w:val="0"/>
      <w:sz w:val="24"/>
      <w:szCs w:val="24"/>
    </w:rPr>
  </w:style>
  <w:style w:type="paragraph" w:styleId="30">
    <w:name w:val="toc 4"/>
    <w:basedOn w:val="1"/>
    <w:next w:val="1"/>
    <w:qFormat/>
    <w:uiPriority w:val="31"/>
    <w:pPr>
      <w:widowControl/>
      <w:ind w:left="630"/>
    </w:pPr>
    <w:rPr>
      <w:rFonts w:ascii="Times New Roman" w:hAnsi="Times New Roman" w:eastAsia="宋体" w:cs="Times New Roman"/>
      <w:kern w:val="0"/>
      <w:szCs w:val="21"/>
    </w:rPr>
  </w:style>
  <w:style w:type="paragraph" w:styleId="31">
    <w:name w:val="Subtitle"/>
    <w:basedOn w:val="1"/>
    <w:link w:val="87"/>
    <w:qFormat/>
    <w:uiPriority w:val="0"/>
    <w:pPr>
      <w:widowControl/>
      <w:jc w:val="center"/>
    </w:pPr>
    <w:rPr>
      <w:rFonts w:ascii="Calibri" w:hAnsi="Calibri" w:eastAsia="Times New Roman"/>
      <w:sz w:val="24"/>
      <w:szCs w:val="24"/>
    </w:rPr>
  </w:style>
  <w:style w:type="paragraph" w:styleId="32">
    <w:name w:val="List"/>
    <w:basedOn w:val="1"/>
    <w:qFormat/>
    <w:uiPriority w:val="0"/>
    <w:pPr>
      <w:widowControl/>
      <w:ind w:left="200" w:hanging="200"/>
    </w:pPr>
    <w:rPr>
      <w:rFonts w:ascii="Times New Roman" w:hAnsi="Times New Roman" w:eastAsia="宋体" w:cs="Times New Roman"/>
      <w:kern w:val="0"/>
      <w:szCs w:val="21"/>
    </w:rPr>
  </w:style>
  <w:style w:type="paragraph" w:styleId="33">
    <w:name w:val="toc 6"/>
    <w:basedOn w:val="1"/>
    <w:next w:val="1"/>
    <w:qFormat/>
    <w:uiPriority w:val="33"/>
    <w:pPr>
      <w:widowControl/>
      <w:ind w:left="1050"/>
    </w:pPr>
    <w:rPr>
      <w:rFonts w:ascii="Times New Roman" w:hAnsi="Times New Roman" w:eastAsia="宋体" w:cs="Times New Roman"/>
      <w:kern w:val="0"/>
      <w:szCs w:val="21"/>
    </w:rPr>
  </w:style>
  <w:style w:type="paragraph" w:styleId="34">
    <w:name w:val="Body Text Indent 3"/>
    <w:basedOn w:val="1"/>
    <w:link w:val="69"/>
    <w:qFormat/>
    <w:uiPriority w:val="0"/>
    <w:pPr>
      <w:widowControl/>
      <w:ind w:left="645" w:firstLine="645"/>
    </w:pPr>
    <w:rPr>
      <w:rFonts w:ascii="Arial" w:hAnsi="Arial" w:eastAsia="Times New Roman"/>
      <w:color w:val="FFFF00"/>
      <w:sz w:val="32"/>
      <w:szCs w:val="32"/>
    </w:rPr>
  </w:style>
  <w:style w:type="paragraph" w:styleId="35">
    <w:name w:val="table of figures"/>
    <w:basedOn w:val="1"/>
    <w:next w:val="1"/>
    <w:semiHidden/>
    <w:qFormat/>
    <w:uiPriority w:val="0"/>
    <w:pPr>
      <w:widowControl/>
      <w:ind w:left="840" w:hanging="420"/>
    </w:pPr>
    <w:rPr>
      <w:rFonts w:ascii="Times New Roman" w:hAnsi="Times New Roman" w:eastAsia="宋体" w:cs="Times New Roman"/>
      <w:kern w:val="0"/>
      <w:szCs w:val="21"/>
    </w:rPr>
  </w:style>
  <w:style w:type="paragraph" w:styleId="36">
    <w:name w:val="toc 2"/>
    <w:basedOn w:val="1"/>
    <w:next w:val="1"/>
    <w:qFormat/>
    <w:uiPriority w:val="29"/>
    <w:pPr>
      <w:widowControl/>
      <w:ind w:left="210"/>
    </w:pPr>
    <w:rPr>
      <w:rFonts w:ascii="Times New Roman" w:hAnsi="Times New Roman" w:eastAsia="宋体" w:cs="Times New Roman"/>
      <w:smallCaps/>
      <w:kern w:val="0"/>
      <w:sz w:val="20"/>
      <w:szCs w:val="20"/>
    </w:rPr>
  </w:style>
  <w:style w:type="paragraph" w:styleId="37">
    <w:name w:val="toc 9"/>
    <w:basedOn w:val="1"/>
    <w:next w:val="1"/>
    <w:qFormat/>
    <w:uiPriority w:val="36"/>
    <w:pPr>
      <w:widowControl/>
      <w:ind w:left="1680"/>
    </w:pPr>
    <w:rPr>
      <w:rFonts w:ascii="Times New Roman" w:hAnsi="Times New Roman" w:eastAsia="宋体" w:cs="Times New Roman"/>
      <w:kern w:val="0"/>
      <w:szCs w:val="21"/>
    </w:rPr>
  </w:style>
  <w:style w:type="paragraph" w:styleId="38">
    <w:name w:val="Body Text 2"/>
    <w:basedOn w:val="1"/>
    <w:link w:val="88"/>
    <w:qFormat/>
    <w:uiPriority w:val="0"/>
    <w:pPr>
      <w:widowControl/>
      <w:jc w:val="center"/>
    </w:pPr>
    <w:rPr>
      <w:rFonts w:ascii="楷体_GB2312" w:hAnsi="楷体_GB2312" w:eastAsia="Times New Roman"/>
      <w:sz w:val="28"/>
      <w:szCs w:val="28"/>
    </w:rPr>
  </w:style>
  <w:style w:type="paragraph" w:styleId="39">
    <w:name w:val="Normal (Web)"/>
    <w:basedOn w:val="1"/>
    <w:qFormat/>
    <w:uiPriority w:val="0"/>
    <w:pPr>
      <w:widowControl/>
    </w:pPr>
    <w:rPr>
      <w:rFonts w:ascii="宋体" w:hAnsi="宋体" w:eastAsia="宋体" w:cs="Times New Roman"/>
      <w:kern w:val="0"/>
      <w:sz w:val="24"/>
      <w:szCs w:val="24"/>
    </w:rPr>
  </w:style>
  <w:style w:type="paragraph" w:styleId="40">
    <w:name w:val="index 1"/>
    <w:basedOn w:val="1"/>
    <w:next w:val="1"/>
    <w:semiHidden/>
    <w:qFormat/>
    <w:uiPriority w:val="0"/>
    <w:pPr>
      <w:widowControl/>
    </w:pPr>
    <w:rPr>
      <w:rFonts w:ascii="Times New Roman" w:hAnsi="Times New Roman" w:eastAsia="宋体" w:cs="Times New Roman"/>
      <w:b/>
      <w:kern w:val="0"/>
      <w:sz w:val="20"/>
      <w:szCs w:val="20"/>
    </w:rPr>
  </w:style>
  <w:style w:type="paragraph" w:styleId="41">
    <w:name w:val="Title"/>
    <w:basedOn w:val="1"/>
    <w:link w:val="89"/>
    <w:qFormat/>
    <w:uiPriority w:val="0"/>
    <w:pPr>
      <w:widowControl/>
      <w:jc w:val="center"/>
    </w:pPr>
    <w:rPr>
      <w:rFonts w:ascii="Calibri" w:hAnsi="Calibri" w:eastAsia="Times New Roman"/>
      <w:b/>
      <w:sz w:val="32"/>
      <w:szCs w:val="32"/>
    </w:rPr>
  </w:style>
  <w:style w:type="paragraph" w:styleId="42">
    <w:name w:val="annotation subject"/>
    <w:next w:val="15"/>
    <w:link w:val="73"/>
    <w:semiHidden/>
    <w:qFormat/>
    <w:uiPriority w:val="0"/>
    <w:rPr>
      <w:rFonts w:ascii="Times New Roman" w:hAnsi="Times New Roman" w:eastAsia="Times New Roman" w:cstheme="minorBidi"/>
      <w:b/>
      <w:kern w:val="2"/>
      <w:lang w:val="en-US" w:eastAsia="zh-CN" w:bidi="ar-SA"/>
    </w:rPr>
  </w:style>
  <w:style w:type="paragraph" w:styleId="43">
    <w:name w:val="Body Text First Indent"/>
    <w:basedOn w:val="1"/>
    <w:link w:val="75"/>
    <w:qFormat/>
    <w:uiPriority w:val="0"/>
    <w:pPr>
      <w:widowControl/>
      <w:ind w:firstLine="200"/>
    </w:pPr>
    <w:rPr>
      <w:rFonts w:ascii="仿宋_GB2312" w:hAnsi="仿宋_GB2312" w:eastAsia="仿宋_GB2312"/>
      <w:sz w:val="30"/>
      <w:szCs w:val="30"/>
    </w:rPr>
  </w:style>
  <w:style w:type="paragraph" w:styleId="44">
    <w:name w:val="Body Text First Indent 2"/>
    <w:basedOn w:val="18"/>
    <w:link w:val="71"/>
    <w:qFormat/>
    <w:uiPriority w:val="0"/>
    <w:pPr>
      <w:ind w:firstLine="420"/>
    </w:pPr>
    <w:rPr>
      <w:rFonts w:ascii="宋体" w:hAnsi="宋体" w:eastAsia="宋体"/>
      <w:sz w:val="20"/>
      <w:szCs w:val="20"/>
    </w:rPr>
  </w:style>
  <w:style w:type="table" w:styleId="46">
    <w:name w:val="Table Grid"/>
    <w:qFormat/>
    <w:uiPriority w:val="38"/>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8">
    <w:name w:val="Strong"/>
    <w:qFormat/>
    <w:uiPriority w:val="20"/>
    <w:rPr>
      <w:rFonts w:ascii="宋体" w:hAnsi="宋体" w:eastAsia="Times New Roman"/>
      <w:b/>
      <w:w w:val="100"/>
      <w:sz w:val="20"/>
      <w:szCs w:val="20"/>
      <w:shd w:val="clear" w:color="auto" w:fill="auto"/>
    </w:rPr>
  </w:style>
  <w:style w:type="character" w:styleId="49">
    <w:name w:val="page number"/>
    <w:qFormat/>
    <w:uiPriority w:val="0"/>
    <w:rPr>
      <w:rFonts w:ascii="宋体" w:hAnsi="宋体" w:eastAsia="Times New Roman"/>
      <w:w w:val="100"/>
      <w:sz w:val="20"/>
      <w:szCs w:val="20"/>
      <w:shd w:val="clear" w:color="auto" w:fill="auto"/>
    </w:rPr>
  </w:style>
  <w:style w:type="character" w:styleId="50">
    <w:name w:val="FollowedHyperlink"/>
    <w:semiHidden/>
    <w:qFormat/>
    <w:uiPriority w:val="0"/>
    <w:rPr>
      <w:rFonts w:ascii="宋体" w:hAnsi="宋体" w:eastAsia="Times New Roman"/>
      <w:color w:val="800080"/>
      <w:w w:val="100"/>
      <w:sz w:val="20"/>
      <w:szCs w:val="20"/>
      <w:u w:val="single"/>
      <w:shd w:val="clear" w:color="auto" w:fill="auto"/>
    </w:rPr>
  </w:style>
  <w:style w:type="character" w:styleId="51">
    <w:name w:val="Emphasis"/>
    <w:qFormat/>
    <w:uiPriority w:val="18"/>
    <w:rPr>
      <w:rFonts w:ascii="宋体" w:hAnsi="宋体" w:eastAsia="Times New Roman"/>
      <w:i/>
      <w:w w:val="100"/>
      <w:sz w:val="21"/>
      <w:szCs w:val="21"/>
      <w:shd w:val="clear" w:color="000000" w:fill="auto"/>
    </w:rPr>
  </w:style>
  <w:style w:type="character" w:styleId="52">
    <w:name w:val="Hyperlink"/>
    <w:qFormat/>
    <w:uiPriority w:val="0"/>
    <w:rPr>
      <w:rFonts w:ascii="宋体" w:hAnsi="宋体" w:eastAsia="Times New Roman"/>
      <w:color w:val="0000FF"/>
      <w:w w:val="100"/>
      <w:sz w:val="20"/>
      <w:szCs w:val="20"/>
      <w:u w:val="single"/>
      <w:shd w:val="clear" w:color="auto" w:fill="auto"/>
    </w:rPr>
  </w:style>
  <w:style w:type="character" w:styleId="53">
    <w:name w:val="annotation reference"/>
    <w:semiHidden/>
    <w:qFormat/>
    <w:uiPriority w:val="0"/>
    <w:rPr>
      <w:rFonts w:ascii="宋体" w:hAnsi="宋体" w:eastAsia="Times New Roman"/>
      <w:w w:val="100"/>
      <w:sz w:val="21"/>
      <w:szCs w:val="21"/>
      <w:shd w:val="clear" w:color="auto" w:fill="auto"/>
    </w:rPr>
  </w:style>
  <w:style w:type="character" w:customStyle="1" w:styleId="54">
    <w:name w:val="页眉 Char"/>
    <w:basedOn w:val="47"/>
    <w:link w:val="28"/>
    <w:qFormat/>
    <w:uiPriority w:val="0"/>
    <w:rPr>
      <w:sz w:val="18"/>
      <w:szCs w:val="18"/>
    </w:rPr>
  </w:style>
  <w:style w:type="character" w:customStyle="1" w:styleId="55">
    <w:name w:val="页脚 Char"/>
    <w:basedOn w:val="47"/>
    <w:link w:val="27"/>
    <w:qFormat/>
    <w:uiPriority w:val="99"/>
    <w:rPr>
      <w:sz w:val="18"/>
      <w:szCs w:val="18"/>
    </w:rPr>
  </w:style>
  <w:style w:type="character" w:customStyle="1" w:styleId="56">
    <w:name w:val="标题 1 Char"/>
    <w:basedOn w:val="47"/>
    <w:link w:val="2"/>
    <w:qFormat/>
    <w:uiPriority w:val="9"/>
    <w:rPr>
      <w:rFonts w:ascii="楷体_GB2312" w:hAnsi="楷体_GB2312" w:eastAsia="楷体_GB2312" w:cs="Times New Roman"/>
      <w:kern w:val="0"/>
      <w:sz w:val="28"/>
      <w:szCs w:val="28"/>
    </w:rPr>
  </w:style>
  <w:style w:type="character" w:customStyle="1" w:styleId="57">
    <w:name w:val="标题 2 Char"/>
    <w:basedOn w:val="47"/>
    <w:link w:val="3"/>
    <w:qFormat/>
    <w:uiPriority w:val="9"/>
    <w:rPr>
      <w:rFonts w:ascii="Arial" w:hAnsi="Arial" w:eastAsia="幼圆" w:cs="Times New Roman"/>
      <w:b/>
      <w:kern w:val="0"/>
      <w:sz w:val="44"/>
      <w:szCs w:val="44"/>
    </w:rPr>
  </w:style>
  <w:style w:type="character" w:customStyle="1" w:styleId="58">
    <w:name w:val="标题 3 Char"/>
    <w:basedOn w:val="47"/>
    <w:link w:val="4"/>
    <w:qFormat/>
    <w:uiPriority w:val="9"/>
    <w:rPr>
      <w:rFonts w:ascii="Times New Roman" w:hAnsi="Times New Roman" w:eastAsia="宋体" w:cs="Times New Roman"/>
      <w:b/>
      <w:kern w:val="0"/>
      <w:sz w:val="32"/>
      <w:szCs w:val="32"/>
    </w:rPr>
  </w:style>
  <w:style w:type="character" w:customStyle="1" w:styleId="59">
    <w:name w:val="标题 4 Char"/>
    <w:basedOn w:val="47"/>
    <w:link w:val="5"/>
    <w:qFormat/>
    <w:uiPriority w:val="9"/>
    <w:rPr>
      <w:rFonts w:ascii="Arial" w:hAnsi="Arial" w:eastAsia="黑体" w:cs="Times New Roman"/>
      <w:b/>
      <w:kern w:val="0"/>
      <w:sz w:val="28"/>
      <w:szCs w:val="28"/>
    </w:rPr>
  </w:style>
  <w:style w:type="character" w:customStyle="1" w:styleId="60">
    <w:name w:val="标题 5 Char"/>
    <w:basedOn w:val="47"/>
    <w:link w:val="6"/>
    <w:qFormat/>
    <w:uiPriority w:val="9"/>
    <w:rPr>
      <w:rFonts w:ascii="宋体" w:hAnsi="宋体" w:eastAsia="宋体" w:cs="Times New Roman"/>
      <w:color w:val="000000"/>
      <w:kern w:val="0"/>
      <w:sz w:val="28"/>
      <w:szCs w:val="28"/>
    </w:rPr>
  </w:style>
  <w:style w:type="character" w:customStyle="1" w:styleId="61">
    <w:name w:val="标题 6 Char"/>
    <w:basedOn w:val="47"/>
    <w:link w:val="7"/>
    <w:qFormat/>
    <w:uiPriority w:val="9"/>
    <w:rPr>
      <w:rFonts w:ascii="Arial" w:hAnsi="Arial" w:eastAsia="黑体" w:cs="Times New Roman"/>
      <w:b/>
      <w:kern w:val="0"/>
      <w:sz w:val="24"/>
      <w:szCs w:val="24"/>
    </w:rPr>
  </w:style>
  <w:style w:type="character" w:customStyle="1" w:styleId="62">
    <w:name w:val="标题 7 Char"/>
    <w:basedOn w:val="47"/>
    <w:link w:val="8"/>
    <w:qFormat/>
    <w:uiPriority w:val="13"/>
    <w:rPr>
      <w:rFonts w:ascii="Times New Roman" w:hAnsi="Times New Roman" w:eastAsia="宋体" w:cs="Times New Roman"/>
      <w:b/>
      <w:kern w:val="0"/>
      <w:sz w:val="24"/>
      <w:szCs w:val="24"/>
    </w:rPr>
  </w:style>
  <w:style w:type="character" w:customStyle="1" w:styleId="63">
    <w:name w:val="标题 8 Char"/>
    <w:basedOn w:val="47"/>
    <w:link w:val="9"/>
    <w:qFormat/>
    <w:uiPriority w:val="14"/>
    <w:rPr>
      <w:rFonts w:ascii="Arial" w:hAnsi="Arial" w:eastAsia="黑体" w:cs="Times New Roman"/>
      <w:kern w:val="0"/>
      <w:sz w:val="24"/>
      <w:szCs w:val="24"/>
    </w:rPr>
  </w:style>
  <w:style w:type="character" w:customStyle="1" w:styleId="64">
    <w:name w:val="标题 9 Char"/>
    <w:basedOn w:val="47"/>
    <w:link w:val="10"/>
    <w:qFormat/>
    <w:uiPriority w:val="15"/>
    <w:rPr>
      <w:rFonts w:ascii="Arial" w:hAnsi="Arial" w:eastAsia="黑体" w:cs="Times New Roman"/>
      <w:kern w:val="0"/>
      <w:sz w:val="20"/>
      <w:szCs w:val="20"/>
    </w:rPr>
  </w:style>
  <w:style w:type="character" w:customStyle="1" w:styleId="65">
    <w:name w:val="批注文字 Char"/>
    <w:link w:val="15"/>
    <w:semiHidden/>
    <w:qFormat/>
    <w:uiPriority w:val="0"/>
    <w:rPr>
      <w:rFonts w:ascii="Times New Roman" w:hAnsi="Times New Roman" w:eastAsia="Times New Roman"/>
      <w:szCs w:val="21"/>
    </w:rPr>
  </w:style>
  <w:style w:type="character" w:customStyle="1" w:styleId="66">
    <w:name w:val="明显强调1"/>
    <w:qFormat/>
    <w:uiPriority w:val="19"/>
    <w:rPr>
      <w:i/>
      <w:color w:val="5B9BD5"/>
      <w:w w:val="100"/>
      <w:sz w:val="21"/>
      <w:szCs w:val="21"/>
      <w:shd w:val="clear" w:color="auto" w:fill="auto"/>
    </w:rPr>
  </w:style>
  <w:style w:type="character" w:customStyle="1" w:styleId="67">
    <w:name w:val="不明显参考1"/>
    <w:qFormat/>
    <w:uiPriority w:val="23"/>
    <w:rPr>
      <w:smallCaps/>
      <w:color w:val="5A5A5A"/>
      <w:w w:val="100"/>
      <w:sz w:val="21"/>
      <w:szCs w:val="21"/>
      <w:shd w:val="clear" w:color="auto" w:fill="auto"/>
    </w:rPr>
  </w:style>
  <w:style w:type="character" w:customStyle="1" w:styleId="68">
    <w:name w:val="不明显强调1"/>
    <w:qFormat/>
    <w:uiPriority w:val="17"/>
    <w:rPr>
      <w:i/>
      <w:color w:val="404040"/>
      <w:w w:val="100"/>
      <w:sz w:val="21"/>
      <w:szCs w:val="21"/>
      <w:shd w:val="clear" w:color="auto" w:fill="auto"/>
    </w:rPr>
  </w:style>
  <w:style w:type="character" w:customStyle="1" w:styleId="69">
    <w:name w:val="正文文本缩进 3 Char"/>
    <w:link w:val="34"/>
    <w:qFormat/>
    <w:uiPriority w:val="0"/>
    <w:rPr>
      <w:rFonts w:ascii="Arial" w:hAnsi="Arial" w:eastAsia="Times New Roman"/>
      <w:color w:val="FFFF00"/>
      <w:sz w:val="32"/>
      <w:szCs w:val="32"/>
    </w:rPr>
  </w:style>
  <w:style w:type="character" w:customStyle="1" w:styleId="70">
    <w:name w:val="书籍标题1"/>
    <w:qFormat/>
    <w:uiPriority w:val="25"/>
    <w:rPr>
      <w:b/>
      <w:i/>
      <w:w w:val="100"/>
      <w:sz w:val="21"/>
      <w:szCs w:val="21"/>
      <w:shd w:val="clear" w:color="auto" w:fill="auto"/>
    </w:rPr>
  </w:style>
  <w:style w:type="character" w:customStyle="1" w:styleId="71">
    <w:name w:val="正文首行缩进 2 Char"/>
    <w:link w:val="44"/>
    <w:qFormat/>
    <w:uiPriority w:val="0"/>
    <w:rPr>
      <w:rFonts w:ascii="宋体" w:hAnsi="宋体" w:eastAsia="宋体"/>
      <w:sz w:val="20"/>
      <w:szCs w:val="20"/>
    </w:rPr>
  </w:style>
  <w:style w:type="character" w:customStyle="1" w:styleId="72">
    <w:name w:val="明显参考1"/>
    <w:qFormat/>
    <w:uiPriority w:val="24"/>
    <w:rPr>
      <w:b/>
      <w:smallCaps/>
      <w:color w:val="5B9BD5"/>
      <w:w w:val="100"/>
      <w:sz w:val="21"/>
      <w:szCs w:val="21"/>
      <w:shd w:val="clear" w:color="auto" w:fill="auto"/>
    </w:rPr>
  </w:style>
  <w:style w:type="character" w:customStyle="1" w:styleId="73">
    <w:name w:val="批注主题 Char"/>
    <w:link w:val="42"/>
    <w:semiHidden/>
    <w:qFormat/>
    <w:uiPriority w:val="0"/>
    <w:rPr>
      <w:rFonts w:ascii="Times New Roman" w:hAnsi="Times New Roman" w:eastAsia="Times New Roman"/>
      <w:b/>
      <w:sz w:val="20"/>
      <w:szCs w:val="20"/>
    </w:rPr>
  </w:style>
  <w:style w:type="character" w:customStyle="1" w:styleId="74">
    <w:name w:val="正文文本 Char"/>
    <w:link w:val="17"/>
    <w:qFormat/>
    <w:uiPriority w:val="0"/>
    <w:rPr>
      <w:rFonts w:ascii="Times New Roman" w:hAnsi="Times New Roman" w:eastAsia="Times New Roman"/>
      <w:szCs w:val="21"/>
    </w:rPr>
  </w:style>
  <w:style w:type="character" w:customStyle="1" w:styleId="75">
    <w:name w:val="正文首行缩进 Char"/>
    <w:link w:val="43"/>
    <w:qFormat/>
    <w:uiPriority w:val="0"/>
    <w:rPr>
      <w:rFonts w:ascii="仿宋_GB2312" w:hAnsi="仿宋_GB2312" w:eastAsia="仿宋_GB2312"/>
      <w:sz w:val="30"/>
      <w:szCs w:val="30"/>
    </w:rPr>
  </w:style>
  <w:style w:type="character" w:customStyle="1" w:styleId="76">
    <w:name w:val="不明显强调11"/>
    <w:qFormat/>
    <w:uiPriority w:val="0"/>
    <w:rPr>
      <w:i/>
      <w:color w:val="404040"/>
      <w:w w:val="100"/>
      <w:sz w:val="21"/>
      <w:szCs w:val="21"/>
      <w:shd w:val="clear" w:color="000000" w:fill="auto"/>
    </w:rPr>
  </w:style>
  <w:style w:type="character" w:customStyle="1" w:styleId="77">
    <w:name w:val="文档结构图 Char"/>
    <w:link w:val="14"/>
    <w:semiHidden/>
    <w:qFormat/>
    <w:uiPriority w:val="0"/>
    <w:rPr>
      <w:rFonts w:ascii="Times New Roman" w:hAnsi="Times New Roman" w:eastAsia="Times New Roman"/>
      <w:szCs w:val="21"/>
      <w:shd w:val="clear" w:color="000000" w:fill="000080"/>
    </w:rPr>
  </w:style>
  <w:style w:type="character" w:customStyle="1" w:styleId="78">
    <w:name w:val="正文文本 3 Char"/>
    <w:link w:val="16"/>
    <w:qFormat/>
    <w:uiPriority w:val="0"/>
    <w:rPr>
      <w:rFonts w:ascii="仿宋_GB2312" w:hAnsi="仿宋_GB2312" w:eastAsia="Times New Roman"/>
      <w:sz w:val="32"/>
      <w:szCs w:val="32"/>
    </w:rPr>
  </w:style>
  <w:style w:type="character" w:customStyle="1" w:styleId="79">
    <w:name w:val="无间隔 Char"/>
    <w:link w:val="80"/>
    <w:qFormat/>
    <w:uiPriority w:val="0"/>
    <w:rPr>
      <w:rFonts w:ascii="Calibri" w:hAnsi="Calibri" w:eastAsia="Calibri"/>
      <w:sz w:val="22"/>
    </w:rPr>
  </w:style>
  <w:style w:type="paragraph" w:styleId="80">
    <w:name w:val="No Spacing"/>
    <w:link w:val="79"/>
    <w:qFormat/>
    <w:uiPriority w:val="0"/>
    <w:rPr>
      <w:rFonts w:ascii="Calibri" w:hAnsi="Calibri" w:eastAsia="Calibri" w:cstheme="minorBidi"/>
      <w:kern w:val="2"/>
      <w:sz w:val="22"/>
      <w:szCs w:val="22"/>
      <w:lang w:val="en-US" w:eastAsia="zh-CN" w:bidi="ar-SA"/>
    </w:rPr>
  </w:style>
  <w:style w:type="character" w:customStyle="1" w:styleId="81">
    <w:name w:val="正文文本缩进 Char"/>
    <w:link w:val="18"/>
    <w:qFormat/>
    <w:uiPriority w:val="0"/>
    <w:rPr>
      <w:rFonts w:ascii="楷体_GB2312" w:hAnsi="楷体_GB2312" w:eastAsia="Times New Roman"/>
      <w:sz w:val="32"/>
      <w:szCs w:val="32"/>
    </w:rPr>
  </w:style>
  <w:style w:type="character" w:customStyle="1" w:styleId="82">
    <w:name w:val="纯文本 Char"/>
    <w:link w:val="22"/>
    <w:qFormat/>
    <w:uiPriority w:val="0"/>
    <w:rPr>
      <w:rFonts w:ascii="宋体" w:hAnsi="宋体" w:eastAsia="Times New Roman"/>
      <w:szCs w:val="21"/>
    </w:rPr>
  </w:style>
  <w:style w:type="character" w:customStyle="1" w:styleId="83">
    <w:name w:val="日期 Char"/>
    <w:link w:val="24"/>
    <w:qFormat/>
    <w:uiPriority w:val="0"/>
    <w:rPr>
      <w:rFonts w:ascii="Times New Roman" w:hAnsi="Times New Roman" w:eastAsia="Times New Roman"/>
      <w:sz w:val="24"/>
      <w:szCs w:val="24"/>
    </w:rPr>
  </w:style>
  <w:style w:type="character" w:customStyle="1" w:styleId="84">
    <w:name w:val="正文文本缩进 2 Char"/>
    <w:link w:val="25"/>
    <w:qFormat/>
    <w:uiPriority w:val="0"/>
    <w:rPr>
      <w:rFonts w:ascii="Arial" w:hAnsi="Arial" w:eastAsia="Times New Roman"/>
      <w:sz w:val="32"/>
      <w:szCs w:val="32"/>
    </w:rPr>
  </w:style>
  <w:style w:type="character" w:customStyle="1" w:styleId="85">
    <w:name w:val="批注框文本 Char"/>
    <w:link w:val="26"/>
    <w:semiHidden/>
    <w:qFormat/>
    <w:uiPriority w:val="0"/>
    <w:rPr>
      <w:rFonts w:ascii="Times New Roman" w:hAnsi="Times New Roman" w:eastAsia="Times New Roman"/>
      <w:sz w:val="18"/>
      <w:szCs w:val="18"/>
    </w:rPr>
  </w:style>
  <w:style w:type="character" w:customStyle="1" w:styleId="86">
    <w:name w:val="正文缩进 Char"/>
    <w:link w:val="13"/>
    <w:qFormat/>
    <w:uiPriority w:val="0"/>
    <w:rPr>
      <w:szCs w:val="21"/>
    </w:rPr>
  </w:style>
  <w:style w:type="character" w:customStyle="1" w:styleId="87">
    <w:name w:val="副标题 Char"/>
    <w:link w:val="31"/>
    <w:qFormat/>
    <w:uiPriority w:val="0"/>
    <w:rPr>
      <w:rFonts w:ascii="Calibri" w:hAnsi="Calibri" w:eastAsia="Times New Roman"/>
      <w:sz w:val="24"/>
      <w:szCs w:val="24"/>
    </w:rPr>
  </w:style>
  <w:style w:type="character" w:customStyle="1" w:styleId="88">
    <w:name w:val="正文文本 2 Char"/>
    <w:link w:val="38"/>
    <w:qFormat/>
    <w:uiPriority w:val="0"/>
    <w:rPr>
      <w:rFonts w:ascii="楷体_GB2312" w:hAnsi="楷体_GB2312" w:eastAsia="Times New Roman"/>
      <w:sz w:val="28"/>
      <w:szCs w:val="28"/>
    </w:rPr>
  </w:style>
  <w:style w:type="character" w:customStyle="1" w:styleId="89">
    <w:name w:val="标题 Char"/>
    <w:link w:val="41"/>
    <w:qFormat/>
    <w:uiPriority w:val="0"/>
    <w:rPr>
      <w:rFonts w:ascii="Calibri" w:hAnsi="Calibri" w:eastAsia="Times New Roman"/>
      <w:b/>
      <w:sz w:val="32"/>
      <w:szCs w:val="32"/>
    </w:rPr>
  </w:style>
  <w:style w:type="character" w:customStyle="1" w:styleId="90">
    <w:name w:val="书籍标题11"/>
    <w:qFormat/>
    <w:uiPriority w:val="0"/>
    <w:rPr>
      <w:b/>
      <w:i/>
      <w:w w:val="100"/>
      <w:sz w:val="21"/>
      <w:szCs w:val="21"/>
      <w:shd w:val="clear" w:color="000000" w:fill="auto"/>
    </w:rPr>
  </w:style>
  <w:style w:type="character" w:customStyle="1" w:styleId="91">
    <w:name w:val="列出段落 Char"/>
    <w:link w:val="92"/>
    <w:qFormat/>
    <w:uiPriority w:val="0"/>
    <w:rPr>
      <w:rFonts w:ascii="Calibri" w:hAnsi="Calibri" w:eastAsia="Calibri"/>
      <w:sz w:val="24"/>
      <w:szCs w:val="24"/>
    </w:rPr>
  </w:style>
  <w:style w:type="paragraph" w:customStyle="1" w:styleId="92">
    <w:name w:val="列出段落1"/>
    <w:basedOn w:val="1"/>
    <w:link w:val="91"/>
    <w:qFormat/>
    <w:uiPriority w:val="0"/>
    <w:pPr>
      <w:widowControl/>
      <w:ind w:left="720"/>
    </w:pPr>
    <w:rPr>
      <w:rFonts w:ascii="Calibri" w:hAnsi="Calibri" w:eastAsia="Calibri"/>
      <w:sz w:val="24"/>
      <w:szCs w:val="24"/>
    </w:rPr>
  </w:style>
  <w:style w:type="character" w:customStyle="1" w:styleId="93">
    <w:name w:val="二级目录 Char"/>
    <w:link w:val="94"/>
    <w:qFormat/>
    <w:uiPriority w:val="0"/>
    <w:rPr>
      <w:rFonts w:ascii="Calibri" w:hAnsi="Calibri" w:eastAsia="Calibri"/>
      <w:b/>
      <w:sz w:val="30"/>
      <w:szCs w:val="30"/>
    </w:rPr>
  </w:style>
  <w:style w:type="paragraph" w:customStyle="1" w:styleId="94">
    <w:name w:val="二级目录"/>
    <w:next w:val="1"/>
    <w:link w:val="93"/>
    <w:qFormat/>
    <w:uiPriority w:val="0"/>
    <w:pPr>
      <w:tabs>
        <w:tab w:val="left" w:pos="907"/>
        <w:tab w:val="left" w:pos="1145"/>
      </w:tabs>
      <w:ind w:left="907" w:hanging="907"/>
    </w:pPr>
    <w:rPr>
      <w:rFonts w:ascii="Calibri" w:hAnsi="Calibri" w:eastAsia="Calibri" w:cstheme="minorBidi"/>
      <w:b/>
      <w:kern w:val="2"/>
      <w:sz w:val="30"/>
      <w:szCs w:val="30"/>
      <w:lang w:val="en-US" w:eastAsia="zh-CN" w:bidi="ar-SA"/>
    </w:rPr>
  </w:style>
  <w:style w:type="character" w:customStyle="1" w:styleId="95">
    <w:name w:val="font5 Char"/>
    <w:qFormat/>
    <w:uiPriority w:val="0"/>
    <w:rPr>
      <w:rFonts w:ascii="宋体" w:hAnsi="宋体" w:eastAsia="宋体"/>
      <w:w w:val="100"/>
      <w:sz w:val="28"/>
      <w:szCs w:val="28"/>
      <w:shd w:val="clear" w:color="auto" w:fill="auto"/>
    </w:rPr>
  </w:style>
  <w:style w:type="character" w:customStyle="1" w:styleId="96">
    <w:name w:val="纯文本 Char1"/>
    <w:semiHidden/>
    <w:qFormat/>
    <w:uiPriority w:val="0"/>
    <w:rPr>
      <w:rFonts w:ascii="宋体" w:hAnsi="宋体" w:eastAsia="宋体"/>
      <w:w w:val="100"/>
      <w:sz w:val="21"/>
      <w:szCs w:val="21"/>
      <w:shd w:val="clear" w:color="auto" w:fill="auto"/>
    </w:rPr>
  </w:style>
  <w:style w:type="character" w:customStyle="1" w:styleId="97">
    <w:name w:val="引用 Char"/>
    <w:link w:val="98"/>
    <w:qFormat/>
    <w:uiPriority w:val="0"/>
    <w:rPr>
      <w:rFonts w:ascii="Calibri" w:hAnsi="Calibri" w:eastAsia="Times New Roman"/>
      <w:i/>
      <w:color w:val="404040"/>
      <w:szCs w:val="21"/>
    </w:rPr>
  </w:style>
  <w:style w:type="paragraph" w:styleId="98">
    <w:name w:val="Quote"/>
    <w:basedOn w:val="1"/>
    <w:link w:val="97"/>
    <w:qFormat/>
    <w:uiPriority w:val="0"/>
    <w:pPr>
      <w:widowControl/>
      <w:ind w:left="864" w:right="864"/>
      <w:jc w:val="center"/>
    </w:pPr>
    <w:rPr>
      <w:rFonts w:ascii="Calibri" w:hAnsi="Calibri" w:eastAsia="Times New Roman"/>
      <w:i/>
      <w:color w:val="404040"/>
      <w:szCs w:val="21"/>
    </w:rPr>
  </w:style>
  <w:style w:type="character" w:customStyle="1" w:styleId="99">
    <w:name w:val="明显强调11"/>
    <w:qFormat/>
    <w:uiPriority w:val="0"/>
    <w:rPr>
      <w:i/>
      <w:color w:val="5B9BD5"/>
      <w:w w:val="100"/>
      <w:sz w:val="21"/>
      <w:szCs w:val="21"/>
      <w:shd w:val="clear" w:color="000000" w:fill="auto"/>
    </w:rPr>
  </w:style>
  <w:style w:type="character" w:customStyle="1" w:styleId="100">
    <w:name w:val="明显引用 Char"/>
    <w:link w:val="101"/>
    <w:qFormat/>
    <w:uiPriority w:val="0"/>
    <w:rPr>
      <w:rFonts w:ascii="Calibri" w:hAnsi="Calibri" w:eastAsia="Times New Roman"/>
      <w:i/>
      <w:color w:val="5B9BD5"/>
      <w:szCs w:val="21"/>
    </w:rPr>
  </w:style>
  <w:style w:type="paragraph" w:styleId="101">
    <w:name w:val="Intense Quote"/>
    <w:basedOn w:val="1"/>
    <w:link w:val="100"/>
    <w:qFormat/>
    <w:uiPriority w:val="0"/>
    <w:pPr>
      <w:widowControl/>
      <w:ind w:left="950" w:right="950"/>
      <w:jc w:val="center"/>
    </w:pPr>
    <w:rPr>
      <w:rFonts w:ascii="Calibri" w:hAnsi="Calibri" w:eastAsia="Times New Roman"/>
      <w:i/>
      <w:color w:val="5B9BD5"/>
      <w:szCs w:val="21"/>
    </w:rPr>
  </w:style>
  <w:style w:type="character" w:customStyle="1" w:styleId="102">
    <w:name w:val="不明显参考11"/>
    <w:qFormat/>
    <w:uiPriority w:val="0"/>
    <w:rPr>
      <w:smallCaps/>
      <w:color w:val="5A5A5A"/>
      <w:w w:val="100"/>
      <w:sz w:val="21"/>
      <w:szCs w:val="21"/>
      <w:shd w:val="clear" w:color="000000" w:fill="auto"/>
    </w:rPr>
  </w:style>
  <w:style w:type="character" w:customStyle="1" w:styleId="103">
    <w:name w:val="明显参考11"/>
    <w:qFormat/>
    <w:uiPriority w:val="0"/>
    <w:rPr>
      <w:b/>
      <w:smallCaps/>
      <w:color w:val="5B9BD5"/>
      <w:w w:val="100"/>
      <w:sz w:val="21"/>
      <w:szCs w:val="21"/>
      <w:shd w:val="clear" w:color="000000" w:fill="auto"/>
    </w:rPr>
  </w:style>
  <w:style w:type="character" w:customStyle="1" w:styleId="104">
    <w:name w:val="页眉 Char1"/>
    <w:basedOn w:val="47"/>
    <w:semiHidden/>
    <w:qFormat/>
    <w:uiPriority w:val="99"/>
    <w:rPr>
      <w:sz w:val="18"/>
      <w:szCs w:val="18"/>
    </w:rPr>
  </w:style>
  <w:style w:type="character" w:customStyle="1" w:styleId="105">
    <w:name w:val="副标题 Char1"/>
    <w:basedOn w:val="47"/>
    <w:qFormat/>
    <w:uiPriority w:val="11"/>
    <w:rPr>
      <w:rFonts w:eastAsia="宋体" w:asciiTheme="majorHAnsi" w:hAnsiTheme="majorHAnsi" w:cstheme="majorBidi"/>
      <w:b/>
      <w:bCs/>
      <w:kern w:val="28"/>
      <w:sz w:val="32"/>
      <w:szCs w:val="32"/>
    </w:rPr>
  </w:style>
  <w:style w:type="character" w:customStyle="1" w:styleId="106">
    <w:name w:val="页脚 Char1"/>
    <w:basedOn w:val="47"/>
    <w:semiHidden/>
    <w:qFormat/>
    <w:uiPriority w:val="99"/>
    <w:rPr>
      <w:sz w:val="18"/>
      <w:szCs w:val="18"/>
    </w:rPr>
  </w:style>
  <w:style w:type="character" w:customStyle="1" w:styleId="107">
    <w:name w:val="正文文本 3 Char1"/>
    <w:basedOn w:val="47"/>
    <w:semiHidden/>
    <w:qFormat/>
    <w:uiPriority w:val="99"/>
    <w:rPr>
      <w:sz w:val="16"/>
      <w:szCs w:val="16"/>
    </w:rPr>
  </w:style>
  <w:style w:type="character" w:customStyle="1" w:styleId="108">
    <w:name w:val="批注框文本 Char1"/>
    <w:basedOn w:val="47"/>
    <w:semiHidden/>
    <w:qFormat/>
    <w:uiPriority w:val="99"/>
    <w:rPr>
      <w:sz w:val="18"/>
      <w:szCs w:val="18"/>
    </w:rPr>
  </w:style>
  <w:style w:type="character" w:customStyle="1" w:styleId="109">
    <w:name w:val="正文文本缩进 3 Char1"/>
    <w:basedOn w:val="47"/>
    <w:semiHidden/>
    <w:qFormat/>
    <w:uiPriority w:val="99"/>
    <w:rPr>
      <w:sz w:val="16"/>
      <w:szCs w:val="16"/>
    </w:rPr>
  </w:style>
  <w:style w:type="character" w:customStyle="1" w:styleId="110">
    <w:name w:val="纯文本 Char2"/>
    <w:basedOn w:val="47"/>
    <w:semiHidden/>
    <w:qFormat/>
    <w:uiPriority w:val="99"/>
    <w:rPr>
      <w:rFonts w:ascii="宋体" w:hAnsi="Courier New" w:eastAsia="宋体" w:cs="Courier New"/>
      <w:szCs w:val="21"/>
    </w:rPr>
  </w:style>
  <w:style w:type="character" w:customStyle="1" w:styleId="111">
    <w:name w:val="批注文字 Char1"/>
    <w:basedOn w:val="47"/>
    <w:semiHidden/>
    <w:qFormat/>
    <w:uiPriority w:val="99"/>
  </w:style>
  <w:style w:type="character" w:customStyle="1" w:styleId="112">
    <w:name w:val="正文文本 2 Char1"/>
    <w:basedOn w:val="47"/>
    <w:semiHidden/>
    <w:qFormat/>
    <w:uiPriority w:val="99"/>
  </w:style>
  <w:style w:type="character" w:customStyle="1" w:styleId="113">
    <w:name w:val="正文文本缩进 2 Char1"/>
    <w:basedOn w:val="47"/>
    <w:semiHidden/>
    <w:qFormat/>
    <w:uiPriority w:val="99"/>
  </w:style>
  <w:style w:type="character" w:customStyle="1" w:styleId="114">
    <w:name w:val="正文文本缩进 Char1"/>
    <w:basedOn w:val="47"/>
    <w:semiHidden/>
    <w:qFormat/>
    <w:uiPriority w:val="99"/>
  </w:style>
  <w:style w:type="character" w:customStyle="1" w:styleId="115">
    <w:name w:val="日期 Char1"/>
    <w:basedOn w:val="47"/>
    <w:semiHidden/>
    <w:qFormat/>
    <w:uiPriority w:val="99"/>
  </w:style>
  <w:style w:type="character" w:customStyle="1" w:styleId="116">
    <w:name w:val="正文文本 Char1"/>
    <w:basedOn w:val="47"/>
    <w:semiHidden/>
    <w:qFormat/>
    <w:uiPriority w:val="99"/>
  </w:style>
  <w:style w:type="character" w:customStyle="1" w:styleId="117">
    <w:name w:val="文档结构图 Char1"/>
    <w:basedOn w:val="47"/>
    <w:semiHidden/>
    <w:qFormat/>
    <w:uiPriority w:val="99"/>
    <w:rPr>
      <w:rFonts w:ascii="宋体" w:eastAsia="宋体"/>
      <w:sz w:val="18"/>
      <w:szCs w:val="18"/>
    </w:rPr>
  </w:style>
  <w:style w:type="character" w:customStyle="1" w:styleId="118">
    <w:name w:val="正文首行缩进 Char1"/>
    <w:basedOn w:val="116"/>
    <w:semiHidden/>
    <w:qFormat/>
    <w:uiPriority w:val="99"/>
  </w:style>
  <w:style w:type="character" w:customStyle="1" w:styleId="119">
    <w:name w:val="标题 Char1"/>
    <w:basedOn w:val="47"/>
    <w:qFormat/>
    <w:uiPriority w:val="10"/>
    <w:rPr>
      <w:rFonts w:eastAsia="宋体" w:asciiTheme="majorHAnsi" w:hAnsiTheme="majorHAnsi" w:cstheme="majorBidi"/>
      <w:b/>
      <w:bCs/>
      <w:sz w:val="32"/>
      <w:szCs w:val="32"/>
    </w:rPr>
  </w:style>
  <w:style w:type="character" w:customStyle="1" w:styleId="120">
    <w:name w:val="批注主题 Char1"/>
    <w:basedOn w:val="111"/>
    <w:semiHidden/>
    <w:qFormat/>
    <w:uiPriority w:val="99"/>
    <w:rPr>
      <w:b/>
      <w:bCs/>
    </w:rPr>
  </w:style>
  <w:style w:type="character" w:customStyle="1" w:styleId="121">
    <w:name w:val="正文首行缩进 2 Char1"/>
    <w:basedOn w:val="114"/>
    <w:semiHidden/>
    <w:qFormat/>
    <w:uiPriority w:val="99"/>
  </w:style>
  <w:style w:type="paragraph" w:styleId="122">
    <w:name w:val="List Paragraph"/>
    <w:basedOn w:val="1"/>
    <w:qFormat/>
    <w:uiPriority w:val="26"/>
    <w:pPr>
      <w:widowControl/>
      <w:ind w:left="720"/>
    </w:pPr>
    <w:rPr>
      <w:rFonts w:ascii="Calibri" w:hAnsi="Calibri" w:eastAsia="Calibri" w:cs="Times New Roman"/>
      <w:kern w:val="0"/>
      <w:sz w:val="24"/>
      <w:szCs w:val="24"/>
    </w:rPr>
  </w:style>
  <w:style w:type="paragraph" w:customStyle="1" w:styleId="123">
    <w:name w:val="Char1"/>
    <w:basedOn w:val="14"/>
    <w:qFormat/>
    <w:uiPriority w:val="0"/>
    <w:rPr>
      <w:rFonts w:ascii="Tahoma" w:hAnsi="Tahoma" w:eastAsia="Tahoma"/>
      <w:sz w:val="24"/>
      <w:szCs w:val="24"/>
    </w:rPr>
  </w:style>
  <w:style w:type="paragraph" w:customStyle="1" w:styleId="124">
    <w:name w:val="xl25"/>
    <w:basedOn w:val="1"/>
    <w:qFormat/>
    <w:uiPriority w:val="0"/>
    <w:pPr>
      <w:widowControl/>
      <w:jc w:val="center"/>
      <w:textAlignment w:val="center"/>
    </w:pPr>
    <w:rPr>
      <w:rFonts w:ascii="Arial Unicode MS" w:hAnsi="Arial Unicode MS" w:eastAsia="Arial Unicode MS" w:cs="Times New Roman"/>
      <w:kern w:val="0"/>
      <w:sz w:val="24"/>
      <w:szCs w:val="24"/>
    </w:rPr>
  </w:style>
  <w:style w:type="paragraph" w:customStyle="1" w:styleId="125">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126">
    <w:name w:val="引用 Char1"/>
    <w:basedOn w:val="47"/>
    <w:qFormat/>
    <w:uiPriority w:val="29"/>
    <w:rPr>
      <w:i/>
      <w:iCs/>
      <w:color w:val="000000" w:themeColor="text1"/>
      <w14:textFill>
        <w14:solidFill>
          <w14:schemeClr w14:val="tx1"/>
        </w14:solidFill>
      </w14:textFill>
    </w:rPr>
  </w:style>
  <w:style w:type="paragraph" w:customStyle="1" w:styleId="127">
    <w:name w:val="Blockquote"/>
    <w:basedOn w:val="1"/>
    <w:qFormat/>
    <w:uiPriority w:val="0"/>
    <w:pPr>
      <w:widowControl/>
      <w:autoSpaceDE w:val="0"/>
      <w:autoSpaceDN w:val="0"/>
      <w:ind w:left="360" w:right="360"/>
    </w:pPr>
    <w:rPr>
      <w:rFonts w:ascii="Times New Roman" w:hAnsi="Times New Roman" w:eastAsia="宋体" w:cs="Times New Roman"/>
      <w:kern w:val="0"/>
      <w:sz w:val="24"/>
      <w:szCs w:val="24"/>
    </w:rPr>
  </w:style>
  <w:style w:type="character" w:customStyle="1" w:styleId="128">
    <w:name w:val="明显引用 Char1"/>
    <w:basedOn w:val="47"/>
    <w:qFormat/>
    <w:uiPriority w:val="30"/>
    <w:rPr>
      <w:b/>
      <w:bCs/>
      <w:i/>
      <w:iCs/>
      <w:color w:val="4F81BD" w:themeColor="accent1"/>
      <w14:textFill>
        <w14:solidFill>
          <w14:schemeClr w14:val="accent1"/>
        </w14:solidFill>
      </w14:textFill>
    </w:rPr>
  </w:style>
  <w:style w:type="paragraph" w:customStyle="1" w:styleId="129">
    <w:name w:val="_Style 27"/>
    <w:qFormat/>
    <w:uiPriority w:val="0"/>
    <w:pPr>
      <w:jc w:val="both"/>
    </w:pPr>
    <w:rPr>
      <w:rFonts w:ascii="Times New Roman" w:hAnsi="Times New Roman" w:eastAsia="宋体" w:cs="Times New Roman"/>
      <w:sz w:val="21"/>
      <w:szCs w:val="21"/>
      <w:lang w:val="en-US" w:eastAsia="zh-CN" w:bidi="ar-SA"/>
    </w:rPr>
  </w:style>
  <w:style w:type="paragraph" w:customStyle="1" w:styleId="130">
    <w:name w:val="Char Char Char Char Char Char Char Char Char Char"/>
    <w:basedOn w:val="1"/>
    <w:qFormat/>
    <w:uiPriority w:val="0"/>
    <w:pPr>
      <w:widowControl/>
    </w:pPr>
    <w:rPr>
      <w:rFonts w:ascii="Times New Roman" w:hAnsi="Times New Roman" w:eastAsia="宋体" w:cs="Times New Roman"/>
      <w:kern w:val="0"/>
      <w:sz w:val="24"/>
      <w:szCs w:val="24"/>
    </w:rPr>
  </w:style>
  <w:style w:type="paragraph" w:customStyle="1" w:styleId="131">
    <w:name w:val="正文wp"/>
    <w:basedOn w:val="1"/>
    <w:qFormat/>
    <w:uiPriority w:val="0"/>
    <w:pPr>
      <w:widowControl/>
      <w:ind w:firstLine="200"/>
    </w:pPr>
    <w:rPr>
      <w:rFonts w:ascii="Calibri" w:hAnsi="Calibri" w:eastAsia="Calibri" w:cs="Times New Roman"/>
      <w:kern w:val="0"/>
      <w:sz w:val="28"/>
      <w:szCs w:val="28"/>
    </w:rPr>
  </w:style>
  <w:style w:type="paragraph" w:customStyle="1" w:styleId="132">
    <w:name w:val="reader-word-layer"/>
    <w:basedOn w:val="1"/>
    <w:qFormat/>
    <w:uiPriority w:val="0"/>
    <w:pPr>
      <w:widowControl/>
    </w:pPr>
    <w:rPr>
      <w:rFonts w:ascii="宋体" w:hAnsi="宋体" w:eastAsia="宋体" w:cs="Times New Roman"/>
      <w:kern w:val="0"/>
      <w:sz w:val="24"/>
      <w:szCs w:val="24"/>
    </w:rPr>
  </w:style>
  <w:style w:type="paragraph" w:customStyle="1" w:styleId="133">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paragraph" w:customStyle="1" w:styleId="134">
    <w:name w:val="样式1"/>
    <w:basedOn w:val="1"/>
    <w:qFormat/>
    <w:uiPriority w:val="0"/>
    <w:pPr>
      <w:widowControl/>
      <w:tabs>
        <w:tab w:val="left" w:pos="709"/>
      </w:tabs>
      <w:ind w:left="709" w:hanging="709"/>
      <w:textAlignment w:val="baseline"/>
    </w:pPr>
    <w:rPr>
      <w:rFonts w:ascii="宋体" w:hAnsi="宋体" w:eastAsia="宋体" w:cs="Times New Roman"/>
      <w:kern w:val="0"/>
      <w:sz w:val="20"/>
      <w:szCs w:val="20"/>
    </w:rPr>
  </w:style>
  <w:style w:type="paragraph" w:customStyle="1" w:styleId="135">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cs="Times New Roman"/>
      <w:kern w:val="0"/>
      <w:sz w:val="24"/>
      <w:szCs w:val="24"/>
    </w:rPr>
  </w:style>
  <w:style w:type="paragraph" w:customStyle="1" w:styleId="136">
    <w:name w:val="xl26"/>
    <w:basedOn w:val="1"/>
    <w:qFormat/>
    <w:uiPriority w:val="0"/>
    <w:pPr>
      <w:widowControl/>
    </w:pPr>
    <w:rPr>
      <w:rFonts w:ascii="宋体" w:hAnsi="宋体" w:eastAsia="宋体" w:cs="Times New Roman"/>
      <w:kern w:val="0"/>
      <w:sz w:val="24"/>
      <w:szCs w:val="24"/>
    </w:rPr>
  </w:style>
  <w:style w:type="paragraph" w:customStyle="1" w:styleId="137">
    <w:name w:val="xl29"/>
    <w:basedOn w:val="1"/>
    <w:qFormat/>
    <w:uiPriority w:val="0"/>
    <w:pPr>
      <w:widowControl/>
    </w:pPr>
    <w:rPr>
      <w:rFonts w:ascii="宋体" w:hAnsi="宋体" w:eastAsia="宋体" w:cs="Times New Roman"/>
      <w:kern w:val="0"/>
      <w:sz w:val="24"/>
      <w:szCs w:val="24"/>
    </w:rPr>
  </w:style>
  <w:style w:type="paragraph" w:customStyle="1" w:styleId="138">
    <w:name w:val="font7"/>
    <w:basedOn w:val="1"/>
    <w:qFormat/>
    <w:uiPriority w:val="0"/>
    <w:pPr>
      <w:widowControl/>
    </w:pPr>
    <w:rPr>
      <w:rFonts w:ascii="宋体" w:hAnsi="宋体" w:eastAsia="宋体" w:cs="Times New Roman"/>
      <w:kern w:val="0"/>
      <w:sz w:val="18"/>
      <w:szCs w:val="18"/>
    </w:rPr>
  </w:style>
  <w:style w:type="paragraph" w:customStyle="1" w:styleId="139">
    <w:name w:val="列出段落2"/>
    <w:basedOn w:val="1"/>
    <w:qFormat/>
    <w:uiPriority w:val="0"/>
    <w:pPr>
      <w:widowControl/>
      <w:ind w:firstLine="420"/>
    </w:pPr>
    <w:rPr>
      <w:rFonts w:ascii="Calibri" w:hAnsi="Calibri" w:eastAsia="Calibri" w:cs="Times New Roman"/>
      <w:kern w:val="0"/>
      <w:sz w:val="20"/>
      <w:szCs w:val="20"/>
    </w:rPr>
  </w:style>
  <w:style w:type="paragraph" w:customStyle="1" w:styleId="140">
    <w:name w:val="Blockquote11"/>
    <w:basedOn w:val="1"/>
    <w:qFormat/>
    <w:uiPriority w:val="0"/>
    <w:pPr>
      <w:widowControl/>
      <w:ind w:left="360" w:right="360"/>
    </w:pPr>
    <w:rPr>
      <w:rFonts w:ascii="Times New Roman" w:hAnsi="Times New Roman" w:eastAsia="宋体" w:cs="Times New Roman"/>
      <w:kern w:val="0"/>
      <w:sz w:val="24"/>
      <w:szCs w:val="24"/>
    </w:rPr>
  </w:style>
  <w:style w:type="paragraph" w:customStyle="1" w:styleId="141">
    <w:name w:val="xl28"/>
    <w:basedOn w:val="1"/>
    <w:qFormat/>
    <w:uiPriority w:val="0"/>
    <w:pPr>
      <w:widowControl/>
    </w:pPr>
    <w:rPr>
      <w:rFonts w:ascii="宋体" w:hAnsi="宋体" w:eastAsia="宋体" w:cs="Times New Roman"/>
      <w:kern w:val="0"/>
      <w:sz w:val="24"/>
      <w:szCs w:val="24"/>
    </w:rPr>
  </w:style>
  <w:style w:type="paragraph" w:customStyle="1" w:styleId="142">
    <w:name w:val="xl30"/>
    <w:basedOn w:val="1"/>
    <w:qFormat/>
    <w:uiPriority w:val="0"/>
    <w:pPr>
      <w:widowControl/>
      <w:jc w:val="center"/>
    </w:pPr>
    <w:rPr>
      <w:rFonts w:ascii="宋体" w:hAnsi="宋体" w:eastAsia="宋体" w:cs="Times New Roman"/>
      <w:b/>
      <w:kern w:val="0"/>
      <w:sz w:val="36"/>
      <w:szCs w:val="36"/>
    </w:rPr>
  </w:style>
  <w:style w:type="paragraph" w:customStyle="1" w:styleId="143">
    <w:name w:val="标题3"/>
    <w:basedOn w:val="1"/>
    <w:next w:val="1"/>
    <w:qFormat/>
    <w:uiPriority w:val="0"/>
    <w:pPr>
      <w:widowControl/>
      <w:autoSpaceDE w:val="0"/>
      <w:autoSpaceDN w:val="0"/>
      <w:ind w:firstLine="624"/>
    </w:pPr>
    <w:rPr>
      <w:rFonts w:ascii="方正黑体_GBK" w:hAnsi="方正黑体_GBK" w:eastAsia="方正黑体_GBK" w:cs="Times New Roman"/>
      <w:kern w:val="0"/>
      <w:sz w:val="32"/>
      <w:szCs w:val="32"/>
    </w:rPr>
  </w:style>
  <w:style w:type="paragraph" w:customStyle="1" w:styleId="144">
    <w:name w:val="Char Char Char Char"/>
    <w:basedOn w:val="14"/>
    <w:qFormat/>
    <w:uiPriority w:val="0"/>
    <w:rPr>
      <w:rFonts w:ascii="Tahoma" w:hAnsi="Tahoma" w:eastAsia="Tahoma"/>
      <w:sz w:val="24"/>
      <w:szCs w:val="24"/>
    </w:rPr>
  </w:style>
  <w:style w:type="paragraph" w:customStyle="1" w:styleId="145">
    <w:name w:val="font5"/>
    <w:basedOn w:val="1"/>
    <w:qFormat/>
    <w:uiPriority w:val="0"/>
    <w:pPr>
      <w:widowControl/>
    </w:pPr>
    <w:rPr>
      <w:rFonts w:ascii="宋体" w:hAnsi="宋体" w:eastAsia="宋体" w:cs="Times New Roman"/>
      <w:kern w:val="0"/>
      <w:sz w:val="28"/>
      <w:szCs w:val="28"/>
    </w:rPr>
  </w:style>
  <w:style w:type="paragraph" w:customStyle="1" w:styleId="146">
    <w:name w:val="table_lines"/>
    <w:basedOn w:val="1"/>
    <w:qFormat/>
    <w:uiPriority w:val="0"/>
    <w:pPr>
      <w:widowControl/>
    </w:pPr>
    <w:rPr>
      <w:rFonts w:ascii="Times New Roman" w:hAnsi="Times New Roman" w:eastAsia="宋体" w:cs="Times New Roman"/>
      <w:kern w:val="0"/>
      <w:sz w:val="20"/>
      <w:szCs w:val="20"/>
    </w:rPr>
  </w:style>
  <w:style w:type="paragraph" w:customStyle="1" w:styleId="147">
    <w:name w:val="xl24"/>
    <w:basedOn w:val="1"/>
    <w:qFormat/>
    <w:uiPriority w:val="0"/>
    <w:pPr>
      <w:widowControl/>
      <w:jc w:val="center"/>
      <w:textAlignment w:val="bottom"/>
    </w:pPr>
    <w:rPr>
      <w:rFonts w:ascii="宋体" w:hAnsi="宋体" w:eastAsia="宋体" w:cs="Times New Roman"/>
      <w:kern w:val="0"/>
      <w:sz w:val="24"/>
      <w:szCs w:val="24"/>
    </w:rPr>
  </w:style>
  <w:style w:type="paragraph" w:customStyle="1" w:styleId="148">
    <w:name w:val="Heading 411"/>
    <w:basedOn w:val="1"/>
    <w:next w:val="1"/>
    <w:qFormat/>
    <w:uiPriority w:val="0"/>
    <w:pPr>
      <w:keepNext/>
      <w:keepLines/>
      <w:widowControl/>
    </w:pPr>
    <w:rPr>
      <w:rFonts w:ascii="黑体" w:hAnsi="黑体" w:eastAsia="黑体" w:cs="Times New Roman"/>
      <w:b/>
      <w:kern w:val="0"/>
      <w:sz w:val="28"/>
      <w:szCs w:val="28"/>
    </w:rPr>
  </w:style>
  <w:style w:type="paragraph" w:customStyle="1" w:styleId="149">
    <w:name w:val="font6"/>
    <w:basedOn w:val="1"/>
    <w:qFormat/>
    <w:uiPriority w:val="0"/>
    <w:pPr>
      <w:widowControl/>
    </w:pPr>
    <w:rPr>
      <w:rFonts w:ascii="宋体" w:hAnsi="宋体" w:eastAsia="宋体" w:cs="Times New Roman"/>
      <w:kern w:val="0"/>
      <w:sz w:val="28"/>
      <w:szCs w:val="28"/>
      <w:u w:val="single"/>
    </w:rPr>
  </w:style>
  <w:style w:type="paragraph" w:customStyle="1" w:styleId="150">
    <w:name w:val="普通正文"/>
    <w:basedOn w:val="1"/>
    <w:qFormat/>
    <w:uiPriority w:val="0"/>
    <w:pPr>
      <w:widowControl/>
      <w:ind w:firstLine="480"/>
      <w:textAlignment w:val="baseline"/>
    </w:pPr>
    <w:rPr>
      <w:rFonts w:ascii="Arial" w:hAnsi="Arial" w:eastAsia="Arial" w:cs="Times New Roman"/>
      <w:kern w:val="0"/>
      <w:sz w:val="24"/>
      <w:szCs w:val="24"/>
    </w:rPr>
  </w:style>
  <w:style w:type="paragraph" w:customStyle="1" w:styleId="151">
    <w:name w:val="普通 (Web)"/>
    <w:basedOn w:val="1"/>
    <w:qFormat/>
    <w:uiPriority w:val="0"/>
    <w:pPr>
      <w:widowControl/>
    </w:pPr>
    <w:rPr>
      <w:rFonts w:ascii="宋体" w:hAnsi="宋体" w:eastAsia="宋体" w:cs="Times New Roman"/>
      <w:kern w:val="0"/>
      <w:sz w:val="24"/>
      <w:szCs w:val="24"/>
    </w:rPr>
  </w:style>
  <w:style w:type="paragraph" w:customStyle="1" w:styleId="152">
    <w:name w:val="xl27"/>
    <w:basedOn w:val="1"/>
    <w:qFormat/>
    <w:uiPriority w:val="0"/>
    <w:pPr>
      <w:widowControl/>
      <w:jc w:val="center"/>
    </w:pPr>
    <w:rPr>
      <w:rFonts w:ascii="宋体" w:hAnsi="宋体" w:eastAsia="宋体" w:cs="Times New Roman"/>
      <w:kern w:val="0"/>
      <w:sz w:val="24"/>
      <w:szCs w:val="24"/>
    </w:rPr>
  </w:style>
  <w:style w:type="paragraph" w:customStyle="1" w:styleId="153">
    <w:name w:val="Char Char Char Char Char Char Char Char"/>
    <w:basedOn w:val="1"/>
    <w:qFormat/>
    <w:uiPriority w:val="0"/>
    <w:pPr>
      <w:widowControl/>
    </w:pPr>
    <w:rPr>
      <w:rFonts w:ascii="Verdana" w:hAnsi="Verdana" w:eastAsia="Verdana" w:cs="Times New Roman"/>
      <w:kern w:val="0"/>
      <w:sz w:val="20"/>
      <w:szCs w:val="20"/>
    </w:rPr>
  </w:style>
  <w:style w:type="paragraph" w:customStyle="1" w:styleId="154">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cs="Times New Roman"/>
      <w:kern w:val="0"/>
      <w:sz w:val="44"/>
      <w:szCs w:val="44"/>
    </w:rPr>
  </w:style>
  <w:style w:type="paragraph" w:customStyle="1" w:styleId="155">
    <w:name w:val="Char"/>
    <w:basedOn w:val="1"/>
    <w:qFormat/>
    <w:uiPriority w:val="0"/>
    <w:pPr>
      <w:widowControl/>
      <w:tabs>
        <w:tab w:val="left" w:pos="360"/>
      </w:tabs>
      <w:ind w:firstLine="200"/>
    </w:pPr>
    <w:rPr>
      <w:rFonts w:ascii="Times New Roman" w:hAnsi="Times New Roman" w:eastAsia="宋体" w:cs="Times New Roman"/>
      <w:kern w:val="0"/>
      <w:sz w:val="28"/>
      <w:szCs w:val="28"/>
    </w:rPr>
  </w:style>
  <w:style w:type="paragraph" w:customStyle="1" w:styleId="156">
    <w:name w:val="Char Char Char Char1"/>
    <w:basedOn w:val="14"/>
    <w:qFormat/>
    <w:uiPriority w:val="0"/>
    <w:rPr>
      <w:rFonts w:ascii="Tahoma" w:hAnsi="Tahoma" w:eastAsia="Tahoma"/>
      <w:sz w:val="24"/>
      <w:szCs w:val="24"/>
    </w:rPr>
  </w:style>
  <w:style w:type="paragraph" w:customStyle="1" w:styleId="157">
    <w:name w:val="table_1stline"/>
    <w:basedOn w:val="1"/>
    <w:qFormat/>
    <w:uiPriority w:val="0"/>
    <w:pPr>
      <w:widowControl/>
    </w:pPr>
    <w:rPr>
      <w:rFonts w:ascii="Times New Roman" w:hAnsi="Times New Roman" w:eastAsia="宋体" w:cs="Times New Roman"/>
      <w:kern w:val="0"/>
      <w:sz w:val="20"/>
      <w:szCs w:val="20"/>
    </w:rPr>
  </w:style>
  <w:style w:type="paragraph" w:customStyle="1" w:styleId="158">
    <w:name w:val="Body Text(ch)"/>
    <w:basedOn w:val="1"/>
    <w:next w:val="17"/>
    <w:qFormat/>
    <w:uiPriority w:val="0"/>
    <w:pPr>
      <w:widowControl/>
    </w:pPr>
    <w:rPr>
      <w:rFonts w:ascii="宋体" w:hAnsi="宋体" w:eastAsia="Arial" w:cs="Times New Roman"/>
      <w:kern w:val="0"/>
      <w:sz w:val="20"/>
      <w:szCs w:val="20"/>
    </w:rPr>
  </w:style>
  <w:style w:type="paragraph" w:customStyle="1" w:styleId="159">
    <w:name w:val="Char Char Char Char Char Char Char Char1"/>
    <w:basedOn w:val="1"/>
    <w:qFormat/>
    <w:uiPriority w:val="0"/>
    <w:pPr>
      <w:widowControl/>
    </w:pPr>
    <w:rPr>
      <w:rFonts w:ascii="Verdana" w:hAnsi="Verdana" w:eastAsia="Verdana" w:cs="Times New Roman"/>
      <w:kern w:val="0"/>
      <w:sz w:val="20"/>
      <w:szCs w:val="20"/>
    </w:rPr>
  </w:style>
  <w:style w:type="paragraph" w:customStyle="1" w:styleId="160">
    <w:name w:val="4"/>
    <w:basedOn w:val="1"/>
    <w:next w:val="34"/>
    <w:qFormat/>
    <w:uiPriority w:val="0"/>
    <w:pPr>
      <w:widowControl/>
      <w:ind w:firstLine="420"/>
    </w:pPr>
    <w:rPr>
      <w:rFonts w:ascii="Times New Roman" w:hAnsi="Times New Roman" w:eastAsia="宋体" w:cs="Times New Roman"/>
      <w:color w:val="FF0000"/>
      <w:kern w:val="0"/>
      <w:sz w:val="24"/>
      <w:szCs w:val="24"/>
    </w:rPr>
  </w:style>
  <w:style w:type="paragraph" w:customStyle="1" w:styleId="161">
    <w:name w:val="TOC 标题11"/>
    <w:qFormat/>
    <w:uiPriority w:val="0"/>
    <w:rPr>
      <w:rFonts w:ascii="Calibri" w:hAnsi="Calibri" w:eastAsia="Calibri" w:cs="Times New Roman"/>
      <w:color w:val="2E74B5"/>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C0D395-61A8-4F14-ACB8-2FCE44BC58B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82</Pages>
  <Words>8046</Words>
  <Characters>45864</Characters>
  <Lines>382</Lines>
  <Paragraphs>107</Paragraphs>
  <TotalTime>5</TotalTime>
  <ScaleCrop>false</ScaleCrop>
  <LinksUpToDate>false</LinksUpToDate>
  <CharactersWithSpaces>53803</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2019-04-29T09:06:00Z</dcterms:created>
  <dc:creator>倪兆霞</dc:creator>
  <cp:lastModifiedBy>典当灵魂</cp:lastModifiedBy>
  <cp:lastPrinted>2019-04-30T01:28:00Z</cp:lastPrinted>
  <dcterms:modified xsi:type="dcterms:W3CDTF">2019-06-03T01:32:35Z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