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000000" w:themeColor="text1"/>
          <w:sz w:val="36"/>
        </w:rPr>
      </w:pPr>
    </w:p>
    <w:p>
      <w:pPr>
        <w:jc w:val="center"/>
        <w:rPr>
          <w:rFonts w:ascii="宋体" w:hAnsi="宋体" w:cs="宋体"/>
          <w:color w:val="000000" w:themeColor="text1"/>
          <w:sz w:val="36"/>
        </w:rPr>
      </w:pPr>
    </w:p>
    <w:p>
      <w:pPr>
        <w:jc w:val="center"/>
        <w:rPr>
          <w:rFonts w:ascii="宋体" w:hAnsi="宋体" w:cs="宋体"/>
          <w:color w:val="000000" w:themeColor="text1"/>
          <w:sz w:val="36"/>
        </w:rPr>
      </w:pPr>
    </w:p>
    <w:p>
      <w:pPr>
        <w:jc w:val="center"/>
        <w:rPr>
          <w:rFonts w:ascii="宋体" w:hAnsi="宋体" w:cs="宋体"/>
          <w:color w:val="000000" w:themeColor="text1"/>
          <w:sz w:val="36"/>
        </w:rPr>
      </w:pPr>
    </w:p>
    <w:p>
      <w:pPr>
        <w:jc w:val="center"/>
        <w:rPr>
          <w:rFonts w:ascii="宋体" w:hAnsi="宋体" w:cs="宋体"/>
          <w:b/>
          <w:color w:val="000000" w:themeColor="text1"/>
          <w:sz w:val="84"/>
        </w:rPr>
      </w:pPr>
      <w:r>
        <w:rPr>
          <w:rFonts w:hint="eastAsia" w:ascii="宋体" w:hAnsi="宋体" w:cs="宋体"/>
          <w:b/>
          <w:color w:val="000000" w:themeColor="text1"/>
          <w:sz w:val="84"/>
        </w:rPr>
        <w:t>招 标 文 件</w:t>
      </w:r>
    </w:p>
    <w:p>
      <w:pP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ind w:firstLine="720" w:firstLineChars="200"/>
        <w:rPr>
          <w:rFonts w:ascii="宋体" w:hAnsi="宋体" w:cs="宋体"/>
          <w:b/>
          <w:color w:val="000000" w:themeColor="text1"/>
          <w:sz w:val="36"/>
        </w:rPr>
      </w:pPr>
      <w:r>
        <w:rPr>
          <w:rFonts w:hint="eastAsia" w:ascii="宋体" w:hAnsi="宋体" w:cs="宋体"/>
          <w:b/>
          <w:color w:val="000000" w:themeColor="text1"/>
          <w:sz w:val="36"/>
        </w:rPr>
        <w:t>项目编号：2020-0</w:t>
      </w:r>
      <w:r>
        <w:rPr>
          <w:rFonts w:hint="eastAsia" w:ascii="宋体" w:hAnsi="宋体" w:cs="宋体"/>
          <w:b/>
          <w:color w:val="000000" w:themeColor="text1"/>
          <w:sz w:val="36"/>
          <w:lang w:val="en-US" w:eastAsia="zh-CN"/>
        </w:rPr>
        <w:t>70</w:t>
      </w:r>
      <w:r>
        <w:rPr>
          <w:rFonts w:hint="eastAsia" w:ascii="宋体" w:hAnsi="宋体" w:cs="宋体"/>
          <w:b/>
          <w:color w:val="000000" w:themeColor="text1"/>
          <w:sz w:val="36"/>
        </w:rPr>
        <w:t>W</w:t>
      </w: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ind w:firstLine="720" w:firstLineChars="200"/>
        <w:rPr>
          <w:rFonts w:ascii="宋体" w:hAnsi="宋体" w:cs="宋体"/>
          <w:b/>
          <w:color w:val="000000" w:themeColor="text1"/>
          <w:sz w:val="36"/>
          <w:szCs w:val="36"/>
        </w:rPr>
      </w:pPr>
      <w:r>
        <w:rPr>
          <w:rFonts w:hint="eastAsia" w:ascii="宋体" w:hAnsi="宋体" w:cs="宋体"/>
          <w:b/>
          <w:color w:val="000000" w:themeColor="text1"/>
          <w:sz w:val="36"/>
          <w:szCs w:val="36"/>
        </w:rPr>
        <w:t>项目名称：盐城工业职业技术学院车辆租赁服务项目</w:t>
      </w: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Cs/>
          <w:color w:val="000000" w:themeColor="text1"/>
          <w:sz w:val="32"/>
        </w:rPr>
      </w:pPr>
    </w:p>
    <w:p>
      <w:pPr>
        <w:jc w:val="center"/>
        <w:rPr>
          <w:rFonts w:ascii="宋体" w:hAnsi="宋体" w:cs="宋体"/>
          <w:b/>
          <w:color w:val="000000" w:themeColor="text1"/>
          <w:sz w:val="36"/>
          <w:szCs w:val="36"/>
        </w:rPr>
      </w:pPr>
      <w:r>
        <w:rPr>
          <w:rFonts w:hint="eastAsia" w:ascii="宋体" w:hAnsi="宋体" w:cs="宋体"/>
          <w:b/>
          <w:color w:val="000000" w:themeColor="text1"/>
          <w:sz w:val="36"/>
          <w:szCs w:val="36"/>
        </w:rPr>
        <w:t>盐城工业职业技术学院</w:t>
      </w:r>
    </w:p>
    <w:p>
      <w:pPr>
        <w:jc w:val="center"/>
        <w:rPr>
          <w:rFonts w:ascii="宋体" w:hAnsi="宋体" w:cs="宋体"/>
          <w:b/>
          <w:color w:val="000000" w:themeColor="text1"/>
          <w:sz w:val="36"/>
          <w:szCs w:val="36"/>
        </w:rPr>
      </w:pPr>
      <w:r>
        <w:rPr>
          <w:rFonts w:hint="eastAsia" w:ascii="宋体" w:hAnsi="宋体" w:cs="宋体"/>
          <w:b/>
          <w:color w:val="000000" w:themeColor="text1"/>
          <w:sz w:val="36"/>
          <w:szCs w:val="36"/>
        </w:rPr>
        <w:t>江苏伟业项目管理有限公司</w:t>
      </w:r>
    </w:p>
    <w:p>
      <w:pPr>
        <w:jc w:val="center"/>
        <w:rPr>
          <w:rFonts w:ascii="宋体" w:hAnsi="宋体" w:cs="宋体"/>
          <w:b/>
          <w:color w:val="000000" w:themeColor="text1"/>
          <w:sz w:val="36"/>
          <w:szCs w:val="36"/>
        </w:rPr>
      </w:pPr>
      <w:r>
        <w:rPr>
          <w:rFonts w:hint="eastAsia" w:ascii="宋体" w:hAnsi="宋体" w:cs="宋体"/>
          <w:b/>
          <w:color w:val="000000" w:themeColor="text1"/>
          <w:sz w:val="36"/>
          <w:szCs w:val="36"/>
        </w:rPr>
        <w:t>2020年12月</w:t>
      </w:r>
      <w:r>
        <w:rPr>
          <w:rFonts w:hint="eastAsia" w:ascii="宋体" w:hAnsi="宋体" w:cs="宋体"/>
          <w:b/>
          <w:color w:val="000000" w:themeColor="text1"/>
          <w:sz w:val="36"/>
          <w:szCs w:val="36"/>
          <w:lang w:val="en-US" w:eastAsia="zh-CN"/>
        </w:rPr>
        <w:t>22</w:t>
      </w:r>
      <w:r>
        <w:rPr>
          <w:rFonts w:hint="eastAsia" w:ascii="宋体" w:hAnsi="宋体" w:cs="宋体"/>
          <w:b/>
          <w:color w:val="000000" w:themeColor="text1"/>
          <w:sz w:val="36"/>
          <w:szCs w:val="36"/>
        </w:rPr>
        <w:t>日</w:t>
      </w:r>
    </w:p>
    <w:p>
      <w:pPr>
        <w:spacing w:line="480" w:lineRule="auto"/>
        <w:jc w:val="center"/>
        <w:outlineLvl w:val="0"/>
        <w:rPr>
          <w:rFonts w:ascii="宋体" w:hAnsi="宋体" w:cs="宋体"/>
          <w:b/>
          <w:color w:val="000000" w:themeColor="text1"/>
          <w:sz w:val="44"/>
        </w:rPr>
      </w:pPr>
      <w:r>
        <w:rPr>
          <w:rFonts w:hint="eastAsia" w:ascii="宋体" w:hAnsi="宋体" w:cs="宋体"/>
          <w:color w:val="000000" w:themeColor="text1"/>
        </w:rPr>
        <w:br w:type="page"/>
      </w:r>
      <w:bookmarkStart w:id="0" w:name="_Toc120614210"/>
      <w:bookmarkStart w:id="1" w:name="_Toc16938516"/>
      <w:bookmarkStart w:id="2" w:name="_Toc20823272"/>
      <w:bookmarkStart w:id="3" w:name="_Toc513029200"/>
      <w:bookmarkStart w:id="4" w:name="_Toc479757206"/>
      <w:bookmarkStart w:id="5" w:name="_Toc523127445"/>
      <w:r>
        <w:rPr>
          <w:rFonts w:hint="eastAsia" w:ascii="宋体" w:hAnsi="宋体" w:cs="宋体"/>
          <w:b/>
          <w:color w:val="000000" w:themeColor="text1"/>
          <w:sz w:val="44"/>
        </w:rPr>
        <w:t>总  目  录</w:t>
      </w:r>
    </w:p>
    <w:p>
      <w:pPr>
        <w:spacing w:line="480" w:lineRule="auto"/>
        <w:rPr>
          <w:rFonts w:ascii="宋体" w:hAnsi="宋体" w:cs="宋体"/>
          <w:b/>
          <w:color w:val="000000" w:themeColor="text1"/>
          <w:sz w:val="28"/>
        </w:rPr>
      </w:pPr>
    </w:p>
    <w:p>
      <w:pPr>
        <w:numPr>
          <w:ilvl w:val="0"/>
          <w:numId w:val="4"/>
        </w:numPr>
        <w:spacing w:line="480" w:lineRule="auto"/>
        <w:outlineLvl w:val="0"/>
        <w:rPr>
          <w:rFonts w:ascii="宋体" w:hAnsi="宋体" w:cs="宋体"/>
          <w:color w:val="000000" w:themeColor="text1"/>
          <w:sz w:val="32"/>
        </w:rPr>
      </w:pPr>
      <w:r>
        <w:rPr>
          <w:rFonts w:hint="eastAsia" w:ascii="宋体" w:hAnsi="宋体" w:cs="宋体"/>
          <w:color w:val="000000" w:themeColor="text1"/>
          <w:sz w:val="36"/>
        </w:rPr>
        <w:t>招标公告……………………………………</w:t>
      </w:r>
    </w:p>
    <w:p>
      <w:pPr>
        <w:numPr>
          <w:ilvl w:val="0"/>
          <w:numId w:val="4"/>
        </w:numPr>
        <w:spacing w:line="480" w:lineRule="auto"/>
        <w:outlineLvl w:val="0"/>
        <w:rPr>
          <w:rFonts w:ascii="宋体" w:hAnsi="宋体" w:cs="宋体"/>
          <w:color w:val="000000" w:themeColor="text1"/>
          <w:sz w:val="36"/>
        </w:rPr>
      </w:pPr>
      <w:r>
        <w:rPr>
          <w:rFonts w:hint="eastAsia" w:ascii="宋体" w:hAnsi="宋体" w:cs="宋体"/>
          <w:bCs/>
          <w:color w:val="000000" w:themeColor="text1"/>
          <w:sz w:val="36"/>
          <w:szCs w:val="36"/>
        </w:rPr>
        <w:t>投标人须知</w:t>
      </w:r>
      <w:r>
        <w:rPr>
          <w:rFonts w:hint="eastAsia" w:ascii="宋体" w:hAnsi="宋体" w:cs="宋体"/>
          <w:color w:val="000000" w:themeColor="text1"/>
          <w:sz w:val="36"/>
          <w:szCs w:val="36"/>
        </w:rPr>
        <w:t>…</w:t>
      </w:r>
      <w:r>
        <w:rPr>
          <w:rFonts w:hint="eastAsia" w:ascii="宋体" w:hAnsi="宋体" w:cs="宋体"/>
          <w:color w:val="000000" w:themeColor="text1"/>
          <w:sz w:val="36"/>
        </w:rPr>
        <w:t>………………………………</w:t>
      </w:r>
    </w:p>
    <w:p>
      <w:pPr>
        <w:numPr>
          <w:ilvl w:val="0"/>
          <w:numId w:val="4"/>
        </w:numPr>
        <w:spacing w:line="480" w:lineRule="auto"/>
        <w:outlineLvl w:val="0"/>
        <w:rPr>
          <w:rFonts w:ascii="宋体" w:hAnsi="宋体" w:cs="宋体"/>
          <w:color w:val="000000" w:themeColor="text1"/>
          <w:sz w:val="36"/>
        </w:rPr>
      </w:pPr>
      <w:r>
        <w:rPr>
          <w:rFonts w:hint="eastAsia" w:ascii="宋体" w:hAnsi="宋体" w:cs="宋体"/>
          <w:color w:val="000000" w:themeColor="text1"/>
          <w:sz w:val="36"/>
        </w:rPr>
        <w:t>合同条款及格式……………………………</w:t>
      </w:r>
    </w:p>
    <w:p>
      <w:pPr>
        <w:numPr>
          <w:ilvl w:val="0"/>
          <w:numId w:val="4"/>
        </w:numPr>
        <w:spacing w:line="480" w:lineRule="auto"/>
        <w:outlineLvl w:val="0"/>
        <w:rPr>
          <w:rFonts w:ascii="宋体" w:hAnsi="宋体" w:cs="宋体"/>
          <w:color w:val="000000" w:themeColor="text1"/>
          <w:sz w:val="36"/>
        </w:rPr>
      </w:pPr>
      <w:r>
        <w:rPr>
          <w:rFonts w:hint="eastAsia" w:ascii="宋体" w:hAnsi="宋体" w:cs="宋体"/>
          <w:color w:val="000000" w:themeColor="text1"/>
          <w:sz w:val="36"/>
        </w:rPr>
        <w:t>项目需求……………………………………</w:t>
      </w:r>
    </w:p>
    <w:p>
      <w:pPr>
        <w:numPr>
          <w:ilvl w:val="0"/>
          <w:numId w:val="4"/>
        </w:numPr>
        <w:spacing w:line="480" w:lineRule="auto"/>
        <w:outlineLvl w:val="0"/>
        <w:rPr>
          <w:rFonts w:ascii="宋体" w:hAnsi="宋体" w:cs="宋体"/>
          <w:color w:val="000000" w:themeColor="text1"/>
          <w:sz w:val="36"/>
        </w:rPr>
      </w:pPr>
      <w:r>
        <w:rPr>
          <w:rFonts w:hint="eastAsia" w:ascii="宋体" w:hAnsi="宋体" w:cs="宋体"/>
          <w:bCs/>
          <w:color w:val="000000" w:themeColor="text1"/>
          <w:sz w:val="36"/>
          <w:szCs w:val="36"/>
        </w:rPr>
        <w:t>评标方法与评标标准</w:t>
      </w:r>
      <w:r>
        <w:rPr>
          <w:rFonts w:hint="eastAsia" w:ascii="宋体" w:hAnsi="宋体" w:cs="宋体"/>
          <w:color w:val="000000" w:themeColor="text1"/>
          <w:sz w:val="36"/>
        </w:rPr>
        <w:t>………………………</w:t>
      </w:r>
    </w:p>
    <w:p>
      <w:pPr>
        <w:numPr>
          <w:ilvl w:val="0"/>
          <w:numId w:val="4"/>
        </w:numPr>
        <w:spacing w:line="480" w:lineRule="auto"/>
        <w:outlineLvl w:val="0"/>
        <w:rPr>
          <w:rFonts w:ascii="宋体" w:hAnsi="宋体" w:cs="宋体"/>
          <w:color w:val="000000" w:themeColor="text1"/>
          <w:sz w:val="36"/>
        </w:rPr>
      </w:pPr>
      <w:r>
        <w:rPr>
          <w:rFonts w:hint="eastAsia" w:ascii="宋体" w:hAnsi="宋体" w:cs="宋体"/>
          <w:color w:val="000000" w:themeColor="text1"/>
          <w:sz w:val="36"/>
        </w:rPr>
        <w:t>投标文件格式………………………………</w:t>
      </w:r>
    </w:p>
    <w:p>
      <w:pPr>
        <w:pStyle w:val="3"/>
        <w:rPr>
          <w:rFonts w:ascii="宋体" w:hAnsi="宋体" w:eastAsia="宋体" w:cs="宋体"/>
          <w:bCs/>
          <w:color w:val="000000" w:themeColor="text1"/>
          <w:sz w:val="44"/>
        </w:rPr>
      </w:pPr>
    </w:p>
    <w:p>
      <w:pPr>
        <w:pStyle w:val="3"/>
        <w:rPr>
          <w:rFonts w:ascii="宋体" w:hAnsi="宋体" w:eastAsia="宋体" w:cs="宋体"/>
          <w:bCs/>
          <w:color w:val="000000" w:themeColor="text1"/>
          <w:sz w:val="44"/>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pStyle w:val="3"/>
        <w:rPr>
          <w:rFonts w:ascii="宋体" w:hAnsi="宋体" w:eastAsia="宋体" w:cs="宋体"/>
          <w:bCs/>
          <w:color w:val="000000" w:themeColor="text1"/>
          <w:sz w:val="24"/>
          <w:szCs w:val="24"/>
        </w:rPr>
      </w:pPr>
      <w:r>
        <w:rPr>
          <w:rFonts w:hint="eastAsia" w:ascii="宋体" w:hAnsi="宋体" w:eastAsia="宋体" w:cs="宋体"/>
          <w:color w:val="000000" w:themeColor="text1"/>
          <w:sz w:val="44"/>
          <w:szCs w:val="44"/>
        </w:rPr>
        <w:br w:type="page"/>
      </w:r>
      <w:r>
        <w:rPr>
          <w:rFonts w:hint="eastAsia" w:ascii="宋体" w:hAnsi="宋体" w:eastAsia="宋体" w:cs="宋体"/>
          <w:b/>
          <w:bCs/>
          <w:color w:val="000000" w:themeColor="text1"/>
          <w:sz w:val="44"/>
          <w:szCs w:val="44"/>
        </w:rPr>
        <w:t xml:space="preserve">第一章  </w:t>
      </w:r>
      <w:bookmarkEnd w:id="0"/>
      <w:r>
        <w:rPr>
          <w:rFonts w:hint="eastAsia" w:ascii="宋体" w:hAnsi="宋体" w:eastAsia="宋体" w:cs="宋体"/>
          <w:b/>
          <w:bCs/>
          <w:color w:val="000000" w:themeColor="text1"/>
          <w:sz w:val="44"/>
          <w:szCs w:val="44"/>
        </w:rPr>
        <w:t>招标公告</w:t>
      </w:r>
    </w:p>
    <w:p>
      <w:pPr>
        <w:pStyle w:val="41"/>
        <w:pBdr>
          <w:top w:val="single" w:color="000000" w:sz="8" w:space="0"/>
          <w:left w:val="single" w:color="000000" w:sz="8" w:space="0"/>
          <w:right w:val="single" w:color="000000" w:sz="8" w:space="0"/>
        </w:pBdr>
        <w:shd w:val="clear" w:color="auto" w:fill="FFFFFF"/>
        <w:spacing w:before="0" w:beforeAutospacing="0" w:after="0" w:afterAutospacing="0" w:line="360" w:lineRule="auto"/>
        <w:ind w:firstLine="482"/>
        <w:rPr>
          <w:rFonts w:ascii="Times New Roman" w:hAnsi="Times New Roman" w:cs="Times New Roman"/>
          <w:color w:val="000000" w:themeColor="text1"/>
        </w:rPr>
      </w:pPr>
      <w:r>
        <w:rPr>
          <w:rFonts w:hint="eastAsia"/>
          <w:b/>
          <w:color w:val="000000" w:themeColor="text1"/>
          <w:shd w:val="clear" w:color="auto" w:fill="FFFFFF"/>
        </w:rPr>
        <w:t>项目概况</w:t>
      </w:r>
    </w:p>
    <w:p>
      <w:pPr>
        <w:pStyle w:val="41"/>
        <w:pBdr>
          <w:left w:val="single" w:color="000000" w:sz="8" w:space="0"/>
          <w:bottom w:val="single" w:color="000000" w:sz="8" w:space="0"/>
          <w:right w:val="single" w:color="000000" w:sz="8" w:space="0"/>
        </w:pBdr>
        <w:shd w:val="clear" w:color="auto" w:fill="FFFFFF"/>
        <w:spacing w:before="0" w:beforeAutospacing="0" w:after="0" w:afterAutospacing="0" w:line="360" w:lineRule="auto"/>
        <w:ind w:firstLine="480"/>
        <w:rPr>
          <w:rFonts w:ascii="Times New Roman" w:hAnsi="Times New Roman" w:cs="Times New Roman"/>
          <w:color w:val="000000" w:themeColor="text1"/>
        </w:rPr>
      </w:pPr>
      <w:bookmarkStart w:id="194" w:name="_GoBack"/>
      <w:r>
        <w:rPr>
          <w:rFonts w:hint="eastAsia"/>
          <w:color w:val="000000" w:themeColor="text1"/>
          <w:u w:val="single"/>
          <w:shd w:val="clear" w:color="auto" w:fill="FFFFFF"/>
        </w:rPr>
        <w:t>盐城工业职业技术学院车辆租赁服务项目的潜在投标人应在“盐城市政府采购网和盐城工业职业技术学院招标采购网”获取招标文件，并于</w:t>
      </w:r>
      <w:r>
        <w:rPr>
          <w:rFonts w:hint="eastAsia"/>
          <w:color w:val="000000" w:themeColor="text1"/>
          <w:u w:val="single"/>
          <w:shd w:val="clear" w:color="auto" w:fill="FFFFFF"/>
        </w:rPr>
        <w:t>202</w:t>
      </w:r>
      <w:r>
        <w:rPr>
          <w:rFonts w:hint="eastAsia"/>
          <w:color w:val="000000" w:themeColor="text1"/>
          <w:u w:val="single"/>
          <w:shd w:val="clear" w:color="auto" w:fill="FFFFFF"/>
          <w:lang w:val="en-US" w:eastAsia="zh-CN"/>
        </w:rPr>
        <w:t>1</w:t>
      </w:r>
      <w:r>
        <w:rPr>
          <w:rFonts w:hint="eastAsia"/>
          <w:color w:val="000000" w:themeColor="text1"/>
          <w:u w:val="single"/>
          <w:shd w:val="clear" w:color="auto" w:fill="FFFFFF"/>
        </w:rPr>
        <w:t>年</w:t>
      </w:r>
      <w:r>
        <w:rPr>
          <w:rFonts w:hint="eastAsia"/>
          <w:color w:val="000000" w:themeColor="text1"/>
          <w:u w:val="single"/>
          <w:shd w:val="clear" w:color="auto" w:fill="FFFFFF"/>
          <w:lang w:val="en-US" w:eastAsia="zh-CN"/>
        </w:rPr>
        <w:t>1</w:t>
      </w:r>
      <w:r>
        <w:rPr>
          <w:rFonts w:hint="eastAsia"/>
          <w:color w:val="000000" w:themeColor="text1"/>
          <w:u w:val="single"/>
          <w:shd w:val="clear" w:color="auto" w:fill="FFFFFF"/>
        </w:rPr>
        <w:t>月</w:t>
      </w:r>
      <w:r>
        <w:rPr>
          <w:rFonts w:hint="eastAsia"/>
          <w:color w:val="000000" w:themeColor="text1"/>
          <w:u w:val="single"/>
          <w:shd w:val="clear" w:color="auto" w:fill="FFFFFF"/>
          <w:lang w:val="en-US" w:eastAsia="zh-CN"/>
        </w:rPr>
        <w:t>12</w:t>
      </w:r>
      <w:r>
        <w:rPr>
          <w:rFonts w:hint="eastAsia"/>
          <w:color w:val="000000" w:themeColor="text1"/>
          <w:u w:val="single"/>
          <w:shd w:val="clear" w:color="auto" w:fill="FFFFFF"/>
        </w:rPr>
        <w:t>日</w:t>
      </w:r>
      <w:r>
        <w:rPr>
          <w:rFonts w:hint="eastAsia"/>
          <w:color w:val="000000" w:themeColor="text1"/>
          <w:u w:val="single"/>
          <w:shd w:val="clear" w:color="auto" w:fill="FFFFFF"/>
          <w:lang w:val="en-US" w:eastAsia="zh-CN"/>
        </w:rPr>
        <w:t>15</w:t>
      </w:r>
      <w:r>
        <w:rPr>
          <w:rFonts w:hint="eastAsia"/>
          <w:color w:val="000000" w:themeColor="text1"/>
          <w:u w:val="single"/>
          <w:shd w:val="clear" w:color="auto" w:fill="FFFFFF"/>
        </w:rPr>
        <w:t>点</w:t>
      </w:r>
      <w:r>
        <w:rPr>
          <w:rFonts w:hint="eastAsia"/>
          <w:color w:val="000000" w:themeColor="text1"/>
          <w:u w:val="single"/>
          <w:shd w:val="clear" w:color="auto" w:fill="FFFFFF"/>
          <w:lang w:val="en-US" w:eastAsia="zh-CN"/>
        </w:rPr>
        <w:t>00</w:t>
      </w:r>
      <w:r>
        <w:rPr>
          <w:rFonts w:hint="eastAsia"/>
          <w:color w:val="000000" w:themeColor="text1"/>
          <w:u w:val="single"/>
          <w:shd w:val="clear" w:color="auto" w:fill="FFFFFF"/>
        </w:rPr>
        <w:t>分（北京时间）前递交投标文件。</w:t>
      </w:r>
      <w:bookmarkEnd w:id="194"/>
    </w:p>
    <w:p>
      <w:pPr>
        <w:pStyle w:val="41"/>
        <w:shd w:val="clear" w:color="auto" w:fill="FFFFFF"/>
        <w:adjustRightInd w:val="0"/>
        <w:snapToGrid w:val="0"/>
        <w:spacing w:before="0" w:beforeAutospacing="0" w:after="0" w:afterAutospacing="0" w:line="360" w:lineRule="auto"/>
        <w:ind w:firstLine="480" w:firstLineChars="200"/>
        <w:jc w:val="both"/>
        <w:rPr>
          <w:color w:val="000000" w:themeColor="text1"/>
        </w:rPr>
      </w:pPr>
      <w:r>
        <w:rPr>
          <w:rFonts w:hint="eastAsia"/>
          <w:b/>
          <w:color w:val="000000" w:themeColor="text1"/>
          <w:shd w:val="clear" w:color="auto" w:fill="FFFFFF"/>
        </w:rPr>
        <w:t>一、项目基本情况</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1.项目编号：2020-0</w:t>
      </w:r>
      <w:r>
        <w:rPr>
          <w:rFonts w:hint="eastAsia" w:ascii="宋体" w:hAnsi="宋体" w:cs="宋体"/>
          <w:color w:val="000000" w:themeColor="text1"/>
          <w:sz w:val="24"/>
          <w:szCs w:val="24"/>
          <w:lang w:val="en-US" w:eastAsia="zh-CN"/>
        </w:rPr>
        <w:t>70</w:t>
      </w:r>
      <w:r>
        <w:rPr>
          <w:rFonts w:hint="eastAsia" w:ascii="宋体" w:hAnsi="宋体" w:cs="宋体"/>
          <w:color w:val="000000" w:themeColor="text1"/>
          <w:sz w:val="24"/>
          <w:szCs w:val="24"/>
        </w:rPr>
        <w:t>W</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2.项目名称：盐城工业职业技术学院车辆租赁服务项目</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3.最高限价：①油费（轿车1.</w:t>
      </w:r>
      <w:r>
        <w:rPr>
          <w:rFonts w:ascii="宋体" w:hAnsi="宋体" w:cs="宋体"/>
          <w:color w:val="000000" w:themeColor="text1"/>
          <w:sz w:val="24"/>
          <w:szCs w:val="24"/>
        </w:rPr>
        <w:t>1</w:t>
      </w:r>
      <w:r>
        <w:rPr>
          <w:rFonts w:hint="eastAsia" w:ascii="宋体" w:hAnsi="宋体" w:cs="宋体"/>
          <w:color w:val="000000" w:themeColor="text1"/>
          <w:sz w:val="24"/>
          <w:szCs w:val="24"/>
        </w:rPr>
        <w:t>元/公里，商务车1.</w:t>
      </w:r>
      <w:r>
        <w:rPr>
          <w:rFonts w:ascii="宋体" w:hAnsi="宋体" w:cs="宋体"/>
          <w:color w:val="000000" w:themeColor="text1"/>
          <w:sz w:val="24"/>
          <w:szCs w:val="24"/>
        </w:rPr>
        <w:t>3</w:t>
      </w:r>
      <w:r>
        <w:rPr>
          <w:rFonts w:hint="eastAsia" w:ascii="宋体" w:hAnsi="宋体" w:cs="宋体"/>
          <w:color w:val="000000" w:themeColor="text1"/>
          <w:sz w:val="24"/>
          <w:szCs w:val="24"/>
        </w:rPr>
        <w:t>元/公里，丰田或同档次车型13座1.</w:t>
      </w:r>
      <w:r>
        <w:rPr>
          <w:rFonts w:ascii="宋体" w:hAnsi="宋体" w:cs="宋体"/>
          <w:color w:val="000000" w:themeColor="text1"/>
          <w:sz w:val="24"/>
          <w:szCs w:val="24"/>
        </w:rPr>
        <w:t>5</w:t>
      </w:r>
      <w:r>
        <w:rPr>
          <w:rFonts w:hint="eastAsia" w:ascii="宋体" w:hAnsi="宋体" w:cs="宋体"/>
          <w:color w:val="000000" w:themeColor="text1"/>
          <w:sz w:val="24"/>
          <w:szCs w:val="24"/>
        </w:rPr>
        <w:t>元/公里，考斯特或同档次车型1.</w:t>
      </w:r>
      <w:r>
        <w:rPr>
          <w:rFonts w:ascii="宋体" w:hAnsi="宋体" w:cs="宋体"/>
          <w:color w:val="000000" w:themeColor="text1"/>
          <w:sz w:val="24"/>
          <w:szCs w:val="24"/>
        </w:rPr>
        <w:t>7</w:t>
      </w:r>
      <w:r>
        <w:rPr>
          <w:rFonts w:hint="eastAsia" w:ascii="宋体" w:hAnsi="宋体" w:cs="宋体"/>
          <w:color w:val="000000" w:themeColor="text1"/>
          <w:sz w:val="24"/>
          <w:szCs w:val="24"/>
        </w:rPr>
        <w:t>元/公里，大巴1.</w:t>
      </w:r>
      <w:r>
        <w:rPr>
          <w:rFonts w:ascii="宋体" w:hAnsi="宋体" w:cs="宋体"/>
          <w:color w:val="000000" w:themeColor="text1"/>
          <w:sz w:val="24"/>
          <w:szCs w:val="24"/>
        </w:rPr>
        <w:t>9</w:t>
      </w:r>
      <w:r>
        <w:rPr>
          <w:rFonts w:hint="eastAsia" w:ascii="宋体" w:hAnsi="宋体" w:cs="宋体"/>
          <w:color w:val="000000" w:themeColor="text1"/>
          <w:sz w:val="24"/>
          <w:szCs w:val="24"/>
        </w:rPr>
        <w:t>元/公里）；②车辆租金（轿车3</w:t>
      </w:r>
      <w:r>
        <w:rPr>
          <w:rFonts w:ascii="宋体" w:hAnsi="宋体" w:cs="宋体"/>
          <w:color w:val="000000" w:themeColor="text1"/>
          <w:sz w:val="24"/>
          <w:szCs w:val="24"/>
        </w:rPr>
        <w:t>3</w:t>
      </w:r>
      <w:r>
        <w:rPr>
          <w:rFonts w:hint="eastAsia" w:ascii="宋体" w:hAnsi="宋体" w:cs="宋体"/>
          <w:color w:val="000000" w:themeColor="text1"/>
          <w:sz w:val="24"/>
          <w:szCs w:val="24"/>
        </w:rPr>
        <w:t>0元/天，商务车4</w:t>
      </w:r>
      <w:r>
        <w:rPr>
          <w:rFonts w:ascii="宋体" w:hAnsi="宋体" w:cs="宋体"/>
          <w:color w:val="000000" w:themeColor="text1"/>
          <w:sz w:val="24"/>
          <w:szCs w:val="24"/>
        </w:rPr>
        <w:t>9</w:t>
      </w:r>
      <w:r>
        <w:rPr>
          <w:rFonts w:hint="eastAsia" w:ascii="宋体" w:hAnsi="宋体" w:cs="宋体"/>
          <w:color w:val="000000" w:themeColor="text1"/>
          <w:sz w:val="24"/>
          <w:szCs w:val="24"/>
        </w:rPr>
        <w:t>0元/天，丰田或同档次车型13座6</w:t>
      </w:r>
      <w:r>
        <w:rPr>
          <w:rFonts w:ascii="宋体" w:hAnsi="宋体" w:cs="宋体"/>
          <w:color w:val="000000" w:themeColor="text1"/>
          <w:sz w:val="24"/>
          <w:szCs w:val="24"/>
        </w:rPr>
        <w:t>5</w:t>
      </w:r>
      <w:r>
        <w:rPr>
          <w:rFonts w:hint="eastAsia" w:ascii="宋体" w:hAnsi="宋体" w:cs="宋体"/>
          <w:color w:val="000000" w:themeColor="text1"/>
          <w:sz w:val="24"/>
          <w:szCs w:val="24"/>
        </w:rPr>
        <w:t>0元/天，考斯特或同档次车型8</w:t>
      </w:r>
      <w:r>
        <w:rPr>
          <w:rFonts w:ascii="宋体" w:hAnsi="宋体" w:cs="宋体"/>
          <w:color w:val="000000" w:themeColor="text1"/>
          <w:sz w:val="24"/>
          <w:szCs w:val="24"/>
        </w:rPr>
        <w:t>6</w:t>
      </w:r>
      <w:r>
        <w:rPr>
          <w:rFonts w:hint="eastAsia" w:ascii="宋体" w:hAnsi="宋体" w:cs="宋体"/>
          <w:color w:val="000000" w:themeColor="text1"/>
          <w:sz w:val="24"/>
          <w:szCs w:val="24"/>
        </w:rPr>
        <w:t>0元/天，50座9</w:t>
      </w:r>
      <w:r>
        <w:rPr>
          <w:rFonts w:ascii="宋体" w:hAnsi="宋体" w:cs="宋体"/>
          <w:color w:val="000000" w:themeColor="text1"/>
          <w:sz w:val="24"/>
          <w:szCs w:val="24"/>
        </w:rPr>
        <w:t>7</w:t>
      </w:r>
      <w:r>
        <w:rPr>
          <w:rFonts w:hint="eastAsia" w:ascii="宋体" w:hAnsi="宋体" w:cs="宋体"/>
          <w:color w:val="000000" w:themeColor="text1"/>
          <w:sz w:val="24"/>
          <w:szCs w:val="24"/>
        </w:rPr>
        <w:t>0元/天，超300公里增一天车辆租金，未超4小时未出市区按半天计；③司机费用：市内140元/天，市外190元/天(此项不参与报价，定额结算)；④住宿费：省内160元/天，省外260元/天(此项不参与报价，按实际产生金额结算，最高不超过最高限价)；5、餐费：30元/顿(此项不参与报价，按实际产生金额结算，最高不超过最高限价)；6、过路费、停车费按实际费用为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4.服务期限：暂定一年。</w:t>
      </w:r>
    </w:p>
    <w:p>
      <w:pPr>
        <w:pStyle w:val="45"/>
        <w:adjustRightInd w:val="0"/>
        <w:snapToGrid w:val="0"/>
        <w:ind w:firstLine="480"/>
        <w:rPr>
          <w:rFonts w:cs="宋体"/>
          <w:color w:val="000000" w:themeColor="text1"/>
          <w:sz w:val="24"/>
          <w:szCs w:val="24"/>
        </w:rPr>
      </w:pPr>
      <w:r>
        <w:rPr>
          <w:rFonts w:hint="eastAsia" w:cs="宋体"/>
          <w:color w:val="000000" w:themeColor="text1"/>
          <w:sz w:val="24"/>
          <w:szCs w:val="24"/>
        </w:rPr>
        <w:t>5.服务地点：盐城工业职业技术学院公务用车部门指定地点。</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6.包件划分：本次招标共分为2个分包，具体划分如下：</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
          <w:color w:val="000000" w:themeColor="text1"/>
          <w:sz w:val="24"/>
          <w:szCs w:val="24"/>
        </w:rPr>
        <w:t>分包一：15座及以下车辆</w:t>
      </w:r>
      <w:r>
        <w:rPr>
          <w:rFonts w:hint="eastAsia" w:ascii="宋体" w:hAnsi="宋体" w:cs="宋体"/>
          <w:color w:val="000000" w:themeColor="text1"/>
          <w:sz w:val="24"/>
          <w:szCs w:val="24"/>
        </w:rPr>
        <w:t>（5座含司机小车、7座含司机商务车、9～15座含司机商务车）,拟确定中标供应商：3家。</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
          <w:color w:val="000000" w:themeColor="text1"/>
          <w:sz w:val="24"/>
          <w:szCs w:val="24"/>
        </w:rPr>
        <w:t>分包二：15座以上车辆</w:t>
      </w:r>
      <w:r>
        <w:rPr>
          <w:rFonts w:hint="eastAsia" w:ascii="宋体" w:hAnsi="宋体" w:cs="宋体"/>
          <w:color w:val="000000" w:themeColor="text1"/>
          <w:sz w:val="24"/>
          <w:szCs w:val="24"/>
        </w:rPr>
        <w:t>（一般是19～21座含司机小型客车、35～39座含司机中型客车、45～55 座含司机大型客车）,拟确定中标供应商：2家。</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投标人可同时参加上述两个分包的投标且可同时入围两个分包。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7.项目基本概况：选择一名供应商作为我单位车辆租赁服务提供商,招标人不保证中标供应商在合同有效期内的车辆租赁服务的业务量。</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8.本项目</w:t>
      </w:r>
      <w:r>
        <w:rPr>
          <w:rFonts w:hint="eastAsia" w:ascii="宋体" w:hAnsi="宋体" w:cs="宋体"/>
          <w:color w:val="000000" w:themeColor="text1"/>
          <w:sz w:val="24"/>
          <w:szCs w:val="24"/>
          <w:u w:val="single"/>
        </w:rPr>
        <w:t>不接受</w:t>
      </w:r>
      <w:r>
        <w:rPr>
          <w:rFonts w:hint="eastAsia" w:ascii="宋体" w:hAnsi="宋体" w:cs="宋体"/>
          <w:color w:val="000000" w:themeColor="text1"/>
          <w:sz w:val="24"/>
          <w:szCs w:val="24"/>
        </w:rPr>
        <w:t>联合体投标。</w:t>
      </w:r>
    </w:p>
    <w:p>
      <w:pPr>
        <w:tabs>
          <w:tab w:val="left" w:pos="900"/>
        </w:tabs>
        <w:adjustRightInd w:val="0"/>
        <w:snapToGrid w:val="0"/>
        <w:spacing w:line="360" w:lineRule="auto"/>
        <w:ind w:firstLine="480"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二、供应商资格要求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（一）符合政府采购法第二十二条第一款规定的条件，并提供下列材料：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1、法人或者其他组织的营业执照等证明文件，自然人的身份证明；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2、上一年度的财务报表（成立不满一年不需提供）；</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3、依法缴纳税收和社会保障资金的相关材料；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4、具备履行合同所必需的设备和专业技术能力的书面声明；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5、参加政府采购活动前3年内在经营活动中没有重大违法记录的书面声明。</w:t>
      </w:r>
    </w:p>
    <w:p>
      <w:pPr>
        <w:adjustRightInd w:val="0"/>
        <w:snapToGrid w:val="0"/>
        <w:spacing w:line="360" w:lineRule="auto"/>
        <w:ind w:firstLine="480" w:firstLineChars="200"/>
        <w:rPr>
          <w:rFonts w:ascii="宋体" w:hAnsi="宋体" w:cs="宋体"/>
          <w:bCs/>
          <w:color w:val="000000" w:themeColor="text1"/>
          <w:sz w:val="24"/>
          <w:szCs w:val="24"/>
          <w:u w:val="single"/>
        </w:rPr>
      </w:pPr>
      <w:r>
        <w:rPr>
          <w:rFonts w:hint="eastAsia" w:ascii="宋体" w:hAnsi="宋体" w:cs="宋体"/>
          <w:bCs/>
          <w:color w:val="000000" w:themeColor="text1"/>
          <w:sz w:val="24"/>
          <w:szCs w:val="24"/>
        </w:rPr>
        <w:t>（二）其他资格条件：</w:t>
      </w:r>
    </w:p>
    <w:p>
      <w:pPr>
        <w:tabs>
          <w:tab w:val="left" w:pos="900"/>
        </w:tabs>
        <w:adjustRightInd w:val="0"/>
        <w:snapToGrid w:val="0"/>
        <w:spacing w:line="360" w:lineRule="auto"/>
        <w:ind w:firstLine="480"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一标段要求：</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投标人必须是在中华人民共和国境内注册从事车辆租赁经营实体，有长期提供招标人所需车辆租赁能力的服务商，或其具有合法授权委托手续的代理商。只有在法律上和财务上独立、合法、且与招标人、招标代理机构无直接利害关系、隶属关系的服务商或具有合法授权委托手续的代理商才能参加投标。</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所供出租车辆手续齐全，必须符合国家、行业技术标准和招标文件要求。车辆需按照国家相关规定进行投保（交强险，商业险以及相关的车损险）。其中，商业第三者责任险不低于壹佰万元，车上人员责任险（乘客）不低于5万元。承租车辆的驾驶员需持有有效的中华人民共和国正式驾驶证，驾龄不低于 5 年。</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3.投标人近三年内没有被司法部门或行业管理部门查处；没有处于被责令停业、财产被接管、冻结、破产等状态。招标人中标后不得以任何方式进行转包。</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4.投标人保证所供出租车辆行驶安全，如发生交通事故，一切责任均由投标人承担。</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5.（一）服务用车</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校内小车服务市场投标人具有注册在其名下（含</w:t>
      </w:r>
      <w:r>
        <w:rPr>
          <w:rFonts w:ascii="宋体" w:hAnsi="宋体" w:cs="宋体"/>
          <w:color w:val="000000" w:themeColor="text1"/>
          <w:sz w:val="24"/>
          <w:szCs w:val="24"/>
        </w:rPr>
        <w:t>合伙经营的</w:t>
      </w:r>
      <w:r>
        <w:rPr>
          <w:rFonts w:hint="eastAsia" w:ascii="宋体" w:hAnsi="宋体" w:cs="宋体"/>
          <w:color w:val="000000" w:themeColor="text1"/>
          <w:sz w:val="24"/>
          <w:szCs w:val="24"/>
        </w:rPr>
        <w:t>）的4座以上（7座以下）的品牌小轿车和6座以上（7座以下）的品牌的商务车和15座一下的品牌面包车，且都在有效期内。</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（二）驾驶员</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校内小车服务市场投标人注册在其名下的驾驶员具有C照以上驾驶证，且都在有效期内。三名以上（含三名）驾驶员缴纳社会保险和意外伤害险。</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（三）经营业绩</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近三年，投标人有与本项目类似的经营业绩。</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6、投标人近三年内没有被司法部门或行业管理部门查处；没有处于被责令停业、财产被接管、冻结、破产等状态。招标人中标后不得以任何方式进行转包。</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7、未</w:t>
      </w:r>
      <w:r>
        <w:rPr>
          <w:rFonts w:hint="eastAsia" w:ascii="宋体" w:hAnsi="宋体" w:cs="宋体"/>
          <w:bCs/>
          <w:color w:val="000000" w:themeColor="text1"/>
          <w:sz w:val="24"/>
          <w:szCs w:val="24"/>
        </w:rPr>
        <w:t xml:space="preserve">被“信用中国”网站（www.creditchina.gov.cn）列入失信被执行人、重大税收违法案件当事人名单、政府采购严重失信行为记录名单。  </w:t>
      </w:r>
    </w:p>
    <w:p>
      <w:pPr>
        <w:tabs>
          <w:tab w:val="left" w:pos="900"/>
        </w:tabs>
        <w:adjustRightInd w:val="0"/>
        <w:snapToGrid w:val="0"/>
        <w:spacing w:line="360" w:lineRule="auto"/>
        <w:ind w:firstLine="480"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二标段要求：</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投标人必须是在中华人民共和国境内注册从事车辆租赁经营实体，有长期提供招标人所需车辆租赁能力的服务商，或其具有合法授权委托手续的代理商。只有在法律上和财务上独立、合法、且与招标人、招标代理机构无直接利害关系、隶属关系的服务商或具有合法授权委托手续的代理商才能参加投标。</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所供出租车辆手续齐全，必须符合国家、行业技术标准和招标文件要求。车辆需按照国家相关规定进行投保（交强险，商业险以及相关的车损险）。其中，商业第三者责任险不低于壹佰万元，车上人员责任险（乘客）不低于5万元。承租车辆的驾驶员需持有有效的中华人民共和国正式驾驶证，驾龄不低于 5 年。</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3.投标人近三年内没有被司法部门或行业管理部门查处；没有处于被责令停业、财产被接管、冻结、破产等状态。招标人中标后不得以任何方式进行转包。</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4.投标人保证所供出租车辆行驶安全，如发生交通事故，一切责任均由投标人承担。</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5.投标人须具有道路经营许可证，公司大巴车要有营运证。且投标公司有营运证车辆必须达5辆以上。</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6、投标人近三年内没有被司法部门或行业管理部门查处；没有处于被责令停业、财产被接管、冻结、破产等状态。招标人中标后不得以任何方式进行转包。</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7、未</w:t>
      </w:r>
      <w:r>
        <w:rPr>
          <w:rFonts w:hint="eastAsia" w:ascii="宋体" w:hAnsi="宋体" w:cs="宋体"/>
          <w:bCs/>
          <w:color w:val="000000" w:themeColor="text1"/>
          <w:sz w:val="24"/>
          <w:szCs w:val="24"/>
        </w:rPr>
        <w:t xml:space="preserve">被“信用中国”网站（www.creditchina.gov.cn）列入失信被执行人、重大税收违法案件当事人名单、政府采购严重失信行为记录名单。  </w:t>
      </w:r>
    </w:p>
    <w:p>
      <w:pPr>
        <w:adjustRightInd w:val="0"/>
        <w:snapToGrid w:val="0"/>
        <w:spacing w:line="360" w:lineRule="auto"/>
        <w:ind w:firstLine="480" w:firstLineChars="200"/>
        <w:jc w:val="left"/>
        <w:rPr>
          <w:rFonts w:ascii="宋体" w:hAnsi="宋体" w:cs="宋体"/>
          <w:b/>
          <w:bCs/>
          <w:color w:val="000000" w:themeColor="text1"/>
          <w:sz w:val="24"/>
          <w:szCs w:val="24"/>
        </w:rPr>
      </w:pPr>
      <w:r>
        <w:rPr>
          <w:rFonts w:hint="eastAsia" w:ascii="宋体" w:hAnsi="宋体" w:cs="宋体"/>
          <w:b/>
          <w:bCs/>
          <w:color w:val="000000" w:themeColor="text1"/>
          <w:sz w:val="24"/>
          <w:szCs w:val="24"/>
        </w:rPr>
        <w:t>三、获取招标文件</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时间：自公告之日起至投标截止时间前1日</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地点：盐城市政府采购网和盐城工业职业技术学院招标采购网</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方式：符合资格要求的投标人可自行下载采购文件，采购文件见盐城市政府采购网和盐城工业职业技术学院招标采购网本公告附件。</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售价：人民币500元在开标现场现金交纳。</w:t>
      </w:r>
    </w:p>
    <w:p>
      <w:pPr>
        <w:tabs>
          <w:tab w:val="left" w:pos="900"/>
        </w:tabs>
        <w:adjustRightInd w:val="0"/>
        <w:snapToGrid w:val="0"/>
        <w:spacing w:line="360" w:lineRule="auto"/>
        <w:ind w:firstLine="480" w:firstLineChars="200"/>
        <w:rPr>
          <w:rFonts w:ascii="宋体" w:hAnsi="宋体" w:cs="宋体"/>
          <w:b/>
          <w:bCs/>
          <w:color w:val="000000" w:themeColor="text1"/>
          <w:sz w:val="24"/>
          <w:szCs w:val="24"/>
        </w:rPr>
      </w:pPr>
      <w:bookmarkStart w:id="6" w:name="_Toc28359082"/>
      <w:bookmarkStart w:id="7" w:name="_Toc28359005"/>
      <w:bookmarkStart w:id="8" w:name="_Toc35393793"/>
      <w:bookmarkStart w:id="9" w:name="_Toc35393624"/>
      <w:r>
        <w:rPr>
          <w:rFonts w:hint="eastAsia" w:ascii="宋体" w:hAnsi="宋体" w:cs="宋体"/>
          <w:b/>
          <w:bCs/>
          <w:color w:val="000000" w:themeColor="text1"/>
          <w:sz w:val="24"/>
          <w:szCs w:val="24"/>
        </w:rPr>
        <w:t>四、提交投标文件</w:t>
      </w:r>
      <w:bookmarkEnd w:id="6"/>
      <w:bookmarkEnd w:id="7"/>
      <w:r>
        <w:rPr>
          <w:rFonts w:hint="eastAsia" w:ascii="宋体" w:hAnsi="宋体" w:cs="宋体"/>
          <w:b/>
          <w:bCs/>
          <w:color w:val="000000" w:themeColor="text1"/>
          <w:sz w:val="24"/>
          <w:szCs w:val="24"/>
        </w:rPr>
        <w:t>截止时间、开标时间和地点</w:t>
      </w:r>
      <w:bookmarkEnd w:id="8"/>
      <w:bookmarkEnd w:id="9"/>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投标文件接收时间：202</w:t>
      </w:r>
      <w:r>
        <w:rPr>
          <w:rFonts w:hint="eastAsia" w:ascii="宋体" w:hAnsi="宋体" w:cs="宋体"/>
          <w:color w:val="000000" w:themeColor="text1"/>
          <w:sz w:val="24"/>
          <w:szCs w:val="24"/>
          <w:lang w:val="en-US" w:eastAsia="zh-CN"/>
        </w:rPr>
        <w:t>1</w:t>
      </w:r>
      <w:r>
        <w:rPr>
          <w:rFonts w:hint="eastAsia" w:ascii="宋体" w:hAnsi="宋体" w:cs="宋体"/>
          <w:color w:val="000000" w:themeColor="text1"/>
          <w:sz w:val="24"/>
          <w:szCs w:val="24"/>
        </w:rPr>
        <w:t>年</w:t>
      </w:r>
      <w:r>
        <w:rPr>
          <w:rFonts w:hint="eastAsia" w:ascii="宋体" w:hAnsi="宋体" w:cs="宋体"/>
          <w:color w:val="000000" w:themeColor="text1"/>
          <w:sz w:val="24"/>
          <w:szCs w:val="24"/>
          <w:lang w:val="en-US" w:eastAsia="zh-CN"/>
        </w:rPr>
        <w:t>1</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12</w:t>
      </w:r>
      <w:r>
        <w:rPr>
          <w:rFonts w:hint="eastAsia" w:ascii="宋体" w:hAnsi="宋体" w:cs="宋体"/>
          <w:color w:val="000000" w:themeColor="text1"/>
          <w:sz w:val="24"/>
          <w:szCs w:val="24"/>
        </w:rPr>
        <w:t>日</w:t>
      </w:r>
      <w:r>
        <w:rPr>
          <w:rFonts w:hint="eastAsia" w:ascii="宋体" w:hAnsi="宋体" w:cs="宋体"/>
          <w:color w:val="000000" w:themeColor="text1"/>
          <w:sz w:val="24"/>
          <w:szCs w:val="24"/>
          <w:lang w:val="en-US" w:eastAsia="zh-CN"/>
        </w:rPr>
        <w:t>14</w:t>
      </w:r>
      <w:r>
        <w:rPr>
          <w:rFonts w:hint="eastAsia" w:ascii="宋体" w:hAnsi="宋体" w:cs="宋体"/>
          <w:color w:val="000000" w:themeColor="text1"/>
          <w:sz w:val="24"/>
          <w:szCs w:val="24"/>
        </w:rPr>
        <w:t>：30时</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投标文件接收截止时间：202</w:t>
      </w:r>
      <w:r>
        <w:rPr>
          <w:rFonts w:hint="eastAsia" w:ascii="宋体" w:hAnsi="宋体" w:cs="宋体"/>
          <w:color w:val="000000" w:themeColor="text1"/>
          <w:sz w:val="24"/>
          <w:szCs w:val="24"/>
          <w:lang w:val="en-US" w:eastAsia="zh-CN"/>
        </w:rPr>
        <w:t>1</w:t>
      </w:r>
      <w:r>
        <w:rPr>
          <w:rFonts w:hint="eastAsia" w:ascii="宋体" w:hAnsi="宋体" w:cs="宋体"/>
          <w:color w:val="000000" w:themeColor="text1"/>
          <w:sz w:val="24"/>
          <w:szCs w:val="24"/>
        </w:rPr>
        <w:t>年</w:t>
      </w:r>
      <w:r>
        <w:rPr>
          <w:rFonts w:hint="eastAsia" w:ascii="宋体" w:hAnsi="宋体" w:cs="宋体"/>
          <w:color w:val="000000" w:themeColor="text1"/>
          <w:sz w:val="24"/>
          <w:szCs w:val="24"/>
          <w:lang w:val="en-US" w:eastAsia="zh-CN"/>
        </w:rPr>
        <w:t>1</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12</w:t>
      </w:r>
      <w:r>
        <w:rPr>
          <w:rFonts w:hint="eastAsia" w:ascii="宋体" w:hAnsi="宋体" w:cs="宋体"/>
          <w:color w:val="000000" w:themeColor="text1"/>
          <w:sz w:val="24"/>
          <w:szCs w:val="24"/>
        </w:rPr>
        <w:t>日</w:t>
      </w:r>
      <w:r>
        <w:rPr>
          <w:rFonts w:hint="eastAsia" w:ascii="宋体" w:hAnsi="宋体" w:cs="宋体"/>
          <w:color w:val="000000" w:themeColor="text1"/>
          <w:sz w:val="24"/>
          <w:szCs w:val="24"/>
          <w:lang w:val="en-US" w:eastAsia="zh-CN"/>
        </w:rPr>
        <w:t>15</w:t>
      </w:r>
      <w:r>
        <w:rPr>
          <w:rFonts w:hint="eastAsia" w:ascii="宋体" w:hAnsi="宋体" w:cs="宋体"/>
          <w:color w:val="000000" w:themeColor="text1"/>
          <w:sz w:val="24"/>
          <w:szCs w:val="24"/>
        </w:rPr>
        <w:t>：00时</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投标文件接收地点：盐城工业职业技术学院（盐城市解放南路285号）后勤服务楼402开标室</w:t>
      </w:r>
    </w:p>
    <w:p>
      <w:pPr>
        <w:pStyle w:val="3"/>
        <w:tabs>
          <w:tab w:val="left" w:pos="0"/>
          <w:tab w:val="left" w:pos="3165"/>
          <w:tab w:val="center" w:pos="4153"/>
        </w:tabs>
        <w:autoSpaceDE w:val="0"/>
        <w:autoSpaceDN w:val="0"/>
        <w:adjustRightInd w:val="0"/>
        <w:snapToGrid w:val="0"/>
        <w:spacing w:line="360" w:lineRule="auto"/>
        <w:ind w:firstLine="480" w:firstLineChars="200"/>
        <w:jc w:val="left"/>
        <w:rPr>
          <w:rFonts w:ascii="宋体" w:hAnsi="宋体" w:eastAsia="宋体" w:cs="宋体"/>
          <w:b/>
          <w:bCs/>
          <w:color w:val="000000" w:themeColor="text1"/>
          <w:sz w:val="24"/>
          <w:szCs w:val="24"/>
        </w:rPr>
      </w:pPr>
      <w:bookmarkStart w:id="10" w:name="_Toc28359084"/>
      <w:bookmarkStart w:id="11" w:name="_Toc35393794"/>
      <w:bookmarkStart w:id="12" w:name="_Toc28359007"/>
      <w:bookmarkStart w:id="13" w:name="_Toc35393625"/>
      <w:r>
        <w:rPr>
          <w:rFonts w:hint="eastAsia" w:ascii="宋体" w:hAnsi="宋体" w:eastAsia="宋体" w:cs="宋体"/>
          <w:b/>
          <w:bCs/>
          <w:color w:val="000000" w:themeColor="text1"/>
          <w:sz w:val="24"/>
          <w:szCs w:val="24"/>
        </w:rPr>
        <w:t>五、公告期限</w:t>
      </w:r>
      <w:bookmarkEnd w:id="10"/>
      <w:bookmarkEnd w:id="11"/>
      <w:bookmarkEnd w:id="12"/>
      <w:bookmarkEnd w:id="13"/>
    </w:p>
    <w:p>
      <w:pPr>
        <w:adjustRightInd w:val="0"/>
        <w:snapToGrid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自本公告发布之日起5个工作日。</w:t>
      </w:r>
    </w:p>
    <w:p>
      <w:pPr>
        <w:pStyle w:val="3"/>
        <w:tabs>
          <w:tab w:val="left" w:pos="0"/>
          <w:tab w:val="left" w:pos="3165"/>
          <w:tab w:val="center" w:pos="4153"/>
        </w:tabs>
        <w:autoSpaceDE w:val="0"/>
        <w:autoSpaceDN w:val="0"/>
        <w:adjustRightInd w:val="0"/>
        <w:snapToGrid w:val="0"/>
        <w:spacing w:line="360" w:lineRule="auto"/>
        <w:ind w:firstLine="480" w:firstLineChars="200"/>
        <w:jc w:val="left"/>
        <w:rPr>
          <w:rFonts w:ascii="宋体" w:hAnsi="宋体" w:eastAsia="宋体" w:cs="宋体"/>
          <w:b/>
          <w:bCs/>
          <w:color w:val="000000" w:themeColor="text1"/>
          <w:sz w:val="24"/>
          <w:szCs w:val="24"/>
        </w:rPr>
      </w:pPr>
      <w:bookmarkStart w:id="14" w:name="_Toc35393795"/>
      <w:bookmarkStart w:id="15" w:name="_Toc35393626"/>
      <w:r>
        <w:rPr>
          <w:rFonts w:hint="eastAsia" w:ascii="宋体" w:hAnsi="宋体" w:eastAsia="宋体" w:cs="宋体"/>
          <w:b/>
          <w:bCs/>
          <w:color w:val="000000" w:themeColor="text1"/>
          <w:sz w:val="24"/>
          <w:szCs w:val="24"/>
        </w:rPr>
        <w:t>六、其他补充事宜</w:t>
      </w:r>
      <w:bookmarkEnd w:id="14"/>
      <w:bookmarkEnd w:id="15"/>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(一)因疫情防控需要，为确保校园安全，投标人进入盐城工业职业技术学院校区时应服从下列疫情防控措施：</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（1）投标人从解放南路东门进出；投标人车辆一律不得进入校园。</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（2）各投标人项目授权代表限1人进入校园；项目授权代表进入校园时须自行配戴口罩、做好手部消毒及投标文件等消毒防护工作。</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（4）投标人进入校园后应在指定地点参与投标活动，不到非相关场所活动；投标工作结束后应立即离开校园，不逗留。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请各投标人预留好相应时间，配合做好上述管控措施。</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（二）投标文件制作份数要求：正本份数：1份，副本份数：4份。</w:t>
      </w:r>
    </w:p>
    <w:p>
      <w:pPr>
        <w:tabs>
          <w:tab w:val="left" w:pos="900"/>
        </w:tabs>
        <w:adjustRightInd w:val="0"/>
        <w:snapToGrid w:val="0"/>
        <w:spacing w:line="360" w:lineRule="auto"/>
        <w:ind w:firstLine="480"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七、对本次招标提出询问，请按以下方式联系。</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1.采购人信息</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名称：盐城工业职业技术学院</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地址：盐城工业职业技术学院后勤服务中心四楼405室招标办公室</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联系人：</w:t>
      </w:r>
      <w:r>
        <w:rPr>
          <w:rFonts w:hint="eastAsia" w:ascii="宋体" w:hAnsi="宋体" w:cs="宋体"/>
          <w:color w:val="000000" w:themeColor="text1"/>
          <w:sz w:val="24"/>
          <w:szCs w:val="24"/>
          <w:lang w:val="en-US" w:eastAsia="zh-CN"/>
        </w:rPr>
        <w:t>赵老师</w:t>
      </w:r>
      <w:r>
        <w:rPr>
          <w:rFonts w:hint="eastAsia" w:ascii="宋体" w:hAnsi="宋体" w:cs="宋体"/>
          <w:color w:val="000000" w:themeColor="text1"/>
          <w:sz w:val="24"/>
          <w:szCs w:val="24"/>
        </w:rPr>
        <w:t xml:space="preserve">               </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联系电话：0515-88588707 </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2.采购代理机构信息</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名称：江苏伟业项目管理有限公司</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地址：盐城市人民南路华邦国际东厦A区16楼</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联系人：王志东              </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联系电话：18005113358</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3.项目联系方式</w:t>
      </w:r>
    </w:p>
    <w:p>
      <w:pPr>
        <w:tabs>
          <w:tab w:val="left" w:pos="900"/>
        </w:tabs>
        <w:adjustRightInd w:val="0"/>
        <w:snapToGrid w:val="0"/>
        <w:spacing w:line="360" w:lineRule="auto"/>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项目联系人： 周鹏飞</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电话：  18861991861</w:t>
      </w:r>
    </w:p>
    <w:p>
      <w:pPr>
        <w:spacing w:line="500" w:lineRule="exact"/>
        <w:ind w:firstLine="480" w:firstLineChars="200"/>
        <w:jc w:val="right"/>
        <w:rPr>
          <w:rFonts w:ascii="宋体" w:hAnsi="宋体" w:cs="宋体"/>
          <w:color w:val="000000" w:themeColor="text1"/>
          <w:sz w:val="24"/>
          <w:szCs w:val="24"/>
        </w:rPr>
      </w:pPr>
    </w:p>
    <w:p>
      <w:pPr>
        <w:jc w:val="center"/>
        <w:rPr>
          <w:rFonts w:ascii="宋体" w:hAnsi="宋体" w:cs="宋体"/>
          <w:color w:val="000000" w:themeColor="text1"/>
        </w:rPr>
      </w:pPr>
      <w:bookmarkStart w:id="16" w:name="_Toc120614211"/>
      <w:r>
        <w:rPr>
          <w:rFonts w:hint="eastAsia" w:ascii="宋体" w:hAnsi="宋体" w:cs="宋体"/>
          <w:color w:val="000000" w:themeColor="text1"/>
        </w:rPr>
        <w:br w:type="page"/>
      </w:r>
    </w:p>
    <w:p>
      <w:pPr>
        <w:pStyle w:val="4"/>
        <w:spacing w:line="240" w:lineRule="auto"/>
        <w:rPr>
          <w:rFonts w:ascii="宋体" w:hAnsi="宋体" w:eastAsia="宋体" w:cs="宋体"/>
          <w:b w:val="0"/>
          <w:bCs w:val="0"/>
          <w:color w:val="000000" w:themeColor="text1"/>
        </w:rPr>
      </w:pPr>
      <w:r>
        <w:rPr>
          <w:rFonts w:hint="eastAsia" w:ascii="宋体" w:hAnsi="宋体" w:eastAsia="宋体" w:cs="宋体"/>
          <w:color w:val="000000" w:themeColor="text1"/>
        </w:rPr>
        <w:t xml:space="preserve">第二章  </w:t>
      </w:r>
      <w:bookmarkEnd w:id="1"/>
      <w:bookmarkEnd w:id="2"/>
      <w:bookmarkEnd w:id="3"/>
      <w:bookmarkEnd w:id="4"/>
      <w:bookmarkEnd w:id="5"/>
      <w:bookmarkEnd w:id="16"/>
      <w:bookmarkStart w:id="17" w:name="_Toc16938518"/>
      <w:bookmarkStart w:id="18" w:name="_Toc120614213"/>
      <w:bookmarkStart w:id="19" w:name="_Toc20823274"/>
      <w:bookmarkStart w:id="20" w:name="_Toc513029202"/>
      <w:r>
        <w:rPr>
          <w:rFonts w:hint="eastAsia" w:ascii="宋体" w:hAnsi="宋体" w:eastAsia="宋体" w:cs="宋体"/>
          <w:color w:val="000000" w:themeColor="text1"/>
        </w:rPr>
        <w:t>投标人须知</w:t>
      </w:r>
      <w:bookmarkEnd w:id="17"/>
      <w:bookmarkEnd w:id="18"/>
      <w:bookmarkEnd w:id="19"/>
      <w:bookmarkEnd w:id="20"/>
    </w:p>
    <w:p>
      <w:pPr>
        <w:pStyle w:val="6"/>
        <w:adjustRightInd w:val="0"/>
        <w:snapToGrid w:val="0"/>
        <w:spacing w:before="0" w:after="0" w:line="360" w:lineRule="auto"/>
        <w:ind w:firstLine="480" w:firstLineChars="200"/>
        <w:rPr>
          <w:rFonts w:ascii="宋体" w:hAnsi="宋体" w:cs="宋体"/>
          <w:color w:val="000000" w:themeColor="text1"/>
          <w:sz w:val="24"/>
          <w:szCs w:val="24"/>
        </w:rPr>
      </w:pPr>
      <w:bookmarkStart w:id="21" w:name="_Toc20823275"/>
      <w:bookmarkStart w:id="22" w:name="_Toc513029203"/>
      <w:bookmarkStart w:id="23" w:name="_Toc120614214"/>
      <w:bookmarkStart w:id="24" w:name="_Toc16938519"/>
      <w:r>
        <w:rPr>
          <w:rFonts w:hint="eastAsia" w:ascii="宋体" w:hAnsi="宋体" w:cs="宋体"/>
          <w:color w:val="000000" w:themeColor="text1"/>
          <w:sz w:val="24"/>
          <w:szCs w:val="24"/>
        </w:rPr>
        <w:t>一、总则</w:t>
      </w:r>
      <w:bookmarkEnd w:id="21"/>
      <w:bookmarkEnd w:id="22"/>
      <w:bookmarkEnd w:id="23"/>
      <w:bookmarkEnd w:id="24"/>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25" w:name="_Hlt16619475"/>
      <w:bookmarkEnd w:id="25"/>
      <w:bookmarkStart w:id="26" w:name="_Toc458694821"/>
      <w:bookmarkStart w:id="27" w:name="_Toc16938520"/>
      <w:bookmarkStart w:id="28" w:name="_Toc20823276"/>
      <w:bookmarkStart w:id="29" w:name="_Toc513029204"/>
      <w:r>
        <w:rPr>
          <w:rFonts w:hint="eastAsia" w:ascii="宋体" w:hAnsi="宋体" w:eastAsia="宋体" w:cs="宋体"/>
          <w:b w:val="0"/>
          <w:bCs w:val="0"/>
          <w:color w:val="000000" w:themeColor="text1"/>
          <w:sz w:val="24"/>
          <w:szCs w:val="24"/>
        </w:rPr>
        <w:t>1</w:t>
      </w:r>
      <w:bookmarkEnd w:id="26"/>
      <w:r>
        <w:rPr>
          <w:rFonts w:hint="eastAsia" w:ascii="宋体" w:hAnsi="宋体" w:eastAsia="宋体" w:cs="宋体"/>
          <w:b w:val="0"/>
          <w:bCs w:val="0"/>
          <w:color w:val="000000" w:themeColor="text1"/>
          <w:sz w:val="24"/>
          <w:szCs w:val="24"/>
        </w:rPr>
        <w:t>、招标方式</w:t>
      </w:r>
      <w:bookmarkEnd w:id="27"/>
      <w:bookmarkEnd w:id="28"/>
      <w:bookmarkEnd w:id="29"/>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 本次招标采取公开招标方式，本招标文件仅适用于招标公告中所述项目。</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30" w:name="_Toc513029205"/>
      <w:bookmarkStart w:id="31" w:name="_Toc20823277"/>
      <w:bookmarkStart w:id="32" w:name="_Toc16938521"/>
      <w:r>
        <w:rPr>
          <w:rFonts w:hint="eastAsia" w:ascii="宋体" w:hAnsi="宋体" w:eastAsia="宋体" w:cs="宋体"/>
          <w:b w:val="0"/>
          <w:bCs w:val="0"/>
          <w:color w:val="000000" w:themeColor="text1"/>
          <w:sz w:val="24"/>
          <w:szCs w:val="24"/>
        </w:rPr>
        <w:t>2、合格的投标人</w:t>
      </w:r>
      <w:bookmarkEnd w:id="30"/>
      <w:bookmarkEnd w:id="31"/>
      <w:bookmarkEnd w:id="32"/>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2.1满足招标公告中供应商的资格要求的规定。</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 满足本文件实质性条款的规定。</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33" w:name="_Toc513029206"/>
      <w:bookmarkStart w:id="34" w:name="_Toc16938522"/>
      <w:bookmarkStart w:id="35" w:name="_Toc20823278"/>
      <w:r>
        <w:rPr>
          <w:rFonts w:hint="eastAsia" w:ascii="宋体" w:hAnsi="宋体" w:eastAsia="宋体" w:cs="宋体"/>
          <w:b w:val="0"/>
          <w:bCs w:val="0"/>
          <w:color w:val="000000" w:themeColor="text1"/>
          <w:sz w:val="24"/>
          <w:szCs w:val="24"/>
        </w:rPr>
        <w:t>3、适用法律</w:t>
      </w:r>
      <w:bookmarkEnd w:id="33"/>
      <w:bookmarkEnd w:id="34"/>
      <w:bookmarkEnd w:id="35"/>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 本次招标及由此产生的合同受中华人民共和国有关的法律法规制约和保护。</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36" w:name="_Toc513029207"/>
      <w:bookmarkStart w:id="37" w:name="_Toc16938523"/>
      <w:bookmarkStart w:id="38" w:name="_Toc462564067"/>
      <w:bookmarkStart w:id="39" w:name="_Toc20823279"/>
      <w:r>
        <w:rPr>
          <w:rFonts w:hint="eastAsia" w:ascii="宋体" w:hAnsi="宋体" w:eastAsia="宋体" w:cs="宋体"/>
          <w:b w:val="0"/>
          <w:bCs w:val="0"/>
          <w:color w:val="000000" w:themeColor="text1"/>
          <w:sz w:val="24"/>
          <w:szCs w:val="24"/>
        </w:rPr>
        <w:t>4、投标费用</w:t>
      </w:r>
      <w:bookmarkEnd w:id="36"/>
      <w:bookmarkEnd w:id="37"/>
      <w:bookmarkEnd w:id="38"/>
      <w:bookmarkEnd w:id="39"/>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4.1</w:t>
      </w:r>
      <w:r>
        <w:rPr>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4.2本项目各分包中标人与采购人签订合同前，均须向采购代理机构支付招标代理服务费，收费标准按各分包中标价的1.5%×40%计取【</w:t>
      </w:r>
      <w:r>
        <w:rPr>
          <w:rFonts w:hint="eastAsia" w:ascii="宋体" w:hAnsi="宋体" w:cs="宋体"/>
          <w:color w:val="000000" w:themeColor="text1"/>
          <w:sz w:val="24"/>
          <w:szCs w:val="24"/>
          <w:u w:val="single"/>
        </w:rPr>
        <w:t>如各分包低于2000元的均直接按2000计取，即本项目分包一和分包二的中标人均需要向招标代理机构分别支付人民币2000元，采购人不再承担上述费用</w:t>
      </w:r>
      <w:r>
        <w:rPr>
          <w:rFonts w:hint="eastAsia" w:ascii="宋体" w:hAnsi="宋体" w:cs="宋体"/>
          <w:color w:val="000000" w:themeColor="text1"/>
          <w:sz w:val="24"/>
          <w:szCs w:val="24"/>
        </w:rPr>
        <w:t>】；上述费用由各投标人在投标时自行综合考虑分摊含进投标报价中，且不得单列。</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r>
        <w:rPr>
          <w:rFonts w:hint="eastAsia" w:ascii="宋体" w:hAnsi="宋体" w:eastAsia="宋体" w:cs="宋体"/>
          <w:color w:val="000000" w:themeColor="text1"/>
          <w:sz w:val="24"/>
          <w:szCs w:val="24"/>
        </w:rPr>
        <w:t>5、</w:t>
      </w:r>
      <w:r>
        <w:rPr>
          <w:rFonts w:hint="eastAsia" w:ascii="宋体" w:hAnsi="宋体" w:eastAsia="宋体" w:cs="宋体"/>
          <w:b w:val="0"/>
          <w:bCs w:val="0"/>
          <w:color w:val="000000" w:themeColor="text1"/>
          <w:sz w:val="24"/>
          <w:szCs w:val="24"/>
        </w:rPr>
        <w:t>招标文件的约束力</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5.1</w:t>
      </w:r>
      <w:r>
        <w:rPr>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6、招标文件的解释</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6.1 本招标文件由采购人或采购代理机构负责解释。</w:t>
      </w:r>
    </w:p>
    <w:p>
      <w:pPr>
        <w:pStyle w:val="6"/>
        <w:adjustRightInd w:val="0"/>
        <w:snapToGrid w:val="0"/>
        <w:spacing w:before="0" w:after="0" w:line="360" w:lineRule="auto"/>
        <w:ind w:firstLine="480" w:firstLineChars="200"/>
        <w:rPr>
          <w:rFonts w:ascii="宋体" w:hAnsi="宋体" w:cs="宋体"/>
          <w:color w:val="000000" w:themeColor="text1"/>
          <w:sz w:val="24"/>
          <w:szCs w:val="24"/>
        </w:rPr>
      </w:pPr>
      <w:bookmarkStart w:id="40" w:name="_Toc513029209"/>
      <w:bookmarkStart w:id="41" w:name="_Toc16938525"/>
      <w:bookmarkStart w:id="42" w:name="_Toc120614215"/>
      <w:bookmarkStart w:id="43" w:name="_Toc20823281"/>
      <w:r>
        <w:rPr>
          <w:rFonts w:hint="eastAsia" w:ascii="宋体" w:hAnsi="宋体" w:cs="宋体"/>
          <w:color w:val="000000" w:themeColor="text1"/>
          <w:sz w:val="24"/>
          <w:szCs w:val="24"/>
        </w:rPr>
        <w:t>二、招标文件</w:t>
      </w:r>
      <w:bookmarkEnd w:id="40"/>
      <w:bookmarkEnd w:id="41"/>
      <w:bookmarkEnd w:id="42"/>
      <w:bookmarkEnd w:id="43"/>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44" w:name="_Toc513029210"/>
      <w:bookmarkStart w:id="45" w:name="_Toc16938526"/>
      <w:bookmarkStart w:id="46" w:name="_Toc20823282"/>
      <w:r>
        <w:rPr>
          <w:rFonts w:hint="eastAsia" w:ascii="宋体" w:hAnsi="宋体" w:eastAsia="宋体" w:cs="宋体"/>
          <w:b w:val="0"/>
          <w:bCs w:val="0"/>
          <w:color w:val="000000" w:themeColor="text1"/>
          <w:sz w:val="24"/>
          <w:szCs w:val="24"/>
        </w:rPr>
        <w:t>7、招标文件构成</w:t>
      </w:r>
      <w:bookmarkEnd w:id="44"/>
      <w:bookmarkEnd w:id="45"/>
      <w:bookmarkEnd w:id="46"/>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7.1</w:t>
      </w:r>
      <w:r>
        <w:rPr>
          <w:rFonts w:hint="eastAsia" w:ascii="宋体" w:hAnsi="宋体" w:cs="宋体"/>
          <w:color w:val="000000" w:themeColor="text1"/>
          <w:sz w:val="24"/>
          <w:szCs w:val="24"/>
        </w:rPr>
        <w:t xml:space="preserve"> 招标文件有以下部分组成：</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（1）招标公告</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（2）投标人须知</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（3）合同条款及格式</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（4）项目需求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（5）评标方法与评标标准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（6）投标文件格式</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请仔细检查招标文件是否齐全，如有缺漏请立即与采购人或采购代理机构联系解决。</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7.2</w:t>
      </w:r>
      <w:r>
        <w:rPr>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47" w:name="_Toc513029211"/>
      <w:bookmarkStart w:id="48" w:name="_Toc20823283"/>
      <w:bookmarkStart w:id="49" w:name="_Toc16938527"/>
      <w:bookmarkStart w:id="50" w:name="_Toc462564070"/>
      <w:r>
        <w:rPr>
          <w:rFonts w:hint="eastAsia" w:ascii="宋体" w:hAnsi="宋体" w:eastAsia="宋体" w:cs="宋体"/>
          <w:b w:val="0"/>
          <w:bCs w:val="0"/>
          <w:color w:val="000000" w:themeColor="text1"/>
          <w:sz w:val="24"/>
          <w:szCs w:val="24"/>
        </w:rPr>
        <w:t>8、招标文件的</w:t>
      </w:r>
      <w:bookmarkEnd w:id="47"/>
      <w:bookmarkEnd w:id="48"/>
      <w:bookmarkEnd w:id="49"/>
      <w:bookmarkEnd w:id="50"/>
      <w:r>
        <w:rPr>
          <w:rFonts w:hint="eastAsia" w:ascii="宋体" w:hAnsi="宋体" w:eastAsia="宋体" w:cs="宋体"/>
          <w:b w:val="0"/>
          <w:bCs w:val="0"/>
          <w:color w:val="000000" w:themeColor="text1"/>
          <w:sz w:val="24"/>
          <w:szCs w:val="24"/>
        </w:rPr>
        <w:t>询问</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8.1</w:t>
      </w:r>
      <w:r>
        <w:rPr>
          <w:rFonts w:hint="eastAsia" w:ascii="宋体" w:hAnsi="宋体" w:cs="宋体"/>
          <w:color w:val="000000" w:themeColor="text1"/>
          <w:sz w:val="24"/>
          <w:szCs w:val="24"/>
        </w:rPr>
        <w:t xml:space="preserve"> 任何要求对招标文件进行询问的投标人，应在投标截止日期</w:t>
      </w:r>
      <w:r>
        <w:rPr>
          <w:rFonts w:hint="eastAsia" w:ascii="宋体" w:hAnsi="宋体" w:cs="宋体"/>
          <w:b/>
          <w:color w:val="000000" w:themeColor="text1"/>
          <w:sz w:val="24"/>
          <w:szCs w:val="24"/>
        </w:rPr>
        <w:t>十日</w:t>
      </w:r>
      <w:r>
        <w:rPr>
          <w:rFonts w:hint="eastAsia" w:ascii="宋体" w:hAnsi="宋体" w:cs="宋体"/>
          <w:color w:val="000000" w:themeColor="text1"/>
          <w:sz w:val="24"/>
          <w:szCs w:val="24"/>
        </w:rPr>
        <w:t>前按招标公告中的通讯地址，向采购代理机构或采购人提出。</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51" w:name="_Toc513029212"/>
      <w:bookmarkStart w:id="52" w:name="_Toc20823284"/>
      <w:bookmarkStart w:id="53" w:name="_Toc462564071"/>
      <w:bookmarkStart w:id="54" w:name="_Toc16938528"/>
      <w:r>
        <w:rPr>
          <w:rFonts w:hint="eastAsia" w:ascii="宋体" w:hAnsi="宋体" w:eastAsia="宋体" w:cs="宋体"/>
          <w:b w:val="0"/>
          <w:bCs w:val="0"/>
          <w:color w:val="000000" w:themeColor="text1"/>
          <w:sz w:val="24"/>
          <w:szCs w:val="24"/>
        </w:rPr>
        <w:t>9、招标文件的修改</w:t>
      </w:r>
      <w:bookmarkEnd w:id="51"/>
      <w:bookmarkEnd w:id="52"/>
      <w:bookmarkEnd w:id="53"/>
      <w:bookmarkEnd w:id="54"/>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9.1</w:t>
      </w:r>
      <w:r>
        <w:rPr>
          <w:rFonts w:hint="eastAsia" w:ascii="宋体" w:hAnsi="宋体" w:cs="宋体"/>
          <w:color w:val="000000" w:themeColor="text1"/>
          <w:sz w:val="24"/>
          <w:szCs w:val="24"/>
        </w:rPr>
        <w:t xml:space="preserve"> 在投标截止时间三天前，采购人或采购代理机构可以对招标文件进行修改。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9.2</w:t>
      </w:r>
      <w:r>
        <w:rPr>
          <w:rFonts w:hint="eastAsia" w:ascii="宋体" w:hAnsi="宋体" w:cs="宋体"/>
          <w:color w:val="000000" w:themeColor="text1"/>
          <w:sz w:val="24"/>
          <w:szCs w:val="24"/>
        </w:rPr>
        <w:t>采购人有权依法推迟投标截止日期和开标日期。</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9.3</w:t>
      </w:r>
      <w:r>
        <w:rPr>
          <w:rFonts w:hint="eastAsia" w:ascii="宋体" w:hAnsi="宋体" w:cs="宋体"/>
          <w:color w:val="000000" w:themeColor="text1"/>
          <w:sz w:val="24"/>
          <w:szCs w:val="24"/>
        </w:rPr>
        <w:t>招标文件的修改将在</w:t>
      </w:r>
      <w:r>
        <w:rPr>
          <w:rFonts w:hint="eastAsia" w:ascii="宋体" w:hAnsi="宋体" w:cs="宋体"/>
          <w:bCs/>
          <w:color w:val="000000" w:themeColor="text1"/>
          <w:sz w:val="24"/>
          <w:szCs w:val="24"/>
        </w:rPr>
        <w:t>“盐城市政府采购网”和“盐城工业职业技术学院招标采购网”</w:t>
      </w:r>
      <w:r>
        <w:rPr>
          <w:rFonts w:hint="eastAsia" w:ascii="宋体" w:hAnsi="宋体" w:cs="宋体"/>
          <w:color w:val="000000" w:themeColor="text1"/>
          <w:sz w:val="24"/>
          <w:szCs w:val="24"/>
        </w:rPr>
        <w:t>公布，补充文件将作为招标文件的组成部分，并对投标人具有约束力。</w:t>
      </w:r>
    </w:p>
    <w:p>
      <w:pPr>
        <w:pStyle w:val="6"/>
        <w:adjustRightInd w:val="0"/>
        <w:snapToGrid w:val="0"/>
        <w:spacing w:before="0" w:after="0" w:line="360" w:lineRule="auto"/>
        <w:ind w:firstLine="480" w:firstLineChars="200"/>
        <w:rPr>
          <w:rFonts w:ascii="宋体" w:hAnsi="宋体" w:cs="宋体"/>
          <w:color w:val="000000" w:themeColor="text1"/>
          <w:sz w:val="24"/>
          <w:szCs w:val="24"/>
        </w:rPr>
      </w:pPr>
      <w:bookmarkStart w:id="55" w:name="_Toc120614216"/>
      <w:bookmarkStart w:id="56" w:name="_Toc462564072"/>
      <w:bookmarkStart w:id="57" w:name="_Toc513029213"/>
      <w:bookmarkStart w:id="58" w:name="_Toc20823285"/>
      <w:bookmarkStart w:id="59" w:name="_Toc16938529"/>
      <w:r>
        <w:rPr>
          <w:rFonts w:hint="eastAsia" w:ascii="宋体" w:hAnsi="宋体" w:cs="宋体"/>
          <w:color w:val="000000" w:themeColor="text1"/>
          <w:sz w:val="24"/>
          <w:szCs w:val="24"/>
        </w:rPr>
        <w:t>三、投标文件的编制</w:t>
      </w:r>
      <w:bookmarkEnd w:id="55"/>
      <w:bookmarkEnd w:id="56"/>
      <w:bookmarkEnd w:id="57"/>
      <w:bookmarkEnd w:id="58"/>
      <w:bookmarkEnd w:id="59"/>
    </w:p>
    <w:p>
      <w:pPr>
        <w:pStyle w:val="7"/>
        <w:adjustRightInd w:val="0"/>
        <w:snapToGrid w:val="0"/>
        <w:spacing w:before="0" w:after="0" w:line="360" w:lineRule="auto"/>
        <w:ind w:firstLine="480" w:firstLineChars="200"/>
        <w:rPr>
          <w:rFonts w:ascii="宋体" w:hAnsi="宋体" w:eastAsia="宋体" w:cs="宋体"/>
          <w:bCs w:val="0"/>
          <w:color w:val="000000" w:themeColor="text1"/>
          <w:sz w:val="24"/>
          <w:szCs w:val="24"/>
        </w:rPr>
      </w:pPr>
      <w:bookmarkStart w:id="60" w:name="_Toc462564073"/>
      <w:bookmarkStart w:id="61" w:name="_Toc20823286"/>
      <w:bookmarkStart w:id="62" w:name="_Toc16938530"/>
      <w:bookmarkStart w:id="63" w:name="_Toc513029214"/>
      <w:r>
        <w:rPr>
          <w:rFonts w:hint="eastAsia" w:ascii="宋体" w:hAnsi="宋体" w:eastAsia="宋体" w:cs="宋体"/>
          <w:b w:val="0"/>
          <w:bCs w:val="0"/>
          <w:color w:val="000000" w:themeColor="text1"/>
          <w:sz w:val="24"/>
          <w:szCs w:val="24"/>
        </w:rPr>
        <w:t>10、投标文件的语言及度量衡单位</w:t>
      </w:r>
      <w:bookmarkEnd w:id="60"/>
      <w:bookmarkEnd w:id="61"/>
      <w:bookmarkEnd w:id="62"/>
      <w:bookmarkEnd w:id="63"/>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10.1</w:t>
      </w:r>
      <w:r>
        <w:rPr>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rPr>
        <w:t>简体中文</w:t>
      </w:r>
      <w:r>
        <w:rPr>
          <w:rFonts w:hint="eastAsia" w:ascii="宋体" w:hAnsi="宋体" w:cs="宋体"/>
          <w:color w:val="000000" w:themeColor="text1"/>
          <w:sz w:val="24"/>
          <w:szCs w:val="24"/>
        </w:rPr>
        <w:t>。</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10.2</w:t>
      </w:r>
      <w:r>
        <w:rPr>
          <w:rFonts w:hint="eastAsia" w:ascii="宋体" w:hAnsi="宋体" w:cs="宋体"/>
          <w:color w:val="000000" w:themeColor="text1"/>
          <w:sz w:val="24"/>
          <w:szCs w:val="24"/>
        </w:rPr>
        <w:t xml:space="preserve"> 除技术性能另有规定外，投标文件所使用的度量衡单位，均须采用国家法定计量单位。</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64" w:name="_Toc513029215"/>
      <w:bookmarkStart w:id="65" w:name="_Toc20823287"/>
      <w:bookmarkStart w:id="66" w:name="_Toc462564074"/>
      <w:bookmarkStart w:id="67" w:name="_Toc16938531"/>
      <w:r>
        <w:rPr>
          <w:rFonts w:hint="eastAsia" w:ascii="宋体" w:hAnsi="宋体" w:eastAsia="宋体" w:cs="宋体"/>
          <w:b w:val="0"/>
          <w:bCs w:val="0"/>
          <w:color w:val="000000" w:themeColor="text1"/>
          <w:sz w:val="24"/>
          <w:szCs w:val="24"/>
        </w:rPr>
        <w:t>11、投标文件构成</w:t>
      </w:r>
      <w:bookmarkEnd w:id="64"/>
      <w:bookmarkEnd w:id="65"/>
      <w:bookmarkEnd w:id="66"/>
      <w:bookmarkEnd w:id="67"/>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11.1</w:t>
      </w:r>
      <w:r>
        <w:rPr>
          <w:rFonts w:hint="eastAsia" w:ascii="宋体" w:hAnsi="宋体" w:cs="宋体"/>
          <w:color w:val="000000" w:themeColor="text1"/>
          <w:sz w:val="24"/>
          <w:szCs w:val="24"/>
        </w:rPr>
        <w:t xml:space="preserve"> 投标人编写的投标文件应包括资信证明文件、投标配置与分项报价表、技术参数响应及偏离表、商务条款响应及偏离表、技术及售后服务承诺书、投标函、开标一览表等部分。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11.2投标人应将投标文件按顺序装订成册，并编制投标文件资料目录。</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68" w:name="_Hlt26668975"/>
      <w:bookmarkEnd w:id="68"/>
      <w:bookmarkStart w:id="69" w:name="_Hlt26670360"/>
      <w:bookmarkEnd w:id="69"/>
      <w:bookmarkStart w:id="70" w:name="_Hlt26954838"/>
      <w:bookmarkEnd w:id="70"/>
      <w:bookmarkStart w:id="71" w:name="_Toc513029219"/>
      <w:bookmarkStart w:id="72" w:name="_Toc49090509"/>
      <w:bookmarkStart w:id="73" w:name="_Toc14577357"/>
      <w:bookmarkStart w:id="74" w:name="_Toc14577354"/>
      <w:bookmarkStart w:id="75" w:name="_Toc49090507"/>
      <w:bookmarkStart w:id="76" w:name="_Toc513029216"/>
      <w:r>
        <w:rPr>
          <w:rFonts w:hint="eastAsia" w:ascii="宋体" w:hAnsi="宋体" w:eastAsia="宋体" w:cs="宋体"/>
          <w:b w:val="0"/>
          <w:bCs w:val="0"/>
          <w:color w:val="000000" w:themeColor="text1"/>
          <w:sz w:val="24"/>
          <w:szCs w:val="24"/>
        </w:rPr>
        <w:t>12、证明投标人资格及符合招标文件规定的文件</w:t>
      </w:r>
      <w:bookmarkEnd w:id="71"/>
      <w:bookmarkEnd w:id="72"/>
      <w:bookmarkEnd w:id="73"/>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w:t>
      </w:r>
      <w:bookmarkStart w:id="77" w:name="_Hlt26668999"/>
      <w:bookmarkEnd w:id="77"/>
      <w:r>
        <w:rPr>
          <w:rFonts w:hint="eastAsia" w:ascii="宋体" w:hAnsi="宋体" w:cs="宋体"/>
          <w:color w:val="000000" w:themeColor="text1"/>
          <w:sz w:val="24"/>
          <w:szCs w:val="24"/>
        </w:rPr>
        <w:t>投标人应按要求提交资格证明文件及符合招标文件规定的文件。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12.2投标人应提交证明其有资格参加投标和中标后有能力独立履行合同的文件。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12.3投标人除必须具有履行合同所需提供的货物以及服务的能力外，还必须具备相应的财务、技术方面的能力。</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12.4投标人应提交根据合同要求提供的证明货物质量合格以及符合招标文件规定的证明文件。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12.5证明投标人所提供货物与招标文件的要求相一致的文件可以是手册、图纸、文字资料和数据</w:t>
      </w:r>
      <w:r>
        <w:rPr>
          <w:rFonts w:hint="eastAsia" w:ascii="宋体" w:hAnsi="宋体" w:cs="宋体"/>
          <w:bCs/>
          <w:color w:val="000000" w:themeColor="text1"/>
          <w:sz w:val="24"/>
          <w:szCs w:val="24"/>
        </w:rPr>
        <w:t>。</w:t>
      </w:r>
    </w:p>
    <w:bookmarkEnd w:id="74"/>
    <w:bookmarkEnd w:id="75"/>
    <w:bookmarkEnd w:id="76"/>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78" w:name="_Toc14577355"/>
      <w:bookmarkStart w:id="79" w:name="_Toc49090508"/>
      <w:r>
        <w:rPr>
          <w:rFonts w:hint="eastAsia" w:ascii="宋体" w:hAnsi="宋体" w:eastAsia="宋体" w:cs="宋体"/>
          <w:b w:val="0"/>
          <w:bCs w:val="0"/>
          <w:color w:val="000000" w:themeColor="text1"/>
          <w:sz w:val="24"/>
          <w:szCs w:val="24"/>
        </w:rPr>
        <w:t>13、投标配置与分项报价</w:t>
      </w:r>
      <w:bookmarkEnd w:id="78"/>
      <w:bookmarkStart w:id="80" w:name="_Hlt26670373"/>
      <w:bookmarkEnd w:id="80"/>
      <w:r>
        <w:rPr>
          <w:rFonts w:hint="eastAsia" w:ascii="宋体" w:hAnsi="宋体" w:eastAsia="宋体" w:cs="宋体"/>
          <w:b w:val="0"/>
          <w:bCs w:val="0"/>
          <w:color w:val="000000" w:themeColor="text1"/>
          <w:sz w:val="24"/>
          <w:szCs w:val="24"/>
        </w:rPr>
        <w:t>表</w:t>
      </w:r>
      <w:bookmarkEnd w:id="79"/>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81" w:name="_Hlt26954840"/>
      <w:bookmarkEnd w:id="81"/>
      <w:r>
        <w:rPr>
          <w:rFonts w:hint="eastAsia" w:ascii="宋体" w:hAnsi="宋体" w:cs="宋体"/>
          <w:color w:val="000000" w:themeColor="text1"/>
          <w:sz w:val="24"/>
          <w:szCs w:val="24"/>
        </w:rPr>
        <w:t>标人应按照招标文件规定格式填报投标配置与分项报价表</w:t>
      </w:r>
      <w:bookmarkStart w:id="82" w:name="_Hlt26670399"/>
      <w:bookmarkEnd w:id="82"/>
      <w:r>
        <w:rPr>
          <w:rFonts w:hint="eastAsia" w:ascii="宋体" w:hAnsi="宋体" w:cs="宋体"/>
          <w:color w:val="000000" w:themeColor="text1"/>
          <w:sz w:val="24"/>
          <w:szCs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13.2</w:t>
      </w:r>
      <w:r>
        <w:rPr>
          <w:rFonts w:hint="eastAsia" w:ascii="宋体" w:hAnsi="宋体" w:cs="宋体"/>
          <w:color w:val="000000" w:themeColor="text1"/>
          <w:sz w:val="24"/>
          <w:szCs w:val="24"/>
        </w:rPr>
        <w:t xml:space="preserve"> 标的物</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采购人需求的货物供应、安装，调试及有关技术服务等</w:t>
      </w:r>
      <w:r>
        <w:rPr>
          <w:rFonts w:hint="eastAsia" w:ascii="宋体" w:hAnsi="宋体" w:cs="宋体"/>
          <w:color w:val="000000" w:themeColor="text1"/>
          <w:sz w:val="24"/>
          <w:szCs w:val="24"/>
        </w:rPr>
        <w:t>。</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13.3</w:t>
      </w:r>
      <w:r>
        <w:rPr>
          <w:rFonts w:hint="eastAsia" w:ascii="宋体" w:hAnsi="宋体" w:cs="宋体"/>
          <w:bCs/>
          <w:color w:val="000000" w:themeColor="text1"/>
          <w:sz w:val="24"/>
          <w:szCs w:val="24"/>
        </w:rPr>
        <w:t>有关费用处理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招标报价采用总承包方式，投标人的报价应包括满足采购人使用车辆需要的所有费用。投标人报价时须充分考虑为满足招标业务用车需求内容所必须的直接和间接成本、油（电、气）费、过路过桥（渡）费、停车费、司机食宿费（市区）、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采购人不另行增加费用。</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13.4</w:t>
      </w:r>
      <w:r>
        <w:rPr>
          <w:rFonts w:hint="eastAsia" w:ascii="宋体" w:hAnsi="宋体" w:cs="宋体"/>
          <w:bCs/>
          <w:color w:val="000000" w:themeColor="text1"/>
          <w:sz w:val="24"/>
          <w:szCs w:val="24"/>
        </w:rPr>
        <w:t>其它费用处理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招标文件未列明，而投标人认为必需的费用也需列入报价。</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13.5</w:t>
      </w:r>
      <w:r>
        <w:rPr>
          <w:rFonts w:hint="eastAsia" w:ascii="宋体" w:hAnsi="宋体" w:cs="宋体"/>
          <w:bCs/>
          <w:color w:val="000000" w:themeColor="text1"/>
          <w:sz w:val="24"/>
          <w:szCs w:val="24"/>
        </w:rPr>
        <w:t>投标货币</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投标文件中的货物单价和总价无特殊规定的采用人民币报价，以元为单位标注。</w:t>
      </w:r>
      <w:r>
        <w:rPr>
          <w:rFonts w:hint="eastAsia" w:ascii="宋体" w:hAnsi="宋体" w:cs="宋体"/>
          <w:color w:val="000000" w:themeColor="text1"/>
          <w:sz w:val="24"/>
          <w:szCs w:val="24"/>
        </w:rPr>
        <w:t>招标文件中另有规定的按规定执行。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w:t>
      </w:r>
      <w:r>
        <w:rPr>
          <w:rFonts w:hint="eastAsia" w:ascii="宋体" w:hAnsi="宋体" w:cs="宋体"/>
          <w:bCs/>
          <w:color w:val="000000" w:themeColor="text1"/>
          <w:sz w:val="24"/>
          <w:szCs w:val="24"/>
        </w:rPr>
        <w:t xml:space="preserve"> 投标配置与分项报价表上的价格应按下列方式分开填写</w:t>
      </w:r>
      <w:r>
        <w:rPr>
          <w:rFonts w:hint="eastAsia" w:ascii="宋体" w:hAnsi="宋体" w:cs="宋体"/>
          <w:color w:val="000000" w:themeColor="text1"/>
          <w:sz w:val="24"/>
          <w:szCs w:val="24"/>
        </w:rPr>
        <w:t>。</w:t>
      </w:r>
    </w:p>
    <w:p>
      <w:pPr>
        <w:adjustRightInd w:val="0"/>
        <w:snapToGrid w:val="0"/>
        <w:spacing w:line="360" w:lineRule="auto"/>
        <w:ind w:firstLine="480" w:firstLineChars="200"/>
        <w:rPr>
          <w:rFonts w:ascii="宋体" w:hAnsi="宋体" w:cs="宋体"/>
          <w:bCs/>
          <w:color w:val="000000" w:themeColor="text1"/>
          <w:sz w:val="24"/>
          <w:szCs w:val="24"/>
        </w:rPr>
      </w:pPr>
      <w:bookmarkStart w:id="83" w:name="_Hlt26670403"/>
      <w:bookmarkEnd w:id="83"/>
      <w:bookmarkStart w:id="84" w:name="_Hlt26954842"/>
      <w:bookmarkEnd w:id="84"/>
      <w:bookmarkStart w:id="85" w:name="_Hlt26668983"/>
      <w:bookmarkEnd w:id="85"/>
      <w:bookmarkStart w:id="86" w:name="_Hlt26670425"/>
      <w:bookmarkEnd w:id="86"/>
      <w:bookmarkStart w:id="87" w:name="_Hlt26954844"/>
      <w:bookmarkEnd w:id="87"/>
      <w:r>
        <w:rPr>
          <w:rFonts w:hint="eastAsia" w:ascii="宋体" w:hAnsi="宋体" w:cs="宋体"/>
          <w:bCs/>
          <w:color w:val="000000" w:themeColor="text1"/>
          <w:sz w:val="24"/>
          <w:szCs w:val="24"/>
        </w:rPr>
        <w:t>（1）</w:t>
      </w:r>
      <w:r>
        <w:rPr>
          <w:rFonts w:hint="eastAsia" w:ascii="宋体" w:hAnsi="宋体" w:cs="宋体"/>
          <w:color w:val="000000" w:themeColor="text1"/>
          <w:sz w:val="24"/>
          <w:szCs w:val="24"/>
        </w:rPr>
        <w:t>项目总价：包括</w:t>
      </w:r>
      <w:r>
        <w:rPr>
          <w:rFonts w:hint="eastAsia" w:ascii="宋体" w:hAnsi="宋体" w:cs="宋体"/>
          <w:bCs/>
          <w:color w:val="000000" w:themeColor="text1"/>
          <w:sz w:val="24"/>
          <w:szCs w:val="24"/>
        </w:rPr>
        <w:t>买方需求的货物价格</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质量保证费用、培训费用及售后服务费用，项目在指定地点、环境交付、安装、调试、验收所需费用和所有</w:t>
      </w:r>
      <w:r>
        <w:rPr>
          <w:rFonts w:hint="eastAsia" w:ascii="宋体" w:hAnsi="宋体" w:cs="宋体"/>
          <w:color w:val="000000" w:themeColor="text1"/>
          <w:sz w:val="24"/>
          <w:szCs w:val="24"/>
        </w:rPr>
        <w:t>相关税金费用</w:t>
      </w:r>
      <w:r>
        <w:rPr>
          <w:rFonts w:hint="eastAsia" w:ascii="宋体" w:hAnsi="宋体" w:cs="宋体"/>
          <w:bCs/>
          <w:color w:val="000000" w:themeColor="text1"/>
          <w:sz w:val="24"/>
          <w:szCs w:val="24"/>
        </w:rPr>
        <w:t>及为完成整个项目所产生的其它所有费用。</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w:t>
      </w:r>
      <w:r>
        <w:rPr>
          <w:rFonts w:hint="eastAsia" w:ascii="宋体" w:hAnsi="宋体" w:cs="宋体"/>
          <w:bCs/>
          <w:color w:val="000000" w:themeColor="text1"/>
          <w:sz w:val="24"/>
          <w:szCs w:val="24"/>
        </w:rPr>
        <w:t>项目单价按投标配置及分项报价表中要求填报。</w:t>
      </w:r>
      <w:bookmarkStart w:id="88" w:name="_Hlt26670486"/>
      <w:bookmarkEnd w:id="88"/>
      <w:bookmarkStart w:id="89" w:name="_Hlt26954848"/>
      <w:bookmarkEnd w:id="89"/>
      <w:bookmarkStart w:id="90" w:name="_Hlt26954846"/>
      <w:bookmarkEnd w:id="90"/>
      <w:bookmarkStart w:id="91" w:name="_Hlt26670482"/>
      <w:bookmarkEnd w:id="91"/>
      <w:bookmarkStart w:id="92" w:name="_Hlt26954731"/>
      <w:bookmarkEnd w:id="92"/>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14</w:t>
      </w:r>
      <w:r>
        <w:rPr>
          <w:rFonts w:hint="eastAsia" w:ascii="宋体" w:hAnsi="宋体" w:cs="宋体"/>
          <w:b/>
          <w:bCs/>
          <w:color w:val="000000" w:themeColor="text1"/>
          <w:sz w:val="24"/>
          <w:szCs w:val="24"/>
        </w:rPr>
        <w:t>、</w:t>
      </w:r>
      <w:r>
        <w:rPr>
          <w:rFonts w:hint="eastAsia" w:ascii="宋体" w:hAnsi="宋体" w:cs="宋体"/>
          <w:color w:val="000000" w:themeColor="text1"/>
          <w:sz w:val="24"/>
          <w:szCs w:val="24"/>
        </w:rPr>
        <w:t>技术参数响应及偏离表、商务条款响应及偏离表及投标货物说明</w:t>
      </w:r>
    </w:p>
    <w:p>
      <w:pPr>
        <w:autoSpaceDE w:val="0"/>
        <w:autoSpaceDN w:val="0"/>
        <w:adjustRightInd w:val="0"/>
        <w:snapToGrid w:val="0"/>
        <w:spacing w:line="360" w:lineRule="auto"/>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lang w:val="zh-CN"/>
        </w:rPr>
        <w:t>14.1</w:t>
      </w:r>
      <w:r>
        <w:rPr>
          <w:rFonts w:hint="eastAsia" w:ascii="宋体" w:hAnsi="宋体" w:cs="宋体"/>
          <w:color w:val="000000" w:themeColor="text1"/>
          <w:sz w:val="24"/>
          <w:szCs w:val="24"/>
          <w:lang w:val="zh-CN"/>
        </w:rPr>
        <w:t>对招标文件中的技术与商务条款要求逐项作出响应或偏离，并说明原因。</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14.2 提供参加本项目类似案例简介。</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14.3 培训计划。</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autoSpaceDE w:val="0"/>
        <w:autoSpaceDN w:val="0"/>
        <w:adjustRightInd w:val="0"/>
        <w:snapToGrid w:val="0"/>
        <w:spacing w:line="360" w:lineRule="auto"/>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14.5 投标人认为需要的其他技术文件或说明。</w:t>
      </w:r>
    </w:p>
    <w:p>
      <w:pPr>
        <w:tabs>
          <w:tab w:val="left" w:pos="1035"/>
        </w:tabs>
        <w:autoSpaceDE w:val="0"/>
        <w:autoSpaceDN w:val="0"/>
        <w:adjustRightInd w:val="0"/>
        <w:snapToGrid w:val="0"/>
        <w:spacing w:line="360" w:lineRule="auto"/>
        <w:ind w:firstLine="480" w:firstLineChars="200"/>
        <w:rPr>
          <w:rFonts w:ascii="宋体" w:hAnsi="宋体" w:cs="宋体"/>
          <w:bCs/>
          <w:color w:val="000000" w:themeColor="text1"/>
          <w:sz w:val="24"/>
          <w:szCs w:val="24"/>
          <w:lang w:val="zh-CN"/>
        </w:rPr>
      </w:pPr>
      <w:r>
        <w:rPr>
          <w:rFonts w:hint="eastAsia" w:ascii="宋体" w:hAnsi="宋体" w:cs="宋体"/>
          <w:bCs/>
          <w:color w:val="000000" w:themeColor="text1"/>
          <w:sz w:val="24"/>
          <w:szCs w:val="24"/>
        </w:rPr>
        <w:t>15、服务承诺及售后服务机构、人员的情况介绍</w:t>
      </w:r>
    </w:p>
    <w:p>
      <w:pPr>
        <w:tabs>
          <w:tab w:val="left" w:pos="1035"/>
        </w:tabs>
        <w:autoSpaceDE w:val="0"/>
        <w:autoSpaceDN w:val="0"/>
        <w:adjustRightInd w:val="0"/>
        <w:snapToGrid w:val="0"/>
        <w:spacing w:line="360" w:lineRule="auto"/>
        <w:ind w:firstLine="480" w:firstLineChars="200"/>
        <w:rPr>
          <w:rFonts w:ascii="宋体" w:hAnsi="宋体" w:cs="宋体"/>
          <w:bCs/>
          <w:color w:val="000000" w:themeColor="text1"/>
          <w:sz w:val="24"/>
          <w:szCs w:val="24"/>
          <w:lang w:val="zh-CN"/>
        </w:rPr>
      </w:pPr>
      <w:r>
        <w:rPr>
          <w:rFonts w:hint="eastAsia" w:ascii="宋体" w:hAnsi="宋体" w:cs="宋体"/>
          <w:bCs/>
          <w:color w:val="000000" w:themeColor="text1"/>
          <w:sz w:val="24"/>
          <w:szCs w:val="24"/>
        </w:rPr>
        <w:t>15、1投标人的服务承诺应按不低于招标文件中商务要求的标准。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15、2</w:t>
      </w:r>
      <w:r>
        <w:rPr>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93" w:name="_Toc49090510"/>
      <w:bookmarkStart w:id="94" w:name="_Toc14577359"/>
      <w:r>
        <w:rPr>
          <w:rFonts w:hint="eastAsia" w:ascii="宋体" w:hAnsi="宋体" w:eastAsia="宋体" w:cs="宋体"/>
          <w:b w:val="0"/>
          <w:bCs w:val="0"/>
          <w:color w:val="000000" w:themeColor="text1"/>
          <w:sz w:val="24"/>
          <w:szCs w:val="24"/>
        </w:rPr>
        <w:t>16、投标函和开标一览表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16.1</w:t>
      </w:r>
      <w:r>
        <w:rPr>
          <w:rFonts w:hint="eastAsia" w:ascii="宋体" w:hAnsi="宋体" w:cs="宋体"/>
          <w:color w:val="000000" w:themeColor="text1"/>
          <w:sz w:val="24"/>
          <w:szCs w:val="24"/>
        </w:rPr>
        <w:t xml:space="preserve"> 投标人应按照招标文件中提供的格式完整、正确填写投标函、开标一览表。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16.2开标一览表中的价格应与投标文件中投标配置与分项报价表中的价格一致，如不一致，</w:t>
      </w:r>
      <w:r>
        <w:rPr>
          <w:rFonts w:hint="eastAsia" w:ascii="宋体" w:hAnsi="宋体" w:cs="宋体"/>
          <w:color w:val="000000" w:themeColor="text1"/>
          <w:sz w:val="24"/>
          <w:szCs w:val="24"/>
        </w:rPr>
        <w:t>不作为无效投标处理</w:t>
      </w:r>
      <w:r>
        <w:rPr>
          <w:rFonts w:hint="eastAsia" w:ascii="宋体" w:hAnsi="宋体" w:cs="宋体"/>
          <w:bCs/>
          <w:color w:val="000000" w:themeColor="text1"/>
          <w:sz w:val="24"/>
          <w:szCs w:val="24"/>
        </w:rPr>
        <w:t>，但评标时按开标一览表中价格为准</w:t>
      </w:r>
      <w:r>
        <w:rPr>
          <w:rFonts w:hint="eastAsia" w:ascii="宋体" w:hAnsi="宋体" w:cs="宋体"/>
          <w:b/>
          <w:bCs/>
          <w:color w:val="000000" w:themeColor="text1"/>
          <w:sz w:val="24"/>
          <w:szCs w:val="24"/>
        </w:rPr>
        <w:t>。</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w:t>
      </w:r>
      <w:bookmarkEnd w:id="93"/>
      <w:bookmarkEnd w:id="94"/>
      <w:bookmarkStart w:id="95" w:name="_Hlt26670489"/>
      <w:bookmarkEnd w:id="95"/>
      <w:bookmarkStart w:id="96" w:name="_Hlt26954734"/>
      <w:bookmarkEnd w:id="96"/>
      <w:bookmarkStart w:id="97" w:name="_Hlt26954850"/>
      <w:bookmarkEnd w:id="97"/>
      <w:bookmarkStart w:id="98" w:name="_Toc49090511"/>
      <w:bookmarkStart w:id="99" w:name="_Toc14577360"/>
      <w:r>
        <w:rPr>
          <w:rFonts w:hint="eastAsia" w:ascii="宋体" w:hAnsi="宋体" w:cs="宋体"/>
          <w:color w:val="000000" w:themeColor="text1"/>
          <w:sz w:val="24"/>
          <w:szCs w:val="24"/>
        </w:rPr>
        <w:t>投标有效期</w:t>
      </w:r>
      <w:bookmarkEnd w:id="98"/>
      <w:bookmarkEnd w:id="99"/>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17.1</w:t>
      </w:r>
      <w:r>
        <w:rPr>
          <w:rFonts w:hint="eastAsia" w:ascii="宋体" w:hAnsi="宋体" w:cs="宋体"/>
          <w:bCs/>
          <w:color w:val="000000" w:themeColor="text1"/>
          <w:sz w:val="24"/>
          <w:szCs w:val="24"/>
        </w:rPr>
        <w:t xml:space="preserve"> 投标有效期为规定的开标之日后</w:t>
      </w:r>
      <w:r>
        <w:rPr>
          <w:rFonts w:hint="eastAsia" w:ascii="宋体" w:hAnsi="宋体" w:cs="宋体"/>
          <w:b/>
          <w:color w:val="000000" w:themeColor="text1"/>
          <w:sz w:val="24"/>
          <w:szCs w:val="24"/>
          <w:u w:val="single"/>
        </w:rPr>
        <w:t>六十（60）天</w:t>
      </w:r>
      <w:r>
        <w:rPr>
          <w:rFonts w:hint="eastAsia" w:ascii="宋体" w:hAnsi="宋体" w:cs="宋体"/>
          <w:bCs/>
          <w:color w:val="000000" w:themeColor="text1"/>
          <w:sz w:val="24"/>
          <w:szCs w:val="24"/>
        </w:rPr>
        <w:t>。投标有效期比规定短的将被视为非响应性投标而予以拒绝。</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17.2</w:t>
      </w:r>
      <w:r>
        <w:rPr>
          <w:rFonts w:hint="eastAsia" w:ascii="宋体" w:hAnsi="宋体" w:cs="宋体"/>
          <w:bCs/>
          <w:color w:val="000000" w:themeColor="text1"/>
          <w:sz w:val="24"/>
          <w:szCs w:val="24"/>
        </w:rPr>
        <w:t xml:space="preserve"> 在特殊情况下，</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于原投标有效期满之前，可向投标人提出延长投标有效期的要求。这种要求与答复均应采用书面形式。投标人可以拒绝</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的这一要求而放弃投标</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同意延长投标有效期的投标人既不能要求也不允许修改其投标文件。</w:t>
      </w:r>
      <w:r>
        <w:rPr>
          <w:rFonts w:hint="eastAsia" w:ascii="宋体" w:hAnsi="宋体" w:cs="宋体"/>
          <w:color w:val="000000" w:themeColor="text1"/>
          <w:sz w:val="24"/>
          <w:szCs w:val="24"/>
        </w:rPr>
        <w:t>受投标有效期约束的所有权利与义务均延长至新的有效期</w:t>
      </w:r>
      <w:r>
        <w:rPr>
          <w:rFonts w:hint="eastAsia" w:ascii="宋体" w:hAnsi="宋体" w:cs="宋体"/>
          <w:bCs/>
          <w:color w:val="000000" w:themeColor="text1"/>
          <w:sz w:val="24"/>
          <w:szCs w:val="24"/>
        </w:rPr>
        <w:t>。</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00" w:name="_Hlt26954852"/>
      <w:bookmarkEnd w:id="100"/>
      <w:bookmarkStart w:id="101" w:name="_Hlt26954739"/>
      <w:bookmarkEnd w:id="101"/>
      <w:bookmarkStart w:id="102" w:name="_Toc49090512"/>
      <w:bookmarkStart w:id="103" w:name="_Toc14577361"/>
      <w:r>
        <w:rPr>
          <w:rFonts w:hint="eastAsia" w:ascii="宋体" w:hAnsi="宋体" w:eastAsia="宋体" w:cs="宋体"/>
          <w:b w:val="0"/>
          <w:bCs w:val="0"/>
          <w:color w:val="000000" w:themeColor="text1"/>
          <w:sz w:val="24"/>
          <w:szCs w:val="24"/>
        </w:rPr>
        <w:t>18、投标文件份数和签署</w:t>
      </w:r>
      <w:bookmarkEnd w:id="102"/>
      <w:bookmarkEnd w:id="103"/>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18.1</w:t>
      </w:r>
      <w:r>
        <w:rPr>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18.2投标文件正本中，</w:t>
      </w:r>
      <w:r>
        <w:rPr>
          <w:rFonts w:hint="eastAsia" w:ascii="宋体" w:hAnsi="宋体" w:cs="宋体"/>
          <w:bCs/>
          <w:color w:val="000000" w:themeColor="text1"/>
          <w:sz w:val="24"/>
          <w:szCs w:val="24"/>
        </w:rPr>
        <w:t>招标文件要求必须提供原件的按照要求提供，文</w:t>
      </w:r>
      <w:r>
        <w:rPr>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18.3</w:t>
      </w:r>
      <w:r>
        <w:rPr>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6"/>
        <w:adjustRightInd w:val="0"/>
        <w:snapToGrid w:val="0"/>
        <w:spacing w:before="0" w:after="0" w:line="360" w:lineRule="auto"/>
        <w:ind w:firstLine="480" w:firstLineChars="200"/>
        <w:rPr>
          <w:rFonts w:ascii="宋体" w:hAnsi="宋体" w:cs="宋体"/>
          <w:color w:val="000000" w:themeColor="text1"/>
          <w:sz w:val="24"/>
          <w:szCs w:val="24"/>
        </w:rPr>
      </w:pPr>
      <w:bookmarkStart w:id="104" w:name="_Toc513029224"/>
      <w:bookmarkStart w:id="105" w:name="_Toc20823296"/>
      <w:bookmarkStart w:id="106" w:name="_Toc120614217"/>
      <w:bookmarkStart w:id="107" w:name="_Toc16938540"/>
      <w:r>
        <w:rPr>
          <w:rFonts w:hint="eastAsia" w:ascii="宋体" w:hAnsi="宋体" w:cs="宋体"/>
          <w:color w:val="000000" w:themeColor="text1"/>
          <w:sz w:val="24"/>
          <w:szCs w:val="24"/>
        </w:rPr>
        <w:t>四、投标文件的递交</w:t>
      </w:r>
      <w:bookmarkEnd w:id="104"/>
      <w:bookmarkEnd w:id="105"/>
      <w:bookmarkEnd w:id="106"/>
      <w:bookmarkEnd w:id="107"/>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08" w:name="_Toc513029225"/>
      <w:bookmarkStart w:id="109" w:name="_Toc462564084"/>
      <w:bookmarkStart w:id="110" w:name="_Toc16938541"/>
      <w:bookmarkStart w:id="111" w:name="_Toc20823297"/>
      <w:r>
        <w:rPr>
          <w:rFonts w:hint="eastAsia" w:ascii="宋体" w:hAnsi="宋体" w:eastAsia="宋体" w:cs="宋体"/>
          <w:b w:val="0"/>
          <w:bCs w:val="0"/>
          <w:color w:val="000000" w:themeColor="text1"/>
          <w:sz w:val="24"/>
          <w:szCs w:val="24"/>
        </w:rPr>
        <w:t>19、投标文件的密封和标记</w:t>
      </w:r>
      <w:bookmarkEnd w:id="108"/>
      <w:bookmarkEnd w:id="109"/>
      <w:bookmarkEnd w:id="110"/>
      <w:bookmarkEnd w:id="111"/>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19.1</w:t>
      </w:r>
      <w:r>
        <w:rPr>
          <w:rFonts w:hint="eastAsia" w:ascii="宋体" w:hAnsi="宋体" w:cs="宋体"/>
          <w:bCs/>
          <w:color w:val="000000" w:themeColor="text1"/>
          <w:sz w:val="24"/>
          <w:szCs w:val="24"/>
        </w:rPr>
        <w:t>投标人应将投标文件正本和所有副本密封，不论投标人中标与否，投标文件均不退回。</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w:t>
      </w:r>
      <w:r>
        <w:rPr>
          <w:rFonts w:hint="eastAsia" w:ascii="宋体" w:hAnsi="宋体" w:cs="宋体"/>
          <w:bCs/>
          <w:color w:val="000000" w:themeColor="text1"/>
          <w:sz w:val="24"/>
          <w:szCs w:val="24"/>
        </w:rPr>
        <w:t>密封的投标文件应。</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19.2.1 注明投标人名称，如因标注不清而产生的后果由投标人自负。按招标公告中注明的地址送。</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19.2.2  注明投标项目名称、标书编号及分包号。</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19.2.3</w:t>
      </w:r>
      <w:r>
        <w:rPr>
          <w:rFonts w:hint="eastAsia" w:ascii="宋体" w:hAnsi="宋体" w:cs="宋体"/>
          <w:bCs/>
          <w:color w:val="000000" w:themeColor="text1"/>
          <w:sz w:val="24"/>
          <w:szCs w:val="24"/>
        </w:rPr>
        <w:t xml:space="preserve">  未按要求密封和加写标记，</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对误投或过早启封概不负责。对由此造成提前开封的投标文件，</w:t>
      </w:r>
      <w:r>
        <w:rPr>
          <w:rFonts w:hint="eastAsia" w:ascii="宋体" w:hAnsi="宋体" w:cs="宋体"/>
          <w:color w:val="000000" w:themeColor="text1"/>
          <w:sz w:val="24"/>
          <w:szCs w:val="24"/>
        </w:rPr>
        <w:t>采购人或采购代理机构</w:t>
      </w:r>
      <w:r>
        <w:rPr>
          <w:rFonts w:hint="eastAsia" w:ascii="宋体" w:hAnsi="宋体" w:cs="宋体"/>
          <w:bCs/>
          <w:color w:val="000000" w:themeColor="text1"/>
          <w:sz w:val="24"/>
          <w:szCs w:val="24"/>
        </w:rPr>
        <w:t>将予以拒绝，作无效投标处理。</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12" w:name="_Toc513029226"/>
      <w:bookmarkStart w:id="113" w:name="_Toc16938542"/>
      <w:bookmarkStart w:id="114" w:name="_Toc20823298"/>
      <w:r>
        <w:rPr>
          <w:rFonts w:hint="eastAsia" w:ascii="宋体" w:hAnsi="宋体" w:eastAsia="宋体" w:cs="宋体"/>
          <w:b w:val="0"/>
          <w:bCs w:val="0"/>
          <w:color w:val="000000" w:themeColor="text1"/>
          <w:sz w:val="24"/>
          <w:szCs w:val="24"/>
        </w:rPr>
        <w:t>20、投标截止日期</w:t>
      </w:r>
      <w:bookmarkEnd w:id="112"/>
      <w:bookmarkEnd w:id="113"/>
      <w:bookmarkEnd w:id="114"/>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20.1采购人或采购代理机构</w:t>
      </w:r>
      <w:r>
        <w:rPr>
          <w:rFonts w:hint="eastAsia" w:ascii="宋体" w:hAnsi="宋体" w:cs="宋体"/>
          <w:bCs/>
          <w:color w:val="000000" w:themeColor="text1"/>
          <w:sz w:val="24"/>
          <w:szCs w:val="24"/>
        </w:rPr>
        <w:t>收到投标文件的时间不得迟于招标公告中规定的截止时间。</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20.2采购人或采购代理机构</w:t>
      </w:r>
      <w:r>
        <w:rPr>
          <w:rFonts w:hint="eastAsia" w:ascii="宋体" w:hAnsi="宋体" w:cs="宋体"/>
          <w:bCs/>
          <w:color w:val="000000" w:themeColor="text1"/>
          <w:sz w:val="24"/>
          <w:szCs w:val="24"/>
        </w:rPr>
        <w:t>有权通过修改招标文件酌情延长投标截止日期，在此情况下，投标人的所有权利和义务以及投标人受制的截止日期均应以延长后新的截止日期为准。</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15" w:name="_Toc16938543"/>
      <w:bookmarkStart w:id="116" w:name="_Toc513029227"/>
      <w:bookmarkStart w:id="117" w:name="_Toc20823299"/>
      <w:r>
        <w:rPr>
          <w:rFonts w:hint="eastAsia" w:ascii="宋体" w:hAnsi="宋体" w:eastAsia="宋体" w:cs="宋体"/>
          <w:b w:val="0"/>
          <w:bCs w:val="0"/>
          <w:color w:val="000000" w:themeColor="text1"/>
          <w:sz w:val="24"/>
          <w:szCs w:val="24"/>
        </w:rPr>
        <w:t>21、迟交的投标文件</w:t>
      </w:r>
      <w:bookmarkEnd w:id="115"/>
      <w:bookmarkEnd w:id="116"/>
      <w:bookmarkEnd w:id="117"/>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21.1采购人或采购代理机构</w:t>
      </w:r>
      <w:r>
        <w:rPr>
          <w:rFonts w:hint="eastAsia" w:ascii="宋体" w:hAnsi="宋体" w:cs="宋体"/>
          <w:bCs/>
          <w:color w:val="000000" w:themeColor="text1"/>
          <w:sz w:val="24"/>
          <w:szCs w:val="24"/>
        </w:rPr>
        <w:t>拒绝接收在其规定的投标截止时间后递交的任何投标文件。</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18" w:name="_Toc20823300"/>
      <w:bookmarkStart w:id="119" w:name="_Toc513029228"/>
      <w:bookmarkStart w:id="120" w:name="_Toc16938544"/>
      <w:r>
        <w:rPr>
          <w:rFonts w:hint="eastAsia" w:ascii="宋体" w:hAnsi="宋体" w:eastAsia="宋体" w:cs="宋体"/>
          <w:b w:val="0"/>
          <w:bCs w:val="0"/>
          <w:color w:val="000000" w:themeColor="text1"/>
          <w:sz w:val="24"/>
          <w:szCs w:val="24"/>
        </w:rPr>
        <w:t>22、投标文件的修改和撤回</w:t>
      </w:r>
      <w:bookmarkEnd w:id="118"/>
      <w:bookmarkEnd w:id="119"/>
      <w:bookmarkEnd w:id="120"/>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22.1</w:t>
      </w:r>
      <w:r>
        <w:rPr>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rPr>
        <w:t>通知采购人或采购代理机构，修改或撤回其投标文件。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22.2</w:t>
      </w:r>
      <w:r>
        <w:rPr>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22.3</w:t>
      </w:r>
      <w:r>
        <w:rPr>
          <w:rFonts w:hint="eastAsia" w:ascii="宋体" w:hAnsi="宋体" w:cs="宋体"/>
          <w:bCs/>
          <w:color w:val="000000" w:themeColor="text1"/>
          <w:sz w:val="24"/>
          <w:szCs w:val="24"/>
        </w:rPr>
        <w:t>在投标截止时间之后，投标人不得对其投标文件作任何修改。</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22.4</w:t>
      </w:r>
      <w:r>
        <w:rPr>
          <w:rFonts w:hint="eastAsia" w:ascii="宋体" w:hAnsi="宋体" w:cs="宋体"/>
          <w:bCs/>
          <w:color w:val="000000" w:themeColor="text1"/>
          <w:sz w:val="24"/>
          <w:szCs w:val="24"/>
        </w:rPr>
        <w:t xml:space="preserve"> 在投标截止时间至招标文件中规定的投标有效期满之间的这段时间内，投标人不得撤回其投标。</w:t>
      </w:r>
    </w:p>
    <w:p>
      <w:pPr>
        <w:pStyle w:val="6"/>
        <w:adjustRightInd w:val="0"/>
        <w:snapToGrid w:val="0"/>
        <w:spacing w:before="0" w:after="0" w:line="360" w:lineRule="auto"/>
        <w:ind w:firstLine="480" w:firstLineChars="200"/>
        <w:rPr>
          <w:rFonts w:ascii="宋体" w:hAnsi="宋体" w:cs="宋体"/>
          <w:color w:val="000000" w:themeColor="text1"/>
          <w:sz w:val="24"/>
          <w:szCs w:val="24"/>
        </w:rPr>
      </w:pPr>
      <w:bookmarkStart w:id="121" w:name="_Toc120614218"/>
      <w:bookmarkStart w:id="122" w:name="_Toc16938545"/>
      <w:bookmarkStart w:id="123" w:name="_Toc513029229"/>
      <w:bookmarkStart w:id="124" w:name="_Toc20823301"/>
      <w:r>
        <w:rPr>
          <w:rFonts w:hint="eastAsia" w:ascii="宋体" w:hAnsi="宋体" w:cs="宋体"/>
          <w:color w:val="000000" w:themeColor="text1"/>
          <w:sz w:val="24"/>
          <w:szCs w:val="24"/>
        </w:rPr>
        <w:t>五、开标与评标</w:t>
      </w:r>
      <w:bookmarkEnd w:id="121"/>
      <w:bookmarkEnd w:id="122"/>
      <w:bookmarkEnd w:id="123"/>
      <w:bookmarkEnd w:id="124"/>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25" w:name="_Toc16938546"/>
      <w:bookmarkStart w:id="126" w:name="_Toc20823302"/>
      <w:bookmarkStart w:id="127" w:name="_Toc513029230"/>
      <w:r>
        <w:rPr>
          <w:rFonts w:hint="eastAsia" w:ascii="宋体" w:hAnsi="宋体" w:eastAsia="宋体" w:cs="宋体"/>
          <w:b w:val="0"/>
          <w:bCs w:val="0"/>
          <w:color w:val="000000" w:themeColor="text1"/>
          <w:sz w:val="24"/>
          <w:szCs w:val="24"/>
        </w:rPr>
        <w:t>23、开标</w:t>
      </w:r>
      <w:bookmarkEnd w:id="125"/>
      <w:bookmarkEnd w:id="126"/>
      <w:bookmarkEnd w:id="127"/>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23.1采购人或采购代理机构</w:t>
      </w:r>
      <w:r>
        <w:rPr>
          <w:rFonts w:hint="eastAsia" w:ascii="宋体" w:hAnsi="宋体" w:cs="宋体"/>
          <w:bCs/>
          <w:color w:val="000000" w:themeColor="text1"/>
          <w:sz w:val="24"/>
          <w:szCs w:val="24"/>
        </w:rPr>
        <w:t>将在招标公告中规定的时间和地点组织公开开标</w:t>
      </w:r>
      <w:r>
        <w:rPr>
          <w:rFonts w:hint="eastAsia" w:ascii="宋体" w:hAnsi="宋体" w:cs="宋体"/>
          <w:color w:val="000000" w:themeColor="text1"/>
          <w:sz w:val="24"/>
          <w:szCs w:val="24"/>
        </w:rPr>
        <w:t>。投标人应委派携带有效证件的代表准时参加，参加开标的代表需签名以证明其出席。</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23.2</w:t>
      </w:r>
      <w:r>
        <w:rPr>
          <w:rFonts w:hint="eastAsia" w:ascii="宋体" w:hAnsi="宋体" w:cs="宋体"/>
          <w:color w:val="000000" w:themeColor="text1"/>
          <w:sz w:val="24"/>
          <w:szCs w:val="24"/>
        </w:rPr>
        <w:t>开标仪式由采购人或采购代理机构组织，采购人代表、公证员（必要时）、监管代表、投标人代表等参加。</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23.3</w:t>
      </w:r>
      <w:r>
        <w:rPr>
          <w:rFonts w:hint="eastAsia" w:ascii="宋体" w:hAnsi="宋体" w:cs="宋体"/>
          <w:bCs/>
          <w:color w:val="000000" w:themeColor="text1"/>
          <w:sz w:val="24"/>
          <w:szCs w:val="24"/>
        </w:rPr>
        <w:t>按照规定同意撤回的投标将不予开封。</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23.4 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23.5 采购人或采购代理机构将指定专人负责开标记录并存档备查。</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23.6 投标人在报价时不允许采用选择性报价，否则将被视为无效投标。</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28" w:name="_Toc16938547"/>
      <w:bookmarkStart w:id="129" w:name="_Toc20823303"/>
      <w:bookmarkStart w:id="130" w:name="_Toc513029231"/>
      <w:r>
        <w:rPr>
          <w:rFonts w:hint="eastAsia" w:ascii="宋体" w:hAnsi="宋体" w:eastAsia="宋体" w:cs="宋体"/>
          <w:b w:val="0"/>
          <w:bCs w:val="0"/>
          <w:color w:val="000000" w:themeColor="text1"/>
          <w:sz w:val="24"/>
          <w:szCs w:val="24"/>
        </w:rPr>
        <w:t>24、资格审查</w:t>
      </w:r>
    </w:p>
    <w:p>
      <w:pPr>
        <w:widowControl/>
        <w:adjustRightInd w:val="0"/>
        <w:snapToGrid w:val="0"/>
        <w:spacing w:line="360" w:lineRule="auto"/>
        <w:ind w:firstLine="480" w:firstLineChars="200"/>
        <w:jc w:val="left"/>
        <w:textAlignment w:val="baseline"/>
        <w:rPr>
          <w:rFonts w:ascii="宋体" w:hAnsi="宋体" w:cs="宋体"/>
          <w:color w:val="000000" w:themeColor="text1"/>
          <w:sz w:val="24"/>
          <w:szCs w:val="24"/>
        </w:rPr>
      </w:pPr>
      <w:r>
        <w:rPr>
          <w:rFonts w:hint="eastAsia" w:ascii="宋体" w:hAnsi="宋体" w:cs="宋体"/>
          <w:color w:val="000000" w:themeColor="text1"/>
          <w:sz w:val="24"/>
          <w:szCs w:val="24"/>
        </w:rPr>
        <w:t>24.1</w:t>
      </w:r>
      <w:r>
        <w:rPr>
          <w:rFonts w:hint="eastAsia" w:ascii="宋体" w:hAnsi="宋体" w:cs="宋体"/>
          <w:b/>
          <w:color w:val="000000" w:themeColor="text1"/>
          <w:sz w:val="24"/>
          <w:szCs w:val="24"/>
        </w:rPr>
        <w:t>开标结束后，采购人或采购代理机构应当依法对投标人的资格进行审查。</w:t>
      </w:r>
      <w:r>
        <w:rPr>
          <w:rFonts w:hint="eastAsia" w:ascii="宋体" w:hAnsi="宋体" w:cs="宋体"/>
          <w:color w:val="000000" w:themeColor="text1"/>
          <w:sz w:val="24"/>
          <w:szCs w:val="24"/>
        </w:rPr>
        <w:t>（财政部87号令第44条规定）</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25、评标委员会</w:t>
      </w:r>
    </w:p>
    <w:p>
      <w:pPr>
        <w:adjustRightInd w:val="0"/>
        <w:snapToGrid w:val="0"/>
        <w:spacing w:line="360" w:lineRule="auto"/>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25.1资格审查通过后，采购人或采购代理机构将组织评标委员会（以下简称评委会）进行评标。</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25.2 评委会由采购人代表和有关技术、经济等方面的专家组成，且人员构成符合政府采购有关规定。</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25.3评委会独立工作，负责评审所有投标文件并确定中标侯选人。</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26、评标过程的保密与公正</w:t>
      </w:r>
    </w:p>
    <w:bookmarkEnd w:id="128"/>
    <w:bookmarkEnd w:id="129"/>
    <w:bookmarkEnd w:id="130"/>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26.1</w:t>
      </w:r>
      <w:r>
        <w:rPr>
          <w:rFonts w:hint="eastAsia" w:ascii="宋体" w:hAnsi="宋体" w:cs="宋体"/>
          <w:bCs/>
          <w:color w:val="000000" w:themeColor="text1"/>
          <w:sz w:val="24"/>
          <w:szCs w:val="24"/>
        </w:rPr>
        <w:t>公开开标后，直至签订合同之日止，凡是与审查、澄清、评价和比较投标的有关资料以及授标建议等，采购人、评委均不得向投标人或与评标无关的其他人员透露。</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26.2在评标过程中，投标人不得以任何行为影响评标过程，否则其投标文件将被作为无效投标文件。</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31" w:name="_Toc16938548"/>
      <w:bookmarkStart w:id="132" w:name="_Toc20823304"/>
      <w:bookmarkStart w:id="133" w:name="_Toc513029232"/>
      <w:r>
        <w:rPr>
          <w:rFonts w:hint="eastAsia" w:ascii="宋体" w:hAnsi="宋体" w:eastAsia="宋体" w:cs="宋体"/>
          <w:b w:val="0"/>
          <w:bCs w:val="0"/>
          <w:color w:val="000000" w:themeColor="text1"/>
          <w:sz w:val="24"/>
          <w:szCs w:val="24"/>
        </w:rPr>
        <w:t>27、投标的澄清</w:t>
      </w:r>
      <w:bookmarkEnd w:id="131"/>
      <w:bookmarkEnd w:id="132"/>
      <w:bookmarkEnd w:id="133"/>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27.3 接到评委会澄清要求的投标人如未按规定做出澄清，其风险由投标人自行承担。</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34" w:name="_Toc20823305"/>
      <w:bookmarkStart w:id="135" w:name="_Toc513029233"/>
      <w:bookmarkStart w:id="136" w:name="_Toc16938549"/>
      <w:r>
        <w:rPr>
          <w:rFonts w:hint="eastAsia" w:ascii="宋体" w:hAnsi="宋体" w:eastAsia="宋体" w:cs="宋体"/>
          <w:b w:val="0"/>
          <w:bCs w:val="0"/>
          <w:color w:val="000000" w:themeColor="text1"/>
          <w:sz w:val="24"/>
          <w:szCs w:val="24"/>
        </w:rPr>
        <w:t>28、对投标文件的审</w:t>
      </w:r>
      <w:bookmarkEnd w:id="134"/>
      <w:bookmarkEnd w:id="135"/>
      <w:bookmarkEnd w:id="136"/>
      <w:r>
        <w:rPr>
          <w:rFonts w:hint="eastAsia" w:ascii="宋体" w:hAnsi="宋体" w:eastAsia="宋体" w:cs="宋体"/>
          <w:b w:val="0"/>
          <w:bCs w:val="0"/>
          <w:color w:val="000000" w:themeColor="text1"/>
          <w:sz w:val="24"/>
          <w:szCs w:val="24"/>
        </w:rPr>
        <w:t>查</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28.1</w:t>
      </w:r>
      <w:r>
        <w:rPr>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rPr>
        <w:t>评委决定投标文件的响应性只根据投标文件本身的内容，而不寻求外部的证据。</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28.3</w:t>
      </w:r>
      <w:r>
        <w:rPr>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28.4</w:t>
      </w:r>
      <w:r>
        <w:rPr>
          <w:rFonts w:hint="eastAsia" w:ascii="宋体" w:hAnsi="宋体" w:cs="宋体"/>
          <w:bCs/>
          <w:color w:val="000000" w:themeColor="text1"/>
          <w:sz w:val="24"/>
          <w:szCs w:val="24"/>
        </w:rPr>
        <w:t>评委会将对确定为实质性响应的投标进行进一步审核，对投标文件中大小写金额不一致等问题的评审原则如下：</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28.5</w:t>
      </w:r>
      <w:r>
        <w:rPr>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28.6</w:t>
      </w:r>
      <w:r>
        <w:rPr>
          <w:rFonts w:hint="eastAsia" w:ascii="宋体" w:hAnsi="宋体" w:cs="宋体"/>
          <w:bCs/>
          <w:color w:val="000000" w:themeColor="text1"/>
          <w:sz w:val="24"/>
          <w:szCs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28.7评标委员会认为投标人的报价</w:t>
      </w:r>
      <w:r>
        <w:rPr>
          <w:rFonts w:hint="eastAsia" w:ascii="宋体" w:hAnsi="宋体" w:cs="宋体"/>
          <w:b/>
          <w:color w:val="000000" w:themeColor="text1"/>
          <w:sz w:val="24"/>
          <w:szCs w:val="24"/>
        </w:rPr>
        <w:t>明显偏离</w:t>
      </w:r>
      <w:r>
        <w:rPr>
          <w:rFonts w:hint="eastAsia" w:ascii="宋体" w:hAnsi="宋体" w:cs="宋体"/>
          <w:color w:val="000000" w:themeColor="text1"/>
          <w:sz w:val="24"/>
          <w:szCs w:val="24"/>
        </w:rPr>
        <w:t>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(87号令第60条)</w:t>
      </w:r>
    </w:p>
    <w:p>
      <w:pPr>
        <w:pStyle w:val="7"/>
        <w:adjustRightInd w:val="0"/>
        <w:snapToGrid w:val="0"/>
        <w:spacing w:before="0" w:after="0" w:line="360" w:lineRule="auto"/>
        <w:ind w:firstLine="480" w:firstLineChars="200"/>
        <w:rPr>
          <w:rFonts w:ascii="宋体" w:hAnsi="宋体" w:eastAsia="宋体" w:cs="宋体"/>
          <w:b w:val="0"/>
          <w:bCs w:val="0"/>
          <w:color w:val="000000" w:themeColor="text1"/>
          <w:sz w:val="24"/>
          <w:szCs w:val="24"/>
        </w:rPr>
      </w:pPr>
      <w:bookmarkStart w:id="137" w:name="_Toc16938550"/>
      <w:bookmarkStart w:id="138" w:name="_Toc20823306"/>
      <w:bookmarkStart w:id="139" w:name="_Toc513029234"/>
      <w:r>
        <w:rPr>
          <w:rFonts w:hint="eastAsia" w:ascii="宋体" w:hAnsi="宋体" w:eastAsia="宋体" w:cs="宋体"/>
          <w:b w:val="0"/>
          <w:bCs w:val="0"/>
          <w:color w:val="000000" w:themeColor="text1"/>
          <w:sz w:val="24"/>
          <w:szCs w:val="24"/>
        </w:rPr>
        <w:t>29、</w:t>
      </w:r>
      <w:bookmarkEnd w:id="137"/>
      <w:bookmarkEnd w:id="138"/>
      <w:bookmarkEnd w:id="139"/>
      <w:r>
        <w:rPr>
          <w:rFonts w:hint="eastAsia" w:ascii="宋体" w:hAnsi="宋体" w:eastAsia="宋体" w:cs="宋体"/>
          <w:b w:val="0"/>
          <w:bCs w:val="0"/>
          <w:color w:val="000000" w:themeColor="text1"/>
          <w:sz w:val="24"/>
          <w:szCs w:val="24"/>
        </w:rPr>
        <w:t>无效投标条款和废标条款</w:t>
      </w:r>
    </w:p>
    <w:p>
      <w:pPr>
        <w:adjustRightInd w:val="0"/>
        <w:snapToGrid w:val="0"/>
        <w:spacing w:line="360" w:lineRule="auto"/>
        <w:ind w:firstLine="480" w:firstLineChars="200"/>
        <w:rPr>
          <w:rFonts w:ascii="宋体" w:hAnsi="宋体" w:cs="宋体"/>
          <w:bCs/>
          <w:color w:val="000000" w:themeColor="text1"/>
          <w:sz w:val="24"/>
          <w:szCs w:val="24"/>
        </w:rPr>
      </w:pPr>
      <w:bookmarkStart w:id="140" w:name="_Toc20823307"/>
      <w:bookmarkStart w:id="141" w:name="_Toc16938551"/>
      <w:bookmarkStart w:id="142" w:name="_Toc513029235"/>
      <w:r>
        <w:rPr>
          <w:rFonts w:hint="eastAsia" w:ascii="宋体" w:hAnsi="宋体" w:cs="宋体"/>
          <w:bCs/>
          <w:color w:val="000000" w:themeColor="text1"/>
          <w:sz w:val="24"/>
          <w:szCs w:val="24"/>
        </w:rPr>
        <w:t>29.1无效投标条款</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29.1.1未按要求交纳投标保证金的。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29.1.2未按照招标文件规定要求密封、签署、盖章的。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29.1.3投标人在报价时采用选择性报价。</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29.1.4投标人不具备招标文件中规定资格要求的。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29.1.5投标人的报价超过了采购预算的。</w:t>
      </w:r>
    </w:p>
    <w:p>
      <w:pPr>
        <w:adjustRightInd w:val="0"/>
        <w:snapToGrid w:val="0"/>
        <w:spacing w:line="360" w:lineRule="auto"/>
        <w:ind w:firstLine="480" w:firstLineChars="200"/>
        <w:rPr>
          <w:rFonts w:ascii="宋体" w:hAnsi="宋体" w:cs="宋体"/>
          <w:bCs/>
          <w:i/>
          <w:color w:val="000000" w:themeColor="text1"/>
          <w:sz w:val="24"/>
          <w:szCs w:val="24"/>
          <w:u w:val="single"/>
        </w:rPr>
      </w:pPr>
      <w:r>
        <w:rPr>
          <w:rFonts w:hint="eastAsia" w:ascii="宋体" w:hAnsi="宋体" w:cs="宋体"/>
          <w:bCs/>
          <w:color w:val="000000" w:themeColor="text1"/>
          <w:sz w:val="24"/>
          <w:szCs w:val="24"/>
        </w:rPr>
        <w:t>29.1.6未通过符合性检查的。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29.1.7不符合招标文件中规定的其他实质性要求和条件的。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29.1.8 投标人串通投标。</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29.1.9其他法律、法规及本招标文件规定的属无效投标的情形。</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 xml:space="preserve">29.2废标条款：                                                                                                                                                                                                                                                                                                                                                                                                                                                                                                                                                                                                                                                                                                                                                                                                                                                                                                                                                                                                                                                                                                                                                                                                                                                                                                                                                                                                                                                                         </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29.2.1符合专业条件的供应商或者对招标文件作实质响应的供应商不足三家的。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29.2.2出现影响采购公正的违法、违规行为的。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29.2.3因重大变故，采购任务取消的。</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29.2.4评标委员会认定招标文件存在歧义、 重大缺陷导致评审工作无法进行。</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 投标截止时间结束后参加投标的供应商不足三家的处理：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6"/>
        <w:adjustRightInd w:val="0"/>
        <w:snapToGrid w:val="0"/>
        <w:spacing w:before="0" w:after="0" w:line="360" w:lineRule="auto"/>
        <w:ind w:firstLine="480" w:firstLineChars="200"/>
        <w:rPr>
          <w:rFonts w:ascii="宋体" w:hAnsi="宋体" w:cs="宋体"/>
          <w:color w:val="000000" w:themeColor="text1"/>
          <w:sz w:val="24"/>
          <w:szCs w:val="24"/>
        </w:rPr>
      </w:pPr>
      <w:bookmarkStart w:id="143" w:name="_Toc120614219"/>
      <w:r>
        <w:rPr>
          <w:rFonts w:hint="eastAsia" w:ascii="宋体" w:hAnsi="宋体" w:cs="宋体"/>
          <w:color w:val="000000" w:themeColor="text1"/>
          <w:sz w:val="24"/>
          <w:szCs w:val="24"/>
        </w:rPr>
        <w:t>六、</w:t>
      </w:r>
      <w:bookmarkEnd w:id="140"/>
      <w:bookmarkEnd w:id="141"/>
      <w:bookmarkEnd w:id="142"/>
      <w:r>
        <w:rPr>
          <w:rFonts w:hint="eastAsia" w:ascii="宋体" w:hAnsi="宋体" w:cs="宋体"/>
          <w:color w:val="000000" w:themeColor="text1"/>
          <w:sz w:val="24"/>
          <w:szCs w:val="24"/>
        </w:rPr>
        <w:t>定标</w:t>
      </w:r>
      <w:bookmarkEnd w:id="143"/>
    </w:p>
    <w:p>
      <w:pPr>
        <w:pStyle w:val="7"/>
        <w:adjustRightInd w:val="0"/>
        <w:snapToGrid w:val="0"/>
        <w:spacing w:before="0" w:after="0" w:line="360" w:lineRule="auto"/>
        <w:ind w:firstLine="480" w:firstLineChars="200"/>
        <w:rPr>
          <w:rFonts w:ascii="宋体" w:hAnsi="宋体" w:eastAsia="宋体" w:cs="宋体"/>
          <w:b w:val="0"/>
          <w:color w:val="000000" w:themeColor="text1"/>
          <w:sz w:val="24"/>
          <w:szCs w:val="24"/>
        </w:rPr>
      </w:pPr>
      <w:bookmarkStart w:id="144" w:name="_Toc513029238"/>
      <w:bookmarkStart w:id="145" w:name="_Toc16938554"/>
      <w:bookmarkStart w:id="146" w:name="_Toc20823310"/>
      <w:r>
        <w:rPr>
          <w:rFonts w:hint="eastAsia" w:ascii="宋体" w:hAnsi="宋体" w:eastAsia="宋体" w:cs="宋体"/>
          <w:b w:val="0"/>
          <w:color w:val="000000" w:themeColor="text1"/>
          <w:sz w:val="24"/>
          <w:szCs w:val="24"/>
        </w:rPr>
        <w:t>30、</w:t>
      </w:r>
      <w:bookmarkEnd w:id="144"/>
      <w:r>
        <w:rPr>
          <w:rFonts w:hint="eastAsia" w:ascii="宋体" w:hAnsi="宋体" w:eastAsia="宋体" w:cs="宋体"/>
          <w:b w:val="0"/>
          <w:color w:val="000000" w:themeColor="text1"/>
          <w:sz w:val="24"/>
          <w:szCs w:val="24"/>
        </w:rPr>
        <w:t>确定</w:t>
      </w:r>
      <w:bookmarkEnd w:id="145"/>
      <w:bookmarkEnd w:id="146"/>
      <w:r>
        <w:rPr>
          <w:rFonts w:hint="eastAsia" w:ascii="宋体" w:hAnsi="宋体" w:eastAsia="宋体" w:cs="宋体"/>
          <w:b w:val="0"/>
          <w:color w:val="000000" w:themeColor="text1"/>
          <w:sz w:val="24"/>
          <w:szCs w:val="24"/>
        </w:rPr>
        <w:t>中标单位</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30.1评委会根据本招标文件规定评标方法与评标标准向采购人推荐出中标候选人。</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30.2 采购人应根据评委会推荐的中标候选人确定中标供应商。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30.3</w:t>
      </w:r>
      <w:r>
        <w:rPr>
          <w:rFonts w:hint="eastAsia" w:ascii="宋体" w:hAnsi="宋体" w:cs="宋体"/>
          <w:color w:val="000000" w:themeColor="text1"/>
          <w:sz w:val="24"/>
          <w:szCs w:val="24"/>
        </w:rPr>
        <w:t>采购人或采购代理机构将在</w:t>
      </w:r>
      <w:r>
        <w:rPr>
          <w:rFonts w:hint="eastAsia" w:ascii="宋体" w:hAnsi="宋体" w:cs="宋体"/>
          <w:bCs/>
          <w:color w:val="000000" w:themeColor="text1"/>
          <w:sz w:val="24"/>
          <w:szCs w:val="24"/>
        </w:rPr>
        <w:t>“盐城市政府采购网”和“盐城工业职业技术学院招标采购网”</w:t>
      </w:r>
      <w:r>
        <w:rPr>
          <w:rFonts w:hint="eastAsia" w:ascii="宋体" w:hAnsi="宋体" w:cs="宋体"/>
          <w:color w:val="000000" w:themeColor="text1"/>
          <w:sz w:val="24"/>
          <w:szCs w:val="24"/>
        </w:rPr>
        <w:t>发布中标公告，公告期限为1个工作日。</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30.4若有充分证据证明，中标供应商出现下列情况之一的，一经查实，将被取消中标资格：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30.4.1提供虚假材料谋取中标的。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30.4.2向采购人、采购代理机构行贿或者提供其他不正当利益的。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30.4.3恶意竞争，投标总报价明显低于其自身合理成本且又无法提供证明的。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30.4.4属于本文件规定的无效条件，但在评标过程中又未被评委会发现的。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30.4.5与采购人或者其他供应商恶意串通的。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30.4.6采取不正当手段诋毁、排挤其他供应商的。</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30.4.7不符合法律、法规的规定的。</w:t>
      </w:r>
      <w:bookmarkStart w:id="147" w:name="_Toc200451960"/>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30.5. </w:t>
      </w:r>
      <w:r>
        <w:rPr>
          <w:rFonts w:hint="eastAsia" w:ascii="宋体" w:hAnsi="宋体" w:cs="宋体"/>
          <w:color w:val="000000" w:themeColor="text1"/>
          <w:kern w:val="0"/>
          <w:sz w:val="24"/>
          <w:szCs w:val="24"/>
        </w:rPr>
        <w:t>有下列情形之一的，属于恶意串通：</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30.5.1</w:t>
      </w:r>
      <w:r>
        <w:rPr>
          <w:rFonts w:hint="eastAsia" w:ascii="宋体" w:hAnsi="宋体" w:cs="宋体"/>
          <w:color w:val="000000" w:themeColor="text1"/>
          <w:kern w:val="0"/>
          <w:sz w:val="24"/>
          <w:szCs w:val="24"/>
        </w:rPr>
        <w:t>供应商直接或者间接从采购人或者采购代理机构处获得其他供应商的相关情况并修改其投标文件。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30.5.2</w:t>
      </w:r>
      <w:r>
        <w:rPr>
          <w:rFonts w:hint="eastAsia" w:ascii="宋体" w:hAnsi="宋体" w:cs="宋体"/>
          <w:color w:val="000000" w:themeColor="text1"/>
          <w:kern w:val="0"/>
          <w:sz w:val="24"/>
          <w:szCs w:val="24"/>
        </w:rPr>
        <w:t>供应商按照采购人或者采购代理机构的授意撤换、修改投标文件。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30.5.3</w:t>
      </w:r>
      <w:r>
        <w:rPr>
          <w:rFonts w:hint="eastAsia" w:ascii="宋体" w:hAnsi="宋体" w:cs="宋体"/>
          <w:color w:val="000000" w:themeColor="text1"/>
          <w:kern w:val="0"/>
          <w:sz w:val="24"/>
          <w:szCs w:val="24"/>
        </w:rPr>
        <w:t>供应商之间协商报价、技术方案等投标文件的实质性内容。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30.5.4</w:t>
      </w:r>
      <w:r>
        <w:rPr>
          <w:rFonts w:hint="eastAsia" w:ascii="宋体" w:hAnsi="宋体" w:cs="宋体"/>
          <w:color w:val="000000" w:themeColor="text1"/>
          <w:kern w:val="0"/>
          <w:sz w:val="24"/>
          <w:szCs w:val="24"/>
        </w:rPr>
        <w:t>属于同一集团、协会、商会等组织成员的供应商按照该组织要求协同参加政府采购活动。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30.5.5</w:t>
      </w:r>
      <w:r>
        <w:rPr>
          <w:rFonts w:hint="eastAsia" w:ascii="宋体" w:hAnsi="宋体" w:cs="宋体"/>
          <w:color w:val="000000" w:themeColor="text1"/>
          <w:kern w:val="0"/>
          <w:sz w:val="24"/>
          <w:szCs w:val="24"/>
        </w:rPr>
        <w:t>供应商之间事先约定由某一特定供应商中标。</w:t>
      </w:r>
    </w:p>
    <w:p>
      <w:pPr>
        <w:adjustRightInd w:val="0"/>
        <w:snapToGrid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30.5.6</w:t>
      </w:r>
      <w:r>
        <w:rPr>
          <w:rFonts w:hint="eastAsia" w:ascii="宋体" w:hAnsi="宋体" w:cs="宋体"/>
          <w:color w:val="000000" w:themeColor="text1"/>
          <w:kern w:val="0"/>
          <w:sz w:val="24"/>
          <w:szCs w:val="24"/>
        </w:rPr>
        <w:t>供应商之间商定部分供应商放弃参加政府采购活动或者放弃中标。</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30.5.7</w:t>
      </w:r>
      <w:r>
        <w:rPr>
          <w:rFonts w:hint="eastAsia" w:ascii="宋体" w:hAnsi="宋体" w:cs="宋体"/>
          <w:color w:val="000000" w:themeColor="text1"/>
          <w:kern w:val="0"/>
          <w:sz w:val="24"/>
          <w:szCs w:val="24"/>
        </w:rPr>
        <w:t>供应商与采购人或者采购代理机构之间、供应商相互之间，为谋求特定供应商中标或者排斥其他供应商的其他串通行为。</w:t>
      </w:r>
    </w:p>
    <w:p>
      <w:pPr>
        <w:pStyle w:val="7"/>
        <w:adjustRightInd w:val="0"/>
        <w:snapToGrid w:val="0"/>
        <w:spacing w:before="0" w:after="0" w:line="360" w:lineRule="auto"/>
        <w:ind w:firstLine="480" w:firstLineChars="200"/>
        <w:rPr>
          <w:rFonts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31、质疑处理</w:t>
      </w:r>
      <w:bookmarkEnd w:id="147"/>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31.1.1</w:t>
      </w:r>
      <w:r>
        <w:rPr>
          <w:rFonts w:hint="eastAsia" w:ascii="宋体" w:hAnsi="宋体" w:cs="宋体"/>
          <w:color w:val="000000" w:themeColor="text1"/>
          <w:kern w:val="0"/>
          <w:sz w:val="24"/>
          <w:szCs w:val="24"/>
        </w:rPr>
        <w:t>对可以质疑的招标文件提出质疑的，为收到招标文件之日或者招标文件公告期限届满之日。</w:t>
      </w:r>
      <w:r>
        <w:rPr>
          <w:rFonts w:hint="eastAsia" w:ascii="宋体" w:hAnsi="宋体" w:cs="宋体"/>
          <w:color w:val="000000" w:themeColor="text1"/>
          <w:kern w:val="0"/>
          <w:sz w:val="24"/>
          <w:szCs w:val="24"/>
        </w:rPr>
        <w:br w:type="textWrapping"/>
      </w:r>
      <w:r>
        <w:rPr>
          <w:rFonts w:hint="eastAsia" w:ascii="宋体" w:hAnsi="宋体" w:cs="宋体"/>
          <w:color w:val="000000" w:themeColor="text1"/>
          <w:kern w:val="0"/>
          <w:sz w:val="24"/>
          <w:szCs w:val="24"/>
        </w:rPr>
        <w:t>　　</w:t>
      </w:r>
      <w:r>
        <w:rPr>
          <w:rFonts w:hint="eastAsia" w:ascii="宋体" w:hAnsi="宋体" w:cs="宋体"/>
          <w:color w:val="000000" w:themeColor="text1"/>
          <w:sz w:val="24"/>
          <w:szCs w:val="24"/>
        </w:rPr>
        <w:t>31.1.2</w:t>
      </w:r>
      <w:r>
        <w:rPr>
          <w:rFonts w:hint="eastAsia" w:ascii="宋体" w:hAnsi="宋体" w:cs="宋体"/>
          <w:color w:val="000000" w:themeColor="text1"/>
          <w:kern w:val="0"/>
          <w:sz w:val="24"/>
          <w:szCs w:val="24"/>
        </w:rPr>
        <w:t>对采购过程提出质疑的，为各采购程序环节结束之日。</w:t>
      </w:r>
      <w:r>
        <w:rPr>
          <w:rFonts w:hint="eastAsia" w:ascii="宋体" w:hAnsi="宋体" w:cs="宋体"/>
          <w:color w:val="000000" w:themeColor="text1"/>
          <w:kern w:val="0"/>
          <w:sz w:val="24"/>
          <w:szCs w:val="24"/>
        </w:rPr>
        <w:br w:type="textWrapping"/>
      </w:r>
      <w:r>
        <w:rPr>
          <w:rFonts w:hint="eastAsia" w:ascii="宋体" w:hAnsi="宋体" w:cs="宋体"/>
          <w:color w:val="000000" w:themeColor="text1"/>
          <w:kern w:val="0"/>
          <w:sz w:val="24"/>
          <w:szCs w:val="24"/>
        </w:rPr>
        <w:t>　　</w:t>
      </w:r>
      <w:r>
        <w:rPr>
          <w:rFonts w:hint="eastAsia" w:ascii="宋体" w:hAnsi="宋体" w:cs="宋体"/>
          <w:color w:val="000000" w:themeColor="text1"/>
          <w:sz w:val="24"/>
          <w:szCs w:val="24"/>
        </w:rPr>
        <w:t>31.1.3</w:t>
      </w:r>
      <w:r>
        <w:rPr>
          <w:rFonts w:hint="eastAsia" w:ascii="宋体" w:hAnsi="宋体" w:cs="宋体"/>
          <w:color w:val="000000" w:themeColor="text1"/>
          <w:kern w:val="0"/>
          <w:sz w:val="24"/>
          <w:szCs w:val="24"/>
        </w:rPr>
        <w:t>对中标结果提出质疑的，为中标结果公告期限届满之日。</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31.2质疑必须以参加投标供应商法定代表人或授权委托人（被授权人）（投标文件中所确定的）原件送达的方式提交，未按上述要求提交的质疑函（含传真、电子邮件等），采购人或采购代理机构有权不予受理。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31.3未参加投标活动的供应商或在投标活动中自身权益未受到损害的供应商所提出的质疑不予受理。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31.4质疑函应当包括下列内容：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31.4.1质疑投标人的名称、地址、邮编、联系人、联系电话。</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31.4.2具体的质疑事项及明确的请求。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31.4.3认为自己合法权益受到损害或可能受到损害的相关证据材料。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31.4.4提起质疑的日期。</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31.4.5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31.6质疑人应当在法定质疑期限内进行补正并重新提交质疑函，拒不补正或者在法定期限内未重新提交质疑函的，为无效质疑，采购人或采购代理机构有权不予受理。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7"/>
        <w:adjustRightInd w:val="0"/>
        <w:snapToGrid w:val="0"/>
        <w:spacing w:before="0" w:after="0" w:line="360" w:lineRule="auto"/>
        <w:ind w:firstLine="480" w:firstLineChars="200"/>
        <w:rPr>
          <w:rFonts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32、中标通知书</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32.l中标结果确定后，采购人或采购代理机构将向中标供应商发出中标通知书。</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32.2 中标供应商收到中标通知书后，应签字确认中标通知书已收到。若无回复，则公告后视同中标供应商已经知悉并同意接受。</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32.3中标通知书将是合同的一个组成部分。对采购人和中标供应商均具有法律效力。中标通知书发出后，采购人改变中标结果的，或者中标供应商放弃中标项目的，应当依法承担法律责任。</w:t>
      </w:r>
    </w:p>
    <w:p>
      <w:pPr>
        <w:pStyle w:val="6"/>
        <w:adjustRightInd w:val="0"/>
        <w:snapToGrid w:val="0"/>
        <w:spacing w:before="0" w:after="0" w:line="360" w:lineRule="auto"/>
        <w:ind w:firstLine="480" w:firstLineChars="200"/>
        <w:rPr>
          <w:rFonts w:ascii="宋体" w:hAnsi="宋体" w:cs="宋体"/>
          <w:color w:val="000000" w:themeColor="text1"/>
          <w:sz w:val="24"/>
          <w:szCs w:val="24"/>
        </w:rPr>
      </w:pPr>
      <w:bookmarkStart w:id="148" w:name="_Toc120614220"/>
      <w:bookmarkStart w:id="149" w:name="_Toc513029236"/>
      <w:bookmarkStart w:id="150" w:name="_Toc20823308"/>
      <w:bookmarkStart w:id="151" w:name="_Toc16938552"/>
      <w:r>
        <w:rPr>
          <w:rFonts w:hint="eastAsia" w:ascii="宋体" w:hAnsi="宋体" w:cs="宋体"/>
          <w:color w:val="000000" w:themeColor="text1"/>
          <w:sz w:val="24"/>
          <w:szCs w:val="24"/>
        </w:rPr>
        <w:t>七、合同</w:t>
      </w:r>
      <w:bookmarkEnd w:id="148"/>
      <w:r>
        <w:rPr>
          <w:rFonts w:hint="eastAsia" w:ascii="宋体" w:hAnsi="宋体" w:cs="宋体"/>
          <w:color w:val="000000" w:themeColor="text1"/>
          <w:sz w:val="24"/>
          <w:szCs w:val="24"/>
        </w:rPr>
        <w:t>签订相关事项</w:t>
      </w:r>
    </w:p>
    <w:bookmarkEnd w:id="149"/>
    <w:bookmarkEnd w:id="150"/>
    <w:bookmarkEnd w:id="151"/>
    <w:p>
      <w:pPr>
        <w:pStyle w:val="7"/>
        <w:adjustRightInd w:val="0"/>
        <w:snapToGrid w:val="0"/>
        <w:spacing w:before="0" w:after="0" w:line="360" w:lineRule="auto"/>
        <w:ind w:firstLine="480" w:firstLineChars="200"/>
        <w:rPr>
          <w:rFonts w:ascii="宋体" w:hAnsi="宋体" w:eastAsia="宋体" w:cs="宋体"/>
          <w:b w:val="0"/>
          <w:color w:val="000000" w:themeColor="text1"/>
          <w:sz w:val="24"/>
          <w:szCs w:val="24"/>
        </w:rPr>
      </w:pPr>
      <w:bookmarkStart w:id="152" w:name="_Toc513029237"/>
      <w:bookmarkStart w:id="153" w:name="_Toc20823309"/>
      <w:bookmarkStart w:id="154" w:name="_Toc16938553"/>
      <w:r>
        <w:rPr>
          <w:rFonts w:hint="eastAsia" w:ascii="宋体" w:hAnsi="宋体" w:eastAsia="宋体" w:cs="宋体"/>
          <w:b w:val="0"/>
          <w:color w:val="000000" w:themeColor="text1"/>
          <w:sz w:val="24"/>
          <w:szCs w:val="24"/>
        </w:rPr>
        <w:t>33. 签订合同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33.</w:t>
      </w:r>
      <w:r>
        <w:rPr>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否则履约保证金将不予退还，由此给采购人造成损失的，中标供应商还应承担赔偿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33.2招标文件、中标供应商的投标文件及招标过程中有关澄清、承诺文件均应作为合同附件。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adjustRightInd w:val="0"/>
        <w:snapToGrid w:val="0"/>
        <w:spacing w:before="0" w:after="0" w:line="360" w:lineRule="auto"/>
        <w:ind w:firstLine="480" w:firstLineChars="200"/>
        <w:rPr>
          <w:rFonts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34、货物和服务的追加、减少和添购。</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adjustRightInd w:val="0"/>
        <w:snapToGrid w:val="0"/>
        <w:spacing w:line="360" w:lineRule="auto"/>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52"/>
    <w:bookmarkEnd w:id="153"/>
    <w:bookmarkEnd w:id="154"/>
    <w:p>
      <w:pPr>
        <w:tabs>
          <w:tab w:val="left" w:pos="900"/>
        </w:tabs>
        <w:adjustRightInd w:val="0"/>
        <w:snapToGrid w:val="0"/>
        <w:spacing w:line="360" w:lineRule="auto"/>
        <w:ind w:firstLine="480" w:firstLineChars="200"/>
        <w:rPr>
          <w:rFonts w:ascii="宋体" w:hAnsi="宋体" w:cs="宋体"/>
          <w:bCs/>
          <w:color w:val="000000" w:themeColor="text1"/>
          <w:sz w:val="24"/>
          <w:szCs w:val="24"/>
        </w:rPr>
      </w:pPr>
      <w:bookmarkStart w:id="155" w:name="_Toc513029242"/>
      <w:bookmarkStart w:id="156" w:name="_Toc16938558"/>
      <w:bookmarkStart w:id="157" w:name="_Toc479757207"/>
      <w:bookmarkStart w:id="158" w:name="_Toc120614221"/>
      <w:bookmarkStart w:id="159" w:name="_Toc20823314"/>
      <w:r>
        <w:rPr>
          <w:rFonts w:hint="eastAsia" w:ascii="宋体" w:hAnsi="宋体" w:cs="宋体"/>
          <w:bCs/>
          <w:color w:val="000000" w:themeColor="text1"/>
          <w:sz w:val="24"/>
          <w:szCs w:val="24"/>
        </w:rPr>
        <w:t>35、履约保证金</w:t>
      </w:r>
    </w:p>
    <w:p>
      <w:pPr>
        <w:tabs>
          <w:tab w:val="left" w:pos="900"/>
        </w:tabs>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color w:val="000000" w:themeColor="text1"/>
          <w:sz w:val="24"/>
        </w:rPr>
      </w:pPr>
    </w:p>
    <w:p>
      <w:pPr>
        <w:pStyle w:val="3"/>
        <w:rPr>
          <w:rFonts w:ascii="宋体" w:hAnsi="宋体" w:eastAsia="宋体" w:cs="宋体"/>
          <w:b/>
          <w:color w:val="000000" w:themeColor="text1"/>
          <w:sz w:val="44"/>
        </w:rPr>
      </w:pPr>
      <w:r>
        <w:rPr>
          <w:rFonts w:hint="eastAsia" w:ascii="宋体" w:hAnsi="宋体" w:eastAsia="宋体" w:cs="宋体"/>
          <w:b/>
          <w:color w:val="000000" w:themeColor="text1"/>
          <w:sz w:val="44"/>
        </w:rPr>
        <w:br w:type="page"/>
      </w:r>
      <w:r>
        <w:rPr>
          <w:rFonts w:hint="eastAsia" w:ascii="宋体" w:hAnsi="宋体" w:eastAsia="宋体" w:cs="宋体"/>
          <w:b/>
          <w:color w:val="000000" w:themeColor="text1"/>
          <w:sz w:val="44"/>
        </w:rPr>
        <w:t>第三章  合同条款及</w:t>
      </w:r>
      <w:bookmarkEnd w:id="155"/>
      <w:bookmarkEnd w:id="156"/>
      <w:bookmarkEnd w:id="157"/>
      <w:bookmarkEnd w:id="158"/>
      <w:bookmarkEnd w:id="159"/>
      <w:r>
        <w:rPr>
          <w:rFonts w:hint="eastAsia" w:ascii="宋体" w:hAnsi="宋体" w:eastAsia="宋体" w:cs="宋体"/>
          <w:b/>
          <w:color w:val="000000" w:themeColor="text1"/>
          <w:sz w:val="44"/>
        </w:rPr>
        <w:t>格式</w:t>
      </w:r>
    </w:p>
    <w:p>
      <w:pPr>
        <w:pStyle w:val="6"/>
        <w:spacing w:before="0" w:after="0" w:line="460" w:lineRule="exact"/>
        <w:jc w:val="center"/>
        <w:rPr>
          <w:rFonts w:ascii="宋体" w:hAnsi="宋体" w:cs="宋体"/>
          <w:color w:val="000000" w:themeColor="text1"/>
        </w:rPr>
      </w:pPr>
      <w:bookmarkStart w:id="160" w:name="_Toc20823315"/>
      <w:bookmarkStart w:id="161" w:name="_Toc16938559"/>
      <w:bookmarkStart w:id="162" w:name="_Toc513029243"/>
    </w:p>
    <w:bookmarkEnd w:id="160"/>
    <w:bookmarkEnd w:id="161"/>
    <w:bookmarkEnd w:id="162"/>
    <w:p>
      <w:pPr>
        <w:spacing w:line="440" w:lineRule="exact"/>
        <w:ind w:firstLine="480" w:firstLineChars="200"/>
        <w:rPr>
          <w:rFonts w:ascii="宋体" w:hAnsi="宋体" w:cs="宋体"/>
          <w:bCs/>
          <w:color w:val="000000" w:themeColor="text1"/>
          <w:sz w:val="24"/>
        </w:rPr>
      </w:pPr>
      <w:bookmarkStart w:id="163" w:name="_Hlt16619350"/>
      <w:bookmarkStart w:id="164" w:name="_Toc120614244"/>
      <w:bookmarkStart w:id="165" w:name="_Toc20823346"/>
      <w:bookmarkStart w:id="166" w:name="_Toc16938590"/>
      <w:bookmarkStart w:id="167" w:name="_Toc479757211"/>
      <w:bookmarkStart w:id="168" w:name="_Toc462564139"/>
      <w:r>
        <w:rPr>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440" w:firstLineChars="200"/>
        <w:jc w:val="center"/>
        <w:outlineLvl w:val="0"/>
        <w:rPr>
          <w:rFonts w:ascii="宋体" w:hAnsi="宋体" w:cs="宋体"/>
          <w:b/>
          <w:color w:val="000000" w:themeColor="text1"/>
          <w:sz w:val="22"/>
          <w:szCs w:val="16"/>
        </w:rPr>
      </w:pPr>
    </w:p>
    <w:p>
      <w:pPr>
        <w:snapToGrid w:val="0"/>
        <w:spacing w:line="440" w:lineRule="exact"/>
        <w:ind w:firstLine="600" w:firstLineChars="200"/>
        <w:jc w:val="center"/>
        <w:outlineLvl w:val="0"/>
        <w:rPr>
          <w:rFonts w:ascii="宋体" w:hAnsi="宋体" w:cs="宋体"/>
          <w:b/>
          <w:bCs/>
          <w:color w:val="000000" w:themeColor="text1"/>
          <w:sz w:val="30"/>
          <w:szCs w:val="20"/>
        </w:rPr>
      </w:pPr>
      <w:r>
        <w:rPr>
          <w:rFonts w:hint="eastAsia" w:ascii="宋体" w:hAnsi="宋体" w:cs="宋体"/>
          <w:b/>
          <w:color w:val="000000" w:themeColor="text1"/>
          <w:sz w:val="30"/>
        </w:rPr>
        <w:t>采购合同</w:t>
      </w:r>
    </w:p>
    <w:p>
      <w:pPr>
        <w:pStyle w:val="24"/>
        <w:adjustRightInd w:val="0"/>
        <w:snapToGrid w:val="0"/>
        <w:spacing w:line="360" w:lineRule="auto"/>
        <w:ind w:firstLine="480" w:firstLineChars="200"/>
        <w:jc w:val="left"/>
        <w:rPr>
          <w:rFonts w:hAnsi="宋体" w:cs="宋体"/>
          <w:color w:val="000000" w:themeColor="text1"/>
          <w:sz w:val="24"/>
          <w:szCs w:val="24"/>
        </w:rPr>
      </w:pPr>
      <w:r>
        <w:rPr>
          <w:rFonts w:hint="eastAsia" w:hAnsi="宋体" w:cs="宋体"/>
          <w:color w:val="000000" w:themeColor="text1"/>
          <w:sz w:val="24"/>
          <w:szCs w:val="24"/>
        </w:rPr>
        <w:t>项目名称：</w:t>
      </w:r>
      <w:r>
        <w:rPr>
          <w:rFonts w:hint="eastAsia" w:hAnsi="宋体" w:cs="宋体"/>
          <w:color w:val="000000" w:themeColor="text1"/>
          <w:sz w:val="24"/>
          <w:szCs w:val="24"/>
          <w:u w:val="single"/>
        </w:rPr>
        <w:t>盐城工业职业技术学院车辆租赁服务项目分包一/二</w:t>
      </w:r>
    </w:p>
    <w:p>
      <w:pPr>
        <w:pStyle w:val="24"/>
        <w:adjustRightInd w:val="0"/>
        <w:snapToGrid w:val="0"/>
        <w:spacing w:line="360" w:lineRule="auto"/>
        <w:ind w:firstLine="480" w:firstLineChars="200"/>
        <w:jc w:val="left"/>
        <w:rPr>
          <w:rFonts w:hAnsi="宋体" w:cs="宋体"/>
          <w:color w:val="000000" w:themeColor="text1"/>
          <w:sz w:val="24"/>
          <w:szCs w:val="24"/>
        </w:rPr>
      </w:pPr>
      <w:r>
        <w:rPr>
          <w:rFonts w:hint="eastAsia" w:hAnsi="宋体" w:cs="宋体"/>
          <w:color w:val="000000" w:themeColor="text1"/>
          <w:sz w:val="24"/>
          <w:szCs w:val="24"/>
        </w:rPr>
        <w:t>项目编号：</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甲方：</w:t>
      </w:r>
      <w:r>
        <w:rPr>
          <w:rFonts w:hint="eastAsia" w:hAnsi="宋体" w:cs="宋体"/>
          <w:color w:val="000000" w:themeColor="text1"/>
          <w:sz w:val="24"/>
          <w:szCs w:val="24"/>
          <w:u w:val="single"/>
        </w:rPr>
        <w:t>盐城工业职业技术学院</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乙方：</w:t>
      </w:r>
    </w:p>
    <w:p>
      <w:pPr>
        <w:adjustRightInd w:val="0"/>
        <w:snapToGrid w:val="0"/>
        <w:spacing w:line="360" w:lineRule="auto"/>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甲、乙双方根据</w:t>
      </w:r>
      <w:r>
        <w:rPr>
          <w:rFonts w:hint="eastAsia" w:ascii="宋体" w:hAnsi="宋体" w:cs="宋体"/>
          <w:color w:val="000000" w:themeColor="text1"/>
          <w:sz w:val="24"/>
          <w:szCs w:val="24"/>
          <w:u w:val="single"/>
        </w:rPr>
        <w:t>盐城工业职业技术学院车辆租赁服务项目分包一/二</w:t>
      </w:r>
      <w:r>
        <w:rPr>
          <w:rFonts w:hint="eastAsia" w:ascii="宋体" w:hAnsi="宋体" w:cs="宋体"/>
          <w:color w:val="000000" w:themeColor="text1"/>
          <w:sz w:val="24"/>
          <w:szCs w:val="24"/>
        </w:rPr>
        <w:t>公开招标的结果，签署本合同。</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一、项目内容</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1.1 项目名称：</w:t>
      </w:r>
      <w:r>
        <w:rPr>
          <w:rFonts w:hint="eastAsia" w:hAnsi="宋体" w:cs="宋体"/>
          <w:color w:val="000000" w:themeColor="text1"/>
          <w:sz w:val="24"/>
          <w:szCs w:val="24"/>
          <w:u w:val="single"/>
        </w:rPr>
        <w:t>盐城工业职业技术学院车辆租赁服务项目分包一/二</w:t>
      </w:r>
      <w:r>
        <w:rPr>
          <w:rFonts w:hint="eastAsia" w:hAnsi="宋体" w:cs="宋体"/>
          <w:color w:val="000000" w:themeColor="text1"/>
          <w:sz w:val="24"/>
          <w:szCs w:val="24"/>
        </w:rPr>
        <w:t>。</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1.2 型号规格及其他要求：</w:t>
      </w:r>
      <w:r>
        <w:rPr>
          <w:rFonts w:hint="eastAsia" w:hAnsi="宋体" w:cs="宋体"/>
          <w:color w:val="000000" w:themeColor="text1"/>
          <w:sz w:val="24"/>
          <w:szCs w:val="24"/>
          <w:u w:val="single"/>
        </w:rPr>
        <w:t>详按项目需求</w:t>
      </w:r>
      <w:r>
        <w:rPr>
          <w:rFonts w:hint="eastAsia" w:hAnsi="宋体" w:cs="宋体"/>
          <w:color w:val="000000" w:themeColor="text1"/>
          <w:sz w:val="24"/>
          <w:szCs w:val="24"/>
        </w:rPr>
        <w:t>。</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1.3 数量（单位）：</w:t>
      </w:r>
      <w:r>
        <w:rPr>
          <w:rFonts w:hint="eastAsia" w:hAnsi="宋体" w:cs="宋体"/>
          <w:color w:val="000000" w:themeColor="text1"/>
          <w:sz w:val="24"/>
          <w:szCs w:val="24"/>
          <w:u w:val="single"/>
        </w:rPr>
        <w:t>详按项目需求</w:t>
      </w:r>
      <w:r>
        <w:rPr>
          <w:rFonts w:hint="eastAsia" w:hAnsi="宋体" w:cs="宋体"/>
          <w:color w:val="000000" w:themeColor="text1"/>
          <w:sz w:val="24"/>
          <w:szCs w:val="24"/>
        </w:rPr>
        <w:t>。</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二、合同金额</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26"/>
        <w:gridCol w:w="1687"/>
        <w:gridCol w:w="1854"/>
        <w:gridCol w:w="1832"/>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6"/>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分包</w:t>
            </w:r>
            <w:r>
              <w:rPr>
                <w:rFonts w:ascii="宋体" w:hAnsi="宋体" w:cs="宋体"/>
                <w:color w:val="000000" w:themeColor="text1"/>
                <w:sz w:val="24"/>
                <w:szCs w:val="24"/>
              </w:rPr>
              <w:t>一：车辆租赁公司报价清单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40" w:type="pct"/>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996" w:type="pct"/>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车型品牌</w:t>
            </w:r>
          </w:p>
        </w:tc>
        <w:tc>
          <w:tcPr>
            <w:tcW w:w="920" w:type="pct"/>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座位数</w:t>
            </w:r>
          </w:p>
        </w:tc>
        <w:tc>
          <w:tcPr>
            <w:tcW w:w="1011" w:type="pct"/>
            <w:vMerge w:val="restart"/>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油费</w:t>
            </w:r>
            <w:r>
              <w:rPr>
                <w:rFonts w:hint="eastAsia" w:ascii="宋体" w:hAnsi="宋体" w:cs="宋体"/>
                <w:color w:val="000000" w:themeColor="text1"/>
                <w:sz w:val="24"/>
                <w:szCs w:val="24"/>
              </w:rPr>
              <w:br w:type="textWrapping"/>
            </w:r>
            <w:r>
              <w:rPr>
                <w:rFonts w:hint="eastAsia" w:ascii="宋体" w:hAnsi="宋体" w:cs="宋体"/>
                <w:color w:val="000000" w:themeColor="text1"/>
                <w:sz w:val="24"/>
                <w:szCs w:val="24"/>
              </w:rPr>
              <w:t>（元/公里）</w:t>
            </w:r>
          </w:p>
        </w:tc>
        <w:tc>
          <w:tcPr>
            <w:tcW w:w="999" w:type="pct"/>
            <w:vMerge w:val="restart"/>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车辆租金（元/天）</w:t>
            </w:r>
          </w:p>
        </w:tc>
        <w:tc>
          <w:tcPr>
            <w:tcW w:w="534" w:type="pct"/>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40" w:type="pct"/>
            <w:vMerge w:val="continue"/>
            <w:noWrap/>
            <w:vAlign w:val="center"/>
          </w:tcPr>
          <w:p>
            <w:pPr>
              <w:jc w:val="center"/>
              <w:rPr>
                <w:rFonts w:ascii="宋体" w:hAnsi="宋体" w:cs="宋体"/>
                <w:color w:val="000000" w:themeColor="text1"/>
                <w:sz w:val="24"/>
                <w:szCs w:val="24"/>
              </w:rPr>
            </w:pPr>
          </w:p>
        </w:tc>
        <w:tc>
          <w:tcPr>
            <w:tcW w:w="996" w:type="pct"/>
            <w:vMerge w:val="continue"/>
            <w:noWrap/>
            <w:vAlign w:val="center"/>
          </w:tcPr>
          <w:p>
            <w:pPr>
              <w:jc w:val="center"/>
              <w:rPr>
                <w:rFonts w:ascii="宋体" w:hAnsi="宋体" w:cs="宋体"/>
                <w:color w:val="000000" w:themeColor="text1"/>
                <w:sz w:val="24"/>
                <w:szCs w:val="24"/>
              </w:rPr>
            </w:pPr>
          </w:p>
        </w:tc>
        <w:tc>
          <w:tcPr>
            <w:tcW w:w="920" w:type="pct"/>
            <w:vMerge w:val="continue"/>
            <w:noWrap/>
            <w:vAlign w:val="center"/>
          </w:tcPr>
          <w:p>
            <w:pPr>
              <w:jc w:val="center"/>
              <w:rPr>
                <w:rFonts w:ascii="宋体" w:hAnsi="宋体" w:cs="宋体"/>
                <w:color w:val="000000" w:themeColor="text1"/>
                <w:sz w:val="24"/>
                <w:szCs w:val="24"/>
              </w:rPr>
            </w:pPr>
          </w:p>
        </w:tc>
        <w:tc>
          <w:tcPr>
            <w:tcW w:w="1011" w:type="pct"/>
            <w:vMerge w:val="continue"/>
            <w:vAlign w:val="center"/>
          </w:tcPr>
          <w:p>
            <w:pPr>
              <w:jc w:val="center"/>
              <w:rPr>
                <w:rFonts w:ascii="宋体" w:hAnsi="宋体" w:cs="宋体"/>
                <w:color w:val="000000" w:themeColor="text1"/>
                <w:sz w:val="24"/>
                <w:szCs w:val="24"/>
              </w:rPr>
            </w:pPr>
          </w:p>
        </w:tc>
        <w:tc>
          <w:tcPr>
            <w:tcW w:w="999" w:type="pct"/>
            <w:vMerge w:val="continue"/>
            <w:vAlign w:val="center"/>
          </w:tcPr>
          <w:p>
            <w:pPr>
              <w:jc w:val="center"/>
              <w:rPr>
                <w:rFonts w:ascii="宋体" w:hAnsi="宋体" w:cs="宋体"/>
                <w:color w:val="000000" w:themeColor="text1"/>
                <w:sz w:val="24"/>
                <w:szCs w:val="24"/>
              </w:rPr>
            </w:pPr>
          </w:p>
        </w:tc>
        <w:tc>
          <w:tcPr>
            <w:tcW w:w="534" w:type="pct"/>
            <w:vMerge w:val="continue"/>
            <w:noWrap/>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40" w:type="pct"/>
            <w:vMerge w:val="continue"/>
            <w:vAlign w:val="center"/>
          </w:tcPr>
          <w:p>
            <w:pPr>
              <w:jc w:val="center"/>
              <w:rPr>
                <w:rFonts w:ascii="宋体" w:hAnsi="宋体" w:cs="宋体"/>
                <w:color w:val="000000" w:themeColor="text1"/>
                <w:sz w:val="24"/>
                <w:szCs w:val="24"/>
              </w:rPr>
            </w:pPr>
          </w:p>
        </w:tc>
        <w:tc>
          <w:tcPr>
            <w:tcW w:w="996" w:type="pct"/>
            <w:vMerge w:val="continue"/>
            <w:vAlign w:val="center"/>
          </w:tcPr>
          <w:p>
            <w:pPr>
              <w:jc w:val="center"/>
              <w:rPr>
                <w:rFonts w:ascii="宋体" w:hAnsi="宋体" w:cs="宋体"/>
                <w:color w:val="000000" w:themeColor="text1"/>
                <w:sz w:val="24"/>
                <w:szCs w:val="24"/>
              </w:rPr>
            </w:pPr>
          </w:p>
        </w:tc>
        <w:tc>
          <w:tcPr>
            <w:tcW w:w="920" w:type="pct"/>
            <w:vMerge w:val="continue"/>
            <w:vAlign w:val="center"/>
          </w:tcPr>
          <w:p>
            <w:pPr>
              <w:jc w:val="center"/>
              <w:rPr>
                <w:rFonts w:ascii="宋体" w:hAnsi="宋体" w:cs="宋体"/>
                <w:color w:val="000000" w:themeColor="text1"/>
                <w:sz w:val="24"/>
                <w:szCs w:val="24"/>
              </w:rPr>
            </w:pPr>
          </w:p>
        </w:tc>
        <w:tc>
          <w:tcPr>
            <w:tcW w:w="1011" w:type="pct"/>
            <w:vMerge w:val="continue"/>
            <w:vAlign w:val="center"/>
          </w:tcPr>
          <w:p>
            <w:pPr>
              <w:jc w:val="center"/>
              <w:rPr>
                <w:rFonts w:ascii="宋体" w:hAnsi="宋体" w:cs="宋体"/>
                <w:color w:val="000000" w:themeColor="text1"/>
                <w:sz w:val="24"/>
                <w:szCs w:val="24"/>
              </w:rPr>
            </w:pPr>
          </w:p>
        </w:tc>
        <w:tc>
          <w:tcPr>
            <w:tcW w:w="999" w:type="pct"/>
            <w:vMerge w:val="continue"/>
            <w:vAlign w:val="center"/>
          </w:tcPr>
          <w:p>
            <w:pPr>
              <w:jc w:val="center"/>
              <w:rPr>
                <w:rFonts w:ascii="宋体" w:hAnsi="宋体" w:cs="宋体"/>
                <w:color w:val="000000" w:themeColor="text1"/>
                <w:sz w:val="24"/>
                <w:szCs w:val="24"/>
              </w:rPr>
            </w:pPr>
          </w:p>
        </w:tc>
        <w:tc>
          <w:tcPr>
            <w:tcW w:w="534" w:type="pct"/>
            <w:vMerge w:val="continue"/>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996" w:type="pct"/>
            <w:noWrap/>
            <w:vAlign w:val="center"/>
          </w:tcPr>
          <w:p>
            <w:pPr>
              <w:jc w:val="center"/>
              <w:rPr>
                <w:rFonts w:ascii="宋体" w:hAnsi="宋体" w:cs="宋体"/>
                <w:color w:val="000000" w:themeColor="text1"/>
                <w:sz w:val="24"/>
                <w:szCs w:val="24"/>
              </w:rPr>
            </w:pPr>
          </w:p>
        </w:tc>
        <w:tc>
          <w:tcPr>
            <w:tcW w:w="920"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011" w:type="pct"/>
            <w:noWrap/>
            <w:vAlign w:val="center"/>
          </w:tcPr>
          <w:p>
            <w:pPr>
              <w:jc w:val="center"/>
              <w:rPr>
                <w:rFonts w:ascii="宋体" w:hAnsi="宋体" w:cs="宋体"/>
                <w:color w:val="000000" w:themeColor="text1"/>
                <w:sz w:val="24"/>
                <w:szCs w:val="24"/>
              </w:rPr>
            </w:pPr>
          </w:p>
        </w:tc>
        <w:tc>
          <w:tcPr>
            <w:tcW w:w="999" w:type="pct"/>
            <w:noWrap/>
            <w:vAlign w:val="center"/>
          </w:tcPr>
          <w:p>
            <w:pPr>
              <w:jc w:val="center"/>
              <w:rPr>
                <w:rFonts w:ascii="宋体" w:hAnsi="宋体" w:cs="宋体"/>
                <w:color w:val="000000" w:themeColor="text1"/>
                <w:sz w:val="24"/>
                <w:szCs w:val="24"/>
              </w:rPr>
            </w:pPr>
          </w:p>
        </w:tc>
        <w:tc>
          <w:tcPr>
            <w:tcW w:w="534" w:type="pct"/>
            <w:noWrap/>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0"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996" w:type="pct"/>
            <w:noWrap/>
            <w:vAlign w:val="center"/>
          </w:tcPr>
          <w:p>
            <w:pPr>
              <w:jc w:val="center"/>
              <w:rPr>
                <w:rFonts w:ascii="宋体" w:hAnsi="宋体" w:cs="宋体"/>
                <w:color w:val="000000" w:themeColor="text1"/>
                <w:sz w:val="24"/>
                <w:szCs w:val="24"/>
              </w:rPr>
            </w:pPr>
          </w:p>
        </w:tc>
        <w:tc>
          <w:tcPr>
            <w:tcW w:w="920"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011" w:type="pct"/>
            <w:noWrap/>
            <w:vAlign w:val="center"/>
          </w:tcPr>
          <w:p>
            <w:pPr>
              <w:jc w:val="center"/>
              <w:rPr>
                <w:rFonts w:ascii="宋体" w:hAnsi="宋体" w:cs="宋体"/>
                <w:color w:val="000000" w:themeColor="text1"/>
                <w:sz w:val="24"/>
                <w:szCs w:val="24"/>
              </w:rPr>
            </w:pPr>
          </w:p>
        </w:tc>
        <w:tc>
          <w:tcPr>
            <w:tcW w:w="999" w:type="pct"/>
            <w:noWrap/>
            <w:vAlign w:val="center"/>
          </w:tcPr>
          <w:p>
            <w:pPr>
              <w:jc w:val="center"/>
              <w:rPr>
                <w:rFonts w:ascii="宋体" w:hAnsi="宋体" w:cs="宋体"/>
                <w:color w:val="000000" w:themeColor="text1"/>
                <w:sz w:val="24"/>
                <w:szCs w:val="24"/>
              </w:rPr>
            </w:pPr>
          </w:p>
        </w:tc>
        <w:tc>
          <w:tcPr>
            <w:tcW w:w="534" w:type="pct"/>
            <w:noWrap/>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0"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996" w:type="pct"/>
            <w:noWrap/>
            <w:vAlign w:val="center"/>
          </w:tcPr>
          <w:p>
            <w:pPr>
              <w:jc w:val="center"/>
              <w:rPr>
                <w:rFonts w:ascii="宋体" w:hAnsi="宋体" w:cs="宋体"/>
                <w:color w:val="000000" w:themeColor="text1"/>
                <w:sz w:val="24"/>
                <w:szCs w:val="24"/>
              </w:rPr>
            </w:pPr>
          </w:p>
        </w:tc>
        <w:tc>
          <w:tcPr>
            <w:tcW w:w="920"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9～15</w:t>
            </w:r>
          </w:p>
        </w:tc>
        <w:tc>
          <w:tcPr>
            <w:tcW w:w="1011" w:type="pct"/>
            <w:noWrap/>
            <w:vAlign w:val="center"/>
          </w:tcPr>
          <w:p>
            <w:pPr>
              <w:jc w:val="center"/>
              <w:rPr>
                <w:rFonts w:ascii="宋体" w:hAnsi="宋体" w:cs="宋体"/>
                <w:color w:val="000000" w:themeColor="text1"/>
                <w:sz w:val="24"/>
                <w:szCs w:val="24"/>
              </w:rPr>
            </w:pPr>
          </w:p>
        </w:tc>
        <w:tc>
          <w:tcPr>
            <w:tcW w:w="999" w:type="pct"/>
            <w:noWrap/>
            <w:vAlign w:val="center"/>
          </w:tcPr>
          <w:p>
            <w:pPr>
              <w:jc w:val="center"/>
              <w:rPr>
                <w:rFonts w:ascii="宋体" w:hAnsi="宋体" w:cs="宋体"/>
                <w:color w:val="000000" w:themeColor="text1"/>
                <w:sz w:val="24"/>
                <w:szCs w:val="24"/>
              </w:rPr>
            </w:pPr>
          </w:p>
        </w:tc>
        <w:tc>
          <w:tcPr>
            <w:tcW w:w="534" w:type="pct"/>
            <w:noWrap/>
            <w:vAlign w:val="center"/>
          </w:tcPr>
          <w:p>
            <w:pPr>
              <w:jc w:val="center"/>
              <w:rPr>
                <w:rFonts w:ascii="宋体" w:hAnsi="宋体" w:cs="宋体"/>
                <w:color w:val="000000" w:themeColor="text1"/>
                <w:sz w:val="24"/>
                <w:szCs w:val="24"/>
              </w:rPr>
            </w:pPr>
          </w:p>
        </w:tc>
      </w:tr>
    </w:tbl>
    <w:p>
      <w:pPr>
        <w:pStyle w:val="24"/>
        <w:adjustRightInd w:val="0"/>
        <w:snapToGrid w:val="0"/>
        <w:spacing w:line="360" w:lineRule="auto"/>
        <w:ind w:firstLine="480" w:firstLineChars="200"/>
        <w:rPr>
          <w:rFonts w:hAnsi="宋体" w:cs="宋体"/>
          <w:b/>
          <w:color w:val="000000" w:themeColor="text1"/>
          <w:sz w:val="24"/>
          <w:szCs w:val="24"/>
        </w:rPr>
      </w:pP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832"/>
        <w:gridCol w:w="1725"/>
        <w:gridCol w:w="1874"/>
        <w:gridCol w:w="1790"/>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6"/>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分包二</w:t>
            </w:r>
            <w:r>
              <w:rPr>
                <w:rFonts w:ascii="宋体" w:hAnsi="宋体" w:cs="宋体"/>
                <w:color w:val="000000" w:themeColor="text1"/>
                <w:sz w:val="24"/>
                <w:szCs w:val="24"/>
              </w:rPr>
              <w:t>：车辆租赁公司报价清单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46" w:type="pct"/>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999" w:type="pct"/>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车型品牌</w:t>
            </w:r>
          </w:p>
        </w:tc>
        <w:tc>
          <w:tcPr>
            <w:tcW w:w="941" w:type="pct"/>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座位数</w:t>
            </w:r>
          </w:p>
        </w:tc>
        <w:tc>
          <w:tcPr>
            <w:tcW w:w="1022" w:type="pct"/>
            <w:vMerge w:val="restart"/>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油费</w:t>
            </w:r>
            <w:r>
              <w:rPr>
                <w:rFonts w:hint="eastAsia" w:ascii="宋体" w:hAnsi="宋体" w:cs="宋体"/>
                <w:color w:val="000000" w:themeColor="text1"/>
                <w:sz w:val="24"/>
                <w:szCs w:val="24"/>
              </w:rPr>
              <w:br w:type="textWrapping"/>
            </w:r>
            <w:r>
              <w:rPr>
                <w:rFonts w:hint="eastAsia" w:ascii="宋体" w:hAnsi="宋体" w:cs="宋体"/>
                <w:color w:val="000000" w:themeColor="text1"/>
                <w:sz w:val="24"/>
                <w:szCs w:val="24"/>
              </w:rPr>
              <w:t>（元/公里）</w:t>
            </w:r>
          </w:p>
        </w:tc>
        <w:tc>
          <w:tcPr>
            <w:tcW w:w="976" w:type="pct"/>
            <w:vMerge w:val="restart"/>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车辆租金（元/天）</w:t>
            </w:r>
          </w:p>
        </w:tc>
        <w:tc>
          <w:tcPr>
            <w:tcW w:w="516" w:type="pct"/>
            <w:vMerge w:val="restar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46" w:type="pct"/>
            <w:vMerge w:val="continue"/>
            <w:vAlign w:val="center"/>
          </w:tcPr>
          <w:p>
            <w:pPr>
              <w:jc w:val="center"/>
              <w:rPr>
                <w:rFonts w:ascii="宋体" w:hAnsi="宋体" w:cs="宋体"/>
                <w:color w:val="000000" w:themeColor="text1"/>
                <w:sz w:val="24"/>
                <w:szCs w:val="24"/>
              </w:rPr>
            </w:pPr>
          </w:p>
        </w:tc>
        <w:tc>
          <w:tcPr>
            <w:tcW w:w="999" w:type="pct"/>
            <w:vMerge w:val="continue"/>
            <w:vAlign w:val="center"/>
          </w:tcPr>
          <w:p>
            <w:pPr>
              <w:jc w:val="center"/>
              <w:rPr>
                <w:rFonts w:ascii="宋体" w:hAnsi="宋体" w:cs="宋体"/>
                <w:color w:val="000000" w:themeColor="text1"/>
                <w:sz w:val="24"/>
                <w:szCs w:val="24"/>
              </w:rPr>
            </w:pPr>
          </w:p>
        </w:tc>
        <w:tc>
          <w:tcPr>
            <w:tcW w:w="941" w:type="pct"/>
            <w:vMerge w:val="continue"/>
            <w:vAlign w:val="center"/>
          </w:tcPr>
          <w:p>
            <w:pPr>
              <w:jc w:val="center"/>
              <w:rPr>
                <w:rFonts w:ascii="宋体" w:hAnsi="宋体" w:cs="宋体"/>
                <w:color w:val="000000" w:themeColor="text1"/>
                <w:sz w:val="24"/>
                <w:szCs w:val="24"/>
              </w:rPr>
            </w:pPr>
          </w:p>
        </w:tc>
        <w:tc>
          <w:tcPr>
            <w:tcW w:w="1022" w:type="pct"/>
            <w:vMerge w:val="continue"/>
            <w:vAlign w:val="center"/>
          </w:tcPr>
          <w:p>
            <w:pPr>
              <w:jc w:val="center"/>
              <w:rPr>
                <w:rFonts w:ascii="宋体" w:hAnsi="宋体" w:cs="宋体"/>
                <w:color w:val="000000" w:themeColor="text1"/>
                <w:sz w:val="24"/>
                <w:szCs w:val="24"/>
              </w:rPr>
            </w:pPr>
          </w:p>
        </w:tc>
        <w:tc>
          <w:tcPr>
            <w:tcW w:w="976" w:type="pct"/>
            <w:vMerge w:val="continue"/>
            <w:vAlign w:val="center"/>
          </w:tcPr>
          <w:p>
            <w:pPr>
              <w:jc w:val="center"/>
              <w:rPr>
                <w:rFonts w:ascii="宋体" w:hAnsi="宋体" w:cs="宋体"/>
                <w:color w:val="000000" w:themeColor="text1"/>
                <w:sz w:val="24"/>
                <w:szCs w:val="24"/>
              </w:rPr>
            </w:pPr>
          </w:p>
        </w:tc>
        <w:tc>
          <w:tcPr>
            <w:tcW w:w="516" w:type="pct"/>
            <w:vMerge w:val="continue"/>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6"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999"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考斯特等</w:t>
            </w:r>
          </w:p>
        </w:tc>
        <w:tc>
          <w:tcPr>
            <w:tcW w:w="941"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19～21</w:t>
            </w:r>
          </w:p>
        </w:tc>
        <w:tc>
          <w:tcPr>
            <w:tcW w:w="1022" w:type="pct"/>
            <w:noWrap/>
            <w:vAlign w:val="center"/>
          </w:tcPr>
          <w:p>
            <w:pPr>
              <w:jc w:val="center"/>
              <w:rPr>
                <w:rFonts w:ascii="宋体" w:hAnsi="宋体" w:cs="宋体"/>
                <w:color w:val="000000" w:themeColor="text1"/>
                <w:sz w:val="24"/>
                <w:szCs w:val="24"/>
              </w:rPr>
            </w:pPr>
          </w:p>
        </w:tc>
        <w:tc>
          <w:tcPr>
            <w:tcW w:w="976" w:type="pct"/>
            <w:noWrap/>
            <w:vAlign w:val="center"/>
          </w:tcPr>
          <w:p>
            <w:pPr>
              <w:jc w:val="center"/>
              <w:rPr>
                <w:rFonts w:ascii="宋体" w:hAnsi="宋体" w:cs="宋体"/>
                <w:color w:val="000000" w:themeColor="text1"/>
                <w:sz w:val="24"/>
                <w:szCs w:val="24"/>
              </w:rPr>
            </w:pPr>
          </w:p>
        </w:tc>
        <w:tc>
          <w:tcPr>
            <w:tcW w:w="516" w:type="pct"/>
            <w:noWrap/>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6"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999"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金龙、宇通等</w:t>
            </w:r>
          </w:p>
        </w:tc>
        <w:tc>
          <w:tcPr>
            <w:tcW w:w="941"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35～39</w:t>
            </w:r>
          </w:p>
        </w:tc>
        <w:tc>
          <w:tcPr>
            <w:tcW w:w="1022" w:type="pct"/>
            <w:noWrap/>
            <w:vAlign w:val="center"/>
          </w:tcPr>
          <w:p>
            <w:pPr>
              <w:jc w:val="center"/>
              <w:rPr>
                <w:rFonts w:ascii="宋体" w:hAnsi="宋体" w:cs="宋体"/>
                <w:color w:val="000000" w:themeColor="text1"/>
                <w:sz w:val="24"/>
                <w:szCs w:val="24"/>
              </w:rPr>
            </w:pPr>
          </w:p>
        </w:tc>
        <w:tc>
          <w:tcPr>
            <w:tcW w:w="976" w:type="pct"/>
            <w:noWrap/>
            <w:vAlign w:val="center"/>
          </w:tcPr>
          <w:p>
            <w:pPr>
              <w:jc w:val="center"/>
              <w:rPr>
                <w:rFonts w:ascii="宋体" w:hAnsi="宋体" w:cs="宋体"/>
                <w:color w:val="000000" w:themeColor="text1"/>
                <w:sz w:val="24"/>
                <w:szCs w:val="24"/>
              </w:rPr>
            </w:pPr>
          </w:p>
        </w:tc>
        <w:tc>
          <w:tcPr>
            <w:tcW w:w="516" w:type="pct"/>
            <w:noWrap/>
            <w:vAlign w:val="center"/>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6"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999"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金龙、宇通等</w:t>
            </w:r>
          </w:p>
        </w:tc>
        <w:tc>
          <w:tcPr>
            <w:tcW w:w="941" w:type="pct"/>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45～55</w:t>
            </w:r>
          </w:p>
        </w:tc>
        <w:tc>
          <w:tcPr>
            <w:tcW w:w="1022" w:type="pct"/>
            <w:noWrap/>
            <w:vAlign w:val="center"/>
          </w:tcPr>
          <w:p>
            <w:pPr>
              <w:jc w:val="center"/>
              <w:rPr>
                <w:rFonts w:ascii="宋体" w:hAnsi="宋体" w:cs="宋体"/>
                <w:color w:val="000000" w:themeColor="text1"/>
                <w:sz w:val="24"/>
                <w:szCs w:val="24"/>
              </w:rPr>
            </w:pPr>
          </w:p>
        </w:tc>
        <w:tc>
          <w:tcPr>
            <w:tcW w:w="976" w:type="pct"/>
            <w:noWrap/>
            <w:vAlign w:val="center"/>
          </w:tcPr>
          <w:p>
            <w:pPr>
              <w:jc w:val="center"/>
              <w:rPr>
                <w:rFonts w:ascii="宋体" w:hAnsi="宋体" w:cs="宋体"/>
                <w:color w:val="000000" w:themeColor="text1"/>
                <w:sz w:val="24"/>
                <w:szCs w:val="24"/>
              </w:rPr>
            </w:pPr>
          </w:p>
        </w:tc>
        <w:tc>
          <w:tcPr>
            <w:tcW w:w="516" w:type="pct"/>
            <w:noWrap/>
            <w:vAlign w:val="center"/>
          </w:tcPr>
          <w:p>
            <w:pPr>
              <w:jc w:val="center"/>
              <w:rPr>
                <w:rFonts w:ascii="宋体" w:hAnsi="宋体" w:cs="宋体"/>
                <w:color w:val="000000" w:themeColor="text1"/>
                <w:sz w:val="24"/>
                <w:szCs w:val="24"/>
              </w:rPr>
            </w:pPr>
          </w:p>
        </w:tc>
      </w:tr>
    </w:tbl>
    <w:p>
      <w:pPr>
        <w:adjustRightInd w:val="0"/>
        <w:snapToGrid w:val="0"/>
        <w:spacing w:line="360" w:lineRule="auto"/>
        <w:ind w:firstLine="480" w:firstLineChars="200"/>
        <w:rPr>
          <w:rFonts w:ascii="宋体" w:hAnsi="宋体" w:cs="宋体"/>
          <w:color w:val="000000" w:themeColor="text1"/>
          <w:sz w:val="24"/>
          <w:szCs w:val="24"/>
        </w:rPr>
      </w:pP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注：1、上述价格是满足甲方使用车辆需要的所有费用。乙方已充分考虑为满足招标业务用车需求内容所必须的直接和间接成本、油（电、气）费、</w:t>
      </w:r>
      <w:r>
        <w:rPr>
          <w:rFonts w:hint="eastAsia" w:ascii="宋体" w:hAnsi="宋体" w:cs="宋体"/>
          <w:color w:val="000000" w:themeColor="text1"/>
          <w:sz w:val="24"/>
        </w:rPr>
        <w:t>驾驶员全额工资（含福利、社保等，不含出车补贴）</w:t>
      </w:r>
      <w:r>
        <w:rPr>
          <w:rFonts w:hint="eastAsia" w:ascii="宋体" w:hAnsi="宋体" w:cs="宋体"/>
          <w:color w:val="000000" w:themeColor="text1"/>
          <w:sz w:val="24"/>
          <w:szCs w:val="24"/>
        </w:rPr>
        <w:t>、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甲方不另行增加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2、市外基础里程数外距离与时间同时计价，互不矛盾，按实结算。</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3、短途租赁服务来回接送不限趟数，如遇特殊情况经双方协商收取租赁费。</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三、技术资料</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3.1乙方应按招标文件规定及甲方要求的时间向甲方提供使用货物（根据甲方要求需要租赁的车辆，余同）和服务的有关技术资料。</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3.2 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四、知识产权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4.1乙方应保证甲方在使用、接受本合同货物和服务或其任何一部分时不受第三方提出侵犯其专利权、版权、商标权和工业设计权等知识产权的起诉。一旦出现侵权，由乙方负全部责任。</w:t>
      </w:r>
    </w:p>
    <w:p>
      <w:pPr>
        <w:pStyle w:val="24"/>
        <w:adjustRightInd w:val="0"/>
        <w:snapToGrid w:val="0"/>
        <w:spacing w:line="360" w:lineRule="auto"/>
        <w:ind w:firstLine="480" w:firstLineChars="200"/>
        <w:rPr>
          <w:rFonts w:hAnsi="宋体" w:cs="宋体"/>
          <w:color w:val="000000" w:themeColor="text1"/>
          <w:sz w:val="24"/>
          <w:szCs w:val="24"/>
          <w:u w:val="single"/>
        </w:rPr>
      </w:pPr>
      <w:r>
        <w:rPr>
          <w:rFonts w:hint="eastAsia" w:hAnsi="宋体" w:cs="宋体"/>
          <w:b/>
          <w:color w:val="000000" w:themeColor="text1"/>
          <w:sz w:val="24"/>
          <w:szCs w:val="24"/>
        </w:rPr>
        <w:t>五、产权担保</w:t>
      </w:r>
    </w:p>
    <w:p>
      <w:pPr>
        <w:pStyle w:val="24"/>
        <w:adjustRightInd w:val="0"/>
        <w:snapToGrid w:val="0"/>
        <w:spacing w:line="360" w:lineRule="auto"/>
        <w:ind w:firstLine="480" w:firstLineChars="200"/>
        <w:rPr>
          <w:rFonts w:hAnsi="宋体" w:cs="宋体"/>
          <w:color w:val="000000" w:themeColor="text1"/>
          <w:sz w:val="24"/>
          <w:szCs w:val="24"/>
          <w:u w:val="single"/>
        </w:rPr>
      </w:pPr>
      <w:r>
        <w:rPr>
          <w:rFonts w:hint="eastAsia" w:hAnsi="宋体" w:cs="宋体"/>
          <w:color w:val="000000" w:themeColor="text1"/>
          <w:sz w:val="24"/>
          <w:szCs w:val="24"/>
        </w:rPr>
        <w:t>5.1 乙方保证所提供的货物</w:t>
      </w:r>
      <w:r>
        <w:rPr>
          <w:rFonts w:hint="eastAsia" w:hAnsi="宋体" w:cs="宋体"/>
          <w:bCs/>
          <w:color w:val="000000" w:themeColor="text1"/>
          <w:sz w:val="24"/>
          <w:szCs w:val="24"/>
        </w:rPr>
        <w:t>和服务</w:t>
      </w:r>
      <w:r>
        <w:rPr>
          <w:rFonts w:hint="eastAsia" w:hAnsi="宋体" w:cs="宋体"/>
          <w:color w:val="000000" w:themeColor="text1"/>
          <w:sz w:val="24"/>
          <w:szCs w:val="24"/>
        </w:rPr>
        <w:t>的所有权完全属于乙方且无任何抵押、查封等产权瑕疵。</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六、履约保证金</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6.1本项目不设履约保证金。</w:t>
      </w:r>
    </w:p>
    <w:p>
      <w:pPr>
        <w:adjustRightInd w:val="0"/>
        <w:snapToGrid w:val="0"/>
        <w:spacing w:line="360" w:lineRule="auto"/>
        <w:ind w:firstLine="480"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，应由乙方直接供应，不得转让他人供应；</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7.2 除非得到甲方的书面同意，乙方不得部分分包给他人供应。</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7.3如有转让和未经甲方同意的分包行为，甲方有权给予终止合同。</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b/>
          <w:color w:val="000000" w:themeColor="text1"/>
          <w:sz w:val="24"/>
          <w:szCs w:val="24"/>
        </w:rPr>
        <w:t>八、质保期（服务期）</w:t>
      </w:r>
    </w:p>
    <w:p>
      <w:pPr>
        <w:pStyle w:val="24"/>
        <w:adjustRightInd w:val="0"/>
        <w:snapToGrid w:val="0"/>
        <w:spacing w:line="360" w:lineRule="auto"/>
        <w:ind w:firstLine="480" w:firstLineChars="200"/>
        <w:rPr>
          <w:rFonts w:hAnsi="宋体" w:cs="宋体"/>
          <w:color w:val="000000" w:themeColor="text1"/>
          <w:sz w:val="24"/>
          <w:szCs w:val="24"/>
          <w:u w:val="single"/>
        </w:rPr>
      </w:pPr>
      <w:r>
        <w:rPr>
          <w:rFonts w:hint="eastAsia" w:hAnsi="宋体" w:cs="宋体"/>
          <w:color w:val="000000" w:themeColor="text1"/>
          <w:sz w:val="24"/>
          <w:szCs w:val="24"/>
        </w:rPr>
        <w:t xml:space="preserve">8.1 </w:t>
      </w:r>
      <w:r>
        <w:rPr>
          <w:rFonts w:hint="eastAsia" w:hAnsi="宋体" w:cs="宋体"/>
          <w:color w:val="000000" w:themeColor="text1"/>
          <w:sz w:val="24"/>
          <w:szCs w:val="24"/>
          <w:u w:val="single"/>
        </w:rPr>
        <w:t>暂定一年,服务期满后经综合考核合格根据甲方的需要可续签一年车辆租赁服务合同，</w:t>
      </w:r>
      <w:r>
        <w:rPr>
          <w:rFonts w:hAnsi="宋体" w:cs="宋体"/>
          <w:color w:val="000000" w:themeColor="text1"/>
          <w:sz w:val="24"/>
          <w:szCs w:val="24"/>
          <w:u w:val="single"/>
        </w:rPr>
        <w:t>仅限续签一次。</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九、交货期、交货方式及交货地点</w:t>
      </w:r>
    </w:p>
    <w:p>
      <w:pPr>
        <w:pStyle w:val="24"/>
        <w:adjustRightInd w:val="0"/>
        <w:snapToGrid w:val="0"/>
        <w:spacing w:line="360" w:lineRule="auto"/>
        <w:ind w:firstLine="480" w:firstLineChars="200"/>
        <w:rPr>
          <w:rFonts w:hAnsi="宋体" w:cs="宋体"/>
          <w:color w:val="000000" w:themeColor="text1"/>
          <w:sz w:val="24"/>
          <w:szCs w:val="24"/>
          <w:u w:val="single"/>
        </w:rPr>
      </w:pPr>
      <w:r>
        <w:rPr>
          <w:rFonts w:hint="eastAsia" w:hAnsi="宋体" w:cs="宋体"/>
          <w:color w:val="000000" w:themeColor="text1"/>
          <w:sz w:val="24"/>
          <w:szCs w:val="24"/>
        </w:rPr>
        <w:t>9.1 合同签订：</w:t>
      </w:r>
      <w:r>
        <w:rPr>
          <w:rFonts w:hint="eastAsia" w:hAnsi="宋体" w:cs="宋体"/>
          <w:color w:val="000000" w:themeColor="text1"/>
          <w:sz w:val="24"/>
          <w:szCs w:val="24"/>
          <w:u w:val="single"/>
        </w:rPr>
        <w:t>乙方自收到中标通知书之日起7个工作日内签订合同，具体合同内容签订时详细洽谈，但不得违背招标文件要求及乙方的投标承诺。</w:t>
      </w:r>
    </w:p>
    <w:p>
      <w:pPr>
        <w:pStyle w:val="24"/>
        <w:adjustRightInd w:val="0"/>
        <w:snapToGrid w:val="0"/>
        <w:spacing w:line="360" w:lineRule="auto"/>
        <w:ind w:firstLine="480" w:firstLineChars="200"/>
        <w:rPr>
          <w:rFonts w:hAnsi="宋体" w:cs="宋体"/>
          <w:bCs/>
          <w:color w:val="000000" w:themeColor="text1"/>
          <w:sz w:val="24"/>
          <w:szCs w:val="24"/>
        </w:rPr>
      </w:pPr>
      <w:r>
        <w:rPr>
          <w:rFonts w:hint="eastAsia" w:hAnsi="宋体" w:cs="宋体"/>
          <w:bCs/>
          <w:color w:val="000000" w:themeColor="text1"/>
          <w:sz w:val="24"/>
          <w:szCs w:val="24"/>
        </w:rPr>
        <w:t xml:space="preserve">9.2 </w:t>
      </w:r>
      <w:r>
        <w:rPr>
          <w:rFonts w:hint="eastAsia" w:hAnsi="宋体" w:cs="宋体"/>
          <w:color w:val="000000" w:themeColor="text1"/>
          <w:sz w:val="24"/>
          <w:szCs w:val="24"/>
          <w:u w:val="single"/>
        </w:rPr>
        <w:t>甲方需要用车服务时须根据甲方要求及时提供服务，一般自甲方通知之时起2小时内响应并到指定地点，收费起始时间、收费起始里程数均从到达甲方指定地点、用车人员上车确认后起算，用车结束后由用车人员现场签署当次用车记录，逾期签署的均不作为结算依据。</w:t>
      </w:r>
    </w:p>
    <w:p>
      <w:pPr>
        <w:pStyle w:val="24"/>
        <w:adjustRightInd w:val="0"/>
        <w:snapToGrid w:val="0"/>
        <w:spacing w:line="360" w:lineRule="auto"/>
        <w:ind w:firstLine="480" w:firstLineChars="200"/>
        <w:rPr>
          <w:rFonts w:hAnsi="宋体" w:cs="宋体"/>
          <w:color w:val="000000" w:themeColor="text1"/>
          <w:sz w:val="24"/>
          <w:szCs w:val="24"/>
          <w:u w:val="single"/>
        </w:rPr>
      </w:pPr>
      <w:r>
        <w:rPr>
          <w:rFonts w:hint="eastAsia" w:hAnsi="宋体" w:cs="宋体"/>
          <w:bCs/>
          <w:color w:val="000000" w:themeColor="text1"/>
          <w:sz w:val="24"/>
          <w:szCs w:val="24"/>
        </w:rPr>
        <w:t>9.3 地点：</w:t>
      </w:r>
      <w:r>
        <w:rPr>
          <w:rFonts w:hint="eastAsia" w:hAnsi="宋体" w:cs="宋体"/>
          <w:color w:val="000000" w:themeColor="text1"/>
          <w:sz w:val="24"/>
          <w:szCs w:val="24"/>
          <w:u w:val="single"/>
        </w:rPr>
        <w:t>盐城工业职业技术学院业务用车部门指定地点。</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十、货款支付</w:t>
      </w:r>
    </w:p>
    <w:p>
      <w:pPr>
        <w:adjustRightInd w:val="0"/>
        <w:snapToGrid w:val="0"/>
        <w:spacing w:line="360" w:lineRule="auto"/>
        <w:ind w:firstLine="480" w:firstLineChars="200"/>
        <w:rPr>
          <w:rFonts w:ascii="宋体" w:hAnsi="宋体" w:cs="宋体"/>
          <w:color w:val="000000" w:themeColor="text1"/>
          <w:sz w:val="24"/>
          <w:szCs w:val="24"/>
          <w:u w:val="single"/>
        </w:rPr>
      </w:pPr>
      <w:r>
        <w:rPr>
          <w:rFonts w:hint="eastAsia" w:ascii="宋体" w:hAnsi="宋体" w:cs="宋体"/>
          <w:color w:val="000000" w:themeColor="text1"/>
          <w:sz w:val="24"/>
          <w:szCs w:val="24"/>
        </w:rPr>
        <w:t>10.1 付款方式：</w:t>
      </w:r>
      <w:r>
        <w:rPr>
          <w:rFonts w:hint="eastAsia" w:ascii="宋体" w:hAnsi="宋体" w:cs="宋体"/>
          <w:color w:val="000000" w:themeColor="text1"/>
          <w:sz w:val="24"/>
          <w:szCs w:val="24"/>
          <w:u w:val="single"/>
        </w:rPr>
        <w:t>本项目车辆租赁费用按次或分批结算，具体根据甲方要求执行。结算时按甲方实际使用数量（乙方提供经甲方确认的租车费用结算清单）结合乙方中标单价结算，乙方在甲方支付前须提供有效合法的等额增值税专用发票</w:t>
      </w:r>
      <w:r>
        <w:rPr>
          <w:rFonts w:hint="eastAsia" w:ascii="宋体" w:hAnsi="宋体" w:cs="宋体"/>
          <w:color w:val="000000" w:themeColor="text1"/>
          <w:sz w:val="24"/>
          <w:szCs w:val="24"/>
        </w:rPr>
        <w:t>。</w:t>
      </w:r>
    </w:p>
    <w:p>
      <w:pPr>
        <w:adjustRightInd w:val="0"/>
        <w:snapToGrid w:val="0"/>
        <w:spacing w:line="360" w:lineRule="auto"/>
        <w:ind w:firstLine="480" w:firstLineChars="200"/>
        <w:rPr>
          <w:rFonts w:ascii="宋体" w:hAnsi="宋体" w:cs="宋体"/>
          <w:b/>
          <w:color w:val="000000" w:themeColor="text1"/>
          <w:sz w:val="24"/>
          <w:szCs w:val="24"/>
        </w:rPr>
      </w:pPr>
      <w:r>
        <w:rPr>
          <w:rFonts w:hint="eastAsia" w:ascii="宋体" w:hAnsi="宋体" w:cs="宋体"/>
          <w:b/>
          <w:color w:val="000000" w:themeColor="text1"/>
          <w:sz w:val="24"/>
          <w:szCs w:val="24"/>
        </w:rPr>
        <w:t>十一、税费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11.1本合同执行中相关的一切税费均由乙方负担。</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b/>
          <w:color w:val="000000" w:themeColor="text1"/>
          <w:sz w:val="24"/>
          <w:szCs w:val="24"/>
        </w:rPr>
        <w:t>十二、质量保证及售后服务</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 乙方应按招标文件规定的货物性能、技术要求、质量标准向甲方提供货物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12.2 乙方提供的货物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⑵退货处理：乙方应退还甲方支付的合同款，同时应承担该货物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的直接费用（运输、保险、检验、货款利息及银行手续费等）。</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12.3 在质保期内，乙方应对货物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出现的质量及安全问题负责处理解决并承担一切费用。</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十三、验收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13.1 每次车辆租赁服务结束后，须经甲方相关部门人员确认并签署书面回执（载明用车起止日期及时间、行驶公里数、用车部门及用车人、本次应计费用等），作为结算依据。乘坐人员有权对服务提出评价意见，甲方将视乙方履约及服务情况在后期需要车辆租赁服务时进行选择的权利。</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十四、违约责任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14.2在学校遇外事等重大公务接待时，甲方有权指定租赁车辆、车型，且租车费用不变，若乙方不能提供累计满3次的，甲方有权终止合同。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14.3乙方未经甲方相关租赁人员许可擅自变更驾驶人员、取消预约、服务不到位或未按约定时间提供租赁服务,上述情况累计满3次，甲方有权终止合同。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乙方所提供的货物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型号、规格、技术参数、质量不符合合同规定、招标文件规定标准以及投标承诺的，甲方有权拒收该货物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十五、不可抗力事件处理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不可抗力事件延续120天以上，双方应通过友好协商，确定是否继续履行合同。</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十六、诉讼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双方在执行合同中所发生的一切争议，应通过协商解决。如协商不成，可向合同签订地法院起诉，合同签订地在此约定为盐城市。</w:t>
      </w:r>
    </w:p>
    <w:p>
      <w:pPr>
        <w:pStyle w:val="24"/>
        <w:adjustRightInd w:val="0"/>
        <w:snapToGrid w:val="0"/>
        <w:spacing w:line="360" w:lineRule="auto"/>
        <w:ind w:firstLine="480" w:firstLineChars="200"/>
        <w:rPr>
          <w:rFonts w:hAnsi="宋体" w:cs="宋体"/>
          <w:b/>
          <w:color w:val="000000" w:themeColor="text1"/>
          <w:sz w:val="24"/>
          <w:szCs w:val="24"/>
        </w:rPr>
      </w:pPr>
      <w:r>
        <w:rPr>
          <w:rFonts w:hint="eastAsia" w:hAnsi="宋体" w:cs="宋体"/>
          <w:b/>
          <w:color w:val="000000" w:themeColor="text1"/>
          <w:sz w:val="24"/>
          <w:szCs w:val="24"/>
        </w:rPr>
        <w:t>十七、合同生效及其它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17.2本合同未尽事宜，遵照《合同法》有关条文执行。</w:t>
      </w:r>
    </w:p>
    <w:p>
      <w:pPr>
        <w:adjustRightInd w:val="0"/>
        <w:snapToGrid w:val="0"/>
        <w:spacing w:line="360" w:lineRule="auto"/>
        <w:ind w:firstLine="480" w:firstLineChars="200"/>
        <w:rPr>
          <w:rFonts w:hAnsi="宋体" w:cs="宋体"/>
          <w:color w:val="000000" w:themeColor="text1"/>
          <w:sz w:val="24"/>
          <w:szCs w:val="24"/>
        </w:rPr>
      </w:pPr>
      <w:r>
        <w:rPr>
          <w:rFonts w:hint="eastAsia" w:ascii="宋体" w:hAnsi="宋体" w:cs="宋体"/>
          <w:color w:val="000000" w:themeColor="text1"/>
          <w:sz w:val="24"/>
          <w:szCs w:val="24"/>
        </w:rPr>
        <w:t>17.3 本合同正本一式二份，副本一式六份，具有同等法律效力。</w:t>
      </w:r>
    </w:p>
    <w:p>
      <w:pPr>
        <w:pStyle w:val="24"/>
        <w:adjustRightInd w:val="0"/>
        <w:snapToGrid w:val="0"/>
        <w:spacing w:line="360" w:lineRule="auto"/>
        <w:ind w:firstLine="720" w:firstLineChars="300"/>
        <w:rPr>
          <w:rFonts w:hAnsi="宋体" w:cs="宋体"/>
          <w:color w:val="000000" w:themeColor="text1"/>
          <w:sz w:val="24"/>
          <w:szCs w:val="24"/>
        </w:rPr>
      </w:pPr>
      <w:r>
        <w:rPr>
          <w:rFonts w:hint="eastAsia" w:hAnsi="宋体" w:cs="宋体"/>
          <w:color w:val="000000" w:themeColor="text1"/>
          <w:sz w:val="24"/>
          <w:szCs w:val="24"/>
        </w:rPr>
        <w:t xml:space="preserve">甲方：                                   乙方： </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地址：                                   地址： </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法定代表人或授权代表：                   法定代表人或授权代表：</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采购单位负责人：</w:t>
      </w:r>
    </w:p>
    <w:p>
      <w:pPr>
        <w:pStyle w:val="24"/>
        <w:adjustRightInd w:val="0"/>
        <w:snapToGrid w:val="0"/>
        <w:spacing w:line="360" w:lineRule="auto"/>
        <w:ind w:firstLine="480" w:firstLineChars="200"/>
        <w:rPr>
          <w:rFonts w:hAnsi="宋体" w:cs="宋体"/>
          <w:color w:val="000000" w:themeColor="text1"/>
          <w:sz w:val="24"/>
          <w:szCs w:val="24"/>
        </w:rPr>
      </w:pPr>
      <w:r>
        <w:rPr>
          <w:rFonts w:hint="eastAsia" w:hAnsi="宋体" w:cs="宋体"/>
          <w:color w:val="000000" w:themeColor="text1"/>
          <w:sz w:val="24"/>
          <w:szCs w:val="24"/>
        </w:rPr>
        <w:t xml:space="preserve">  联系电话：                               联系电话：</w:t>
      </w:r>
    </w:p>
    <w:p>
      <w:pPr>
        <w:pStyle w:val="24"/>
        <w:adjustRightInd w:val="0"/>
        <w:snapToGrid w:val="0"/>
        <w:spacing w:line="360" w:lineRule="auto"/>
        <w:rPr>
          <w:rFonts w:hAnsi="宋体" w:cs="宋体"/>
          <w:color w:val="000000" w:themeColor="text1"/>
          <w:sz w:val="24"/>
          <w:szCs w:val="24"/>
        </w:rPr>
      </w:pPr>
      <w:r>
        <w:rPr>
          <w:rFonts w:hint="eastAsia" w:hAnsi="宋体" w:cs="宋体"/>
          <w:color w:val="000000" w:themeColor="text1"/>
          <w:sz w:val="24"/>
          <w:szCs w:val="24"/>
        </w:rPr>
        <w:t xml:space="preserve">                                          签订日期：      年  月  日</w:t>
      </w:r>
    </w:p>
    <w:p>
      <w:pPr>
        <w:pStyle w:val="3"/>
        <w:jc w:val="center"/>
        <w:rPr>
          <w:rFonts w:ascii="宋体" w:hAnsi="宋体" w:eastAsia="宋体" w:cs="宋体"/>
          <w:bCs/>
          <w:color w:val="000000" w:themeColor="text1"/>
          <w:sz w:val="44"/>
        </w:rPr>
      </w:pPr>
      <w:r>
        <w:rPr>
          <w:rFonts w:hint="eastAsia" w:ascii="宋体" w:hAnsi="宋体" w:eastAsia="宋体" w:cs="宋体"/>
          <w:b/>
          <w:color w:val="000000" w:themeColor="text1"/>
          <w:sz w:val="44"/>
        </w:rPr>
        <w:t>第</w:t>
      </w:r>
      <w:bookmarkEnd w:id="163"/>
      <w:r>
        <w:rPr>
          <w:rFonts w:hint="eastAsia" w:ascii="宋体" w:hAnsi="宋体" w:eastAsia="宋体" w:cs="宋体"/>
          <w:b/>
          <w:color w:val="000000" w:themeColor="text1"/>
          <w:sz w:val="44"/>
        </w:rPr>
        <w:t>四章 项目需求</w:t>
      </w:r>
      <w:bookmarkEnd w:id="164"/>
      <w:bookmarkEnd w:id="165"/>
      <w:bookmarkEnd w:id="166"/>
    </w:p>
    <w:p>
      <w:pPr>
        <w:spacing w:line="220" w:lineRule="atLeast"/>
        <w:jc w:val="center"/>
        <w:rPr>
          <w:rFonts w:ascii="宋体" w:hAnsi="宋体" w:cs="宋体"/>
          <w:color w:val="000000" w:themeColor="text1"/>
          <w:sz w:val="24"/>
          <w:szCs w:val="24"/>
        </w:rPr>
      </w:pPr>
      <w:bookmarkStart w:id="169" w:name="_Toc26554093"/>
      <w:bookmarkStart w:id="170" w:name="_Toc49090575"/>
      <w:bookmarkStart w:id="171" w:name="_Toc120614281"/>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一、项目综合说明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1、项目名称：盐城工业职业技术学院车辆租赁服务项目</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2、服务地点：盐城工业职业技术学院业务用车部门指定地点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3、招标范围及招标内容：盐城工业职业技术学院车辆租赁服务，详细业务用车需求以招标文件清单和招标人要求为准。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4、本次招标共分为 2 个分包，具体划分如下：</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分包一：15座及以下车辆（5座含司机小车、7座含司机商务车、9～15座含司机商务车）,拟确定中标供应商：3家。</w:t>
      </w:r>
    </w:p>
    <w:p>
      <w:pPr>
        <w:tabs>
          <w:tab w:val="left" w:pos="900"/>
        </w:tabs>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分包二：15座以上车辆（一般是19～21座含司机小型客车、35～39座含司机中型客车、45～55 座含司机大型客车）,拟确定中标供应商：2家。</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投标人可同时参加上述两个分包的投标且可同时入围两个分包。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5、服务期：暂定一年,服务期满后经综合考核合格根据招标人的需要可续签一年车辆租赁服务合同，仅限续签一次。</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二、投标报价</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1、投标人对不同车型的出租车辆每项只能提出一个不变的价格，各投标人根据自身实力和具体情况自主报价。</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2、投标报价表中的填写应以小写金额和以元为单位。</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3、中标人中标后，中标单价不再调整，用车业务量按实结算。</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4、投标报价应是满足招标人使用车辆需要的所有费用。投标人应充分考虑为满足招标业务用车需求内容所必须的直接和间接成本、油（电、气）费、</w:t>
      </w:r>
      <w:r>
        <w:rPr>
          <w:rFonts w:hint="eastAsia" w:ascii="宋体" w:hAnsi="宋体" w:cs="宋体"/>
          <w:color w:val="000000" w:themeColor="text1"/>
          <w:sz w:val="24"/>
        </w:rPr>
        <w:t>驾驶员全额工资（含福利、社保等，不含出车补贴）</w:t>
      </w:r>
      <w:r>
        <w:rPr>
          <w:rFonts w:hint="eastAsia" w:ascii="宋体" w:hAnsi="宋体" w:cs="宋体"/>
          <w:color w:val="000000" w:themeColor="text1"/>
          <w:sz w:val="24"/>
          <w:szCs w:val="24"/>
        </w:rPr>
        <w:t>、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招标人不另行增加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5、本次招标各定点租车供应商报价均不能高于其在盐城市市本级行政事业单位公车租赁的报价。</w:t>
      </w:r>
    </w:p>
    <w:p>
      <w:pPr>
        <w:pStyle w:val="71"/>
        <w:adjustRightInd w:val="0"/>
        <w:snapToGrid w:val="0"/>
        <w:spacing w:line="360" w:lineRule="auto"/>
        <w:rPr>
          <w:rFonts w:ascii="宋体" w:hAnsi="宋体" w:cs="宋体"/>
          <w:color w:val="000000" w:themeColor="text1"/>
          <w:sz w:val="24"/>
          <w:szCs w:val="24"/>
        </w:rPr>
      </w:pPr>
      <w:r>
        <w:rPr>
          <w:rFonts w:hint="eastAsia" w:ascii="宋体" w:hAnsi="宋体" w:cs="宋体"/>
          <w:color w:val="000000" w:themeColor="text1"/>
          <w:w w:val="95"/>
          <w:sz w:val="24"/>
          <w:szCs w:val="24"/>
        </w:rPr>
        <w:t>三、</w:t>
      </w:r>
      <w:r>
        <w:rPr>
          <w:rFonts w:hint="eastAsia" w:ascii="宋体" w:hAnsi="宋体" w:cs="宋体"/>
          <w:color w:val="000000" w:themeColor="text1"/>
          <w:sz w:val="24"/>
          <w:szCs w:val="24"/>
        </w:rPr>
        <w:t>窗体顶端</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三、其他要求</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1、在学校遇外事等重大公务接待时，有权指定租赁车辆、车型，且租车费用不变，若定点单位不能提供累计满3次的，学校有权终止合同。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2、定点单位未经学校相关租赁人员许可擅自变更驾驶人员、取消预约、服务不到位或未按约定时间提供租赁服务,上述情况累计满3次，学校有权终止合同。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3、车辆配置要求：配置先进的安全装置；全部座椅安装安全带；车辆维护、技术管理规定要求明确；人员聘用及培训规范完善；所有车辆安装GPS装置并具备行业监管平台连通条件，并制定相应的运行监控制度。</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4、根据自身情况，在基本服务质量要求外，必须承诺卫生保洁、服务创新、服务质量标准化、应急方案、服务监督和重大活动服务保障等工作。</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5、车辆要求：车辆符合安全国家标准，取得有效期内的机动车检验合格证明，并已经在公安机关交通管理部协理注册登记；具有客车营运资质；承诺所提供服务的车辆保险必须是汽车租赁性质险种。</w:t>
      </w:r>
    </w:p>
    <w:p>
      <w:pPr>
        <w:spacing w:line="440" w:lineRule="exact"/>
        <w:ind w:firstLine="480" w:firstLineChars="200"/>
        <w:rPr>
          <w:rFonts w:ascii="宋体" w:hAnsi="宋体" w:cs="宋体"/>
          <w:color w:val="000000" w:themeColor="text1"/>
          <w:sz w:val="24"/>
          <w:szCs w:val="24"/>
        </w:rPr>
      </w:pPr>
    </w:p>
    <w:p>
      <w:pPr>
        <w:pStyle w:val="24"/>
        <w:snapToGrid w:val="0"/>
        <w:spacing w:line="440" w:lineRule="exact"/>
        <w:ind w:firstLine="880" w:firstLineChars="200"/>
        <w:jc w:val="left"/>
        <w:rPr>
          <w:rFonts w:hAnsi="宋体" w:cs="宋体"/>
          <w:b/>
          <w:bCs/>
          <w:color w:val="000000" w:themeColor="text1"/>
          <w:sz w:val="44"/>
        </w:rPr>
      </w:pPr>
    </w:p>
    <w:p>
      <w:pPr>
        <w:pStyle w:val="24"/>
        <w:snapToGrid w:val="0"/>
        <w:spacing w:line="440" w:lineRule="exact"/>
        <w:jc w:val="center"/>
        <w:rPr>
          <w:rFonts w:hAnsi="宋体" w:cs="宋体"/>
          <w:bCs/>
          <w:color w:val="000000" w:themeColor="text1"/>
          <w:sz w:val="44"/>
        </w:rPr>
      </w:pPr>
      <w:r>
        <w:rPr>
          <w:rFonts w:hint="eastAsia" w:hAnsi="宋体" w:cs="宋体"/>
          <w:b/>
          <w:bCs/>
          <w:color w:val="000000" w:themeColor="text1"/>
          <w:sz w:val="44"/>
        </w:rPr>
        <w:br w:type="page"/>
      </w:r>
      <w:r>
        <w:rPr>
          <w:rFonts w:hint="eastAsia" w:hAnsi="宋体" w:cs="宋体"/>
          <w:b/>
          <w:bCs/>
          <w:color w:val="000000" w:themeColor="text1"/>
          <w:sz w:val="44"/>
        </w:rPr>
        <w:t>第五章评标方法与评标标准</w:t>
      </w:r>
    </w:p>
    <w:p>
      <w:pPr>
        <w:rPr>
          <w:rFonts w:ascii="宋体" w:hAnsi="宋体" w:cs="宋体"/>
          <w:color w:val="000000" w:themeColor="text1"/>
        </w:rPr>
      </w:pPr>
    </w:p>
    <w:p>
      <w:pPr>
        <w:adjustRightInd w:val="0"/>
        <w:snapToGrid w:val="0"/>
        <w:spacing w:line="360" w:lineRule="auto"/>
        <w:rPr>
          <w:rFonts w:ascii="宋体" w:hAnsi="宋体" w:cs="宋体"/>
          <w:b/>
          <w:bCs/>
          <w:color w:val="000000" w:themeColor="text1"/>
          <w:sz w:val="24"/>
          <w:szCs w:val="24"/>
        </w:rPr>
      </w:pPr>
      <w:r>
        <w:rPr>
          <w:rFonts w:hint="eastAsia" w:ascii="宋体" w:hAnsi="宋体" w:cs="宋体"/>
          <w:b/>
          <w:bCs/>
          <w:color w:val="000000" w:themeColor="text1"/>
          <w:sz w:val="24"/>
          <w:szCs w:val="24"/>
        </w:rPr>
        <w:t>一、评标方法与定标原则</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评标采用综合评分法的，评标结果按评审后得分由高到低顺序排列。得分相同的，按投标报价由低到高顺序排列。得分且投标报价相同的并列。投标文件满足招标文件全部实质性要求，每个分包由评标委员会按评审因素的量化指标评审得分由高到低推荐3名投标人为中标候选人。招标人在每次需要车辆租赁服务时，根据实际需要从中标的定点单位中择优选择。</w:t>
      </w:r>
    </w:p>
    <w:p>
      <w:pPr>
        <w:adjustRightInd w:val="0"/>
        <w:snapToGrid w:val="0"/>
        <w:spacing w:line="360" w:lineRule="auto"/>
        <w:rPr>
          <w:rFonts w:ascii="宋体" w:hAnsi="宋体" w:cs="宋体"/>
          <w:b/>
          <w:bCs/>
          <w:color w:val="000000" w:themeColor="text1"/>
          <w:sz w:val="24"/>
          <w:szCs w:val="24"/>
        </w:rPr>
      </w:pPr>
      <w:r>
        <w:rPr>
          <w:rFonts w:hint="eastAsia" w:ascii="宋体" w:hAnsi="宋体" w:cs="宋体"/>
          <w:b/>
          <w:bCs/>
          <w:color w:val="000000" w:themeColor="text1"/>
          <w:sz w:val="24"/>
          <w:szCs w:val="24"/>
        </w:rPr>
        <w:t>二、评标标准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本项目评分总分值为100分。</w:t>
      </w:r>
    </w:p>
    <w:p>
      <w:pPr>
        <w:pStyle w:val="40"/>
        <w:tabs>
          <w:tab w:val="left" w:pos="720"/>
          <w:tab w:val="clear" w:pos="916"/>
        </w:tabs>
        <w:adjustRightInd w:val="0"/>
        <w:snapToGrid w:val="0"/>
        <w:spacing w:line="360" w:lineRule="auto"/>
        <w:ind w:firstLine="480" w:firstLineChars="200"/>
        <w:rPr>
          <w:rFonts w:ascii="宋体" w:hAnsi="宋体" w:eastAsia="宋体" w:cs="宋体"/>
          <w:b/>
          <w:color w:val="000000" w:themeColor="text1"/>
          <w:kern w:val="2"/>
          <w:sz w:val="24"/>
          <w:szCs w:val="24"/>
        </w:rPr>
      </w:pPr>
      <w:r>
        <w:rPr>
          <w:rFonts w:hint="eastAsia" w:ascii="宋体" w:hAnsi="宋体" w:eastAsia="宋体" w:cs="宋体"/>
          <w:b/>
          <w:color w:val="000000" w:themeColor="text1"/>
          <w:kern w:val="2"/>
          <w:sz w:val="24"/>
          <w:szCs w:val="24"/>
        </w:rPr>
        <w:t>具体标准</w:t>
      </w:r>
    </w:p>
    <w:tbl>
      <w:tblPr>
        <w:tblStyle w:val="46"/>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0"/>
        <w:gridCol w:w="1200"/>
        <w:gridCol w:w="780"/>
        <w:gridCol w:w="5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0" w:type="dxa"/>
            <w:shd w:val="clear" w:color="auto" w:fill="auto"/>
            <w:tcMar>
              <w:top w:w="80" w:type="dxa"/>
              <w:left w:w="80" w:type="dxa"/>
              <w:bottom w:w="80" w:type="dxa"/>
              <w:right w:w="80" w:type="dxa"/>
            </w:tcMar>
            <w:vAlign w:val="center"/>
          </w:tcPr>
          <w:p>
            <w:pPr>
              <w:jc w:val="center"/>
              <w:rPr>
                <w:rFonts w:ascii="宋体" w:hAnsi="宋体" w:cs="宋体"/>
                <w:b/>
                <w:color w:val="000000" w:themeColor="text1"/>
              </w:rPr>
            </w:pPr>
            <w:r>
              <w:rPr>
                <w:rFonts w:hint="eastAsia" w:ascii="宋体" w:hAnsi="宋体" w:cs="宋体"/>
                <w:b/>
                <w:color w:val="000000" w:themeColor="text1"/>
                <w:lang w:val="zh-TW" w:eastAsia="zh-TW"/>
              </w:rPr>
              <w:t>类别</w:t>
            </w:r>
          </w:p>
        </w:tc>
        <w:tc>
          <w:tcPr>
            <w:tcW w:w="1200" w:type="dxa"/>
            <w:shd w:val="clear" w:color="auto" w:fill="auto"/>
            <w:tcMar>
              <w:top w:w="80" w:type="dxa"/>
              <w:left w:w="80" w:type="dxa"/>
              <w:bottom w:w="80" w:type="dxa"/>
              <w:right w:w="80" w:type="dxa"/>
            </w:tcMar>
            <w:vAlign w:val="center"/>
          </w:tcPr>
          <w:p>
            <w:pPr>
              <w:jc w:val="center"/>
              <w:rPr>
                <w:rFonts w:ascii="宋体" w:hAnsi="宋体" w:cs="宋体"/>
                <w:b/>
                <w:color w:val="000000" w:themeColor="text1"/>
              </w:rPr>
            </w:pPr>
            <w:r>
              <w:rPr>
                <w:rFonts w:hint="eastAsia" w:ascii="宋体" w:hAnsi="宋体" w:cs="宋体"/>
                <w:b/>
                <w:color w:val="000000" w:themeColor="text1"/>
                <w:lang w:val="zh-TW" w:eastAsia="zh-TW"/>
              </w:rPr>
              <w:t>评分内容</w:t>
            </w:r>
          </w:p>
        </w:tc>
        <w:tc>
          <w:tcPr>
            <w:tcW w:w="780" w:type="dxa"/>
            <w:shd w:val="clear" w:color="auto" w:fill="auto"/>
            <w:tcMar>
              <w:top w:w="80" w:type="dxa"/>
              <w:left w:w="80" w:type="dxa"/>
              <w:bottom w:w="80" w:type="dxa"/>
              <w:right w:w="80" w:type="dxa"/>
            </w:tcMar>
            <w:vAlign w:val="center"/>
          </w:tcPr>
          <w:p>
            <w:pPr>
              <w:jc w:val="center"/>
              <w:rPr>
                <w:rFonts w:ascii="宋体" w:hAnsi="宋体" w:cs="宋体"/>
                <w:b/>
                <w:color w:val="000000" w:themeColor="text1"/>
              </w:rPr>
            </w:pPr>
            <w:r>
              <w:rPr>
                <w:rFonts w:hint="eastAsia" w:ascii="宋体" w:hAnsi="宋体" w:cs="宋体"/>
                <w:b/>
                <w:color w:val="000000" w:themeColor="text1"/>
              </w:rPr>
              <w:t>分值</w:t>
            </w:r>
          </w:p>
        </w:tc>
        <w:tc>
          <w:tcPr>
            <w:tcW w:w="5952" w:type="dxa"/>
            <w:shd w:val="clear" w:color="auto" w:fill="auto"/>
          </w:tcPr>
          <w:p>
            <w:pPr>
              <w:jc w:val="center"/>
              <w:rPr>
                <w:rFonts w:ascii="宋体" w:hAnsi="宋体" w:cs="宋体"/>
                <w:b/>
                <w:color w:val="000000" w:themeColor="text1"/>
                <w:lang w:val="zh-TW" w:eastAsia="zh-TW"/>
              </w:rPr>
            </w:pPr>
            <w:r>
              <w:rPr>
                <w:rFonts w:hint="eastAsia" w:ascii="宋体" w:hAnsi="宋体" w:cs="宋体"/>
                <w:b/>
                <w:color w:val="000000" w:themeColor="text1"/>
                <w:lang w:val="zh-TW" w:eastAsia="zh-TW"/>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技术分</w:t>
            </w:r>
          </w:p>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w:t>
            </w:r>
            <w:r>
              <w:rPr>
                <w:rFonts w:hint="eastAsia" w:ascii="宋体" w:hAnsi="宋体" w:cs="宋体"/>
                <w:color w:val="000000" w:themeColor="text1"/>
              </w:rPr>
              <w:t>5</w:t>
            </w:r>
            <w:r>
              <w:rPr>
                <w:rFonts w:hint="eastAsia" w:ascii="宋体" w:hAnsi="宋体" w:cs="宋体"/>
                <w:color w:val="000000" w:themeColor="text1"/>
                <w:lang w:val="zh-TW" w:eastAsia="zh-TW"/>
              </w:rPr>
              <w:t>分）</w:t>
            </w: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服务承诺</w:t>
            </w:r>
          </w:p>
        </w:tc>
        <w:tc>
          <w:tcPr>
            <w:tcW w:w="780" w:type="dxa"/>
            <w:shd w:val="clear" w:color="auto" w:fill="auto"/>
            <w:tcMar>
              <w:top w:w="80" w:type="dxa"/>
              <w:left w:w="80" w:type="dxa"/>
              <w:bottom w:w="80" w:type="dxa"/>
              <w:right w:w="80" w:type="dxa"/>
            </w:tcMar>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952" w:type="dxa"/>
            <w:shd w:val="clear" w:color="auto" w:fill="auto"/>
            <w:vAlign w:val="center"/>
          </w:tcPr>
          <w:p>
            <w:pPr>
              <w:ind w:firstLine="420" w:firstLineChars="200"/>
              <w:rPr>
                <w:rFonts w:ascii="宋体" w:hAnsi="宋体" w:cs="宋体"/>
                <w:color w:val="000000" w:themeColor="text1"/>
                <w:lang w:val="zh-TW" w:eastAsia="zh-TW"/>
              </w:rPr>
            </w:pPr>
            <w:r>
              <w:rPr>
                <w:rFonts w:hint="eastAsia" w:ascii="宋体" w:hAnsi="宋体" w:cs="宋体"/>
                <w:color w:val="000000" w:themeColor="text1"/>
              </w:rPr>
              <w:t>评标委员会根据项目需求对各投标人针对本项目编制的</w:t>
            </w:r>
            <w:r>
              <w:rPr>
                <w:rFonts w:hint="eastAsia" w:ascii="宋体" w:hAnsi="宋体" w:cs="宋体"/>
                <w:color w:val="000000" w:themeColor="text1"/>
                <w:lang w:val="zh-TW" w:eastAsia="zh-TW"/>
              </w:rPr>
              <w:t>服务承诺</w:t>
            </w:r>
            <w:r>
              <w:rPr>
                <w:rFonts w:hint="eastAsia" w:ascii="宋体" w:hAnsi="宋体" w:cs="宋体"/>
                <w:color w:val="000000" w:themeColor="text1"/>
              </w:rPr>
              <w:t>进行综合评审打分，打分区间3</w:t>
            </w:r>
            <w:r>
              <w:rPr>
                <w:rFonts w:hint="eastAsia" w:ascii="宋体" w:hAnsi="宋体" w:cs="宋体"/>
                <w:color w:val="000000" w:themeColor="text1"/>
                <w:lang w:val="zh-TW" w:eastAsia="zh-TW"/>
              </w:rPr>
              <w:t>～</w:t>
            </w:r>
            <w:r>
              <w:rPr>
                <w:rFonts w:hint="eastAsia" w:ascii="宋体" w:hAnsi="宋体" w:cs="宋体"/>
                <w:color w:val="000000" w:themeColor="text1"/>
              </w:rPr>
              <w:t>5分</w:t>
            </w:r>
            <w:r>
              <w:rPr>
                <w:rFonts w:hint="eastAsia" w:ascii="宋体" w:hAnsi="宋体" w:cs="宋体"/>
                <w:color w:val="000000" w:themeColor="text1"/>
                <w:lang w:val="zh-TW" w:eastAsia="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0" w:type="dxa"/>
            <w:vMerge w:val="restart"/>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CN" w:eastAsia="zh-TW"/>
              </w:rPr>
              <w:t>商务分</w:t>
            </w:r>
          </w:p>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w:t>
            </w:r>
            <w:r>
              <w:rPr>
                <w:rFonts w:ascii="宋体" w:hAnsi="宋体" w:cs="宋体"/>
                <w:color w:val="000000" w:themeColor="text1"/>
              </w:rPr>
              <w:t>4</w:t>
            </w:r>
            <w:r>
              <w:rPr>
                <w:rFonts w:hint="eastAsia" w:ascii="宋体" w:hAnsi="宋体" w:cs="宋体"/>
                <w:color w:val="000000" w:themeColor="text1"/>
              </w:rPr>
              <w:t>5</w:t>
            </w:r>
            <w:r>
              <w:rPr>
                <w:rFonts w:hint="eastAsia" w:ascii="宋体" w:hAnsi="宋体" w:cs="宋体"/>
                <w:color w:val="000000" w:themeColor="text1"/>
                <w:lang w:val="zh-TW" w:eastAsia="zh-TW"/>
              </w:rPr>
              <w:t>分）</w:t>
            </w: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业绩信誉</w:t>
            </w:r>
          </w:p>
        </w:tc>
        <w:tc>
          <w:tcPr>
            <w:tcW w:w="780" w:type="dxa"/>
            <w:shd w:val="clear" w:color="auto" w:fill="auto"/>
            <w:tcMar>
              <w:top w:w="80" w:type="dxa"/>
              <w:left w:w="80" w:type="dxa"/>
              <w:bottom w:w="80" w:type="dxa"/>
              <w:right w:w="80" w:type="dxa"/>
            </w:tcMar>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952" w:type="dxa"/>
            <w:shd w:val="clear" w:color="auto" w:fill="auto"/>
            <w:vAlign w:val="center"/>
          </w:tcPr>
          <w:p>
            <w:pPr>
              <w:ind w:firstLine="420" w:firstLineChars="200"/>
              <w:rPr>
                <w:rFonts w:ascii="宋体" w:hAnsi="宋体" w:cs="宋体"/>
                <w:color w:val="000000" w:themeColor="text1"/>
                <w:lang w:val="zh-TW" w:eastAsia="zh-TW"/>
              </w:rPr>
            </w:pPr>
            <w:r>
              <w:rPr>
                <w:rFonts w:hint="eastAsia" w:ascii="宋体" w:hAnsi="宋体" w:cs="宋体"/>
                <w:color w:val="000000" w:themeColor="text1"/>
                <w:lang w:val="zh-TW" w:eastAsia="zh-TW"/>
              </w:rPr>
              <w:t>投标人在近三年内经营过其他类似项目：每份合同得业绩分</w:t>
            </w:r>
            <w:r>
              <w:rPr>
                <w:rFonts w:hint="eastAsia" w:ascii="宋体" w:hAnsi="宋体" w:cs="宋体"/>
                <w:color w:val="000000" w:themeColor="text1"/>
              </w:rPr>
              <w:t>1</w:t>
            </w:r>
            <w:r>
              <w:rPr>
                <w:rFonts w:hint="eastAsia" w:ascii="宋体" w:hAnsi="宋体" w:cs="宋体"/>
                <w:color w:val="000000" w:themeColor="text1"/>
                <w:lang w:val="zh-TW" w:eastAsia="zh-TW"/>
              </w:rPr>
              <w:t>分，加满</w:t>
            </w:r>
            <w:r>
              <w:rPr>
                <w:rFonts w:hint="eastAsia" w:ascii="宋体" w:hAnsi="宋体" w:cs="宋体"/>
                <w:color w:val="000000" w:themeColor="text1"/>
              </w:rPr>
              <w:t>5</w:t>
            </w:r>
            <w:r>
              <w:rPr>
                <w:rFonts w:hint="eastAsia" w:ascii="宋体" w:hAnsi="宋体" w:cs="宋体"/>
                <w:color w:val="000000" w:themeColor="text1"/>
                <w:lang w:val="zh-TW" w:eastAsia="zh-TW"/>
              </w:rPr>
              <w:t>分为止。</w:t>
            </w:r>
            <w:r>
              <w:rPr>
                <w:rFonts w:hint="eastAsia" w:ascii="宋体" w:hAnsi="宋体" w:cs="宋体"/>
                <w:color w:val="000000" w:themeColor="text1"/>
                <w:lang w:val="zh-TW"/>
              </w:rPr>
              <w:t>投标文件中</w:t>
            </w:r>
            <w:r>
              <w:rPr>
                <w:rFonts w:hint="eastAsia" w:ascii="宋体" w:hAnsi="宋体" w:cs="宋体"/>
                <w:color w:val="000000" w:themeColor="text1"/>
                <w:lang w:val="zh-TW" w:eastAsia="zh-TW"/>
              </w:rPr>
              <w:t>须提供相关证明材料（与其他类似项目单位签订的正式合同复印件</w:t>
            </w:r>
            <w:r>
              <w:rPr>
                <w:rFonts w:hint="eastAsia" w:ascii="宋体" w:hAnsi="宋体" w:cs="宋体"/>
                <w:color w:val="000000" w:themeColor="text1"/>
                <w:lang w:val="zh-TW"/>
              </w:rPr>
              <w:t>加盖投标人公章</w:t>
            </w:r>
            <w:r>
              <w:rPr>
                <w:rFonts w:hint="eastAsia" w:ascii="宋体" w:hAnsi="宋体" w:cs="宋体"/>
                <w:color w:val="000000" w:themeColor="text1"/>
                <w:lang w:val="zh-TW" w:eastAsia="zh-TW"/>
              </w:rPr>
              <w:t>，原件携带备查）。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0" w:type="dxa"/>
            <w:vMerge w:val="continue"/>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综合实力</w:t>
            </w:r>
          </w:p>
        </w:tc>
        <w:tc>
          <w:tcPr>
            <w:tcW w:w="780" w:type="dxa"/>
            <w:shd w:val="clear" w:color="auto" w:fill="auto"/>
            <w:tcMar>
              <w:top w:w="80" w:type="dxa"/>
              <w:left w:w="80" w:type="dxa"/>
              <w:bottom w:w="80" w:type="dxa"/>
              <w:right w:w="80" w:type="dxa"/>
            </w:tcMar>
            <w:vAlign w:val="center"/>
          </w:tcPr>
          <w:p>
            <w:pPr>
              <w:jc w:val="center"/>
              <w:rPr>
                <w:rFonts w:ascii="宋体" w:hAnsi="宋体" w:cs="宋体"/>
                <w:color w:val="000000" w:themeColor="text1"/>
              </w:rPr>
            </w:pPr>
            <w:r>
              <w:rPr>
                <w:rFonts w:ascii="宋体" w:hAnsi="宋体" w:cs="宋体"/>
                <w:color w:val="000000" w:themeColor="text1"/>
              </w:rPr>
              <w:t>40</w:t>
            </w:r>
          </w:p>
        </w:tc>
        <w:tc>
          <w:tcPr>
            <w:tcW w:w="5952" w:type="dxa"/>
            <w:shd w:val="clear" w:color="auto" w:fill="auto"/>
            <w:vAlign w:val="center"/>
          </w:tcPr>
          <w:p>
            <w:pPr>
              <w:ind w:firstLine="420" w:firstLineChars="200"/>
              <w:rPr>
                <w:rFonts w:ascii="宋体" w:hAnsi="宋体" w:cs="宋体"/>
                <w:color w:val="000000" w:themeColor="text1"/>
                <w:lang w:val="zh-TW"/>
              </w:rPr>
            </w:pPr>
            <w:r>
              <w:rPr>
                <w:rFonts w:hint="eastAsia" w:ascii="宋体" w:hAnsi="宋体" w:cs="宋体"/>
                <w:b/>
                <w:bCs/>
                <w:color w:val="000000" w:themeColor="text1"/>
              </w:rPr>
              <w:t>1、</w:t>
            </w:r>
            <w:r>
              <w:rPr>
                <w:rFonts w:hint="eastAsia" w:ascii="宋体" w:hAnsi="宋体" w:cs="宋体"/>
                <w:b/>
                <w:bCs/>
                <w:color w:val="000000" w:themeColor="text1"/>
                <w:lang w:val="zh-TW" w:eastAsia="zh-TW"/>
              </w:rPr>
              <w:t>投标人车辆数量</w:t>
            </w:r>
            <w:r>
              <w:rPr>
                <w:rFonts w:hint="eastAsia" w:ascii="宋体" w:hAnsi="宋体" w:cs="宋体"/>
                <w:color w:val="000000" w:themeColor="text1"/>
                <w:lang w:val="zh-TW"/>
              </w:rPr>
              <w:t>：</w:t>
            </w:r>
          </w:p>
          <w:p>
            <w:pPr>
              <w:ind w:firstLine="420" w:firstLineChars="200"/>
              <w:rPr>
                <w:rFonts w:ascii="宋体" w:hAnsi="宋体" w:cs="宋体"/>
                <w:color w:val="000000" w:themeColor="text1"/>
              </w:rPr>
            </w:pPr>
            <w:r>
              <w:rPr>
                <w:rFonts w:hint="eastAsia" w:ascii="宋体" w:hAnsi="宋体" w:cs="宋体"/>
                <w:color w:val="000000" w:themeColor="text1"/>
              </w:rPr>
              <w:t>将所有投标人在投标文件中提供的承诺用于本项目出车任务且符合资格条件中要求的车辆数量合计进行降序排序：第一得10分，第二得9分，依次类推，第8名及以后的不得分。</w:t>
            </w:r>
          </w:p>
          <w:p>
            <w:pPr>
              <w:ind w:firstLine="420" w:firstLineChars="200"/>
              <w:rPr>
                <w:rFonts w:ascii="宋体" w:hAnsi="宋体" w:cs="宋体"/>
                <w:color w:val="000000" w:themeColor="text1"/>
                <w:lang w:val="zh-TW" w:eastAsia="zh-TW"/>
              </w:rPr>
            </w:pPr>
            <w:r>
              <w:rPr>
                <w:rFonts w:hint="eastAsia" w:ascii="宋体" w:hAnsi="宋体" w:cs="宋体"/>
                <w:b/>
                <w:bCs/>
                <w:color w:val="000000" w:themeColor="text1"/>
              </w:rPr>
              <w:t>2、</w:t>
            </w:r>
            <w:r>
              <w:rPr>
                <w:rFonts w:hint="eastAsia" w:ascii="宋体" w:hAnsi="宋体" w:cs="宋体"/>
                <w:b/>
                <w:bCs/>
                <w:color w:val="000000" w:themeColor="text1"/>
                <w:lang w:val="zh-TW" w:eastAsia="zh-TW"/>
              </w:rPr>
              <w:t>车辆登记日期及车况</w:t>
            </w:r>
            <w:r>
              <w:rPr>
                <w:rFonts w:hint="eastAsia" w:ascii="宋体" w:hAnsi="宋体" w:cs="宋体"/>
                <w:b/>
                <w:bCs/>
                <w:color w:val="000000" w:themeColor="text1"/>
                <w:lang w:val="zh-TW"/>
              </w:rPr>
              <w:t>：</w:t>
            </w:r>
            <w:r>
              <w:rPr>
                <w:rFonts w:hint="eastAsia" w:ascii="宋体" w:hAnsi="宋体" w:cs="宋体"/>
                <w:color w:val="000000" w:themeColor="text1"/>
              </w:rPr>
              <w:t>将所有投标人在投标文件中提供的承诺用于本项目出车任务的车辆的</w:t>
            </w:r>
            <w:r>
              <w:rPr>
                <w:rFonts w:hint="eastAsia" w:ascii="宋体" w:hAnsi="宋体" w:cs="宋体"/>
                <w:color w:val="000000" w:themeColor="text1"/>
                <w:lang w:val="zh-TW" w:eastAsia="zh-TW"/>
              </w:rPr>
              <w:t>登记日期</w:t>
            </w:r>
            <w:r>
              <w:rPr>
                <w:rFonts w:hint="eastAsia" w:ascii="宋体" w:hAnsi="宋体" w:cs="宋体"/>
                <w:color w:val="000000" w:themeColor="text1"/>
                <w:lang w:val="zh-TW"/>
              </w:rPr>
              <w:t>按由近至远的顺序</w:t>
            </w:r>
            <w:r>
              <w:rPr>
                <w:rFonts w:hint="eastAsia" w:ascii="宋体" w:hAnsi="宋体" w:cs="宋体"/>
                <w:color w:val="000000" w:themeColor="text1"/>
              </w:rPr>
              <w:t>进行横向评审比较：综合第一得15分，第二得13分，依次类推，第6名及以后的不得分。</w:t>
            </w:r>
          </w:p>
          <w:p>
            <w:pPr>
              <w:ind w:firstLine="420" w:firstLineChars="200"/>
              <w:rPr>
                <w:rFonts w:ascii="宋体" w:hAnsi="宋体" w:cs="宋体"/>
                <w:color w:val="000000" w:themeColor="text1"/>
              </w:rPr>
            </w:pPr>
            <w:r>
              <w:rPr>
                <w:rFonts w:hint="eastAsia" w:ascii="宋体" w:hAnsi="宋体" w:cs="宋体"/>
                <w:b/>
                <w:bCs/>
                <w:color w:val="000000" w:themeColor="text1"/>
              </w:rPr>
              <w:t>3、</w:t>
            </w:r>
            <w:r>
              <w:rPr>
                <w:rFonts w:hint="eastAsia" w:ascii="宋体" w:hAnsi="宋体" w:cs="宋体"/>
                <w:b/>
                <w:bCs/>
                <w:color w:val="000000" w:themeColor="text1"/>
                <w:lang w:val="zh-TW" w:eastAsia="zh-TW"/>
              </w:rPr>
              <w:t>驾驶员年龄及驾龄</w:t>
            </w:r>
            <w:r>
              <w:rPr>
                <w:rFonts w:hint="eastAsia" w:ascii="宋体" w:hAnsi="宋体" w:cs="宋体"/>
                <w:b/>
                <w:bCs/>
                <w:color w:val="000000" w:themeColor="text1"/>
                <w:lang w:val="zh-TW"/>
              </w:rPr>
              <w:t>：</w:t>
            </w:r>
            <w:r>
              <w:rPr>
                <w:rFonts w:hint="eastAsia" w:ascii="宋体" w:hAnsi="宋体" w:cs="宋体"/>
                <w:color w:val="000000" w:themeColor="text1"/>
              </w:rPr>
              <w:t>将所有投标人在投标文件中提供的承诺用于本项目出车任务的驾驶员的驾龄合计进行降序排序：第一得15分，第二得13分，依次类推，第6名及以后的不得分，驾驶员年龄超过55周岁（不含），按每超过1年，驾龄减一年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0" w:type="dxa"/>
            <w:tcBorders>
              <w:top w:val="single" w:color="auto" w:sz="4" w:space="0"/>
            </w:tcBorders>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价格分</w:t>
            </w:r>
          </w:p>
          <w:p>
            <w:pPr>
              <w:jc w:val="center"/>
              <w:rPr>
                <w:rFonts w:ascii="宋体" w:hAnsi="宋体" w:cs="宋体"/>
                <w:color w:val="000000" w:themeColor="text1"/>
                <w:lang w:val="zh-TW" w:eastAsia="zh-TW"/>
              </w:rPr>
            </w:pPr>
            <w:r>
              <w:rPr>
                <w:rFonts w:hint="eastAsia" w:ascii="宋体" w:hAnsi="宋体" w:cs="宋体"/>
                <w:color w:val="000000" w:themeColor="text1"/>
                <w:lang w:val="zh-TW" w:eastAsia="zh-TW"/>
              </w:rPr>
              <w:t>（</w:t>
            </w:r>
            <w:r>
              <w:rPr>
                <w:rFonts w:ascii="宋体" w:hAnsi="宋体" w:cs="宋体"/>
                <w:color w:val="000000" w:themeColor="text1"/>
              </w:rPr>
              <w:t>50</w:t>
            </w:r>
            <w:r>
              <w:rPr>
                <w:rFonts w:hint="eastAsia" w:ascii="宋体" w:hAnsi="宋体" w:cs="宋体"/>
                <w:color w:val="000000" w:themeColor="text1"/>
                <w:lang w:val="zh-TW" w:eastAsia="zh-TW"/>
              </w:rPr>
              <w:t>分）</w:t>
            </w:r>
          </w:p>
        </w:tc>
        <w:tc>
          <w:tcPr>
            <w:tcW w:w="1200" w:type="dxa"/>
            <w:shd w:val="clear" w:color="auto" w:fill="auto"/>
            <w:tcMar>
              <w:top w:w="80" w:type="dxa"/>
              <w:left w:w="80" w:type="dxa"/>
              <w:bottom w:w="80" w:type="dxa"/>
              <w:right w:w="80" w:type="dxa"/>
            </w:tcMar>
            <w:vAlign w:val="center"/>
          </w:tcPr>
          <w:p>
            <w:pPr>
              <w:jc w:val="center"/>
              <w:rPr>
                <w:rFonts w:ascii="宋体" w:hAnsi="宋体" w:cs="宋体"/>
                <w:color w:val="000000" w:themeColor="text1"/>
                <w:lang w:val="zh-TW"/>
              </w:rPr>
            </w:pPr>
            <w:r>
              <w:rPr>
                <w:rFonts w:hint="eastAsia" w:ascii="宋体" w:hAnsi="宋体" w:cs="宋体"/>
                <w:color w:val="000000" w:themeColor="text1"/>
                <w:lang w:val="zh-TW"/>
              </w:rPr>
              <w:t>投标报价</w:t>
            </w:r>
          </w:p>
        </w:tc>
        <w:tc>
          <w:tcPr>
            <w:tcW w:w="780" w:type="dxa"/>
            <w:shd w:val="clear" w:color="auto" w:fill="auto"/>
            <w:vAlign w:val="center"/>
          </w:tcPr>
          <w:p>
            <w:pPr>
              <w:jc w:val="center"/>
              <w:rPr>
                <w:rFonts w:ascii="宋体" w:hAnsi="宋体" w:cs="宋体"/>
                <w:color w:val="000000" w:themeColor="text1"/>
              </w:rPr>
            </w:pPr>
            <w:r>
              <w:rPr>
                <w:rFonts w:ascii="宋体" w:hAnsi="宋体" w:cs="宋体"/>
                <w:color w:val="000000" w:themeColor="text1"/>
              </w:rPr>
              <w:t>50</w:t>
            </w:r>
          </w:p>
        </w:tc>
        <w:tc>
          <w:tcPr>
            <w:tcW w:w="5952" w:type="dxa"/>
            <w:shd w:val="clear" w:color="auto" w:fill="auto"/>
            <w:vAlign w:val="center"/>
          </w:tcPr>
          <w:p>
            <w:pPr>
              <w:ind w:firstLine="420" w:firstLineChars="200"/>
              <w:rPr>
                <w:rFonts w:ascii="宋体" w:hAnsi="宋体" w:cs="宋体"/>
                <w:color w:val="000000" w:themeColor="text1"/>
                <w:lang w:val="zh-TW"/>
              </w:rPr>
            </w:pPr>
            <w:r>
              <w:rPr>
                <w:rFonts w:hint="eastAsia" w:ascii="宋体" w:hAnsi="宋体" w:cs="宋体"/>
                <w:color w:val="000000" w:themeColor="text1"/>
                <w:lang w:val="zh-TW" w:eastAsia="zh-TW"/>
              </w:rPr>
              <w:t>价格分统一采用低价优先法，即满足招标文件要求且</w:t>
            </w:r>
            <w:r>
              <w:rPr>
                <w:rFonts w:hint="eastAsia" w:ascii="宋体" w:hAnsi="宋体" w:cs="宋体"/>
                <w:color w:val="000000" w:themeColor="text1"/>
                <w:lang w:val="zh-TW"/>
              </w:rPr>
              <w:t>对应分项费用</w:t>
            </w:r>
            <w:r>
              <w:rPr>
                <w:rFonts w:hint="eastAsia" w:ascii="宋体" w:hAnsi="宋体" w:cs="宋体"/>
                <w:color w:val="000000" w:themeColor="text1"/>
                <w:lang w:val="zh-TW" w:eastAsia="zh-TW"/>
              </w:rPr>
              <w:t>投标价格最低的投标报价为评标基准价</w:t>
            </w:r>
            <w:r>
              <w:rPr>
                <w:rFonts w:hint="eastAsia" w:ascii="宋体" w:hAnsi="宋体" w:cs="宋体"/>
                <w:color w:val="000000" w:themeColor="text1"/>
                <w:lang w:val="zh-TW"/>
              </w:rPr>
              <w:t>，</w:t>
            </w:r>
            <w:r>
              <w:rPr>
                <w:rFonts w:hint="eastAsia" w:ascii="宋体" w:hAnsi="宋体" w:cs="宋体"/>
                <w:color w:val="000000" w:themeColor="text1"/>
                <w:lang w:val="zh-TW" w:eastAsia="zh-TW"/>
              </w:rPr>
              <w:t>其他投标供应商的价格分统一按照下列公式计算</w:t>
            </w:r>
            <w:r>
              <w:rPr>
                <w:rFonts w:hint="eastAsia" w:ascii="宋体" w:hAnsi="宋体" w:cs="宋体"/>
                <w:color w:val="000000" w:themeColor="text1"/>
                <w:lang w:val="zh-TW"/>
              </w:rPr>
              <w:t>（均保留两位小数）</w:t>
            </w:r>
            <w:r>
              <w:rPr>
                <w:rFonts w:hint="eastAsia" w:ascii="宋体" w:hAnsi="宋体" w:cs="宋体"/>
                <w:color w:val="000000" w:themeColor="text1"/>
                <w:lang w:val="zh-TW" w:eastAsia="zh-TW"/>
              </w:rPr>
              <w:t>：</w:t>
            </w:r>
          </w:p>
          <w:p>
            <w:pPr>
              <w:ind w:firstLine="560" w:firstLineChars="200"/>
              <w:jc w:val="center"/>
              <w:rPr>
                <w:rFonts w:ascii="宋体" w:hAnsi="宋体" w:cs="宋体"/>
                <w:b/>
                <w:bCs/>
                <w:color w:val="000000" w:themeColor="text1"/>
                <w:sz w:val="28"/>
                <w:szCs w:val="28"/>
              </w:rPr>
            </w:pPr>
            <w:r>
              <w:rPr>
                <w:rFonts w:hint="eastAsia" w:ascii="宋体" w:hAnsi="宋体" w:cs="宋体"/>
                <w:b/>
                <w:bCs/>
                <w:color w:val="000000" w:themeColor="text1"/>
                <w:sz w:val="28"/>
                <w:szCs w:val="28"/>
              </w:rPr>
              <w:t>分包一：</w:t>
            </w:r>
          </w:p>
          <w:p>
            <w:pPr>
              <w:ind w:firstLine="420" w:firstLineChars="200"/>
              <w:rPr>
                <w:rFonts w:ascii="宋体" w:hAnsi="宋体" w:cs="宋体"/>
                <w:b/>
                <w:bCs/>
                <w:color w:val="000000" w:themeColor="text1"/>
              </w:rPr>
            </w:pPr>
            <w:r>
              <w:rPr>
                <w:rFonts w:hint="eastAsia" w:ascii="宋体" w:hAnsi="宋体" w:cs="宋体"/>
                <w:b/>
                <w:bCs/>
                <w:color w:val="000000" w:themeColor="text1"/>
              </w:rPr>
              <w:t>一、5座用车</w:t>
            </w:r>
          </w:p>
          <w:p>
            <w:pPr>
              <w:ind w:firstLine="420" w:firstLineChars="200"/>
              <w:rPr>
                <w:rFonts w:ascii="宋体" w:hAnsi="宋体" w:cs="宋体"/>
                <w:color w:val="000000" w:themeColor="text1"/>
                <w:lang w:val="zh-TW"/>
              </w:rPr>
            </w:pPr>
            <w:r>
              <w:rPr>
                <w:rFonts w:hint="eastAsia" w:ascii="宋体" w:hAnsi="宋体" w:cs="宋体"/>
                <w:color w:val="000000" w:themeColor="text1"/>
              </w:rPr>
              <w:t>1、油费</w:t>
            </w:r>
            <w:r>
              <w:rPr>
                <w:rFonts w:hint="eastAsia" w:ascii="宋体" w:hAnsi="宋体" w:cs="宋体"/>
                <w:b/>
                <w:bCs/>
                <w:color w:val="000000" w:themeColor="text1"/>
              </w:rPr>
              <w:t>的</w:t>
            </w:r>
            <w:r>
              <w:rPr>
                <w:rFonts w:hint="eastAsia" w:ascii="宋体" w:hAnsi="宋体" w:cs="宋体"/>
                <w:color w:val="000000" w:themeColor="text1"/>
                <w:lang w:val="zh-TW" w:eastAsia="zh-TW"/>
              </w:rPr>
              <w:t>价格分满分</w:t>
            </w:r>
            <w:r>
              <w:rPr>
                <w:rFonts w:hint="eastAsia" w:ascii="宋体" w:hAnsi="宋体" w:cs="宋体"/>
                <w:color w:val="000000" w:themeColor="text1"/>
              </w:rPr>
              <w:t>8</w:t>
            </w:r>
            <w:r>
              <w:rPr>
                <w:rFonts w:hint="eastAsia" w:ascii="宋体" w:hAnsi="宋体" w:cs="宋体"/>
                <w:color w:val="000000" w:themeColor="text1"/>
                <w:lang w:val="zh-TW" w:eastAsia="zh-TW"/>
              </w:rPr>
              <w:t>分</w:t>
            </w:r>
            <w:r>
              <w:rPr>
                <w:rFonts w:hint="eastAsia" w:ascii="宋体" w:hAnsi="宋体" w:cs="宋体"/>
                <w:color w:val="000000" w:themeColor="text1"/>
                <w:lang w:val="zh-TW"/>
              </w:rPr>
              <w:t>：</w:t>
            </w:r>
            <w:r>
              <w:rPr>
                <w:rFonts w:hint="eastAsia" w:ascii="宋体" w:hAnsi="宋体" w:cs="宋体"/>
                <w:color w:val="000000" w:themeColor="text1"/>
                <w:lang w:val="zh-TW" w:eastAsia="zh-TW"/>
              </w:rPr>
              <w:t>得分＝（评标基准价/投标报价）×</w:t>
            </w:r>
            <w:r>
              <w:rPr>
                <w:rFonts w:hint="eastAsia" w:ascii="宋体" w:hAnsi="宋体" w:cs="宋体"/>
                <w:color w:val="000000" w:themeColor="text1"/>
              </w:rPr>
              <w:t>8</w:t>
            </w:r>
            <w:r>
              <w:rPr>
                <w:rFonts w:hint="eastAsia" w:ascii="宋体" w:hAnsi="宋体" w:cs="宋体"/>
                <w:color w:val="000000" w:themeColor="text1"/>
                <w:lang w:val="zh-TW" w:eastAsia="zh-TW"/>
              </w:rPr>
              <w:t>（保留两位小数）</w:t>
            </w:r>
            <w:r>
              <w:rPr>
                <w:rFonts w:hint="eastAsia" w:ascii="宋体" w:hAnsi="宋体" w:cs="宋体"/>
                <w:color w:val="000000" w:themeColor="text1"/>
                <w:lang w:val="zh-TW"/>
              </w:rPr>
              <w:t>；</w:t>
            </w:r>
          </w:p>
          <w:p>
            <w:pPr>
              <w:ind w:firstLine="420" w:firstLineChars="200"/>
              <w:rPr>
                <w:rFonts w:hint="eastAsia" w:ascii="宋体" w:hAnsi="宋体" w:cs="宋体"/>
                <w:color w:val="000000" w:themeColor="text1"/>
                <w:lang w:val="zh-TW"/>
              </w:rPr>
            </w:pPr>
            <w:r>
              <w:rPr>
                <w:rFonts w:hint="eastAsia" w:ascii="宋体" w:hAnsi="宋体" w:cs="宋体"/>
                <w:color w:val="000000" w:themeColor="text1"/>
              </w:rPr>
              <w:t>2、</w:t>
            </w:r>
            <w:r>
              <w:rPr>
                <w:rFonts w:hint="eastAsia" w:ascii="宋体" w:hAnsi="宋体" w:cs="宋体"/>
                <w:b/>
                <w:bCs/>
                <w:color w:val="000000" w:themeColor="text1"/>
              </w:rPr>
              <w:t>车辆租金的</w:t>
            </w:r>
            <w:r>
              <w:rPr>
                <w:rFonts w:hint="eastAsia" w:ascii="宋体" w:hAnsi="宋体" w:cs="宋体"/>
                <w:color w:val="000000" w:themeColor="text1"/>
                <w:lang w:val="zh-TW" w:eastAsia="zh-TW"/>
              </w:rPr>
              <w:t>价格分满分</w:t>
            </w:r>
            <w:r>
              <w:rPr>
                <w:rFonts w:hint="eastAsia" w:ascii="宋体" w:hAnsi="宋体" w:cs="宋体"/>
                <w:color w:val="000000" w:themeColor="text1"/>
              </w:rPr>
              <w:t>9</w:t>
            </w:r>
            <w:r>
              <w:rPr>
                <w:rFonts w:hint="eastAsia" w:ascii="宋体" w:hAnsi="宋体" w:cs="宋体"/>
                <w:color w:val="000000" w:themeColor="text1"/>
                <w:lang w:val="zh-TW" w:eastAsia="zh-TW"/>
              </w:rPr>
              <w:t>分</w:t>
            </w:r>
            <w:r>
              <w:rPr>
                <w:rFonts w:hint="eastAsia" w:ascii="宋体" w:hAnsi="宋体" w:cs="宋体"/>
                <w:color w:val="000000" w:themeColor="text1"/>
                <w:lang w:val="zh-TW"/>
              </w:rPr>
              <w:t>：</w:t>
            </w:r>
            <w:r>
              <w:rPr>
                <w:rFonts w:hint="eastAsia" w:ascii="宋体" w:hAnsi="宋体" w:cs="宋体"/>
                <w:color w:val="000000" w:themeColor="text1"/>
                <w:lang w:val="zh-TW" w:eastAsia="zh-TW"/>
              </w:rPr>
              <w:t>得分＝（评标基准价/投标报价）×</w:t>
            </w:r>
            <w:r>
              <w:rPr>
                <w:rFonts w:hint="eastAsia" w:ascii="宋体" w:hAnsi="宋体" w:cs="宋体"/>
                <w:color w:val="000000" w:themeColor="text1"/>
              </w:rPr>
              <w:t>9</w:t>
            </w:r>
            <w:r>
              <w:rPr>
                <w:rFonts w:hint="eastAsia" w:ascii="宋体" w:hAnsi="宋体" w:cs="宋体"/>
                <w:color w:val="000000" w:themeColor="text1"/>
                <w:lang w:val="zh-TW" w:eastAsia="zh-TW"/>
              </w:rPr>
              <w:t>（保留两位小数）</w:t>
            </w:r>
            <w:r>
              <w:rPr>
                <w:rFonts w:hint="eastAsia" w:ascii="宋体" w:hAnsi="宋体" w:cs="宋体"/>
                <w:color w:val="000000" w:themeColor="text1"/>
                <w:lang w:val="zh-TW"/>
              </w:rPr>
              <w:t>；</w:t>
            </w:r>
          </w:p>
          <w:p>
            <w:pPr>
              <w:ind w:firstLine="420" w:firstLineChars="200"/>
              <w:rPr>
                <w:rFonts w:ascii="宋体" w:hAnsi="宋体" w:cs="宋体"/>
                <w:b/>
                <w:bCs/>
                <w:color w:val="000000" w:themeColor="text1"/>
              </w:rPr>
            </w:pPr>
            <w:r>
              <w:rPr>
                <w:rFonts w:hint="eastAsia" w:ascii="宋体" w:hAnsi="宋体" w:cs="宋体"/>
                <w:b/>
                <w:bCs/>
                <w:color w:val="000000" w:themeColor="text1"/>
              </w:rPr>
              <w:t>二、7座用车</w:t>
            </w:r>
          </w:p>
          <w:p>
            <w:pPr>
              <w:ind w:firstLine="420" w:firstLineChars="200"/>
              <w:rPr>
                <w:rFonts w:ascii="宋体" w:hAnsi="宋体" w:cs="宋体"/>
                <w:color w:val="000000" w:themeColor="text1"/>
                <w:lang w:val="zh-TW"/>
              </w:rPr>
            </w:pPr>
            <w:r>
              <w:rPr>
                <w:rFonts w:hint="eastAsia" w:ascii="宋体" w:hAnsi="宋体" w:cs="宋体"/>
                <w:color w:val="000000" w:themeColor="text1"/>
              </w:rPr>
              <w:t>3、油费</w:t>
            </w:r>
            <w:r>
              <w:rPr>
                <w:rFonts w:hint="eastAsia" w:ascii="宋体" w:hAnsi="宋体" w:cs="宋体"/>
                <w:b/>
                <w:bCs/>
                <w:color w:val="000000" w:themeColor="text1"/>
              </w:rPr>
              <w:t>的</w:t>
            </w:r>
            <w:r>
              <w:rPr>
                <w:rFonts w:hint="eastAsia" w:ascii="宋体" w:hAnsi="宋体" w:cs="宋体"/>
                <w:color w:val="000000" w:themeColor="text1"/>
                <w:lang w:val="zh-TW" w:eastAsia="zh-TW"/>
              </w:rPr>
              <w:t>价格分满分</w:t>
            </w:r>
            <w:r>
              <w:rPr>
                <w:rFonts w:hint="eastAsia" w:ascii="宋体" w:hAnsi="宋体" w:cs="宋体"/>
                <w:color w:val="000000" w:themeColor="text1"/>
              </w:rPr>
              <w:t>8</w:t>
            </w:r>
            <w:r>
              <w:rPr>
                <w:rFonts w:hint="eastAsia" w:ascii="宋体" w:hAnsi="宋体" w:cs="宋体"/>
                <w:color w:val="000000" w:themeColor="text1"/>
                <w:lang w:val="zh-TW" w:eastAsia="zh-TW"/>
              </w:rPr>
              <w:t>分</w:t>
            </w:r>
            <w:r>
              <w:rPr>
                <w:rFonts w:hint="eastAsia" w:ascii="宋体" w:hAnsi="宋体" w:cs="宋体"/>
                <w:color w:val="000000" w:themeColor="text1"/>
                <w:lang w:val="zh-TW"/>
              </w:rPr>
              <w:t>：</w:t>
            </w:r>
            <w:r>
              <w:rPr>
                <w:rFonts w:hint="eastAsia" w:ascii="宋体" w:hAnsi="宋体" w:cs="宋体"/>
                <w:color w:val="000000" w:themeColor="text1"/>
                <w:lang w:val="zh-TW" w:eastAsia="zh-TW"/>
              </w:rPr>
              <w:t>得分＝（评标基准价/投标报价）×</w:t>
            </w:r>
            <w:r>
              <w:rPr>
                <w:rFonts w:hint="eastAsia" w:ascii="宋体" w:hAnsi="宋体" w:cs="宋体"/>
                <w:color w:val="000000" w:themeColor="text1"/>
              </w:rPr>
              <w:t>8</w:t>
            </w:r>
            <w:r>
              <w:rPr>
                <w:rFonts w:hint="eastAsia" w:ascii="宋体" w:hAnsi="宋体" w:cs="宋体"/>
                <w:color w:val="000000" w:themeColor="text1"/>
                <w:lang w:val="zh-TW" w:eastAsia="zh-TW"/>
              </w:rPr>
              <w:t>（保留两位小数）</w:t>
            </w:r>
            <w:r>
              <w:rPr>
                <w:rFonts w:hint="eastAsia" w:ascii="宋体" w:hAnsi="宋体" w:cs="宋体"/>
                <w:color w:val="000000" w:themeColor="text1"/>
                <w:lang w:val="zh-TW"/>
              </w:rPr>
              <w:t>；</w:t>
            </w:r>
          </w:p>
          <w:p>
            <w:pPr>
              <w:ind w:firstLine="420" w:firstLineChars="200"/>
              <w:rPr>
                <w:rFonts w:ascii="宋体" w:hAnsi="宋体" w:cs="宋体"/>
                <w:color w:val="000000" w:themeColor="text1"/>
                <w:lang w:val="zh-TW"/>
              </w:rPr>
            </w:pPr>
            <w:r>
              <w:rPr>
                <w:rFonts w:hint="eastAsia" w:ascii="宋体" w:hAnsi="宋体" w:cs="宋体"/>
                <w:color w:val="000000" w:themeColor="text1"/>
              </w:rPr>
              <w:t>4、</w:t>
            </w:r>
            <w:r>
              <w:rPr>
                <w:rFonts w:hint="eastAsia" w:ascii="宋体" w:hAnsi="宋体" w:cs="宋体"/>
                <w:b/>
                <w:bCs/>
                <w:color w:val="000000" w:themeColor="text1"/>
              </w:rPr>
              <w:t>车辆租金的</w:t>
            </w:r>
            <w:r>
              <w:rPr>
                <w:rFonts w:hint="eastAsia" w:ascii="宋体" w:hAnsi="宋体" w:cs="宋体"/>
                <w:color w:val="000000" w:themeColor="text1"/>
                <w:lang w:val="zh-TW" w:eastAsia="zh-TW"/>
              </w:rPr>
              <w:t>价格分满分</w:t>
            </w:r>
            <w:r>
              <w:rPr>
                <w:rFonts w:hint="eastAsia" w:ascii="宋体" w:hAnsi="宋体" w:cs="宋体"/>
                <w:color w:val="000000" w:themeColor="text1"/>
              </w:rPr>
              <w:t>9</w:t>
            </w:r>
            <w:r>
              <w:rPr>
                <w:rFonts w:hint="eastAsia" w:ascii="宋体" w:hAnsi="宋体" w:cs="宋体"/>
                <w:color w:val="000000" w:themeColor="text1"/>
                <w:lang w:val="zh-TW" w:eastAsia="zh-TW"/>
              </w:rPr>
              <w:t>分</w:t>
            </w:r>
            <w:r>
              <w:rPr>
                <w:rFonts w:hint="eastAsia" w:ascii="宋体" w:hAnsi="宋体" w:cs="宋体"/>
                <w:color w:val="000000" w:themeColor="text1"/>
                <w:lang w:val="zh-TW"/>
              </w:rPr>
              <w:t>：</w:t>
            </w:r>
            <w:r>
              <w:rPr>
                <w:rFonts w:hint="eastAsia" w:ascii="宋体" w:hAnsi="宋体" w:cs="宋体"/>
                <w:color w:val="000000" w:themeColor="text1"/>
                <w:lang w:val="zh-TW" w:eastAsia="zh-TW"/>
              </w:rPr>
              <w:t>得分＝（评标基准价/投标报价）×</w:t>
            </w:r>
            <w:r>
              <w:rPr>
                <w:rFonts w:hint="eastAsia" w:ascii="宋体" w:hAnsi="宋体" w:cs="宋体"/>
                <w:color w:val="000000" w:themeColor="text1"/>
              </w:rPr>
              <w:t>9</w:t>
            </w:r>
            <w:r>
              <w:rPr>
                <w:rFonts w:hint="eastAsia" w:ascii="宋体" w:hAnsi="宋体" w:cs="宋体"/>
                <w:color w:val="000000" w:themeColor="text1"/>
                <w:lang w:val="zh-TW" w:eastAsia="zh-TW"/>
              </w:rPr>
              <w:t>（保留两位小数）</w:t>
            </w:r>
            <w:r>
              <w:rPr>
                <w:rFonts w:hint="eastAsia" w:ascii="宋体" w:hAnsi="宋体" w:cs="宋体"/>
                <w:color w:val="000000" w:themeColor="text1"/>
                <w:lang w:val="zh-TW"/>
              </w:rPr>
              <w:t>；</w:t>
            </w:r>
          </w:p>
          <w:p>
            <w:pPr>
              <w:ind w:firstLine="420" w:firstLineChars="200"/>
              <w:rPr>
                <w:rFonts w:ascii="宋体" w:hAnsi="宋体" w:cs="宋体"/>
                <w:b/>
                <w:bCs/>
                <w:color w:val="000000" w:themeColor="text1"/>
              </w:rPr>
            </w:pPr>
            <w:r>
              <w:rPr>
                <w:rFonts w:hint="eastAsia" w:ascii="宋体" w:hAnsi="宋体" w:cs="宋体"/>
                <w:b/>
                <w:bCs/>
                <w:color w:val="000000" w:themeColor="text1"/>
              </w:rPr>
              <w:t>三、9～15座用车</w:t>
            </w:r>
          </w:p>
          <w:p>
            <w:pPr>
              <w:ind w:firstLine="420" w:firstLineChars="200"/>
              <w:rPr>
                <w:rFonts w:ascii="宋体" w:hAnsi="宋体" w:cs="宋体"/>
                <w:color w:val="000000" w:themeColor="text1"/>
                <w:lang w:val="zh-TW"/>
              </w:rPr>
            </w:pPr>
            <w:r>
              <w:rPr>
                <w:rFonts w:hint="eastAsia" w:ascii="宋体" w:hAnsi="宋体" w:cs="宋体"/>
                <w:color w:val="000000" w:themeColor="text1"/>
              </w:rPr>
              <w:t>5</w:t>
            </w:r>
            <w:r>
              <w:rPr>
                <w:rFonts w:hint="eastAsia" w:ascii="宋体" w:hAnsi="宋体" w:cs="宋体"/>
                <w:color w:val="000000" w:themeColor="text1"/>
                <w:lang w:val="zh-TW"/>
              </w:rPr>
              <w:t>、油费的价格分满分7分：得分＝（评标基准价/投标报价）×7（保留两位小数）；</w:t>
            </w:r>
          </w:p>
          <w:p>
            <w:pPr>
              <w:ind w:firstLine="420" w:firstLineChars="200"/>
              <w:rPr>
                <w:rFonts w:ascii="宋体" w:hAnsi="宋体" w:cs="宋体"/>
                <w:color w:val="000000" w:themeColor="text1"/>
                <w:lang w:val="zh-TW"/>
              </w:rPr>
            </w:pPr>
            <w:r>
              <w:rPr>
                <w:rFonts w:hint="eastAsia" w:ascii="宋体" w:hAnsi="宋体" w:cs="宋体"/>
                <w:color w:val="000000" w:themeColor="text1"/>
              </w:rPr>
              <w:t>6</w:t>
            </w:r>
            <w:r>
              <w:rPr>
                <w:rFonts w:hint="eastAsia" w:ascii="宋体" w:hAnsi="宋体" w:cs="宋体"/>
                <w:color w:val="000000" w:themeColor="text1"/>
                <w:lang w:val="zh-TW"/>
              </w:rPr>
              <w:t>、车辆租金的价格分满分</w:t>
            </w:r>
            <w:r>
              <w:rPr>
                <w:rFonts w:hint="eastAsia" w:ascii="宋体" w:hAnsi="宋体" w:cs="宋体"/>
                <w:color w:val="000000" w:themeColor="text1"/>
              </w:rPr>
              <w:t>9</w:t>
            </w:r>
            <w:r>
              <w:rPr>
                <w:rFonts w:hint="eastAsia" w:ascii="宋体" w:hAnsi="宋体" w:cs="宋体"/>
                <w:color w:val="000000" w:themeColor="text1"/>
                <w:lang w:val="zh-TW"/>
              </w:rPr>
              <w:t>分：得分＝（评标基准价/投标报价）×</w:t>
            </w:r>
            <w:r>
              <w:rPr>
                <w:rFonts w:hint="eastAsia" w:ascii="宋体" w:hAnsi="宋体" w:cs="宋体"/>
                <w:color w:val="000000" w:themeColor="text1"/>
              </w:rPr>
              <w:t>9</w:t>
            </w:r>
            <w:r>
              <w:rPr>
                <w:rFonts w:hint="eastAsia" w:ascii="宋体" w:hAnsi="宋体" w:cs="宋体"/>
                <w:color w:val="000000" w:themeColor="text1"/>
                <w:lang w:val="zh-TW"/>
              </w:rPr>
              <w:t>（保留两位小数）；</w:t>
            </w:r>
          </w:p>
          <w:p>
            <w:pPr>
              <w:ind w:firstLine="420" w:firstLineChars="200"/>
              <w:rPr>
                <w:rFonts w:ascii="宋体" w:hAnsi="宋体" w:cs="宋体"/>
                <w:color w:val="FF0000"/>
                <w:lang w:val="zh-TW"/>
              </w:rPr>
            </w:pPr>
          </w:p>
          <w:p>
            <w:pPr>
              <w:ind w:firstLine="420" w:firstLineChars="200"/>
              <w:rPr>
                <w:rFonts w:ascii="宋体" w:hAnsi="宋体" w:cs="宋体"/>
                <w:b/>
                <w:bCs/>
                <w:color w:val="000000" w:themeColor="text1"/>
              </w:rPr>
            </w:pPr>
            <w:r>
              <w:rPr>
                <w:rFonts w:hint="eastAsia" w:ascii="宋体" w:hAnsi="宋体" w:cs="宋体"/>
                <w:b/>
                <w:bCs/>
                <w:color w:val="000000" w:themeColor="text1"/>
              </w:rPr>
              <w:t>分包一投标报价得分等于上述1</w:t>
            </w:r>
            <w:r>
              <w:rPr>
                <w:rFonts w:hint="eastAsia" w:ascii="宋体" w:hAnsi="宋体" w:cs="宋体"/>
                <w:b/>
                <w:bCs/>
                <w:color w:val="000000" w:themeColor="text1"/>
                <w:lang w:val="zh-TW"/>
              </w:rPr>
              <w:t>～</w:t>
            </w:r>
            <w:r>
              <w:rPr>
                <w:rFonts w:hint="eastAsia" w:ascii="宋体" w:hAnsi="宋体" w:cs="宋体"/>
                <w:b/>
                <w:bCs/>
                <w:color w:val="000000" w:themeColor="text1"/>
              </w:rPr>
              <w:t>6项分数之和。</w:t>
            </w:r>
          </w:p>
          <w:p>
            <w:pPr>
              <w:ind w:firstLine="420" w:firstLineChars="200"/>
              <w:rPr>
                <w:rFonts w:ascii="宋体" w:hAnsi="宋体" w:cs="宋体"/>
                <w:color w:val="000000" w:themeColor="text1"/>
              </w:rPr>
            </w:pPr>
          </w:p>
          <w:p>
            <w:pPr>
              <w:ind w:firstLine="560" w:firstLineChars="200"/>
              <w:jc w:val="center"/>
              <w:rPr>
                <w:rFonts w:ascii="宋体" w:hAnsi="宋体" w:cs="宋体"/>
                <w:b/>
                <w:bCs/>
                <w:color w:val="000000" w:themeColor="text1"/>
                <w:sz w:val="28"/>
                <w:szCs w:val="28"/>
              </w:rPr>
            </w:pPr>
            <w:r>
              <w:rPr>
                <w:rFonts w:hint="eastAsia" w:ascii="宋体" w:hAnsi="宋体" w:cs="宋体"/>
                <w:b/>
                <w:bCs/>
                <w:color w:val="000000" w:themeColor="text1"/>
                <w:sz w:val="28"/>
                <w:szCs w:val="28"/>
              </w:rPr>
              <w:t>分包二：</w:t>
            </w:r>
          </w:p>
          <w:p>
            <w:pPr>
              <w:ind w:firstLine="420" w:firstLineChars="200"/>
              <w:rPr>
                <w:rFonts w:ascii="宋体" w:hAnsi="宋体" w:cs="宋体"/>
                <w:b/>
                <w:bCs/>
                <w:color w:val="000000" w:themeColor="text1"/>
              </w:rPr>
            </w:pPr>
            <w:r>
              <w:rPr>
                <w:rFonts w:hint="eastAsia" w:ascii="宋体" w:hAnsi="宋体" w:cs="宋体"/>
                <w:b/>
                <w:bCs/>
                <w:color w:val="000000" w:themeColor="text1"/>
              </w:rPr>
              <w:t>四、19~21座用车</w:t>
            </w:r>
          </w:p>
          <w:p>
            <w:pPr>
              <w:ind w:firstLine="420" w:firstLineChars="200"/>
              <w:rPr>
                <w:rFonts w:ascii="宋体" w:hAnsi="宋体" w:cs="宋体"/>
                <w:color w:val="000000" w:themeColor="text1"/>
                <w:lang w:val="zh-TW"/>
              </w:rPr>
            </w:pPr>
            <w:r>
              <w:rPr>
                <w:rFonts w:hint="eastAsia" w:ascii="宋体" w:hAnsi="宋体" w:cs="宋体"/>
                <w:color w:val="000000" w:themeColor="text1"/>
              </w:rPr>
              <w:t>7、油费</w:t>
            </w:r>
            <w:r>
              <w:rPr>
                <w:rFonts w:hint="eastAsia" w:ascii="宋体" w:hAnsi="宋体" w:cs="宋体"/>
                <w:b/>
                <w:bCs/>
                <w:color w:val="000000" w:themeColor="text1"/>
              </w:rPr>
              <w:t>的</w:t>
            </w:r>
            <w:r>
              <w:rPr>
                <w:rFonts w:hint="eastAsia" w:ascii="宋体" w:hAnsi="宋体" w:cs="宋体"/>
                <w:color w:val="000000" w:themeColor="text1"/>
                <w:lang w:val="zh-TW" w:eastAsia="zh-TW"/>
              </w:rPr>
              <w:t>价格分满分</w:t>
            </w:r>
            <w:r>
              <w:rPr>
                <w:rFonts w:hint="eastAsia" w:ascii="宋体" w:hAnsi="宋体" w:cs="宋体"/>
                <w:color w:val="000000" w:themeColor="text1"/>
              </w:rPr>
              <w:t>8</w:t>
            </w:r>
            <w:r>
              <w:rPr>
                <w:rFonts w:hint="eastAsia" w:ascii="宋体" w:hAnsi="宋体" w:cs="宋体"/>
                <w:color w:val="000000" w:themeColor="text1"/>
                <w:lang w:val="zh-TW" w:eastAsia="zh-TW"/>
              </w:rPr>
              <w:t>分</w:t>
            </w:r>
            <w:r>
              <w:rPr>
                <w:rFonts w:hint="eastAsia" w:ascii="宋体" w:hAnsi="宋体" w:cs="宋体"/>
                <w:color w:val="000000" w:themeColor="text1"/>
                <w:lang w:val="zh-TW"/>
              </w:rPr>
              <w:t>：</w:t>
            </w:r>
            <w:r>
              <w:rPr>
                <w:rFonts w:hint="eastAsia" w:ascii="宋体" w:hAnsi="宋体" w:cs="宋体"/>
                <w:color w:val="000000" w:themeColor="text1"/>
                <w:lang w:val="zh-TW" w:eastAsia="zh-TW"/>
              </w:rPr>
              <w:t>得分＝（评标基准价/投标报价）×</w:t>
            </w:r>
            <w:r>
              <w:rPr>
                <w:rFonts w:hint="eastAsia" w:ascii="宋体" w:hAnsi="宋体" w:cs="宋体"/>
                <w:color w:val="000000" w:themeColor="text1"/>
              </w:rPr>
              <w:t>8</w:t>
            </w:r>
            <w:r>
              <w:rPr>
                <w:rFonts w:hint="eastAsia" w:ascii="宋体" w:hAnsi="宋体" w:cs="宋体"/>
                <w:color w:val="000000" w:themeColor="text1"/>
                <w:lang w:val="zh-TW" w:eastAsia="zh-TW"/>
              </w:rPr>
              <w:t>（保留两位小数）</w:t>
            </w:r>
            <w:r>
              <w:rPr>
                <w:rFonts w:hint="eastAsia" w:ascii="宋体" w:hAnsi="宋体" w:cs="宋体"/>
                <w:color w:val="000000" w:themeColor="text1"/>
                <w:lang w:val="zh-TW"/>
              </w:rPr>
              <w:t>；</w:t>
            </w:r>
          </w:p>
          <w:p>
            <w:pPr>
              <w:ind w:firstLine="420" w:firstLineChars="200"/>
              <w:rPr>
                <w:rFonts w:ascii="宋体" w:hAnsi="宋体" w:cs="宋体"/>
                <w:color w:val="000000" w:themeColor="text1"/>
                <w:lang w:val="zh-TW"/>
              </w:rPr>
            </w:pPr>
            <w:r>
              <w:rPr>
                <w:rFonts w:hint="eastAsia" w:ascii="宋体" w:hAnsi="宋体" w:cs="宋体"/>
                <w:color w:val="000000" w:themeColor="text1"/>
              </w:rPr>
              <w:t>8、</w:t>
            </w:r>
            <w:r>
              <w:rPr>
                <w:rFonts w:hint="eastAsia" w:ascii="宋体" w:hAnsi="宋体" w:cs="宋体"/>
                <w:b/>
                <w:bCs/>
                <w:color w:val="000000" w:themeColor="text1"/>
              </w:rPr>
              <w:t>车辆租金的</w:t>
            </w:r>
            <w:r>
              <w:rPr>
                <w:rFonts w:hint="eastAsia" w:ascii="宋体" w:hAnsi="宋体" w:cs="宋体"/>
                <w:color w:val="000000" w:themeColor="text1"/>
                <w:lang w:val="zh-TW" w:eastAsia="zh-TW"/>
              </w:rPr>
              <w:t>价格分满分</w:t>
            </w:r>
            <w:r>
              <w:rPr>
                <w:rFonts w:hint="eastAsia" w:ascii="宋体" w:hAnsi="宋体" w:cs="宋体"/>
                <w:color w:val="000000" w:themeColor="text1"/>
              </w:rPr>
              <w:t>9</w:t>
            </w:r>
            <w:r>
              <w:rPr>
                <w:rFonts w:hint="eastAsia" w:ascii="宋体" w:hAnsi="宋体" w:cs="宋体"/>
                <w:color w:val="000000" w:themeColor="text1"/>
                <w:lang w:val="zh-TW" w:eastAsia="zh-TW"/>
              </w:rPr>
              <w:t>分</w:t>
            </w:r>
            <w:r>
              <w:rPr>
                <w:rFonts w:hint="eastAsia" w:ascii="宋体" w:hAnsi="宋体" w:cs="宋体"/>
                <w:color w:val="000000" w:themeColor="text1"/>
                <w:lang w:val="zh-TW"/>
              </w:rPr>
              <w:t>：</w:t>
            </w:r>
            <w:r>
              <w:rPr>
                <w:rFonts w:hint="eastAsia" w:ascii="宋体" w:hAnsi="宋体" w:cs="宋体"/>
                <w:color w:val="000000" w:themeColor="text1"/>
                <w:lang w:val="zh-TW" w:eastAsia="zh-TW"/>
              </w:rPr>
              <w:t>得分＝（评标基准价/投标报价）×</w:t>
            </w:r>
            <w:r>
              <w:rPr>
                <w:rFonts w:hint="eastAsia" w:ascii="宋体" w:hAnsi="宋体" w:cs="宋体"/>
                <w:color w:val="000000" w:themeColor="text1"/>
              </w:rPr>
              <w:t>9</w:t>
            </w:r>
            <w:r>
              <w:rPr>
                <w:rFonts w:hint="eastAsia" w:ascii="宋体" w:hAnsi="宋体" w:cs="宋体"/>
                <w:color w:val="000000" w:themeColor="text1"/>
                <w:lang w:val="zh-TW" w:eastAsia="zh-TW"/>
              </w:rPr>
              <w:t>（保留两位小数）</w:t>
            </w:r>
            <w:r>
              <w:rPr>
                <w:rFonts w:hint="eastAsia" w:ascii="宋体" w:hAnsi="宋体" w:cs="宋体"/>
                <w:color w:val="000000" w:themeColor="text1"/>
                <w:lang w:val="zh-TW"/>
              </w:rPr>
              <w:t>；</w:t>
            </w:r>
          </w:p>
          <w:p>
            <w:pPr>
              <w:ind w:firstLine="420" w:firstLineChars="200"/>
              <w:rPr>
                <w:rFonts w:ascii="宋体" w:hAnsi="宋体" w:cs="宋体"/>
                <w:b/>
                <w:bCs/>
                <w:color w:val="000000" w:themeColor="text1"/>
              </w:rPr>
            </w:pPr>
            <w:r>
              <w:rPr>
                <w:rFonts w:hint="eastAsia" w:ascii="宋体" w:hAnsi="宋体" w:cs="宋体"/>
                <w:b/>
                <w:bCs/>
                <w:color w:val="000000" w:themeColor="text1"/>
              </w:rPr>
              <w:t>五、35~39座用车</w:t>
            </w:r>
          </w:p>
          <w:p>
            <w:pPr>
              <w:ind w:firstLine="420" w:firstLineChars="200"/>
              <w:rPr>
                <w:rFonts w:ascii="宋体" w:hAnsi="宋体" w:cs="宋体"/>
                <w:color w:val="000000" w:themeColor="text1"/>
              </w:rPr>
            </w:pPr>
            <w:r>
              <w:rPr>
                <w:rFonts w:hint="eastAsia" w:ascii="宋体" w:hAnsi="宋体" w:cs="宋体"/>
                <w:color w:val="000000" w:themeColor="text1"/>
              </w:rPr>
              <w:t>9、1、油费的价格分满分8分：得分＝（评标基准价/投标报价）×8（保留两位小数）；</w:t>
            </w:r>
          </w:p>
          <w:p>
            <w:pPr>
              <w:ind w:firstLine="420" w:firstLineChars="200"/>
              <w:rPr>
                <w:rFonts w:ascii="宋体" w:hAnsi="宋体" w:cs="宋体"/>
                <w:color w:val="000000" w:themeColor="text1"/>
              </w:rPr>
            </w:pPr>
            <w:r>
              <w:rPr>
                <w:rFonts w:hint="eastAsia" w:ascii="宋体" w:hAnsi="宋体" w:cs="宋体"/>
                <w:color w:val="000000" w:themeColor="text1"/>
              </w:rPr>
              <w:t>10、车辆租金的价格分满分9分：得分＝（评标基准价/投标报价）×9（保留两位小数）；</w:t>
            </w:r>
          </w:p>
          <w:p>
            <w:pPr>
              <w:ind w:firstLine="420" w:firstLineChars="200"/>
              <w:rPr>
                <w:rFonts w:ascii="宋体" w:hAnsi="宋体" w:cs="宋体"/>
                <w:b/>
                <w:bCs/>
                <w:color w:val="000000" w:themeColor="text1"/>
              </w:rPr>
            </w:pPr>
            <w:r>
              <w:rPr>
                <w:rFonts w:hint="eastAsia" w:ascii="宋体" w:hAnsi="宋体" w:cs="宋体"/>
                <w:b/>
                <w:bCs/>
                <w:color w:val="000000" w:themeColor="text1"/>
              </w:rPr>
              <w:t>六、45~55座含司机大型客车</w:t>
            </w:r>
          </w:p>
          <w:p>
            <w:pPr>
              <w:ind w:firstLine="420" w:firstLineChars="200"/>
              <w:rPr>
                <w:rFonts w:ascii="宋体" w:hAnsi="宋体" w:cs="宋体"/>
                <w:color w:val="000000" w:themeColor="text1"/>
              </w:rPr>
            </w:pPr>
            <w:r>
              <w:rPr>
                <w:rFonts w:hint="eastAsia" w:ascii="宋体" w:hAnsi="宋体" w:cs="宋体"/>
                <w:color w:val="000000" w:themeColor="text1"/>
              </w:rPr>
              <w:t>11、1、油费的价格分满分7分：得分＝（评标基准价/投标报价）×7（保留两位小数）；</w:t>
            </w:r>
          </w:p>
          <w:p>
            <w:pPr>
              <w:ind w:firstLine="420" w:firstLineChars="200"/>
              <w:rPr>
                <w:rFonts w:ascii="宋体" w:hAnsi="宋体" w:cs="宋体"/>
                <w:color w:val="000000" w:themeColor="text1"/>
              </w:rPr>
            </w:pPr>
            <w:r>
              <w:rPr>
                <w:rFonts w:hint="eastAsia" w:ascii="宋体" w:hAnsi="宋体" w:cs="宋体"/>
                <w:color w:val="000000" w:themeColor="text1"/>
              </w:rPr>
              <w:t>12、车辆租金的价格分满分9分：得分＝（评标基准价/投标报价）×9（保留两位小数）；</w:t>
            </w:r>
          </w:p>
          <w:p>
            <w:pPr>
              <w:ind w:firstLine="420" w:firstLineChars="200"/>
              <w:rPr>
                <w:rFonts w:ascii="宋体" w:hAnsi="宋体" w:cs="宋体"/>
                <w:color w:val="000000" w:themeColor="text1"/>
                <w:lang w:val="zh-TW"/>
              </w:rPr>
            </w:pPr>
            <w:r>
              <w:rPr>
                <w:rFonts w:hint="eastAsia" w:ascii="宋体" w:hAnsi="宋体" w:cs="宋体"/>
                <w:b/>
                <w:bCs/>
                <w:color w:val="000000" w:themeColor="text1"/>
              </w:rPr>
              <w:t>分包二投标报价得分等于上述7</w:t>
            </w:r>
            <w:r>
              <w:rPr>
                <w:rFonts w:hint="eastAsia" w:ascii="宋体" w:hAnsi="宋体" w:cs="宋体"/>
                <w:b/>
                <w:bCs/>
                <w:color w:val="000000" w:themeColor="text1"/>
                <w:lang w:val="zh-TW"/>
              </w:rPr>
              <w:t>～</w:t>
            </w:r>
            <w:r>
              <w:rPr>
                <w:rFonts w:hint="eastAsia" w:ascii="宋体" w:hAnsi="宋体" w:cs="宋体"/>
                <w:b/>
                <w:bCs/>
                <w:color w:val="000000" w:themeColor="text1"/>
              </w:rPr>
              <w:t>12项分数之和。</w:t>
            </w:r>
          </w:p>
        </w:tc>
      </w:tr>
    </w:tbl>
    <w:p>
      <w:pPr>
        <w:snapToGrid w:val="0"/>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 xml:space="preserve">说明： </w:t>
      </w:r>
    </w:p>
    <w:p>
      <w:pPr>
        <w:snapToGrid w:val="0"/>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1、若供应商提供虚假资料，一经查实取消其中标候选人资格，并向相关主管部门汇报。</w:t>
      </w:r>
    </w:p>
    <w:p>
      <w:pPr>
        <w:snapToGrid w:val="0"/>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2、中标单位不得转包、分包，如果发现有转包、分包情况，则取消其中标候选人资格，并向相关主管部门汇报。</w:t>
      </w: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br w:type="page"/>
      </w:r>
    </w:p>
    <w:p>
      <w:pPr>
        <w:pStyle w:val="3"/>
        <w:rPr>
          <w:rFonts w:ascii="宋体" w:hAnsi="宋体" w:eastAsia="宋体" w:cs="宋体"/>
          <w:bCs/>
          <w:color w:val="000000" w:themeColor="text1"/>
          <w:sz w:val="44"/>
        </w:rPr>
      </w:pPr>
      <w:r>
        <w:rPr>
          <w:rFonts w:hint="eastAsia" w:ascii="宋体" w:hAnsi="宋体" w:eastAsia="宋体" w:cs="宋体"/>
          <w:bCs/>
          <w:color w:val="000000" w:themeColor="text1"/>
          <w:sz w:val="44"/>
        </w:rPr>
        <w:t>第六章  投标</w:t>
      </w:r>
      <w:bookmarkEnd w:id="169"/>
      <w:bookmarkEnd w:id="170"/>
      <w:bookmarkEnd w:id="171"/>
      <w:r>
        <w:rPr>
          <w:rFonts w:hint="eastAsia" w:ascii="宋体" w:hAnsi="宋体" w:eastAsia="宋体" w:cs="宋体"/>
          <w:bCs/>
          <w:color w:val="000000" w:themeColor="text1"/>
          <w:sz w:val="44"/>
        </w:rPr>
        <w:t xml:space="preserve">文件格式 </w:t>
      </w:r>
    </w:p>
    <w:p>
      <w:pPr>
        <w:jc w:val="right"/>
        <w:rPr>
          <w:rFonts w:ascii="宋体" w:hAnsi="宋体" w:cs="宋体"/>
          <w:b/>
          <w:color w:val="000000" w:themeColor="text1"/>
          <w:sz w:val="36"/>
        </w:rPr>
      </w:pPr>
      <w:bookmarkStart w:id="172" w:name="_Hlt26671244"/>
      <w:bookmarkEnd w:id="172"/>
      <w:bookmarkStart w:id="173" w:name="_Hlt26955039"/>
      <w:bookmarkEnd w:id="173"/>
      <w:bookmarkStart w:id="174" w:name="_Toc120614282"/>
      <w:bookmarkStart w:id="175" w:name="_Toc49090576"/>
      <w:bookmarkStart w:id="176" w:name="_Toc26554094"/>
    </w:p>
    <w:p>
      <w:pPr>
        <w:jc w:val="right"/>
        <w:rPr>
          <w:rFonts w:ascii="宋体" w:hAnsi="宋体" w:cs="宋体"/>
          <w:b/>
          <w:color w:val="000000" w:themeColor="text1"/>
          <w:sz w:val="72"/>
        </w:rPr>
      </w:pPr>
      <w:r>
        <w:rPr>
          <w:rFonts w:hint="eastAsia" w:ascii="宋体" w:hAnsi="宋体" w:cs="宋体"/>
          <w:b/>
          <w:color w:val="000000" w:themeColor="text1"/>
          <w:sz w:val="36"/>
        </w:rPr>
        <w:t>（正或副本）</w:t>
      </w:r>
    </w:p>
    <w:p>
      <w:pPr>
        <w:jc w:val="center"/>
        <w:rPr>
          <w:rFonts w:ascii="宋体" w:hAnsi="宋体" w:cs="宋体"/>
          <w:b/>
          <w:color w:val="000000" w:themeColor="text1"/>
          <w:sz w:val="72"/>
        </w:rPr>
      </w:pPr>
    </w:p>
    <w:p>
      <w:pPr>
        <w:jc w:val="center"/>
        <w:rPr>
          <w:rFonts w:ascii="宋体" w:hAnsi="宋体" w:cs="宋体"/>
          <w:b/>
          <w:color w:val="000000" w:themeColor="text1"/>
          <w:sz w:val="72"/>
        </w:rPr>
      </w:pPr>
      <w:r>
        <w:rPr>
          <w:rFonts w:hint="eastAsia" w:ascii="宋体" w:hAnsi="宋体" w:cs="宋体"/>
          <w:b/>
          <w:color w:val="000000" w:themeColor="text1"/>
          <w:sz w:val="72"/>
        </w:rPr>
        <w:t>投  标  文  件</w:t>
      </w:r>
    </w:p>
    <w:p>
      <w:pPr>
        <w:ind w:firstLine="1080" w:firstLineChars="300"/>
        <w:jc w:val="center"/>
        <w:rPr>
          <w:rFonts w:ascii="宋体" w:hAnsi="宋体" w:cs="宋体"/>
          <w:b/>
          <w:color w:val="000000" w:themeColor="text1"/>
          <w:sz w:val="36"/>
        </w:rPr>
      </w:pPr>
    </w:p>
    <w:p>
      <w:pPr>
        <w:jc w:val="center"/>
        <w:rPr>
          <w:rFonts w:ascii="宋体" w:hAnsi="宋体" w:cs="宋体"/>
          <w:b/>
          <w:color w:val="000000" w:themeColor="text1"/>
          <w:sz w:val="32"/>
          <w:szCs w:val="32"/>
        </w:rPr>
      </w:pPr>
      <w:r>
        <w:rPr>
          <w:rFonts w:hint="eastAsia" w:ascii="宋体" w:hAnsi="宋体" w:cs="宋体"/>
          <w:b/>
          <w:color w:val="000000" w:themeColor="text1"/>
          <w:sz w:val="32"/>
          <w:szCs w:val="32"/>
        </w:rPr>
        <w:t>（分包）</w:t>
      </w: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ind w:firstLine="1080" w:firstLineChars="300"/>
        <w:rPr>
          <w:rFonts w:ascii="宋体" w:hAnsi="宋体" w:cs="宋体"/>
          <w:b/>
          <w:color w:val="000000" w:themeColor="text1"/>
          <w:sz w:val="36"/>
        </w:rPr>
      </w:pPr>
      <w:r>
        <w:rPr>
          <w:rFonts w:hint="eastAsia" w:ascii="宋体" w:hAnsi="宋体" w:cs="宋体"/>
          <w:b/>
          <w:color w:val="000000" w:themeColor="text1"/>
          <w:sz w:val="36"/>
        </w:rPr>
        <w:t>项 目 名 称：</w:t>
      </w:r>
    </w:p>
    <w:p>
      <w:pPr>
        <w:ind w:firstLine="1080" w:firstLineChars="300"/>
        <w:rPr>
          <w:rFonts w:ascii="宋体" w:hAnsi="宋体" w:cs="宋体"/>
          <w:b/>
          <w:color w:val="000000" w:themeColor="text1"/>
          <w:sz w:val="36"/>
          <w:u w:val="single"/>
        </w:rPr>
      </w:pPr>
      <w:r>
        <w:rPr>
          <w:rFonts w:hint="eastAsia" w:ascii="宋体" w:hAnsi="宋体" w:cs="宋体"/>
          <w:b/>
          <w:color w:val="000000" w:themeColor="text1"/>
          <w:sz w:val="36"/>
        </w:rPr>
        <w:t>招 标 编 号：</w:t>
      </w:r>
    </w:p>
    <w:p>
      <w:pPr>
        <w:rPr>
          <w:rFonts w:ascii="宋体" w:hAnsi="宋体" w:cs="宋体"/>
          <w:b/>
          <w:color w:val="000000" w:themeColor="text1"/>
          <w:sz w:val="36"/>
          <w:u w:val="single"/>
        </w:rPr>
      </w:pPr>
      <w:r>
        <w:rPr>
          <w:rFonts w:hint="eastAsia" w:ascii="宋体" w:hAnsi="宋体" w:cs="宋体"/>
          <w:b/>
          <w:color w:val="000000" w:themeColor="text1"/>
          <w:sz w:val="36"/>
        </w:rPr>
        <w:t xml:space="preserve">      投标人名称 ：</w:t>
      </w:r>
    </w:p>
    <w:p>
      <w:pPr>
        <w:rPr>
          <w:rFonts w:ascii="宋体" w:hAnsi="宋体" w:cs="宋体"/>
          <w:b/>
          <w:color w:val="000000" w:themeColor="text1"/>
          <w:sz w:val="36"/>
        </w:rPr>
      </w:pPr>
      <w:r>
        <w:rPr>
          <w:rFonts w:hint="eastAsia" w:ascii="宋体" w:hAnsi="宋体" w:cs="宋体"/>
          <w:b/>
          <w:color w:val="000000" w:themeColor="text1"/>
          <w:sz w:val="36"/>
        </w:rPr>
        <w:t xml:space="preserve">      日      期 ：</w:t>
      </w:r>
    </w:p>
    <w:p>
      <w:pPr>
        <w:spacing w:line="440" w:lineRule="exact"/>
        <w:jc w:val="center"/>
        <w:rPr>
          <w:rFonts w:ascii="宋体" w:hAnsi="宋体" w:cs="宋体"/>
          <w:b/>
          <w:bCs/>
          <w:color w:val="000000" w:themeColor="text1"/>
          <w:sz w:val="32"/>
          <w:szCs w:val="32"/>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jc w:val="center"/>
        <w:rPr>
          <w:rFonts w:ascii="宋体" w:hAnsi="宋体" w:cs="宋体"/>
          <w:b/>
          <w:color w:val="000000" w:themeColor="text1"/>
          <w:sz w:val="30"/>
          <w:szCs w:val="30"/>
        </w:rPr>
      </w:pPr>
      <w:r>
        <w:rPr>
          <w:rFonts w:hint="eastAsia" w:ascii="宋体" w:hAnsi="宋体" w:cs="宋体"/>
          <w:color w:val="000000" w:themeColor="text1"/>
          <w:sz w:val="24"/>
        </w:rPr>
        <w:br w:type="page"/>
      </w:r>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46"/>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61"/>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570" w:type="dxa"/>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61"/>
              <w:shd w:val="clear" w:color="auto" w:fill="FFFFFF"/>
              <w:spacing w:line="265" w:lineRule="atLeast"/>
              <w:ind w:left="420"/>
              <w:jc w:val="both"/>
              <w:rPr>
                <w:rFonts w:ascii="宋体" w:hAnsi="宋体" w:cs="宋体"/>
                <w:b/>
                <w:color w:val="000000" w:themeColor="text1"/>
                <w:lang w:eastAsia="zh-CN"/>
              </w:rPr>
            </w:pPr>
          </w:p>
        </w:tc>
        <w:tc>
          <w:tcPr>
            <w:tcW w:w="3570" w:type="dxa"/>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61"/>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61"/>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61"/>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1"/>
              <w:shd w:val="clear" w:color="auto" w:fill="FFFFFF"/>
              <w:spacing w:line="265" w:lineRule="atLeast"/>
              <w:ind w:left="420"/>
              <w:rPr>
                <w:rFonts w:ascii="宋体" w:hAnsi="宋体" w:cs="宋体"/>
                <w:b/>
                <w:bCs/>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61"/>
              <w:shd w:val="clear" w:color="auto" w:fill="FFFFFF"/>
              <w:spacing w:line="265" w:lineRule="atLeast"/>
              <w:ind w:left="420"/>
              <w:rPr>
                <w:rFonts w:ascii="宋体" w:hAnsi="宋体" w:cs="宋体"/>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61"/>
              <w:shd w:val="clear" w:color="auto" w:fill="FFFFFF"/>
              <w:spacing w:line="265" w:lineRule="atLeast"/>
              <w:ind w:left="420"/>
              <w:rPr>
                <w:rFonts w:ascii="宋体" w:hAnsi="宋体" w:cs="宋体"/>
                <w:b/>
                <w:bCs/>
                <w:color w:val="000000" w:themeColor="text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61"/>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61"/>
              <w:shd w:val="clear" w:color="auto" w:fill="FFFFFF"/>
              <w:spacing w:line="265" w:lineRule="atLeast"/>
              <w:ind w:left="0" w:firstLine="480" w:firstLineChars="200"/>
              <w:rPr>
                <w:rFonts w:ascii="宋体" w:hAnsi="宋体" w:cs="宋体"/>
                <w:color w:val="000000" w:themeColor="text1"/>
                <w:szCs w:val="21"/>
                <w:lang w:eastAsia="zh-CN"/>
              </w:rPr>
            </w:pPr>
          </w:p>
        </w:tc>
        <w:tc>
          <w:tcPr>
            <w:tcW w:w="3570" w:type="dxa"/>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61"/>
              <w:shd w:val="clear" w:color="auto" w:fill="FFFFFF"/>
              <w:spacing w:line="265" w:lineRule="atLeast"/>
              <w:ind w:left="0" w:firstLine="480" w:firstLineChars="200"/>
              <w:rPr>
                <w:rFonts w:ascii="宋体" w:hAnsi="宋体" w:cs="宋体"/>
                <w:color w:val="000000" w:themeColor="text1"/>
                <w:lang w:eastAsia="zh-CN"/>
              </w:rPr>
            </w:pPr>
          </w:p>
        </w:tc>
        <w:tc>
          <w:tcPr>
            <w:tcW w:w="3570" w:type="dxa"/>
            <w:tcBorders>
              <w:bottom w:val="single" w:color="auto" w:sz="4" w:space="0"/>
            </w:tcBorders>
          </w:tcPr>
          <w:p>
            <w:pPr>
              <w:rPr>
                <w:rFonts w:ascii="宋体" w:hAnsi="宋体" w:cs="宋体"/>
                <w:color w:val="000000" w:themeColor="text1"/>
              </w:rPr>
            </w:pPr>
          </w:p>
        </w:tc>
      </w:tr>
    </w:tbl>
    <w:p>
      <w:pPr>
        <w:rPr>
          <w:rFonts w:ascii="宋体" w:hAnsi="宋体" w:cs="宋体"/>
          <w:color w:val="000000" w:themeColor="text1"/>
        </w:rPr>
      </w:pPr>
    </w:p>
    <w:p>
      <w:pPr>
        <w:ind w:firstLine="1080" w:firstLineChars="300"/>
        <w:jc w:val="center"/>
        <w:rPr>
          <w:rFonts w:ascii="宋体" w:hAnsi="宋体" w:cs="宋体"/>
          <w:b/>
          <w:bCs/>
          <w:color w:val="000000" w:themeColor="text1"/>
          <w:sz w:val="32"/>
          <w:szCs w:val="32"/>
        </w:rPr>
      </w:pPr>
      <w:r>
        <w:rPr>
          <w:rFonts w:hint="eastAsia" w:ascii="宋体" w:hAnsi="宋体" w:cs="宋体"/>
          <w:b/>
          <w:color w:val="000000" w:themeColor="text1"/>
          <w:sz w:val="36"/>
          <w:u w:val="single"/>
        </w:rPr>
        <w:br w:type="page"/>
      </w:r>
      <w:r>
        <w:rPr>
          <w:rFonts w:hint="eastAsia" w:ascii="宋体" w:hAnsi="宋体" w:cs="宋体"/>
          <w:b/>
          <w:bCs/>
          <w:color w:val="000000" w:themeColor="text1"/>
          <w:sz w:val="32"/>
          <w:szCs w:val="32"/>
        </w:rPr>
        <w:t>投标主要文件目录</w:t>
      </w:r>
    </w:p>
    <w:p>
      <w:pPr>
        <w:spacing w:line="440" w:lineRule="exact"/>
        <w:jc w:val="center"/>
        <w:rPr>
          <w:rFonts w:ascii="宋体" w:hAnsi="宋体" w:cs="宋体"/>
          <w:b/>
          <w:bCs/>
          <w:color w:val="000000" w:themeColor="text1"/>
          <w:sz w:val="32"/>
          <w:szCs w:val="32"/>
        </w:rPr>
      </w:pPr>
    </w:p>
    <w:p>
      <w:pPr>
        <w:ind w:firstLine="480" w:firstLineChars="200"/>
        <w:rPr>
          <w:rFonts w:ascii="宋体" w:hAnsi="宋体" w:cs="宋体"/>
          <w:color w:val="000000" w:themeColor="text1"/>
          <w:sz w:val="24"/>
        </w:rPr>
      </w:pPr>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p>
    <w:p>
      <w:pPr>
        <w:ind w:firstLine="480" w:firstLineChars="200"/>
        <w:rPr>
          <w:rFonts w:ascii="宋体" w:hAnsi="宋体" w:cs="宋体"/>
          <w:color w:val="000000" w:themeColor="text1"/>
          <w:sz w:val="24"/>
        </w:rPr>
      </w:pPr>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p>
    <w:p>
      <w:pPr>
        <w:ind w:firstLine="480" w:firstLineChars="200"/>
        <w:rPr>
          <w:rFonts w:ascii="宋体" w:hAnsi="宋体" w:cs="宋体"/>
          <w:bCs/>
          <w:color w:val="000000" w:themeColor="text1"/>
          <w:sz w:val="24"/>
        </w:rPr>
      </w:pPr>
      <w:r>
        <w:rPr>
          <w:rFonts w:hint="eastAsia" w:ascii="宋体" w:hAnsi="宋体" w:cs="宋体"/>
          <w:color w:val="000000" w:themeColor="text1"/>
          <w:sz w:val="24"/>
        </w:rPr>
        <w:t>三、符合性检查响应对照表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四、投标函</w:t>
      </w:r>
    </w:p>
    <w:p>
      <w:pPr>
        <w:ind w:firstLine="480" w:firstLineChars="200"/>
        <w:rPr>
          <w:rFonts w:ascii="宋体" w:hAnsi="宋体" w:cs="宋体"/>
          <w:color w:val="000000" w:themeColor="text1"/>
          <w:sz w:val="24"/>
        </w:rPr>
      </w:pPr>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六、投标配置与分项报价表</w:t>
      </w:r>
    </w:p>
    <w:p>
      <w:pPr>
        <w:ind w:firstLine="480" w:firstLineChars="200"/>
        <w:rPr>
          <w:rFonts w:ascii="宋体" w:hAnsi="宋体" w:cs="宋体"/>
          <w:color w:val="000000" w:themeColor="text1"/>
          <w:sz w:val="24"/>
        </w:rPr>
      </w:pPr>
      <w:r>
        <w:rPr>
          <w:rFonts w:hint="eastAsia" w:ascii="宋体" w:hAnsi="宋体" w:cs="宋体"/>
          <w:color w:val="000000" w:themeColor="text1"/>
          <w:sz w:val="24"/>
        </w:rPr>
        <w:t>七</w:t>
      </w:r>
      <w:r>
        <w:rPr>
          <w:rFonts w:hint="eastAsia" w:ascii="宋体" w:hAnsi="宋体" w:cs="宋体"/>
          <w:color w:val="000000" w:themeColor="text1"/>
          <w:sz w:val="24"/>
          <w:szCs w:val="24"/>
        </w:rPr>
        <w:t>、</w:t>
      </w:r>
      <w:r>
        <w:rPr>
          <w:rFonts w:hint="eastAsia" w:ascii="宋体" w:hAnsi="宋体" w:cs="宋体"/>
          <w:color w:val="000000" w:themeColor="text1"/>
          <w:sz w:val="24"/>
        </w:rPr>
        <w:t>商务条款响应及偏离表</w:t>
      </w:r>
    </w:p>
    <w:p>
      <w:pPr>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八、技术方案、服务承诺等</w:t>
      </w: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napToGrid w:val="0"/>
        <w:spacing w:before="50" w:after="50"/>
        <w:jc w:val="center"/>
        <w:rPr>
          <w:rFonts w:ascii="宋体" w:hAnsi="宋体" w:cs="宋体"/>
          <w:b/>
          <w:bCs/>
          <w:color w:val="000000" w:themeColor="text1"/>
          <w:sz w:val="32"/>
          <w:szCs w:val="32"/>
        </w:rPr>
      </w:pPr>
      <w:r>
        <w:rPr>
          <w:rFonts w:hint="eastAsia" w:ascii="宋体" w:hAnsi="宋体" w:cs="宋体"/>
          <w:color w:val="000000" w:themeColor="text1"/>
          <w:sz w:val="24"/>
        </w:rPr>
        <w:br w:type="page"/>
      </w:r>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p>
    <w:p>
      <w:pPr>
        <w:snapToGrid w:val="0"/>
        <w:spacing w:before="50" w:after="50"/>
        <w:rPr>
          <w:rFonts w:ascii="宋体" w:hAnsi="宋体" w:cs="宋体"/>
          <w:i/>
          <w:color w:val="000000" w:themeColor="text1"/>
          <w:szCs w:val="24"/>
          <w:u w:val="single"/>
        </w:rPr>
      </w:pPr>
    </w:p>
    <w:p>
      <w:pPr>
        <w:snapToGrid w:val="0"/>
        <w:spacing w:before="50" w:after="5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文件1  法人或者其他组织的营业执照等证明文件，自然人的身份证明（复印件）</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上一年度财务状况报告（复印件，成立不满一年不需提供）</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文件3  依法缴纳税收和社会保障资金的相关材料（复印件）</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文件4  具备履行合同所必需的设备和专业技术能力证明材料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文件5 参加政府采购活动前 3 年内在经营活动中没有重大违法记录的书面声明</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文件6 法人授权书</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5"/>
        <w:adjustRightInd w:val="0"/>
        <w:snapToGrid w:val="0"/>
        <w:spacing w:line="360" w:lineRule="auto"/>
        <w:rPr>
          <w:rFonts w:ascii="宋体" w:hAnsi="宋体" w:cs="宋体"/>
          <w:color w:val="000000" w:themeColor="text1"/>
          <w:sz w:val="24"/>
          <w:szCs w:val="24"/>
        </w:rPr>
      </w:pPr>
    </w:p>
    <w:p>
      <w:pPr>
        <w:pStyle w:val="5"/>
        <w:adjustRightInd w:val="0"/>
        <w:snapToGrid w:val="0"/>
        <w:spacing w:line="360" w:lineRule="auto"/>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5"/>
        <w:spacing w:line="0" w:lineRule="atLeast"/>
        <w:rPr>
          <w:rFonts w:ascii="宋体" w:hAnsi="宋体" w:cs="宋体"/>
          <w:color w:val="000000" w:themeColor="text1"/>
          <w:sz w:val="24"/>
          <w:szCs w:val="24"/>
        </w:rPr>
      </w:pPr>
    </w:p>
    <w:p>
      <w:pPr>
        <w:pStyle w:val="6"/>
        <w:jc w:val="center"/>
        <w:rPr>
          <w:rFonts w:ascii="宋体" w:hAnsi="宋体" w:cs="宋体"/>
          <w:b w:val="0"/>
          <w:bCs w:val="0"/>
          <w:color w:val="000000" w:themeColor="text1"/>
          <w:sz w:val="30"/>
          <w:szCs w:val="30"/>
        </w:rPr>
      </w:pPr>
      <w:r>
        <w:rPr>
          <w:rFonts w:hint="eastAsia" w:ascii="宋体" w:hAnsi="宋体" w:cs="宋体"/>
          <w:color w:val="000000" w:themeColor="text1"/>
          <w:sz w:val="24"/>
          <w:szCs w:val="24"/>
        </w:rPr>
        <w:t>具备履行合同所必需的设备和专业技术能力的书面声明</w:t>
      </w:r>
    </w:p>
    <w:p>
      <w:pPr>
        <w:spacing w:line="460" w:lineRule="exact"/>
        <w:ind w:firstLine="492"/>
        <w:rPr>
          <w:rFonts w:ascii="宋体" w:hAnsi="宋体" w:cs="宋体"/>
          <w:bCs/>
          <w:color w:val="000000" w:themeColor="text1"/>
          <w:sz w:val="24"/>
        </w:rPr>
      </w:pPr>
      <w:r>
        <w:rPr>
          <w:rFonts w:hint="eastAsia" w:ascii="宋体" w:hAnsi="宋体" w:cs="宋体"/>
          <w:bCs/>
          <w:color w:val="000000" w:themeColor="text1"/>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rPr>
      </w:pPr>
      <w:r>
        <w:rPr>
          <w:rFonts w:hint="eastAsia" w:ascii="宋体" w:hAnsi="宋体" w:cs="宋体"/>
          <w:bCs/>
          <w:color w:val="000000" w:themeColor="text1"/>
          <w:sz w:val="24"/>
        </w:rPr>
        <w:t>主要设备有：</w:t>
      </w:r>
    </w:p>
    <w:p>
      <w:pPr>
        <w:spacing w:line="460" w:lineRule="exact"/>
        <w:ind w:firstLine="492"/>
        <w:rPr>
          <w:rFonts w:ascii="宋体" w:hAnsi="宋体" w:cs="宋体"/>
          <w:bCs/>
          <w:color w:val="000000" w:themeColor="text1"/>
          <w:sz w:val="24"/>
        </w:rPr>
      </w:pPr>
      <w:r>
        <w:rPr>
          <w:rFonts w:hint="eastAsia" w:ascii="宋体" w:hAnsi="宋体" w:cs="宋体"/>
          <w:bCs/>
          <w:color w:val="000000" w:themeColor="text1"/>
          <w:sz w:val="24"/>
        </w:rPr>
        <w:t>主要专业技术能力有：</w:t>
      </w:r>
    </w:p>
    <w:p>
      <w:pPr>
        <w:spacing w:line="460" w:lineRule="exact"/>
        <w:ind w:firstLine="492"/>
        <w:rPr>
          <w:rFonts w:ascii="宋体" w:hAnsi="宋体" w:cs="宋体"/>
          <w:bCs/>
          <w:color w:val="000000" w:themeColor="text1"/>
          <w:sz w:val="24"/>
        </w:rPr>
      </w:pPr>
    </w:p>
    <w:p>
      <w:pPr>
        <w:spacing w:line="460" w:lineRule="exact"/>
        <w:ind w:firstLine="492"/>
        <w:rPr>
          <w:rFonts w:ascii="宋体" w:hAnsi="宋体" w:cs="宋体"/>
          <w:bCs/>
          <w:color w:val="000000" w:themeColor="text1"/>
          <w:sz w:val="24"/>
        </w:rPr>
      </w:pPr>
    </w:p>
    <w:p>
      <w:pPr>
        <w:spacing w:line="460" w:lineRule="exact"/>
        <w:ind w:firstLine="492"/>
        <w:rPr>
          <w:rFonts w:ascii="宋体" w:hAnsi="宋体" w:cs="宋体"/>
          <w:bCs/>
          <w:color w:val="000000" w:themeColor="text1"/>
          <w:sz w:val="24"/>
        </w:rPr>
      </w:pP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供应商名称（公章）：</w:t>
      </w: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日期：年月日</w:t>
      </w:r>
    </w:p>
    <w:p>
      <w:pPr>
        <w:pStyle w:val="6"/>
        <w:jc w:val="center"/>
        <w:rPr>
          <w:rFonts w:ascii="宋体" w:hAnsi="宋体" w:cs="宋体"/>
          <w:color w:val="000000" w:themeColor="text1"/>
          <w:sz w:val="24"/>
          <w:szCs w:val="24"/>
        </w:rPr>
      </w:pPr>
      <w:r>
        <w:rPr>
          <w:rFonts w:hint="eastAsia" w:ascii="宋体" w:hAnsi="宋体" w:cs="宋体"/>
          <w:color w:val="000000" w:themeColor="text1"/>
        </w:rPr>
        <w:br w:type="page"/>
      </w:r>
      <w:r>
        <w:rPr>
          <w:rFonts w:hint="eastAsia" w:ascii="宋体" w:hAnsi="宋体" w:cs="宋体"/>
          <w:color w:val="000000" w:themeColor="text1"/>
          <w:sz w:val="24"/>
          <w:szCs w:val="24"/>
        </w:rPr>
        <w:t>参加政府采购活动前 3 年内在经营活动中没有重大违法记录的书面声明</w:t>
      </w:r>
    </w:p>
    <w:p>
      <w:pPr>
        <w:spacing w:line="460" w:lineRule="exact"/>
        <w:rPr>
          <w:rFonts w:ascii="宋体" w:hAnsi="宋体" w:cs="宋体"/>
          <w:b/>
          <w:bCs/>
          <w:color w:val="000000" w:themeColor="text1"/>
          <w:sz w:val="44"/>
          <w:szCs w:val="44"/>
        </w:rPr>
      </w:pPr>
    </w:p>
    <w:p>
      <w:pPr>
        <w:spacing w:line="460" w:lineRule="exact"/>
        <w:rPr>
          <w:rFonts w:ascii="宋体" w:hAnsi="宋体" w:cs="宋体"/>
          <w:b/>
          <w:bCs/>
          <w:color w:val="000000" w:themeColor="text1"/>
          <w:sz w:val="44"/>
          <w:szCs w:val="44"/>
        </w:rPr>
      </w:pPr>
      <w:r>
        <w:rPr>
          <w:rFonts w:hint="eastAsia" w:ascii="宋体" w:hAnsi="宋体" w:cs="宋体"/>
          <w:b/>
          <w:bCs/>
          <w:color w:val="000000" w:themeColor="text1"/>
          <w:sz w:val="44"/>
          <w:szCs w:val="44"/>
        </w:rPr>
        <w:t xml:space="preserve">                   声  明</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供应商名称（公章）：</w:t>
      </w: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授权代表签字：</w:t>
      </w:r>
      <w:r>
        <w:rPr>
          <w:rFonts w:hint="eastAsia" w:ascii="宋体" w:hAnsi="宋体" w:cs="宋体"/>
          <w:bCs/>
          <w:color w:val="000000" w:themeColor="text1"/>
          <w:sz w:val="24"/>
          <w:u w:val="single"/>
        </w:rPr>
        <w:t>______________</w:t>
      </w:r>
    </w:p>
    <w:p>
      <w:pPr>
        <w:spacing w:line="460" w:lineRule="exact"/>
        <w:rPr>
          <w:rFonts w:ascii="宋体" w:hAnsi="宋体" w:cs="宋体"/>
          <w:bCs/>
          <w:color w:val="000000" w:themeColor="text1"/>
          <w:sz w:val="24"/>
        </w:rPr>
      </w:pPr>
      <w:r>
        <w:rPr>
          <w:rFonts w:hint="eastAsia" w:ascii="宋体" w:hAnsi="宋体" w:cs="宋体"/>
          <w:bCs/>
          <w:color w:val="000000" w:themeColor="text1"/>
          <w:sz w:val="24"/>
        </w:rPr>
        <w:t xml:space="preserve">                                      日期：</w:t>
      </w:r>
      <w:r>
        <w:rPr>
          <w:rFonts w:hint="eastAsia" w:ascii="宋体" w:hAnsi="宋体" w:cs="宋体"/>
          <w:bCs/>
          <w:color w:val="000000" w:themeColor="text1"/>
          <w:sz w:val="24"/>
          <w:u w:val="single"/>
        </w:rPr>
        <w:t>______</w:t>
      </w:r>
      <w:r>
        <w:rPr>
          <w:rFonts w:hint="eastAsia" w:ascii="宋体" w:hAnsi="宋体" w:cs="宋体"/>
          <w:bCs/>
          <w:color w:val="000000" w:themeColor="text1"/>
          <w:sz w:val="24"/>
        </w:rPr>
        <w:t>年</w:t>
      </w:r>
      <w:r>
        <w:rPr>
          <w:rFonts w:hint="eastAsia" w:ascii="宋体" w:hAnsi="宋体" w:cs="宋体"/>
          <w:bCs/>
          <w:color w:val="000000" w:themeColor="text1"/>
          <w:sz w:val="24"/>
          <w:u w:val="single"/>
        </w:rPr>
        <w:t>______</w:t>
      </w:r>
      <w:r>
        <w:rPr>
          <w:rFonts w:hint="eastAsia" w:ascii="宋体" w:hAnsi="宋体" w:cs="宋体"/>
          <w:bCs/>
          <w:color w:val="000000" w:themeColor="text1"/>
          <w:sz w:val="24"/>
        </w:rPr>
        <w:t>月</w:t>
      </w:r>
      <w:r>
        <w:rPr>
          <w:rFonts w:hint="eastAsia" w:ascii="宋体" w:hAnsi="宋体" w:cs="宋体"/>
          <w:bCs/>
          <w:color w:val="000000" w:themeColor="text1"/>
          <w:sz w:val="24"/>
          <w:u w:val="single"/>
        </w:rPr>
        <w:t>______</w:t>
      </w:r>
      <w:r>
        <w:rPr>
          <w:rFonts w:hint="eastAsia" w:ascii="宋体" w:hAnsi="宋体" w:cs="宋体"/>
          <w:bCs/>
          <w:color w:val="000000" w:themeColor="text1"/>
          <w:sz w:val="24"/>
        </w:rPr>
        <w:t>日</w:t>
      </w: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widowControl/>
        <w:jc w:val="left"/>
        <w:rPr>
          <w:rFonts w:ascii="宋体" w:hAnsi="宋体" w:cs="宋体"/>
          <w:bCs/>
          <w:color w:val="000000" w:themeColor="text1"/>
          <w:sz w:val="24"/>
        </w:rPr>
      </w:pPr>
      <w:r>
        <w:rPr>
          <w:rFonts w:ascii="宋体" w:hAnsi="宋体" w:cs="宋体"/>
          <w:bCs/>
          <w:color w:val="000000" w:themeColor="text1"/>
          <w:sz w:val="24"/>
        </w:rPr>
        <w:br w:type="page"/>
      </w:r>
    </w:p>
    <w:p>
      <w:pPr>
        <w:spacing w:line="460" w:lineRule="exact"/>
        <w:rPr>
          <w:rFonts w:ascii="宋体" w:hAnsi="宋体" w:cs="宋体"/>
          <w:bCs/>
          <w:color w:val="000000" w:themeColor="text1"/>
          <w:sz w:val="24"/>
        </w:rPr>
      </w:pPr>
    </w:p>
    <w:p>
      <w:pPr>
        <w:pStyle w:val="6"/>
        <w:jc w:val="center"/>
        <w:rPr>
          <w:rFonts w:ascii="宋体" w:hAnsi="宋体" w:cs="宋体"/>
          <w:color w:val="000000" w:themeColor="text1"/>
          <w:sz w:val="24"/>
          <w:szCs w:val="24"/>
        </w:rPr>
      </w:pPr>
      <w:r>
        <w:rPr>
          <w:rFonts w:hint="eastAsia" w:ascii="宋体" w:hAnsi="宋体" w:cs="宋体"/>
          <w:color w:val="000000" w:themeColor="text1"/>
          <w:sz w:val="24"/>
          <w:szCs w:val="24"/>
        </w:rPr>
        <w:t>法人授权书</w:t>
      </w:r>
    </w:p>
    <w:p>
      <w:pPr>
        <w:pStyle w:val="8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w:t>
      </w:r>
      <w:r>
        <w:rPr>
          <w:rFonts w:ascii="宋体" w:hAnsi="宋体" w:cs="宋体"/>
          <w:color w:val="000000" w:themeColor="text1"/>
          <w:sz w:val="24"/>
          <w:szCs w:val="24"/>
          <w:u w:val="single"/>
        </w:rPr>
        <w:t>2020-0</w:t>
      </w:r>
      <w:r>
        <w:rPr>
          <w:rFonts w:hint="eastAsia" w:ascii="宋体" w:hAnsi="宋体" w:cs="宋体"/>
          <w:color w:val="000000" w:themeColor="text1"/>
          <w:sz w:val="24"/>
          <w:szCs w:val="24"/>
          <w:u w:val="single"/>
          <w:lang w:val="en-US" w:eastAsia="zh-CN"/>
        </w:rPr>
        <w:t>70</w:t>
      </w:r>
      <w:r>
        <w:rPr>
          <w:rFonts w:ascii="宋体" w:hAnsi="宋体" w:cs="宋体"/>
          <w:color w:val="000000" w:themeColor="text1"/>
          <w:sz w:val="24"/>
          <w:szCs w:val="24"/>
          <w:u w:val="single"/>
        </w:rPr>
        <w:t>W</w:t>
      </w:r>
      <w:r>
        <w:rPr>
          <w:rFonts w:hint="eastAsia" w:ascii="宋体" w:hAnsi="宋体" w:cs="宋体"/>
          <w:color w:val="000000" w:themeColor="text1"/>
          <w:sz w:val="24"/>
          <w:szCs w:val="24"/>
        </w:rPr>
        <w:t>号项目采购活动的合法代理人，以本公司名义全权处理一切与该项目采购有关的事务。</w:t>
      </w:r>
    </w:p>
    <w:p>
      <w:pPr>
        <w:pStyle w:val="8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8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代理人（被授权人）：_______________________</w:t>
      </w:r>
    </w:p>
    <w:p>
      <w:pPr>
        <w:pStyle w:val="86"/>
        <w:ind w:firstLine="0" w:firstLineChars="0"/>
        <w:rPr>
          <w:rFonts w:ascii="宋体" w:hAnsi="宋体" w:cs="宋体"/>
          <w:color w:val="000000" w:themeColor="text1"/>
          <w:sz w:val="24"/>
          <w:szCs w:val="24"/>
        </w:rPr>
      </w:pPr>
    </w:p>
    <w:p>
      <w:pPr>
        <w:pStyle w:val="8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6"/>
        <w:ind w:firstLine="480"/>
        <w:rPr>
          <w:rFonts w:ascii="宋体" w:hAnsi="宋体" w:cs="宋体"/>
          <w:color w:val="000000" w:themeColor="text1"/>
          <w:sz w:val="24"/>
          <w:szCs w:val="24"/>
        </w:rPr>
      </w:pPr>
    </w:p>
    <w:p>
      <w:pPr>
        <w:pStyle w:val="8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8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6"/>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8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6"/>
        <w:rPr>
          <w:rFonts w:ascii="宋体" w:hAnsi="宋体" w:cs="宋体"/>
          <w:color w:val="000000" w:themeColor="text1"/>
        </w:rPr>
      </w:pPr>
      <w:bookmarkStart w:id="177" w:name="_Hlt26671380"/>
      <w:bookmarkEnd w:id="177"/>
      <w:bookmarkStart w:id="178" w:name="_Hlt26955070"/>
      <w:bookmarkEnd w:id="178"/>
      <w:bookmarkStart w:id="179" w:name="_格式3__银行出具的资信证明"/>
      <w:bookmarkEnd w:id="179"/>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pStyle w:val="5"/>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napToGrid w:val="0"/>
        <w:spacing w:before="50" w:after="50"/>
        <w:jc w:val="center"/>
        <w:rPr>
          <w:rFonts w:ascii="宋体" w:hAnsi="宋体" w:cs="宋体"/>
          <w:color w:val="000000" w:themeColor="text1"/>
          <w:sz w:val="32"/>
          <w:szCs w:val="32"/>
        </w:rPr>
      </w:pPr>
      <w:r>
        <w:rPr>
          <w:rFonts w:hint="eastAsia" w:ascii="宋体" w:hAnsi="宋体" w:cs="宋体"/>
          <w:b/>
          <w:color w:val="000000" w:themeColor="text1"/>
          <w:sz w:val="32"/>
          <w:szCs w:val="32"/>
        </w:rPr>
        <w:br w:type="page"/>
      </w:r>
      <w:r>
        <w:rPr>
          <w:rFonts w:hint="eastAsia" w:ascii="宋体" w:hAnsi="宋体" w:cs="宋体"/>
          <w:color w:val="000000" w:themeColor="text1"/>
          <w:sz w:val="32"/>
          <w:szCs w:val="32"/>
        </w:rPr>
        <w:t>二、资格性审查响应对照表（格式）</w:t>
      </w:r>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color w:val="000000" w:themeColor="text1"/>
              </w:rPr>
            </w:pPr>
            <w:r>
              <w:rPr>
                <w:rFonts w:hint="eastAsia" w:ascii="宋体" w:hAnsi="宋体" w:cs="宋体"/>
                <w:b/>
                <w:color w:val="000000" w:themeColor="text1"/>
              </w:rPr>
              <w:t>1</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b/>
                <w:color w:val="000000" w:themeColor="text1"/>
              </w:rPr>
            </w:pPr>
          </w:p>
        </w:tc>
        <w:tc>
          <w:tcPr>
            <w:tcW w:w="1785" w:type="dxa"/>
            <w:vAlign w:val="center"/>
          </w:tcPr>
          <w:p>
            <w:pP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2</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3</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4</w:t>
            </w:r>
          </w:p>
        </w:tc>
        <w:tc>
          <w:tcPr>
            <w:tcW w:w="5447" w:type="dxa"/>
            <w:vAlign w:val="center"/>
          </w:tcPr>
          <w:p>
            <w:pPr>
              <w:spacing w:line="360" w:lineRule="auto"/>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5</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6</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7</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bookmarkEnd w:id="174"/>
    <w:bookmarkEnd w:id="175"/>
    <w:bookmarkEnd w:id="176"/>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三、符合性检查响应对照表（格式）</w:t>
      </w:r>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b/>
                <w:color w:val="000000" w:themeColor="text1"/>
              </w:rPr>
            </w:pPr>
            <w:r>
              <w:rPr>
                <w:rFonts w:hint="eastAsia" w:ascii="宋体" w:hAnsi="宋体" w:cs="宋体"/>
                <w:b/>
                <w:color w:val="000000" w:themeColor="text1"/>
              </w:rPr>
              <w:t>1</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b/>
                <w:color w:val="000000" w:themeColor="text1"/>
              </w:rPr>
            </w:pPr>
          </w:p>
        </w:tc>
        <w:tc>
          <w:tcPr>
            <w:tcW w:w="1785" w:type="dxa"/>
            <w:vAlign w:val="center"/>
          </w:tcPr>
          <w:p>
            <w:pP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2</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3</w:t>
            </w:r>
          </w:p>
        </w:tc>
        <w:tc>
          <w:tcPr>
            <w:tcW w:w="5447" w:type="dxa"/>
            <w:vAlign w:val="center"/>
          </w:tcPr>
          <w:p>
            <w:pPr>
              <w:spacing w:line="480" w:lineRule="exac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4</w:t>
            </w:r>
          </w:p>
        </w:tc>
        <w:tc>
          <w:tcPr>
            <w:tcW w:w="5447" w:type="dxa"/>
            <w:vAlign w:val="center"/>
          </w:tcPr>
          <w:p>
            <w:pPr>
              <w:spacing w:line="360" w:lineRule="auto"/>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5</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6</w:t>
            </w:r>
          </w:p>
        </w:tc>
        <w:tc>
          <w:tcPr>
            <w:tcW w:w="5447" w:type="dxa"/>
            <w:vAlign w:val="center"/>
          </w:tcPr>
          <w:p>
            <w:pPr>
              <w:snapToGrid w:val="0"/>
              <w:spacing w:line="590" w:lineRule="atLeast"/>
              <w:rPr>
                <w:rFonts w:ascii="宋体" w:hAnsi="宋体" w:cs="宋体"/>
                <w:iCs/>
                <w:color w:val="000000" w:themeColor="text1"/>
                <w:sz w:val="24"/>
                <w:szCs w:val="24"/>
              </w:rPr>
            </w:pP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rPr>
                <w:rFonts w:ascii="宋体" w:hAnsi="宋体" w:cs="宋体"/>
                <w:color w:val="000000" w:themeColor="text1"/>
              </w:rPr>
            </w:pPr>
            <w:r>
              <w:rPr>
                <w:rFonts w:hint="eastAsia" w:ascii="宋体" w:hAnsi="宋体" w:cs="宋体"/>
                <w:color w:val="000000" w:themeColor="text1"/>
              </w:rPr>
              <w:t>7</w:t>
            </w:r>
          </w:p>
        </w:tc>
        <w:tc>
          <w:tcPr>
            <w:tcW w:w="5447" w:type="dxa"/>
            <w:vAlign w:val="center"/>
          </w:tcPr>
          <w:p>
            <w:pPr>
              <w:snapToGrid w:val="0"/>
              <w:spacing w:line="590" w:lineRule="atLeast"/>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vAlign w:val="center"/>
          </w:tcPr>
          <w:p>
            <w:pPr>
              <w:rPr>
                <w:rFonts w:ascii="宋体" w:hAnsi="宋体" w:cs="宋体"/>
                <w:color w:val="000000" w:themeColor="text1"/>
              </w:rPr>
            </w:pPr>
          </w:p>
        </w:tc>
        <w:tc>
          <w:tcPr>
            <w:tcW w:w="1785" w:type="dxa"/>
            <w:vAlign w:val="center"/>
          </w:tcPr>
          <w:p>
            <w:pP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24"/>
          <w:szCs w:val="24"/>
        </w:rPr>
      </w:pPr>
      <w:bookmarkStart w:id="180" w:name="_Toc120614284"/>
    </w:p>
    <w:p>
      <w:pPr>
        <w:pStyle w:val="2"/>
        <w:rPr>
          <w:color w:val="000000" w:themeColor="text1"/>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四、投标函（格式）</w:t>
      </w:r>
    </w:p>
    <w:p>
      <w:pPr>
        <w:pStyle w:val="70"/>
        <w:spacing w:before="0" w:after="0" w:line="420" w:lineRule="exact"/>
        <w:ind w:firstLine="0"/>
        <w:rPr>
          <w:rFonts w:ascii="宋体" w:hAnsi="宋体" w:cs="宋体"/>
          <w:color w:val="000000" w:themeColor="text1"/>
          <w:kern w:val="2"/>
          <w:szCs w:val="21"/>
        </w:rPr>
      </w:pPr>
      <w:r>
        <w:rPr>
          <w:rFonts w:hint="eastAsia" w:ascii="宋体" w:hAnsi="宋体" w:cs="宋体"/>
          <w:color w:val="000000" w:themeColor="text1"/>
          <w:kern w:val="2"/>
          <w:szCs w:val="21"/>
        </w:rPr>
        <w:t>致：</w:t>
      </w:r>
      <w:r>
        <w:rPr>
          <w:rFonts w:hint="eastAsia" w:ascii="宋体" w:hAnsi="宋体" w:cs="宋体"/>
          <w:color w:val="000000" w:themeColor="text1"/>
          <w:kern w:val="2"/>
          <w:szCs w:val="21"/>
          <w:u w:val="single"/>
        </w:rPr>
        <w:t>盐城工业职业技术学院</w:t>
      </w:r>
    </w:p>
    <w:p>
      <w:pPr>
        <w:pStyle w:val="70"/>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 xml:space="preserve">根据贵方的 </w:t>
      </w:r>
      <w:r>
        <w:rPr>
          <w:rFonts w:ascii="宋体" w:hAnsi="宋体" w:cs="宋体"/>
          <w:color w:val="000000" w:themeColor="text1"/>
          <w:kern w:val="2"/>
          <w:szCs w:val="21"/>
          <w:u w:val="single"/>
        </w:rPr>
        <w:t>2020-0</w:t>
      </w:r>
      <w:r>
        <w:rPr>
          <w:rFonts w:hint="eastAsia" w:ascii="宋体" w:hAnsi="宋体" w:cs="宋体"/>
          <w:color w:val="000000" w:themeColor="text1"/>
          <w:kern w:val="2"/>
          <w:szCs w:val="21"/>
          <w:u w:val="single"/>
          <w:lang w:val="en-US" w:eastAsia="zh-CN"/>
        </w:rPr>
        <w:t>70</w:t>
      </w:r>
      <w:r>
        <w:rPr>
          <w:rFonts w:ascii="宋体" w:hAnsi="宋体" w:cs="宋体"/>
          <w:color w:val="000000" w:themeColor="text1"/>
          <w:kern w:val="2"/>
          <w:szCs w:val="21"/>
          <w:u w:val="single"/>
        </w:rPr>
        <w:t>W</w:t>
      </w:r>
      <w:r>
        <w:rPr>
          <w:rFonts w:hint="eastAsia" w:ascii="宋体" w:hAnsi="宋体" w:cs="宋体"/>
          <w:color w:val="000000" w:themeColor="text1"/>
          <w:kern w:val="2"/>
          <w:szCs w:val="21"/>
        </w:rPr>
        <w:t>号招标文件，正式授权下述签字人_________________(姓名)代表我方______________（投标人的名称），全权处理本次项目投标的有关事宜。</w:t>
      </w:r>
    </w:p>
    <w:p>
      <w:pPr>
        <w:pStyle w:val="70"/>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据此函，__________签字人兹宣布同意如下：</w:t>
      </w:r>
    </w:p>
    <w:p>
      <w:pPr>
        <w:pStyle w:val="70"/>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1.按招标文件规定的各项要求，向买方提供所需货物与服务。</w:t>
      </w:r>
    </w:p>
    <w:p>
      <w:pPr>
        <w:pStyle w:val="70"/>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2.我们完全理解贵方不一定将合同授予最低报价的投标人。</w:t>
      </w:r>
    </w:p>
    <w:p>
      <w:pPr>
        <w:pStyle w:val="70"/>
        <w:spacing w:before="0" w:after="0" w:line="420" w:lineRule="exact"/>
        <w:ind w:firstLineChars="200"/>
        <w:rPr>
          <w:rFonts w:ascii="宋体" w:hAnsi="宋体" w:cs="宋体"/>
          <w:color w:val="000000" w:themeColor="text1"/>
          <w:kern w:val="2"/>
          <w:szCs w:val="21"/>
        </w:rPr>
      </w:pPr>
      <w:r>
        <w:rPr>
          <w:rFonts w:hint="eastAsia" w:ascii="宋体" w:hAnsi="宋体" w:cs="宋体"/>
          <w:color w:val="000000" w:themeColor="text1"/>
          <w:kern w:val="2"/>
          <w:szCs w:val="21"/>
        </w:rPr>
        <w:t>3.我们已详细审核全部招标文件及其有效补充文件，我们知道必须放弃提出含糊不清或误解问题的权利。</w:t>
      </w:r>
    </w:p>
    <w:p>
      <w:pPr>
        <w:pStyle w:val="70"/>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4.我们同意从规定的开标日期起遵循本投标文件，并在规定的投标有效期期满之前均具有约束力。</w:t>
      </w:r>
    </w:p>
    <w:p>
      <w:pPr>
        <w:pStyle w:val="70"/>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5.如果在开标后规定的投标有效期内撤回投标或中标后拒绝签订合同，则按照国家相关法律法规受到相应处罚。</w:t>
      </w:r>
    </w:p>
    <w:p>
      <w:pPr>
        <w:pStyle w:val="70"/>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6.同意向贵方提供贵方可能另外要求的与投标有关的任何证据或资料，并保证我方已提供和将要提供的文件是真实的、准确的。</w:t>
      </w:r>
    </w:p>
    <w:p>
      <w:pPr>
        <w:pStyle w:val="70"/>
        <w:spacing w:before="0" w:after="0" w:line="420" w:lineRule="exact"/>
        <w:rPr>
          <w:rFonts w:ascii="宋体" w:hAnsi="宋体" w:cs="宋体"/>
          <w:color w:val="000000" w:themeColor="text1"/>
          <w:kern w:val="2"/>
          <w:szCs w:val="21"/>
        </w:rPr>
      </w:pPr>
      <w:r>
        <w:rPr>
          <w:rFonts w:hint="eastAsia" w:ascii="宋体" w:hAnsi="宋体" w:cs="宋体"/>
          <w:color w:val="000000" w:themeColor="text1"/>
          <w:kern w:val="2"/>
          <w:szCs w:val="21"/>
        </w:rPr>
        <w:t>7.一旦我方中标,我方将根据招标文件的规定，严格履行合同的责任和义务,并保证在招标文件规定的时间完成项目，交付买方验收、使用。</w:t>
      </w:r>
    </w:p>
    <w:p>
      <w:pPr>
        <w:pStyle w:val="70"/>
        <w:spacing w:before="0" w:after="0" w:line="420" w:lineRule="exact"/>
        <w:ind w:left="425" w:firstLine="0"/>
        <w:rPr>
          <w:rFonts w:ascii="宋体" w:hAnsi="宋体" w:cs="宋体"/>
          <w:color w:val="000000" w:themeColor="text1"/>
          <w:kern w:val="2"/>
          <w:szCs w:val="21"/>
        </w:rPr>
      </w:pPr>
      <w:r>
        <w:rPr>
          <w:rFonts w:hint="eastAsia" w:ascii="宋体" w:hAnsi="宋体" w:cs="宋体"/>
          <w:color w:val="000000" w:themeColor="text1"/>
          <w:kern w:val="2"/>
          <w:szCs w:val="21"/>
        </w:rPr>
        <w:t>8.与本投标有关的正式通讯地址为：</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地          址：</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邮          编：</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电          话：</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传          真：</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投标人开户行：</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 xml:space="preserve">账户： </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 xml:space="preserve">投标人授权代表姓名（签字）： </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 xml:space="preserve">投标人名称（公章）： </w:t>
      </w:r>
    </w:p>
    <w:p>
      <w:pPr>
        <w:pStyle w:val="70"/>
        <w:spacing w:before="0" w:after="0" w:line="420" w:lineRule="exact"/>
        <w:ind w:left="420" w:leftChars="200" w:firstLineChars="200"/>
        <w:rPr>
          <w:rFonts w:ascii="宋体" w:hAnsi="宋体" w:cs="宋体"/>
          <w:color w:val="000000" w:themeColor="text1"/>
          <w:kern w:val="2"/>
          <w:szCs w:val="21"/>
        </w:rPr>
      </w:pPr>
      <w:r>
        <w:rPr>
          <w:rFonts w:hint="eastAsia" w:ascii="宋体" w:hAnsi="宋体" w:cs="宋体"/>
          <w:color w:val="000000" w:themeColor="text1"/>
          <w:kern w:val="2"/>
          <w:szCs w:val="21"/>
        </w:rPr>
        <w:t>日           期：_____年____月____日</w:t>
      </w:r>
    </w:p>
    <w:p>
      <w:pPr>
        <w:snapToGrid w:val="0"/>
        <w:spacing w:before="50" w:afterLines="50"/>
        <w:jc w:val="left"/>
        <w:rPr>
          <w:rFonts w:ascii="宋体" w:hAnsi="宋体" w:cs="宋体"/>
          <w:color w:val="000000" w:themeColor="text1"/>
          <w:sz w:val="24"/>
          <w:szCs w:val="20"/>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widowControl/>
        <w:jc w:val="left"/>
        <w:rPr>
          <w:rFonts w:ascii="宋体" w:hAnsi="宋体" w:cs="宋体"/>
          <w:color w:val="000000" w:themeColor="text1"/>
          <w:sz w:val="32"/>
          <w:szCs w:val="32"/>
        </w:rPr>
      </w:pPr>
      <w:r>
        <w:rPr>
          <w:rFonts w:ascii="宋体" w:hAnsi="宋体" w:cs="宋体"/>
          <w:color w:val="000000" w:themeColor="text1"/>
          <w:sz w:val="32"/>
          <w:szCs w:val="32"/>
        </w:rPr>
        <w:br w:type="page"/>
      </w: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五、开标一览表（格式）</w:t>
      </w:r>
    </w:p>
    <w:p>
      <w:pPr>
        <w:snapToGrid w:val="0"/>
        <w:spacing w:before="50" w:after="50"/>
        <w:jc w:val="center"/>
        <w:rPr>
          <w:rFonts w:ascii="宋体" w:hAnsi="宋体" w:cs="宋体"/>
          <w:color w:val="000000" w:themeColor="text1"/>
          <w:sz w:val="32"/>
          <w:szCs w:val="32"/>
        </w:rPr>
      </w:pPr>
    </w:p>
    <w:tbl>
      <w:tblPr>
        <w:tblStyle w:val="46"/>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700" w:type="dxa"/>
            <w:vAlign w:val="center"/>
          </w:tcPr>
          <w:p>
            <w:pPr>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项 目 编 号</w:t>
            </w:r>
          </w:p>
        </w:tc>
        <w:tc>
          <w:tcPr>
            <w:tcW w:w="6307" w:type="dxa"/>
            <w:vAlign w:val="center"/>
          </w:tcPr>
          <w:p>
            <w:pPr>
              <w:pStyle w:val="4"/>
              <w:spacing w:line="240" w:lineRule="auto"/>
              <w:jc w:val="both"/>
              <w:rPr>
                <w:rFonts w:ascii="宋体" w:hAnsi="宋体" w:eastAsia="宋体" w:cs="宋体"/>
                <w:color w:val="000000" w:themeColor="text1"/>
                <w:sz w:val="28"/>
                <w:szCs w:val="28"/>
                <w:u w:val="single"/>
              </w:rPr>
            </w:pPr>
            <w:r>
              <w:rPr>
                <w:rFonts w:hint="eastAsia" w:ascii="宋体" w:hAnsi="宋体" w:cs="宋体"/>
                <w:color w:val="000000" w:themeColor="text1"/>
                <w:sz w:val="24"/>
                <w:szCs w:val="24"/>
              </w:rPr>
              <w:t>2020-0</w:t>
            </w:r>
            <w:r>
              <w:rPr>
                <w:rFonts w:hint="eastAsia" w:ascii="宋体" w:hAnsi="宋体" w:cs="宋体"/>
                <w:color w:val="000000" w:themeColor="text1"/>
                <w:sz w:val="24"/>
                <w:szCs w:val="24"/>
                <w:lang w:val="en-US" w:eastAsia="zh-CN"/>
              </w:rPr>
              <w:t>70</w:t>
            </w:r>
            <w:r>
              <w:rPr>
                <w:rFonts w:hint="eastAsia" w:ascii="宋体" w:hAnsi="宋体" w:cs="宋体"/>
                <w:color w:val="000000" w:themeColor="text1"/>
                <w:sz w:val="24"/>
                <w:szCs w:val="24"/>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700" w:type="dxa"/>
            <w:vAlign w:val="center"/>
          </w:tcPr>
          <w:p>
            <w:pPr>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项 目 名 称</w:t>
            </w:r>
          </w:p>
        </w:tc>
        <w:tc>
          <w:tcPr>
            <w:tcW w:w="6307" w:type="dxa"/>
            <w:vAlign w:val="center"/>
          </w:tcPr>
          <w:p>
            <w:pPr>
              <w:pStyle w:val="4"/>
              <w:spacing w:line="240" w:lineRule="auto"/>
              <w:jc w:val="both"/>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盐城工业职业技术学院车辆租赁服务项目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9007" w:type="dxa"/>
            <w:gridSpan w:val="2"/>
            <w:vAlign w:val="center"/>
          </w:tcPr>
          <w:p>
            <w:pPr>
              <w:jc w:val="left"/>
              <w:rPr>
                <w:rFonts w:ascii="宋体" w:hAnsi="宋体" w:cs="宋体"/>
                <w:color w:val="000000" w:themeColor="text1"/>
                <w:sz w:val="24"/>
              </w:rPr>
            </w:pPr>
            <w:r>
              <w:rPr>
                <w:rFonts w:hint="eastAsia" w:ascii="宋体" w:hAnsi="宋体" w:cs="宋体"/>
                <w:b/>
                <w:bCs/>
                <w:color w:val="000000" w:themeColor="text1"/>
                <w:sz w:val="24"/>
                <w:szCs w:val="24"/>
              </w:rPr>
              <w:t>项目投标报价：详见投标产品配置及分项报价表。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007" w:type="dxa"/>
            <w:gridSpan w:val="2"/>
            <w:vAlign w:val="center"/>
          </w:tcPr>
          <w:p>
            <w:pPr>
              <w:rPr>
                <w:rFonts w:ascii="宋体" w:hAnsi="宋体" w:cs="宋体"/>
                <w:b/>
                <w:bCs/>
                <w:color w:val="000000" w:themeColor="text1"/>
                <w:szCs w:val="28"/>
              </w:rPr>
            </w:pPr>
            <w:r>
              <w:rPr>
                <w:rFonts w:hint="eastAsia" w:ascii="宋体" w:hAnsi="宋体" w:cs="宋体"/>
                <w:b/>
                <w:bCs/>
                <w:color w:val="000000" w:themeColor="text1"/>
                <w:szCs w:val="28"/>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9007" w:type="dxa"/>
            <w:gridSpan w:val="2"/>
            <w:vAlign w:val="center"/>
          </w:tcPr>
          <w:p>
            <w:pPr>
              <w:rPr>
                <w:rFonts w:ascii="宋体" w:hAnsi="宋体" w:cs="宋体"/>
                <w:b/>
                <w:bCs/>
                <w:color w:val="000000" w:themeColor="text1"/>
                <w:szCs w:val="28"/>
              </w:rPr>
            </w:pPr>
            <w:r>
              <w:rPr>
                <w:rFonts w:hint="eastAsia" w:ascii="宋体" w:hAnsi="宋体" w:cs="宋体"/>
                <w:b/>
                <w:bCs/>
                <w:color w:val="000000" w:themeColor="text1"/>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007" w:type="dxa"/>
            <w:gridSpan w:val="2"/>
            <w:vAlign w:val="center"/>
          </w:tcPr>
          <w:p>
            <w:pPr>
              <w:rPr>
                <w:rFonts w:ascii="宋体" w:hAnsi="宋体" w:cs="宋体"/>
                <w:color w:val="000000" w:themeColor="text1"/>
                <w:szCs w:val="28"/>
              </w:rPr>
            </w:pPr>
            <w:r>
              <w:rPr>
                <w:rFonts w:hint="eastAsia" w:ascii="宋体" w:hAnsi="宋体" w:cs="宋体"/>
                <w:b/>
                <w:bCs/>
                <w:color w:val="000000" w:themeColor="text1"/>
                <w:szCs w:val="28"/>
              </w:rPr>
              <w:t>保证金形式：</w:t>
            </w:r>
          </w:p>
        </w:tc>
      </w:tr>
    </w:tbl>
    <w:p>
      <w:pPr>
        <w:rPr>
          <w:rFonts w:ascii="宋体" w:hAnsi="宋体" w:cs="宋体"/>
          <w:color w:val="000000" w:themeColor="text1"/>
          <w:sz w:val="24"/>
        </w:rPr>
      </w:pPr>
      <w:r>
        <w:rPr>
          <w:rFonts w:hint="eastAsia" w:ascii="宋体" w:hAnsi="宋体" w:cs="宋体"/>
          <w:color w:val="000000" w:themeColor="text1"/>
          <w:sz w:val="24"/>
        </w:rPr>
        <w:t>填写说明：</w:t>
      </w:r>
    </w:p>
    <w:p>
      <w:pPr>
        <w:ind w:firstLine="480" w:firstLineChars="200"/>
        <w:rPr>
          <w:rFonts w:ascii="宋体" w:hAnsi="宋体" w:cs="宋体"/>
          <w:color w:val="000000" w:themeColor="text1"/>
          <w:sz w:val="24"/>
        </w:rPr>
      </w:pPr>
      <w:r>
        <w:rPr>
          <w:rFonts w:hint="eastAsia" w:ascii="宋体" w:hAnsi="宋体" w:cs="宋体"/>
          <w:color w:val="000000" w:themeColor="text1"/>
          <w:sz w:val="24"/>
        </w:rPr>
        <w:t>1、开标一览表不得填报选择性报价，否则将作为无效投标。</w:t>
      </w:r>
    </w:p>
    <w:p>
      <w:pPr>
        <w:ind w:firstLine="480" w:firstLineChars="200"/>
        <w:rPr>
          <w:rFonts w:ascii="宋体" w:hAnsi="宋体" w:cs="宋体"/>
          <w:color w:val="000000" w:themeColor="text1"/>
          <w:sz w:val="24"/>
        </w:rPr>
      </w:pPr>
      <w:r>
        <w:rPr>
          <w:rFonts w:hint="eastAsia" w:ascii="宋体" w:hAnsi="宋体" w:cs="宋体"/>
          <w:color w:val="000000" w:themeColor="text1"/>
          <w:sz w:val="24"/>
        </w:rPr>
        <w:t>2、开标一览表中报价与投标分项明细报价表中不符时，以开标一览表为准。</w:t>
      </w:r>
    </w:p>
    <w:p>
      <w:pPr>
        <w:rPr>
          <w:rFonts w:ascii="宋体" w:hAnsi="宋体" w:cs="宋体"/>
          <w:color w:val="000000" w:themeColor="text1"/>
          <w:sz w:val="24"/>
        </w:rPr>
      </w:pPr>
    </w:p>
    <w:p>
      <w:pPr>
        <w:ind w:firstLine="480"/>
        <w:rPr>
          <w:rFonts w:ascii="宋体" w:hAnsi="宋体" w:cs="宋体"/>
          <w:color w:val="000000" w:themeColor="text1"/>
          <w:sz w:val="24"/>
        </w:rPr>
      </w:pPr>
    </w:p>
    <w:p>
      <w:pPr>
        <w:ind w:firstLine="480"/>
        <w:jc w:val="right"/>
        <w:rPr>
          <w:rFonts w:ascii="宋体" w:hAnsi="宋体" w:cs="宋体"/>
          <w:color w:val="000000" w:themeColor="text1"/>
          <w:sz w:val="24"/>
        </w:rPr>
      </w:pPr>
      <w:r>
        <w:rPr>
          <w:rFonts w:hint="eastAsia" w:ascii="宋体" w:hAnsi="宋体" w:cs="宋体"/>
          <w:bCs/>
          <w:color w:val="000000" w:themeColor="text1"/>
          <w:sz w:val="24"/>
        </w:rPr>
        <w:t>供应商名称（公章）：</w:t>
      </w:r>
    </w:p>
    <w:p>
      <w:pPr>
        <w:ind w:firstLine="480"/>
        <w:rPr>
          <w:rFonts w:ascii="宋体" w:hAnsi="宋体" w:cs="宋体"/>
          <w:color w:val="000000" w:themeColor="text1"/>
          <w:sz w:val="24"/>
        </w:rPr>
      </w:pPr>
      <w:r>
        <w:rPr>
          <w:rFonts w:hint="eastAsia" w:ascii="宋体" w:hAnsi="宋体" w:cs="宋体"/>
          <w:color w:val="000000" w:themeColor="text1"/>
          <w:sz w:val="24"/>
        </w:rPr>
        <w:t xml:space="preserve">                                              日期：    年  月   日</w:t>
      </w: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snapToGrid w:val="0"/>
        <w:spacing w:before="50" w:after="50"/>
        <w:jc w:val="center"/>
        <w:rPr>
          <w:rFonts w:ascii="宋体" w:hAnsi="宋体" w:cs="宋体"/>
          <w:b/>
          <w:bCs/>
          <w:color w:val="000000" w:themeColor="text1"/>
          <w:sz w:val="32"/>
          <w:szCs w:val="32"/>
        </w:rPr>
      </w:pPr>
    </w:p>
    <w:p>
      <w:pPr>
        <w:snapToGrid w:val="0"/>
        <w:spacing w:before="50" w:after="50"/>
        <w:jc w:val="center"/>
        <w:rPr>
          <w:rFonts w:ascii="宋体" w:hAnsi="宋体" w:cs="宋体"/>
          <w:b/>
          <w:bCs/>
          <w:color w:val="000000" w:themeColor="text1"/>
          <w:sz w:val="32"/>
          <w:szCs w:val="32"/>
        </w:rPr>
      </w:pPr>
    </w:p>
    <w:p>
      <w:pPr>
        <w:snapToGrid w:val="0"/>
        <w:spacing w:before="50" w:after="50"/>
        <w:jc w:val="center"/>
        <w:rPr>
          <w:rFonts w:ascii="宋体" w:hAnsi="宋体" w:cs="宋体"/>
          <w:b/>
          <w:bCs/>
          <w:color w:val="000000" w:themeColor="text1"/>
          <w:sz w:val="32"/>
          <w:szCs w:val="32"/>
        </w:rPr>
      </w:pPr>
    </w:p>
    <w:p>
      <w:pPr>
        <w:snapToGrid w:val="0"/>
        <w:spacing w:before="50" w:after="50"/>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六、投标产品配置及分项报价表</w:t>
      </w:r>
    </w:p>
    <w:p>
      <w:pPr>
        <w:pStyle w:val="45"/>
        <w:rPr>
          <w:color w:val="000000" w:themeColor="text1"/>
        </w:rPr>
      </w:pP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26"/>
        <w:gridCol w:w="1687"/>
        <w:gridCol w:w="1854"/>
        <w:gridCol w:w="1832"/>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00" w:type="pct"/>
            <w:gridSpan w:val="6"/>
            <w:noWrap/>
            <w:vAlign w:val="center"/>
          </w:tcPr>
          <w:p>
            <w:pPr>
              <w:pStyle w:val="45"/>
              <w:jc w:val="center"/>
              <w:rPr>
                <w:color w:val="000000" w:themeColor="text1"/>
              </w:rPr>
            </w:pPr>
            <w:r>
              <w:rPr>
                <w:rFonts w:hint="eastAsia"/>
                <w:color w:val="000000" w:themeColor="text1"/>
              </w:rPr>
              <w:t>分包</w:t>
            </w:r>
            <w:r>
              <w:rPr>
                <w:color w:val="000000" w:themeColor="text1"/>
              </w:rPr>
              <w:t>一：车辆租赁公司报价清单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0" w:type="pct"/>
            <w:vMerge w:val="restart"/>
            <w:noWrap/>
            <w:vAlign w:val="center"/>
          </w:tcPr>
          <w:p>
            <w:pPr>
              <w:pStyle w:val="45"/>
              <w:ind w:firstLine="0" w:firstLineChars="0"/>
              <w:jc w:val="center"/>
              <w:rPr>
                <w:color w:val="000000" w:themeColor="text1"/>
              </w:rPr>
            </w:pPr>
            <w:r>
              <w:rPr>
                <w:rFonts w:hint="eastAsia"/>
                <w:color w:val="000000" w:themeColor="text1"/>
              </w:rPr>
              <w:t>序号</w:t>
            </w:r>
          </w:p>
        </w:tc>
        <w:tc>
          <w:tcPr>
            <w:tcW w:w="996" w:type="pct"/>
            <w:vMerge w:val="restart"/>
            <w:noWrap/>
            <w:vAlign w:val="center"/>
          </w:tcPr>
          <w:p>
            <w:pPr>
              <w:pStyle w:val="45"/>
              <w:ind w:firstLine="0" w:firstLineChars="0"/>
              <w:jc w:val="center"/>
              <w:rPr>
                <w:color w:val="000000" w:themeColor="text1"/>
              </w:rPr>
            </w:pPr>
            <w:r>
              <w:rPr>
                <w:rFonts w:hint="eastAsia"/>
                <w:color w:val="000000" w:themeColor="text1"/>
              </w:rPr>
              <w:t>车型品牌</w:t>
            </w:r>
          </w:p>
        </w:tc>
        <w:tc>
          <w:tcPr>
            <w:tcW w:w="920" w:type="pct"/>
            <w:vMerge w:val="restart"/>
            <w:noWrap/>
            <w:vAlign w:val="center"/>
          </w:tcPr>
          <w:p>
            <w:pPr>
              <w:pStyle w:val="45"/>
              <w:ind w:firstLine="0" w:firstLineChars="0"/>
              <w:jc w:val="center"/>
              <w:rPr>
                <w:color w:val="000000" w:themeColor="text1"/>
              </w:rPr>
            </w:pPr>
            <w:r>
              <w:rPr>
                <w:rFonts w:hint="eastAsia"/>
                <w:color w:val="000000" w:themeColor="text1"/>
              </w:rPr>
              <w:t>座位数</w:t>
            </w:r>
          </w:p>
        </w:tc>
        <w:tc>
          <w:tcPr>
            <w:tcW w:w="1011" w:type="pct"/>
            <w:vMerge w:val="restart"/>
            <w:vAlign w:val="center"/>
          </w:tcPr>
          <w:p>
            <w:pPr>
              <w:pStyle w:val="45"/>
              <w:ind w:firstLine="0" w:firstLineChars="0"/>
              <w:jc w:val="center"/>
              <w:rPr>
                <w:color w:val="000000" w:themeColor="text1"/>
              </w:rPr>
            </w:pPr>
            <w:r>
              <w:rPr>
                <w:rFonts w:hint="eastAsia"/>
                <w:color w:val="000000" w:themeColor="text1"/>
              </w:rPr>
              <w:t>油费（元/公里）</w:t>
            </w:r>
          </w:p>
        </w:tc>
        <w:tc>
          <w:tcPr>
            <w:tcW w:w="999" w:type="pct"/>
            <w:vMerge w:val="restart"/>
            <w:vAlign w:val="center"/>
          </w:tcPr>
          <w:p>
            <w:pPr>
              <w:pStyle w:val="45"/>
              <w:ind w:firstLine="0" w:firstLineChars="0"/>
              <w:jc w:val="center"/>
              <w:rPr>
                <w:color w:val="000000" w:themeColor="text1"/>
              </w:rPr>
            </w:pPr>
            <w:r>
              <w:rPr>
                <w:rFonts w:hint="eastAsia"/>
                <w:color w:val="000000" w:themeColor="text1"/>
              </w:rPr>
              <w:t>车辆租金（元/天）</w:t>
            </w:r>
          </w:p>
        </w:tc>
        <w:tc>
          <w:tcPr>
            <w:tcW w:w="534" w:type="pct"/>
            <w:vMerge w:val="restart"/>
            <w:noWrap/>
            <w:vAlign w:val="center"/>
          </w:tcPr>
          <w:p>
            <w:pPr>
              <w:pStyle w:val="45"/>
              <w:ind w:firstLine="0" w:firstLineChars="0"/>
              <w:jc w:val="center"/>
              <w:rPr>
                <w:color w:val="000000" w:themeColor="text1"/>
              </w:rPr>
            </w:pPr>
            <w:r>
              <w:rPr>
                <w:rFonts w:hint="eastAsia"/>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vMerge w:val="continue"/>
            <w:noWrap/>
            <w:vAlign w:val="center"/>
          </w:tcPr>
          <w:p>
            <w:pPr>
              <w:pStyle w:val="45"/>
              <w:jc w:val="center"/>
              <w:rPr>
                <w:color w:val="000000" w:themeColor="text1"/>
              </w:rPr>
            </w:pPr>
          </w:p>
        </w:tc>
        <w:tc>
          <w:tcPr>
            <w:tcW w:w="996" w:type="pct"/>
            <w:vMerge w:val="continue"/>
            <w:noWrap/>
            <w:vAlign w:val="center"/>
          </w:tcPr>
          <w:p>
            <w:pPr>
              <w:pStyle w:val="45"/>
              <w:jc w:val="center"/>
              <w:rPr>
                <w:color w:val="000000" w:themeColor="text1"/>
              </w:rPr>
            </w:pPr>
          </w:p>
        </w:tc>
        <w:tc>
          <w:tcPr>
            <w:tcW w:w="920" w:type="pct"/>
            <w:vMerge w:val="continue"/>
            <w:noWrap/>
            <w:vAlign w:val="center"/>
          </w:tcPr>
          <w:p>
            <w:pPr>
              <w:pStyle w:val="45"/>
              <w:jc w:val="center"/>
              <w:rPr>
                <w:color w:val="000000" w:themeColor="text1"/>
              </w:rPr>
            </w:pPr>
          </w:p>
        </w:tc>
        <w:tc>
          <w:tcPr>
            <w:tcW w:w="1011" w:type="pct"/>
            <w:vMerge w:val="continue"/>
            <w:vAlign w:val="center"/>
          </w:tcPr>
          <w:p>
            <w:pPr>
              <w:pStyle w:val="45"/>
              <w:jc w:val="center"/>
              <w:rPr>
                <w:color w:val="000000" w:themeColor="text1"/>
              </w:rPr>
            </w:pPr>
          </w:p>
        </w:tc>
        <w:tc>
          <w:tcPr>
            <w:tcW w:w="999" w:type="pct"/>
            <w:vMerge w:val="continue"/>
            <w:vAlign w:val="center"/>
          </w:tcPr>
          <w:p>
            <w:pPr>
              <w:pStyle w:val="45"/>
              <w:jc w:val="center"/>
              <w:rPr>
                <w:color w:val="000000" w:themeColor="text1"/>
              </w:rPr>
            </w:pPr>
          </w:p>
        </w:tc>
        <w:tc>
          <w:tcPr>
            <w:tcW w:w="534" w:type="pct"/>
            <w:vMerge w:val="continue"/>
            <w:noWrap/>
            <w:vAlign w:val="center"/>
          </w:tcPr>
          <w:p>
            <w:pPr>
              <w:pStyle w:val="45"/>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40" w:type="pct"/>
            <w:vMerge w:val="continue"/>
            <w:vAlign w:val="center"/>
          </w:tcPr>
          <w:p>
            <w:pPr>
              <w:pStyle w:val="45"/>
              <w:jc w:val="center"/>
              <w:rPr>
                <w:color w:val="000000" w:themeColor="text1"/>
              </w:rPr>
            </w:pPr>
          </w:p>
        </w:tc>
        <w:tc>
          <w:tcPr>
            <w:tcW w:w="996" w:type="pct"/>
            <w:vMerge w:val="continue"/>
            <w:vAlign w:val="center"/>
          </w:tcPr>
          <w:p>
            <w:pPr>
              <w:pStyle w:val="45"/>
              <w:jc w:val="center"/>
              <w:rPr>
                <w:color w:val="000000" w:themeColor="text1"/>
              </w:rPr>
            </w:pPr>
          </w:p>
        </w:tc>
        <w:tc>
          <w:tcPr>
            <w:tcW w:w="920" w:type="pct"/>
            <w:vMerge w:val="continue"/>
            <w:vAlign w:val="center"/>
          </w:tcPr>
          <w:p>
            <w:pPr>
              <w:pStyle w:val="45"/>
              <w:jc w:val="center"/>
              <w:rPr>
                <w:color w:val="000000" w:themeColor="text1"/>
              </w:rPr>
            </w:pPr>
          </w:p>
        </w:tc>
        <w:tc>
          <w:tcPr>
            <w:tcW w:w="1011" w:type="pct"/>
            <w:vMerge w:val="continue"/>
            <w:vAlign w:val="center"/>
          </w:tcPr>
          <w:p>
            <w:pPr>
              <w:pStyle w:val="45"/>
              <w:jc w:val="center"/>
              <w:rPr>
                <w:color w:val="000000" w:themeColor="text1"/>
              </w:rPr>
            </w:pPr>
          </w:p>
        </w:tc>
        <w:tc>
          <w:tcPr>
            <w:tcW w:w="999" w:type="pct"/>
            <w:vMerge w:val="continue"/>
            <w:vAlign w:val="center"/>
          </w:tcPr>
          <w:p>
            <w:pPr>
              <w:pStyle w:val="45"/>
              <w:jc w:val="center"/>
              <w:rPr>
                <w:color w:val="000000" w:themeColor="text1"/>
              </w:rPr>
            </w:pPr>
          </w:p>
        </w:tc>
        <w:tc>
          <w:tcPr>
            <w:tcW w:w="534" w:type="pct"/>
            <w:vMerge w:val="continue"/>
            <w:vAlign w:val="center"/>
          </w:tcPr>
          <w:p>
            <w:pPr>
              <w:pStyle w:val="45"/>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ign w:val="center"/>
          </w:tcPr>
          <w:p>
            <w:pPr>
              <w:pStyle w:val="45"/>
              <w:ind w:firstLine="0" w:firstLineChars="0"/>
              <w:jc w:val="center"/>
              <w:rPr>
                <w:color w:val="000000" w:themeColor="text1"/>
              </w:rPr>
            </w:pPr>
            <w:r>
              <w:rPr>
                <w:rFonts w:hint="eastAsia"/>
                <w:color w:val="000000" w:themeColor="text1"/>
              </w:rPr>
              <w:t>1</w:t>
            </w:r>
          </w:p>
        </w:tc>
        <w:tc>
          <w:tcPr>
            <w:tcW w:w="996" w:type="pct"/>
            <w:noWrap/>
            <w:vAlign w:val="center"/>
          </w:tcPr>
          <w:p>
            <w:pPr>
              <w:pStyle w:val="45"/>
              <w:jc w:val="center"/>
              <w:rPr>
                <w:color w:val="000000" w:themeColor="text1"/>
              </w:rPr>
            </w:pPr>
          </w:p>
        </w:tc>
        <w:tc>
          <w:tcPr>
            <w:tcW w:w="920" w:type="pct"/>
            <w:noWrap/>
            <w:vAlign w:val="center"/>
          </w:tcPr>
          <w:p>
            <w:pPr>
              <w:pStyle w:val="45"/>
              <w:ind w:firstLine="0" w:firstLineChars="0"/>
              <w:jc w:val="center"/>
              <w:rPr>
                <w:color w:val="000000" w:themeColor="text1"/>
              </w:rPr>
            </w:pPr>
            <w:r>
              <w:rPr>
                <w:rFonts w:hint="eastAsia"/>
                <w:color w:val="000000" w:themeColor="text1"/>
              </w:rPr>
              <w:t>5</w:t>
            </w:r>
          </w:p>
        </w:tc>
        <w:tc>
          <w:tcPr>
            <w:tcW w:w="1011" w:type="pct"/>
            <w:noWrap/>
            <w:vAlign w:val="center"/>
          </w:tcPr>
          <w:p>
            <w:pPr>
              <w:pStyle w:val="45"/>
              <w:jc w:val="center"/>
              <w:rPr>
                <w:color w:val="000000" w:themeColor="text1"/>
              </w:rPr>
            </w:pPr>
          </w:p>
        </w:tc>
        <w:tc>
          <w:tcPr>
            <w:tcW w:w="999" w:type="pct"/>
            <w:noWrap/>
            <w:vAlign w:val="center"/>
          </w:tcPr>
          <w:p>
            <w:pPr>
              <w:pStyle w:val="45"/>
              <w:jc w:val="center"/>
              <w:rPr>
                <w:color w:val="000000" w:themeColor="text1"/>
              </w:rPr>
            </w:pPr>
          </w:p>
        </w:tc>
        <w:tc>
          <w:tcPr>
            <w:tcW w:w="534" w:type="pct"/>
            <w:noWrap/>
            <w:vAlign w:val="center"/>
          </w:tcPr>
          <w:p>
            <w:pPr>
              <w:pStyle w:val="45"/>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ign w:val="center"/>
          </w:tcPr>
          <w:p>
            <w:pPr>
              <w:pStyle w:val="45"/>
              <w:ind w:firstLine="0" w:firstLineChars="0"/>
              <w:jc w:val="center"/>
              <w:rPr>
                <w:color w:val="000000" w:themeColor="text1"/>
              </w:rPr>
            </w:pPr>
            <w:r>
              <w:rPr>
                <w:rFonts w:hint="eastAsia"/>
                <w:color w:val="000000" w:themeColor="text1"/>
              </w:rPr>
              <w:t>2</w:t>
            </w:r>
          </w:p>
        </w:tc>
        <w:tc>
          <w:tcPr>
            <w:tcW w:w="996" w:type="pct"/>
            <w:noWrap/>
            <w:vAlign w:val="center"/>
          </w:tcPr>
          <w:p>
            <w:pPr>
              <w:pStyle w:val="45"/>
              <w:jc w:val="center"/>
              <w:rPr>
                <w:color w:val="000000" w:themeColor="text1"/>
              </w:rPr>
            </w:pPr>
          </w:p>
        </w:tc>
        <w:tc>
          <w:tcPr>
            <w:tcW w:w="920" w:type="pct"/>
            <w:noWrap/>
            <w:vAlign w:val="center"/>
          </w:tcPr>
          <w:p>
            <w:pPr>
              <w:pStyle w:val="45"/>
              <w:ind w:firstLine="0" w:firstLineChars="0"/>
              <w:jc w:val="center"/>
              <w:rPr>
                <w:color w:val="000000" w:themeColor="text1"/>
              </w:rPr>
            </w:pPr>
            <w:r>
              <w:rPr>
                <w:rFonts w:hint="eastAsia"/>
                <w:color w:val="000000" w:themeColor="text1"/>
              </w:rPr>
              <w:t>7</w:t>
            </w:r>
          </w:p>
        </w:tc>
        <w:tc>
          <w:tcPr>
            <w:tcW w:w="1011" w:type="pct"/>
            <w:noWrap/>
            <w:vAlign w:val="center"/>
          </w:tcPr>
          <w:p>
            <w:pPr>
              <w:pStyle w:val="45"/>
              <w:jc w:val="center"/>
              <w:rPr>
                <w:color w:val="000000" w:themeColor="text1"/>
              </w:rPr>
            </w:pPr>
          </w:p>
        </w:tc>
        <w:tc>
          <w:tcPr>
            <w:tcW w:w="999" w:type="pct"/>
            <w:noWrap/>
            <w:vAlign w:val="center"/>
          </w:tcPr>
          <w:p>
            <w:pPr>
              <w:pStyle w:val="45"/>
              <w:jc w:val="center"/>
              <w:rPr>
                <w:color w:val="000000" w:themeColor="text1"/>
              </w:rPr>
            </w:pPr>
          </w:p>
        </w:tc>
        <w:tc>
          <w:tcPr>
            <w:tcW w:w="534" w:type="pct"/>
            <w:noWrap/>
            <w:vAlign w:val="center"/>
          </w:tcPr>
          <w:p>
            <w:pPr>
              <w:pStyle w:val="45"/>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ign w:val="center"/>
          </w:tcPr>
          <w:p>
            <w:pPr>
              <w:pStyle w:val="45"/>
              <w:ind w:firstLine="0" w:firstLineChars="0"/>
              <w:jc w:val="center"/>
              <w:rPr>
                <w:color w:val="000000" w:themeColor="text1"/>
              </w:rPr>
            </w:pPr>
            <w:r>
              <w:rPr>
                <w:rFonts w:hint="eastAsia"/>
                <w:color w:val="000000" w:themeColor="text1"/>
              </w:rPr>
              <w:t>3</w:t>
            </w:r>
          </w:p>
        </w:tc>
        <w:tc>
          <w:tcPr>
            <w:tcW w:w="996" w:type="pct"/>
            <w:noWrap/>
            <w:vAlign w:val="center"/>
          </w:tcPr>
          <w:p>
            <w:pPr>
              <w:pStyle w:val="45"/>
              <w:jc w:val="center"/>
              <w:rPr>
                <w:color w:val="000000" w:themeColor="text1"/>
              </w:rPr>
            </w:pPr>
          </w:p>
        </w:tc>
        <w:tc>
          <w:tcPr>
            <w:tcW w:w="920" w:type="pct"/>
            <w:noWrap/>
            <w:vAlign w:val="center"/>
          </w:tcPr>
          <w:p>
            <w:pPr>
              <w:pStyle w:val="45"/>
              <w:ind w:firstLine="0" w:firstLineChars="0"/>
              <w:jc w:val="center"/>
              <w:rPr>
                <w:color w:val="000000" w:themeColor="text1"/>
              </w:rPr>
            </w:pPr>
            <w:r>
              <w:rPr>
                <w:rFonts w:hint="eastAsia"/>
                <w:color w:val="000000" w:themeColor="text1"/>
              </w:rPr>
              <w:t>9～15</w:t>
            </w:r>
          </w:p>
        </w:tc>
        <w:tc>
          <w:tcPr>
            <w:tcW w:w="1011" w:type="pct"/>
            <w:noWrap/>
            <w:vAlign w:val="center"/>
          </w:tcPr>
          <w:p>
            <w:pPr>
              <w:pStyle w:val="45"/>
              <w:jc w:val="center"/>
              <w:rPr>
                <w:color w:val="000000" w:themeColor="text1"/>
              </w:rPr>
            </w:pPr>
          </w:p>
        </w:tc>
        <w:tc>
          <w:tcPr>
            <w:tcW w:w="999" w:type="pct"/>
            <w:noWrap/>
            <w:vAlign w:val="center"/>
          </w:tcPr>
          <w:p>
            <w:pPr>
              <w:pStyle w:val="45"/>
              <w:jc w:val="center"/>
              <w:rPr>
                <w:color w:val="000000" w:themeColor="text1"/>
              </w:rPr>
            </w:pPr>
          </w:p>
        </w:tc>
        <w:tc>
          <w:tcPr>
            <w:tcW w:w="534" w:type="pct"/>
            <w:noWrap/>
            <w:vAlign w:val="center"/>
          </w:tcPr>
          <w:p>
            <w:pPr>
              <w:pStyle w:val="45"/>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00" w:type="pct"/>
            <w:gridSpan w:val="6"/>
            <w:noWrap/>
            <w:vAlign w:val="center"/>
          </w:tcPr>
          <w:p>
            <w:pPr>
              <w:rPr>
                <w:color w:val="000000" w:themeColor="text1"/>
              </w:rPr>
            </w:pPr>
            <w:r>
              <w:rPr>
                <w:rFonts w:hint="eastAsia"/>
                <w:color w:val="000000" w:themeColor="text1"/>
              </w:rPr>
              <w:t>1、投标单位报价不得高于最高</w:t>
            </w:r>
            <w:r>
              <w:rPr>
                <w:color w:val="000000" w:themeColor="text1"/>
              </w:rPr>
              <w:t>限价</w:t>
            </w:r>
          </w:p>
          <w:p>
            <w:pPr>
              <w:rPr>
                <w:color w:val="000000" w:themeColor="text1"/>
              </w:rPr>
            </w:pPr>
            <w:r>
              <w:rPr>
                <w:rFonts w:hint="eastAsia"/>
                <w:color w:val="000000" w:themeColor="text1"/>
              </w:rPr>
              <w:t>2、司机住宿及餐费按实际发生为准（若由用车单位支付则结算时不包括这项费用）</w:t>
            </w:r>
          </w:p>
          <w:p>
            <w:pPr>
              <w:pStyle w:val="45"/>
              <w:ind w:firstLine="0" w:firstLineChars="0"/>
              <w:rPr>
                <w:color w:val="000000" w:themeColor="text1"/>
              </w:rPr>
            </w:pPr>
            <w:r>
              <w:rPr>
                <w:rFonts w:hint="eastAsia"/>
                <w:b/>
                <w:bCs/>
                <w:color w:val="000000" w:themeColor="text1"/>
              </w:rPr>
              <w:t>报价时需填写车型（可多填）</w:t>
            </w:r>
          </w:p>
        </w:tc>
      </w:tr>
    </w:tbl>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注：1、上述价格是满足甲方使用车辆需要的所有费用。乙方已充分考虑为满足招标业务用车需求内容所必须的直接和间接成本、油（电、气）费、驾驶员全额工资（含福利、社保等，不含出车补贴）、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甲方不另行增加费用。</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2、市外基础里程数外距离与时间同时计价，互不矛盾，按实结算。</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3、短途租赁服务来回接送不限趟数，如遇特殊情况经双方协商收取租赁费。</w:t>
      </w:r>
    </w:p>
    <w:p>
      <w:pPr>
        <w:widowControl/>
        <w:spacing w:line="360" w:lineRule="exact"/>
        <w:jc w:val="left"/>
        <w:rPr>
          <w:rFonts w:ascii="宋体" w:hAnsi="宋体" w:cs="宋体"/>
          <w:color w:val="000000" w:themeColor="text1"/>
          <w:kern w:val="0"/>
          <w:sz w:val="24"/>
        </w:rPr>
      </w:pPr>
    </w:p>
    <w:p>
      <w:pPr>
        <w:ind w:firstLine="480"/>
        <w:jc w:val="center"/>
        <w:rPr>
          <w:rFonts w:ascii="宋体" w:hAnsi="宋体" w:cs="宋体"/>
          <w:color w:val="000000" w:themeColor="text1"/>
          <w:sz w:val="24"/>
        </w:rPr>
      </w:pPr>
      <w:r>
        <w:rPr>
          <w:rFonts w:hint="eastAsia" w:ascii="宋体" w:hAnsi="宋体" w:cs="宋体"/>
          <w:bCs/>
          <w:color w:val="000000" w:themeColor="text1"/>
          <w:sz w:val="24"/>
        </w:rPr>
        <w:t>供应商名称（公章）：</w:t>
      </w:r>
    </w:p>
    <w:p>
      <w:pPr>
        <w:spacing w:line="314" w:lineRule="exact"/>
        <w:rPr>
          <w:rFonts w:ascii="宋体" w:hAnsi="宋体" w:cs="宋体"/>
          <w:color w:val="000000" w:themeColor="text1"/>
        </w:rPr>
      </w:pPr>
    </w:p>
    <w:p>
      <w:pPr>
        <w:jc w:val="center"/>
        <w:rPr>
          <w:rFonts w:ascii="宋体" w:hAnsi="宋体" w:cs="宋体"/>
          <w:color w:val="000000" w:themeColor="text1"/>
          <w:sz w:val="32"/>
          <w:szCs w:val="32"/>
        </w:rPr>
      </w:pPr>
      <w:r>
        <w:rPr>
          <w:rFonts w:hint="eastAsia" w:ascii="宋体" w:hAnsi="宋体" w:cs="宋体"/>
          <w:color w:val="000000" w:themeColor="text1"/>
          <w:sz w:val="24"/>
          <w:szCs w:val="24"/>
        </w:rPr>
        <w:t>法定代表人或授权代表签字或盖章：</w:t>
      </w:r>
    </w:p>
    <w:p>
      <w:pPr>
        <w:spacing w:line="320" w:lineRule="exact"/>
        <w:ind w:right="4"/>
        <w:rPr>
          <w:rFonts w:ascii="宋体" w:hAnsi="宋体" w:cs="宋体"/>
          <w:color w:val="000000" w:themeColor="text1"/>
          <w:sz w:val="28"/>
        </w:rPr>
      </w:pPr>
    </w:p>
    <w:p>
      <w:pPr>
        <w:jc w:val="center"/>
        <w:rPr>
          <w:rFonts w:ascii="宋体" w:hAnsi="宋体" w:cs="宋体"/>
          <w:color w:val="000000" w:themeColor="text1"/>
          <w:sz w:val="24"/>
          <w:szCs w:val="24"/>
        </w:rPr>
        <w:sectPr>
          <w:headerReference r:id="rId3" w:type="default"/>
          <w:footerReference r:id="rId4" w:type="default"/>
          <w:pgSz w:w="11906" w:h="16838"/>
          <w:pgMar w:top="1418" w:right="1366" w:bottom="1418" w:left="1588" w:header="851" w:footer="907" w:gutter="0"/>
          <w:pgNumType w:fmt="decimalFullWidth"/>
          <w:cols w:space="720" w:num="1"/>
          <w:docGrid w:type="linesAndChars" w:linePitch="290" w:charSpace="0"/>
        </w:sectPr>
      </w:pPr>
      <w:r>
        <w:rPr>
          <w:rFonts w:hint="eastAsia" w:ascii="宋体" w:hAnsi="宋体" w:cs="宋体"/>
          <w:color w:val="000000" w:themeColor="text1"/>
          <w:sz w:val="24"/>
          <w:szCs w:val="24"/>
        </w:rPr>
        <w:t>日期：</w:t>
      </w:r>
    </w:p>
    <w:p>
      <w:pPr>
        <w:pStyle w:val="24"/>
        <w:adjustRightInd w:val="0"/>
        <w:snapToGrid w:val="0"/>
        <w:spacing w:line="360" w:lineRule="auto"/>
        <w:ind w:firstLine="480" w:firstLineChars="200"/>
        <w:rPr>
          <w:rFonts w:hAnsi="宋体" w:cs="宋体"/>
          <w:b/>
          <w:color w:val="000000" w:themeColor="text1"/>
          <w:sz w:val="24"/>
          <w:szCs w:val="24"/>
        </w:rPr>
      </w:pP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26"/>
        <w:gridCol w:w="1687"/>
        <w:gridCol w:w="1854"/>
        <w:gridCol w:w="1832"/>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00" w:type="pct"/>
            <w:gridSpan w:val="6"/>
            <w:noWrap/>
            <w:vAlign w:val="center"/>
          </w:tcPr>
          <w:p>
            <w:pPr>
              <w:pStyle w:val="45"/>
              <w:jc w:val="center"/>
              <w:rPr>
                <w:color w:val="000000" w:themeColor="text1"/>
              </w:rPr>
            </w:pPr>
            <w:r>
              <w:rPr>
                <w:rFonts w:hint="eastAsia"/>
                <w:color w:val="000000" w:themeColor="text1"/>
              </w:rPr>
              <w:t>分包二</w:t>
            </w:r>
            <w:r>
              <w:rPr>
                <w:color w:val="000000" w:themeColor="text1"/>
              </w:rPr>
              <w:t>：车辆租赁公司报价清单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pct"/>
            <w:vMerge w:val="restart"/>
            <w:noWrap/>
            <w:vAlign w:val="center"/>
          </w:tcPr>
          <w:p>
            <w:pPr>
              <w:pStyle w:val="45"/>
              <w:ind w:firstLine="0" w:firstLineChars="0"/>
              <w:jc w:val="center"/>
              <w:rPr>
                <w:color w:val="000000" w:themeColor="text1"/>
              </w:rPr>
            </w:pPr>
            <w:r>
              <w:rPr>
                <w:rFonts w:hint="eastAsia"/>
                <w:color w:val="000000" w:themeColor="text1"/>
              </w:rPr>
              <w:t>序号</w:t>
            </w:r>
          </w:p>
        </w:tc>
        <w:tc>
          <w:tcPr>
            <w:tcW w:w="996" w:type="pct"/>
            <w:vMerge w:val="restart"/>
            <w:noWrap/>
            <w:vAlign w:val="center"/>
          </w:tcPr>
          <w:p>
            <w:pPr>
              <w:pStyle w:val="45"/>
              <w:ind w:firstLine="0" w:firstLineChars="0"/>
              <w:jc w:val="center"/>
              <w:rPr>
                <w:color w:val="000000" w:themeColor="text1"/>
              </w:rPr>
            </w:pPr>
            <w:r>
              <w:rPr>
                <w:rFonts w:hint="eastAsia"/>
                <w:color w:val="000000" w:themeColor="text1"/>
              </w:rPr>
              <w:t>车型品牌</w:t>
            </w:r>
          </w:p>
        </w:tc>
        <w:tc>
          <w:tcPr>
            <w:tcW w:w="920" w:type="pct"/>
            <w:vMerge w:val="restart"/>
            <w:noWrap/>
            <w:vAlign w:val="center"/>
          </w:tcPr>
          <w:p>
            <w:pPr>
              <w:pStyle w:val="45"/>
              <w:ind w:firstLine="0" w:firstLineChars="0"/>
              <w:jc w:val="center"/>
              <w:rPr>
                <w:color w:val="000000" w:themeColor="text1"/>
              </w:rPr>
            </w:pPr>
            <w:r>
              <w:rPr>
                <w:rFonts w:hint="eastAsia"/>
                <w:color w:val="000000" w:themeColor="text1"/>
              </w:rPr>
              <w:t>座位数</w:t>
            </w:r>
          </w:p>
        </w:tc>
        <w:tc>
          <w:tcPr>
            <w:tcW w:w="1011" w:type="pct"/>
            <w:vMerge w:val="restart"/>
            <w:vAlign w:val="center"/>
          </w:tcPr>
          <w:p>
            <w:pPr>
              <w:pStyle w:val="45"/>
              <w:ind w:firstLine="0" w:firstLineChars="0"/>
              <w:jc w:val="center"/>
              <w:rPr>
                <w:color w:val="000000" w:themeColor="text1"/>
              </w:rPr>
            </w:pPr>
            <w:r>
              <w:rPr>
                <w:rFonts w:hint="eastAsia"/>
                <w:color w:val="000000" w:themeColor="text1"/>
              </w:rPr>
              <w:t>油费（元/公里）</w:t>
            </w:r>
          </w:p>
        </w:tc>
        <w:tc>
          <w:tcPr>
            <w:tcW w:w="999" w:type="pct"/>
            <w:vMerge w:val="restart"/>
            <w:vAlign w:val="center"/>
          </w:tcPr>
          <w:p>
            <w:pPr>
              <w:pStyle w:val="45"/>
              <w:ind w:firstLine="0" w:firstLineChars="0"/>
              <w:jc w:val="center"/>
              <w:rPr>
                <w:color w:val="000000" w:themeColor="text1"/>
              </w:rPr>
            </w:pPr>
            <w:r>
              <w:rPr>
                <w:rFonts w:hint="eastAsia"/>
                <w:color w:val="000000" w:themeColor="text1"/>
              </w:rPr>
              <w:t>车辆租金（元/天）</w:t>
            </w:r>
          </w:p>
        </w:tc>
        <w:tc>
          <w:tcPr>
            <w:tcW w:w="534" w:type="pct"/>
            <w:vMerge w:val="restart"/>
            <w:noWrap/>
            <w:vAlign w:val="center"/>
          </w:tcPr>
          <w:p>
            <w:pPr>
              <w:pStyle w:val="45"/>
              <w:ind w:firstLine="0" w:firstLineChars="0"/>
              <w:jc w:val="center"/>
              <w:rPr>
                <w:color w:val="000000" w:themeColor="text1"/>
              </w:rPr>
            </w:pPr>
            <w:r>
              <w:rPr>
                <w:rFonts w:hint="eastAsia"/>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0" w:type="pct"/>
            <w:vMerge w:val="continue"/>
            <w:noWrap/>
            <w:vAlign w:val="center"/>
          </w:tcPr>
          <w:p>
            <w:pPr>
              <w:pStyle w:val="45"/>
              <w:jc w:val="center"/>
              <w:rPr>
                <w:color w:val="000000" w:themeColor="text1"/>
              </w:rPr>
            </w:pPr>
          </w:p>
        </w:tc>
        <w:tc>
          <w:tcPr>
            <w:tcW w:w="996" w:type="pct"/>
            <w:vMerge w:val="continue"/>
            <w:noWrap/>
            <w:vAlign w:val="center"/>
          </w:tcPr>
          <w:p>
            <w:pPr>
              <w:pStyle w:val="45"/>
              <w:jc w:val="center"/>
              <w:rPr>
                <w:color w:val="000000" w:themeColor="text1"/>
              </w:rPr>
            </w:pPr>
          </w:p>
        </w:tc>
        <w:tc>
          <w:tcPr>
            <w:tcW w:w="920" w:type="pct"/>
            <w:vMerge w:val="continue"/>
            <w:noWrap/>
            <w:vAlign w:val="center"/>
          </w:tcPr>
          <w:p>
            <w:pPr>
              <w:pStyle w:val="45"/>
              <w:jc w:val="center"/>
              <w:rPr>
                <w:color w:val="000000" w:themeColor="text1"/>
              </w:rPr>
            </w:pPr>
          </w:p>
        </w:tc>
        <w:tc>
          <w:tcPr>
            <w:tcW w:w="1011" w:type="pct"/>
            <w:vMerge w:val="continue"/>
            <w:vAlign w:val="center"/>
          </w:tcPr>
          <w:p>
            <w:pPr>
              <w:pStyle w:val="45"/>
              <w:jc w:val="center"/>
              <w:rPr>
                <w:color w:val="000000" w:themeColor="text1"/>
              </w:rPr>
            </w:pPr>
          </w:p>
        </w:tc>
        <w:tc>
          <w:tcPr>
            <w:tcW w:w="999" w:type="pct"/>
            <w:vMerge w:val="continue"/>
            <w:vAlign w:val="center"/>
          </w:tcPr>
          <w:p>
            <w:pPr>
              <w:pStyle w:val="45"/>
              <w:jc w:val="center"/>
              <w:rPr>
                <w:color w:val="000000" w:themeColor="text1"/>
              </w:rPr>
            </w:pPr>
          </w:p>
        </w:tc>
        <w:tc>
          <w:tcPr>
            <w:tcW w:w="534" w:type="pct"/>
            <w:vMerge w:val="continue"/>
            <w:noWrap/>
            <w:vAlign w:val="center"/>
          </w:tcPr>
          <w:p>
            <w:pPr>
              <w:pStyle w:val="45"/>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40" w:type="pct"/>
            <w:vMerge w:val="continue"/>
            <w:vAlign w:val="center"/>
          </w:tcPr>
          <w:p>
            <w:pPr>
              <w:pStyle w:val="45"/>
              <w:jc w:val="center"/>
              <w:rPr>
                <w:color w:val="000000" w:themeColor="text1"/>
              </w:rPr>
            </w:pPr>
          </w:p>
        </w:tc>
        <w:tc>
          <w:tcPr>
            <w:tcW w:w="996" w:type="pct"/>
            <w:vMerge w:val="continue"/>
            <w:vAlign w:val="center"/>
          </w:tcPr>
          <w:p>
            <w:pPr>
              <w:pStyle w:val="45"/>
              <w:jc w:val="center"/>
              <w:rPr>
                <w:color w:val="000000" w:themeColor="text1"/>
              </w:rPr>
            </w:pPr>
          </w:p>
        </w:tc>
        <w:tc>
          <w:tcPr>
            <w:tcW w:w="920" w:type="pct"/>
            <w:vMerge w:val="continue"/>
            <w:vAlign w:val="center"/>
          </w:tcPr>
          <w:p>
            <w:pPr>
              <w:pStyle w:val="45"/>
              <w:jc w:val="center"/>
              <w:rPr>
                <w:color w:val="000000" w:themeColor="text1"/>
              </w:rPr>
            </w:pPr>
          </w:p>
        </w:tc>
        <w:tc>
          <w:tcPr>
            <w:tcW w:w="1011" w:type="pct"/>
            <w:vMerge w:val="continue"/>
            <w:vAlign w:val="center"/>
          </w:tcPr>
          <w:p>
            <w:pPr>
              <w:pStyle w:val="45"/>
              <w:jc w:val="center"/>
              <w:rPr>
                <w:color w:val="000000" w:themeColor="text1"/>
              </w:rPr>
            </w:pPr>
          </w:p>
        </w:tc>
        <w:tc>
          <w:tcPr>
            <w:tcW w:w="999" w:type="pct"/>
            <w:vMerge w:val="continue"/>
            <w:vAlign w:val="center"/>
          </w:tcPr>
          <w:p>
            <w:pPr>
              <w:pStyle w:val="45"/>
              <w:jc w:val="center"/>
              <w:rPr>
                <w:color w:val="000000" w:themeColor="text1"/>
              </w:rPr>
            </w:pPr>
          </w:p>
        </w:tc>
        <w:tc>
          <w:tcPr>
            <w:tcW w:w="534" w:type="pct"/>
            <w:vMerge w:val="continue"/>
            <w:vAlign w:val="center"/>
          </w:tcPr>
          <w:p>
            <w:pPr>
              <w:pStyle w:val="45"/>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0" w:type="pct"/>
            <w:noWrap/>
            <w:vAlign w:val="center"/>
          </w:tcPr>
          <w:p>
            <w:pPr>
              <w:pStyle w:val="45"/>
              <w:ind w:firstLine="0" w:firstLineChars="0"/>
              <w:jc w:val="center"/>
              <w:rPr>
                <w:color w:val="000000" w:themeColor="text1"/>
              </w:rPr>
            </w:pPr>
            <w:r>
              <w:rPr>
                <w:rFonts w:hint="eastAsia"/>
                <w:color w:val="000000" w:themeColor="text1"/>
              </w:rPr>
              <w:t>1</w:t>
            </w:r>
          </w:p>
        </w:tc>
        <w:tc>
          <w:tcPr>
            <w:tcW w:w="996" w:type="pct"/>
            <w:noWrap/>
            <w:vAlign w:val="center"/>
          </w:tcPr>
          <w:p>
            <w:pPr>
              <w:jc w:val="center"/>
            </w:pPr>
            <w:r>
              <w:rPr>
                <w:rFonts w:hint="eastAsia"/>
              </w:rPr>
              <w:t>考斯特等</w:t>
            </w:r>
          </w:p>
        </w:tc>
        <w:tc>
          <w:tcPr>
            <w:tcW w:w="920" w:type="pct"/>
            <w:noWrap/>
            <w:vAlign w:val="center"/>
          </w:tcPr>
          <w:p>
            <w:pPr>
              <w:jc w:val="center"/>
            </w:pPr>
            <w:r>
              <w:rPr>
                <w:rFonts w:hint="eastAsia"/>
              </w:rPr>
              <w:t>19～21</w:t>
            </w:r>
          </w:p>
        </w:tc>
        <w:tc>
          <w:tcPr>
            <w:tcW w:w="1011" w:type="pct"/>
            <w:noWrap/>
            <w:vAlign w:val="center"/>
          </w:tcPr>
          <w:p>
            <w:pPr>
              <w:pStyle w:val="45"/>
              <w:jc w:val="center"/>
              <w:rPr>
                <w:color w:val="000000" w:themeColor="text1"/>
              </w:rPr>
            </w:pPr>
          </w:p>
        </w:tc>
        <w:tc>
          <w:tcPr>
            <w:tcW w:w="999" w:type="pct"/>
            <w:noWrap/>
            <w:vAlign w:val="center"/>
          </w:tcPr>
          <w:p>
            <w:pPr>
              <w:pStyle w:val="45"/>
              <w:jc w:val="center"/>
              <w:rPr>
                <w:color w:val="000000" w:themeColor="text1"/>
              </w:rPr>
            </w:pPr>
          </w:p>
        </w:tc>
        <w:tc>
          <w:tcPr>
            <w:tcW w:w="534" w:type="pct"/>
            <w:noWrap/>
            <w:vAlign w:val="center"/>
          </w:tcPr>
          <w:p>
            <w:pPr>
              <w:pStyle w:val="45"/>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0" w:type="pct"/>
            <w:noWrap/>
            <w:vAlign w:val="center"/>
          </w:tcPr>
          <w:p>
            <w:pPr>
              <w:pStyle w:val="45"/>
              <w:ind w:firstLine="0" w:firstLineChars="0"/>
              <w:jc w:val="center"/>
              <w:rPr>
                <w:color w:val="000000" w:themeColor="text1"/>
              </w:rPr>
            </w:pPr>
            <w:r>
              <w:rPr>
                <w:rFonts w:hint="eastAsia"/>
                <w:color w:val="000000" w:themeColor="text1"/>
              </w:rPr>
              <w:t>2</w:t>
            </w:r>
          </w:p>
        </w:tc>
        <w:tc>
          <w:tcPr>
            <w:tcW w:w="996" w:type="pct"/>
            <w:noWrap/>
            <w:vAlign w:val="center"/>
          </w:tcPr>
          <w:p>
            <w:pPr>
              <w:jc w:val="center"/>
            </w:pPr>
            <w:r>
              <w:rPr>
                <w:rFonts w:hint="eastAsia"/>
              </w:rPr>
              <w:t>金龙、宇通等</w:t>
            </w:r>
          </w:p>
        </w:tc>
        <w:tc>
          <w:tcPr>
            <w:tcW w:w="920" w:type="pct"/>
            <w:noWrap/>
            <w:vAlign w:val="center"/>
          </w:tcPr>
          <w:p>
            <w:pPr>
              <w:jc w:val="center"/>
            </w:pPr>
            <w:r>
              <w:rPr>
                <w:rFonts w:hint="eastAsia"/>
              </w:rPr>
              <w:t>35～39</w:t>
            </w:r>
          </w:p>
        </w:tc>
        <w:tc>
          <w:tcPr>
            <w:tcW w:w="1011" w:type="pct"/>
            <w:noWrap/>
            <w:vAlign w:val="center"/>
          </w:tcPr>
          <w:p>
            <w:pPr>
              <w:pStyle w:val="45"/>
              <w:jc w:val="center"/>
              <w:rPr>
                <w:color w:val="000000" w:themeColor="text1"/>
              </w:rPr>
            </w:pPr>
          </w:p>
        </w:tc>
        <w:tc>
          <w:tcPr>
            <w:tcW w:w="999" w:type="pct"/>
            <w:noWrap/>
            <w:vAlign w:val="center"/>
          </w:tcPr>
          <w:p>
            <w:pPr>
              <w:pStyle w:val="45"/>
              <w:jc w:val="center"/>
              <w:rPr>
                <w:color w:val="000000" w:themeColor="text1"/>
              </w:rPr>
            </w:pPr>
          </w:p>
        </w:tc>
        <w:tc>
          <w:tcPr>
            <w:tcW w:w="534" w:type="pct"/>
            <w:noWrap/>
            <w:vAlign w:val="center"/>
          </w:tcPr>
          <w:p>
            <w:pPr>
              <w:pStyle w:val="45"/>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0" w:type="pct"/>
            <w:noWrap/>
            <w:vAlign w:val="center"/>
          </w:tcPr>
          <w:p>
            <w:pPr>
              <w:pStyle w:val="45"/>
              <w:ind w:firstLine="0" w:firstLineChars="0"/>
              <w:jc w:val="center"/>
              <w:rPr>
                <w:color w:val="000000" w:themeColor="text1"/>
              </w:rPr>
            </w:pPr>
            <w:r>
              <w:rPr>
                <w:rFonts w:hint="eastAsia"/>
                <w:color w:val="000000" w:themeColor="text1"/>
              </w:rPr>
              <w:t>3</w:t>
            </w:r>
          </w:p>
        </w:tc>
        <w:tc>
          <w:tcPr>
            <w:tcW w:w="996" w:type="pct"/>
            <w:noWrap/>
            <w:vAlign w:val="center"/>
          </w:tcPr>
          <w:p>
            <w:pPr>
              <w:jc w:val="center"/>
            </w:pPr>
            <w:r>
              <w:rPr>
                <w:rFonts w:hint="eastAsia"/>
              </w:rPr>
              <w:t>金龙、宇通等</w:t>
            </w:r>
          </w:p>
        </w:tc>
        <w:tc>
          <w:tcPr>
            <w:tcW w:w="920" w:type="pct"/>
            <w:noWrap/>
            <w:vAlign w:val="center"/>
          </w:tcPr>
          <w:p>
            <w:pPr>
              <w:jc w:val="center"/>
            </w:pPr>
            <w:r>
              <w:rPr>
                <w:rFonts w:hint="eastAsia"/>
              </w:rPr>
              <w:t>45～55</w:t>
            </w:r>
          </w:p>
        </w:tc>
        <w:tc>
          <w:tcPr>
            <w:tcW w:w="1011" w:type="pct"/>
            <w:noWrap/>
            <w:vAlign w:val="center"/>
          </w:tcPr>
          <w:p>
            <w:pPr>
              <w:pStyle w:val="45"/>
              <w:jc w:val="center"/>
              <w:rPr>
                <w:color w:val="000000" w:themeColor="text1"/>
              </w:rPr>
            </w:pPr>
          </w:p>
        </w:tc>
        <w:tc>
          <w:tcPr>
            <w:tcW w:w="999" w:type="pct"/>
            <w:noWrap/>
            <w:vAlign w:val="center"/>
          </w:tcPr>
          <w:p>
            <w:pPr>
              <w:pStyle w:val="45"/>
              <w:jc w:val="center"/>
              <w:rPr>
                <w:color w:val="000000" w:themeColor="text1"/>
              </w:rPr>
            </w:pPr>
          </w:p>
        </w:tc>
        <w:tc>
          <w:tcPr>
            <w:tcW w:w="534" w:type="pct"/>
            <w:noWrap/>
            <w:vAlign w:val="center"/>
          </w:tcPr>
          <w:p>
            <w:pPr>
              <w:pStyle w:val="45"/>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gridSpan w:val="6"/>
            <w:noWrap/>
            <w:vAlign w:val="center"/>
          </w:tcPr>
          <w:p>
            <w:pPr>
              <w:rPr>
                <w:color w:val="000000" w:themeColor="text1"/>
              </w:rPr>
            </w:pPr>
            <w:r>
              <w:rPr>
                <w:rFonts w:hint="eastAsia"/>
                <w:color w:val="000000" w:themeColor="text1"/>
              </w:rPr>
              <w:t>1、投标单位报价不得高于最高</w:t>
            </w:r>
            <w:r>
              <w:rPr>
                <w:color w:val="000000" w:themeColor="text1"/>
              </w:rPr>
              <w:t>限价</w:t>
            </w:r>
          </w:p>
          <w:p>
            <w:pPr>
              <w:rPr>
                <w:color w:val="000000" w:themeColor="text1"/>
              </w:rPr>
            </w:pPr>
            <w:r>
              <w:rPr>
                <w:rFonts w:hint="eastAsia"/>
                <w:color w:val="000000" w:themeColor="text1"/>
              </w:rPr>
              <w:t>2、司机住宿及餐费按实际发生为准（若由用车单位支付则结算时不包括这项费用）</w:t>
            </w:r>
          </w:p>
          <w:p>
            <w:pPr>
              <w:pStyle w:val="45"/>
              <w:ind w:firstLine="0" w:firstLineChars="0"/>
              <w:rPr>
                <w:color w:val="000000" w:themeColor="text1"/>
              </w:rPr>
            </w:pPr>
            <w:r>
              <w:rPr>
                <w:rFonts w:hint="eastAsia"/>
                <w:b/>
                <w:bCs/>
                <w:color w:val="000000" w:themeColor="text1"/>
              </w:rPr>
              <w:t>报价时需填写车型（可多填）</w:t>
            </w:r>
          </w:p>
        </w:tc>
      </w:tr>
    </w:tbl>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注：1、上述价格是满足甲方使用车辆需要的所有费用。乙方已充分考虑为满足招标业务用车需求内容所必须的直接和间接成本、油（电、气）费、驾驶员全额工资（含福利、社保等，不含出车补贴）、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甲方不另行增加费用。</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2、市外基础里程数外距离与时间同时计价，互不矛盾，按实结算。</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3、短途租赁服务来回接送不限趟数，如遇特殊情况经双方协商收取租赁费。</w:t>
      </w:r>
    </w:p>
    <w:p>
      <w:pPr>
        <w:widowControl/>
        <w:spacing w:line="360" w:lineRule="exact"/>
        <w:jc w:val="left"/>
        <w:rPr>
          <w:rFonts w:ascii="宋体" w:hAnsi="宋体" w:cs="宋体"/>
          <w:color w:val="000000" w:themeColor="text1"/>
          <w:kern w:val="0"/>
          <w:sz w:val="24"/>
        </w:rPr>
      </w:pPr>
    </w:p>
    <w:p>
      <w:pPr>
        <w:ind w:firstLine="480"/>
        <w:jc w:val="center"/>
        <w:rPr>
          <w:rFonts w:ascii="宋体" w:hAnsi="宋体" w:cs="宋体"/>
          <w:color w:val="000000" w:themeColor="text1"/>
          <w:sz w:val="24"/>
        </w:rPr>
      </w:pPr>
      <w:r>
        <w:rPr>
          <w:rFonts w:hint="eastAsia" w:ascii="宋体" w:hAnsi="宋体" w:cs="宋体"/>
          <w:bCs/>
          <w:color w:val="000000" w:themeColor="text1"/>
          <w:sz w:val="24"/>
        </w:rPr>
        <w:t>供应商名称（公章）：</w:t>
      </w:r>
    </w:p>
    <w:p>
      <w:pPr>
        <w:spacing w:line="314" w:lineRule="exact"/>
        <w:rPr>
          <w:rFonts w:ascii="宋体" w:hAnsi="宋体" w:cs="宋体"/>
          <w:color w:val="000000" w:themeColor="text1"/>
        </w:rPr>
      </w:pPr>
    </w:p>
    <w:p>
      <w:pPr>
        <w:jc w:val="center"/>
        <w:rPr>
          <w:rFonts w:ascii="宋体" w:hAnsi="宋体" w:cs="宋体"/>
          <w:color w:val="000000" w:themeColor="text1"/>
          <w:sz w:val="32"/>
          <w:szCs w:val="32"/>
        </w:rPr>
      </w:pPr>
      <w:r>
        <w:rPr>
          <w:rFonts w:hint="eastAsia" w:ascii="宋体" w:hAnsi="宋体" w:cs="宋体"/>
          <w:color w:val="000000" w:themeColor="text1"/>
          <w:sz w:val="24"/>
          <w:szCs w:val="24"/>
        </w:rPr>
        <w:t>法定代表人或授权代表签字或盖章：</w:t>
      </w:r>
    </w:p>
    <w:p>
      <w:pPr>
        <w:spacing w:line="320" w:lineRule="exact"/>
        <w:ind w:right="4"/>
        <w:rPr>
          <w:rFonts w:ascii="宋体" w:hAnsi="宋体" w:cs="宋体"/>
          <w:color w:val="000000" w:themeColor="text1"/>
          <w:sz w:val="28"/>
        </w:rPr>
      </w:pPr>
    </w:p>
    <w:p>
      <w:pPr>
        <w:jc w:val="center"/>
        <w:rPr>
          <w:rFonts w:ascii="宋体" w:hAnsi="宋体" w:cs="宋体"/>
          <w:color w:val="000000" w:themeColor="text1"/>
          <w:sz w:val="24"/>
          <w:szCs w:val="24"/>
        </w:rPr>
        <w:sectPr>
          <w:headerReference r:id="rId5" w:type="default"/>
          <w:footerReference r:id="rId6" w:type="default"/>
          <w:pgSz w:w="11906" w:h="16838"/>
          <w:pgMar w:top="1418" w:right="1366" w:bottom="1418" w:left="1588" w:header="851" w:footer="907" w:gutter="0"/>
          <w:pgNumType w:fmt="decimalFullWidth"/>
          <w:cols w:space="720" w:num="1"/>
          <w:docGrid w:type="linesAndChars" w:linePitch="290" w:charSpace="0"/>
        </w:sectPr>
      </w:pPr>
      <w:r>
        <w:rPr>
          <w:rFonts w:hint="eastAsia" w:ascii="宋体" w:hAnsi="宋体" w:cs="宋体"/>
          <w:color w:val="000000" w:themeColor="text1"/>
          <w:sz w:val="24"/>
          <w:szCs w:val="24"/>
        </w:rPr>
        <w:t>日期：</w:t>
      </w:r>
    </w:p>
    <w:p>
      <w:pPr>
        <w:spacing w:line="320" w:lineRule="exact"/>
        <w:ind w:right="4"/>
        <w:jc w:val="center"/>
        <w:rPr>
          <w:rFonts w:ascii="宋体" w:hAnsi="宋体" w:cs="宋体"/>
          <w:color w:val="000000" w:themeColor="text1"/>
        </w:rPr>
      </w:pPr>
      <w:r>
        <w:rPr>
          <w:rFonts w:hint="eastAsia" w:ascii="宋体" w:hAnsi="宋体" w:cs="宋体"/>
          <w:color w:val="000000" w:themeColor="text1"/>
          <w:sz w:val="28"/>
        </w:rPr>
        <w:t>车辆信息表</w:t>
      </w:r>
    </w:p>
    <w:tbl>
      <w:tblPr>
        <w:tblStyle w:val="46"/>
        <w:tblW w:w="13823"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1588"/>
        <w:gridCol w:w="970"/>
        <w:gridCol w:w="1107"/>
        <w:gridCol w:w="1235"/>
        <w:gridCol w:w="1454"/>
        <w:gridCol w:w="1419"/>
        <w:gridCol w:w="1315"/>
        <w:gridCol w:w="1351"/>
        <w:gridCol w:w="1534"/>
        <w:gridCol w:w="12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2" w:hRule="atLeast"/>
        </w:trPr>
        <w:tc>
          <w:tcPr>
            <w:tcW w:w="612"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序号</w:t>
            </w:r>
          </w:p>
        </w:tc>
        <w:tc>
          <w:tcPr>
            <w:tcW w:w="1588" w:type="dxa"/>
            <w:tcBorders>
              <w:right w:val="single" w:color="auto" w:sz="4" w:space="0"/>
            </w:tcBorders>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品牌、车型</w:t>
            </w:r>
          </w:p>
        </w:tc>
        <w:tc>
          <w:tcPr>
            <w:tcW w:w="970" w:type="dxa"/>
            <w:tcBorders>
              <w:left w:val="single" w:color="auto" w:sz="4" w:space="0"/>
            </w:tcBorders>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颜色</w:t>
            </w:r>
          </w:p>
        </w:tc>
        <w:tc>
          <w:tcPr>
            <w:tcW w:w="1107"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排量</w:t>
            </w:r>
          </w:p>
        </w:tc>
        <w:tc>
          <w:tcPr>
            <w:tcW w:w="1235"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车牌号</w:t>
            </w:r>
          </w:p>
        </w:tc>
        <w:tc>
          <w:tcPr>
            <w:tcW w:w="1454"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购买时间（</w:t>
            </w:r>
            <w:r>
              <w:rPr>
                <w:rFonts w:hint="eastAsia" w:ascii="宋体" w:hAnsi="宋体" w:cs="宋体"/>
                <w:b/>
                <w:bCs/>
                <w:color w:val="000000" w:themeColor="text1"/>
                <w:lang w:val="zh-TW" w:eastAsia="zh-TW"/>
              </w:rPr>
              <w:t>车辆登记日期</w:t>
            </w:r>
            <w:r>
              <w:rPr>
                <w:rFonts w:hint="eastAsia" w:ascii="宋体" w:hAnsi="宋体" w:cs="宋体"/>
                <w:b/>
                <w:color w:val="000000" w:themeColor="text1"/>
                <w:sz w:val="24"/>
              </w:rPr>
              <w:t>）</w:t>
            </w:r>
          </w:p>
        </w:tc>
        <w:tc>
          <w:tcPr>
            <w:tcW w:w="1419"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车辆来源</w:t>
            </w:r>
          </w:p>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（是否自有）</w:t>
            </w:r>
          </w:p>
        </w:tc>
        <w:tc>
          <w:tcPr>
            <w:tcW w:w="1315"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车辆保险</w:t>
            </w:r>
          </w:p>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购买情况</w:t>
            </w:r>
          </w:p>
        </w:tc>
        <w:tc>
          <w:tcPr>
            <w:tcW w:w="1351"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价格（元）</w:t>
            </w:r>
          </w:p>
        </w:tc>
        <w:tc>
          <w:tcPr>
            <w:tcW w:w="1534"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里程数（km）</w:t>
            </w:r>
          </w:p>
        </w:tc>
        <w:tc>
          <w:tcPr>
            <w:tcW w:w="1238" w:type="dxa"/>
            <w:vAlign w:val="center"/>
          </w:tcPr>
          <w:p>
            <w:pPr>
              <w:spacing w:line="274" w:lineRule="exact"/>
              <w:ind w:left="340"/>
              <w:rPr>
                <w:rFonts w:ascii="宋体" w:hAnsi="宋体" w:cs="宋体"/>
                <w:b/>
                <w:color w:val="000000" w:themeColor="text1"/>
                <w:sz w:val="24"/>
              </w:rPr>
            </w:pPr>
            <w:r>
              <w:rPr>
                <w:rFonts w:hint="eastAsia" w:ascii="宋体" w:hAnsi="宋体" w:cs="宋体"/>
                <w:b/>
                <w:color w:val="000000" w:themeColor="text1"/>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274" w:lineRule="exact"/>
              <w:jc w:val="center"/>
              <w:rPr>
                <w:rFonts w:ascii="宋体" w:hAnsi="宋体" w:cs="宋体"/>
                <w:color w:val="000000" w:themeColor="text1"/>
                <w:sz w:val="24"/>
              </w:rPr>
            </w:pPr>
          </w:p>
        </w:tc>
        <w:tc>
          <w:tcPr>
            <w:tcW w:w="1315" w:type="dxa"/>
            <w:vAlign w:val="center"/>
          </w:tcPr>
          <w:p>
            <w:pPr>
              <w:spacing w:line="274" w:lineRule="exact"/>
              <w:jc w:val="center"/>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970" w:type="dxa"/>
            <w:tcBorders>
              <w:left w:val="single" w:color="auto" w:sz="4" w:space="0"/>
            </w:tcBorders>
            <w:vAlign w:val="center"/>
          </w:tcPr>
          <w:p>
            <w:pPr>
              <w:spacing w:line="0" w:lineRule="atLeast"/>
              <w:rPr>
                <w:rFonts w:ascii="宋体" w:hAnsi="宋体" w:cs="宋体"/>
                <w:color w:val="000000" w:themeColor="text1"/>
                <w:sz w:val="24"/>
              </w:rPr>
            </w:pPr>
          </w:p>
        </w:tc>
        <w:tc>
          <w:tcPr>
            <w:tcW w:w="1107" w:type="dxa"/>
            <w:vAlign w:val="center"/>
          </w:tcPr>
          <w:p>
            <w:pPr>
              <w:spacing w:line="0" w:lineRule="atLeast"/>
              <w:rPr>
                <w:rFonts w:ascii="宋体" w:hAnsi="宋体" w:cs="宋体"/>
                <w:color w:val="000000" w:themeColor="text1"/>
                <w:sz w:val="24"/>
              </w:rPr>
            </w:pPr>
          </w:p>
        </w:tc>
        <w:tc>
          <w:tcPr>
            <w:tcW w:w="1235" w:type="dxa"/>
            <w:vAlign w:val="center"/>
          </w:tcPr>
          <w:p>
            <w:pPr>
              <w:spacing w:line="0" w:lineRule="atLeast"/>
              <w:rPr>
                <w:rFonts w:ascii="宋体" w:hAnsi="宋体" w:cs="宋体"/>
                <w:color w:val="000000" w:themeColor="text1"/>
                <w:sz w:val="24"/>
              </w:rPr>
            </w:pPr>
          </w:p>
        </w:tc>
        <w:tc>
          <w:tcPr>
            <w:tcW w:w="1454" w:type="dxa"/>
            <w:vAlign w:val="center"/>
          </w:tcPr>
          <w:p>
            <w:pPr>
              <w:spacing w:line="0" w:lineRule="atLeast"/>
              <w:rPr>
                <w:rFonts w:ascii="宋体" w:hAnsi="宋体" w:cs="宋体"/>
                <w:color w:val="000000" w:themeColor="text1"/>
                <w:sz w:val="24"/>
              </w:rPr>
            </w:pPr>
          </w:p>
        </w:tc>
        <w:tc>
          <w:tcPr>
            <w:tcW w:w="1419" w:type="dxa"/>
            <w:vAlign w:val="center"/>
          </w:tcPr>
          <w:p>
            <w:pPr>
              <w:spacing w:line="0" w:lineRule="atLeast"/>
              <w:rPr>
                <w:rFonts w:ascii="宋体" w:hAnsi="宋体" w:cs="宋体"/>
                <w:color w:val="000000" w:themeColor="text1"/>
                <w:sz w:val="24"/>
              </w:rPr>
            </w:pPr>
          </w:p>
        </w:tc>
        <w:tc>
          <w:tcPr>
            <w:tcW w:w="1315" w:type="dxa"/>
            <w:vAlign w:val="center"/>
          </w:tcPr>
          <w:p>
            <w:pPr>
              <w:spacing w:line="0" w:lineRule="atLeast"/>
              <w:rPr>
                <w:rFonts w:ascii="宋体" w:hAnsi="宋体" w:cs="宋体"/>
                <w:color w:val="000000" w:themeColor="text1"/>
                <w:sz w:val="24"/>
              </w:rPr>
            </w:pPr>
          </w:p>
        </w:tc>
        <w:tc>
          <w:tcPr>
            <w:tcW w:w="1351" w:type="dxa"/>
            <w:vAlign w:val="center"/>
          </w:tcPr>
          <w:p>
            <w:pPr>
              <w:spacing w:line="0" w:lineRule="atLeast"/>
              <w:rPr>
                <w:rFonts w:ascii="宋体" w:hAnsi="宋体" w:cs="宋体"/>
                <w:color w:val="000000" w:themeColor="text1"/>
                <w:sz w:val="24"/>
              </w:rPr>
            </w:pPr>
          </w:p>
        </w:tc>
        <w:tc>
          <w:tcPr>
            <w:tcW w:w="1534" w:type="dxa"/>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9700" w:type="dxa"/>
            <w:gridSpan w:val="8"/>
            <w:vAlign w:val="center"/>
          </w:tcPr>
          <w:p>
            <w:pPr>
              <w:spacing w:line="0" w:lineRule="atLeast"/>
              <w:jc w:val="center"/>
              <w:rPr>
                <w:rFonts w:ascii="宋体" w:hAnsi="宋体" w:cs="宋体"/>
                <w:color w:val="000000" w:themeColor="text1"/>
              </w:rPr>
            </w:pPr>
            <w:r>
              <w:rPr>
                <w:rFonts w:hint="eastAsia" w:ascii="宋体" w:hAnsi="宋体" w:cs="宋体"/>
                <w:color w:val="000000" w:themeColor="text1"/>
                <w:lang w:val="zh-TW"/>
              </w:rPr>
              <w:t>上述所有</w:t>
            </w:r>
            <w:r>
              <w:rPr>
                <w:rFonts w:hint="eastAsia" w:ascii="宋体" w:hAnsi="宋体" w:cs="宋体"/>
                <w:color w:val="000000" w:themeColor="text1"/>
              </w:rPr>
              <w:t>车辆数量合计，单位：辆</w:t>
            </w:r>
          </w:p>
        </w:tc>
        <w:tc>
          <w:tcPr>
            <w:tcW w:w="2885" w:type="dxa"/>
            <w:gridSpan w:val="2"/>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9700" w:type="dxa"/>
            <w:gridSpan w:val="8"/>
            <w:vAlign w:val="center"/>
          </w:tcPr>
          <w:p>
            <w:pPr>
              <w:spacing w:line="0" w:lineRule="atLeast"/>
              <w:jc w:val="center"/>
              <w:rPr>
                <w:rFonts w:ascii="宋体" w:hAnsi="宋体" w:cs="宋体"/>
                <w:color w:val="000000" w:themeColor="text1"/>
              </w:rPr>
            </w:pPr>
            <w:r>
              <w:rPr>
                <w:rFonts w:hint="eastAsia" w:ascii="宋体" w:hAnsi="宋体" w:cs="宋体"/>
                <w:color w:val="000000" w:themeColor="text1"/>
                <w:lang w:val="zh-TW"/>
              </w:rPr>
              <w:t>上述所有车辆</w:t>
            </w:r>
            <w:r>
              <w:rPr>
                <w:rFonts w:hint="eastAsia" w:ascii="宋体" w:hAnsi="宋体" w:cs="宋体"/>
                <w:color w:val="000000" w:themeColor="text1"/>
                <w:lang w:val="zh-TW" w:eastAsia="zh-TW"/>
              </w:rPr>
              <w:t>车</w:t>
            </w:r>
            <w:r>
              <w:rPr>
                <w:rFonts w:hint="eastAsia" w:ascii="宋体" w:hAnsi="宋体" w:cs="宋体"/>
                <w:color w:val="000000" w:themeColor="text1"/>
                <w:lang w:val="zh-TW"/>
              </w:rPr>
              <w:t>龄合计（每辆车从其</w:t>
            </w:r>
            <w:r>
              <w:rPr>
                <w:rFonts w:hint="eastAsia" w:ascii="宋体" w:hAnsi="宋体" w:cs="宋体"/>
                <w:color w:val="000000" w:themeColor="text1"/>
                <w:lang w:val="zh-TW" w:eastAsia="zh-TW"/>
              </w:rPr>
              <w:t>车辆登记日期</w:t>
            </w:r>
            <w:r>
              <w:rPr>
                <w:rFonts w:hint="eastAsia" w:ascii="宋体" w:hAnsi="宋体" w:cs="宋体"/>
                <w:color w:val="000000" w:themeColor="text1"/>
                <w:lang w:val="zh-TW"/>
              </w:rPr>
              <w:t>之日起至投标截止日计算），单位：天</w:t>
            </w:r>
          </w:p>
        </w:tc>
        <w:tc>
          <w:tcPr>
            <w:tcW w:w="2885" w:type="dxa"/>
            <w:gridSpan w:val="2"/>
            <w:vAlign w:val="center"/>
          </w:tcPr>
          <w:p>
            <w:pPr>
              <w:spacing w:line="0" w:lineRule="atLeast"/>
              <w:rPr>
                <w:rFonts w:ascii="宋体" w:hAnsi="宋体" w:cs="宋体"/>
                <w:color w:val="000000" w:themeColor="text1"/>
                <w:sz w:val="24"/>
              </w:rPr>
            </w:pPr>
          </w:p>
        </w:tc>
        <w:tc>
          <w:tcPr>
            <w:tcW w:w="1238" w:type="dxa"/>
            <w:vAlign w:val="center"/>
          </w:tcPr>
          <w:p>
            <w:pPr>
              <w:spacing w:line="0" w:lineRule="atLeast"/>
              <w:rPr>
                <w:rFonts w:ascii="宋体" w:hAnsi="宋体" w:cs="宋体"/>
                <w:color w:val="000000" w:themeColor="text1"/>
                <w:sz w:val="24"/>
              </w:rPr>
            </w:pPr>
          </w:p>
        </w:tc>
      </w:tr>
    </w:tbl>
    <w:p>
      <w:pPr>
        <w:spacing w:line="148" w:lineRule="exact"/>
        <w:rPr>
          <w:rFonts w:ascii="宋体" w:hAnsi="宋体" w:cs="宋体"/>
          <w:color w:val="000000" w:themeColor="text1"/>
          <w:sz w:val="20"/>
          <w:szCs w:val="20"/>
        </w:rPr>
      </w:pPr>
    </w:p>
    <w:p>
      <w:pPr>
        <w:spacing w:line="274" w:lineRule="exact"/>
        <w:ind w:left="360"/>
        <w:rPr>
          <w:rFonts w:ascii="宋体" w:hAnsi="宋体" w:cs="宋体"/>
          <w:color w:val="000000" w:themeColor="text1"/>
          <w:sz w:val="24"/>
        </w:rPr>
      </w:pPr>
      <w:r>
        <w:rPr>
          <w:rFonts w:hint="eastAsia" w:ascii="宋体" w:hAnsi="宋体" w:cs="宋体"/>
          <w:color w:val="000000" w:themeColor="text1"/>
          <w:sz w:val="24"/>
        </w:rPr>
        <w:t>注：信息表中提供的车辆必须是承担出车任务的车辆。</w:t>
      </w:r>
    </w:p>
    <w:p>
      <w:pPr>
        <w:spacing w:line="300" w:lineRule="exact"/>
        <w:rPr>
          <w:rFonts w:ascii="宋体" w:hAnsi="宋体" w:cs="宋体"/>
          <w:color w:val="000000" w:themeColor="text1"/>
          <w:sz w:val="24"/>
          <w:szCs w:val="24"/>
        </w:rPr>
      </w:pPr>
      <w:r>
        <w:rPr>
          <w:rFonts w:hint="eastAsia" w:ascii="宋体" w:hAnsi="宋体" w:cs="宋体"/>
          <w:bCs/>
          <w:color w:val="000000" w:themeColor="text1"/>
          <w:sz w:val="24"/>
        </w:rPr>
        <w:t>供应商名称（公章）：</w:t>
      </w:r>
    </w:p>
    <w:p>
      <w:pPr>
        <w:spacing w:line="300" w:lineRule="exact"/>
        <w:rPr>
          <w:rFonts w:ascii="宋体" w:hAnsi="宋体" w:cs="宋体"/>
          <w:color w:val="000000" w:themeColor="text1"/>
          <w:sz w:val="24"/>
          <w:szCs w:val="24"/>
        </w:rPr>
      </w:pPr>
      <w:r>
        <w:rPr>
          <w:rFonts w:hint="eastAsia" w:ascii="宋体" w:hAnsi="宋体" w:cs="宋体"/>
          <w:color w:val="000000" w:themeColor="text1"/>
          <w:sz w:val="24"/>
          <w:szCs w:val="24"/>
        </w:rPr>
        <w:t>法定代表人（签章）：</w:t>
      </w:r>
    </w:p>
    <w:p>
      <w:pPr>
        <w:tabs>
          <w:tab w:val="left" w:pos="6460"/>
          <w:tab w:val="left" w:pos="7300"/>
          <w:tab w:val="left" w:pos="8140"/>
        </w:tabs>
        <w:spacing w:line="300" w:lineRule="exact"/>
        <w:rPr>
          <w:rFonts w:ascii="宋体" w:hAnsi="宋体" w:cs="宋体"/>
          <w:color w:val="000000" w:themeColor="text1"/>
          <w:sz w:val="24"/>
          <w:szCs w:val="24"/>
        </w:rPr>
      </w:pPr>
      <w:r>
        <w:rPr>
          <w:rFonts w:hint="eastAsia" w:ascii="宋体" w:hAnsi="宋体" w:cs="宋体"/>
          <w:color w:val="000000" w:themeColor="text1"/>
          <w:sz w:val="24"/>
          <w:szCs w:val="24"/>
        </w:rPr>
        <w:t>日期：</w:t>
      </w:r>
      <w:r>
        <w:rPr>
          <w:rFonts w:hint="eastAsia" w:ascii="宋体" w:hAnsi="宋体" w:cs="宋体"/>
          <w:color w:val="000000" w:themeColor="text1"/>
          <w:sz w:val="24"/>
          <w:szCs w:val="24"/>
        </w:rPr>
        <w:tab/>
      </w:r>
      <w:r>
        <w:rPr>
          <w:rFonts w:hint="eastAsia" w:ascii="宋体" w:hAnsi="宋体" w:cs="宋体"/>
          <w:color w:val="000000" w:themeColor="text1"/>
          <w:sz w:val="24"/>
          <w:szCs w:val="24"/>
        </w:rPr>
        <w:t>年</w:t>
      </w:r>
      <w:r>
        <w:rPr>
          <w:rFonts w:hint="eastAsia" w:ascii="宋体" w:hAnsi="宋体" w:cs="宋体"/>
          <w:color w:val="000000" w:themeColor="text1"/>
          <w:sz w:val="24"/>
          <w:szCs w:val="24"/>
        </w:rPr>
        <w:tab/>
      </w:r>
      <w:r>
        <w:rPr>
          <w:rFonts w:hint="eastAsia" w:ascii="宋体" w:hAnsi="宋体" w:cs="宋体"/>
          <w:color w:val="000000" w:themeColor="text1"/>
          <w:sz w:val="24"/>
          <w:szCs w:val="24"/>
        </w:rPr>
        <w:t>月</w:t>
      </w:r>
      <w:r>
        <w:rPr>
          <w:rFonts w:hint="eastAsia" w:ascii="宋体" w:hAnsi="宋体" w:cs="宋体"/>
          <w:color w:val="000000" w:themeColor="text1"/>
          <w:sz w:val="24"/>
          <w:szCs w:val="24"/>
        </w:rPr>
        <w:tab/>
      </w:r>
      <w:r>
        <w:rPr>
          <w:rFonts w:hint="eastAsia" w:ascii="宋体" w:hAnsi="宋体" w:cs="宋体"/>
          <w:color w:val="000000" w:themeColor="text1"/>
          <w:sz w:val="24"/>
          <w:szCs w:val="24"/>
        </w:rPr>
        <w:t>日</w:t>
      </w:r>
    </w:p>
    <w:p>
      <w:pPr>
        <w:snapToGrid w:val="0"/>
        <w:spacing w:line="300" w:lineRule="exact"/>
        <w:jc w:val="center"/>
        <w:rPr>
          <w:rFonts w:ascii="宋体" w:hAnsi="宋体" w:cs="宋体"/>
          <w:color w:val="000000" w:themeColor="text1"/>
          <w:sz w:val="32"/>
          <w:szCs w:val="32"/>
        </w:rPr>
        <w:sectPr>
          <w:pgSz w:w="16838" w:h="11906" w:orient="landscape"/>
          <w:pgMar w:top="1587" w:right="1418" w:bottom="1366" w:left="1418" w:header="851" w:footer="907" w:gutter="0"/>
          <w:pgNumType w:fmt="decimalFullWidth"/>
          <w:cols w:space="720" w:num="1"/>
          <w:docGrid w:type="linesAndChars" w:linePitch="298" w:charSpace="0"/>
        </w:sectPr>
      </w:pPr>
    </w:p>
    <w:p>
      <w:pPr>
        <w:spacing w:line="320" w:lineRule="exact"/>
        <w:ind w:right="4"/>
        <w:jc w:val="center"/>
        <w:rPr>
          <w:rFonts w:ascii="宋体" w:hAnsi="宋体" w:cs="宋体"/>
          <w:color w:val="000000" w:themeColor="text1"/>
        </w:rPr>
      </w:pPr>
      <w:r>
        <w:rPr>
          <w:rFonts w:hint="eastAsia" w:ascii="宋体" w:hAnsi="宋体" w:cs="宋体"/>
          <w:color w:val="000000" w:themeColor="text1"/>
          <w:sz w:val="28"/>
        </w:rPr>
        <w:t>驾驶员信息表</w:t>
      </w:r>
    </w:p>
    <w:tbl>
      <w:tblPr>
        <w:tblStyle w:val="46"/>
        <w:tblW w:w="13823" w:type="dxa"/>
        <w:tblInd w:w="2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1588"/>
        <w:gridCol w:w="1062"/>
        <w:gridCol w:w="1015"/>
        <w:gridCol w:w="1543"/>
        <w:gridCol w:w="1517"/>
        <w:gridCol w:w="1216"/>
        <w:gridCol w:w="1850"/>
        <w:gridCol w:w="1284"/>
        <w:gridCol w:w="1233"/>
        <w:gridCol w:w="9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2" w:hRule="atLeast"/>
        </w:trPr>
        <w:tc>
          <w:tcPr>
            <w:tcW w:w="612"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序号</w:t>
            </w:r>
          </w:p>
        </w:tc>
        <w:tc>
          <w:tcPr>
            <w:tcW w:w="1588" w:type="dxa"/>
            <w:tcBorders>
              <w:right w:val="single" w:color="auto" w:sz="4" w:space="0"/>
            </w:tcBorders>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姓名</w:t>
            </w:r>
          </w:p>
        </w:tc>
        <w:tc>
          <w:tcPr>
            <w:tcW w:w="1062" w:type="dxa"/>
            <w:tcBorders>
              <w:left w:val="single" w:color="auto" w:sz="4" w:space="0"/>
            </w:tcBorders>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性别</w:t>
            </w:r>
          </w:p>
        </w:tc>
        <w:tc>
          <w:tcPr>
            <w:tcW w:w="1015"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准驾车型</w:t>
            </w:r>
          </w:p>
        </w:tc>
        <w:tc>
          <w:tcPr>
            <w:tcW w:w="1543"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拟驾驶本项目何种车型</w:t>
            </w:r>
          </w:p>
        </w:tc>
        <w:tc>
          <w:tcPr>
            <w:tcW w:w="1517"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是否为投标人</w:t>
            </w:r>
          </w:p>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自有员工</w:t>
            </w:r>
          </w:p>
        </w:tc>
        <w:tc>
          <w:tcPr>
            <w:tcW w:w="1216"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是否已购买社保</w:t>
            </w:r>
          </w:p>
        </w:tc>
        <w:tc>
          <w:tcPr>
            <w:tcW w:w="1850"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近3年是否生交通违法行为记录</w:t>
            </w:r>
          </w:p>
        </w:tc>
        <w:tc>
          <w:tcPr>
            <w:tcW w:w="1284"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年龄</w:t>
            </w:r>
          </w:p>
        </w:tc>
        <w:tc>
          <w:tcPr>
            <w:tcW w:w="1233"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驾龄</w:t>
            </w:r>
          </w:p>
        </w:tc>
        <w:tc>
          <w:tcPr>
            <w:tcW w:w="903" w:type="dxa"/>
            <w:vAlign w:val="center"/>
          </w:tcPr>
          <w:p>
            <w:pPr>
              <w:spacing w:line="274" w:lineRule="exact"/>
              <w:jc w:val="center"/>
              <w:rPr>
                <w:rFonts w:ascii="宋体" w:hAnsi="宋体" w:cs="宋体"/>
                <w:b/>
                <w:color w:val="000000" w:themeColor="text1"/>
                <w:sz w:val="24"/>
              </w:rPr>
            </w:pPr>
            <w:r>
              <w:rPr>
                <w:rFonts w:hint="eastAsia" w:ascii="宋体" w:hAnsi="宋体" w:cs="宋体"/>
                <w:b/>
                <w:color w:val="000000" w:themeColor="text1"/>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274" w:lineRule="exact"/>
              <w:jc w:val="center"/>
              <w:rPr>
                <w:rFonts w:ascii="宋体" w:hAnsi="宋体" w:cs="宋体"/>
                <w:color w:val="000000" w:themeColor="text1"/>
                <w:sz w:val="24"/>
              </w:rPr>
            </w:pPr>
          </w:p>
        </w:tc>
        <w:tc>
          <w:tcPr>
            <w:tcW w:w="1015" w:type="dxa"/>
            <w:vAlign w:val="center"/>
          </w:tcPr>
          <w:p>
            <w:pPr>
              <w:spacing w:line="274" w:lineRule="exact"/>
              <w:jc w:val="center"/>
              <w:rPr>
                <w:rFonts w:ascii="宋体" w:hAnsi="宋体" w:cs="宋体"/>
                <w:color w:val="000000" w:themeColor="text1"/>
                <w:sz w:val="24"/>
              </w:rPr>
            </w:pPr>
          </w:p>
        </w:tc>
        <w:tc>
          <w:tcPr>
            <w:tcW w:w="1543" w:type="dxa"/>
            <w:vAlign w:val="center"/>
          </w:tcPr>
          <w:p>
            <w:pPr>
              <w:spacing w:line="274" w:lineRule="exact"/>
              <w:jc w:val="center"/>
              <w:rPr>
                <w:rFonts w:ascii="宋体" w:hAnsi="宋体" w:cs="宋体"/>
                <w:color w:val="000000" w:themeColor="text1"/>
                <w:sz w:val="24"/>
              </w:rPr>
            </w:pPr>
          </w:p>
        </w:tc>
        <w:tc>
          <w:tcPr>
            <w:tcW w:w="1517" w:type="dxa"/>
            <w:vAlign w:val="center"/>
          </w:tcPr>
          <w:p>
            <w:pPr>
              <w:spacing w:line="274" w:lineRule="exact"/>
              <w:jc w:val="center"/>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1"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vAlign w:val="center"/>
          </w:tcPr>
          <w:p>
            <w:pPr>
              <w:spacing w:line="0" w:lineRule="atLeast"/>
              <w:rPr>
                <w:rFonts w:ascii="宋体" w:hAnsi="宋体" w:cs="宋体"/>
                <w:color w:val="000000" w:themeColor="text1"/>
                <w:sz w:val="24"/>
              </w:rPr>
            </w:pPr>
          </w:p>
        </w:tc>
        <w:tc>
          <w:tcPr>
            <w:tcW w:w="1850" w:type="dxa"/>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612" w:type="dxa"/>
            <w:vAlign w:val="center"/>
          </w:tcPr>
          <w:p>
            <w:pPr>
              <w:spacing w:line="0" w:lineRule="atLeast"/>
              <w:rPr>
                <w:rFonts w:ascii="宋体" w:hAnsi="宋体" w:cs="宋体"/>
                <w:color w:val="000000" w:themeColor="text1"/>
                <w:sz w:val="24"/>
              </w:rPr>
            </w:pPr>
          </w:p>
        </w:tc>
        <w:tc>
          <w:tcPr>
            <w:tcW w:w="1588" w:type="dxa"/>
            <w:tcBorders>
              <w:right w:val="single" w:color="auto" w:sz="4" w:space="0"/>
            </w:tcBorders>
            <w:vAlign w:val="center"/>
          </w:tcPr>
          <w:p>
            <w:pPr>
              <w:spacing w:line="0" w:lineRule="atLeast"/>
              <w:rPr>
                <w:rFonts w:ascii="宋体" w:hAnsi="宋体" w:cs="宋体"/>
                <w:color w:val="000000" w:themeColor="text1"/>
                <w:sz w:val="24"/>
              </w:rPr>
            </w:pPr>
          </w:p>
        </w:tc>
        <w:tc>
          <w:tcPr>
            <w:tcW w:w="1062" w:type="dxa"/>
            <w:tcBorders>
              <w:left w:val="single" w:color="auto" w:sz="4" w:space="0"/>
            </w:tcBorders>
            <w:vAlign w:val="center"/>
          </w:tcPr>
          <w:p>
            <w:pPr>
              <w:spacing w:line="0" w:lineRule="atLeast"/>
              <w:rPr>
                <w:rFonts w:ascii="宋体" w:hAnsi="宋体" w:cs="宋体"/>
                <w:color w:val="000000" w:themeColor="text1"/>
                <w:sz w:val="24"/>
              </w:rPr>
            </w:pPr>
          </w:p>
        </w:tc>
        <w:tc>
          <w:tcPr>
            <w:tcW w:w="1015" w:type="dxa"/>
            <w:vAlign w:val="center"/>
          </w:tcPr>
          <w:p>
            <w:pPr>
              <w:spacing w:line="0" w:lineRule="atLeast"/>
              <w:rPr>
                <w:rFonts w:ascii="宋体" w:hAnsi="宋体" w:cs="宋体"/>
                <w:color w:val="000000" w:themeColor="text1"/>
                <w:sz w:val="24"/>
              </w:rPr>
            </w:pPr>
          </w:p>
        </w:tc>
        <w:tc>
          <w:tcPr>
            <w:tcW w:w="1543" w:type="dxa"/>
            <w:vAlign w:val="center"/>
          </w:tcPr>
          <w:p>
            <w:pPr>
              <w:spacing w:line="0" w:lineRule="atLeast"/>
              <w:rPr>
                <w:rFonts w:ascii="宋体" w:hAnsi="宋体" w:cs="宋体"/>
                <w:color w:val="000000" w:themeColor="text1"/>
                <w:sz w:val="24"/>
              </w:rPr>
            </w:pPr>
          </w:p>
        </w:tc>
        <w:tc>
          <w:tcPr>
            <w:tcW w:w="1517" w:type="dxa"/>
            <w:vAlign w:val="center"/>
          </w:tcPr>
          <w:p>
            <w:pPr>
              <w:spacing w:line="0" w:lineRule="atLeast"/>
              <w:rPr>
                <w:rFonts w:ascii="宋体" w:hAnsi="宋体" w:cs="宋体"/>
                <w:color w:val="000000" w:themeColor="text1"/>
                <w:sz w:val="24"/>
              </w:rPr>
            </w:pPr>
          </w:p>
        </w:tc>
        <w:tc>
          <w:tcPr>
            <w:tcW w:w="1216" w:type="dxa"/>
            <w:tcBorders>
              <w:right w:val="single" w:color="auto" w:sz="4" w:space="0"/>
            </w:tcBorders>
            <w:vAlign w:val="center"/>
          </w:tcPr>
          <w:p>
            <w:pPr>
              <w:spacing w:line="0" w:lineRule="atLeast"/>
              <w:rPr>
                <w:rFonts w:ascii="宋体" w:hAnsi="宋体" w:cs="宋体"/>
                <w:color w:val="000000" w:themeColor="text1"/>
                <w:sz w:val="24"/>
              </w:rPr>
            </w:pPr>
          </w:p>
        </w:tc>
        <w:tc>
          <w:tcPr>
            <w:tcW w:w="1850" w:type="dxa"/>
            <w:tcBorders>
              <w:left w:val="single" w:color="auto" w:sz="4" w:space="0"/>
            </w:tcBorders>
            <w:vAlign w:val="center"/>
          </w:tcPr>
          <w:p>
            <w:pPr>
              <w:spacing w:line="0" w:lineRule="atLeast"/>
              <w:rPr>
                <w:rFonts w:ascii="宋体" w:hAnsi="宋体" w:cs="宋体"/>
                <w:color w:val="000000" w:themeColor="text1"/>
                <w:sz w:val="24"/>
              </w:rPr>
            </w:pPr>
          </w:p>
        </w:tc>
        <w:tc>
          <w:tcPr>
            <w:tcW w:w="1284" w:type="dxa"/>
            <w:vAlign w:val="center"/>
          </w:tcPr>
          <w:p>
            <w:pPr>
              <w:spacing w:line="0" w:lineRule="atLeast"/>
              <w:rPr>
                <w:rFonts w:ascii="宋体" w:hAnsi="宋体" w:cs="宋体"/>
                <w:color w:val="000000" w:themeColor="text1"/>
                <w:sz w:val="24"/>
              </w:rPr>
            </w:pPr>
          </w:p>
        </w:tc>
        <w:tc>
          <w:tcPr>
            <w:tcW w:w="1233" w:type="dxa"/>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trPr>
        <w:tc>
          <w:tcPr>
            <w:tcW w:w="8553" w:type="dxa"/>
            <w:gridSpan w:val="7"/>
            <w:tcBorders>
              <w:right w:val="single" w:color="auto" w:sz="4" w:space="0"/>
            </w:tcBorders>
            <w:vAlign w:val="center"/>
          </w:tcPr>
          <w:p>
            <w:pPr>
              <w:spacing w:line="0" w:lineRule="atLeast"/>
              <w:jc w:val="center"/>
              <w:rPr>
                <w:rFonts w:ascii="宋体" w:hAnsi="宋体" w:cs="宋体"/>
                <w:color w:val="000000" w:themeColor="text1"/>
                <w:sz w:val="24"/>
              </w:rPr>
            </w:pPr>
            <w:r>
              <w:rPr>
                <w:rFonts w:hint="eastAsia" w:ascii="宋体" w:hAnsi="宋体" w:cs="宋体"/>
                <w:color w:val="000000" w:themeColor="text1"/>
                <w:sz w:val="24"/>
              </w:rPr>
              <w:t>上述所有驾驶员驾龄合计</w:t>
            </w:r>
          </w:p>
        </w:tc>
        <w:tc>
          <w:tcPr>
            <w:tcW w:w="4367" w:type="dxa"/>
            <w:gridSpan w:val="3"/>
            <w:tcBorders>
              <w:left w:val="single" w:color="auto" w:sz="4" w:space="0"/>
            </w:tcBorders>
            <w:vAlign w:val="center"/>
          </w:tcPr>
          <w:p>
            <w:pPr>
              <w:spacing w:line="0" w:lineRule="atLeast"/>
              <w:rPr>
                <w:rFonts w:ascii="宋体" w:hAnsi="宋体" w:cs="宋体"/>
                <w:color w:val="000000" w:themeColor="text1"/>
                <w:sz w:val="24"/>
              </w:rPr>
            </w:pPr>
          </w:p>
        </w:tc>
        <w:tc>
          <w:tcPr>
            <w:tcW w:w="903" w:type="dxa"/>
            <w:vAlign w:val="center"/>
          </w:tcPr>
          <w:p>
            <w:pPr>
              <w:spacing w:line="0" w:lineRule="atLeast"/>
              <w:rPr>
                <w:rFonts w:ascii="宋体" w:hAnsi="宋体" w:cs="宋体"/>
                <w:color w:val="000000" w:themeColor="text1"/>
                <w:sz w:val="24"/>
              </w:rPr>
            </w:pPr>
          </w:p>
        </w:tc>
      </w:tr>
    </w:tbl>
    <w:p>
      <w:pPr>
        <w:spacing w:line="148" w:lineRule="exact"/>
        <w:rPr>
          <w:rFonts w:ascii="宋体" w:hAnsi="宋体" w:cs="宋体"/>
          <w:color w:val="000000" w:themeColor="text1"/>
          <w:sz w:val="20"/>
          <w:szCs w:val="20"/>
        </w:rPr>
      </w:pPr>
    </w:p>
    <w:p>
      <w:pPr>
        <w:spacing w:line="274" w:lineRule="exact"/>
        <w:ind w:left="360"/>
        <w:rPr>
          <w:rFonts w:ascii="宋体" w:hAnsi="宋体" w:cs="宋体"/>
          <w:color w:val="000000" w:themeColor="text1"/>
          <w:sz w:val="24"/>
        </w:rPr>
      </w:pPr>
      <w:r>
        <w:rPr>
          <w:rFonts w:hint="eastAsia" w:ascii="宋体" w:hAnsi="宋体" w:cs="宋体"/>
          <w:color w:val="000000" w:themeColor="text1"/>
          <w:sz w:val="24"/>
        </w:rPr>
        <w:t>注：信息表中提供的驾驶员必须是承担出车任务的司机，且不得随意更换。</w:t>
      </w:r>
    </w:p>
    <w:p>
      <w:pPr>
        <w:spacing w:line="207" w:lineRule="exact"/>
        <w:rPr>
          <w:rFonts w:ascii="宋体" w:hAnsi="宋体" w:cs="宋体"/>
          <w:color w:val="000000" w:themeColor="text1"/>
        </w:rPr>
      </w:pPr>
    </w:p>
    <w:p>
      <w:pPr>
        <w:spacing w:line="300" w:lineRule="exact"/>
        <w:rPr>
          <w:rFonts w:ascii="宋体" w:hAnsi="宋体" w:cs="宋体"/>
          <w:color w:val="000000" w:themeColor="text1"/>
          <w:sz w:val="24"/>
          <w:szCs w:val="24"/>
        </w:rPr>
      </w:pPr>
      <w:r>
        <w:rPr>
          <w:rFonts w:hint="eastAsia" w:ascii="宋体" w:hAnsi="宋体" w:cs="宋体"/>
          <w:bCs/>
          <w:color w:val="000000" w:themeColor="text1"/>
          <w:sz w:val="24"/>
        </w:rPr>
        <w:t>供应商名称（公章）：</w:t>
      </w:r>
    </w:p>
    <w:p>
      <w:pPr>
        <w:spacing w:line="300" w:lineRule="exact"/>
        <w:rPr>
          <w:rFonts w:ascii="宋体" w:hAnsi="宋体" w:cs="宋体"/>
          <w:color w:val="000000" w:themeColor="text1"/>
          <w:sz w:val="24"/>
          <w:szCs w:val="24"/>
        </w:rPr>
      </w:pPr>
      <w:r>
        <w:rPr>
          <w:rFonts w:hint="eastAsia" w:ascii="宋体" w:hAnsi="宋体" w:cs="宋体"/>
          <w:color w:val="000000" w:themeColor="text1"/>
          <w:sz w:val="24"/>
          <w:szCs w:val="24"/>
        </w:rPr>
        <w:t>法定代表人（签章）：</w:t>
      </w:r>
    </w:p>
    <w:p>
      <w:pPr>
        <w:tabs>
          <w:tab w:val="left" w:pos="6460"/>
          <w:tab w:val="left" w:pos="7300"/>
          <w:tab w:val="left" w:pos="8140"/>
        </w:tabs>
        <w:spacing w:line="300" w:lineRule="exact"/>
        <w:rPr>
          <w:rFonts w:ascii="宋体" w:hAnsi="宋体" w:cs="宋体"/>
          <w:color w:val="000000" w:themeColor="text1"/>
          <w:sz w:val="24"/>
          <w:szCs w:val="24"/>
        </w:rPr>
      </w:pPr>
      <w:r>
        <w:rPr>
          <w:rFonts w:hint="eastAsia" w:ascii="宋体" w:hAnsi="宋体" w:cs="宋体"/>
          <w:color w:val="000000" w:themeColor="text1"/>
          <w:sz w:val="24"/>
          <w:szCs w:val="24"/>
        </w:rPr>
        <w:t>日期：</w:t>
      </w:r>
      <w:r>
        <w:rPr>
          <w:rFonts w:hint="eastAsia" w:ascii="宋体" w:hAnsi="宋体" w:cs="宋体"/>
          <w:color w:val="000000" w:themeColor="text1"/>
          <w:sz w:val="24"/>
          <w:szCs w:val="24"/>
        </w:rPr>
        <w:tab/>
      </w:r>
      <w:r>
        <w:rPr>
          <w:rFonts w:hint="eastAsia" w:ascii="宋体" w:hAnsi="宋体" w:cs="宋体"/>
          <w:color w:val="000000" w:themeColor="text1"/>
          <w:sz w:val="24"/>
          <w:szCs w:val="24"/>
        </w:rPr>
        <w:t>年</w:t>
      </w:r>
      <w:r>
        <w:rPr>
          <w:rFonts w:hint="eastAsia" w:ascii="宋体" w:hAnsi="宋体" w:cs="宋体"/>
          <w:color w:val="000000" w:themeColor="text1"/>
          <w:sz w:val="24"/>
          <w:szCs w:val="24"/>
        </w:rPr>
        <w:tab/>
      </w:r>
      <w:r>
        <w:rPr>
          <w:rFonts w:hint="eastAsia" w:ascii="宋体" w:hAnsi="宋体" w:cs="宋体"/>
          <w:color w:val="000000" w:themeColor="text1"/>
          <w:sz w:val="24"/>
          <w:szCs w:val="24"/>
        </w:rPr>
        <w:t>月</w:t>
      </w:r>
      <w:r>
        <w:rPr>
          <w:rFonts w:hint="eastAsia" w:ascii="宋体" w:hAnsi="宋体" w:cs="宋体"/>
          <w:color w:val="000000" w:themeColor="text1"/>
          <w:sz w:val="24"/>
          <w:szCs w:val="24"/>
        </w:rPr>
        <w:tab/>
      </w:r>
      <w:r>
        <w:rPr>
          <w:rFonts w:hint="eastAsia" w:ascii="宋体" w:hAnsi="宋体" w:cs="宋体"/>
          <w:color w:val="000000" w:themeColor="text1"/>
          <w:sz w:val="24"/>
          <w:szCs w:val="24"/>
        </w:rPr>
        <w:t>日</w:t>
      </w:r>
    </w:p>
    <w:p>
      <w:pPr>
        <w:snapToGrid w:val="0"/>
        <w:spacing w:line="300" w:lineRule="exact"/>
        <w:jc w:val="center"/>
        <w:rPr>
          <w:rFonts w:ascii="宋体" w:hAnsi="宋体" w:cs="宋体"/>
          <w:color w:val="000000" w:themeColor="text1"/>
          <w:sz w:val="32"/>
          <w:szCs w:val="32"/>
        </w:rPr>
        <w:sectPr>
          <w:pgSz w:w="16838" w:h="11906" w:orient="landscape"/>
          <w:pgMar w:top="1587" w:right="1418" w:bottom="1366" w:left="1418" w:header="851" w:footer="907" w:gutter="0"/>
          <w:pgNumType w:fmt="decimalFullWidth"/>
          <w:cols w:space="720" w:num="1"/>
          <w:docGrid w:type="linesAndChars" w:linePitch="298" w:charSpace="0"/>
        </w:sect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七、</w:t>
      </w:r>
      <w:bookmarkEnd w:id="180"/>
      <w:r>
        <w:rPr>
          <w:rFonts w:hint="eastAsia" w:ascii="宋体" w:hAnsi="宋体" w:cs="宋体"/>
          <w:color w:val="000000" w:themeColor="text1"/>
          <w:sz w:val="32"/>
          <w:szCs w:val="32"/>
        </w:rPr>
        <w:t>商务条款响应及偏离表（如有）</w:t>
      </w:r>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6"/>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服务期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用车响应时间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用车地点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p>
          <w:p>
            <w:pPr>
              <w:snapToGrid w:val="0"/>
              <w:spacing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备品备件等要求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tabs>
          <w:tab w:val="left" w:pos="6460"/>
          <w:tab w:val="left" w:pos="7300"/>
          <w:tab w:val="left" w:pos="8140"/>
        </w:tabs>
        <w:spacing w:line="300" w:lineRule="exact"/>
        <w:rPr>
          <w:rFonts w:ascii="宋体" w:hAnsi="宋体" w:cs="宋体"/>
          <w:color w:val="000000" w:themeColor="text1"/>
          <w:sz w:val="24"/>
          <w:szCs w:val="24"/>
        </w:rPr>
      </w:pPr>
      <w:r>
        <w:rPr>
          <w:rFonts w:hint="eastAsia" w:ascii="宋体" w:hAnsi="宋体" w:cs="宋体"/>
          <w:color w:val="000000" w:themeColor="text1"/>
          <w:sz w:val="24"/>
          <w:szCs w:val="24"/>
        </w:rPr>
        <w:t>日期：   年   月   日</w:t>
      </w:r>
    </w:p>
    <w:p>
      <w:pPr>
        <w:pStyle w:val="45"/>
        <w:ind w:firstLine="0" w:firstLineChars="0"/>
        <w:rPr>
          <w:color w:val="000000" w:themeColor="text1"/>
        </w:rPr>
      </w:pPr>
    </w:p>
    <w:p>
      <w:pPr>
        <w:pStyle w:val="4"/>
        <w:rPr>
          <w:rFonts w:ascii="宋体" w:hAnsi="宋体" w:eastAsia="宋体" w:cs="宋体"/>
          <w:b w:val="0"/>
          <w:bCs w:val="0"/>
          <w:color w:val="000000" w:themeColor="text1"/>
          <w:sz w:val="24"/>
          <w:szCs w:val="21"/>
        </w:rPr>
      </w:pPr>
    </w:p>
    <w:p>
      <w:pPr>
        <w:pStyle w:val="5"/>
        <w:rPr>
          <w:rFonts w:ascii="宋体" w:hAnsi="宋体" w:cs="宋体"/>
          <w:color w:val="000000" w:themeColor="text1"/>
        </w:rPr>
      </w:pPr>
    </w:p>
    <w:p>
      <w:pPr>
        <w:spacing w:line="480" w:lineRule="auto"/>
        <w:rPr>
          <w:rFonts w:ascii="宋体" w:hAnsi="宋体" w:cs="宋体"/>
          <w:color w:val="000000" w:themeColor="text1"/>
          <w:sz w:val="30"/>
        </w:rPr>
      </w:pPr>
      <w:bookmarkStart w:id="181" w:name="_Hlt26955056"/>
      <w:bookmarkEnd w:id="181"/>
      <w:bookmarkStart w:id="182" w:name="_Hlt26609389"/>
      <w:bookmarkEnd w:id="182"/>
      <w:bookmarkStart w:id="183" w:name="_Hlt24879081"/>
      <w:bookmarkEnd w:id="183"/>
      <w:bookmarkStart w:id="184" w:name="_Hlt26671372"/>
      <w:bookmarkEnd w:id="184"/>
      <w:bookmarkStart w:id="185" w:name="_Hlt26609391"/>
      <w:bookmarkEnd w:id="185"/>
      <w:bookmarkStart w:id="186" w:name="_Hlt26671374"/>
      <w:bookmarkEnd w:id="186"/>
      <w:bookmarkStart w:id="187" w:name="_Hlt26955064"/>
      <w:bookmarkEnd w:id="187"/>
      <w:bookmarkStart w:id="188" w:name="_Hlt26580838"/>
      <w:bookmarkEnd w:id="188"/>
      <w:bookmarkStart w:id="189" w:name="_Hlt26955066"/>
      <w:bookmarkEnd w:id="189"/>
      <w:bookmarkStart w:id="190" w:name="_Hlt26782999"/>
      <w:bookmarkEnd w:id="190"/>
      <w:bookmarkStart w:id="191" w:name="_Hlt26671343"/>
      <w:bookmarkEnd w:id="191"/>
      <w:bookmarkStart w:id="192" w:name="_Toc462564146"/>
    </w:p>
    <w:p>
      <w:pPr>
        <w:pStyle w:val="45"/>
        <w:ind w:firstLine="600"/>
        <w:rPr>
          <w:rFonts w:cs="宋体"/>
          <w:color w:val="000000" w:themeColor="text1"/>
          <w:sz w:val="30"/>
        </w:rPr>
      </w:pPr>
    </w:p>
    <w:p>
      <w:pPr>
        <w:pStyle w:val="45"/>
        <w:ind w:firstLine="600"/>
        <w:rPr>
          <w:rFonts w:cs="宋体"/>
          <w:color w:val="000000" w:themeColor="text1"/>
          <w:sz w:val="30"/>
        </w:rPr>
      </w:pPr>
    </w:p>
    <w:p>
      <w:pPr>
        <w:pStyle w:val="5"/>
        <w:ind w:firstLine="0"/>
        <w:rPr>
          <w:rFonts w:ascii="宋体" w:hAnsi="宋体" w:cs="宋体"/>
          <w:color w:val="000000" w:themeColor="text1"/>
          <w:sz w:val="24"/>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八、技术方案、服务承诺等</w:t>
      </w:r>
      <w:bookmarkEnd w:id="167"/>
      <w:bookmarkEnd w:id="168"/>
      <w:bookmarkEnd w:id="192"/>
      <w:bookmarkStart w:id="193" w:name="_格式2__法定代表人授权书"/>
      <w:bookmarkEnd w:id="193"/>
    </w:p>
    <w:sectPr>
      <w:pgSz w:w="11906" w:h="16838"/>
      <w:pgMar w:top="1418" w:right="1588" w:bottom="1418" w:left="1365" w:header="851" w:footer="907" w:gutter="0"/>
      <w:pgNumType w:fmt="decimalFullWidt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Fonts w:ascii="宋体" w:hAnsi="宋体"/>
      </w:rPr>
    </w:pPr>
    <w:r>
      <w:rPr>
        <w:rFonts w:ascii="宋体" w:hAnsi="宋体"/>
      </w:rPr>
      <w:fldChar w:fldCharType="begin"/>
    </w:r>
    <w:r>
      <w:rPr>
        <w:rStyle w:val="50"/>
        <w:rFonts w:ascii="宋体" w:hAnsi="宋体"/>
      </w:rPr>
      <w:instrText xml:space="preserve">PAGE  </w:instrText>
    </w:r>
    <w:r>
      <w:rPr>
        <w:rFonts w:ascii="宋体" w:hAnsi="宋体"/>
      </w:rPr>
      <w:fldChar w:fldCharType="separate"/>
    </w:r>
    <w:r>
      <w:rPr>
        <w:rStyle w:val="50"/>
        <w:rFonts w:ascii="宋体" w:hAnsi="宋体"/>
      </w:rPr>
      <w:t>１６</w:t>
    </w:r>
    <w:r>
      <w:rPr>
        <w:rFonts w:ascii="宋体" w:hAnsi="宋体"/>
      </w:rPr>
      <w:fldChar w:fldCharType="end"/>
    </w:r>
  </w:p>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Fonts w:ascii="宋体" w:hAnsi="宋体"/>
      </w:rPr>
    </w:pPr>
    <w:r>
      <w:rPr>
        <w:rFonts w:ascii="宋体" w:hAnsi="宋体"/>
      </w:rPr>
      <w:fldChar w:fldCharType="begin"/>
    </w:r>
    <w:r>
      <w:rPr>
        <w:rStyle w:val="50"/>
        <w:rFonts w:ascii="宋体" w:hAnsi="宋体"/>
      </w:rPr>
      <w:instrText xml:space="preserve">PAGE  </w:instrText>
    </w:r>
    <w:r>
      <w:rPr>
        <w:rFonts w:ascii="宋体" w:hAnsi="宋体"/>
      </w:rPr>
      <w:fldChar w:fldCharType="separate"/>
    </w:r>
    <w:r>
      <w:rPr>
        <w:rStyle w:val="50"/>
        <w:rFonts w:ascii="宋体" w:hAnsi="宋体"/>
      </w:rPr>
      <w:t>４０</w:t>
    </w:r>
    <w:r>
      <w:rPr>
        <w:rFonts w:ascii="宋体" w:hAnsi="宋体"/>
      </w:rPr>
      <w:fldChar w:fldCharType="end"/>
    </w:r>
  </w:p>
  <w:p>
    <w:pPr>
      <w:pStyle w:val="29"/>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eastAsia="隶书"/>
        <w:color w:val="FF0000"/>
        <w:spacing w:val="40"/>
        <w:sz w:val="21"/>
        <w:szCs w:val="21"/>
      </w:rPr>
    </w:pPr>
    <w:r>
      <w:rPr>
        <w:rFonts w:hint="eastAsia" w:eastAsia="隶书"/>
        <w:color w:val="FF0000"/>
        <w:spacing w:val="40"/>
        <w:sz w:val="21"/>
        <w:szCs w:val="21"/>
        <w:lang w:val="en-US" w:eastAsia="zh-CN"/>
      </w:rPr>
      <w:t>2020-070W</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eastAsia="隶书"/>
        <w:color w:val="FF0000"/>
        <w:spacing w:val="40"/>
        <w:sz w:val="21"/>
        <w:szCs w:val="21"/>
      </w:rPr>
    </w:pPr>
    <w:r>
      <w:rPr>
        <w:rFonts w:hint="eastAsia" w:eastAsia="隶书"/>
        <w:color w:val="000000"/>
        <w:spacing w:val="40"/>
        <w:sz w:val="21"/>
        <w:szCs w:val="21"/>
      </w:rPr>
      <w:t>盐城工业职业技术学院公务用车定点租赁服务项目</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90"/>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9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21F1"/>
    <w:rsid w:val="0000257C"/>
    <w:rsid w:val="00003DC7"/>
    <w:rsid w:val="00005139"/>
    <w:rsid w:val="000060F7"/>
    <w:rsid w:val="000065F6"/>
    <w:rsid w:val="00006B61"/>
    <w:rsid w:val="00006BCB"/>
    <w:rsid w:val="00012B1C"/>
    <w:rsid w:val="00014F7E"/>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128"/>
    <w:rsid w:val="00031E43"/>
    <w:rsid w:val="000333D7"/>
    <w:rsid w:val="00033D8D"/>
    <w:rsid w:val="00036863"/>
    <w:rsid w:val="00037990"/>
    <w:rsid w:val="000434F6"/>
    <w:rsid w:val="000440A4"/>
    <w:rsid w:val="00045D22"/>
    <w:rsid w:val="00046B9E"/>
    <w:rsid w:val="0005153E"/>
    <w:rsid w:val="000544A7"/>
    <w:rsid w:val="0005513D"/>
    <w:rsid w:val="00055BC4"/>
    <w:rsid w:val="000564F6"/>
    <w:rsid w:val="00056AE9"/>
    <w:rsid w:val="00057ADA"/>
    <w:rsid w:val="000605BB"/>
    <w:rsid w:val="0006121F"/>
    <w:rsid w:val="00062851"/>
    <w:rsid w:val="00062C51"/>
    <w:rsid w:val="0006657E"/>
    <w:rsid w:val="00066E0B"/>
    <w:rsid w:val="0007132E"/>
    <w:rsid w:val="00071631"/>
    <w:rsid w:val="00072A72"/>
    <w:rsid w:val="00073884"/>
    <w:rsid w:val="00073CD4"/>
    <w:rsid w:val="00076A17"/>
    <w:rsid w:val="000824BA"/>
    <w:rsid w:val="0008265D"/>
    <w:rsid w:val="00082C5C"/>
    <w:rsid w:val="00082F11"/>
    <w:rsid w:val="000833E7"/>
    <w:rsid w:val="0008366C"/>
    <w:rsid w:val="000837A2"/>
    <w:rsid w:val="00084B83"/>
    <w:rsid w:val="00085AAC"/>
    <w:rsid w:val="00087FC3"/>
    <w:rsid w:val="0009034C"/>
    <w:rsid w:val="00090BB5"/>
    <w:rsid w:val="000939A7"/>
    <w:rsid w:val="00094732"/>
    <w:rsid w:val="00094CD5"/>
    <w:rsid w:val="00095042"/>
    <w:rsid w:val="000956B3"/>
    <w:rsid w:val="00096A17"/>
    <w:rsid w:val="000A2569"/>
    <w:rsid w:val="000A2DEC"/>
    <w:rsid w:val="000A2FC6"/>
    <w:rsid w:val="000A381D"/>
    <w:rsid w:val="000A41F7"/>
    <w:rsid w:val="000A5684"/>
    <w:rsid w:val="000A5C24"/>
    <w:rsid w:val="000B1517"/>
    <w:rsid w:val="000B4987"/>
    <w:rsid w:val="000B7669"/>
    <w:rsid w:val="000C0376"/>
    <w:rsid w:val="000C0CA5"/>
    <w:rsid w:val="000C1440"/>
    <w:rsid w:val="000C1CD4"/>
    <w:rsid w:val="000C3447"/>
    <w:rsid w:val="000C3B7F"/>
    <w:rsid w:val="000C4A8C"/>
    <w:rsid w:val="000C6DBE"/>
    <w:rsid w:val="000C7D2E"/>
    <w:rsid w:val="000D004D"/>
    <w:rsid w:val="000D12F6"/>
    <w:rsid w:val="000D13A3"/>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0776"/>
    <w:rsid w:val="00101213"/>
    <w:rsid w:val="0010432D"/>
    <w:rsid w:val="00105C21"/>
    <w:rsid w:val="001062AB"/>
    <w:rsid w:val="00106600"/>
    <w:rsid w:val="00106A54"/>
    <w:rsid w:val="00110803"/>
    <w:rsid w:val="00113C44"/>
    <w:rsid w:val="00115161"/>
    <w:rsid w:val="00115439"/>
    <w:rsid w:val="00116C9B"/>
    <w:rsid w:val="00116CC8"/>
    <w:rsid w:val="001209A8"/>
    <w:rsid w:val="00120B27"/>
    <w:rsid w:val="001216F8"/>
    <w:rsid w:val="0012335D"/>
    <w:rsid w:val="00126079"/>
    <w:rsid w:val="00126928"/>
    <w:rsid w:val="00127CC7"/>
    <w:rsid w:val="00130AE1"/>
    <w:rsid w:val="001319A2"/>
    <w:rsid w:val="00132552"/>
    <w:rsid w:val="00132E91"/>
    <w:rsid w:val="001331C3"/>
    <w:rsid w:val="00133CFB"/>
    <w:rsid w:val="00134C5A"/>
    <w:rsid w:val="00135483"/>
    <w:rsid w:val="00136201"/>
    <w:rsid w:val="001368DA"/>
    <w:rsid w:val="00137CF4"/>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9DC"/>
    <w:rsid w:val="00157965"/>
    <w:rsid w:val="00161885"/>
    <w:rsid w:val="00162263"/>
    <w:rsid w:val="00163DB6"/>
    <w:rsid w:val="00163ED5"/>
    <w:rsid w:val="00164ABA"/>
    <w:rsid w:val="0016506B"/>
    <w:rsid w:val="00167B47"/>
    <w:rsid w:val="001705EF"/>
    <w:rsid w:val="0017062E"/>
    <w:rsid w:val="00170855"/>
    <w:rsid w:val="00170B99"/>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54AA"/>
    <w:rsid w:val="00197156"/>
    <w:rsid w:val="001972B4"/>
    <w:rsid w:val="00197325"/>
    <w:rsid w:val="00197B96"/>
    <w:rsid w:val="001A02D1"/>
    <w:rsid w:val="001A0F57"/>
    <w:rsid w:val="001A121B"/>
    <w:rsid w:val="001A16F7"/>
    <w:rsid w:val="001A2217"/>
    <w:rsid w:val="001A2797"/>
    <w:rsid w:val="001A2E68"/>
    <w:rsid w:val="001A3D79"/>
    <w:rsid w:val="001A5BDF"/>
    <w:rsid w:val="001B2DEF"/>
    <w:rsid w:val="001B5050"/>
    <w:rsid w:val="001B7E61"/>
    <w:rsid w:val="001C03AA"/>
    <w:rsid w:val="001C14B1"/>
    <w:rsid w:val="001C373D"/>
    <w:rsid w:val="001C5C56"/>
    <w:rsid w:val="001C5F27"/>
    <w:rsid w:val="001C6BCC"/>
    <w:rsid w:val="001D01DB"/>
    <w:rsid w:val="001D1657"/>
    <w:rsid w:val="001D4A32"/>
    <w:rsid w:val="001D6B89"/>
    <w:rsid w:val="001D6E74"/>
    <w:rsid w:val="001E13DE"/>
    <w:rsid w:val="001E1981"/>
    <w:rsid w:val="001E2637"/>
    <w:rsid w:val="001E45B5"/>
    <w:rsid w:val="001E61A6"/>
    <w:rsid w:val="001E7A14"/>
    <w:rsid w:val="001F07E3"/>
    <w:rsid w:val="001F110F"/>
    <w:rsid w:val="001F15A6"/>
    <w:rsid w:val="001F1B38"/>
    <w:rsid w:val="001F1F9E"/>
    <w:rsid w:val="001F2972"/>
    <w:rsid w:val="001F3E1F"/>
    <w:rsid w:val="001F6433"/>
    <w:rsid w:val="001F6BA2"/>
    <w:rsid w:val="002015B0"/>
    <w:rsid w:val="00201E97"/>
    <w:rsid w:val="00203A07"/>
    <w:rsid w:val="00210ECA"/>
    <w:rsid w:val="00211A2F"/>
    <w:rsid w:val="00213E9A"/>
    <w:rsid w:val="002142E2"/>
    <w:rsid w:val="00215C57"/>
    <w:rsid w:val="002173E8"/>
    <w:rsid w:val="00217582"/>
    <w:rsid w:val="002178D7"/>
    <w:rsid w:val="00217A24"/>
    <w:rsid w:val="00220D7D"/>
    <w:rsid w:val="002227C7"/>
    <w:rsid w:val="00223B19"/>
    <w:rsid w:val="00224736"/>
    <w:rsid w:val="002250B4"/>
    <w:rsid w:val="00225AFD"/>
    <w:rsid w:val="00226A97"/>
    <w:rsid w:val="00230D01"/>
    <w:rsid w:val="00233012"/>
    <w:rsid w:val="002330E9"/>
    <w:rsid w:val="00234032"/>
    <w:rsid w:val="002340C8"/>
    <w:rsid w:val="0023784A"/>
    <w:rsid w:val="00243056"/>
    <w:rsid w:val="0024324A"/>
    <w:rsid w:val="0024354B"/>
    <w:rsid w:val="002440FD"/>
    <w:rsid w:val="00244357"/>
    <w:rsid w:val="00244756"/>
    <w:rsid w:val="00244C9A"/>
    <w:rsid w:val="00244FFE"/>
    <w:rsid w:val="00247653"/>
    <w:rsid w:val="0025045D"/>
    <w:rsid w:val="00254FD3"/>
    <w:rsid w:val="00255FBA"/>
    <w:rsid w:val="002561D3"/>
    <w:rsid w:val="00256269"/>
    <w:rsid w:val="00260723"/>
    <w:rsid w:val="002607A3"/>
    <w:rsid w:val="00260BB7"/>
    <w:rsid w:val="00262FF0"/>
    <w:rsid w:val="002664E2"/>
    <w:rsid w:val="00266DDA"/>
    <w:rsid w:val="0027038C"/>
    <w:rsid w:val="002716FB"/>
    <w:rsid w:val="0027505D"/>
    <w:rsid w:val="00281581"/>
    <w:rsid w:val="00281895"/>
    <w:rsid w:val="0028335D"/>
    <w:rsid w:val="00285C1D"/>
    <w:rsid w:val="00287A8C"/>
    <w:rsid w:val="00287E9A"/>
    <w:rsid w:val="00290A64"/>
    <w:rsid w:val="002910ED"/>
    <w:rsid w:val="002916A6"/>
    <w:rsid w:val="00291D3C"/>
    <w:rsid w:val="0029219F"/>
    <w:rsid w:val="00293E8A"/>
    <w:rsid w:val="00294281"/>
    <w:rsid w:val="00296F36"/>
    <w:rsid w:val="00297496"/>
    <w:rsid w:val="002975F4"/>
    <w:rsid w:val="002976E3"/>
    <w:rsid w:val="002A0A66"/>
    <w:rsid w:val="002A194E"/>
    <w:rsid w:val="002A1D98"/>
    <w:rsid w:val="002A2FE1"/>
    <w:rsid w:val="002A31C4"/>
    <w:rsid w:val="002A5EB4"/>
    <w:rsid w:val="002B340B"/>
    <w:rsid w:val="002B3493"/>
    <w:rsid w:val="002B3A14"/>
    <w:rsid w:val="002B3F6A"/>
    <w:rsid w:val="002B49AD"/>
    <w:rsid w:val="002B5887"/>
    <w:rsid w:val="002B758B"/>
    <w:rsid w:val="002B75D6"/>
    <w:rsid w:val="002B7C5D"/>
    <w:rsid w:val="002C14F9"/>
    <w:rsid w:val="002C427A"/>
    <w:rsid w:val="002C57E1"/>
    <w:rsid w:val="002C5A53"/>
    <w:rsid w:val="002C5DC3"/>
    <w:rsid w:val="002C639D"/>
    <w:rsid w:val="002D2B63"/>
    <w:rsid w:val="002D2BA8"/>
    <w:rsid w:val="002D2D7E"/>
    <w:rsid w:val="002D2EC2"/>
    <w:rsid w:val="002D337A"/>
    <w:rsid w:val="002D337E"/>
    <w:rsid w:val="002D49D4"/>
    <w:rsid w:val="002D4ABD"/>
    <w:rsid w:val="002D5A0E"/>
    <w:rsid w:val="002D6427"/>
    <w:rsid w:val="002D7C63"/>
    <w:rsid w:val="002E0D36"/>
    <w:rsid w:val="002E1BAA"/>
    <w:rsid w:val="002E206A"/>
    <w:rsid w:val="002E32E7"/>
    <w:rsid w:val="002E4F80"/>
    <w:rsid w:val="002E78FA"/>
    <w:rsid w:val="002E7D17"/>
    <w:rsid w:val="002F160B"/>
    <w:rsid w:val="002F39C9"/>
    <w:rsid w:val="002F5991"/>
    <w:rsid w:val="002F7432"/>
    <w:rsid w:val="0030004D"/>
    <w:rsid w:val="003029C6"/>
    <w:rsid w:val="0030300C"/>
    <w:rsid w:val="00303B22"/>
    <w:rsid w:val="003052EE"/>
    <w:rsid w:val="00305902"/>
    <w:rsid w:val="0030792E"/>
    <w:rsid w:val="00307D8B"/>
    <w:rsid w:val="003100C5"/>
    <w:rsid w:val="003102E4"/>
    <w:rsid w:val="00311404"/>
    <w:rsid w:val="00311F7A"/>
    <w:rsid w:val="00314A50"/>
    <w:rsid w:val="00314CE0"/>
    <w:rsid w:val="003161E0"/>
    <w:rsid w:val="00320AF9"/>
    <w:rsid w:val="0032284B"/>
    <w:rsid w:val="00322C31"/>
    <w:rsid w:val="003235E4"/>
    <w:rsid w:val="0032383B"/>
    <w:rsid w:val="00324629"/>
    <w:rsid w:val="00324942"/>
    <w:rsid w:val="00325F10"/>
    <w:rsid w:val="0033180A"/>
    <w:rsid w:val="00332BD1"/>
    <w:rsid w:val="00335ED9"/>
    <w:rsid w:val="00340404"/>
    <w:rsid w:val="00341B1F"/>
    <w:rsid w:val="00342232"/>
    <w:rsid w:val="00342F58"/>
    <w:rsid w:val="00344A42"/>
    <w:rsid w:val="00345847"/>
    <w:rsid w:val="00345904"/>
    <w:rsid w:val="00346DB2"/>
    <w:rsid w:val="00351E99"/>
    <w:rsid w:val="00352805"/>
    <w:rsid w:val="00352E10"/>
    <w:rsid w:val="00361414"/>
    <w:rsid w:val="003630EB"/>
    <w:rsid w:val="0036323C"/>
    <w:rsid w:val="003637A9"/>
    <w:rsid w:val="003638E0"/>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1A18"/>
    <w:rsid w:val="00391A1F"/>
    <w:rsid w:val="003955A2"/>
    <w:rsid w:val="00395F4D"/>
    <w:rsid w:val="00397211"/>
    <w:rsid w:val="003A09F4"/>
    <w:rsid w:val="003A10F5"/>
    <w:rsid w:val="003A1A6E"/>
    <w:rsid w:val="003A212D"/>
    <w:rsid w:val="003A4119"/>
    <w:rsid w:val="003A454B"/>
    <w:rsid w:val="003A4D66"/>
    <w:rsid w:val="003A4E67"/>
    <w:rsid w:val="003A5ED9"/>
    <w:rsid w:val="003A72E5"/>
    <w:rsid w:val="003B2917"/>
    <w:rsid w:val="003B367D"/>
    <w:rsid w:val="003B3E7D"/>
    <w:rsid w:val="003B559E"/>
    <w:rsid w:val="003B59D9"/>
    <w:rsid w:val="003B5D45"/>
    <w:rsid w:val="003B6952"/>
    <w:rsid w:val="003C10DD"/>
    <w:rsid w:val="003C1190"/>
    <w:rsid w:val="003C1289"/>
    <w:rsid w:val="003C1A92"/>
    <w:rsid w:val="003C3300"/>
    <w:rsid w:val="003C3481"/>
    <w:rsid w:val="003C3791"/>
    <w:rsid w:val="003C422D"/>
    <w:rsid w:val="003C5ABF"/>
    <w:rsid w:val="003C69D7"/>
    <w:rsid w:val="003C7AE5"/>
    <w:rsid w:val="003D10D2"/>
    <w:rsid w:val="003D137A"/>
    <w:rsid w:val="003D1E45"/>
    <w:rsid w:val="003D2006"/>
    <w:rsid w:val="003D300E"/>
    <w:rsid w:val="003D318E"/>
    <w:rsid w:val="003D430B"/>
    <w:rsid w:val="003D647D"/>
    <w:rsid w:val="003D6DC4"/>
    <w:rsid w:val="003D7B1B"/>
    <w:rsid w:val="003E01CB"/>
    <w:rsid w:val="003E01D7"/>
    <w:rsid w:val="003E11C1"/>
    <w:rsid w:val="003E15AA"/>
    <w:rsid w:val="003E2BFA"/>
    <w:rsid w:val="003E3C34"/>
    <w:rsid w:val="003E46E0"/>
    <w:rsid w:val="003E5F8D"/>
    <w:rsid w:val="003E744E"/>
    <w:rsid w:val="003E7467"/>
    <w:rsid w:val="003F0E5A"/>
    <w:rsid w:val="003F2F87"/>
    <w:rsid w:val="003F3D20"/>
    <w:rsid w:val="003F3D3D"/>
    <w:rsid w:val="003F4477"/>
    <w:rsid w:val="003F4A55"/>
    <w:rsid w:val="003F4FAB"/>
    <w:rsid w:val="003F5CA7"/>
    <w:rsid w:val="003F5CB3"/>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6891"/>
    <w:rsid w:val="0041786D"/>
    <w:rsid w:val="00420952"/>
    <w:rsid w:val="00420ECB"/>
    <w:rsid w:val="0042200D"/>
    <w:rsid w:val="00422355"/>
    <w:rsid w:val="00423691"/>
    <w:rsid w:val="004248EB"/>
    <w:rsid w:val="00426DC2"/>
    <w:rsid w:val="00427452"/>
    <w:rsid w:val="00427744"/>
    <w:rsid w:val="004278D2"/>
    <w:rsid w:val="00427D01"/>
    <w:rsid w:val="00431297"/>
    <w:rsid w:val="00431ADA"/>
    <w:rsid w:val="00431C5A"/>
    <w:rsid w:val="00433227"/>
    <w:rsid w:val="00434521"/>
    <w:rsid w:val="00435338"/>
    <w:rsid w:val="00435C59"/>
    <w:rsid w:val="0043640B"/>
    <w:rsid w:val="00436A23"/>
    <w:rsid w:val="00437A7F"/>
    <w:rsid w:val="00440C79"/>
    <w:rsid w:val="00441801"/>
    <w:rsid w:val="00441954"/>
    <w:rsid w:val="00441A24"/>
    <w:rsid w:val="00442C53"/>
    <w:rsid w:val="0044338F"/>
    <w:rsid w:val="00443946"/>
    <w:rsid w:val="00444AAB"/>
    <w:rsid w:val="00445268"/>
    <w:rsid w:val="00445A89"/>
    <w:rsid w:val="00446354"/>
    <w:rsid w:val="004467D3"/>
    <w:rsid w:val="00451F45"/>
    <w:rsid w:val="00452065"/>
    <w:rsid w:val="004541C8"/>
    <w:rsid w:val="0045494F"/>
    <w:rsid w:val="00455782"/>
    <w:rsid w:val="00455EB6"/>
    <w:rsid w:val="0046057B"/>
    <w:rsid w:val="00461749"/>
    <w:rsid w:val="0046208D"/>
    <w:rsid w:val="00462769"/>
    <w:rsid w:val="00470615"/>
    <w:rsid w:val="004711ED"/>
    <w:rsid w:val="0047140D"/>
    <w:rsid w:val="004717D9"/>
    <w:rsid w:val="00472192"/>
    <w:rsid w:val="00472FDE"/>
    <w:rsid w:val="00474521"/>
    <w:rsid w:val="00474B80"/>
    <w:rsid w:val="00475C95"/>
    <w:rsid w:val="004765B6"/>
    <w:rsid w:val="00477688"/>
    <w:rsid w:val="00481BCD"/>
    <w:rsid w:val="0048224C"/>
    <w:rsid w:val="00482715"/>
    <w:rsid w:val="0048312C"/>
    <w:rsid w:val="004837DF"/>
    <w:rsid w:val="004874B1"/>
    <w:rsid w:val="0049146C"/>
    <w:rsid w:val="00491A79"/>
    <w:rsid w:val="0049301E"/>
    <w:rsid w:val="004939DA"/>
    <w:rsid w:val="00494031"/>
    <w:rsid w:val="00494B59"/>
    <w:rsid w:val="00494C4F"/>
    <w:rsid w:val="004957EF"/>
    <w:rsid w:val="004A099A"/>
    <w:rsid w:val="004A1FAD"/>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1D40"/>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6EB"/>
    <w:rsid w:val="004F2C95"/>
    <w:rsid w:val="004F34A8"/>
    <w:rsid w:val="004F4AE0"/>
    <w:rsid w:val="004F526C"/>
    <w:rsid w:val="004F54BA"/>
    <w:rsid w:val="005000FE"/>
    <w:rsid w:val="00500CE0"/>
    <w:rsid w:val="00500D41"/>
    <w:rsid w:val="00502660"/>
    <w:rsid w:val="00502AAE"/>
    <w:rsid w:val="00503685"/>
    <w:rsid w:val="005046FA"/>
    <w:rsid w:val="00504FB2"/>
    <w:rsid w:val="00505733"/>
    <w:rsid w:val="00506B42"/>
    <w:rsid w:val="005118AB"/>
    <w:rsid w:val="00511FA2"/>
    <w:rsid w:val="00512034"/>
    <w:rsid w:val="005142D5"/>
    <w:rsid w:val="00514D3A"/>
    <w:rsid w:val="00514F73"/>
    <w:rsid w:val="005150D2"/>
    <w:rsid w:val="005177C2"/>
    <w:rsid w:val="00522015"/>
    <w:rsid w:val="0052445F"/>
    <w:rsid w:val="00524A9B"/>
    <w:rsid w:val="00526D0B"/>
    <w:rsid w:val="00527C3A"/>
    <w:rsid w:val="00532ED5"/>
    <w:rsid w:val="00533FB8"/>
    <w:rsid w:val="005340AF"/>
    <w:rsid w:val="005361E9"/>
    <w:rsid w:val="0054082E"/>
    <w:rsid w:val="0054132B"/>
    <w:rsid w:val="00541D5A"/>
    <w:rsid w:val="00542A4C"/>
    <w:rsid w:val="00542B57"/>
    <w:rsid w:val="005448F9"/>
    <w:rsid w:val="0054527E"/>
    <w:rsid w:val="00545C97"/>
    <w:rsid w:val="00546111"/>
    <w:rsid w:val="0054631A"/>
    <w:rsid w:val="005474A7"/>
    <w:rsid w:val="00551078"/>
    <w:rsid w:val="005528D7"/>
    <w:rsid w:val="0055319A"/>
    <w:rsid w:val="00553A93"/>
    <w:rsid w:val="00553E41"/>
    <w:rsid w:val="00556ACF"/>
    <w:rsid w:val="00557A2E"/>
    <w:rsid w:val="005619A4"/>
    <w:rsid w:val="00563148"/>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876B4"/>
    <w:rsid w:val="00592963"/>
    <w:rsid w:val="005930B9"/>
    <w:rsid w:val="0059357B"/>
    <w:rsid w:val="00595052"/>
    <w:rsid w:val="00595D0B"/>
    <w:rsid w:val="005966F6"/>
    <w:rsid w:val="00597A56"/>
    <w:rsid w:val="005A0E90"/>
    <w:rsid w:val="005A1B17"/>
    <w:rsid w:val="005A26D5"/>
    <w:rsid w:val="005A5060"/>
    <w:rsid w:val="005A53DC"/>
    <w:rsid w:val="005A71B8"/>
    <w:rsid w:val="005B0841"/>
    <w:rsid w:val="005B220B"/>
    <w:rsid w:val="005B296B"/>
    <w:rsid w:val="005B2A20"/>
    <w:rsid w:val="005B317C"/>
    <w:rsid w:val="005B5728"/>
    <w:rsid w:val="005B6660"/>
    <w:rsid w:val="005B666F"/>
    <w:rsid w:val="005B6B13"/>
    <w:rsid w:val="005B713F"/>
    <w:rsid w:val="005B7887"/>
    <w:rsid w:val="005C1AC2"/>
    <w:rsid w:val="005C226F"/>
    <w:rsid w:val="005C54A5"/>
    <w:rsid w:val="005C5E1B"/>
    <w:rsid w:val="005C7F76"/>
    <w:rsid w:val="005D0E31"/>
    <w:rsid w:val="005D0FF6"/>
    <w:rsid w:val="005D1814"/>
    <w:rsid w:val="005D2582"/>
    <w:rsid w:val="005D2F4F"/>
    <w:rsid w:val="005D45E2"/>
    <w:rsid w:val="005D4F77"/>
    <w:rsid w:val="005D50E5"/>
    <w:rsid w:val="005D60A9"/>
    <w:rsid w:val="005D6A86"/>
    <w:rsid w:val="005D6EAC"/>
    <w:rsid w:val="005D74B4"/>
    <w:rsid w:val="005E041E"/>
    <w:rsid w:val="005E066A"/>
    <w:rsid w:val="005E08F0"/>
    <w:rsid w:val="005E0D27"/>
    <w:rsid w:val="005E209B"/>
    <w:rsid w:val="005E2853"/>
    <w:rsid w:val="005E3525"/>
    <w:rsid w:val="005E6190"/>
    <w:rsid w:val="005E6D04"/>
    <w:rsid w:val="005E711C"/>
    <w:rsid w:val="005E74E2"/>
    <w:rsid w:val="005E78FF"/>
    <w:rsid w:val="005F143B"/>
    <w:rsid w:val="005F1A50"/>
    <w:rsid w:val="005F1F14"/>
    <w:rsid w:val="005F2D59"/>
    <w:rsid w:val="005F3BA9"/>
    <w:rsid w:val="005F4260"/>
    <w:rsid w:val="005F4702"/>
    <w:rsid w:val="005F5F5F"/>
    <w:rsid w:val="005F688B"/>
    <w:rsid w:val="00600EF7"/>
    <w:rsid w:val="006013D6"/>
    <w:rsid w:val="00601722"/>
    <w:rsid w:val="0060313A"/>
    <w:rsid w:val="00605458"/>
    <w:rsid w:val="00605864"/>
    <w:rsid w:val="0060612E"/>
    <w:rsid w:val="00606422"/>
    <w:rsid w:val="00610966"/>
    <w:rsid w:val="00611A6B"/>
    <w:rsid w:val="00611B75"/>
    <w:rsid w:val="00612785"/>
    <w:rsid w:val="00612A03"/>
    <w:rsid w:val="00615124"/>
    <w:rsid w:val="006156EA"/>
    <w:rsid w:val="006173D7"/>
    <w:rsid w:val="00617A49"/>
    <w:rsid w:val="00617E8B"/>
    <w:rsid w:val="0062000B"/>
    <w:rsid w:val="0062123C"/>
    <w:rsid w:val="00622C47"/>
    <w:rsid w:val="00624406"/>
    <w:rsid w:val="0062494A"/>
    <w:rsid w:val="006253F1"/>
    <w:rsid w:val="006264B1"/>
    <w:rsid w:val="00630DAC"/>
    <w:rsid w:val="00630E1C"/>
    <w:rsid w:val="006319BA"/>
    <w:rsid w:val="00634D95"/>
    <w:rsid w:val="00634DE4"/>
    <w:rsid w:val="00635980"/>
    <w:rsid w:val="00635F47"/>
    <w:rsid w:val="006377D7"/>
    <w:rsid w:val="00640359"/>
    <w:rsid w:val="0064259B"/>
    <w:rsid w:val="00643300"/>
    <w:rsid w:val="006435C5"/>
    <w:rsid w:val="006439B3"/>
    <w:rsid w:val="00643CB6"/>
    <w:rsid w:val="0064411E"/>
    <w:rsid w:val="00644909"/>
    <w:rsid w:val="00646034"/>
    <w:rsid w:val="00647B9C"/>
    <w:rsid w:val="006502FA"/>
    <w:rsid w:val="00650C43"/>
    <w:rsid w:val="00651685"/>
    <w:rsid w:val="00651A7D"/>
    <w:rsid w:val="00651B78"/>
    <w:rsid w:val="00651D3F"/>
    <w:rsid w:val="00651EDB"/>
    <w:rsid w:val="0065276D"/>
    <w:rsid w:val="00653120"/>
    <w:rsid w:val="00653D99"/>
    <w:rsid w:val="00654444"/>
    <w:rsid w:val="00654E03"/>
    <w:rsid w:val="00655FB0"/>
    <w:rsid w:val="006605C3"/>
    <w:rsid w:val="006624DC"/>
    <w:rsid w:val="00663932"/>
    <w:rsid w:val="006646FE"/>
    <w:rsid w:val="0066550E"/>
    <w:rsid w:val="006655F4"/>
    <w:rsid w:val="00665D4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59B9"/>
    <w:rsid w:val="006861EC"/>
    <w:rsid w:val="00686340"/>
    <w:rsid w:val="006865A6"/>
    <w:rsid w:val="006926C2"/>
    <w:rsid w:val="006932C1"/>
    <w:rsid w:val="0069416E"/>
    <w:rsid w:val="00694BB8"/>
    <w:rsid w:val="006950EF"/>
    <w:rsid w:val="00697A44"/>
    <w:rsid w:val="006A0505"/>
    <w:rsid w:val="006A08A2"/>
    <w:rsid w:val="006A40D6"/>
    <w:rsid w:val="006A46FB"/>
    <w:rsid w:val="006A6A8C"/>
    <w:rsid w:val="006B0BFF"/>
    <w:rsid w:val="006B1F13"/>
    <w:rsid w:val="006B21C1"/>
    <w:rsid w:val="006B31B9"/>
    <w:rsid w:val="006B60FB"/>
    <w:rsid w:val="006C2552"/>
    <w:rsid w:val="006C3351"/>
    <w:rsid w:val="006C3AAD"/>
    <w:rsid w:val="006C4BEC"/>
    <w:rsid w:val="006C6A72"/>
    <w:rsid w:val="006D253D"/>
    <w:rsid w:val="006D3461"/>
    <w:rsid w:val="006D3599"/>
    <w:rsid w:val="006D4BF1"/>
    <w:rsid w:val="006D5CEE"/>
    <w:rsid w:val="006D6E9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2E4D"/>
    <w:rsid w:val="0072319B"/>
    <w:rsid w:val="00723AD7"/>
    <w:rsid w:val="00724BA4"/>
    <w:rsid w:val="007348BE"/>
    <w:rsid w:val="00734AAC"/>
    <w:rsid w:val="00736BC1"/>
    <w:rsid w:val="0073782C"/>
    <w:rsid w:val="00737840"/>
    <w:rsid w:val="0074062F"/>
    <w:rsid w:val="007406CA"/>
    <w:rsid w:val="00740D6F"/>
    <w:rsid w:val="00740F5D"/>
    <w:rsid w:val="00741C57"/>
    <w:rsid w:val="007421D6"/>
    <w:rsid w:val="0074243F"/>
    <w:rsid w:val="00742A78"/>
    <w:rsid w:val="00742BBF"/>
    <w:rsid w:val="00743BDA"/>
    <w:rsid w:val="00744352"/>
    <w:rsid w:val="0074612B"/>
    <w:rsid w:val="00747EEB"/>
    <w:rsid w:val="007526D9"/>
    <w:rsid w:val="00752C37"/>
    <w:rsid w:val="0075377D"/>
    <w:rsid w:val="007544E5"/>
    <w:rsid w:val="0075607C"/>
    <w:rsid w:val="007565CD"/>
    <w:rsid w:val="00761B03"/>
    <w:rsid w:val="00761DE9"/>
    <w:rsid w:val="00762D54"/>
    <w:rsid w:val="00762E7D"/>
    <w:rsid w:val="007656B3"/>
    <w:rsid w:val="00766122"/>
    <w:rsid w:val="00766753"/>
    <w:rsid w:val="00766F33"/>
    <w:rsid w:val="00767BF4"/>
    <w:rsid w:val="0077182E"/>
    <w:rsid w:val="007729B6"/>
    <w:rsid w:val="00772AF3"/>
    <w:rsid w:val="007750C7"/>
    <w:rsid w:val="0077516D"/>
    <w:rsid w:val="007753AC"/>
    <w:rsid w:val="00775AB0"/>
    <w:rsid w:val="0078081B"/>
    <w:rsid w:val="00781D05"/>
    <w:rsid w:val="00783A8D"/>
    <w:rsid w:val="00784C9B"/>
    <w:rsid w:val="007854A7"/>
    <w:rsid w:val="00785824"/>
    <w:rsid w:val="00785C62"/>
    <w:rsid w:val="00785CA4"/>
    <w:rsid w:val="00785E00"/>
    <w:rsid w:val="0078681D"/>
    <w:rsid w:val="00790456"/>
    <w:rsid w:val="00791200"/>
    <w:rsid w:val="00792334"/>
    <w:rsid w:val="007926F2"/>
    <w:rsid w:val="0079372E"/>
    <w:rsid w:val="007937B2"/>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4E30"/>
    <w:rsid w:val="007B5192"/>
    <w:rsid w:val="007B5CFB"/>
    <w:rsid w:val="007B613E"/>
    <w:rsid w:val="007B68B8"/>
    <w:rsid w:val="007B7166"/>
    <w:rsid w:val="007B792E"/>
    <w:rsid w:val="007C1147"/>
    <w:rsid w:val="007C2B22"/>
    <w:rsid w:val="007C2FF3"/>
    <w:rsid w:val="007C375B"/>
    <w:rsid w:val="007C386D"/>
    <w:rsid w:val="007C6419"/>
    <w:rsid w:val="007C6BFD"/>
    <w:rsid w:val="007D0549"/>
    <w:rsid w:val="007D2B49"/>
    <w:rsid w:val="007D3AC4"/>
    <w:rsid w:val="007D57D4"/>
    <w:rsid w:val="007D7B4A"/>
    <w:rsid w:val="007D7F35"/>
    <w:rsid w:val="007E086A"/>
    <w:rsid w:val="007E0DC0"/>
    <w:rsid w:val="007E13A4"/>
    <w:rsid w:val="007E15B4"/>
    <w:rsid w:val="007E4057"/>
    <w:rsid w:val="007E4FD4"/>
    <w:rsid w:val="007E5F65"/>
    <w:rsid w:val="007F015D"/>
    <w:rsid w:val="007F0661"/>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7E5"/>
    <w:rsid w:val="00810A8D"/>
    <w:rsid w:val="00810F19"/>
    <w:rsid w:val="00812E5E"/>
    <w:rsid w:val="008140CE"/>
    <w:rsid w:val="00817230"/>
    <w:rsid w:val="008179F9"/>
    <w:rsid w:val="00817EC4"/>
    <w:rsid w:val="00821B77"/>
    <w:rsid w:val="008220F7"/>
    <w:rsid w:val="00822AF1"/>
    <w:rsid w:val="008249BE"/>
    <w:rsid w:val="00824A0D"/>
    <w:rsid w:val="00824BC4"/>
    <w:rsid w:val="00824F16"/>
    <w:rsid w:val="00825E64"/>
    <w:rsid w:val="00826376"/>
    <w:rsid w:val="00830B78"/>
    <w:rsid w:val="00830FB1"/>
    <w:rsid w:val="00831C73"/>
    <w:rsid w:val="00831ED5"/>
    <w:rsid w:val="0083559D"/>
    <w:rsid w:val="00835DA2"/>
    <w:rsid w:val="00836173"/>
    <w:rsid w:val="00836F4D"/>
    <w:rsid w:val="00841AB6"/>
    <w:rsid w:val="008441DE"/>
    <w:rsid w:val="00844726"/>
    <w:rsid w:val="00844D3B"/>
    <w:rsid w:val="008473C8"/>
    <w:rsid w:val="00852DCA"/>
    <w:rsid w:val="00852FB8"/>
    <w:rsid w:val="00853651"/>
    <w:rsid w:val="00856B7C"/>
    <w:rsid w:val="008571C5"/>
    <w:rsid w:val="00860414"/>
    <w:rsid w:val="008618CB"/>
    <w:rsid w:val="00864C4D"/>
    <w:rsid w:val="008654C3"/>
    <w:rsid w:val="00865952"/>
    <w:rsid w:val="00866542"/>
    <w:rsid w:val="00867C09"/>
    <w:rsid w:val="00871945"/>
    <w:rsid w:val="00871A21"/>
    <w:rsid w:val="00873179"/>
    <w:rsid w:val="00873C3E"/>
    <w:rsid w:val="008745B9"/>
    <w:rsid w:val="008746B5"/>
    <w:rsid w:val="008753E1"/>
    <w:rsid w:val="00875B73"/>
    <w:rsid w:val="0087790A"/>
    <w:rsid w:val="00881711"/>
    <w:rsid w:val="008832F8"/>
    <w:rsid w:val="008858D1"/>
    <w:rsid w:val="00885EA5"/>
    <w:rsid w:val="00887614"/>
    <w:rsid w:val="0088773B"/>
    <w:rsid w:val="00887A46"/>
    <w:rsid w:val="008925CC"/>
    <w:rsid w:val="00892845"/>
    <w:rsid w:val="00892AFD"/>
    <w:rsid w:val="008931CC"/>
    <w:rsid w:val="0089490E"/>
    <w:rsid w:val="00894B3D"/>
    <w:rsid w:val="0089637E"/>
    <w:rsid w:val="00897744"/>
    <w:rsid w:val="008A26E2"/>
    <w:rsid w:val="008A397D"/>
    <w:rsid w:val="008A51F4"/>
    <w:rsid w:val="008A63E4"/>
    <w:rsid w:val="008A65F1"/>
    <w:rsid w:val="008B1D69"/>
    <w:rsid w:val="008B3D5C"/>
    <w:rsid w:val="008B435D"/>
    <w:rsid w:val="008B4CCC"/>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74FF"/>
    <w:rsid w:val="008E7CEA"/>
    <w:rsid w:val="008E7E66"/>
    <w:rsid w:val="008F0698"/>
    <w:rsid w:val="008F10B8"/>
    <w:rsid w:val="008F2A5D"/>
    <w:rsid w:val="008F682E"/>
    <w:rsid w:val="008F6BD2"/>
    <w:rsid w:val="008F7B07"/>
    <w:rsid w:val="008F7B43"/>
    <w:rsid w:val="008F7FEB"/>
    <w:rsid w:val="00900246"/>
    <w:rsid w:val="00901C9E"/>
    <w:rsid w:val="00902060"/>
    <w:rsid w:val="00902517"/>
    <w:rsid w:val="00902A5B"/>
    <w:rsid w:val="00902D64"/>
    <w:rsid w:val="00903D0A"/>
    <w:rsid w:val="00904BE6"/>
    <w:rsid w:val="009076A7"/>
    <w:rsid w:val="0091369E"/>
    <w:rsid w:val="00914E35"/>
    <w:rsid w:val="009170C0"/>
    <w:rsid w:val="00917CFF"/>
    <w:rsid w:val="009205DA"/>
    <w:rsid w:val="00921367"/>
    <w:rsid w:val="00922D59"/>
    <w:rsid w:val="009231B3"/>
    <w:rsid w:val="0092395E"/>
    <w:rsid w:val="00924023"/>
    <w:rsid w:val="00926B02"/>
    <w:rsid w:val="00927349"/>
    <w:rsid w:val="009307C6"/>
    <w:rsid w:val="00931D77"/>
    <w:rsid w:val="0093330F"/>
    <w:rsid w:val="009336C7"/>
    <w:rsid w:val="009336D5"/>
    <w:rsid w:val="009357E0"/>
    <w:rsid w:val="0094153D"/>
    <w:rsid w:val="00942200"/>
    <w:rsid w:val="00943F3F"/>
    <w:rsid w:val="009450F7"/>
    <w:rsid w:val="00945429"/>
    <w:rsid w:val="00946807"/>
    <w:rsid w:val="009476B7"/>
    <w:rsid w:val="00950791"/>
    <w:rsid w:val="00952F16"/>
    <w:rsid w:val="00953010"/>
    <w:rsid w:val="0095318A"/>
    <w:rsid w:val="00953603"/>
    <w:rsid w:val="00953D4F"/>
    <w:rsid w:val="00953D99"/>
    <w:rsid w:val="00953F22"/>
    <w:rsid w:val="009540B3"/>
    <w:rsid w:val="009611DC"/>
    <w:rsid w:val="009614B9"/>
    <w:rsid w:val="00961B5B"/>
    <w:rsid w:val="00961C6D"/>
    <w:rsid w:val="009625BD"/>
    <w:rsid w:val="009657AC"/>
    <w:rsid w:val="00965AB4"/>
    <w:rsid w:val="0096790A"/>
    <w:rsid w:val="00967E3C"/>
    <w:rsid w:val="00970DDE"/>
    <w:rsid w:val="00972B53"/>
    <w:rsid w:val="00972BBD"/>
    <w:rsid w:val="00973CD7"/>
    <w:rsid w:val="009759EB"/>
    <w:rsid w:val="00976444"/>
    <w:rsid w:val="00977021"/>
    <w:rsid w:val="009802B4"/>
    <w:rsid w:val="00984C35"/>
    <w:rsid w:val="00985049"/>
    <w:rsid w:val="00985097"/>
    <w:rsid w:val="0098525D"/>
    <w:rsid w:val="00985B55"/>
    <w:rsid w:val="00990942"/>
    <w:rsid w:val="009911AA"/>
    <w:rsid w:val="00991B92"/>
    <w:rsid w:val="00991E4B"/>
    <w:rsid w:val="009922DE"/>
    <w:rsid w:val="00992537"/>
    <w:rsid w:val="00994401"/>
    <w:rsid w:val="00994BD6"/>
    <w:rsid w:val="0099727E"/>
    <w:rsid w:val="009A058E"/>
    <w:rsid w:val="009A12C4"/>
    <w:rsid w:val="009A2BA3"/>
    <w:rsid w:val="009A36A4"/>
    <w:rsid w:val="009A4019"/>
    <w:rsid w:val="009A4BB3"/>
    <w:rsid w:val="009A530D"/>
    <w:rsid w:val="009A6363"/>
    <w:rsid w:val="009B0B41"/>
    <w:rsid w:val="009B118B"/>
    <w:rsid w:val="009B1E73"/>
    <w:rsid w:val="009B2DCD"/>
    <w:rsid w:val="009B7A54"/>
    <w:rsid w:val="009C0036"/>
    <w:rsid w:val="009C0256"/>
    <w:rsid w:val="009C0E3E"/>
    <w:rsid w:val="009C1580"/>
    <w:rsid w:val="009C2EB5"/>
    <w:rsid w:val="009C3248"/>
    <w:rsid w:val="009C4A2D"/>
    <w:rsid w:val="009C5274"/>
    <w:rsid w:val="009C6772"/>
    <w:rsid w:val="009C79C1"/>
    <w:rsid w:val="009C7A35"/>
    <w:rsid w:val="009D2762"/>
    <w:rsid w:val="009D663A"/>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276"/>
    <w:rsid w:val="00A004E1"/>
    <w:rsid w:val="00A0267C"/>
    <w:rsid w:val="00A02D07"/>
    <w:rsid w:val="00A052A2"/>
    <w:rsid w:val="00A05A8F"/>
    <w:rsid w:val="00A069F9"/>
    <w:rsid w:val="00A0798A"/>
    <w:rsid w:val="00A07AE0"/>
    <w:rsid w:val="00A10897"/>
    <w:rsid w:val="00A11490"/>
    <w:rsid w:val="00A116C5"/>
    <w:rsid w:val="00A13395"/>
    <w:rsid w:val="00A135E1"/>
    <w:rsid w:val="00A13AED"/>
    <w:rsid w:val="00A13D69"/>
    <w:rsid w:val="00A16F24"/>
    <w:rsid w:val="00A17096"/>
    <w:rsid w:val="00A17215"/>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4D9"/>
    <w:rsid w:val="00A326E4"/>
    <w:rsid w:val="00A32D44"/>
    <w:rsid w:val="00A33040"/>
    <w:rsid w:val="00A33C12"/>
    <w:rsid w:val="00A340AC"/>
    <w:rsid w:val="00A35638"/>
    <w:rsid w:val="00A42456"/>
    <w:rsid w:val="00A438FE"/>
    <w:rsid w:val="00A4415C"/>
    <w:rsid w:val="00A46EE5"/>
    <w:rsid w:val="00A515A5"/>
    <w:rsid w:val="00A51940"/>
    <w:rsid w:val="00A5420C"/>
    <w:rsid w:val="00A545B6"/>
    <w:rsid w:val="00A55DAE"/>
    <w:rsid w:val="00A5773C"/>
    <w:rsid w:val="00A57A14"/>
    <w:rsid w:val="00A60B81"/>
    <w:rsid w:val="00A62720"/>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483F"/>
    <w:rsid w:val="00A85BFF"/>
    <w:rsid w:val="00A90378"/>
    <w:rsid w:val="00A911C5"/>
    <w:rsid w:val="00A92DAF"/>
    <w:rsid w:val="00A932DB"/>
    <w:rsid w:val="00A967A2"/>
    <w:rsid w:val="00A97664"/>
    <w:rsid w:val="00AA1E45"/>
    <w:rsid w:val="00AA3C98"/>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8A6"/>
    <w:rsid w:val="00AC6AA0"/>
    <w:rsid w:val="00AC6F7A"/>
    <w:rsid w:val="00AC6FC4"/>
    <w:rsid w:val="00AC779B"/>
    <w:rsid w:val="00AD0C62"/>
    <w:rsid w:val="00AD4439"/>
    <w:rsid w:val="00AD5B78"/>
    <w:rsid w:val="00AD7B74"/>
    <w:rsid w:val="00AD7E7D"/>
    <w:rsid w:val="00AE0E5C"/>
    <w:rsid w:val="00AE1523"/>
    <w:rsid w:val="00AE17D6"/>
    <w:rsid w:val="00AE2971"/>
    <w:rsid w:val="00AE2AF0"/>
    <w:rsid w:val="00AE3657"/>
    <w:rsid w:val="00AE3DE8"/>
    <w:rsid w:val="00AE5977"/>
    <w:rsid w:val="00AE5C2B"/>
    <w:rsid w:val="00AE6164"/>
    <w:rsid w:val="00AE6616"/>
    <w:rsid w:val="00AE6F19"/>
    <w:rsid w:val="00AE7655"/>
    <w:rsid w:val="00AF3C23"/>
    <w:rsid w:val="00AF5109"/>
    <w:rsid w:val="00AF68BD"/>
    <w:rsid w:val="00B01B10"/>
    <w:rsid w:val="00B02AB0"/>
    <w:rsid w:val="00B04E8A"/>
    <w:rsid w:val="00B10B2B"/>
    <w:rsid w:val="00B148CE"/>
    <w:rsid w:val="00B16832"/>
    <w:rsid w:val="00B1690D"/>
    <w:rsid w:val="00B17262"/>
    <w:rsid w:val="00B208BD"/>
    <w:rsid w:val="00B22A6B"/>
    <w:rsid w:val="00B22DE7"/>
    <w:rsid w:val="00B245AB"/>
    <w:rsid w:val="00B2500C"/>
    <w:rsid w:val="00B2583C"/>
    <w:rsid w:val="00B25AA0"/>
    <w:rsid w:val="00B25BAB"/>
    <w:rsid w:val="00B260BA"/>
    <w:rsid w:val="00B26136"/>
    <w:rsid w:val="00B263A2"/>
    <w:rsid w:val="00B26BE5"/>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1F4"/>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2054"/>
    <w:rsid w:val="00B8030E"/>
    <w:rsid w:val="00B80FF2"/>
    <w:rsid w:val="00B82ED6"/>
    <w:rsid w:val="00B83205"/>
    <w:rsid w:val="00B83A7A"/>
    <w:rsid w:val="00B849FF"/>
    <w:rsid w:val="00B86B36"/>
    <w:rsid w:val="00B90992"/>
    <w:rsid w:val="00B9156A"/>
    <w:rsid w:val="00B928F9"/>
    <w:rsid w:val="00B937C3"/>
    <w:rsid w:val="00B938DC"/>
    <w:rsid w:val="00B93F55"/>
    <w:rsid w:val="00B95B1F"/>
    <w:rsid w:val="00B968AA"/>
    <w:rsid w:val="00BA03E1"/>
    <w:rsid w:val="00BA23E5"/>
    <w:rsid w:val="00BA2B14"/>
    <w:rsid w:val="00BA34C2"/>
    <w:rsid w:val="00BA3A6A"/>
    <w:rsid w:val="00BA3CBD"/>
    <w:rsid w:val="00BA4130"/>
    <w:rsid w:val="00BA42CD"/>
    <w:rsid w:val="00BB0753"/>
    <w:rsid w:val="00BB18F2"/>
    <w:rsid w:val="00BB2C25"/>
    <w:rsid w:val="00BB3CAB"/>
    <w:rsid w:val="00BB3DBA"/>
    <w:rsid w:val="00BB43C6"/>
    <w:rsid w:val="00BB7602"/>
    <w:rsid w:val="00BC2661"/>
    <w:rsid w:val="00BC3ACB"/>
    <w:rsid w:val="00BC4133"/>
    <w:rsid w:val="00BC576C"/>
    <w:rsid w:val="00BD2CDD"/>
    <w:rsid w:val="00BD37E5"/>
    <w:rsid w:val="00BD40BD"/>
    <w:rsid w:val="00BD4B00"/>
    <w:rsid w:val="00BD6526"/>
    <w:rsid w:val="00BD7047"/>
    <w:rsid w:val="00BD736D"/>
    <w:rsid w:val="00BD79DD"/>
    <w:rsid w:val="00BD7F3E"/>
    <w:rsid w:val="00BE325F"/>
    <w:rsid w:val="00BE343C"/>
    <w:rsid w:val="00BE4440"/>
    <w:rsid w:val="00BE459E"/>
    <w:rsid w:val="00BE721E"/>
    <w:rsid w:val="00BF0152"/>
    <w:rsid w:val="00BF03A6"/>
    <w:rsid w:val="00BF13F1"/>
    <w:rsid w:val="00BF30A9"/>
    <w:rsid w:val="00BF3B89"/>
    <w:rsid w:val="00BF3F5B"/>
    <w:rsid w:val="00BF3FCB"/>
    <w:rsid w:val="00BF4542"/>
    <w:rsid w:val="00BF6622"/>
    <w:rsid w:val="00BF7806"/>
    <w:rsid w:val="00BF7F23"/>
    <w:rsid w:val="00C0056A"/>
    <w:rsid w:val="00C00A71"/>
    <w:rsid w:val="00C0164B"/>
    <w:rsid w:val="00C038A6"/>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17F74"/>
    <w:rsid w:val="00C209FA"/>
    <w:rsid w:val="00C21933"/>
    <w:rsid w:val="00C2244B"/>
    <w:rsid w:val="00C22796"/>
    <w:rsid w:val="00C22CFD"/>
    <w:rsid w:val="00C233A4"/>
    <w:rsid w:val="00C26D1F"/>
    <w:rsid w:val="00C302D0"/>
    <w:rsid w:val="00C3032B"/>
    <w:rsid w:val="00C30F62"/>
    <w:rsid w:val="00C319A5"/>
    <w:rsid w:val="00C34AAA"/>
    <w:rsid w:val="00C4009F"/>
    <w:rsid w:val="00C42A82"/>
    <w:rsid w:val="00C42B1B"/>
    <w:rsid w:val="00C439B6"/>
    <w:rsid w:val="00C46772"/>
    <w:rsid w:val="00C47053"/>
    <w:rsid w:val="00C47119"/>
    <w:rsid w:val="00C5319A"/>
    <w:rsid w:val="00C53413"/>
    <w:rsid w:val="00C539E6"/>
    <w:rsid w:val="00C56C1A"/>
    <w:rsid w:val="00C57D5C"/>
    <w:rsid w:val="00C57DB4"/>
    <w:rsid w:val="00C60405"/>
    <w:rsid w:val="00C60B35"/>
    <w:rsid w:val="00C60ECA"/>
    <w:rsid w:val="00C61CB3"/>
    <w:rsid w:val="00C61D8C"/>
    <w:rsid w:val="00C6304B"/>
    <w:rsid w:val="00C65365"/>
    <w:rsid w:val="00C65D18"/>
    <w:rsid w:val="00C7129C"/>
    <w:rsid w:val="00C722C8"/>
    <w:rsid w:val="00C72368"/>
    <w:rsid w:val="00C7246A"/>
    <w:rsid w:val="00C72E71"/>
    <w:rsid w:val="00C73A3A"/>
    <w:rsid w:val="00C74005"/>
    <w:rsid w:val="00C74501"/>
    <w:rsid w:val="00C7629C"/>
    <w:rsid w:val="00C772E5"/>
    <w:rsid w:val="00C777BF"/>
    <w:rsid w:val="00C80152"/>
    <w:rsid w:val="00C8169D"/>
    <w:rsid w:val="00C83570"/>
    <w:rsid w:val="00C86775"/>
    <w:rsid w:val="00C86C62"/>
    <w:rsid w:val="00C87009"/>
    <w:rsid w:val="00C877E8"/>
    <w:rsid w:val="00C90398"/>
    <w:rsid w:val="00C9051A"/>
    <w:rsid w:val="00C9055C"/>
    <w:rsid w:val="00C92D92"/>
    <w:rsid w:val="00C93017"/>
    <w:rsid w:val="00C95A0B"/>
    <w:rsid w:val="00C97BF9"/>
    <w:rsid w:val="00C97D58"/>
    <w:rsid w:val="00CA0DCF"/>
    <w:rsid w:val="00CA1014"/>
    <w:rsid w:val="00CA1138"/>
    <w:rsid w:val="00CA1878"/>
    <w:rsid w:val="00CA1EEE"/>
    <w:rsid w:val="00CA46F9"/>
    <w:rsid w:val="00CA5F9D"/>
    <w:rsid w:val="00CA6FCC"/>
    <w:rsid w:val="00CA7540"/>
    <w:rsid w:val="00CB0854"/>
    <w:rsid w:val="00CB1F80"/>
    <w:rsid w:val="00CB2283"/>
    <w:rsid w:val="00CB295A"/>
    <w:rsid w:val="00CB39AB"/>
    <w:rsid w:val="00CB4565"/>
    <w:rsid w:val="00CB5813"/>
    <w:rsid w:val="00CC0A9A"/>
    <w:rsid w:val="00CC38D7"/>
    <w:rsid w:val="00CC4110"/>
    <w:rsid w:val="00CC4E32"/>
    <w:rsid w:val="00CC5C60"/>
    <w:rsid w:val="00CC7768"/>
    <w:rsid w:val="00CC7A4E"/>
    <w:rsid w:val="00CD03F6"/>
    <w:rsid w:val="00CD0808"/>
    <w:rsid w:val="00CD0B4A"/>
    <w:rsid w:val="00CD0BAF"/>
    <w:rsid w:val="00CD10EC"/>
    <w:rsid w:val="00CD182E"/>
    <w:rsid w:val="00CD3A22"/>
    <w:rsid w:val="00CD4DF5"/>
    <w:rsid w:val="00CD5F79"/>
    <w:rsid w:val="00CE0001"/>
    <w:rsid w:val="00CE036D"/>
    <w:rsid w:val="00CE22B8"/>
    <w:rsid w:val="00CE3068"/>
    <w:rsid w:val="00CE3A72"/>
    <w:rsid w:val="00CE54C2"/>
    <w:rsid w:val="00CE6435"/>
    <w:rsid w:val="00CE7462"/>
    <w:rsid w:val="00CF21D5"/>
    <w:rsid w:val="00CF2417"/>
    <w:rsid w:val="00CF3162"/>
    <w:rsid w:val="00CF3CB8"/>
    <w:rsid w:val="00CF3D91"/>
    <w:rsid w:val="00D006A5"/>
    <w:rsid w:val="00D00AF5"/>
    <w:rsid w:val="00D0129A"/>
    <w:rsid w:val="00D021FC"/>
    <w:rsid w:val="00D05012"/>
    <w:rsid w:val="00D05D2E"/>
    <w:rsid w:val="00D0629A"/>
    <w:rsid w:val="00D07080"/>
    <w:rsid w:val="00D07106"/>
    <w:rsid w:val="00D1055E"/>
    <w:rsid w:val="00D13FFA"/>
    <w:rsid w:val="00D17568"/>
    <w:rsid w:val="00D20E60"/>
    <w:rsid w:val="00D23157"/>
    <w:rsid w:val="00D23991"/>
    <w:rsid w:val="00D23ADD"/>
    <w:rsid w:val="00D24774"/>
    <w:rsid w:val="00D25267"/>
    <w:rsid w:val="00D25334"/>
    <w:rsid w:val="00D25B15"/>
    <w:rsid w:val="00D26601"/>
    <w:rsid w:val="00D27B74"/>
    <w:rsid w:val="00D30039"/>
    <w:rsid w:val="00D310D5"/>
    <w:rsid w:val="00D31598"/>
    <w:rsid w:val="00D32C72"/>
    <w:rsid w:val="00D33264"/>
    <w:rsid w:val="00D33B81"/>
    <w:rsid w:val="00D3418A"/>
    <w:rsid w:val="00D34382"/>
    <w:rsid w:val="00D360E8"/>
    <w:rsid w:val="00D3742E"/>
    <w:rsid w:val="00D40ED6"/>
    <w:rsid w:val="00D42716"/>
    <w:rsid w:val="00D44E89"/>
    <w:rsid w:val="00D45970"/>
    <w:rsid w:val="00D45B4E"/>
    <w:rsid w:val="00D46EA2"/>
    <w:rsid w:val="00D4716D"/>
    <w:rsid w:val="00D529F8"/>
    <w:rsid w:val="00D54745"/>
    <w:rsid w:val="00D555A5"/>
    <w:rsid w:val="00D5567B"/>
    <w:rsid w:val="00D55B3E"/>
    <w:rsid w:val="00D5645B"/>
    <w:rsid w:val="00D61D9A"/>
    <w:rsid w:val="00D62312"/>
    <w:rsid w:val="00D66E21"/>
    <w:rsid w:val="00D67595"/>
    <w:rsid w:val="00D679B9"/>
    <w:rsid w:val="00D679E6"/>
    <w:rsid w:val="00D724E9"/>
    <w:rsid w:val="00D7540F"/>
    <w:rsid w:val="00D76F78"/>
    <w:rsid w:val="00D77F56"/>
    <w:rsid w:val="00D809A7"/>
    <w:rsid w:val="00D816E0"/>
    <w:rsid w:val="00D81A5D"/>
    <w:rsid w:val="00D83307"/>
    <w:rsid w:val="00D83E03"/>
    <w:rsid w:val="00D8437D"/>
    <w:rsid w:val="00D853EA"/>
    <w:rsid w:val="00D8631C"/>
    <w:rsid w:val="00D86C36"/>
    <w:rsid w:val="00D86F2D"/>
    <w:rsid w:val="00D911F7"/>
    <w:rsid w:val="00D92B15"/>
    <w:rsid w:val="00D94997"/>
    <w:rsid w:val="00D96127"/>
    <w:rsid w:val="00D969FC"/>
    <w:rsid w:val="00DA05B3"/>
    <w:rsid w:val="00DA217B"/>
    <w:rsid w:val="00DA30DA"/>
    <w:rsid w:val="00DA4484"/>
    <w:rsid w:val="00DA4861"/>
    <w:rsid w:val="00DA6158"/>
    <w:rsid w:val="00DA6A64"/>
    <w:rsid w:val="00DB1505"/>
    <w:rsid w:val="00DB2428"/>
    <w:rsid w:val="00DB2D21"/>
    <w:rsid w:val="00DB34C7"/>
    <w:rsid w:val="00DB4FDA"/>
    <w:rsid w:val="00DB708C"/>
    <w:rsid w:val="00DC0D67"/>
    <w:rsid w:val="00DC1868"/>
    <w:rsid w:val="00DC3032"/>
    <w:rsid w:val="00DC3248"/>
    <w:rsid w:val="00DC5456"/>
    <w:rsid w:val="00DC62C5"/>
    <w:rsid w:val="00DD02EC"/>
    <w:rsid w:val="00DD0AD0"/>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F04F0"/>
    <w:rsid w:val="00DF1AF8"/>
    <w:rsid w:val="00DF1F97"/>
    <w:rsid w:val="00DF208C"/>
    <w:rsid w:val="00DF237D"/>
    <w:rsid w:val="00DF260A"/>
    <w:rsid w:val="00DF2D03"/>
    <w:rsid w:val="00DF3A76"/>
    <w:rsid w:val="00DF62FA"/>
    <w:rsid w:val="00DF76C7"/>
    <w:rsid w:val="00E00769"/>
    <w:rsid w:val="00E012D5"/>
    <w:rsid w:val="00E016D7"/>
    <w:rsid w:val="00E01E85"/>
    <w:rsid w:val="00E03A36"/>
    <w:rsid w:val="00E04178"/>
    <w:rsid w:val="00E045E8"/>
    <w:rsid w:val="00E046E7"/>
    <w:rsid w:val="00E0586F"/>
    <w:rsid w:val="00E05C4C"/>
    <w:rsid w:val="00E069B3"/>
    <w:rsid w:val="00E06CA9"/>
    <w:rsid w:val="00E06F34"/>
    <w:rsid w:val="00E07FCD"/>
    <w:rsid w:val="00E10EC6"/>
    <w:rsid w:val="00E12F79"/>
    <w:rsid w:val="00E15484"/>
    <w:rsid w:val="00E1552E"/>
    <w:rsid w:val="00E16597"/>
    <w:rsid w:val="00E167C1"/>
    <w:rsid w:val="00E16D48"/>
    <w:rsid w:val="00E20F22"/>
    <w:rsid w:val="00E216DE"/>
    <w:rsid w:val="00E22142"/>
    <w:rsid w:val="00E227A3"/>
    <w:rsid w:val="00E22A22"/>
    <w:rsid w:val="00E23180"/>
    <w:rsid w:val="00E25CEE"/>
    <w:rsid w:val="00E2632E"/>
    <w:rsid w:val="00E26579"/>
    <w:rsid w:val="00E30739"/>
    <w:rsid w:val="00E31978"/>
    <w:rsid w:val="00E32A02"/>
    <w:rsid w:val="00E32A85"/>
    <w:rsid w:val="00E32EBE"/>
    <w:rsid w:val="00E3491B"/>
    <w:rsid w:val="00E36DBF"/>
    <w:rsid w:val="00E37549"/>
    <w:rsid w:val="00E40AEB"/>
    <w:rsid w:val="00E41D2A"/>
    <w:rsid w:val="00E42F35"/>
    <w:rsid w:val="00E4480C"/>
    <w:rsid w:val="00E4542F"/>
    <w:rsid w:val="00E45622"/>
    <w:rsid w:val="00E51BC3"/>
    <w:rsid w:val="00E54972"/>
    <w:rsid w:val="00E55D96"/>
    <w:rsid w:val="00E56672"/>
    <w:rsid w:val="00E568F2"/>
    <w:rsid w:val="00E570D7"/>
    <w:rsid w:val="00E608D4"/>
    <w:rsid w:val="00E616DC"/>
    <w:rsid w:val="00E61ECC"/>
    <w:rsid w:val="00E6218F"/>
    <w:rsid w:val="00E644DA"/>
    <w:rsid w:val="00E64F4B"/>
    <w:rsid w:val="00E6792B"/>
    <w:rsid w:val="00E71425"/>
    <w:rsid w:val="00E71F88"/>
    <w:rsid w:val="00E729DC"/>
    <w:rsid w:val="00E752BF"/>
    <w:rsid w:val="00E75FA0"/>
    <w:rsid w:val="00E772E6"/>
    <w:rsid w:val="00E77EE6"/>
    <w:rsid w:val="00E80C7D"/>
    <w:rsid w:val="00E81490"/>
    <w:rsid w:val="00E816BF"/>
    <w:rsid w:val="00E82551"/>
    <w:rsid w:val="00E847CA"/>
    <w:rsid w:val="00E84A4E"/>
    <w:rsid w:val="00E8533E"/>
    <w:rsid w:val="00E86A98"/>
    <w:rsid w:val="00E87E93"/>
    <w:rsid w:val="00E87F9C"/>
    <w:rsid w:val="00E911A8"/>
    <w:rsid w:val="00E91295"/>
    <w:rsid w:val="00E91AD5"/>
    <w:rsid w:val="00E93252"/>
    <w:rsid w:val="00E95320"/>
    <w:rsid w:val="00E9538C"/>
    <w:rsid w:val="00EA08D7"/>
    <w:rsid w:val="00EA1A9D"/>
    <w:rsid w:val="00EA2217"/>
    <w:rsid w:val="00EA2767"/>
    <w:rsid w:val="00EA56B7"/>
    <w:rsid w:val="00EA5D39"/>
    <w:rsid w:val="00EA6298"/>
    <w:rsid w:val="00EA768F"/>
    <w:rsid w:val="00EB1143"/>
    <w:rsid w:val="00EB12B3"/>
    <w:rsid w:val="00EB4180"/>
    <w:rsid w:val="00EB52B6"/>
    <w:rsid w:val="00EB52D2"/>
    <w:rsid w:val="00EB721A"/>
    <w:rsid w:val="00EC1B66"/>
    <w:rsid w:val="00EC2DC6"/>
    <w:rsid w:val="00EC5930"/>
    <w:rsid w:val="00EC6508"/>
    <w:rsid w:val="00EC689A"/>
    <w:rsid w:val="00EC77F3"/>
    <w:rsid w:val="00ED0855"/>
    <w:rsid w:val="00ED10BC"/>
    <w:rsid w:val="00ED1115"/>
    <w:rsid w:val="00ED1EA3"/>
    <w:rsid w:val="00ED2B34"/>
    <w:rsid w:val="00ED45F2"/>
    <w:rsid w:val="00ED5F16"/>
    <w:rsid w:val="00ED64F6"/>
    <w:rsid w:val="00EE2A56"/>
    <w:rsid w:val="00EE2F55"/>
    <w:rsid w:val="00EE533C"/>
    <w:rsid w:val="00EE61AB"/>
    <w:rsid w:val="00EF1390"/>
    <w:rsid w:val="00EF205B"/>
    <w:rsid w:val="00EF2926"/>
    <w:rsid w:val="00EF3F43"/>
    <w:rsid w:val="00EF5CEE"/>
    <w:rsid w:val="00F00797"/>
    <w:rsid w:val="00F020C5"/>
    <w:rsid w:val="00F02D71"/>
    <w:rsid w:val="00F02DA0"/>
    <w:rsid w:val="00F03737"/>
    <w:rsid w:val="00F037A1"/>
    <w:rsid w:val="00F03D0B"/>
    <w:rsid w:val="00F04417"/>
    <w:rsid w:val="00F05385"/>
    <w:rsid w:val="00F053AC"/>
    <w:rsid w:val="00F07DBB"/>
    <w:rsid w:val="00F110C3"/>
    <w:rsid w:val="00F118A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5E07"/>
    <w:rsid w:val="00F260D1"/>
    <w:rsid w:val="00F308D8"/>
    <w:rsid w:val="00F31145"/>
    <w:rsid w:val="00F31A21"/>
    <w:rsid w:val="00F32044"/>
    <w:rsid w:val="00F3303E"/>
    <w:rsid w:val="00F33253"/>
    <w:rsid w:val="00F36186"/>
    <w:rsid w:val="00F367E9"/>
    <w:rsid w:val="00F3734B"/>
    <w:rsid w:val="00F37CE6"/>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76FE"/>
    <w:rsid w:val="00F67E04"/>
    <w:rsid w:val="00F7258A"/>
    <w:rsid w:val="00F72D18"/>
    <w:rsid w:val="00F73F6F"/>
    <w:rsid w:val="00F7451A"/>
    <w:rsid w:val="00F74655"/>
    <w:rsid w:val="00F75623"/>
    <w:rsid w:val="00F810CE"/>
    <w:rsid w:val="00F817D4"/>
    <w:rsid w:val="00F82B31"/>
    <w:rsid w:val="00F84762"/>
    <w:rsid w:val="00F85996"/>
    <w:rsid w:val="00F85C3B"/>
    <w:rsid w:val="00F85F08"/>
    <w:rsid w:val="00F8692A"/>
    <w:rsid w:val="00F86BE7"/>
    <w:rsid w:val="00F87BF8"/>
    <w:rsid w:val="00F87FF1"/>
    <w:rsid w:val="00F909D7"/>
    <w:rsid w:val="00F90AC9"/>
    <w:rsid w:val="00F90EF3"/>
    <w:rsid w:val="00F91365"/>
    <w:rsid w:val="00F91684"/>
    <w:rsid w:val="00F92B92"/>
    <w:rsid w:val="00F94139"/>
    <w:rsid w:val="00F941DB"/>
    <w:rsid w:val="00F9482F"/>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DEC"/>
    <w:rsid w:val="00FB02C7"/>
    <w:rsid w:val="00FB0532"/>
    <w:rsid w:val="00FB1BFB"/>
    <w:rsid w:val="00FB3D8D"/>
    <w:rsid w:val="00FB41A1"/>
    <w:rsid w:val="00FB5306"/>
    <w:rsid w:val="00FB5C3D"/>
    <w:rsid w:val="00FB606A"/>
    <w:rsid w:val="00FB682E"/>
    <w:rsid w:val="00FC05DB"/>
    <w:rsid w:val="00FC20E0"/>
    <w:rsid w:val="00FC2BE0"/>
    <w:rsid w:val="00FC3B65"/>
    <w:rsid w:val="00FC3FC5"/>
    <w:rsid w:val="00FC4755"/>
    <w:rsid w:val="00FC5F64"/>
    <w:rsid w:val="00FC77CD"/>
    <w:rsid w:val="00FD23FC"/>
    <w:rsid w:val="00FD34FC"/>
    <w:rsid w:val="00FD4524"/>
    <w:rsid w:val="00FD5B41"/>
    <w:rsid w:val="00FD5F29"/>
    <w:rsid w:val="00FD6025"/>
    <w:rsid w:val="00FD6A38"/>
    <w:rsid w:val="00FD70E7"/>
    <w:rsid w:val="00FD79C4"/>
    <w:rsid w:val="00FE15C7"/>
    <w:rsid w:val="00FE2596"/>
    <w:rsid w:val="00FE363F"/>
    <w:rsid w:val="00FE47BC"/>
    <w:rsid w:val="00FE4CD7"/>
    <w:rsid w:val="00FE4E51"/>
    <w:rsid w:val="00FE4F71"/>
    <w:rsid w:val="00FE543B"/>
    <w:rsid w:val="00FF15C6"/>
    <w:rsid w:val="00FF1BC1"/>
    <w:rsid w:val="00FF2264"/>
    <w:rsid w:val="00FF2980"/>
    <w:rsid w:val="00FF4E6C"/>
    <w:rsid w:val="00FF6EF0"/>
    <w:rsid w:val="00FF77E8"/>
    <w:rsid w:val="01070223"/>
    <w:rsid w:val="01A06577"/>
    <w:rsid w:val="01DE7452"/>
    <w:rsid w:val="01E357ED"/>
    <w:rsid w:val="01E76016"/>
    <w:rsid w:val="02050097"/>
    <w:rsid w:val="022B28F6"/>
    <w:rsid w:val="023422F4"/>
    <w:rsid w:val="023A2AF7"/>
    <w:rsid w:val="02657A95"/>
    <w:rsid w:val="028033F5"/>
    <w:rsid w:val="02B61836"/>
    <w:rsid w:val="02D75674"/>
    <w:rsid w:val="03061670"/>
    <w:rsid w:val="033752FB"/>
    <w:rsid w:val="03681095"/>
    <w:rsid w:val="03A70968"/>
    <w:rsid w:val="03C6434A"/>
    <w:rsid w:val="0466526C"/>
    <w:rsid w:val="046A2F2A"/>
    <w:rsid w:val="048242F0"/>
    <w:rsid w:val="04AA4610"/>
    <w:rsid w:val="05026963"/>
    <w:rsid w:val="058F3BA2"/>
    <w:rsid w:val="05955AD6"/>
    <w:rsid w:val="05E15F75"/>
    <w:rsid w:val="05F248A5"/>
    <w:rsid w:val="05FB1C69"/>
    <w:rsid w:val="061750C9"/>
    <w:rsid w:val="06660F9E"/>
    <w:rsid w:val="06772EB3"/>
    <w:rsid w:val="069245BC"/>
    <w:rsid w:val="0770126C"/>
    <w:rsid w:val="077C5B46"/>
    <w:rsid w:val="07896D1A"/>
    <w:rsid w:val="078C5A74"/>
    <w:rsid w:val="07A720F1"/>
    <w:rsid w:val="07B77FD5"/>
    <w:rsid w:val="07DF12C2"/>
    <w:rsid w:val="07F55388"/>
    <w:rsid w:val="081A6099"/>
    <w:rsid w:val="081B329A"/>
    <w:rsid w:val="081C087D"/>
    <w:rsid w:val="081D0D4B"/>
    <w:rsid w:val="083E12E4"/>
    <w:rsid w:val="084A0D06"/>
    <w:rsid w:val="085870CF"/>
    <w:rsid w:val="086276B6"/>
    <w:rsid w:val="08A66DB8"/>
    <w:rsid w:val="08AE4042"/>
    <w:rsid w:val="08CD7189"/>
    <w:rsid w:val="08E902E0"/>
    <w:rsid w:val="08EA0C53"/>
    <w:rsid w:val="09373CEE"/>
    <w:rsid w:val="093B4C79"/>
    <w:rsid w:val="09845320"/>
    <w:rsid w:val="09B2348A"/>
    <w:rsid w:val="09B557FE"/>
    <w:rsid w:val="09D05775"/>
    <w:rsid w:val="09F71A9A"/>
    <w:rsid w:val="0A7F08FC"/>
    <w:rsid w:val="0ABD6A6C"/>
    <w:rsid w:val="0ACD10BA"/>
    <w:rsid w:val="0AD25B65"/>
    <w:rsid w:val="0B005B84"/>
    <w:rsid w:val="0B0D13AD"/>
    <w:rsid w:val="0B406C73"/>
    <w:rsid w:val="0B9572F0"/>
    <w:rsid w:val="0BC2301B"/>
    <w:rsid w:val="0BDF6787"/>
    <w:rsid w:val="0BE649AF"/>
    <w:rsid w:val="0BE9438B"/>
    <w:rsid w:val="0BEF5DCD"/>
    <w:rsid w:val="0C571998"/>
    <w:rsid w:val="0C8D2811"/>
    <w:rsid w:val="0CA43634"/>
    <w:rsid w:val="0CA57742"/>
    <w:rsid w:val="0CBD61E5"/>
    <w:rsid w:val="0D1E2B98"/>
    <w:rsid w:val="0D392285"/>
    <w:rsid w:val="0DBA5A38"/>
    <w:rsid w:val="0E164BA2"/>
    <w:rsid w:val="0E353CC2"/>
    <w:rsid w:val="0E5A0CA2"/>
    <w:rsid w:val="0E5B63C0"/>
    <w:rsid w:val="0E5D6B54"/>
    <w:rsid w:val="0EA15E6B"/>
    <w:rsid w:val="0EA55529"/>
    <w:rsid w:val="0EBE3E75"/>
    <w:rsid w:val="0EE1162A"/>
    <w:rsid w:val="0F0F58D5"/>
    <w:rsid w:val="0F1D5CF6"/>
    <w:rsid w:val="0F4027CF"/>
    <w:rsid w:val="0F4124F0"/>
    <w:rsid w:val="0F4A11AE"/>
    <w:rsid w:val="0F6654C2"/>
    <w:rsid w:val="0F7E04B7"/>
    <w:rsid w:val="0F85589D"/>
    <w:rsid w:val="0F9D62C2"/>
    <w:rsid w:val="0FA27AC6"/>
    <w:rsid w:val="0FC36169"/>
    <w:rsid w:val="104800FF"/>
    <w:rsid w:val="1068030F"/>
    <w:rsid w:val="107F4ECE"/>
    <w:rsid w:val="10950A26"/>
    <w:rsid w:val="10994E74"/>
    <w:rsid w:val="10F63E27"/>
    <w:rsid w:val="11523049"/>
    <w:rsid w:val="11552AF0"/>
    <w:rsid w:val="115B6A6A"/>
    <w:rsid w:val="116C18AE"/>
    <w:rsid w:val="11820C75"/>
    <w:rsid w:val="11D46CD6"/>
    <w:rsid w:val="11EC6CB7"/>
    <w:rsid w:val="11EE0AA9"/>
    <w:rsid w:val="121E0170"/>
    <w:rsid w:val="12411297"/>
    <w:rsid w:val="129656E5"/>
    <w:rsid w:val="12BF2529"/>
    <w:rsid w:val="12EE08B9"/>
    <w:rsid w:val="1335289F"/>
    <w:rsid w:val="1348751E"/>
    <w:rsid w:val="13493969"/>
    <w:rsid w:val="1350244E"/>
    <w:rsid w:val="13511C3F"/>
    <w:rsid w:val="136E563B"/>
    <w:rsid w:val="13853ACA"/>
    <w:rsid w:val="13AB4140"/>
    <w:rsid w:val="13FA0D00"/>
    <w:rsid w:val="140C2E58"/>
    <w:rsid w:val="143C3942"/>
    <w:rsid w:val="146576FF"/>
    <w:rsid w:val="14953F46"/>
    <w:rsid w:val="14D44C45"/>
    <w:rsid w:val="15290896"/>
    <w:rsid w:val="153C71D4"/>
    <w:rsid w:val="155322FE"/>
    <w:rsid w:val="157210B5"/>
    <w:rsid w:val="15991134"/>
    <w:rsid w:val="159C7D85"/>
    <w:rsid w:val="15AF2C63"/>
    <w:rsid w:val="15BE38A8"/>
    <w:rsid w:val="15D77212"/>
    <w:rsid w:val="15E019EC"/>
    <w:rsid w:val="16041520"/>
    <w:rsid w:val="16071F04"/>
    <w:rsid w:val="160750D7"/>
    <w:rsid w:val="16AF081C"/>
    <w:rsid w:val="16B74A02"/>
    <w:rsid w:val="16BB777F"/>
    <w:rsid w:val="16E116CB"/>
    <w:rsid w:val="16EB6CD4"/>
    <w:rsid w:val="17100EA0"/>
    <w:rsid w:val="17157493"/>
    <w:rsid w:val="174710BA"/>
    <w:rsid w:val="178E3DB2"/>
    <w:rsid w:val="17A8246A"/>
    <w:rsid w:val="17AE3491"/>
    <w:rsid w:val="17CC7169"/>
    <w:rsid w:val="17F34B63"/>
    <w:rsid w:val="17FC21A7"/>
    <w:rsid w:val="181333F0"/>
    <w:rsid w:val="182D2D90"/>
    <w:rsid w:val="183E7FF2"/>
    <w:rsid w:val="18531701"/>
    <w:rsid w:val="185B3346"/>
    <w:rsid w:val="18A44222"/>
    <w:rsid w:val="18CF2B5E"/>
    <w:rsid w:val="18DB155A"/>
    <w:rsid w:val="193C6538"/>
    <w:rsid w:val="19745520"/>
    <w:rsid w:val="19754B0A"/>
    <w:rsid w:val="198D1E3B"/>
    <w:rsid w:val="19A96BBA"/>
    <w:rsid w:val="1A2C25A2"/>
    <w:rsid w:val="1A457ECA"/>
    <w:rsid w:val="1A5F4868"/>
    <w:rsid w:val="1A6E1B0B"/>
    <w:rsid w:val="1AE32517"/>
    <w:rsid w:val="1B1D61C5"/>
    <w:rsid w:val="1B5C74FF"/>
    <w:rsid w:val="1B923D78"/>
    <w:rsid w:val="1BE16592"/>
    <w:rsid w:val="1C287D46"/>
    <w:rsid w:val="1C6D3723"/>
    <w:rsid w:val="1CC73B32"/>
    <w:rsid w:val="1CE35B3D"/>
    <w:rsid w:val="1D2C04B3"/>
    <w:rsid w:val="1D4A3F81"/>
    <w:rsid w:val="1D506DF7"/>
    <w:rsid w:val="1D6046DD"/>
    <w:rsid w:val="1D6F5499"/>
    <w:rsid w:val="1D870ED1"/>
    <w:rsid w:val="1D99601C"/>
    <w:rsid w:val="1DEE15FC"/>
    <w:rsid w:val="1E016EDB"/>
    <w:rsid w:val="1E116642"/>
    <w:rsid w:val="1E334216"/>
    <w:rsid w:val="1E5661F4"/>
    <w:rsid w:val="1E6132AA"/>
    <w:rsid w:val="1E960512"/>
    <w:rsid w:val="1EB1724C"/>
    <w:rsid w:val="1EB94430"/>
    <w:rsid w:val="1ED02002"/>
    <w:rsid w:val="1EF35FB7"/>
    <w:rsid w:val="1EFE60AD"/>
    <w:rsid w:val="1F397219"/>
    <w:rsid w:val="1F462E24"/>
    <w:rsid w:val="1F4829E7"/>
    <w:rsid w:val="1F565BBC"/>
    <w:rsid w:val="1F9D76A4"/>
    <w:rsid w:val="1F9E2262"/>
    <w:rsid w:val="1FB13BE8"/>
    <w:rsid w:val="1FBC3642"/>
    <w:rsid w:val="1FD05CAE"/>
    <w:rsid w:val="1FFB49F1"/>
    <w:rsid w:val="200D1765"/>
    <w:rsid w:val="201868CF"/>
    <w:rsid w:val="202E3A91"/>
    <w:rsid w:val="204B1EED"/>
    <w:rsid w:val="208E350F"/>
    <w:rsid w:val="20B129D8"/>
    <w:rsid w:val="20F66096"/>
    <w:rsid w:val="210B10AB"/>
    <w:rsid w:val="211B3BFC"/>
    <w:rsid w:val="219F038C"/>
    <w:rsid w:val="21A316E9"/>
    <w:rsid w:val="21C70C5A"/>
    <w:rsid w:val="223F09BC"/>
    <w:rsid w:val="225B4DA9"/>
    <w:rsid w:val="22770A9C"/>
    <w:rsid w:val="229822B9"/>
    <w:rsid w:val="22A25E43"/>
    <w:rsid w:val="22BA634B"/>
    <w:rsid w:val="22D407F3"/>
    <w:rsid w:val="22DB350C"/>
    <w:rsid w:val="22E60187"/>
    <w:rsid w:val="23701643"/>
    <w:rsid w:val="23D75184"/>
    <w:rsid w:val="23F84444"/>
    <w:rsid w:val="240D6209"/>
    <w:rsid w:val="24186A7E"/>
    <w:rsid w:val="243608F4"/>
    <w:rsid w:val="24823DD8"/>
    <w:rsid w:val="25122AA5"/>
    <w:rsid w:val="258331EF"/>
    <w:rsid w:val="259A0796"/>
    <w:rsid w:val="259E42F4"/>
    <w:rsid w:val="25A33FC6"/>
    <w:rsid w:val="25A96C5A"/>
    <w:rsid w:val="25B4355D"/>
    <w:rsid w:val="2626039D"/>
    <w:rsid w:val="263443D4"/>
    <w:rsid w:val="26487C5D"/>
    <w:rsid w:val="26523E4C"/>
    <w:rsid w:val="26616E4B"/>
    <w:rsid w:val="26672C96"/>
    <w:rsid w:val="26782463"/>
    <w:rsid w:val="268E3040"/>
    <w:rsid w:val="269E138F"/>
    <w:rsid w:val="26E0436F"/>
    <w:rsid w:val="26E04F08"/>
    <w:rsid w:val="26E76F3A"/>
    <w:rsid w:val="270159D0"/>
    <w:rsid w:val="27113B2B"/>
    <w:rsid w:val="27681675"/>
    <w:rsid w:val="27AB1867"/>
    <w:rsid w:val="28237988"/>
    <w:rsid w:val="28CE0E04"/>
    <w:rsid w:val="290B5302"/>
    <w:rsid w:val="292F0EBE"/>
    <w:rsid w:val="293F4359"/>
    <w:rsid w:val="294B60C7"/>
    <w:rsid w:val="29FB4A97"/>
    <w:rsid w:val="2A5B1C4F"/>
    <w:rsid w:val="2A6B79C6"/>
    <w:rsid w:val="2A8E0150"/>
    <w:rsid w:val="2AC65998"/>
    <w:rsid w:val="2B3D64A8"/>
    <w:rsid w:val="2B881716"/>
    <w:rsid w:val="2B8A2DE8"/>
    <w:rsid w:val="2BA0092B"/>
    <w:rsid w:val="2BAE54D0"/>
    <w:rsid w:val="2BC220C8"/>
    <w:rsid w:val="2C354664"/>
    <w:rsid w:val="2CB86E7B"/>
    <w:rsid w:val="2CCF2E39"/>
    <w:rsid w:val="2CED0357"/>
    <w:rsid w:val="2CFD4C45"/>
    <w:rsid w:val="2D0E29C3"/>
    <w:rsid w:val="2D153425"/>
    <w:rsid w:val="2D1F4B26"/>
    <w:rsid w:val="2D3128BE"/>
    <w:rsid w:val="2DAA2EF0"/>
    <w:rsid w:val="2DBD5DD2"/>
    <w:rsid w:val="2DC44B8C"/>
    <w:rsid w:val="2DCA7228"/>
    <w:rsid w:val="2DD84E6F"/>
    <w:rsid w:val="2DEA4E74"/>
    <w:rsid w:val="2E154E22"/>
    <w:rsid w:val="2E3C7840"/>
    <w:rsid w:val="2EB1329C"/>
    <w:rsid w:val="2ED84217"/>
    <w:rsid w:val="2F025ABF"/>
    <w:rsid w:val="2F1F0BAA"/>
    <w:rsid w:val="2F416318"/>
    <w:rsid w:val="2FB00721"/>
    <w:rsid w:val="2FDC4B70"/>
    <w:rsid w:val="2FF23210"/>
    <w:rsid w:val="2FFE6C84"/>
    <w:rsid w:val="302C31E8"/>
    <w:rsid w:val="303E4D69"/>
    <w:rsid w:val="305F3457"/>
    <w:rsid w:val="30DB6887"/>
    <w:rsid w:val="30EA3721"/>
    <w:rsid w:val="31291E66"/>
    <w:rsid w:val="31500079"/>
    <w:rsid w:val="319114C3"/>
    <w:rsid w:val="3192149E"/>
    <w:rsid w:val="31DE5683"/>
    <w:rsid w:val="32202D80"/>
    <w:rsid w:val="32872DFA"/>
    <w:rsid w:val="32FC29B7"/>
    <w:rsid w:val="33057C0C"/>
    <w:rsid w:val="33165D24"/>
    <w:rsid w:val="336F27D5"/>
    <w:rsid w:val="33AF653A"/>
    <w:rsid w:val="33CB05B2"/>
    <w:rsid w:val="340D1C05"/>
    <w:rsid w:val="34D00C79"/>
    <w:rsid w:val="34E756CE"/>
    <w:rsid w:val="34F7603D"/>
    <w:rsid w:val="355E7A29"/>
    <w:rsid w:val="35703310"/>
    <w:rsid w:val="35D41F3B"/>
    <w:rsid w:val="35D65C1E"/>
    <w:rsid w:val="361A09A4"/>
    <w:rsid w:val="364D39AB"/>
    <w:rsid w:val="36521905"/>
    <w:rsid w:val="3661552B"/>
    <w:rsid w:val="367D246A"/>
    <w:rsid w:val="368F6C62"/>
    <w:rsid w:val="36905433"/>
    <w:rsid w:val="36D839EB"/>
    <w:rsid w:val="36E7490B"/>
    <w:rsid w:val="36EC6244"/>
    <w:rsid w:val="36FC4DF3"/>
    <w:rsid w:val="385F61AC"/>
    <w:rsid w:val="38674A31"/>
    <w:rsid w:val="38942FB7"/>
    <w:rsid w:val="392312A1"/>
    <w:rsid w:val="39272511"/>
    <w:rsid w:val="39464FDB"/>
    <w:rsid w:val="39643681"/>
    <w:rsid w:val="39F06F05"/>
    <w:rsid w:val="39F62A98"/>
    <w:rsid w:val="3A7A1891"/>
    <w:rsid w:val="3AB26431"/>
    <w:rsid w:val="3ACA7E21"/>
    <w:rsid w:val="3ACB0DCC"/>
    <w:rsid w:val="3B076AB0"/>
    <w:rsid w:val="3B476B01"/>
    <w:rsid w:val="3B5A1D6B"/>
    <w:rsid w:val="3B5F2914"/>
    <w:rsid w:val="3B8514B4"/>
    <w:rsid w:val="3BA24709"/>
    <w:rsid w:val="3BBA4057"/>
    <w:rsid w:val="3C3E3297"/>
    <w:rsid w:val="3C4C05E5"/>
    <w:rsid w:val="3C5979F5"/>
    <w:rsid w:val="3C9E3496"/>
    <w:rsid w:val="3CAD377A"/>
    <w:rsid w:val="3CAE155A"/>
    <w:rsid w:val="3CDC7EDA"/>
    <w:rsid w:val="3CE82FBB"/>
    <w:rsid w:val="3D0E0CD9"/>
    <w:rsid w:val="3D1312E1"/>
    <w:rsid w:val="3D3A635D"/>
    <w:rsid w:val="3D3B078D"/>
    <w:rsid w:val="3D5A5C6C"/>
    <w:rsid w:val="3D817311"/>
    <w:rsid w:val="3D911C6C"/>
    <w:rsid w:val="3D987AFE"/>
    <w:rsid w:val="3E006AF5"/>
    <w:rsid w:val="3E486B35"/>
    <w:rsid w:val="3EA2029B"/>
    <w:rsid w:val="3EA30B73"/>
    <w:rsid w:val="3EAF1433"/>
    <w:rsid w:val="3EC91EA5"/>
    <w:rsid w:val="3EDA2746"/>
    <w:rsid w:val="3EF56989"/>
    <w:rsid w:val="3F097360"/>
    <w:rsid w:val="3F101C11"/>
    <w:rsid w:val="3F2477C6"/>
    <w:rsid w:val="3F260BA3"/>
    <w:rsid w:val="3F41748F"/>
    <w:rsid w:val="3F7D562B"/>
    <w:rsid w:val="3FA423B4"/>
    <w:rsid w:val="3FA95E49"/>
    <w:rsid w:val="3FBE716A"/>
    <w:rsid w:val="3FCC0384"/>
    <w:rsid w:val="3FCC5C39"/>
    <w:rsid w:val="3FD93283"/>
    <w:rsid w:val="3FFF56A6"/>
    <w:rsid w:val="400820E4"/>
    <w:rsid w:val="407D46DF"/>
    <w:rsid w:val="40E4537D"/>
    <w:rsid w:val="40F5521D"/>
    <w:rsid w:val="412313AB"/>
    <w:rsid w:val="41EA2EA4"/>
    <w:rsid w:val="42017C3F"/>
    <w:rsid w:val="42192006"/>
    <w:rsid w:val="422713C5"/>
    <w:rsid w:val="42621025"/>
    <w:rsid w:val="42905195"/>
    <w:rsid w:val="42910027"/>
    <w:rsid w:val="42F929D3"/>
    <w:rsid w:val="43391A42"/>
    <w:rsid w:val="43510C12"/>
    <w:rsid w:val="43597A08"/>
    <w:rsid w:val="43CF10BB"/>
    <w:rsid w:val="43F2268A"/>
    <w:rsid w:val="44252A5A"/>
    <w:rsid w:val="442F03C7"/>
    <w:rsid w:val="44A7662B"/>
    <w:rsid w:val="44A85AC4"/>
    <w:rsid w:val="44AF5BC5"/>
    <w:rsid w:val="44E31966"/>
    <w:rsid w:val="45151F74"/>
    <w:rsid w:val="4554082E"/>
    <w:rsid w:val="45633C56"/>
    <w:rsid w:val="45902882"/>
    <w:rsid w:val="45996CD6"/>
    <w:rsid w:val="45B30514"/>
    <w:rsid w:val="45B70603"/>
    <w:rsid w:val="45B71DFD"/>
    <w:rsid w:val="45C546EB"/>
    <w:rsid w:val="45CB2529"/>
    <w:rsid w:val="45EB106F"/>
    <w:rsid w:val="465C08FF"/>
    <w:rsid w:val="466356B9"/>
    <w:rsid w:val="466812F2"/>
    <w:rsid w:val="467A48B1"/>
    <w:rsid w:val="4686149D"/>
    <w:rsid w:val="46A613C5"/>
    <w:rsid w:val="46BB32C7"/>
    <w:rsid w:val="46FB4C24"/>
    <w:rsid w:val="47112C8D"/>
    <w:rsid w:val="48291064"/>
    <w:rsid w:val="483917D8"/>
    <w:rsid w:val="48570137"/>
    <w:rsid w:val="48734E60"/>
    <w:rsid w:val="48C46D65"/>
    <w:rsid w:val="48C554EB"/>
    <w:rsid w:val="48E8606A"/>
    <w:rsid w:val="48EB508C"/>
    <w:rsid w:val="490E4F92"/>
    <w:rsid w:val="49183F48"/>
    <w:rsid w:val="492B2941"/>
    <w:rsid w:val="49466568"/>
    <w:rsid w:val="496D7A4E"/>
    <w:rsid w:val="499E288A"/>
    <w:rsid w:val="49DE0487"/>
    <w:rsid w:val="49E2218F"/>
    <w:rsid w:val="49FA6334"/>
    <w:rsid w:val="4A1F3294"/>
    <w:rsid w:val="4A4F18DF"/>
    <w:rsid w:val="4AA36517"/>
    <w:rsid w:val="4AB255E9"/>
    <w:rsid w:val="4ABD25D0"/>
    <w:rsid w:val="4AC56866"/>
    <w:rsid w:val="4B283252"/>
    <w:rsid w:val="4B84142F"/>
    <w:rsid w:val="4B8514E2"/>
    <w:rsid w:val="4BA22ACB"/>
    <w:rsid w:val="4BA52B65"/>
    <w:rsid w:val="4C1A7690"/>
    <w:rsid w:val="4C31669B"/>
    <w:rsid w:val="4C3F4467"/>
    <w:rsid w:val="4C6C08BA"/>
    <w:rsid w:val="4CA131F5"/>
    <w:rsid w:val="4CA415D7"/>
    <w:rsid w:val="4CEC0D31"/>
    <w:rsid w:val="4D2B154F"/>
    <w:rsid w:val="4D4648C0"/>
    <w:rsid w:val="4D49627C"/>
    <w:rsid w:val="4D4A5F1A"/>
    <w:rsid w:val="4D5C163E"/>
    <w:rsid w:val="4D7F6591"/>
    <w:rsid w:val="4DB13B51"/>
    <w:rsid w:val="4DC30D7F"/>
    <w:rsid w:val="4E462C6F"/>
    <w:rsid w:val="4E581414"/>
    <w:rsid w:val="4EB24E91"/>
    <w:rsid w:val="4ECE65EA"/>
    <w:rsid w:val="4EDF4F6A"/>
    <w:rsid w:val="4EFB4B59"/>
    <w:rsid w:val="4F5805B7"/>
    <w:rsid w:val="4F6C5211"/>
    <w:rsid w:val="4F6F67F4"/>
    <w:rsid w:val="4F7A1B38"/>
    <w:rsid w:val="4F7A2868"/>
    <w:rsid w:val="4FA56852"/>
    <w:rsid w:val="4FCC2A78"/>
    <w:rsid w:val="4FE76125"/>
    <w:rsid w:val="5002488F"/>
    <w:rsid w:val="500268DC"/>
    <w:rsid w:val="500962C6"/>
    <w:rsid w:val="500E112C"/>
    <w:rsid w:val="5026307A"/>
    <w:rsid w:val="50400B7F"/>
    <w:rsid w:val="50924E1C"/>
    <w:rsid w:val="514E4729"/>
    <w:rsid w:val="51582AB0"/>
    <w:rsid w:val="51A702D0"/>
    <w:rsid w:val="51B35D06"/>
    <w:rsid w:val="51D83AE4"/>
    <w:rsid w:val="52120754"/>
    <w:rsid w:val="522E1916"/>
    <w:rsid w:val="523772A8"/>
    <w:rsid w:val="524169B6"/>
    <w:rsid w:val="524258E9"/>
    <w:rsid w:val="52487ECD"/>
    <w:rsid w:val="530B6CB2"/>
    <w:rsid w:val="533C4101"/>
    <w:rsid w:val="53406D6E"/>
    <w:rsid w:val="5360758D"/>
    <w:rsid w:val="53723D18"/>
    <w:rsid w:val="53877E97"/>
    <w:rsid w:val="53C2519D"/>
    <w:rsid w:val="54363BEE"/>
    <w:rsid w:val="54654E07"/>
    <w:rsid w:val="5486420B"/>
    <w:rsid w:val="549827E2"/>
    <w:rsid w:val="54BD51F7"/>
    <w:rsid w:val="54FA272C"/>
    <w:rsid w:val="550A48E5"/>
    <w:rsid w:val="55396B9B"/>
    <w:rsid w:val="55543506"/>
    <w:rsid w:val="56515404"/>
    <w:rsid w:val="56605C35"/>
    <w:rsid w:val="572802DD"/>
    <w:rsid w:val="578B3C2B"/>
    <w:rsid w:val="57FE7364"/>
    <w:rsid w:val="57FF7D4B"/>
    <w:rsid w:val="580E1A66"/>
    <w:rsid w:val="5846248E"/>
    <w:rsid w:val="584A3BF9"/>
    <w:rsid w:val="58650F6B"/>
    <w:rsid w:val="58AF4978"/>
    <w:rsid w:val="58CF7237"/>
    <w:rsid w:val="58EA2FA4"/>
    <w:rsid w:val="58F50E83"/>
    <w:rsid w:val="58FB731D"/>
    <w:rsid w:val="59AD2397"/>
    <w:rsid w:val="59C22C12"/>
    <w:rsid w:val="5A187F0A"/>
    <w:rsid w:val="5A627D8A"/>
    <w:rsid w:val="5AA97D7D"/>
    <w:rsid w:val="5B024512"/>
    <w:rsid w:val="5B3062C5"/>
    <w:rsid w:val="5B3A47D4"/>
    <w:rsid w:val="5B440500"/>
    <w:rsid w:val="5B626144"/>
    <w:rsid w:val="5B655B99"/>
    <w:rsid w:val="5B763374"/>
    <w:rsid w:val="5B773734"/>
    <w:rsid w:val="5BAB0056"/>
    <w:rsid w:val="5BE171E1"/>
    <w:rsid w:val="5C573F3D"/>
    <w:rsid w:val="5C661B84"/>
    <w:rsid w:val="5C70661C"/>
    <w:rsid w:val="5C7448D6"/>
    <w:rsid w:val="5CA4615D"/>
    <w:rsid w:val="5CCD0D34"/>
    <w:rsid w:val="5CF640CA"/>
    <w:rsid w:val="5D460362"/>
    <w:rsid w:val="5D514C12"/>
    <w:rsid w:val="5D852B35"/>
    <w:rsid w:val="5D8732F4"/>
    <w:rsid w:val="5D8929B3"/>
    <w:rsid w:val="5D8C4431"/>
    <w:rsid w:val="5D93623F"/>
    <w:rsid w:val="5D957B73"/>
    <w:rsid w:val="5DD008A1"/>
    <w:rsid w:val="5E11008B"/>
    <w:rsid w:val="5E455347"/>
    <w:rsid w:val="5E624DD7"/>
    <w:rsid w:val="5E8218FA"/>
    <w:rsid w:val="5EB231F5"/>
    <w:rsid w:val="5ECE5715"/>
    <w:rsid w:val="5ECF64BA"/>
    <w:rsid w:val="5F5D3543"/>
    <w:rsid w:val="5F73086A"/>
    <w:rsid w:val="5FA27960"/>
    <w:rsid w:val="5FA60BAF"/>
    <w:rsid w:val="5FAD33D6"/>
    <w:rsid w:val="5FCE7813"/>
    <w:rsid w:val="5FD52B2C"/>
    <w:rsid w:val="5FFD2E68"/>
    <w:rsid w:val="60291D7E"/>
    <w:rsid w:val="605900B6"/>
    <w:rsid w:val="608C273A"/>
    <w:rsid w:val="60A04BFF"/>
    <w:rsid w:val="60AC4576"/>
    <w:rsid w:val="60C335BA"/>
    <w:rsid w:val="60DA6FF4"/>
    <w:rsid w:val="61655EB7"/>
    <w:rsid w:val="6177269B"/>
    <w:rsid w:val="617C508E"/>
    <w:rsid w:val="617F0F7C"/>
    <w:rsid w:val="61D53AEE"/>
    <w:rsid w:val="61DE1FAF"/>
    <w:rsid w:val="62135799"/>
    <w:rsid w:val="62234375"/>
    <w:rsid w:val="62314E3D"/>
    <w:rsid w:val="623B1F80"/>
    <w:rsid w:val="623B42F5"/>
    <w:rsid w:val="62524694"/>
    <w:rsid w:val="62EE3654"/>
    <w:rsid w:val="632051E2"/>
    <w:rsid w:val="63317491"/>
    <w:rsid w:val="635E498B"/>
    <w:rsid w:val="6364675C"/>
    <w:rsid w:val="638E750B"/>
    <w:rsid w:val="63A1523E"/>
    <w:rsid w:val="63D050DA"/>
    <w:rsid w:val="63D941DC"/>
    <w:rsid w:val="63F31E60"/>
    <w:rsid w:val="63FD3FB1"/>
    <w:rsid w:val="640338E0"/>
    <w:rsid w:val="642433C4"/>
    <w:rsid w:val="643B2B31"/>
    <w:rsid w:val="645F6EEC"/>
    <w:rsid w:val="64623054"/>
    <w:rsid w:val="646F071B"/>
    <w:rsid w:val="64700E61"/>
    <w:rsid w:val="647C14E7"/>
    <w:rsid w:val="64863263"/>
    <w:rsid w:val="64935CAB"/>
    <w:rsid w:val="649E579A"/>
    <w:rsid w:val="64A46032"/>
    <w:rsid w:val="64B06E62"/>
    <w:rsid w:val="64F94665"/>
    <w:rsid w:val="650E334D"/>
    <w:rsid w:val="663A11D7"/>
    <w:rsid w:val="66606CAD"/>
    <w:rsid w:val="66694B58"/>
    <w:rsid w:val="668B50DD"/>
    <w:rsid w:val="669310D7"/>
    <w:rsid w:val="66997535"/>
    <w:rsid w:val="66C45729"/>
    <w:rsid w:val="6733170B"/>
    <w:rsid w:val="674A2776"/>
    <w:rsid w:val="67561F2B"/>
    <w:rsid w:val="67624F68"/>
    <w:rsid w:val="67795979"/>
    <w:rsid w:val="67937A94"/>
    <w:rsid w:val="67DA6F1C"/>
    <w:rsid w:val="6844124A"/>
    <w:rsid w:val="686337F9"/>
    <w:rsid w:val="68A3188E"/>
    <w:rsid w:val="68BD0E18"/>
    <w:rsid w:val="68F02834"/>
    <w:rsid w:val="69345338"/>
    <w:rsid w:val="6956543A"/>
    <w:rsid w:val="695D2F54"/>
    <w:rsid w:val="698E46F4"/>
    <w:rsid w:val="69BD1C8C"/>
    <w:rsid w:val="69C72D52"/>
    <w:rsid w:val="6A0C3B38"/>
    <w:rsid w:val="6A793CD7"/>
    <w:rsid w:val="6AA50098"/>
    <w:rsid w:val="6AD55AE0"/>
    <w:rsid w:val="6B8A0AAD"/>
    <w:rsid w:val="6B96440A"/>
    <w:rsid w:val="6BB221DE"/>
    <w:rsid w:val="6C772531"/>
    <w:rsid w:val="6CC61C13"/>
    <w:rsid w:val="6CDB474E"/>
    <w:rsid w:val="6D230A30"/>
    <w:rsid w:val="6D363682"/>
    <w:rsid w:val="6DC517B8"/>
    <w:rsid w:val="6DC7653D"/>
    <w:rsid w:val="6E0A636E"/>
    <w:rsid w:val="6E1663AA"/>
    <w:rsid w:val="6E261C64"/>
    <w:rsid w:val="6E274297"/>
    <w:rsid w:val="6E4106CF"/>
    <w:rsid w:val="6E5A7C3E"/>
    <w:rsid w:val="6EA046A8"/>
    <w:rsid w:val="6EFA1DB6"/>
    <w:rsid w:val="6F0C6001"/>
    <w:rsid w:val="6F230DE9"/>
    <w:rsid w:val="6F30445F"/>
    <w:rsid w:val="6F3B4B1F"/>
    <w:rsid w:val="6F5638F2"/>
    <w:rsid w:val="6FAD27B0"/>
    <w:rsid w:val="6FED7A2D"/>
    <w:rsid w:val="6FFD49BF"/>
    <w:rsid w:val="70003E3E"/>
    <w:rsid w:val="704008C4"/>
    <w:rsid w:val="70701FDE"/>
    <w:rsid w:val="70792788"/>
    <w:rsid w:val="70C47682"/>
    <w:rsid w:val="70FC6045"/>
    <w:rsid w:val="71021DBB"/>
    <w:rsid w:val="714C4DCA"/>
    <w:rsid w:val="715C0C89"/>
    <w:rsid w:val="718B1D61"/>
    <w:rsid w:val="71970E78"/>
    <w:rsid w:val="71E1607F"/>
    <w:rsid w:val="729D0A6D"/>
    <w:rsid w:val="72C71337"/>
    <w:rsid w:val="73305E0C"/>
    <w:rsid w:val="738F1F88"/>
    <w:rsid w:val="73955D54"/>
    <w:rsid w:val="73B90EB9"/>
    <w:rsid w:val="74134A7B"/>
    <w:rsid w:val="74250B23"/>
    <w:rsid w:val="74680933"/>
    <w:rsid w:val="749F5CDF"/>
    <w:rsid w:val="75570744"/>
    <w:rsid w:val="75895B64"/>
    <w:rsid w:val="75D46457"/>
    <w:rsid w:val="75F356B0"/>
    <w:rsid w:val="760E2D28"/>
    <w:rsid w:val="76120084"/>
    <w:rsid w:val="76126182"/>
    <w:rsid w:val="76AB4427"/>
    <w:rsid w:val="76F95125"/>
    <w:rsid w:val="77875EF6"/>
    <w:rsid w:val="77C336BC"/>
    <w:rsid w:val="77E06C17"/>
    <w:rsid w:val="77F82812"/>
    <w:rsid w:val="78195789"/>
    <w:rsid w:val="78460CD0"/>
    <w:rsid w:val="787D7437"/>
    <w:rsid w:val="788733A8"/>
    <w:rsid w:val="788E0390"/>
    <w:rsid w:val="789C18DD"/>
    <w:rsid w:val="79611315"/>
    <w:rsid w:val="798433D3"/>
    <w:rsid w:val="79844062"/>
    <w:rsid w:val="79C21D69"/>
    <w:rsid w:val="79C81A99"/>
    <w:rsid w:val="79EF41E0"/>
    <w:rsid w:val="79FA523C"/>
    <w:rsid w:val="7A2D653B"/>
    <w:rsid w:val="7A5F254E"/>
    <w:rsid w:val="7A71796A"/>
    <w:rsid w:val="7AE96D1B"/>
    <w:rsid w:val="7B2177FF"/>
    <w:rsid w:val="7B29334C"/>
    <w:rsid w:val="7B691D31"/>
    <w:rsid w:val="7BA81E01"/>
    <w:rsid w:val="7BA83E35"/>
    <w:rsid w:val="7BBA5467"/>
    <w:rsid w:val="7BBC2C69"/>
    <w:rsid w:val="7BC63834"/>
    <w:rsid w:val="7C1F2AC5"/>
    <w:rsid w:val="7CC6252B"/>
    <w:rsid w:val="7D351F2C"/>
    <w:rsid w:val="7D382212"/>
    <w:rsid w:val="7D3C4B6E"/>
    <w:rsid w:val="7D84660C"/>
    <w:rsid w:val="7D8A0E2F"/>
    <w:rsid w:val="7DD45885"/>
    <w:rsid w:val="7DE70BA0"/>
    <w:rsid w:val="7DEC7576"/>
    <w:rsid w:val="7E3257B0"/>
    <w:rsid w:val="7E575B25"/>
    <w:rsid w:val="7E6934AB"/>
    <w:rsid w:val="7E8C3098"/>
    <w:rsid w:val="7ED915D8"/>
    <w:rsid w:val="7EDC6643"/>
    <w:rsid w:val="7EF9722E"/>
    <w:rsid w:val="7F035473"/>
    <w:rsid w:val="7FB37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qFormat="1" w:uiPriority="99" w:semiHidden="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68"/>
    <w:qFormat/>
    <w:uiPriority w:val="0"/>
    <w:pPr>
      <w:keepNext/>
      <w:keepLines/>
      <w:spacing w:before="260" w:after="260" w:line="416" w:lineRule="auto"/>
      <w:outlineLvl w:val="2"/>
    </w:pPr>
    <w:rPr>
      <w:b/>
      <w:bCs/>
      <w:sz w:val="32"/>
      <w:szCs w:val="32"/>
    </w:rPr>
  </w:style>
  <w:style w:type="paragraph" w:styleId="7">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56"/>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qFormat/>
    <w:uiPriority w:val="0"/>
    <w:rPr>
      <w:rFonts w:ascii="楷体_GB2312" w:hAnsi="Arial" w:eastAsia="楷体_GB2312"/>
      <w:sz w:val="28"/>
      <w:szCs w:val="28"/>
    </w:rPr>
  </w:style>
  <w:style w:type="paragraph" w:styleId="19">
    <w:name w:val="Body Text Indent"/>
    <w:basedOn w:val="1"/>
    <w:next w:val="20"/>
    <w:qFormat/>
    <w:uiPriority w:val="0"/>
    <w:pPr>
      <w:ind w:firstLine="645"/>
    </w:pPr>
    <w:rPr>
      <w:rFonts w:ascii="楷体_GB2312" w:eastAsia="楷体_GB2312"/>
      <w:sz w:val="32"/>
      <w:szCs w:val="32"/>
    </w:rPr>
  </w:style>
  <w:style w:type="paragraph" w:styleId="20">
    <w:name w:val="envelope return"/>
    <w:basedOn w:val="1"/>
    <w:unhideWhenUsed/>
    <w:qFormat/>
    <w:uiPriority w:val="99"/>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4"/>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HTML Preformatted"/>
    <w:basedOn w:val="1"/>
    <w:link w:val="6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6"/>
    <w:next w:val="16"/>
    <w:semiHidden/>
    <w:qFormat/>
    <w:uiPriority w:val="0"/>
    <w:rPr>
      <w:b/>
      <w:bCs/>
    </w:rPr>
  </w:style>
  <w:style w:type="paragraph" w:styleId="44">
    <w:name w:val="Body Text First Indent"/>
    <w:basedOn w:val="1"/>
    <w:qFormat/>
    <w:uiPriority w:val="0"/>
    <w:pPr>
      <w:spacing w:line="360" w:lineRule="auto"/>
      <w:ind w:firstLine="200" w:firstLineChars="200"/>
    </w:pPr>
    <w:rPr>
      <w:rFonts w:ascii="仿宋_GB2312" w:eastAsia="仿宋_GB2312"/>
      <w:sz w:val="30"/>
      <w:szCs w:val="30"/>
    </w:rPr>
  </w:style>
  <w:style w:type="paragraph" w:styleId="45">
    <w:name w:val="Body Text First Indent 2"/>
    <w:basedOn w:val="19"/>
    <w:qFormat/>
    <w:uiPriority w:val="0"/>
    <w:pPr>
      <w:spacing w:line="360" w:lineRule="auto"/>
      <w:ind w:firstLine="420" w:firstLineChars="200"/>
    </w:pPr>
    <w:rPr>
      <w:rFonts w:ascii="宋体" w:hAnsi="宋体"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rFonts w:ascii="仿宋_GB2312" w:eastAsia="仿宋_GB2312" w:cs="仿宋_GB2312"/>
      <w:color w:val="7A4EA7"/>
      <w:u w:val="none"/>
    </w:rPr>
  </w:style>
  <w:style w:type="character" w:styleId="52">
    <w:name w:val="Hyperlink"/>
    <w:qFormat/>
    <w:uiPriority w:val="0"/>
    <w:rPr>
      <w:rFonts w:hint="eastAsia" w:ascii="仿宋_GB2312" w:eastAsia="仿宋_GB2312" w:cs="仿宋_GB2312"/>
      <w:color w:val="7A4EA7"/>
      <w:u w:val="none"/>
    </w:rPr>
  </w:style>
  <w:style w:type="character" w:styleId="53">
    <w:name w:val="annotation reference"/>
    <w:semiHidden/>
    <w:qFormat/>
    <w:uiPriority w:val="0"/>
    <w:rPr>
      <w:sz w:val="21"/>
      <w:szCs w:val="21"/>
    </w:rPr>
  </w:style>
  <w:style w:type="character" w:customStyle="1" w:styleId="54">
    <w:name w:val="标题 4 Char"/>
    <w:link w:val="7"/>
    <w:qFormat/>
    <w:uiPriority w:val="0"/>
    <w:rPr>
      <w:rFonts w:ascii="Arial" w:hAnsi="Arial" w:eastAsia="黑体" w:cs="Arial"/>
      <w:b/>
      <w:bCs/>
      <w:kern w:val="2"/>
      <w:sz w:val="28"/>
      <w:szCs w:val="28"/>
    </w:rPr>
  </w:style>
  <w:style w:type="character" w:customStyle="1" w:styleId="55">
    <w:name w:val="HTML 预设格式 Char1"/>
    <w:qFormat/>
    <w:uiPriority w:val="0"/>
    <w:rPr>
      <w:rFonts w:ascii="Courier New" w:hAnsi="Courier New" w:cs="Courier New"/>
      <w:kern w:val="2"/>
    </w:rPr>
  </w:style>
  <w:style w:type="character" w:customStyle="1" w:styleId="56">
    <w:name w:val="正文缩进 Char"/>
    <w:link w:val="5"/>
    <w:qFormat/>
    <w:uiPriority w:val="0"/>
    <w:rPr>
      <w:kern w:val="2"/>
      <w:sz w:val="21"/>
      <w:szCs w:val="21"/>
    </w:rPr>
  </w:style>
  <w:style w:type="character" w:customStyle="1" w:styleId="57">
    <w:name w:val="二级目录 Char"/>
    <w:link w:val="58"/>
    <w:qFormat/>
    <w:uiPriority w:val="0"/>
    <w:rPr>
      <w:rFonts w:ascii="Times New Roman" w:hAnsi="Times New Roman" w:eastAsia="宋体" w:cs="Times New Roman"/>
      <w:b/>
      <w:kern w:val="2"/>
      <w:sz w:val="30"/>
      <w:szCs w:val="28"/>
    </w:rPr>
  </w:style>
  <w:style w:type="paragraph" w:customStyle="1" w:styleId="58">
    <w:name w:val="二级目录"/>
    <w:next w:val="1"/>
    <w:link w:val="57"/>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9">
    <w:name w:val="页眉 Char"/>
    <w:link w:val="30"/>
    <w:qFormat/>
    <w:uiPriority w:val="99"/>
    <w:rPr>
      <w:kern w:val="2"/>
      <w:sz w:val="18"/>
      <w:szCs w:val="18"/>
    </w:rPr>
  </w:style>
  <w:style w:type="character" w:customStyle="1" w:styleId="60">
    <w:name w:val="列出段落 Char"/>
    <w:link w:val="61"/>
    <w:qFormat/>
    <w:locked/>
    <w:uiPriority w:val="0"/>
    <w:rPr>
      <w:rFonts w:ascii="Calibri" w:hAnsi="Calibri"/>
      <w:sz w:val="24"/>
      <w:szCs w:val="24"/>
      <w:lang w:eastAsia="en-US" w:bidi="en-US"/>
    </w:rPr>
  </w:style>
  <w:style w:type="paragraph" w:customStyle="1" w:styleId="61">
    <w:name w:val="列出段落1"/>
    <w:basedOn w:val="1"/>
    <w:link w:val="60"/>
    <w:qFormat/>
    <w:uiPriority w:val="0"/>
    <w:pPr>
      <w:widowControl/>
      <w:ind w:left="720"/>
      <w:contextualSpacing/>
      <w:jc w:val="left"/>
    </w:pPr>
    <w:rPr>
      <w:rFonts w:ascii="Calibri" w:hAnsi="Calibri"/>
      <w:kern w:val="0"/>
      <w:sz w:val="24"/>
      <w:szCs w:val="24"/>
      <w:lang w:eastAsia="en-US" w:bidi="en-US"/>
    </w:rPr>
  </w:style>
  <w:style w:type="character" w:customStyle="1" w:styleId="62">
    <w:name w:val="font5 Char"/>
    <w:qFormat/>
    <w:uiPriority w:val="0"/>
    <w:rPr>
      <w:rFonts w:ascii="宋体" w:hAnsi="宋体" w:eastAsia="宋体"/>
      <w:sz w:val="28"/>
      <w:szCs w:val="28"/>
      <w:lang w:val="en-US" w:eastAsia="zh-CN" w:bidi="ar-SA"/>
    </w:rPr>
  </w:style>
  <w:style w:type="character" w:customStyle="1" w:styleId="63">
    <w:name w:val="apple-converted-space"/>
    <w:qFormat/>
    <w:uiPriority w:val="0"/>
  </w:style>
  <w:style w:type="character" w:customStyle="1" w:styleId="64">
    <w:name w:val="纯文本 Char"/>
    <w:link w:val="24"/>
    <w:qFormat/>
    <w:uiPriority w:val="0"/>
    <w:rPr>
      <w:rFonts w:ascii="宋体" w:hAnsi="Courier New" w:cs="Courier New"/>
      <w:kern w:val="2"/>
      <w:sz w:val="21"/>
      <w:szCs w:val="21"/>
    </w:rPr>
  </w:style>
  <w:style w:type="character" w:customStyle="1" w:styleId="65">
    <w:name w:val="HTML 预设格式 Char"/>
    <w:link w:val="40"/>
    <w:qFormat/>
    <w:uiPriority w:val="0"/>
    <w:rPr>
      <w:rFonts w:ascii="黑体" w:hAnsi="Courier New" w:eastAsia="黑体"/>
    </w:rPr>
  </w:style>
  <w:style w:type="character" w:customStyle="1" w:styleId="66">
    <w:name w:val="font21"/>
    <w:qFormat/>
    <w:uiPriority w:val="0"/>
    <w:rPr>
      <w:rFonts w:hint="eastAsia" w:ascii="宋体" w:hAnsi="宋体" w:eastAsia="宋体" w:cs="宋体"/>
      <w:b/>
      <w:color w:val="000000"/>
      <w:sz w:val="24"/>
      <w:szCs w:val="24"/>
      <w:u w:val="none"/>
    </w:rPr>
  </w:style>
  <w:style w:type="character" w:customStyle="1" w:styleId="67">
    <w:name w:val="font81"/>
    <w:qFormat/>
    <w:uiPriority w:val="0"/>
    <w:rPr>
      <w:rFonts w:hint="eastAsia" w:ascii="宋体" w:hAnsi="宋体" w:eastAsia="宋体" w:cs="宋体"/>
      <w:b/>
      <w:color w:val="000000"/>
      <w:sz w:val="24"/>
      <w:szCs w:val="24"/>
      <w:u w:val="single"/>
    </w:rPr>
  </w:style>
  <w:style w:type="character" w:customStyle="1" w:styleId="68">
    <w:name w:val="标题 3 Char"/>
    <w:link w:val="6"/>
    <w:qFormat/>
    <w:uiPriority w:val="0"/>
    <w:rPr>
      <w:rFonts w:eastAsia="宋体"/>
      <w:b/>
      <w:bCs/>
      <w:kern w:val="2"/>
      <w:sz w:val="32"/>
      <w:szCs w:val="32"/>
      <w:lang w:val="en-US" w:eastAsia="zh-CN" w:bidi="ar-SA"/>
    </w:rPr>
  </w:style>
  <w:style w:type="paragraph" w:customStyle="1" w:styleId="69">
    <w:name w:val="Body Text(ch)"/>
    <w:basedOn w:val="1"/>
    <w:next w:val="18"/>
    <w:qFormat/>
    <w:uiPriority w:val="0"/>
    <w:pPr>
      <w:spacing w:after="120"/>
    </w:pPr>
    <w:rPr>
      <w:rFonts w:ascii="宋体" w:hAnsi="Arial"/>
      <w:bCs/>
      <w:iCs/>
      <w:szCs w:val="24"/>
    </w:rPr>
  </w:style>
  <w:style w:type="paragraph" w:customStyle="1" w:styleId="7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71">
    <w:name w:val="z-窗体顶端1"/>
    <w:basedOn w:val="1"/>
    <w:next w:val="1"/>
    <w:qFormat/>
    <w:uiPriority w:val="0"/>
    <w:pPr>
      <w:pBdr>
        <w:bottom w:val="single" w:color="auto" w:sz="6" w:space="1"/>
      </w:pBdr>
      <w:jc w:val="center"/>
    </w:pPr>
    <w:rPr>
      <w:rFonts w:ascii="Arial"/>
      <w:vanish/>
      <w:sz w:val="16"/>
    </w:rPr>
  </w:style>
  <w:style w:type="paragraph" w:customStyle="1" w:styleId="7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6">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8">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1">
    <w:name w:val="Char"/>
    <w:basedOn w:val="15"/>
    <w:qFormat/>
    <w:uiPriority w:val="0"/>
    <w:rPr>
      <w:rFonts w:ascii="Tahoma" w:hAnsi="Tahoma"/>
      <w:sz w:val="24"/>
      <w:szCs w:val="24"/>
    </w:rPr>
  </w:style>
  <w:style w:type="paragraph" w:customStyle="1" w:styleId="82">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4">
    <w:name w:val="table_1stline"/>
    <w:basedOn w:val="1"/>
    <w:qFormat/>
    <w:uiPriority w:val="0"/>
    <w:pPr>
      <w:widowControl/>
      <w:spacing w:before="120"/>
      <w:jc w:val="left"/>
    </w:pPr>
    <w:rPr>
      <w:bCs/>
      <w:kern w:val="0"/>
      <w:sz w:val="20"/>
      <w:szCs w:val="20"/>
      <w:lang w:val="de-DE" w:eastAsia="de-DE"/>
    </w:rPr>
  </w:style>
  <w:style w:type="paragraph" w:customStyle="1" w:styleId="85">
    <w:name w:val="Char Char Char Char"/>
    <w:basedOn w:val="15"/>
    <w:qFormat/>
    <w:uiPriority w:val="0"/>
    <w:pPr>
      <w:adjustRightInd w:val="0"/>
      <w:snapToGrid w:val="0"/>
      <w:spacing w:line="360" w:lineRule="auto"/>
    </w:pPr>
    <w:rPr>
      <w:rFonts w:ascii="Tahoma" w:hAnsi="Tahoma"/>
      <w:sz w:val="24"/>
      <w:szCs w:val="24"/>
    </w:rPr>
  </w:style>
  <w:style w:type="paragraph" w:customStyle="1" w:styleId="86">
    <w:name w:val="Char1"/>
    <w:basedOn w:val="1"/>
    <w:qFormat/>
    <w:uiPriority w:val="0"/>
    <w:pPr>
      <w:tabs>
        <w:tab w:val="left" w:pos="360"/>
      </w:tabs>
      <w:ind w:firstLine="200" w:firstLineChars="200"/>
    </w:pPr>
    <w:rPr>
      <w:sz w:val="28"/>
      <w:szCs w:val="30"/>
    </w:rPr>
  </w:style>
  <w:style w:type="paragraph" w:customStyle="1" w:styleId="87">
    <w:name w:val="4"/>
    <w:basedOn w:val="1"/>
    <w:next w:val="35"/>
    <w:qFormat/>
    <w:uiPriority w:val="0"/>
    <w:pPr>
      <w:spacing w:line="360" w:lineRule="auto"/>
      <w:ind w:firstLine="420"/>
    </w:pPr>
    <w:rPr>
      <w:color w:val="FF0000"/>
      <w:sz w:val="24"/>
      <w:szCs w:val="24"/>
    </w:rPr>
  </w:style>
  <w:style w:type="paragraph" w:customStyle="1" w:styleId="8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9">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0">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1">
    <w:name w:val="Char Char Char Char1"/>
    <w:basedOn w:val="15"/>
    <w:qFormat/>
    <w:uiPriority w:val="0"/>
    <w:pPr>
      <w:adjustRightInd w:val="0"/>
      <w:snapToGrid w:val="0"/>
      <w:spacing w:line="360" w:lineRule="auto"/>
    </w:pPr>
    <w:rPr>
      <w:rFonts w:ascii="Tahoma" w:hAnsi="Tahoma"/>
      <w:sz w:val="24"/>
      <w:szCs w:val="24"/>
    </w:rPr>
  </w:style>
  <w:style w:type="paragraph" w:customStyle="1" w:styleId="92">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3">
    <w:name w:val="table_lines"/>
    <w:basedOn w:val="1"/>
    <w:qFormat/>
    <w:uiPriority w:val="0"/>
    <w:pPr>
      <w:widowControl/>
      <w:jc w:val="left"/>
    </w:pPr>
    <w:rPr>
      <w:kern w:val="0"/>
      <w:sz w:val="20"/>
      <w:szCs w:val="20"/>
      <w:lang w:val="de-DE" w:eastAsia="de-DE"/>
    </w:rPr>
  </w:style>
  <w:style w:type="paragraph" w:customStyle="1" w:styleId="94">
    <w:name w:val="Char Char Char Char Char Char Char Char Char Char"/>
    <w:basedOn w:val="1"/>
    <w:qFormat/>
    <w:uiPriority w:val="0"/>
    <w:pPr>
      <w:adjustRightInd w:val="0"/>
      <w:spacing w:line="360" w:lineRule="auto"/>
    </w:pPr>
    <w:rPr>
      <w:kern w:val="0"/>
      <w:sz w:val="24"/>
      <w:szCs w:val="20"/>
    </w:rPr>
  </w:style>
  <w:style w:type="paragraph" w:customStyle="1" w:styleId="95">
    <w:name w:val="z-窗体底端1"/>
    <w:basedOn w:val="1"/>
    <w:next w:val="1"/>
    <w:qFormat/>
    <w:uiPriority w:val="0"/>
    <w:pPr>
      <w:pBdr>
        <w:top w:val="single" w:color="auto" w:sz="6" w:space="1"/>
      </w:pBdr>
      <w:jc w:val="center"/>
    </w:pPr>
    <w:rPr>
      <w:rFonts w:ascii="Arial"/>
      <w:vanish/>
      <w:sz w:val="16"/>
    </w:rPr>
  </w:style>
  <w:style w:type="paragraph" w:customStyle="1" w:styleId="9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8">
    <w:name w:val="样式1"/>
    <w:basedOn w:val="1"/>
    <w:qFormat/>
    <w:uiPriority w:val="0"/>
    <w:pPr>
      <w:numPr>
        <w:ilvl w:val="0"/>
        <w:numId w:val="3"/>
      </w:numPr>
      <w:adjustRightInd w:val="0"/>
      <w:textAlignment w:val="baseline"/>
    </w:pPr>
    <w:rPr>
      <w:rFonts w:ascii="宋体" w:hAnsi="宋体"/>
      <w:kern w:val="0"/>
    </w:rPr>
  </w:style>
  <w:style w:type="paragraph" w:styleId="99">
    <w:name w:val="List Paragraph"/>
    <w:basedOn w:val="1"/>
    <w:qFormat/>
    <w:uiPriority w:val="99"/>
    <w:pPr>
      <w:widowControl/>
      <w:ind w:left="720"/>
      <w:contextualSpacing/>
      <w:jc w:val="left"/>
    </w:pPr>
    <w:rPr>
      <w:rFonts w:ascii="Calibri" w:hAnsi="Calibri"/>
      <w:kern w:val="0"/>
      <w:sz w:val="24"/>
      <w:szCs w:val="24"/>
      <w:lang w:eastAsia="en-US" w:bidi="en-US"/>
    </w:rPr>
  </w:style>
  <w:style w:type="paragraph" w:customStyle="1" w:styleId="1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yy</Company>
  <Pages>44</Pages>
  <Words>3502</Words>
  <Characters>19968</Characters>
  <Lines>166</Lines>
  <Paragraphs>46</Paragraphs>
  <TotalTime>9</TotalTime>
  <ScaleCrop>false</ScaleCrop>
  <LinksUpToDate>false</LinksUpToDate>
  <CharactersWithSpaces>23424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2020-12-21T06:39:00Z</dcterms:created>
  <dc:creator>政府采购中心</dc:creator>
  <cp:lastModifiedBy>赵萌</cp:lastModifiedBy>
  <cp:lastPrinted>2020-12-10T00:31:00Z</cp:lastPrinted>
  <dcterms:modified xsi:type="dcterms:W3CDTF">2020-12-22T02:11:55Z</dcterms:modified>
  <dc:title>江苏卫生信息系统业务软件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