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line="440" w:lineRule="exact"/>
        <w:jc w:val="center"/>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盐城工业职业技术学院艺术设计学院一楼大厅改造项目</w:t>
      </w:r>
    </w:p>
    <w:p>
      <w:pPr>
        <w:tabs>
          <w:tab w:val="left" w:pos="900"/>
        </w:tabs>
        <w:spacing w:line="440" w:lineRule="exact"/>
        <w:jc w:val="center"/>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招标公告</w:t>
      </w:r>
    </w:p>
    <w:p>
      <w:pPr>
        <w:tabs>
          <w:tab w:val="left" w:pos="900"/>
        </w:tabs>
        <w:spacing w:line="440" w:lineRule="exact"/>
        <w:ind w:firstLine="480" w:firstLineChars="200"/>
        <w:jc w:val="left"/>
        <w:rPr>
          <w:rFonts w:hint="eastAsia" w:ascii="楷体_GB2312" w:hAnsi="楷体_GB2312" w:eastAsia="楷体_GB2312" w:cs="楷体_GB2312"/>
          <w:color w:val="auto"/>
          <w:sz w:val="24"/>
        </w:rPr>
      </w:pPr>
    </w:p>
    <w:p>
      <w:pPr>
        <w:tabs>
          <w:tab w:val="left" w:pos="900"/>
        </w:tabs>
        <w:spacing w:line="44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根据盐城工业职业技术学院招标采购计划，江苏双清工程造价咨询有限公司受盐城工业职业技术学院</w:t>
      </w:r>
      <w:r>
        <w:rPr>
          <w:rFonts w:hint="eastAsia" w:ascii="楷体_GB2312" w:hAnsi="楷体_GB2312" w:eastAsia="楷体_GB2312" w:cs="楷体_GB2312"/>
          <w:color w:val="auto"/>
          <w:sz w:val="24"/>
        </w:rPr>
        <w:softHyphen/>
      </w:r>
      <w:r>
        <w:rPr>
          <w:rFonts w:hint="eastAsia" w:ascii="楷体_GB2312" w:hAnsi="楷体_GB2312" w:eastAsia="楷体_GB2312" w:cs="楷体_GB2312"/>
          <w:color w:val="auto"/>
          <w:sz w:val="24"/>
        </w:rPr>
        <w:softHyphen/>
      </w:r>
      <w:r>
        <w:rPr>
          <w:rFonts w:hint="eastAsia" w:ascii="楷体_GB2312" w:hAnsi="楷体_GB2312" w:eastAsia="楷体_GB2312" w:cs="楷体_GB2312"/>
          <w:color w:val="auto"/>
          <w:sz w:val="24"/>
        </w:rPr>
        <w:t>的委托，就其所需的</w:t>
      </w:r>
      <w:r>
        <w:rPr>
          <w:rFonts w:hint="eastAsia" w:ascii="楷体_GB2312" w:hAnsi="楷体_GB2312" w:eastAsia="楷体_GB2312" w:cs="楷体_GB2312"/>
          <w:color w:val="auto"/>
          <w:sz w:val="24"/>
          <w:u w:val="single"/>
          <w:lang w:eastAsia="zh-CN"/>
        </w:rPr>
        <w:t>艺术设计学院一楼大厅改造项目</w:t>
      </w:r>
      <w:r>
        <w:rPr>
          <w:rFonts w:hint="eastAsia" w:ascii="楷体_GB2312" w:hAnsi="楷体_GB2312" w:eastAsia="楷体_GB2312" w:cs="楷体_GB2312"/>
          <w:color w:val="auto"/>
          <w:sz w:val="24"/>
        </w:rPr>
        <w:t>进行公开招标，欢迎符合相关条件的合格投标人投标。</w:t>
      </w:r>
    </w:p>
    <w:p>
      <w:pPr>
        <w:tabs>
          <w:tab w:val="left" w:pos="900"/>
        </w:tabs>
        <w:spacing w:line="440" w:lineRule="exact"/>
        <w:ind w:firstLine="480" w:firstLineChars="200"/>
        <w:jc w:val="left"/>
        <w:rPr>
          <w:rFonts w:hint="eastAsia" w:ascii="楷体_GB2312" w:hAnsi="楷体_GB2312" w:eastAsia="楷体_GB2312" w:cs="楷体_GB2312"/>
          <w:b/>
          <w:bCs/>
          <w:color w:val="auto"/>
          <w:sz w:val="24"/>
        </w:rPr>
      </w:pPr>
      <w:r>
        <w:rPr>
          <w:rFonts w:hint="eastAsia" w:ascii="楷体_GB2312" w:hAnsi="楷体_GB2312" w:eastAsia="楷体_GB2312" w:cs="楷体_GB2312"/>
          <w:b/>
          <w:bCs/>
          <w:color w:val="auto"/>
          <w:sz w:val="24"/>
        </w:rPr>
        <w:t>一、招标工程名称及编号</w:t>
      </w:r>
    </w:p>
    <w:p>
      <w:pPr>
        <w:tabs>
          <w:tab w:val="left" w:pos="900"/>
        </w:tabs>
        <w:spacing w:line="440" w:lineRule="exact"/>
        <w:ind w:firstLine="480" w:firstLineChars="200"/>
        <w:jc w:val="left"/>
        <w:rPr>
          <w:rFonts w:hint="eastAsia" w:ascii="楷体_GB2312" w:hAnsi="楷体_GB2312" w:eastAsia="楷体_GB2312" w:cs="楷体_GB2312"/>
          <w:color w:val="auto"/>
          <w:sz w:val="24"/>
          <w:lang w:eastAsia="zh-CN"/>
        </w:rPr>
      </w:pPr>
      <w:r>
        <w:rPr>
          <w:rFonts w:hint="eastAsia" w:ascii="楷体_GB2312" w:hAnsi="楷体_GB2312" w:eastAsia="楷体_GB2312" w:cs="楷体_GB2312"/>
          <w:color w:val="auto"/>
          <w:sz w:val="24"/>
        </w:rPr>
        <w:t>工程名称：</w:t>
      </w:r>
      <w:r>
        <w:rPr>
          <w:rFonts w:hint="eastAsia" w:ascii="楷体_GB2312" w:hAnsi="楷体_GB2312" w:eastAsia="楷体_GB2312" w:cs="楷体_GB2312"/>
          <w:color w:val="auto"/>
          <w:sz w:val="24"/>
          <w:lang w:eastAsia="zh-CN"/>
        </w:rPr>
        <w:t>盐城工业职业技术学院艺术设计学院一楼大厅改造项目</w:t>
      </w:r>
    </w:p>
    <w:p>
      <w:pPr>
        <w:tabs>
          <w:tab w:val="left" w:pos="900"/>
        </w:tabs>
        <w:spacing w:line="440" w:lineRule="exact"/>
        <w:ind w:firstLine="480" w:firstLineChars="200"/>
        <w:jc w:val="left"/>
        <w:rPr>
          <w:rFonts w:hint="eastAsia" w:ascii="楷体_GB2312" w:hAnsi="楷体_GB2312" w:eastAsia="楷体_GB2312" w:cs="楷体_GB2312"/>
          <w:color w:val="auto"/>
          <w:sz w:val="24"/>
          <w:lang w:eastAsia="zh-CN"/>
        </w:rPr>
      </w:pPr>
      <w:r>
        <w:rPr>
          <w:rFonts w:hint="eastAsia" w:ascii="楷体_GB2312" w:hAnsi="楷体_GB2312" w:eastAsia="楷体_GB2312" w:cs="楷体_GB2312"/>
          <w:color w:val="auto"/>
          <w:sz w:val="24"/>
        </w:rPr>
        <w:t>标书编号：</w:t>
      </w:r>
      <w:r>
        <w:rPr>
          <w:rFonts w:hint="eastAsia" w:ascii="楷体_GB2312" w:hAnsi="楷体_GB2312" w:eastAsia="楷体_GB2312" w:cs="楷体_GB2312"/>
          <w:color w:val="auto"/>
          <w:sz w:val="24"/>
          <w:lang w:eastAsia="zh-CN"/>
        </w:rPr>
        <w:t>2020-060S</w:t>
      </w:r>
    </w:p>
    <w:p>
      <w:pPr>
        <w:tabs>
          <w:tab w:val="left" w:pos="900"/>
        </w:tabs>
        <w:spacing w:line="440" w:lineRule="exact"/>
        <w:ind w:firstLine="480" w:firstLineChars="200"/>
        <w:jc w:val="left"/>
        <w:rPr>
          <w:rFonts w:hint="eastAsia" w:ascii="楷体_GB2312" w:hAnsi="楷体_GB2312" w:eastAsia="楷体_GB2312" w:cs="楷体_GB2312"/>
          <w:b/>
          <w:bCs/>
          <w:color w:val="auto"/>
          <w:sz w:val="24"/>
        </w:rPr>
      </w:pPr>
      <w:r>
        <w:rPr>
          <w:rFonts w:hint="eastAsia" w:ascii="楷体_GB2312" w:hAnsi="楷体_GB2312" w:eastAsia="楷体_GB2312" w:cs="楷体_GB2312"/>
          <w:b/>
          <w:bCs/>
          <w:color w:val="auto"/>
          <w:sz w:val="24"/>
        </w:rPr>
        <w:t>二、工程概况</w:t>
      </w:r>
    </w:p>
    <w:p>
      <w:pPr>
        <w:snapToGrid w:val="0"/>
        <w:spacing w:line="44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1、工程地点：盐城工业职业技术学院内（盐城市解放南路285号）。</w:t>
      </w:r>
    </w:p>
    <w:p>
      <w:pPr>
        <w:snapToGrid w:val="0"/>
        <w:spacing w:line="44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2、工期要求：自甲方通知开工之日起</w:t>
      </w:r>
      <w:r>
        <w:rPr>
          <w:rFonts w:hint="eastAsia" w:ascii="楷体_GB2312" w:hAnsi="楷体_GB2312" w:eastAsia="楷体_GB2312" w:cs="楷体_GB2312"/>
          <w:color w:val="auto"/>
          <w:sz w:val="24"/>
          <w:lang w:val="en-US" w:eastAsia="zh-CN"/>
        </w:rPr>
        <w:t>20</w:t>
      </w:r>
      <w:r>
        <w:rPr>
          <w:rFonts w:hint="eastAsia" w:ascii="楷体_GB2312" w:hAnsi="楷体_GB2312" w:eastAsia="楷体_GB2312" w:cs="楷体_GB2312"/>
          <w:color w:val="auto"/>
          <w:sz w:val="24"/>
        </w:rPr>
        <w:t>日历天内全部通过竣工验收合格并交付使用。</w:t>
      </w:r>
    </w:p>
    <w:p>
      <w:pPr>
        <w:snapToGrid w:val="0"/>
        <w:spacing w:line="44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 xml:space="preserve">3、质量要求：国家合格标准。 </w:t>
      </w:r>
    </w:p>
    <w:p>
      <w:pPr>
        <w:snapToGrid w:val="0"/>
        <w:spacing w:line="44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 xml:space="preserve">4、资金来源及落实情况：国有资金且已落实。 </w:t>
      </w:r>
    </w:p>
    <w:p>
      <w:pPr>
        <w:snapToGrid w:val="0"/>
        <w:spacing w:line="44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5、招标范围及标段划分：本次招标共为1个标段，</w:t>
      </w:r>
      <w:r>
        <w:rPr>
          <w:rFonts w:hint="eastAsia" w:ascii="楷体_GB2312" w:hAnsi="楷体_GB2312" w:eastAsia="楷体_GB2312" w:cs="楷体_GB2312"/>
          <w:color w:val="auto"/>
          <w:sz w:val="24"/>
          <w:lang w:eastAsia="zh-CN"/>
        </w:rPr>
        <w:t>盐城工业职业技术学院艺术设计学院一楼大厅改造项目</w:t>
      </w:r>
      <w:r>
        <w:rPr>
          <w:rFonts w:hint="eastAsia" w:ascii="楷体_GB2312" w:hAnsi="楷体_GB2312" w:eastAsia="楷体_GB2312" w:cs="楷体_GB2312"/>
          <w:color w:val="auto"/>
          <w:sz w:val="24"/>
        </w:rPr>
        <w:t>的施工，具体内容详按设计图纸、工程量清单及招标人要求执行，招标人保留进行调整的权利。</w:t>
      </w:r>
    </w:p>
    <w:p>
      <w:pPr>
        <w:snapToGrid w:val="0"/>
        <w:spacing w:line="44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6、工程规模：最高限价</w:t>
      </w:r>
      <w:r>
        <w:rPr>
          <w:rFonts w:hint="eastAsia" w:ascii="楷体_GB2312" w:hAnsi="楷体_GB2312" w:eastAsia="楷体_GB2312" w:cs="楷体_GB2312"/>
          <w:color w:val="auto"/>
          <w:sz w:val="24"/>
          <w:lang w:val="en-US" w:eastAsia="zh-CN"/>
        </w:rPr>
        <w:t>27</w:t>
      </w:r>
      <w:r>
        <w:rPr>
          <w:rFonts w:hint="eastAsia" w:ascii="楷体_GB2312" w:hAnsi="楷体_GB2312" w:eastAsia="楷体_GB2312" w:cs="楷体_GB2312"/>
          <w:color w:val="auto"/>
          <w:sz w:val="24"/>
        </w:rPr>
        <w:t>万元。</w:t>
      </w:r>
    </w:p>
    <w:p>
      <w:pPr>
        <w:tabs>
          <w:tab w:val="left" w:pos="900"/>
        </w:tabs>
        <w:spacing w:line="440" w:lineRule="exact"/>
        <w:ind w:firstLine="480" w:firstLineChars="200"/>
        <w:jc w:val="left"/>
        <w:rPr>
          <w:rFonts w:hint="eastAsia" w:ascii="楷体_GB2312" w:hAnsi="楷体_GB2312" w:eastAsia="楷体_GB2312" w:cs="楷体_GB2312"/>
          <w:b/>
          <w:bCs/>
          <w:color w:val="auto"/>
          <w:sz w:val="24"/>
        </w:rPr>
      </w:pPr>
      <w:r>
        <w:rPr>
          <w:rFonts w:hint="eastAsia" w:ascii="楷体_GB2312" w:hAnsi="楷体_GB2312" w:eastAsia="楷体_GB2312" w:cs="楷体_GB2312"/>
          <w:b/>
          <w:bCs/>
          <w:color w:val="auto"/>
          <w:sz w:val="24"/>
        </w:rPr>
        <w:t>三、投标人资格要求</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1、投标人资格要求：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2、财务要求：投标人应具有独立订立合同的能力，未处于财产被接管、冻结和破产状态。</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3、信誉要求</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（1）投标人没有被国家、江苏省省级有关部门及盐城市级有关部门暂停招投标或市场准入资格且在公示处罚期内。</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（4）投标人不存在盐住建建筑【2020】24文规定的安全生产事故情形，且在通报暂停投标资格处罚期内。</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4、投标项目负责人资格要求：项目负责人须具有建筑工程专业二级及以上建造师资格，同时须具有安全生产考核合格证（B类）。</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5、项目负责人从本工程投标文件递交截止之日起必须满足下列条件：</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项目负责人不得同时在两个或者两个以上单位受聘或者执业特指以下三种情形：</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（一）同时在两个及以上单位签订劳动合同或交纳社会保险；</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（二）将本人执（职）业资格证书同时注册在两个及以上单位</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（三）项目负责人担任其他公司法定代表人。</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项目负责人投标截止时不得同时在其他建设工程项目中担任现场管理人员、不在本项目兼任本项目的其它岗位。</w:t>
      </w:r>
      <w:r>
        <w:rPr>
          <w:rFonts w:hint="eastAsia" w:ascii="楷体_GB2312" w:hAnsi="楷体_GB2312" w:eastAsia="楷体_GB2312" w:cs="楷体_GB2312"/>
          <w:bCs/>
          <w:color w:val="auto"/>
          <w:sz w:val="24"/>
        </w:rPr>
        <w:br w:type="textWrapping"/>
      </w:r>
      <w:r>
        <w:rPr>
          <w:rFonts w:hint="eastAsia" w:ascii="楷体_GB2312" w:hAnsi="楷体_GB2312" w:eastAsia="楷体_GB2312" w:cs="楷体_GB2312"/>
          <w:bCs/>
          <w:color w:val="auto"/>
          <w:sz w:val="24"/>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6、本项目招标人不接受投标人的企业法定代表人担任项目负责人。</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7、本项目招标人不接受企业退休人员担任项目负责人。</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8、投标申请人须保证项目负责人及代理人均为本单位的正式职工，并确保从2020年</w:t>
      </w:r>
      <w:r>
        <w:rPr>
          <w:rFonts w:hint="eastAsia" w:ascii="楷体_GB2312" w:hAnsi="楷体_GB2312" w:eastAsia="楷体_GB2312" w:cs="楷体_GB2312"/>
          <w:bCs/>
          <w:color w:val="auto"/>
          <w:sz w:val="24"/>
          <w:lang w:val="en-US" w:eastAsia="zh-CN"/>
        </w:rPr>
        <w:t>3</w:t>
      </w:r>
      <w:r>
        <w:rPr>
          <w:rFonts w:hint="eastAsia" w:ascii="楷体_GB2312" w:hAnsi="楷体_GB2312" w:eastAsia="楷体_GB2312" w:cs="楷体_GB2312"/>
          <w:bCs/>
          <w:color w:val="auto"/>
          <w:sz w:val="24"/>
        </w:rPr>
        <w:t>月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9、本招标工程不接受联合体投标。</w:t>
      </w:r>
    </w:p>
    <w:p>
      <w:pPr>
        <w:spacing w:line="440" w:lineRule="exact"/>
        <w:ind w:firstLine="480" w:firstLineChars="200"/>
        <w:jc w:val="left"/>
        <w:rPr>
          <w:rFonts w:hint="eastAsia" w:ascii="楷体_GB2312" w:hAnsi="楷体_GB2312" w:eastAsia="楷体_GB2312" w:cs="楷体_GB2312"/>
          <w:b/>
          <w:color w:val="auto"/>
          <w:kern w:val="0"/>
          <w:sz w:val="24"/>
          <w:shd w:val="clear" w:color="auto" w:fill="FFFFFF"/>
        </w:rPr>
      </w:pPr>
      <w:r>
        <w:rPr>
          <w:rFonts w:hint="eastAsia" w:ascii="楷体_GB2312" w:hAnsi="楷体_GB2312" w:eastAsia="楷体_GB2312" w:cs="楷体_GB2312"/>
          <w:b/>
          <w:color w:val="auto"/>
          <w:kern w:val="0"/>
          <w:sz w:val="24"/>
          <w:shd w:val="clear" w:color="auto" w:fill="FFFFFF"/>
        </w:rPr>
        <w:t>四、资格审查办法：</w:t>
      </w:r>
      <w:r>
        <w:rPr>
          <w:rFonts w:hint="eastAsia" w:ascii="楷体_GB2312" w:hAnsi="楷体_GB2312" w:eastAsia="楷体_GB2312" w:cs="楷体_GB2312"/>
          <w:bCs/>
          <w:color w:val="auto"/>
          <w:kern w:val="0"/>
          <w:sz w:val="24"/>
          <w:shd w:val="clear" w:color="auto" w:fill="FFFFFF"/>
        </w:rPr>
        <w:t>资格后审。</w:t>
      </w:r>
    </w:p>
    <w:p>
      <w:pPr>
        <w:spacing w:line="44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b/>
          <w:color w:val="auto"/>
          <w:kern w:val="0"/>
          <w:sz w:val="24"/>
          <w:shd w:val="clear" w:color="auto" w:fill="FFFFFF"/>
        </w:rPr>
        <w:t>五、评标定标办法：</w:t>
      </w:r>
      <w:r>
        <w:rPr>
          <w:rFonts w:hint="eastAsia" w:ascii="楷体_GB2312" w:hAnsi="楷体_GB2312" w:eastAsia="楷体_GB2312" w:cs="楷体_GB2312"/>
          <w:color w:val="auto"/>
          <w:sz w:val="24"/>
        </w:rPr>
        <w:t>采用</w:t>
      </w:r>
      <w:r>
        <w:rPr>
          <w:rFonts w:hint="eastAsia" w:ascii="楷体_GB2312" w:hAnsi="楷体_GB2312" w:eastAsia="楷体_GB2312" w:cs="楷体_GB2312"/>
          <w:color w:val="auto"/>
          <w:sz w:val="24"/>
          <w:u w:val="single"/>
        </w:rPr>
        <w:t>盐城ABCD合成法</w:t>
      </w:r>
      <w:r>
        <w:rPr>
          <w:rFonts w:hint="eastAsia" w:ascii="楷体_GB2312" w:hAnsi="楷体_GB2312" w:eastAsia="楷体_GB2312" w:cs="楷体_GB2312"/>
          <w:color w:val="auto"/>
          <w:sz w:val="24"/>
        </w:rPr>
        <w:t>，具体详见招标文件正文。</w:t>
      </w:r>
    </w:p>
    <w:p>
      <w:pPr>
        <w:spacing w:line="440" w:lineRule="exact"/>
        <w:ind w:firstLine="480" w:firstLineChars="200"/>
        <w:jc w:val="left"/>
        <w:rPr>
          <w:rFonts w:hint="eastAsia" w:ascii="楷体_GB2312" w:hAnsi="楷体_GB2312" w:eastAsia="楷体_GB2312" w:cs="楷体_GB2312"/>
          <w:b/>
          <w:bCs/>
          <w:color w:val="auto"/>
          <w:sz w:val="24"/>
        </w:rPr>
      </w:pPr>
      <w:r>
        <w:rPr>
          <w:rFonts w:hint="eastAsia" w:ascii="楷体_GB2312" w:hAnsi="楷体_GB2312" w:eastAsia="楷体_GB2312" w:cs="楷体_GB2312"/>
          <w:b/>
          <w:bCs/>
          <w:color w:val="auto"/>
          <w:sz w:val="24"/>
        </w:rPr>
        <w:t>六、招标文件提供信息</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 xml:space="preserve">招标公告发布媒体：“盐城市政府采购网”和“盐城工业职业技术学院招标采购网” </w:t>
      </w:r>
    </w:p>
    <w:p>
      <w:pPr>
        <w:spacing w:line="440" w:lineRule="exact"/>
        <w:ind w:firstLine="480" w:firstLineChars="200"/>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本招标公告发布后凡具备上述资格要求，并自愿参加本工程投标的申请人于</w:t>
      </w:r>
      <w:r>
        <w:rPr>
          <w:rFonts w:hint="eastAsia" w:ascii="楷体_GB2312" w:hAnsi="楷体_GB2312" w:eastAsia="楷体_GB2312" w:cs="楷体_GB2312"/>
          <w:bCs/>
          <w:color w:val="auto"/>
          <w:sz w:val="24"/>
          <w:u w:val="single"/>
        </w:rPr>
        <w:t>2020年</w:t>
      </w:r>
      <w:r>
        <w:rPr>
          <w:rFonts w:hint="eastAsia" w:ascii="楷体_GB2312" w:hAnsi="楷体_GB2312" w:eastAsia="楷体_GB2312" w:cs="楷体_GB2312"/>
          <w:bCs/>
          <w:color w:val="auto"/>
          <w:sz w:val="24"/>
          <w:u w:val="single"/>
          <w:lang w:val="en-US" w:eastAsia="zh-CN"/>
        </w:rPr>
        <w:t>11</w:t>
      </w:r>
      <w:r>
        <w:rPr>
          <w:rFonts w:hint="eastAsia" w:ascii="楷体_GB2312" w:hAnsi="楷体_GB2312" w:eastAsia="楷体_GB2312" w:cs="楷体_GB2312"/>
          <w:bCs/>
          <w:color w:val="auto"/>
          <w:sz w:val="24"/>
          <w:u w:val="single"/>
        </w:rPr>
        <w:t>月</w:t>
      </w:r>
      <w:r>
        <w:rPr>
          <w:rFonts w:hint="eastAsia" w:ascii="楷体_GB2312" w:hAnsi="楷体_GB2312" w:eastAsia="楷体_GB2312" w:cs="楷体_GB2312"/>
          <w:bCs/>
          <w:color w:val="auto"/>
          <w:sz w:val="24"/>
          <w:u w:val="single"/>
          <w:lang w:val="en-US" w:eastAsia="zh-CN"/>
        </w:rPr>
        <w:t>12</w:t>
      </w:r>
      <w:r>
        <w:rPr>
          <w:rFonts w:hint="eastAsia" w:ascii="楷体_GB2312" w:hAnsi="楷体_GB2312" w:eastAsia="楷体_GB2312" w:cs="楷体_GB2312"/>
          <w:bCs/>
          <w:color w:val="auto"/>
          <w:sz w:val="24"/>
          <w:u w:val="single"/>
        </w:rPr>
        <w:t>日至2020年</w:t>
      </w:r>
      <w:r>
        <w:rPr>
          <w:rFonts w:hint="eastAsia" w:ascii="楷体_GB2312" w:hAnsi="楷体_GB2312" w:eastAsia="楷体_GB2312" w:cs="楷体_GB2312"/>
          <w:bCs/>
          <w:color w:val="auto"/>
          <w:sz w:val="24"/>
          <w:u w:val="single"/>
          <w:lang w:val="en-US" w:eastAsia="zh-CN"/>
        </w:rPr>
        <w:t>11</w:t>
      </w:r>
      <w:r>
        <w:rPr>
          <w:rFonts w:hint="eastAsia" w:ascii="楷体_GB2312" w:hAnsi="楷体_GB2312" w:eastAsia="楷体_GB2312" w:cs="楷体_GB2312"/>
          <w:bCs/>
          <w:color w:val="auto"/>
          <w:sz w:val="24"/>
          <w:u w:val="single"/>
        </w:rPr>
        <w:t>月</w:t>
      </w:r>
      <w:r>
        <w:rPr>
          <w:rFonts w:hint="eastAsia" w:ascii="楷体_GB2312" w:hAnsi="楷体_GB2312" w:eastAsia="楷体_GB2312" w:cs="楷体_GB2312"/>
          <w:bCs/>
          <w:color w:val="auto"/>
          <w:sz w:val="24"/>
          <w:u w:val="single"/>
          <w:lang w:val="en-US" w:eastAsia="zh-CN"/>
        </w:rPr>
        <w:t>19</w:t>
      </w:r>
      <w:r>
        <w:rPr>
          <w:rFonts w:hint="eastAsia" w:ascii="楷体_GB2312" w:hAnsi="楷体_GB2312" w:eastAsia="楷体_GB2312" w:cs="楷体_GB2312"/>
          <w:bCs/>
          <w:color w:val="auto"/>
          <w:sz w:val="24"/>
          <w:u w:val="single"/>
        </w:rPr>
        <w:t>日18：00时</w:t>
      </w:r>
      <w:r>
        <w:rPr>
          <w:rFonts w:hint="eastAsia" w:ascii="楷体_GB2312" w:hAnsi="楷体_GB2312" w:eastAsia="楷体_GB2312" w:cs="楷体_GB2312"/>
          <w:bCs/>
          <w:color w:val="auto"/>
          <w:sz w:val="24"/>
        </w:rPr>
        <w:t>前（工作日上午8：30时至12：00时，下午14：30时至18：00时），携带《供应商参与投标确认函》原件（格式后附）、报名人身份证原件及加盖公章的复印件至江苏双清工程造价咨询有限公司（盐城市紫薇广场C区7楼）财务部报名并购买招标文件后方可参加投标。逾期报名或未购买招标文件参加投标的，招标人将予以拒绝。招标文件工本费人民币</w:t>
      </w:r>
      <w:r>
        <w:rPr>
          <w:rFonts w:hint="eastAsia" w:ascii="楷体_GB2312" w:hAnsi="楷体_GB2312" w:eastAsia="楷体_GB2312" w:cs="楷体_GB2312"/>
          <w:bCs/>
          <w:color w:val="auto"/>
          <w:sz w:val="24"/>
          <w:lang w:val="en-US" w:eastAsia="zh-CN"/>
        </w:rPr>
        <w:t>3</w:t>
      </w:r>
      <w:r>
        <w:rPr>
          <w:rFonts w:hint="eastAsia" w:ascii="楷体_GB2312" w:hAnsi="楷体_GB2312" w:eastAsia="楷体_GB2312" w:cs="楷体_GB2312"/>
          <w:bCs/>
          <w:color w:val="auto"/>
          <w:sz w:val="24"/>
        </w:rPr>
        <w:t>00元，售后不退。</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有关本次招标的事项若存在变动或修改，敬请及时关注“盐城市政府采购网”和“盐城工业职业技术学院招标采购网”发布的信息更正公告。</w:t>
      </w:r>
    </w:p>
    <w:p>
      <w:pPr>
        <w:tabs>
          <w:tab w:val="left" w:pos="900"/>
        </w:tabs>
        <w:spacing w:line="440" w:lineRule="exact"/>
        <w:ind w:firstLine="480" w:firstLineChars="200"/>
        <w:jc w:val="left"/>
        <w:rPr>
          <w:rFonts w:hint="eastAsia" w:ascii="楷体_GB2312" w:hAnsi="楷体_GB2312" w:eastAsia="楷体_GB2312" w:cs="楷体_GB2312"/>
          <w:b/>
          <w:bCs/>
          <w:color w:val="auto"/>
          <w:sz w:val="24"/>
        </w:rPr>
      </w:pPr>
      <w:r>
        <w:rPr>
          <w:rFonts w:hint="eastAsia" w:ascii="楷体_GB2312" w:hAnsi="楷体_GB2312" w:eastAsia="楷体_GB2312" w:cs="楷体_GB2312"/>
          <w:b/>
          <w:color w:val="auto"/>
          <w:sz w:val="24"/>
        </w:rPr>
        <w:t>七、</w:t>
      </w:r>
      <w:r>
        <w:rPr>
          <w:rFonts w:hint="eastAsia" w:ascii="楷体_GB2312" w:hAnsi="楷体_GB2312" w:eastAsia="楷体_GB2312" w:cs="楷体_GB2312"/>
          <w:b/>
          <w:bCs/>
          <w:color w:val="auto"/>
          <w:sz w:val="24"/>
        </w:rPr>
        <w:t>投标文件接收信息</w:t>
      </w:r>
    </w:p>
    <w:p>
      <w:pPr>
        <w:tabs>
          <w:tab w:val="left" w:pos="900"/>
        </w:tabs>
        <w:spacing w:line="44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投标文件接收时间：</w:t>
      </w:r>
      <w:r>
        <w:rPr>
          <w:rFonts w:hint="eastAsia" w:ascii="楷体_GB2312" w:hAnsi="楷体_GB2312" w:eastAsia="楷体_GB2312" w:cs="楷体_GB2312"/>
          <w:color w:val="auto"/>
          <w:sz w:val="24"/>
          <w:u w:val="single"/>
        </w:rPr>
        <w:t>2020年</w:t>
      </w:r>
      <w:r>
        <w:rPr>
          <w:rFonts w:hint="eastAsia" w:ascii="楷体_GB2312" w:hAnsi="楷体_GB2312" w:eastAsia="楷体_GB2312" w:cs="楷体_GB2312"/>
          <w:color w:val="auto"/>
          <w:sz w:val="24"/>
          <w:u w:val="single"/>
          <w:lang w:val="en-US" w:eastAsia="zh-CN"/>
        </w:rPr>
        <w:t>11</w:t>
      </w:r>
      <w:r>
        <w:rPr>
          <w:rFonts w:hint="eastAsia" w:ascii="楷体_GB2312" w:hAnsi="楷体_GB2312" w:eastAsia="楷体_GB2312" w:cs="楷体_GB2312"/>
          <w:color w:val="auto"/>
          <w:sz w:val="24"/>
          <w:u w:val="single"/>
        </w:rPr>
        <w:t>月</w:t>
      </w:r>
      <w:r>
        <w:rPr>
          <w:rFonts w:hint="eastAsia" w:ascii="楷体_GB2312" w:hAnsi="楷体_GB2312" w:eastAsia="楷体_GB2312" w:cs="楷体_GB2312"/>
          <w:color w:val="auto"/>
          <w:sz w:val="24"/>
          <w:u w:val="single"/>
          <w:lang w:val="en-US" w:eastAsia="zh-CN"/>
        </w:rPr>
        <w:t>26</w:t>
      </w:r>
      <w:r>
        <w:rPr>
          <w:rFonts w:hint="eastAsia" w:ascii="楷体_GB2312" w:hAnsi="楷体_GB2312" w:eastAsia="楷体_GB2312" w:cs="楷体_GB2312"/>
          <w:color w:val="auto"/>
          <w:sz w:val="24"/>
          <w:u w:val="single"/>
        </w:rPr>
        <w:t>日</w:t>
      </w:r>
      <w:r>
        <w:rPr>
          <w:rFonts w:hint="eastAsia" w:ascii="楷体_GB2312" w:hAnsi="楷体_GB2312" w:eastAsia="楷体_GB2312" w:cs="楷体_GB2312"/>
          <w:color w:val="auto"/>
          <w:sz w:val="24"/>
          <w:u w:val="single"/>
          <w:lang w:val="en-US" w:eastAsia="zh-CN"/>
        </w:rPr>
        <w:t>8</w:t>
      </w:r>
      <w:r>
        <w:rPr>
          <w:rFonts w:hint="eastAsia" w:ascii="楷体_GB2312" w:hAnsi="楷体_GB2312" w:eastAsia="楷体_GB2312" w:cs="楷体_GB2312"/>
          <w:color w:val="auto"/>
          <w:sz w:val="24"/>
          <w:u w:val="single"/>
        </w:rPr>
        <w:t>：30时</w:t>
      </w:r>
      <w:r>
        <w:rPr>
          <w:rFonts w:hint="eastAsia" w:ascii="楷体_GB2312" w:hAnsi="楷体_GB2312" w:eastAsia="楷体_GB2312" w:cs="楷体_GB2312"/>
          <w:color w:val="auto"/>
          <w:sz w:val="24"/>
        </w:rPr>
        <w:t xml:space="preserve"> </w:t>
      </w:r>
    </w:p>
    <w:p>
      <w:pPr>
        <w:tabs>
          <w:tab w:val="left" w:pos="900"/>
        </w:tabs>
        <w:spacing w:line="44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投标文件接收截止时间：</w:t>
      </w:r>
      <w:r>
        <w:rPr>
          <w:rFonts w:hint="eastAsia" w:ascii="楷体_GB2312" w:hAnsi="楷体_GB2312" w:eastAsia="楷体_GB2312" w:cs="楷体_GB2312"/>
          <w:color w:val="auto"/>
          <w:sz w:val="24"/>
          <w:u w:val="single"/>
        </w:rPr>
        <w:t>2020年</w:t>
      </w:r>
      <w:r>
        <w:rPr>
          <w:rFonts w:hint="eastAsia" w:ascii="楷体_GB2312" w:hAnsi="楷体_GB2312" w:eastAsia="楷体_GB2312" w:cs="楷体_GB2312"/>
          <w:color w:val="auto"/>
          <w:sz w:val="24"/>
          <w:u w:val="single"/>
          <w:lang w:val="en-US" w:eastAsia="zh-CN"/>
        </w:rPr>
        <w:t>11</w:t>
      </w:r>
      <w:r>
        <w:rPr>
          <w:rFonts w:hint="eastAsia" w:ascii="楷体_GB2312" w:hAnsi="楷体_GB2312" w:eastAsia="楷体_GB2312" w:cs="楷体_GB2312"/>
          <w:color w:val="auto"/>
          <w:sz w:val="24"/>
          <w:u w:val="single"/>
        </w:rPr>
        <w:t>月</w:t>
      </w:r>
      <w:r>
        <w:rPr>
          <w:rFonts w:hint="eastAsia" w:ascii="楷体_GB2312" w:hAnsi="楷体_GB2312" w:eastAsia="楷体_GB2312" w:cs="楷体_GB2312"/>
          <w:color w:val="auto"/>
          <w:sz w:val="24"/>
          <w:u w:val="single"/>
          <w:lang w:val="en-US" w:eastAsia="zh-CN"/>
        </w:rPr>
        <w:t>26</w:t>
      </w:r>
      <w:r>
        <w:rPr>
          <w:rFonts w:hint="eastAsia" w:ascii="楷体_GB2312" w:hAnsi="楷体_GB2312" w:eastAsia="楷体_GB2312" w:cs="楷体_GB2312"/>
          <w:color w:val="auto"/>
          <w:sz w:val="24"/>
          <w:u w:val="single"/>
        </w:rPr>
        <w:t>日</w:t>
      </w:r>
      <w:r>
        <w:rPr>
          <w:rFonts w:hint="eastAsia" w:ascii="楷体_GB2312" w:hAnsi="楷体_GB2312" w:eastAsia="楷体_GB2312" w:cs="楷体_GB2312"/>
          <w:color w:val="auto"/>
          <w:sz w:val="24"/>
          <w:u w:val="single"/>
          <w:lang w:val="en-US" w:eastAsia="zh-CN"/>
        </w:rPr>
        <w:t>9</w:t>
      </w:r>
      <w:r>
        <w:rPr>
          <w:rFonts w:hint="eastAsia" w:ascii="楷体_GB2312" w:hAnsi="楷体_GB2312" w:eastAsia="楷体_GB2312" w:cs="楷体_GB2312"/>
          <w:color w:val="auto"/>
          <w:sz w:val="24"/>
          <w:u w:val="single"/>
        </w:rPr>
        <w:t>：00时</w:t>
      </w:r>
      <w:r>
        <w:rPr>
          <w:rFonts w:hint="eastAsia" w:ascii="楷体_GB2312" w:hAnsi="楷体_GB2312" w:eastAsia="楷体_GB2312" w:cs="楷体_GB2312"/>
          <w:color w:val="auto"/>
          <w:sz w:val="24"/>
        </w:rPr>
        <w:t xml:space="preserve"> </w:t>
      </w:r>
    </w:p>
    <w:p>
      <w:pPr>
        <w:tabs>
          <w:tab w:val="left" w:pos="900"/>
        </w:tabs>
        <w:spacing w:line="440" w:lineRule="exact"/>
        <w:ind w:firstLine="480" w:firstLineChars="200"/>
        <w:jc w:val="left"/>
        <w:rPr>
          <w:rFonts w:hint="eastAsia" w:ascii="楷体_GB2312" w:hAnsi="楷体_GB2312" w:eastAsia="楷体_GB2312" w:cs="楷体_GB2312"/>
          <w:bCs/>
          <w:color w:val="auto"/>
          <w:sz w:val="24"/>
          <w:u w:val="single"/>
        </w:rPr>
      </w:pPr>
      <w:r>
        <w:rPr>
          <w:rFonts w:hint="eastAsia" w:ascii="楷体_GB2312" w:hAnsi="楷体_GB2312" w:eastAsia="楷体_GB2312" w:cs="楷体_GB2312"/>
          <w:color w:val="auto"/>
          <w:sz w:val="24"/>
        </w:rPr>
        <w:t>投标文件接收地点：盐城工业职业技术学院（盐城市解放南路285号）后勤服务中心四楼402开标室</w:t>
      </w:r>
    </w:p>
    <w:p>
      <w:pPr>
        <w:tabs>
          <w:tab w:val="left" w:pos="900"/>
        </w:tabs>
        <w:spacing w:line="440" w:lineRule="exact"/>
        <w:ind w:firstLine="480" w:firstLineChars="200"/>
        <w:jc w:val="left"/>
        <w:rPr>
          <w:rFonts w:hint="eastAsia" w:ascii="楷体_GB2312" w:hAnsi="楷体_GB2312" w:eastAsia="楷体_GB2312" w:cs="楷体_GB2312"/>
          <w:b/>
          <w:bCs/>
          <w:color w:val="auto"/>
          <w:sz w:val="24"/>
        </w:rPr>
      </w:pPr>
      <w:r>
        <w:rPr>
          <w:rFonts w:hint="eastAsia" w:ascii="楷体_GB2312" w:hAnsi="楷体_GB2312" w:eastAsia="楷体_GB2312" w:cs="楷体_GB2312"/>
          <w:b/>
          <w:bCs/>
          <w:color w:val="auto"/>
          <w:sz w:val="24"/>
        </w:rPr>
        <w:t>八、开标有关信息</w:t>
      </w:r>
    </w:p>
    <w:p>
      <w:pPr>
        <w:tabs>
          <w:tab w:val="left" w:pos="900"/>
        </w:tabs>
        <w:spacing w:line="44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开标时间：</w:t>
      </w:r>
      <w:r>
        <w:rPr>
          <w:rFonts w:hint="eastAsia" w:ascii="楷体_GB2312" w:hAnsi="楷体_GB2312" w:eastAsia="楷体_GB2312" w:cs="楷体_GB2312"/>
          <w:color w:val="auto"/>
          <w:sz w:val="24"/>
          <w:u w:val="single"/>
        </w:rPr>
        <w:t>2020年</w:t>
      </w:r>
      <w:r>
        <w:rPr>
          <w:rFonts w:hint="eastAsia" w:ascii="楷体_GB2312" w:hAnsi="楷体_GB2312" w:eastAsia="楷体_GB2312" w:cs="楷体_GB2312"/>
          <w:color w:val="auto"/>
          <w:sz w:val="24"/>
          <w:u w:val="single"/>
          <w:lang w:val="en-US" w:eastAsia="zh-CN"/>
        </w:rPr>
        <w:t>11</w:t>
      </w:r>
      <w:r>
        <w:rPr>
          <w:rFonts w:hint="eastAsia" w:ascii="楷体_GB2312" w:hAnsi="楷体_GB2312" w:eastAsia="楷体_GB2312" w:cs="楷体_GB2312"/>
          <w:color w:val="auto"/>
          <w:sz w:val="24"/>
          <w:u w:val="single"/>
        </w:rPr>
        <w:t>月</w:t>
      </w:r>
      <w:r>
        <w:rPr>
          <w:rFonts w:hint="eastAsia" w:ascii="楷体_GB2312" w:hAnsi="楷体_GB2312" w:eastAsia="楷体_GB2312" w:cs="楷体_GB2312"/>
          <w:color w:val="auto"/>
          <w:sz w:val="24"/>
          <w:u w:val="single"/>
          <w:lang w:val="en-US" w:eastAsia="zh-CN"/>
        </w:rPr>
        <w:t>26</w:t>
      </w:r>
      <w:r>
        <w:rPr>
          <w:rFonts w:hint="eastAsia" w:ascii="楷体_GB2312" w:hAnsi="楷体_GB2312" w:eastAsia="楷体_GB2312" w:cs="楷体_GB2312"/>
          <w:color w:val="auto"/>
          <w:sz w:val="24"/>
          <w:u w:val="single"/>
        </w:rPr>
        <w:t>日</w:t>
      </w:r>
      <w:r>
        <w:rPr>
          <w:rFonts w:hint="eastAsia" w:ascii="楷体_GB2312" w:hAnsi="楷体_GB2312" w:eastAsia="楷体_GB2312" w:cs="楷体_GB2312"/>
          <w:color w:val="auto"/>
          <w:sz w:val="24"/>
          <w:u w:val="single"/>
          <w:lang w:val="en-US" w:eastAsia="zh-CN"/>
        </w:rPr>
        <w:t>9</w:t>
      </w:r>
      <w:r>
        <w:rPr>
          <w:rFonts w:hint="eastAsia" w:ascii="楷体_GB2312" w:hAnsi="楷体_GB2312" w:eastAsia="楷体_GB2312" w:cs="楷体_GB2312"/>
          <w:color w:val="auto"/>
          <w:sz w:val="24"/>
          <w:u w:val="single"/>
        </w:rPr>
        <w:t>：00时</w:t>
      </w:r>
      <w:r>
        <w:rPr>
          <w:rFonts w:hint="eastAsia" w:ascii="楷体_GB2312" w:hAnsi="楷体_GB2312" w:eastAsia="楷体_GB2312" w:cs="楷体_GB2312"/>
          <w:color w:val="auto"/>
          <w:sz w:val="24"/>
        </w:rPr>
        <w:t xml:space="preserve">  </w:t>
      </w:r>
    </w:p>
    <w:p>
      <w:pPr>
        <w:tabs>
          <w:tab w:val="left" w:pos="900"/>
        </w:tabs>
        <w:spacing w:line="44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开标地点：盐城工业职业技术学院（盐城市解放南路285号）后勤服务中心四楼402开标室</w:t>
      </w:r>
    </w:p>
    <w:p>
      <w:pPr>
        <w:tabs>
          <w:tab w:val="left" w:pos="900"/>
        </w:tabs>
        <w:spacing w:line="440" w:lineRule="exact"/>
        <w:ind w:firstLine="480" w:firstLineChars="200"/>
        <w:jc w:val="left"/>
        <w:rPr>
          <w:rFonts w:hint="eastAsia" w:ascii="楷体_GB2312" w:hAnsi="楷体_GB2312" w:eastAsia="楷体_GB2312" w:cs="楷体_GB2312"/>
          <w:b/>
          <w:bCs/>
          <w:color w:val="auto"/>
          <w:sz w:val="24"/>
        </w:rPr>
      </w:pPr>
      <w:r>
        <w:rPr>
          <w:rFonts w:hint="eastAsia" w:ascii="楷体_GB2312" w:hAnsi="楷体_GB2312" w:eastAsia="楷体_GB2312" w:cs="楷体_GB2312"/>
          <w:b/>
          <w:bCs/>
          <w:color w:val="auto"/>
          <w:sz w:val="24"/>
        </w:rPr>
        <w:t>九、本次招标联系事项</w:t>
      </w:r>
    </w:p>
    <w:p>
      <w:pPr>
        <w:tabs>
          <w:tab w:val="left" w:pos="900"/>
        </w:tabs>
        <w:spacing w:line="44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（一）采购人项目联系人：</w:t>
      </w:r>
      <w:r>
        <w:rPr>
          <w:rFonts w:hint="eastAsia" w:ascii="楷体_GB2312" w:hAnsi="楷体_GB2312" w:eastAsia="楷体_GB2312" w:cs="楷体_GB2312"/>
          <w:color w:val="auto"/>
          <w:sz w:val="24"/>
          <w:lang w:val="en-US" w:eastAsia="zh-CN"/>
        </w:rPr>
        <w:t>高大伟、周家忠</w:t>
      </w:r>
      <w:r>
        <w:rPr>
          <w:rFonts w:hint="eastAsia" w:ascii="楷体_GB2312" w:hAnsi="楷体_GB2312" w:eastAsia="楷体_GB2312" w:cs="楷体_GB2312"/>
          <w:color w:val="auto"/>
          <w:sz w:val="24"/>
        </w:rPr>
        <w:t>，联系电话：</w:t>
      </w:r>
      <w:r>
        <w:rPr>
          <w:rFonts w:hint="eastAsia" w:ascii="楷体_GB2312" w:hAnsi="楷体_GB2312" w:eastAsia="楷体_GB2312" w:cs="楷体_GB2312"/>
          <w:color w:val="auto"/>
          <w:sz w:val="24"/>
          <w:lang w:val="en-US" w:eastAsia="zh-CN"/>
        </w:rPr>
        <w:t>18262393599、13485246528</w:t>
      </w:r>
      <w:r>
        <w:rPr>
          <w:rFonts w:hint="eastAsia" w:ascii="楷体_GB2312" w:hAnsi="楷体_GB2312" w:eastAsia="楷体_GB2312" w:cs="楷体_GB2312"/>
          <w:color w:val="auto"/>
          <w:sz w:val="24"/>
        </w:rPr>
        <w:t>；</w:t>
      </w:r>
    </w:p>
    <w:p>
      <w:pPr>
        <w:tabs>
          <w:tab w:val="left" w:pos="900"/>
        </w:tabs>
        <w:spacing w:line="44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采购人招标联系人：赵萌，联系电话：0515-88588707</w:t>
      </w:r>
      <w:bookmarkStart w:id="8" w:name="_GoBack"/>
      <w:bookmarkEnd w:id="8"/>
      <w:r>
        <w:rPr>
          <w:rFonts w:hint="eastAsia" w:ascii="楷体_GB2312" w:hAnsi="楷体_GB2312" w:eastAsia="楷体_GB2312" w:cs="楷体_GB2312"/>
          <w:color w:val="auto"/>
          <w:sz w:val="24"/>
        </w:rPr>
        <w:t>；</w:t>
      </w:r>
    </w:p>
    <w:p>
      <w:pPr>
        <w:tabs>
          <w:tab w:val="left" w:pos="900"/>
        </w:tabs>
        <w:spacing w:line="44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地址：盐城工业职业技术学院后勤服务中心四楼405室；</w:t>
      </w:r>
    </w:p>
    <w:p>
      <w:pPr>
        <w:tabs>
          <w:tab w:val="left" w:pos="900"/>
        </w:tabs>
        <w:spacing w:line="44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（二）招标代理机构联系人：张旭良， 联系电话：0515-88200316、13515130964；</w:t>
      </w:r>
    </w:p>
    <w:p>
      <w:pPr>
        <w:tabs>
          <w:tab w:val="left" w:pos="900"/>
        </w:tabs>
        <w:spacing w:line="44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 xml:space="preserve">招标代理机构联系地址：盐城市紫薇广场C区7楼。 </w:t>
      </w:r>
    </w:p>
    <w:p>
      <w:pPr>
        <w:spacing w:line="440" w:lineRule="exact"/>
        <w:ind w:firstLine="480" w:firstLineChars="200"/>
        <w:jc w:val="left"/>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十、投标文件制作份数要求</w:t>
      </w:r>
    </w:p>
    <w:p>
      <w:pPr>
        <w:spacing w:line="44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正本份数：1份，副本份数：4份。</w:t>
      </w:r>
    </w:p>
    <w:p>
      <w:pPr>
        <w:spacing w:line="440" w:lineRule="exact"/>
        <w:ind w:firstLine="480" w:firstLineChars="200"/>
        <w:jc w:val="left"/>
        <w:rPr>
          <w:rFonts w:hint="eastAsia" w:ascii="楷体_GB2312" w:hAnsi="楷体_GB2312" w:eastAsia="楷体_GB2312" w:cs="楷体_GB2312"/>
          <w:b/>
          <w:bCs/>
          <w:color w:val="auto"/>
          <w:sz w:val="24"/>
        </w:rPr>
      </w:pPr>
      <w:r>
        <w:rPr>
          <w:rFonts w:hint="eastAsia" w:ascii="楷体_GB2312" w:hAnsi="楷体_GB2312" w:eastAsia="楷体_GB2312" w:cs="楷体_GB2312"/>
          <w:b/>
          <w:bCs/>
          <w:color w:val="auto"/>
          <w:sz w:val="24"/>
        </w:rPr>
        <w:t>十一、本次招标投标保证金</w:t>
      </w:r>
    </w:p>
    <w:p>
      <w:pPr>
        <w:spacing w:line="440" w:lineRule="exact"/>
        <w:ind w:firstLine="480" w:firstLineChars="200"/>
        <w:outlineLvl w:val="1"/>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本次招标收取保证金。本工程投标保证金金额为人民币</w:t>
      </w:r>
      <w:r>
        <w:rPr>
          <w:rFonts w:hint="eastAsia" w:ascii="楷体_GB2312" w:hAnsi="楷体_GB2312" w:eastAsia="楷体_GB2312" w:cs="楷体_GB2312"/>
          <w:color w:val="auto"/>
          <w:sz w:val="24"/>
          <w:u w:val="single"/>
          <w:lang w:eastAsia="zh-CN"/>
        </w:rPr>
        <w:t>伍仟元</w:t>
      </w:r>
      <w:r>
        <w:rPr>
          <w:rFonts w:hint="eastAsia" w:ascii="楷体_GB2312" w:hAnsi="楷体_GB2312" w:eastAsia="楷体_GB2312" w:cs="楷体_GB2312"/>
          <w:color w:val="auto"/>
          <w:sz w:val="24"/>
          <w:u w:val="single"/>
        </w:rPr>
        <w:t>整</w:t>
      </w:r>
      <w:r>
        <w:rPr>
          <w:rFonts w:hint="eastAsia" w:ascii="楷体_GB2312" w:hAnsi="楷体_GB2312" w:eastAsia="楷体_GB2312" w:cs="楷体_GB2312"/>
          <w:color w:val="auto"/>
          <w:sz w:val="24"/>
        </w:rPr>
        <w:t>，投标保证金必须在</w:t>
      </w:r>
      <w:r>
        <w:rPr>
          <w:rFonts w:hint="eastAsia" w:ascii="楷体_GB2312" w:hAnsi="楷体_GB2312" w:eastAsia="楷体_GB2312" w:cs="楷体_GB2312"/>
          <w:bCs/>
          <w:color w:val="auto"/>
          <w:sz w:val="24"/>
        </w:rPr>
        <w:t>投标文件接收截止时间</w:t>
      </w:r>
      <w:r>
        <w:rPr>
          <w:rFonts w:hint="eastAsia" w:ascii="楷体_GB2312" w:hAnsi="楷体_GB2312" w:eastAsia="楷体_GB2312" w:cs="楷体_GB2312"/>
          <w:color w:val="auto"/>
          <w:sz w:val="24"/>
        </w:rPr>
        <w:t>前与投标文件一起送达投标文件接收地点（不要密封在响应文件中）。</w:t>
      </w:r>
    </w:p>
    <w:p>
      <w:pPr>
        <w:spacing w:line="440" w:lineRule="exact"/>
        <w:ind w:firstLine="480" w:firstLineChars="200"/>
        <w:outlineLvl w:val="1"/>
        <w:rPr>
          <w:rFonts w:hint="eastAsia" w:ascii="楷体_GB2312" w:hAnsi="楷体_GB2312" w:eastAsia="楷体_GB2312" w:cs="楷体_GB2312"/>
          <w:color w:val="auto"/>
          <w:sz w:val="24"/>
        </w:rPr>
      </w:pPr>
      <w:r>
        <w:rPr>
          <w:rFonts w:hint="eastAsia" w:ascii="楷体_GB2312" w:hAnsi="楷体_GB2312" w:eastAsia="楷体_GB2312" w:cs="楷体_GB2312"/>
          <w:b/>
          <w:color w:val="auto"/>
          <w:kern w:val="0"/>
          <w:sz w:val="24"/>
        </w:rPr>
        <w:t>投标保证金必须采用有效银行本票或银行汇票，不接受电汇、转账、现金、现金交款单、支票或其他形式的保证金。</w:t>
      </w:r>
      <w:r>
        <w:rPr>
          <w:rFonts w:hint="eastAsia" w:ascii="楷体_GB2312" w:hAnsi="楷体_GB2312" w:eastAsia="楷体_GB2312" w:cs="楷体_GB2312"/>
          <w:color w:val="auto"/>
          <w:kern w:val="0"/>
          <w:sz w:val="24"/>
        </w:rPr>
        <w:t>各投标人须在</w:t>
      </w:r>
      <w:r>
        <w:rPr>
          <w:rFonts w:hint="eastAsia" w:ascii="楷体_GB2312" w:hAnsi="楷体_GB2312" w:eastAsia="楷体_GB2312" w:cs="楷体_GB2312"/>
          <w:bCs/>
          <w:color w:val="auto"/>
          <w:sz w:val="24"/>
        </w:rPr>
        <w:t>投标文件接收截止时间</w:t>
      </w:r>
      <w:r>
        <w:rPr>
          <w:rFonts w:hint="eastAsia" w:ascii="楷体_GB2312" w:hAnsi="楷体_GB2312" w:eastAsia="楷体_GB2312" w:cs="楷体_GB2312"/>
          <w:color w:val="auto"/>
          <w:kern w:val="0"/>
          <w:sz w:val="24"/>
        </w:rPr>
        <w:t>前将投标保证金从投标人本单位的基本账户上汇出（不入账），以投标人汇出资金的银行日期为准，且保证金汇出单位必须与投标人名称一致，收款人名称：</w:t>
      </w:r>
      <w:r>
        <w:rPr>
          <w:rFonts w:hint="eastAsia" w:ascii="楷体_GB2312" w:hAnsi="楷体_GB2312" w:eastAsia="楷体_GB2312" w:cs="楷体_GB2312"/>
          <w:color w:val="auto"/>
          <w:sz w:val="24"/>
        </w:rPr>
        <w:t>江苏双清工程造价咨询有限公司，开户行：中行盐城分行营业部，账号：513158208001</w:t>
      </w:r>
      <w:r>
        <w:rPr>
          <w:rFonts w:hint="eastAsia" w:ascii="楷体_GB2312" w:hAnsi="楷体_GB2312" w:eastAsia="楷体_GB2312" w:cs="楷体_GB2312"/>
          <w:color w:val="auto"/>
          <w:kern w:val="0"/>
          <w:sz w:val="24"/>
        </w:rPr>
        <w:t>。</w:t>
      </w:r>
      <w:r>
        <w:rPr>
          <w:rFonts w:hint="eastAsia" w:ascii="楷体_GB2312" w:hAnsi="楷体_GB2312" w:eastAsia="楷体_GB2312" w:cs="楷体_GB2312"/>
          <w:bCs/>
          <w:color w:val="auto"/>
          <w:sz w:val="24"/>
        </w:rPr>
        <w:t>投标文件接收截止时间前</w:t>
      </w:r>
      <w:r>
        <w:rPr>
          <w:rFonts w:hint="eastAsia" w:ascii="楷体_GB2312" w:hAnsi="楷体_GB2312" w:eastAsia="楷体_GB2312" w:cs="楷体_GB2312"/>
          <w:color w:val="auto"/>
          <w:kern w:val="0"/>
          <w:sz w:val="24"/>
        </w:rPr>
        <w:t>，各投标人将有效银行本票原件或银行汇票原件带至开标现场交工作人员核验，未按上述要求交纳投标保证金的，</w:t>
      </w:r>
      <w:r>
        <w:rPr>
          <w:rFonts w:hint="eastAsia" w:ascii="楷体_GB2312" w:hAnsi="楷体_GB2312" w:eastAsia="楷体_GB2312" w:cs="楷体_GB2312"/>
          <w:color w:val="auto"/>
          <w:sz w:val="24"/>
        </w:rPr>
        <w:t>将被视为非响应性投标而予以拒绝。</w:t>
      </w:r>
    </w:p>
    <w:p>
      <w:pPr>
        <w:spacing w:line="440" w:lineRule="exact"/>
        <w:ind w:firstLine="480" w:firstLineChars="200"/>
        <w:outlineLvl w:val="1"/>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sz w:val="24"/>
        </w:rPr>
        <w:t>投标保证金退还方式：未中标人的投标保证金现场退还，中标人的投标保证金在签订合同并交纳招标代理服务费后，凭合同原件及交费凭证至招标代理机构财务部退还。</w:t>
      </w:r>
    </w:p>
    <w:p>
      <w:pPr>
        <w:spacing w:line="440" w:lineRule="exact"/>
        <w:ind w:firstLine="480" w:firstLineChars="200"/>
        <w:outlineLvl w:val="1"/>
        <w:rPr>
          <w:rFonts w:hint="eastAsia" w:ascii="楷体_GB2312" w:hAnsi="楷体_GB2312" w:eastAsia="楷体_GB2312" w:cs="楷体_GB2312"/>
          <w:b/>
          <w:bCs/>
          <w:color w:val="auto"/>
          <w:sz w:val="24"/>
        </w:rPr>
      </w:pPr>
      <w:r>
        <w:rPr>
          <w:rFonts w:hint="eastAsia" w:ascii="楷体_GB2312" w:hAnsi="楷体_GB2312" w:eastAsia="楷体_GB2312" w:cs="楷体_GB2312"/>
          <w:b/>
          <w:bCs/>
          <w:color w:val="auto"/>
          <w:sz w:val="24"/>
        </w:rPr>
        <w:t>十二、疫情防控期间投标人注意事项</w:t>
      </w:r>
    </w:p>
    <w:p>
      <w:pPr>
        <w:spacing w:line="440" w:lineRule="exact"/>
        <w:ind w:firstLine="480" w:firstLineChars="200"/>
        <w:outlineLvl w:val="1"/>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因疫情防控需要，为确保校园安全，投标人进入盐城工业职业技术学院校区时应服从下列疫情防控措施：</w:t>
      </w:r>
    </w:p>
    <w:p>
      <w:pPr>
        <w:spacing w:line="440" w:lineRule="exact"/>
        <w:ind w:firstLine="480" w:firstLineChars="200"/>
        <w:outlineLvl w:val="1"/>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（1）投标人从解放南路东门进出；投标人车辆一律不得进入校园。</w:t>
      </w:r>
    </w:p>
    <w:p>
      <w:pPr>
        <w:spacing w:line="440" w:lineRule="exact"/>
        <w:ind w:firstLine="480" w:firstLineChars="200"/>
        <w:outlineLvl w:val="1"/>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（2）各投标人项目授权代表限1人进入校园；项目授权代表进入校园时须自行配戴口罩、做好手部消毒及投标文件等消毒防护工作。</w:t>
      </w:r>
    </w:p>
    <w:p>
      <w:pPr>
        <w:spacing w:line="440" w:lineRule="exact"/>
        <w:ind w:firstLine="480" w:firstLineChars="200"/>
        <w:outlineLvl w:val="1"/>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440" w:lineRule="exact"/>
        <w:ind w:firstLine="480" w:firstLineChars="200"/>
        <w:outlineLvl w:val="1"/>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（4）投标人进入校园后应在指定地点参与投标活动，不到非相关场所活动；投标工作结束后应立即离开校园，不逗留。</w:t>
      </w:r>
    </w:p>
    <w:p>
      <w:pPr>
        <w:spacing w:line="440" w:lineRule="exact"/>
        <w:ind w:firstLine="480" w:firstLineChars="200"/>
        <w:outlineLvl w:val="1"/>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请各投标人预留好相应时间，配合做好上述管控措施。</w:t>
      </w:r>
    </w:p>
    <w:p>
      <w:pPr>
        <w:tabs>
          <w:tab w:val="left" w:pos="900"/>
        </w:tabs>
        <w:spacing w:line="440" w:lineRule="exact"/>
        <w:ind w:firstLine="480" w:firstLineChars="200"/>
        <w:jc w:val="right"/>
        <w:rPr>
          <w:rFonts w:hint="eastAsia" w:ascii="楷体_GB2312" w:hAnsi="楷体_GB2312" w:eastAsia="楷体_GB2312" w:cs="楷体_GB2312"/>
          <w:color w:val="auto"/>
          <w:sz w:val="24"/>
        </w:rPr>
      </w:pPr>
    </w:p>
    <w:p>
      <w:pPr>
        <w:tabs>
          <w:tab w:val="left" w:pos="900"/>
        </w:tabs>
        <w:spacing w:line="440" w:lineRule="exact"/>
        <w:ind w:firstLine="480" w:firstLineChars="200"/>
        <w:jc w:val="righ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盐城工业职业技术学院</w:t>
      </w:r>
    </w:p>
    <w:p>
      <w:pPr>
        <w:tabs>
          <w:tab w:val="left" w:pos="900"/>
        </w:tabs>
        <w:spacing w:line="440" w:lineRule="exact"/>
        <w:ind w:firstLine="480" w:firstLineChars="200"/>
        <w:jc w:val="righ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江苏双清工程造价咨询有限公司</w:t>
      </w:r>
    </w:p>
    <w:p>
      <w:pPr>
        <w:tabs>
          <w:tab w:val="left" w:pos="900"/>
        </w:tabs>
        <w:spacing w:line="440" w:lineRule="exact"/>
        <w:ind w:firstLine="480" w:firstLineChars="200"/>
        <w:jc w:val="righ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2020年1</w:t>
      </w:r>
      <w:r>
        <w:rPr>
          <w:rFonts w:hint="eastAsia" w:ascii="楷体_GB2312" w:hAnsi="楷体_GB2312" w:eastAsia="楷体_GB2312" w:cs="楷体_GB2312"/>
          <w:color w:val="auto"/>
          <w:sz w:val="24"/>
          <w:lang w:val="en-US" w:eastAsia="zh-CN"/>
        </w:rPr>
        <w:t>1</w:t>
      </w:r>
      <w:r>
        <w:rPr>
          <w:rFonts w:hint="eastAsia" w:ascii="楷体_GB2312" w:hAnsi="楷体_GB2312" w:eastAsia="楷体_GB2312" w:cs="楷体_GB2312"/>
          <w:color w:val="auto"/>
          <w:sz w:val="24"/>
        </w:rPr>
        <w:t>月</w:t>
      </w:r>
      <w:r>
        <w:rPr>
          <w:rFonts w:hint="eastAsia" w:ascii="楷体_GB2312" w:hAnsi="楷体_GB2312" w:eastAsia="楷体_GB2312" w:cs="楷体_GB2312"/>
          <w:color w:val="auto"/>
          <w:sz w:val="24"/>
          <w:lang w:val="en-US" w:eastAsia="zh-CN"/>
        </w:rPr>
        <w:t>12</w:t>
      </w:r>
      <w:r>
        <w:rPr>
          <w:rFonts w:hint="eastAsia" w:ascii="楷体_GB2312" w:hAnsi="楷体_GB2312" w:eastAsia="楷体_GB2312" w:cs="楷体_GB2312"/>
          <w:color w:val="auto"/>
          <w:sz w:val="24"/>
        </w:rPr>
        <w:t>日</w:t>
      </w:r>
    </w:p>
    <w:p>
      <w:pPr>
        <w:widowControl/>
        <w:jc w:val="center"/>
        <w:rPr>
          <w:rFonts w:hint="eastAsia" w:ascii="楷体_GB2312" w:hAnsi="楷体_GB2312" w:eastAsia="楷体_GB2312" w:cs="楷体_GB2312"/>
          <w:b/>
          <w:color w:val="auto"/>
          <w:sz w:val="44"/>
          <w:szCs w:val="44"/>
        </w:rPr>
      </w:pPr>
      <w:r>
        <w:rPr>
          <w:rFonts w:hint="eastAsia" w:ascii="楷体_GB2312" w:hAnsi="楷体_GB2312" w:eastAsia="楷体_GB2312" w:cs="楷体_GB2312"/>
          <w:b/>
          <w:color w:val="auto"/>
          <w:sz w:val="44"/>
          <w:szCs w:val="44"/>
        </w:rPr>
        <w:br w:type="page"/>
      </w:r>
      <w:r>
        <w:rPr>
          <w:rFonts w:hint="eastAsia" w:ascii="楷体_GB2312" w:hAnsi="楷体_GB2312" w:eastAsia="楷体_GB2312" w:cs="楷体_GB2312"/>
          <w:b/>
          <w:color w:val="auto"/>
          <w:sz w:val="44"/>
          <w:szCs w:val="44"/>
        </w:rPr>
        <w:t>投标人参与投标确认函</w:t>
      </w:r>
    </w:p>
    <w:p>
      <w:pPr>
        <w:jc w:val="left"/>
        <w:rPr>
          <w:rFonts w:hint="eastAsia" w:ascii="楷体_GB2312" w:hAnsi="楷体_GB2312" w:eastAsia="楷体_GB2312" w:cs="楷体_GB2312"/>
          <w:color w:val="auto"/>
          <w:sz w:val="32"/>
          <w:szCs w:val="32"/>
        </w:rPr>
      </w:pPr>
    </w:p>
    <w:p>
      <w:pPr>
        <w:jc w:val="lef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盐城工业职业技术学院</w:t>
      </w:r>
    </w:p>
    <w:p>
      <w:pPr>
        <w:jc w:val="lef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江苏双清工程造价咨询有限公司：</w:t>
      </w:r>
    </w:p>
    <w:p>
      <w:pP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　　</w:t>
      </w:r>
    </w:p>
    <w:p>
      <w:pPr>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根据网站上查询到的招标公告，本单位将参与</w:t>
      </w:r>
      <w:r>
        <w:rPr>
          <w:rFonts w:hint="eastAsia" w:ascii="楷体_GB2312" w:hAnsi="楷体_GB2312" w:eastAsia="楷体_GB2312" w:cs="楷体_GB2312"/>
          <w:color w:val="auto"/>
          <w:sz w:val="32"/>
          <w:szCs w:val="32"/>
          <w:u w:val="single"/>
          <w:lang w:eastAsia="zh-CN"/>
        </w:rPr>
        <w:t>2020-060S</w:t>
      </w:r>
      <w:r>
        <w:rPr>
          <w:rFonts w:hint="eastAsia" w:ascii="楷体_GB2312" w:hAnsi="楷体_GB2312" w:eastAsia="楷体_GB2312" w:cs="楷体_GB2312"/>
          <w:color w:val="auto"/>
          <w:sz w:val="32"/>
          <w:szCs w:val="32"/>
        </w:rPr>
        <w:t>编号</w:t>
      </w:r>
      <w:r>
        <w:rPr>
          <w:rFonts w:hint="eastAsia" w:ascii="楷体_GB2312" w:hAnsi="楷体_GB2312" w:eastAsia="楷体_GB2312" w:cs="楷体_GB2312"/>
          <w:color w:val="auto"/>
          <w:sz w:val="32"/>
          <w:szCs w:val="32"/>
          <w:u w:val="single"/>
          <w:lang w:eastAsia="zh-CN"/>
        </w:rPr>
        <w:t>盐城工业职业技术学院艺术设计学院一楼大厅改造项目</w:t>
      </w:r>
      <w:r>
        <w:rPr>
          <w:rFonts w:hint="eastAsia" w:ascii="楷体_GB2312" w:hAnsi="楷体_GB2312" w:eastAsia="楷体_GB2312" w:cs="楷体_GB2312"/>
          <w:color w:val="auto"/>
          <w:sz w:val="32"/>
          <w:szCs w:val="32"/>
          <w:u w:val="single"/>
        </w:rPr>
        <w:t>项目</w:t>
      </w:r>
      <w:r>
        <w:rPr>
          <w:rFonts w:hint="eastAsia" w:ascii="楷体_GB2312" w:hAnsi="楷体_GB2312" w:eastAsia="楷体_GB2312" w:cs="楷体_GB2312"/>
          <w:color w:val="auto"/>
          <w:sz w:val="32"/>
          <w:szCs w:val="32"/>
        </w:rPr>
        <w:t>的投标，特发函确认并到招标代理机构购买招标文件。</w:t>
      </w:r>
    </w:p>
    <w:p>
      <w:pPr>
        <w:rPr>
          <w:rFonts w:hint="eastAsia" w:ascii="楷体_GB2312" w:hAnsi="楷体_GB2312" w:eastAsia="楷体_GB2312" w:cs="楷体_GB2312"/>
          <w:color w:val="auto"/>
          <w:sz w:val="32"/>
          <w:szCs w:val="32"/>
          <w:u w:val="single"/>
        </w:rPr>
      </w:pPr>
      <w:r>
        <w:rPr>
          <w:rFonts w:hint="eastAsia" w:ascii="楷体_GB2312" w:hAnsi="楷体_GB2312" w:eastAsia="楷体_GB2312" w:cs="楷体_GB2312"/>
          <w:color w:val="auto"/>
          <w:sz w:val="32"/>
          <w:szCs w:val="32"/>
        </w:rPr>
        <w:t>　　单位名称：</w:t>
      </w:r>
      <w:r>
        <w:rPr>
          <w:rFonts w:hint="eastAsia" w:ascii="楷体_GB2312" w:hAnsi="楷体_GB2312" w:eastAsia="楷体_GB2312" w:cs="楷体_GB2312"/>
          <w:color w:val="auto"/>
          <w:sz w:val="32"/>
          <w:szCs w:val="32"/>
          <w:u w:val="single"/>
        </w:rPr>
        <w:t xml:space="preserve">              </w:t>
      </w:r>
    </w:p>
    <w:p>
      <w:pP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　　项目负责人：</w:t>
      </w:r>
      <w:r>
        <w:rPr>
          <w:rFonts w:hint="eastAsia" w:ascii="楷体_GB2312" w:hAnsi="楷体_GB2312" w:eastAsia="楷体_GB2312" w:cs="楷体_GB2312"/>
          <w:color w:val="auto"/>
          <w:sz w:val="32"/>
          <w:szCs w:val="32"/>
          <w:u w:val="single"/>
        </w:rPr>
        <w:t xml:space="preserve">            </w:t>
      </w:r>
    </w:p>
    <w:p>
      <w:pPr>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联系电话：</w:t>
      </w:r>
      <w:r>
        <w:rPr>
          <w:rFonts w:hint="eastAsia" w:ascii="楷体_GB2312" w:hAnsi="楷体_GB2312" w:eastAsia="楷体_GB2312" w:cs="楷体_GB2312"/>
          <w:color w:val="auto"/>
          <w:sz w:val="32"/>
          <w:szCs w:val="32"/>
          <w:u w:val="single"/>
        </w:rPr>
        <w:t xml:space="preserve">              </w:t>
      </w:r>
    </w:p>
    <w:p>
      <w:pP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　　法人授权代表（投标代表）：＿＿＿＿＿</w:t>
      </w:r>
    </w:p>
    <w:p>
      <w:pPr>
        <w:ind w:firstLine="645"/>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联系电话：</w:t>
      </w:r>
      <w:r>
        <w:rPr>
          <w:rFonts w:hint="eastAsia" w:ascii="楷体_GB2312" w:hAnsi="楷体_GB2312" w:eastAsia="楷体_GB2312" w:cs="楷体_GB2312"/>
          <w:color w:val="auto"/>
          <w:sz w:val="32"/>
          <w:szCs w:val="32"/>
          <w:u w:val="single"/>
        </w:rPr>
        <w:t xml:space="preserve">              </w:t>
      </w:r>
      <w:r>
        <w:rPr>
          <w:rFonts w:hint="eastAsia" w:ascii="楷体_GB2312" w:hAnsi="楷体_GB2312" w:eastAsia="楷体_GB2312" w:cs="楷体_GB2312"/>
          <w:color w:val="auto"/>
          <w:sz w:val="32"/>
          <w:szCs w:val="32"/>
        </w:rPr>
        <w:t xml:space="preserve">                  </w:t>
      </w:r>
    </w:p>
    <w:p>
      <w:pPr>
        <w:ind w:firstLine="645"/>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传真：</w:t>
      </w:r>
      <w:r>
        <w:rPr>
          <w:rFonts w:hint="eastAsia" w:ascii="楷体_GB2312" w:hAnsi="楷体_GB2312" w:eastAsia="楷体_GB2312" w:cs="楷体_GB2312"/>
          <w:color w:val="auto"/>
          <w:sz w:val="32"/>
          <w:szCs w:val="32"/>
          <w:u w:val="single"/>
        </w:rPr>
        <w:t xml:space="preserve">                  </w:t>
      </w:r>
    </w:p>
    <w:p>
      <w:pPr>
        <w:ind w:firstLine="645"/>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邮箱：</w:t>
      </w:r>
      <w:r>
        <w:rPr>
          <w:rFonts w:hint="eastAsia" w:ascii="楷体_GB2312" w:hAnsi="楷体_GB2312" w:eastAsia="楷体_GB2312" w:cs="楷体_GB2312"/>
          <w:color w:val="auto"/>
          <w:sz w:val="32"/>
          <w:szCs w:val="32"/>
          <w:u w:val="single"/>
        </w:rPr>
        <w:t xml:space="preserve">                  </w:t>
      </w:r>
    </w:p>
    <w:p>
      <w:pPr>
        <w:ind w:left="4160" w:hanging="4160" w:hangingChars="13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　　　　　　　　　　　　　　　　</w:t>
      </w:r>
    </w:p>
    <w:p>
      <w:pPr>
        <w:ind w:left="4160" w:hanging="4160" w:hangingChars="1300"/>
        <w:jc w:val="righ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＿＿＿＿＿＿（单位公章）</w:t>
      </w:r>
    </w:p>
    <w:p>
      <w:pPr>
        <w:ind w:left="5280" w:hanging="5280" w:hangingChars="165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　　　　　　　　　　　　　　　　　　　　　　　　　　　　　</w:t>
      </w:r>
      <w:r>
        <w:rPr>
          <w:rFonts w:hint="eastAsia" w:ascii="楷体_GB2312" w:hAnsi="楷体_GB2312" w:eastAsia="楷体_GB2312" w:cs="楷体_GB2312"/>
          <w:color w:val="auto"/>
          <w:sz w:val="32"/>
          <w:szCs w:val="32"/>
          <w:u w:val="single"/>
        </w:rPr>
        <w:t>2020年  月　日</w:t>
      </w:r>
    </w:p>
    <w:p>
      <w:pPr>
        <w:ind w:left="5280" w:hanging="5280" w:hangingChars="1650"/>
        <w:rPr>
          <w:rFonts w:hint="eastAsia" w:ascii="楷体_GB2312" w:hAnsi="楷体_GB2312" w:eastAsia="楷体_GB2312" w:cs="楷体_GB2312"/>
          <w:color w:val="auto"/>
          <w:sz w:val="32"/>
          <w:szCs w:val="32"/>
        </w:rPr>
      </w:pPr>
    </w:p>
    <w:p>
      <w:pPr>
        <w:spacing w:line="500" w:lineRule="exact"/>
        <w:rPr>
          <w:rFonts w:hint="eastAsia" w:ascii="楷体_GB2312" w:hAnsi="楷体_GB2312" w:eastAsia="楷体_GB2312" w:cs="楷体_GB2312"/>
          <w:b/>
          <w:color w:val="auto"/>
          <w:sz w:val="24"/>
        </w:rPr>
      </w:pPr>
    </w:p>
    <w:p>
      <w:pPr>
        <w:spacing w:line="500" w:lineRule="exact"/>
        <w:rPr>
          <w:rFonts w:hint="eastAsia" w:ascii="楷体_GB2312" w:hAnsi="楷体_GB2312" w:eastAsia="楷体_GB2312" w:cs="楷体_GB2312"/>
          <w:b/>
          <w:color w:val="auto"/>
          <w:sz w:val="24"/>
        </w:rPr>
      </w:pPr>
    </w:p>
    <w:p>
      <w:pPr>
        <w:pStyle w:val="2"/>
        <w:ind w:left="0" w:leftChars="0" w:firstLine="0" w:firstLineChars="0"/>
        <w:rPr>
          <w:rFonts w:hint="eastAsia" w:ascii="楷体_GB2312" w:hAnsi="楷体_GB2312" w:eastAsia="楷体_GB2312" w:cs="楷体_GB2312"/>
          <w:color w:val="auto"/>
        </w:rPr>
      </w:pPr>
    </w:p>
    <w:p>
      <w:pPr>
        <w:spacing w:line="500" w:lineRule="exact"/>
        <w:rPr>
          <w:rFonts w:hint="eastAsia" w:ascii="楷体_GB2312" w:hAnsi="楷体_GB2312" w:eastAsia="楷体_GB2312" w:cs="楷体_GB2312"/>
          <w:b/>
          <w:color w:val="auto"/>
          <w:sz w:val="28"/>
          <w:szCs w:val="28"/>
        </w:rPr>
      </w:pPr>
    </w:p>
    <w:p>
      <w:pPr>
        <w:pStyle w:val="2"/>
        <w:ind w:firstLine="422"/>
        <w:rPr>
          <w:rFonts w:hint="eastAsia" w:ascii="楷体_GB2312" w:hAnsi="楷体_GB2312" w:eastAsia="楷体_GB2312" w:cs="楷体_GB2312"/>
          <w:color w:val="auto"/>
        </w:rPr>
      </w:pPr>
    </w:p>
    <w:p>
      <w:pPr>
        <w:spacing w:line="360" w:lineRule="auto"/>
        <w:jc w:val="center"/>
        <w:rPr>
          <w:rFonts w:hint="eastAsia" w:ascii="楷体_GB2312" w:hAnsi="楷体_GB2312" w:eastAsia="楷体_GB2312" w:cs="楷体_GB2312"/>
          <w:b/>
          <w:color w:val="auto"/>
          <w:sz w:val="44"/>
          <w:szCs w:val="44"/>
          <w:lang w:eastAsia="zh-CN"/>
        </w:rPr>
      </w:pPr>
      <w:r>
        <w:rPr>
          <w:rFonts w:hint="eastAsia" w:ascii="楷体_GB2312" w:hAnsi="楷体_GB2312" w:eastAsia="楷体_GB2312" w:cs="楷体_GB2312"/>
          <w:b/>
          <w:color w:val="auto"/>
          <w:sz w:val="44"/>
          <w:szCs w:val="44"/>
          <w:lang w:eastAsia="zh-CN"/>
        </w:rPr>
        <w:t>盐城工业职业技术学院艺术设计学院一楼大厅改造项目</w:t>
      </w:r>
    </w:p>
    <w:p>
      <w:pPr>
        <w:spacing w:line="480" w:lineRule="auto"/>
        <w:rPr>
          <w:rFonts w:hint="eastAsia" w:ascii="楷体_GB2312" w:hAnsi="楷体_GB2312" w:eastAsia="楷体_GB2312" w:cs="楷体_GB2312"/>
          <w:color w:val="auto"/>
          <w:sz w:val="24"/>
        </w:rPr>
      </w:pPr>
    </w:p>
    <w:p>
      <w:pPr>
        <w:spacing w:line="480" w:lineRule="auto"/>
        <w:rPr>
          <w:rFonts w:hint="eastAsia" w:ascii="楷体_GB2312" w:hAnsi="楷体_GB2312" w:eastAsia="楷体_GB2312" w:cs="楷体_GB2312"/>
          <w:color w:val="auto"/>
          <w:sz w:val="24"/>
        </w:rPr>
      </w:pPr>
    </w:p>
    <w:p>
      <w:pPr>
        <w:spacing w:line="480" w:lineRule="auto"/>
        <w:jc w:val="center"/>
        <w:rPr>
          <w:rFonts w:hint="eastAsia" w:ascii="楷体_GB2312" w:hAnsi="楷体_GB2312" w:eastAsia="楷体_GB2312" w:cs="楷体_GB2312"/>
          <w:b/>
          <w:color w:val="auto"/>
          <w:sz w:val="84"/>
          <w:szCs w:val="84"/>
        </w:rPr>
      </w:pPr>
      <w:r>
        <w:rPr>
          <w:rFonts w:hint="eastAsia" w:ascii="楷体_GB2312" w:hAnsi="楷体_GB2312" w:eastAsia="楷体_GB2312" w:cs="楷体_GB2312"/>
          <w:b/>
          <w:color w:val="auto"/>
          <w:sz w:val="84"/>
          <w:szCs w:val="84"/>
        </w:rPr>
        <w:t>招 标 文 件</w:t>
      </w:r>
    </w:p>
    <w:p>
      <w:pPr>
        <w:jc w:val="center"/>
        <w:rPr>
          <w:rFonts w:hint="eastAsia" w:ascii="楷体_GB2312" w:hAnsi="楷体_GB2312" w:eastAsia="楷体_GB2312" w:cs="楷体_GB2312"/>
          <w:b/>
          <w:color w:val="auto"/>
          <w:sz w:val="72"/>
          <w:szCs w:val="72"/>
        </w:rPr>
      </w:pPr>
    </w:p>
    <w:p>
      <w:pPr>
        <w:jc w:val="center"/>
        <w:rPr>
          <w:rFonts w:hint="eastAsia" w:ascii="楷体_GB2312" w:hAnsi="楷体_GB2312" w:eastAsia="楷体_GB2312" w:cs="楷体_GB2312"/>
          <w:b/>
          <w:color w:val="auto"/>
          <w:sz w:val="30"/>
          <w:szCs w:val="30"/>
          <w:lang w:eastAsia="zh-CN"/>
        </w:rPr>
      </w:pPr>
      <w:r>
        <w:rPr>
          <w:rFonts w:hint="eastAsia" w:ascii="楷体_GB2312" w:hAnsi="楷体_GB2312" w:eastAsia="楷体_GB2312" w:cs="楷体_GB2312"/>
          <w:b/>
          <w:color w:val="auto"/>
          <w:sz w:val="30"/>
          <w:szCs w:val="30"/>
        </w:rPr>
        <w:t>项目编号：</w:t>
      </w:r>
      <w:r>
        <w:rPr>
          <w:rFonts w:hint="eastAsia" w:ascii="楷体_GB2312" w:hAnsi="楷体_GB2312" w:eastAsia="楷体_GB2312" w:cs="楷体_GB2312"/>
          <w:b/>
          <w:color w:val="auto"/>
          <w:sz w:val="30"/>
          <w:szCs w:val="30"/>
          <w:lang w:eastAsia="zh-CN"/>
        </w:rPr>
        <w:t>2020-060S</w:t>
      </w:r>
    </w:p>
    <w:p>
      <w:pPr>
        <w:spacing w:line="500" w:lineRule="exact"/>
        <w:rPr>
          <w:rFonts w:hint="eastAsia" w:ascii="楷体_GB2312" w:hAnsi="楷体_GB2312" w:eastAsia="楷体_GB2312" w:cs="楷体_GB2312"/>
          <w:color w:val="auto"/>
        </w:rPr>
      </w:pPr>
    </w:p>
    <w:p>
      <w:pPr>
        <w:spacing w:line="500" w:lineRule="exact"/>
        <w:rPr>
          <w:rFonts w:hint="eastAsia" w:ascii="楷体_GB2312" w:hAnsi="楷体_GB2312" w:eastAsia="楷体_GB2312" w:cs="楷体_GB2312"/>
          <w:color w:val="auto"/>
        </w:rPr>
      </w:pPr>
    </w:p>
    <w:p>
      <w:pPr>
        <w:spacing w:line="500" w:lineRule="exact"/>
        <w:rPr>
          <w:rFonts w:hint="eastAsia" w:ascii="楷体_GB2312" w:hAnsi="楷体_GB2312" w:eastAsia="楷体_GB2312" w:cs="楷体_GB2312"/>
          <w:color w:val="auto"/>
        </w:rPr>
      </w:pPr>
    </w:p>
    <w:p>
      <w:pPr>
        <w:spacing w:line="500" w:lineRule="exact"/>
        <w:rPr>
          <w:rFonts w:hint="eastAsia" w:ascii="楷体_GB2312" w:hAnsi="楷体_GB2312" w:eastAsia="楷体_GB2312" w:cs="楷体_GB2312"/>
          <w:color w:val="auto"/>
        </w:rPr>
      </w:pPr>
    </w:p>
    <w:p>
      <w:pPr>
        <w:spacing w:line="500" w:lineRule="exact"/>
        <w:rPr>
          <w:rFonts w:hint="eastAsia" w:ascii="楷体_GB2312" w:hAnsi="楷体_GB2312" w:eastAsia="楷体_GB2312" w:cs="楷体_GB2312"/>
          <w:color w:val="auto"/>
        </w:rPr>
      </w:pPr>
    </w:p>
    <w:p>
      <w:pPr>
        <w:spacing w:line="500" w:lineRule="exact"/>
        <w:rPr>
          <w:rFonts w:hint="eastAsia" w:ascii="楷体_GB2312" w:hAnsi="楷体_GB2312" w:eastAsia="楷体_GB2312" w:cs="楷体_GB2312"/>
          <w:color w:val="auto"/>
        </w:rPr>
      </w:pPr>
    </w:p>
    <w:p>
      <w:pPr>
        <w:spacing w:line="500" w:lineRule="exact"/>
        <w:rPr>
          <w:rFonts w:hint="eastAsia" w:ascii="楷体_GB2312" w:hAnsi="楷体_GB2312" w:eastAsia="楷体_GB2312" w:cs="楷体_GB2312"/>
          <w:color w:val="auto"/>
        </w:rPr>
      </w:pPr>
    </w:p>
    <w:p>
      <w:pPr>
        <w:spacing w:line="500" w:lineRule="exact"/>
        <w:rPr>
          <w:rFonts w:hint="eastAsia" w:ascii="楷体_GB2312" w:hAnsi="楷体_GB2312" w:eastAsia="楷体_GB2312" w:cs="楷体_GB2312"/>
          <w:color w:val="auto"/>
        </w:rPr>
      </w:pPr>
    </w:p>
    <w:p>
      <w:pPr>
        <w:spacing w:line="500" w:lineRule="exact"/>
        <w:rPr>
          <w:rFonts w:hint="eastAsia" w:ascii="楷体_GB2312" w:hAnsi="楷体_GB2312" w:eastAsia="楷体_GB2312" w:cs="楷体_GB2312"/>
          <w:color w:val="auto"/>
        </w:rPr>
      </w:pPr>
    </w:p>
    <w:p>
      <w:pPr>
        <w:jc w:val="center"/>
        <w:rPr>
          <w:rFonts w:hint="eastAsia" w:ascii="楷体_GB2312" w:hAnsi="楷体_GB2312" w:eastAsia="楷体_GB2312" w:cs="楷体_GB2312"/>
          <w:bCs/>
          <w:color w:val="auto"/>
          <w:sz w:val="36"/>
          <w:szCs w:val="36"/>
        </w:rPr>
      </w:pPr>
      <w:r>
        <w:rPr>
          <w:rFonts w:hint="eastAsia" w:ascii="楷体_GB2312" w:hAnsi="楷体_GB2312" w:eastAsia="楷体_GB2312" w:cs="楷体_GB2312"/>
          <w:bCs/>
          <w:color w:val="auto"/>
          <w:sz w:val="36"/>
          <w:szCs w:val="36"/>
        </w:rPr>
        <w:t>盐城工业职业技术学院</w:t>
      </w:r>
    </w:p>
    <w:p>
      <w:pPr>
        <w:jc w:val="center"/>
        <w:rPr>
          <w:rFonts w:hint="eastAsia" w:ascii="楷体_GB2312" w:hAnsi="楷体_GB2312" w:eastAsia="楷体_GB2312" w:cs="楷体_GB2312"/>
          <w:color w:val="auto"/>
          <w:sz w:val="36"/>
          <w:szCs w:val="36"/>
        </w:rPr>
      </w:pPr>
      <w:r>
        <w:rPr>
          <w:rFonts w:hint="eastAsia" w:ascii="楷体_GB2312" w:hAnsi="楷体_GB2312" w:eastAsia="楷体_GB2312" w:cs="楷体_GB2312"/>
          <w:color w:val="auto"/>
          <w:sz w:val="36"/>
          <w:szCs w:val="36"/>
        </w:rPr>
        <w:t>江苏双清工程造价咨询有限公司</w:t>
      </w:r>
    </w:p>
    <w:p>
      <w:pPr>
        <w:jc w:val="center"/>
        <w:rPr>
          <w:rFonts w:hint="eastAsia" w:ascii="楷体_GB2312" w:hAnsi="楷体_GB2312" w:eastAsia="楷体_GB2312" w:cs="楷体_GB2312"/>
          <w:color w:val="auto"/>
          <w:sz w:val="36"/>
          <w:szCs w:val="36"/>
        </w:rPr>
      </w:pPr>
      <w:r>
        <w:rPr>
          <w:rFonts w:hint="eastAsia" w:ascii="楷体_GB2312" w:hAnsi="楷体_GB2312" w:eastAsia="楷体_GB2312" w:cs="楷体_GB2312"/>
          <w:color w:val="auto"/>
          <w:sz w:val="36"/>
          <w:szCs w:val="36"/>
        </w:rPr>
        <w:t>2020年1</w:t>
      </w:r>
      <w:r>
        <w:rPr>
          <w:rFonts w:hint="eastAsia" w:ascii="楷体_GB2312" w:hAnsi="楷体_GB2312" w:eastAsia="楷体_GB2312" w:cs="楷体_GB2312"/>
          <w:color w:val="auto"/>
          <w:sz w:val="36"/>
          <w:szCs w:val="36"/>
          <w:lang w:val="en-US" w:eastAsia="zh-CN"/>
        </w:rPr>
        <w:t>1</w:t>
      </w:r>
      <w:r>
        <w:rPr>
          <w:rFonts w:hint="eastAsia" w:ascii="楷体_GB2312" w:hAnsi="楷体_GB2312" w:eastAsia="楷体_GB2312" w:cs="楷体_GB2312"/>
          <w:color w:val="auto"/>
          <w:sz w:val="36"/>
          <w:szCs w:val="36"/>
        </w:rPr>
        <w:t>月</w:t>
      </w:r>
      <w:r>
        <w:rPr>
          <w:rFonts w:hint="eastAsia" w:ascii="楷体_GB2312" w:hAnsi="楷体_GB2312" w:eastAsia="楷体_GB2312" w:cs="楷体_GB2312"/>
          <w:color w:val="auto"/>
          <w:sz w:val="36"/>
          <w:szCs w:val="36"/>
          <w:lang w:val="en-US" w:eastAsia="zh-CN"/>
        </w:rPr>
        <w:t>12</w:t>
      </w:r>
      <w:r>
        <w:rPr>
          <w:rFonts w:hint="eastAsia" w:ascii="楷体_GB2312" w:hAnsi="楷体_GB2312" w:eastAsia="楷体_GB2312" w:cs="楷体_GB2312"/>
          <w:color w:val="auto"/>
          <w:sz w:val="36"/>
          <w:szCs w:val="36"/>
        </w:rPr>
        <w:t>日</w:t>
      </w:r>
    </w:p>
    <w:p>
      <w:pPr>
        <w:spacing w:line="400" w:lineRule="exact"/>
        <w:rPr>
          <w:rFonts w:hint="eastAsia" w:ascii="楷体_GB2312" w:hAnsi="楷体_GB2312" w:eastAsia="楷体_GB2312" w:cs="楷体_GB2312"/>
          <w:color w:val="auto"/>
          <w:sz w:val="24"/>
        </w:rPr>
      </w:pPr>
    </w:p>
    <w:p>
      <w:pPr>
        <w:jc w:val="center"/>
        <w:rPr>
          <w:rFonts w:hint="eastAsia" w:ascii="楷体_GB2312" w:hAnsi="楷体_GB2312" w:eastAsia="楷体_GB2312" w:cs="楷体_GB2312"/>
          <w:b/>
          <w:bCs/>
          <w:color w:val="auto"/>
          <w:sz w:val="44"/>
        </w:rPr>
      </w:pPr>
      <w:r>
        <w:rPr>
          <w:rFonts w:hint="eastAsia" w:ascii="楷体_GB2312" w:hAnsi="楷体_GB2312" w:eastAsia="楷体_GB2312" w:cs="楷体_GB2312"/>
          <w:color w:val="auto"/>
          <w:sz w:val="24"/>
        </w:rPr>
        <w:br w:type="page"/>
      </w:r>
      <w:r>
        <w:rPr>
          <w:rFonts w:hint="eastAsia" w:ascii="楷体_GB2312" w:hAnsi="楷体_GB2312" w:eastAsia="楷体_GB2312" w:cs="楷体_GB2312"/>
          <w:b/>
          <w:color w:val="auto"/>
          <w:sz w:val="44"/>
          <w:szCs w:val="44"/>
        </w:rPr>
        <w:t>第一部分  投标须知</w:t>
      </w:r>
    </w:p>
    <w:p>
      <w:pPr>
        <w:spacing w:line="500" w:lineRule="exact"/>
        <w:jc w:val="center"/>
        <w:rPr>
          <w:rFonts w:hint="eastAsia" w:ascii="楷体_GB2312" w:hAnsi="楷体_GB2312" w:eastAsia="楷体_GB2312" w:cs="楷体_GB2312"/>
          <w:b/>
          <w:color w:val="auto"/>
          <w:sz w:val="28"/>
          <w:szCs w:val="28"/>
        </w:rPr>
      </w:pPr>
      <w:r>
        <w:rPr>
          <w:rFonts w:hint="eastAsia" w:ascii="楷体_GB2312" w:hAnsi="楷体_GB2312" w:eastAsia="楷体_GB2312" w:cs="楷体_GB2312"/>
          <w:b/>
          <w:color w:val="auto"/>
          <w:sz w:val="28"/>
          <w:szCs w:val="28"/>
        </w:rPr>
        <w:t>前 附 表</w:t>
      </w:r>
    </w:p>
    <w:tbl>
      <w:tblPr>
        <w:tblStyle w:val="18"/>
        <w:tblW w:w="92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hint="eastAsia" w:ascii="楷体_GB2312" w:hAnsi="楷体_GB2312" w:eastAsia="楷体_GB2312" w:cs="楷体_GB2312"/>
                <w:color w:val="auto"/>
                <w:kern w:val="2"/>
                <w:sz w:val="24"/>
              </w:rPr>
            </w:pPr>
            <w:r>
              <w:rPr>
                <w:rFonts w:hint="eastAsia" w:ascii="楷体_GB2312" w:hAnsi="楷体_GB2312" w:eastAsia="楷体_GB2312" w:cs="楷体_GB2312"/>
                <w:color w:val="auto"/>
                <w:kern w:val="2"/>
                <w:sz w:val="24"/>
              </w:rPr>
              <w:t>序号</w:t>
            </w:r>
          </w:p>
        </w:tc>
        <w:tc>
          <w:tcPr>
            <w:tcW w:w="8666" w:type="dxa"/>
            <w:tcBorders>
              <w:top w:val="single" w:color="auto" w:sz="8" w:space="0"/>
              <w:left w:val="single" w:color="auto" w:sz="4" w:space="0"/>
              <w:bottom w:val="single" w:color="auto" w:sz="4" w:space="0"/>
              <w:right w:val="single" w:color="auto" w:sz="8" w:space="0"/>
            </w:tcBorders>
            <w:vAlign w:val="center"/>
          </w:tcPr>
          <w:p>
            <w:pPr>
              <w:pStyle w:val="9"/>
              <w:adjustRightInd w:val="0"/>
              <w:snapToGrid w:val="0"/>
              <w:spacing w:line="320" w:lineRule="exact"/>
              <w:jc w:val="center"/>
              <w:rPr>
                <w:rFonts w:hint="eastAsia" w:ascii="楷体_GB2312" w:hAnsi="楷体_GB2312" w:eastAsia="楷体_GB2312" w:cs="楷体_GB2312"/>
                <w:color w:val="auto"/>
                <w:kern w:val="2"/>
                <w:sz w:val="24"/>
              </w:rPr>
            </w:pPr>
            <w:r>
              <w:rPr>
                <w:rFonts w:hint="eastAsia" w:ascii="楷体_GB2312" w:hAnsi="楷体_GB2312" w:eastAsia="楷体_GB2312" w:cs="楷体_GB2312"/>
                <w:color w:val="auto"/>
                <w:kern w:val="2"/>
                <w:sz w:val="24"/>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hint="eastAsia" w:ascii="楷体_GB2312" w:hAnsi="楷体_GB2312" w:eastAsia="楷体_GB2312" w:cs="楷体_GB2312"/>
                <w:color w:val="auto"/>
                <w:kern w:val="2"/>
                <w:sz w:val="24"/>
              </w:rPr>
            </w:pPr>
            <w:r>
              <w:rPr>
                <w:rFonts w:hint="eastAsia" w:ascii="楷体_GB2312" w:hAnsi="楷体_GB2312" w:eastAsia="楷体_GB2312" w:cs="楷体_GB2312"/>
                <w:color w:val="auto"/>
                <w:kern w:val="2"/>
                <w:sz w:val="24"/>
              </w:rPr>
              <w:t>1</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spacing w:line="300" w:lineRule="exact"/>
              <w:rPr>
                <w:rFonts w:hint="eastAsia" w:ascii="楷体_GB2312" w:hAnsi="楷体_GB2312" w:eastAsia="楷体_GB2312" w:cs="楷体_GB2312"/>
                <w:color w:val="auto"/>
                <w:kern w:val="2"/>
                <w:sz w:val="24"/>
              </w:rPr>
            </w:pPr>
            <w:r>
              <w:rPr>
                <w:rFonts w:hint="eastAsia" w:ascii="楷体_GB2312" w:hAnsi="楷体_GB2312" w:eastAsia="楷体_GB2312" w:cs="楷体_GB2312"/>
                <w:color w:val="auto"/>
                <w:kern w:val="2"/>
                <w:sz w:val="24"/>
              </w:rPr>
              <w:t>工程名称：</w:t>
            </w:r>
            <w:r>
              <w:rPr>
                <w:rFonts w:hint="eastAsia" w:ascii="楷体_GB2312" w:hAnsi="楷体_GB2312" w:eastAsia="楷体_GB2312" w:cs="楷体_GB2312"/>
                <w:color w:val="auto"/>
                <w:kern w:val="2"/>
                <w:sz w:val="24"/>
                <w:lang w:eastAsia="zh-CN"/>
              </w:rPr>
              <w:t>盐城工业职业技术学院艺术设计学院一楼大厅改造项目</w:t>
            </w:r>
            <w:r>
              <w:rPr>
                <w:rFonts w:hint="eastAsia" w:ascii="楷体_GB2312" w:hAnsi="楷体_GB2312" w:eastAsia="楷体_GB2312" w:cs="楷体_GB2312"/>
                <w:color w:val="auto"/>
                <w:kern w:val="2"/>
                <w:sz w:val="24"/>
              </w:rPr>
              <w:t>　　　　　</w:t>
            </w:r>
          </w:p>
          <w:p>
            <w:pPr>
              <w:pStyle w:val="9"/>
              <w:adjustRightInd w:val="0"/>
              <w:snapToGrid w:val="0"/>
              <w:spacing w:line="300" w:lineRule="exact"/>
              <w:rPr>
                <w:rFonts w:hint="eastAsia" w:ascii="楷体_GB2312" w:hAnsi="楷体_GB2312" w:eastAsia="楷体_GB2312" w:cs="楷体_GB2312"/>
                <w:color w:val="auto"/>
                <w:kern w:val="2"/>
                <w:sz w:val="24"/>
              </w:rPr>
            </w:pPr>
            <w:r>
              <w:rPr>
                <w:rFonts w:hint="eastAsia" w:ascii="楷体_GB2312" w:hAnsi="楷体_GB2312" w:eastAsia="楷体_GB2312" w:cs="楷体_GB2312"/>
                <w:color w:val="auto"/>
                <w:kern w:val="2"/>
                <w:sz w:val="24"/>
              </w:rPr>
              <w:t>招标人名称：盐城工业职业技术学院</w:t>
            </w:r>
          </w:p>
          <w:p>
            <w:pPr>
              <w:pStyle w:val="9"/>
              <w:adjustRightInd w:val="0"/>
              <w:snapToGrid w:val="0"/>
              <w:spacing w:line="300" w:lineRule="exact"/>
              <w:rPr>
                <w:rFonts w:hint="eastAsia" w:ascii="楷体_GB2312" w:hAnsi="楷体_GB2312" w:eastAsia="楷体_GB2312" w:cs="楷体_GB2312"/>
                <w:color w:val="auto"/>
                <w:kern w:val="2"/>
                <w:sz w:val="24"/>
              </w:rPr>
            </w:pPr>
            <w:r>
              <w:rPr>
                <w:rFonts w:hint="eastAsia" w:ascii="楷体_GB2312" w:hAnsi="楷体_GB2312" w:eastAsia="楷体_GB2312" w:cs="楷体_GB2312"/>
                <w:color w:val="auto"/>
                <w:kern w:val="2"/>
                <w:sz w:val="24"/>
              </w:rPr>
              <w:t>招标范围及标段划分：本次招标共为1个标段，</w:t>
            </w:r>
            <w:r>
              <w:rPr>
                <w:rFonts w:hint="eastAsia" w:ascii="楷体_GB2312" w:hAnsi="楷体_GB2312" w:eastAsia="楷体_GB2312" w:cs="楷体_GB2312"/>
                <w:color w:val="auto"/>
                <w:kern w:val="2"/>
                <w:sz w:val="24"/>
                <w:lang w:eastAsia="zh-CN"/>
              </w:rPr>
              <w:t>盐城工业职业技术学院艺术设计学院一楼大厅改造项目</w:t>
            </w:r>
            <w:r>
              <w:rPr>
                <w:rFonts w:hint="eastAsia" w:ascii="楷体_GB2312" w:hAnsi="楷体_GB2312" w:eastAsia="楷体_GB2312" w:cs="楷体_GB2312"/>
                <w:color w:val="auto"/>
                <w:kern w:val="2"/>
                <w:sz w:val="24"/>
              </w:rPr>
              <w:t>的施工，具体内容详按设计图纸、工程量清单及招标人要求执行，招标人保留进行调整的权利。</w:t>
            </w:r>
          </w:p>
          <w:p>
            <w:pPr>
              <w:pStyle w:val="9"/>
              <w:adjustRightInd w:val="0"/>
              <w:snapToGrid w:val="0"/>
              <w:spacing w:line="300" w:lineRule="exact"/>
              <w:rPr>
                <w:rFonts w:hint="eastAsia" w:ascii="楷体_GB2312" w:hAnsi="楷体_GB2312" w:eastAsia="楷体_GB2312" w:cs="楷体_GB2312"/>
                <w:color w:val="auto"/>
                <w:kern w:val="2"/>
                <w:sz w:val="24"/>
              </w:rPr>
            </w:pPr>
            <w:r>
              <w:rPr>
                <w:rFonts w:hint="eastAsia" w:ascii="楷体_GB2312" w:hAnsi="楷体_GB2312" w:eastAsia="楷体_GB2312" w:cs="楷体_GB2312"/>
                <w:color w:val="auto"/>
                <w:kern w:val="2"/>
                <w:sz w:val="24"/>
              </w:rPr>
              <w:t>质量标准：国家合格标准</w:t>
            </w:r>
          </w:p>
          <w:p>
            <w:pPr>
              <w:pStyle w:val="9"/>
              <w:adjustRightInd w:val="0"/>
              <w:snapToGrid w:val="0"/>
              <w:spacing w:line="300" w:lineRule="exact"/>
              <w:rPr>
                <w:rFonts w:hint="eastAsia" w:ascii="楷体_GB2312" w:hAnsi="楷体_GB2312" w:eastAsia="楷体_GB2312" w:cs="楷体_GB2312"/>
                <w:color w:val="auto"/>
                <w:kern w:val="2"/>
                <w:sz w:val="24"/>
              </w:rPr>
            </w:pPr>
            <w:r>
              <w:rPr>
                <w:rFonts w:hint="eastAsia" w:ascii="楷体_GB2312" w:hAnsi="楷体_GB2312" w:eastAsia="楷体_GB2312" w:cs="楷体_GB2312"/>
                <w:color w:val="auto"/>
                <w:kern w:val="2"/>
                <w:sz w:val="24"/>
              </w:rPr>
              <w:t>工期要求：自甲方通知开工之日起</w:t>
            </w:r>
            <w:r>
              <w:rPr>
                <w:rFonts w:hint="eastAsia" w:ascii="楷体_GB2312" w:hAnsi="楷体_GB2312" w:eastAsia="楷体_GB2312" w:cs="楷体_GB2312"/>
                <w:color w:val="auto"/>
                <w:kern w:val="2"/>
                <w:sz w:val="24"/>
                <w:lang w:val="en-US" w:eastAsia="zh-CN"/>
              </w:rPr>
              <w:t>20</w:t>
            </w:r>
            <w:r>
              <w:rPr>
                <w:rFonts w:hint="eastAsia" w:ascii="楷体_GB2312" w:hAnsi="楷体_GB2312" w:eastAsia="楷体_GB2312" w:cs="楷体_GB2312"/>
                <w:color w:val="auto"/>
                <w:kern w:val="2"/>
                <w:sz w:val="24"/>
              </w:rPr>
              <w:t>日历天内全部通过竣工验收合格并交付使用。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320" w:lineRule="exact"/>
              <w:jc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2</w:t>
            </w:r>
          </w:p>
        </w:tc>
        <w:tc>
          <w:tcPr>
            <w:tcW w:w="8666" w:type="dxa"/>
            <w:tcBorders>
              <w:top w:val="single" w:color="auto" w:sz="4" w:space="0"/>
              <w:left w:val="single" w:color="auto" w:sz="4" w:space="0"/>
              <w:bottom w:val="single" w:color="auto" w:sz="4" w:space="0"/>
              <w:right w:val="single" w:color="auto" w:sz="8" w:space="0"/>
            </w:tcBorders>
            <w:vAlign w:val="center"/>
          </w:tcPr>
          <w:p>
            <w:pPr>
              <w:spacing w:line="300" w:lineRule="exact"/>
              <w:outlineLvl w:val="1"/>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本次招标收取保证金。本工程投标保证金金额为人民币</w:t>
            </w:r>
            <w:r>
              <w:rPr>
                <w:rFonts w:hint="eastAsia" w:ascii="楷体_GB2312" w:hAnsi="楷体_GB2312" w:eastAsia="楷体_GB2312" w:cs="楷体_GB2312"/>
                <w:b/>
                <w:bCs/>
                <w:color w:val="auto"/>
                <w:sz w:val="24"/>
                <w:u w:val="single"/>
                <w:lang w:eastAsia="zh-CN"/>
              </w:rPr>
              <w:t>伍仟</w:t>
            </w:r>
            <w:r>
              <w:rPr>
                <w:rFonts w:hint="eastAsia" w:ascii="楷体_GB2312" w:hAnsi="楷体_GB2312" w:eastAsia="楷体_GB2312" w:cs="楷体_GB2312"/>
                <w:b/>
                <w:bCs/>
                <w:color w:val="auto"/>
                <w:sz w:val="24"/>
                <w:u w:val="single"/>
              </w:rPr>
              <w:t>元整</w:t>
            </w:r>
            <w:r>
              <w:rPr>
                <w:rFonts w:hint="eastAsia" w:ascii="楷体_GB2312" w:hAnsi="楷体_GB2312" w:eastAsia="楷体_GB2312" w:cs="楷体_GB2312"/>
                <w:color w:val="auto"/>
                <w:sz w:val="24"/>
              </w:rPr>
              <w:t>，投标保证金必须在投标文件接收截止时间前与投标文件一起送达投标文件接收地点（不要密封在响应文件中）。</w:t>
            </w:r>
          </w:p>
          <w:p>
            <w:pPr>
              <w:spacing w:line="300" w:lineRule="exact"/>
              <w:outlineLvl w:val="1"/>
              <w:rPr>
                <w:rFonts w:hint="eastAsia" w:ascii="楷体_GB2312" w:hAnsi="楷体_GB2312" w:eastAsia="楷体_GB2312" w:cs="楷体_GB2312"/>
                <w:color w:val="auto"/>
                <w:sz w:val="24"/>
              </w:rPr>
            </w:pPr>
            <w:r>
              <w:rPr>
                <w:rFonts w:hint="eastAsia" w:ascii="楷体_GB2312" w:hAnsi="楷体_GB2312" w:eastAsia="楷体_GB2312" w:cs="楷体_GB2312"/>
                <w:b/>
                <w:color w:val="auto"/>
                <w:kern w:val="0"/>
                <w:sz w:val="24"/>
              </w:rPr>
              <w:t>投标保证金必须采用有效银行本票或银行汇票，不接受电汇、转账、现金、现金交款单、支票或其他形式的保证金。</w:t>
            </w:r>
            <w:r>
              <w:rPr>
                <w:rFonts w:hint="eastAsia" w:ascii="楷体_GB2312" w:hAnsi="楷体_GB2312" w:eastAsia="楷体_GB2312" w:cs="楷体_GB2312"/>
                <w:color w:val="auto"/>
                <w:kern w:val="0"/>
                <w:sz w:val="24"/>
              </w:rPr>
              <w:t>各投标人须在</w:t>
            </w:r>
            <w:r>
              <w:rPr>
                <w:rFonts w:hint="eastAsia" w:ascii="楷体_GB2312" w:hAnsi="楷体_GB2312" w:eastAsia="楷体_GB2312" w:cs="楷体_GB2312"/>
                <w:bCs/>
                <w:color w:val="auto"/>
                <w:sz w:val="24"/>
              </w:rPr>
              <w:t>投标文件接收截止时间</w:t>
            </w:r>
            <w:r>
              <w:rPr>
                <w:rFonts w:hint="eastAsia" w:ascii="楷体_GB2312" w:hAnsi="楷体_GB2312" w:eastAsia="楷体_GB2312" w:cs="楷体_GB2312"/>
                <w:color w:val="auto"/>
                <w:kern w:val="0"/>
                <w:sz w:val="24"/>
              </w:rPr>
              <w:t>前将投标保证金从投标人本单位的基本账户上汇出（不入账），以投标人汇出资金的银行日期为准，且保证金汇出单位必须与投标人名称一致，收款人名称：</w:t>
            </w:r>
            <w:r>
              <w:rPr>
                <w:rFonts w:hint="eastAsia" w:ascii="楷体_GB2312" w:hAnsi="楷体_GB2312" w:eastAsia="楷体_GB2312" w:cs="楷体_GB2312"/>
                <w:color w:val="auto"/>
                <w:sz w:val="24"/>
              </w:rPr>
              <w:t>江苏双清工程造价咨询有限公司，开户行：中国银行股份有限公司盐城分行，账号：5131582080</w:t>
            </w:r>
            <w:r>
              <w:rPr>
                <w:rFonts w:hint="eastAsia" w:ascii="楷体_GB2312" w:hAnsi="楷体_GB2312" w:eastAsia="楷体_GB2312" w:cs="楷体_GB2312"/>
                <w:color w:val="auto"/>
                <w:sz w:val="24"/>
                <w:lang w:val="en-US" w:eastAsia="zh-CN"/>
              </w:rPr>
              <w:t>0</w:t>
            </w:r>
            <w:r>
              <w:rPr>
                <w:rFonts w:hint="eastAsia" w:ascii="楷体_GB2312" w:hAnsi="楷体_GB2312" w:eastAsia="楷体_GB2312" w:cs="楷体_GB2312"/>
                <w:color w:val="auto"/>
                <w:sz w:val="24"/>
              </w:rPr>
              <w:t>1</w:t>
            </w:r>
            <w:r>
              <w:rPr>
                <w:rFonts w:hint="eastAsia" w:ascii="楷体_GB2312" w:hAnsi="楷体_GB2312" w:eastAsia="楷体_GB2312" w:cs="楷体_GB2312"/>
                <w:color w:val="auto"/>
                <w:kern w:val="0"/>
                <w:sz w:val="24"/>
              </w:rPr>
              <w:t>。</w:t>
            </w:r>
            <w:r>
              <w:rPr>
                <w:rFonts w:hint="eastAsia" w:ascii="楷体_GB2312" w:hAnsi="楷体_GB2312" w:eastAsia="楷体_GB2312" w:cs="楷体_GB2312"/>
                <w:bCs/>
                <w:color w:val="auto"/>
                <w:sz w:val="24"/>
              </w:rPr>
              <w:t>投标文件接收截止时间前</w:t>
            </w:r>
            <w:r>
              <w:rPr>
                <w:rFonts w:hint="eastAsia" w:ascii="楷体_GB2312" w:hAnsi="楷体_GB2312" w:eastAsia="楷体_GB2312" w:cs="楷体_GB2312"/>
                <w:color w:val="auto"/>
                <w:kern w:val="0"/>
                <w:sz w:val="24"/>
              </w:rPr>
              <w:t>，各投标人将有效银行本票原件或银行汇票原件带至开标现场交工作人员核验，未按上述要求交纳投标保证金的，</w:t>
            </w:r>
            <w:r>
              <w:rPr>
                <w:rFonts w:hint="eastAsia" w:ascii="楷体_GB2312" w:hAnsi="楷体_GB2312" w:eastAsia="楷体_GB2312" w:cs="楷体_GB2312"/>
                <w:color w:val="auto"/>
                <w:sz w:val="24"/>
              </w:rPr>
              <w:t>将被视为非响应性投标而予以拒绝。</w:t>
            </w:r>
          </w:p>
          <w:p>
            <w:pPr>
              <w:spacing w:line="300" w:lineRule="exact"/>
              <w:outlineLvl w:val="1"/>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sz w:val="24"/>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32"/>
              <w:adjustRightInd w:val="0"/>
              <w:snapToGrid w:val="0"/>
              <w:spacing w:line="320" w:lineRule="exact"/>
              <w:jc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3</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spacing w:line="300" w:lineRule="exact"/>
              <w:rPr>
                <w:rFonts w:hint="eastAsia" w:ascii="楷体_GB2312" w:hAnsi="楷体_GB2312" w:eastAsia="楷体_GB2312" w:cs="楷体_GB2312"/>
                <w:color w:val="auto"/>
                <w:kern w:val="2"/>
                <w:sz w:val="24"/>
              </w:rPr>
            </w:pPr>
            <w:r>
              <w:rPr>
                <w:rFonts w:hint="eastAsia" w:ascii="楷体_GB2312" w:hAnsi="楷体_GB2312" w:eastAsia="楷体_GB2312" w:cs="楷体_GB2312"/>
                <w:color w:val="auto"/>
                <w:kern w:val="2"/>
                <w:sz w:val="24"/>
              </w:rPr>
              <w:t xml:space="preserve">递交疑问时间：投标文件接收截止时间3日前； </w:t>
            </w:r>
          </w:p>
          <w:p>
            <w:pPr>
              <w:pStyle w:val="9"/>
              <w:adjustRightInd w:val="0"/>
              <w:snapToGrid w:val="0"/>
              <w:spacing w:line="300" w:lineRule="exact"/>
              <w:rPr>
                <w:rFonts w:hint="eastAsia" w:ascii="楷体_GB2312" w:hAnsi="楷体_GB2312" w:eastAsia="楷体_GB2312" w:cs="楷体_GB2312"/>
                <w:color w:val="auto"/>
                <w:kern w:val="2"/>
                <w:sz w:val="24"/>
              </w:rPr>
            </w:pPr>
            <w:r>
              <w:rPr>
                <w:rFonts w:hint="eastAsia" w:ascii="楷体_GB2312" w:hAnsi="楷体_GB2312" w:eastAsia="楷体_GB2312" w:cs="楷体_GB2312"/>
                <w:color w:val="auto"/>
                <w:kern w:val="2"/>
                <w:sz w:val="24"/>
              </w:rPr>
              <w:t>递交方式：发送电子邮件并电话告知，递交地址（邮箱）：</w:t>
            </w:r>
            <w:r>
              <w:rPr>
                <w:rFonts w:hint="eastAsia" w:ascii="楷体_GB2312" w:hAnsi="楷体_GB2312" w:eastAsia="楷体_GB2312" w:cs="楷体_GB2312"/>
                <w:color w:val="auto"/>
              </w:rPr>
              <w:fldChar w:fldCharType="begin"/>
            </w:r>
            <w:r>
              <w:rPr>
                <w:rFonts w:hint="eastAsia" w:ascii="楷体_GB2312" w:hAnsi="楷体_GB2312" w:eastAsia="楷体_GB2312" w:cs="楷体_GB2312"/>
                <w:color w:val="auto"/>
              </w:rPr>
              <w:instrText xml:space="preserve"> HYPERLINK "mailto:310920981@qq.com" </w:instrText>
            </w:r>
            <w:r>
              <w:rPr>
                <w:rFonts w:hint="eastAsia" w:ascii="楷体_GB2312" w:hAnsi="楷体_GB2312" w:eastAsia="楷体_GB2312" w:cs="楷体_GB2312"/>
                <w:color w:val="auto"/>
              </w:rPr>
              <w:fldChar w:fldCharType="separate"/>
            </w:r>
            <w:r>
              <w:rPr>
                <w:rFonts w:hint="eastAsia" w:ascii="楷体_GB2312" w:hAnsi="楷体_GB2312" w:eastAsia="楷体_GB2312" w:cs="楷体_GB2312"/>
                <w:color w:val="auto"/>
                <w:kern w:val="2"/>
                <w:sz w:val="24"/>
              </w:rPr>
              <w:t>310920981@qq.com</w:t>
            </w:r>
            <w:r>
              <w:rPr>
                <w:rFonts w:hint="eastAsia" w:ascii="楷体_GB2312" w:hAnsi="楷体_GB2312" w:eastAsia="楷体_GB2312" w:cs="楷体_GB2312"/>
                <w:color w:val="auto"/>
                <w:kern w:val="2"/>
                <w:sz w:val="24"/>
              </w:rPr>
              <w:fldChar w:fldCharType="end"/>
            </w:r>
            <w:r>
              <w:rPr>
                <w:rFonts w:hint="eastAsia" w:ascii="楷体_GB2312" w:hAnsi="楷体_GB2312" w:eastAsia="楷体_GB2312" w:cs="楷体_GB2312"/>
                <w:color w:val="auto"/>
                <w:kern w:val="2"/>
                <w:sz w:val="24"/>
              </w:rPr>
              <w:t xml:space="preserve">。 </w:t>
            </w:r>
            <w:r>
              <w:rPr>
                <w:rFonts w:hint="eastAsia" w:ascii="楷体_GB2312" w:hAnsi="楷体_GB2312" w:eastAsia="楷体_GB2312" w:cs="楷体_GB2312"/>
                <w:bCs/>
                <w:color w:val="auto"/>
                <w:sz w:val="24"/>
              </w:rPr>
              <w:t xml:space="preserve"> </w:t>
            </w:r>
            <w:r>
              <w:rPr>
                <w:rFonts w:hint="eastAsia" w:ascii="楷体_GB2312" w:hAnsi="楷体_GB2312" w:eastAsia="楷体_GB2312" w:cs="楷体_GB2312"/>
                <w:color w:val="auto"/>
                <w:kern w:val="2"/>
                <w:sz w:val="24"/>
              </w:rPr>
              <w:t xml:space="preserve"> </w:t>
            </w:r>
          </w:p>
          <w:p>
            <w:pPr>
              <w:pStyle w:val="9"/>
              <w:adjustRightInd w:val="0"/>
              <w:snapToGrid w:val="0"/>
              <w:spacing w:line="300" w:lineRule="exact"/>
              <w:rPr>
                <w:rFonts w:hint="eastAsia" w:ascii="楷体_GB2312" w:hAnsi="楷体_GB2312" w:eastAsia="楷体_GB2312" w:cs="楷体_GB2312"/>
                <w:color w:val="auto"/>
                <w:kern w:val="2"/>
                <w:sz w:val="24"/>
              </w:rPr>
            </w:pPr>
            <w:r>
              <w:rPr>
                <w:rFonts w:hint="eastAsia" w:ascii="楷体_GB2312" w:hAnsi="楷体_GB2312" w:eastAsia="楷体_GB2312" w:cs="楷体_GB2312"/>
                <w:color w:val="auto"/>
                <w:kern w:val="2"/>
                <w:sz w:val="24"/>
              </w:rPr>
              <w:t>投标人须及时登录</w:t>
            </w:r>
            <w:r>
              <w:rPr>
                <w:rFonts w:hint="eastAsia" w:ascii="楷体_GB2312" w:hAnsi="楷体_GB2312" w:eastAsia="楷体_GB2312" w:cs="楷体_GB2312"/>
                <w:bCs/>
                <w:color w:val="auto"/>
                <w:sz w:val="24"/>
              </w:rPr>
              <w:t>“盐城市政府采购网”和“盐城工业职业技术学院招标采购网”</w:t>
            </w:r>
            <w:r>
              <w:rPr>
                <w:rFonts w:hint="eastAsia" w:ascii="楷体_GB2312" w:hAnsi="楷体_GB2312" w:eastAsia="楷体_GB2312" w:cs="楷体_GB2312"/>
                <w:color w:val="auto"/>
                <w:kern w:val="2"/>
                <w:sz w:val="24"/>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hint="eastAsia" w:ascii="楷体_GB2312" w:hAnsi="楷体_GB2312" w:eastAsia="楷体_GB2312" w:cs="楷体_GB2312"/>
                <w:color w:val="auto"/>
                <w:kern w:val="2"/>
                <w:sz w:val="24"/>
              </w:rPr>
            </w:pPr>
            <w:r>
              <w:rPr>
                <w:rFonts w:hint="eastAsia" w:ascii="楷体_GB2312" w:hAnsi="楷体_GB2312" w:eastAsia="楷体_GB2312" w:cs="楷体_GB2312"/>
                <w:color w:val="auto"/>
                <w:kern w:val="2"/>
                <w:sz w:val="24"/>
              </w:rPr>
              <w:t>4</w:t>
            </w:r>
          </w:p>
        </w:tc>
        <w:tc>
          <w:tcPr>
            <w:tcW w:w="8666" w:type="dxa"/>
            <w:vAlign w:val="center"/>
          </w:tcPr>
          <w:p>
            <w:pPr>
              <w:pStyle w:val="9"/>
              <w:adjustRightInd w:val="0"/>
              <w:snapToGrid w:val="0"/>
              <w:spacing w:line="300" w:lineRule="exact"/>
              <w:rPr>
                <w:rFonts w:hint="eastAsia" w:ascii="楷体_GB2312" w:hAnsi="楷体_GB2312" w:eastAsia="楷体_GB2312" w:cs="楷体_GB2312"/>
                <w:color w:val="auto"/>
                <w:kern w:val="2"/>
                <w:sz w:val="24"/>
              </w:rPr>
            </w:pPr>
            <w:r>
              <w:rPr>
                <w:rFonts w:hint="eastAsia" w:ascii="楷体_GB2312" w:hAnsi="楷体_GB2312" w:eastAsia="楷体_GB2312" w:cs="楷体_GB2312"/>
                <w:color w:val="auto"/>
                <w:kern w:val="2"/>
                <w:sz w:val="24"/>
              </w:rPr>
              <w:t>投标文件递交截止时间：</w:t>
            </w:r>
            <w:r>
              <w:rPr>
                <w:rFonts w:hint="eastAsia" w:ascii="楷体_GB2312" w:hAnsi="楷体_GB2312" w:eastAsia="楷体_GB2312" w:cs="楷体_GB2312"/>
                <w:color w:val="auto"/>
                <w:sz w:val="24"/>
                <w:u w:val="single"/>
              </w:rPr>
              <w:t>2020年</w:t>
            </w:r>
            <w:r>
              <w:rPr>
                <w:rFonts w:hint="eastAsia" w:ascii="楷体_GB2312" w:hAnsi="楷体_GB2312" w:eastAsia="楷体_GB2312" w:cs="楷体_GB2312"/>
                <w:color w:val="auto"/>
                <w:sz w:val="24"/>
                <w:u w:val="single"/>
                <w:lang w:val="en-US" w:eastAsia="zh-CN"/>
              </w:rPr>
              <w:t>11</w:t>
            </w:r>
            <w:r>
              <w:rPr>
                <w:rFonts w:hint="eastAsia" w:ascii="楷体_GB2312" w:hAnsi="楷体_GB2312" w:eastAsia="楷体_GB2312" w:cs="楷体_GB2312"/>
                <w:color w:val="auto"/>
                <w:sz w:val="24"/>
                <w:u w:val="single"/>
              </w:rPr>
              <w:t>月</w:t>
            </w:r>
            <w:r>
              <w:rPr>
                <w:rFonts w:hint="eastAsia" w:ascii="楷体_GB2312" w:hAnsi="楷体_GB2312" w:eastAsia="楷体_GB2312" w:cs="楷体_GB2312"/>
                <w:color w:val="auto"/>
                <w:sz w:val="24"/>
                <w:u w:val="single"/>
                <w:lang w:val="en-US" w:eastAsia="zh-CN"/>
              </w:rPr>
              <w:t>26</w:t>
            </w:r>
            <w:r>
              <w:rPr>
                <w:rFonts w:hint="eastAsia" w:ascii="楷体_GB2312" w:hAnsi="楷体_GB2312" w:eastAsia="楷体_GB2312" w:cs="楷体_GB2312"/>
                <w:color w:val="auto"/>
                <w:sz w:val="24"/>
                <w:u w:val="single"/>
              </w:rPr>
              <w:t>日</w:t>
            </w:r>
            <w:r>
              <w:rPr>
                <w:rFonts w:hint="eastAsia" w:ascii="楷体_GB2312" w:hAnsi="楷体_GB2312" w:eastAsia="楷体_GB2312" w:cs="楷体_GB2312"/>
                <w:color w:val="auto"/>
                <w:sz w:val="24"/>
                <w:u w:val="single"/>
                <w:lang w:val="en-US" w:eastAsia="zh-CN"/>
              </w:rPr>
              <w:t>9</w:t>
            </w:r>
            <w:r>
              <w:rPr>
                <w:rFonts w:hint="eastAsia" w:ascii="楷体_GB2312" w:hAnsi="楷体_GB2312" w:eastAsia="楷体_GB2312" w:cs="楷体_GB2312"/>
                <w:color w:val="auto"/>
                <w:sz w:val="24"/>
                <w:u w:val="single"/>
              </w:rPr>
              <w:t>：00时</w:t>
            </w:r>
            <w:r>
              <w:rPr>
                <w:rFonts w:hint="eastAsia" w:ascii="楷体_GB2312" w:hAnsi="楷体_GB2312" w:eastAsia="楷体_GB2312" w:cs="楷体_GB2312"/>
                <w:color w:val="auto"/>
                <w:kern w:val="2"/>
                <w:sz w:val="24"/>
              </w:rPr>
              <w:t>；</w:t>
            </w:r>
          </w:p>
          <w:p>
            <w:pPr>
              <w:pStyle w:val="9"/>
              <w:adjustRightInd w:val="0"/>
              <w:snapToGrid w:val="0"/>
              <w:spacing w:line="300" w:lineRule="exact"/>
              <w:rPr>
                <w:rFonts w:hint="eastAsia" w:ascii="楷体_GB2312" w:hAnsi="楷体_GB2312" w:eastAsia="楷体_GB2312" w:cs="楷体_GB2312"/>
                <w:color w:val="auto"/>
                <w:kern w:val="2"/>
                <w:sz w:val="24"/>
              </w:rPr>
            </w:pPr>
            <w:r>
              <w:rPr>
                <w:rFonts w:hint="eastAsia" w:ascii="楷体_GB2312" w:hAnsi="楷体_GB2312" w:eastAsia="楷体_GB2312" w:cs="楷体_GB2312"/>
                <w:color w:val="auto"/>
                <w:kern w:val="2"/>
                <w:sz w:val="24"/>
              </w:rPr>
              <w:t xml:space="preserve">地点: </w:t>
            </w:r>
            <w:r>
              <w:rPr>
                <w:rFonts w:hint="eastAsia" w:ascii="楷体_GB2312" w:hAnsi="楷体_GB2312" w:eastAsia="楷体_GB2312" w:cs="楷体_GB2312"/>
                <w:color w:val="auto"/>
                <w:sz w:val="24"/>
              </w:rPr>
              <w:t>盐城工业职业技术学院（盐城市解放南路285号）后勤服务中心四楼402开标室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5" w:type="dxa"/>
            <w:tcBorders>
              <w:top w:val="single" w:color="auto" w:sz="4" w:space="0"/>
              <w:left w:val="single" w:color="auto" w:sz="8" w:space="0"/>
              <w:bottom w:val="single" w:color="auto" w:sz="4" w:space="0"/>
              <w:right w:val="single" w:color="auto" w:sz="4" w:space="0"/>
            </w:tcBorders>
            <w:vAlign w:val="center"/>
          </w:tcPr>
          <w:p>
            <w:pPr>
              <w:pStyle w:val="9"/>
              <w:adjustRightInd w:val="0"/>
              <w:snapToGrid w:val="0"/>
              <w:spacing w:line="320" w:lineRule="exact"/>
              <w:jc w:val="center"/>
              <w:rPr>
                <w:rFonts w:hint="eastAsia" w:ascii="楷体_GB2312" w:hAnsi="楷体_GB2312" w:eastAsia="楷体_GB2312" w:cs="楷体_GB2312"/>
                <w:color w:val="auto"/>
                <w:kern w:val="2"/>
                <w:sz w:val="24"/>
              </w:rPr>
            </w:pPr>
            <w:r>
              <w:rPr>
                <w:rFonts w:hint="eastAsia" w:ascii="楷体_GB2312" w:hAnsi="楷体_GB2312" w:eastAsia="楷体_GB2312" w:cs="楷体_GB2312"/>
                <w:color w:val="auto"/>
                <w:kern w:val="2"/>
                <w:sz w:val="24"/>
              </w:rPr>
              <w:t>5</w:t>
            </w:r>
          </w:p>
        </w:tc>
        <w:tc>
          <w:tcPr>
            <w:tcW w:w="8666" w:type="dxa"/>
            <w:tcBorders>
              <w:top w:val="single" w:color="auto" w:sz="4" w:space="0"/>
              <w:left w:val="single" w:color="auto" w:sz="4" w:space="0"/>
              <w:bottom w:val="single" w:color="auto" w:sz="4" w:space="0"/>
              <w:right w:val="single" w:color="auto" w:sz="8" w:space="0"/>
            </w:tcBorders>
            <w:vAlign w:val="center"/>
          </w:tcPr>
          <w:p>
            <w:pPr>
              <w:pStyle w:val="9"/>
              <w:adjustRightInd w:val="0"/>
              <w:snapToGrid w:val="0"/>
              <w:spacing w:line="300" w:lineRule="exact"/>
              <w:rPr>
                <w:rFonts w:hint="eastAsia" w:ascii="楷体_GB2312" w:hAnsi="楷体_GB2312" w:eastAsia="楷体_GB2312" w:cs="楷体_GB2312"/>
                <w:color w:val="auto"/>
                <w:kern w:val="2"/>
                <w:sz w:val="24"/>
              </w:rPr>
            </w:pPr>
            <w:r>
              <w:rPr>
                <w:rFonts w:hint="eastAsia" w:ascii="楷体_GB2312" w:hAnsi="楷体_GB2312" w:eastAsia="楷体_GB2312" w:cs="楷体_GB2312"/>
                <w:color w:val="auto"/>
                <w:kern w:val="2"/>
                <w:sz w:val="24"/>
              </w:rPr>
              <w:t>开标时间：</w:t>
            </w:r>
            <w:r>
              <w:rPr>
                <w:rFonts w:hint="eastAsia" w:ascii="楷体_GB2312" w:hAnsi="楷体_GB2312" w:eastAsia="楷体_GB2312" w:cs="楷体_GB2312"/>
                <w:color w:val="auto"/>
                <w:sz w:val="24"/>
                <w:u w:val="single"/>
              </w:rPr>
              <w:t>2020年</w:t>
            </w:r>
            <w:r>
              <w:rPr>
                <w:rFonts w:hint="eastAsia" w:ascii="楷体_GB2312" w:hAnsi="楷体_GB2312" w:eastAsia="楷体_GB2312" w:cs="楷体_GB2312"/>
                <w:color w:val="auto"/>
                <w:sz w:val="24"/>
                <w:u w:val="single"/>
                <w:lang w:val="en-US" w:eastAsia="zh-CN"/>
              </w:rPr>
              <w:t>11</w:t>
            </w:r>
            <w:r>
              <w:rPr>
                <w:rFonts w:hint="eastAsia" w:ascii="楷体_GB2312" w:hAnsi="楷体_GB2312" w:eastAsia="楷体_GB2312" w:cs="楷体_GB2312"/>
                <w:color w:val="auto"/>
                <w:sz w:val="24"/>
                <w:u w:val="single"/>
              </w:rPr>
              <w:t>月</w:t>
            </w:r>
            <w:r>
              <w:rPr>
                <w:rFonts w:hint="eastAsia" w:ascii="楷体_GB2312" w:hAnsi="楷体_GB2312" w:eastAsia="楷体_GB2312" w:cs="楷体_GB2312"/>
                <w:color w:val="auto"/>
                <w:sz w:val="24"/>
                <w:u w:val="single"/>
                <w:lang w:val="en-US" w:eastAsia="zh-CN"/>
              </w:rPr>
              <w:t>26</w:t>
            </w:r>
            <w:r>
              <w:rPr>
                <w:rFonts w:hint="eastAsia" w:ascii="楷体_GB2312" w:hAnsi="楷体_GB2312" w:eastAsia="楷体_GB2312" w:cs="楷体_GB2312"/>
                <w:color w:val="auto"/>
                <w:sz w:val="24"/>
                <w:u w:val="single"/>
              </w:rPr>
              <w:t>日</w:t>
            </w:r>
            <w:r>
              <w:rPr>
                <w:rFonts w:hint="eastAsia" w:ascii="楷体_GB2312" w:hAnsi="楷体_GB2312" w:eastAsia="楷体_GB2312" w:cs="楷体_GB2312"/>
                <w:color w:val="auto"/>
                <w:sz w:val="24"/>
                <w:u w:val="single"/>
                <w:lang w:val="en-US" w:eastAsia="zh-CN"/>
              </w:rPr>
              <w:t>9</w:t>
            </w:r>
            <w:r>
              <w:rPr>
                <w:rFonts w:hint="eastAsia" w:ascii="楷体_GB2312" w:hAnsi="楷体_GB2312" w:eastAsia="楷体_GB2312" w:cs="楷体_GB2312"/>
                <w:color w:val="auto"/>
                <w:sz w:val="24"/>
                <w:u w:val="single"/>
              </w:rPr>
              <w:t>：00时</w:t>
            </w:r>
            <w:r>
              <w:rPr>
                <w:rFonts w:hint="eastAsia" w:ascii="楷体_GB2312" w:hAnsi="楷体_GB2312" w:eastAsia="楷体_GB2312" w:cs="楷体_GB2312"/>
                <w:color w:val="auto"/>
                <w:kern w:val="2"/>
                <w:sz w:val="24"/>
              </w:rPr>
              <w:t>；</w:t>
            </w:r>
          </w:p>
          <w:p>
            <w:pPr>
              <w:pStyle w:val="9"/>
              <w:adjustRightInd w:val="0"/>
              <w:snapToGrid w:val="0"/>
              <w:spacing w:line="300" w:lineRule="exact"/>
              <w:rPr>
                <w:rFonts w:hint="eastAsia" w:ascii="楷体_GB2312" w:hAnsi="楷体_GB2312" w:eastAsia="楷体_GB2312" w:cs="楷体_GB2312"/>
                <w:color w:val="auto"/>
                <w:kern w:val="2"/>
                <w:sz w:val="24"/>
                <w:u w:val="single"/>
              </w:rPr>
            </w:pPr>
            <w:r>
              <w:rPr>
                <w:rFonts w:hint="eastAsia" w:ascii="楷体_GB2312" w:hAnsi="楷体_GB2312" w:eastAsia="楷体_GB2312" w:cs="楷体_GB2312"/>
                <w:color w:val="auto"/>
                <w:kern w:val="2"/>
                <w:sz w:val="24"/>
              </w:rPr>
              <w:t>地点:</w:t>
            </w:r>
            <w:r>
              <w:rPr>
                <w:rFonts w:hint="eastAsia" w:ascii="楷体_GB2312" w:hAnsi="楷体_GB2312" w:eastAsia="楷体_GB2312" w:cs="楷体_GB2312"/>
                <w:color w:val="auto"/>
                <w:sz w:val="24"/>
              </w:rPr>
              <w:t>盐城工业职业技术学院（盐城市解放南路285号）后勤服务中心四楼402开标室</w:t>
            </w:r>
          </w:p>
          <w:p>
            <w:pPr>
              <w:spacing w:line="300" w:lineRule="exac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必须出席开标会的人员：投标人的法定代表人或委托代理人；</w:t>
            </w:r>
          </w:p>
          <w:p>
            <w:pPr>
              <w:spacing w:line="300" w:lineRule="exact"/>
              <w:rPr>
                <w:rFonts w:hint="eastAsia" w:ascii="楷体_GB2312" w:hAnsi="楷体_GB2312" w:eastAsia="楷体_GB2312" w:cs="楷体_GB2312"/>
                <w:color w:val="auto"/>
                <w:sz w:val="24"/>
                <w:u w:val="single"/>
              </w:rPr>
            </w:pPr>
            <w:r>
              <w:rPr>
                <w:rFonts w:hint="eastAsia" w:ascii="楷体_GB2312" w:hAnsi="楷体_GB2312" w:eastAsia="楷体_GB2312" w:cs="楷体_GB2312"/>
                <w:color w:val="auto"/>
                <w:sz w:val="24"/>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hint="eastAsia" w:ascii="楷体_GB2312" w:hAnsi="楷体_GB2312" w:eastAsia="楷体_GB2312" w:cs="楷体_GB2312"/>
          <w:b/>
          <w:bCs/>
          <w:color w:val="auto"/>
          <w:sz w:val="44"/>
        </w:rPr>
      </w:pPr>
      <w:r>
        <w:rPr>
          <w:rFonts w:hint="eastAsia" w:ascii="楷体_GB2312" w:hAnsi="楷体_GB2312" w:eastAsia="楷体_GB2312" w:cs="楷体_GB2312"/>
          <w:b/>
          <w:color w:val="auto"/>
          <w:sz w:val="24"/>
        </w:rPr>
        <w:br w:type="page"/>
      </w:r>
      <w:r>
        <w:rPr>
          <w:rFonts w:hint="eastAsia" w:ascii="楷体_GB2312" w:hAnsi="楷体_GB2312" w:eastAsia="楷体_GB2312" w:cs="楷体_GB2312"/>
          <w:b/>
          <w:color w:val="auto"/>
          <w:sz w:val="44"/>
          <w:szCs w:val="44"/>
        </w:rPr>
        <w:t>第二部分  总则</w:t>
      </w:r>
    </w:p>
    <w:p>
      <w:pPr>
        <w:spacing w:line="50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1、综合说明</w:t>
      </w:r>
    </w:p>
    <w:p>
      <w:pPr>
        <w:spacing w:line="500" w:lineRule="exact"/>
        <w:ind w:firstLine="480" w:firstLineChars="200"/>
        <w:rPr>
          <w:rFonts w:hint="eastAsia" w:ascii="楷体_GB2312" w:hAnsi="楷体_GB2312" w:eastAsia="楷体_GB2312" w:cs="楷体_GB2312"/>
          <w:color w:val="auto"/>
        </w:rPr>
      </w:pPr>
      <w:r>
        <w:rPr>
          <w:rFonts w:hint="eastAsia" w:ascii="楷体_GB2312" w:hAnsi="楷体_GB2312" w:eastAsia="楷体_GB2312" w:cs="楷体_GB2312"/>
          <w:b/>
          <w:bCs/>
          <w:color w:val="auto"/>
          <w:sz w:val="24"/>
        </w:rPr>
        <w:t>1.1</w:t>
      </w:r>
      <w:r>
        <w:rPr>
          <w:rFonts w:hint="eastAsia" w:ascii="楷体_GB2312" w:hAnsi="楷体_GB2312" w:eastAsia="楷体_GB2312" w:cs="楷体_GB2312"/>
          <w:b/>
          <w:color w:val="auto"/>
          <w:sz w:val="24"/>
        </w:rPr>
        <w:t>招标范围及标段划分：</w:t>
      </w:r>
      <w:r>
        <w:rPr>
          <w:rFonts w:hint="eastAsia" w:ascii="楷体_GB2312" w:hAnsi="楷体_GB2312" w:eastAsia="楷体_GB2312" w:cs="楷体_GB2312"/>
          <w:color w:val="auto"/>
          <w:sz w:val="24"/>
        </w:rPr>
        <w:t>本次招标共为1个标段，</w:t>
      </w:r>
      <w:r>
        <w:rPr>
          <w:rFonts w:hint="eastAsia" w:ascii="楷体_GB2312" w:hAnsi="楷体_GB2312" w:eastAsia="楷体_GB2312" w:cs="楷体_GB2312"/>
          <w:color w:val="auto"/>
          <w:sz w:val="24"/>
          <w:lang w:eastAsia="zh-CN"/>
        </w:rPr>
        <w:t>盐城工业职业技术学院艺术设计学院一楼大厅改造项目</w:t>
      </w:r>
      <w:r>
        <w:rPr>
          <w:rFonts w:hint="eastAsia" w:ascii="楷体_GB2312" w:hAnsi="楷体_GB2312" w:eastAsia="楷体_GB2312" w:cs="楷体_GB2312"/>
          <w:color w:val="auto"/>
          <w:sz w:val="24"/>
        </w:rPr>
        <w:t>的施工，具体内容详按设计图纸、工程量清单及招标人要求执行，招标人保留进行调整的权利。</w:t>
      </w:r>
    </w:p>
    <w:p>
      <w:pPr>
        <w:spacing w:line="50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1.2项目地点：</w:t>
      </w:r>
      <w:r>
        <w:rPr>
          <w:rFonts w:hint="eastAsia" w:ascii="楷体_GB2312" w:hAnsi="楷体_GB2312" w:eastAsia="楷体_GB2312" w:cs="楷体_GB2312"/>
          <w:color w:val="auto"/>
          <w:sz w:val="24"/>
        </w:rPr>
        <w:t>盐城工业职业技术学院内（盐城市解放南路285号）。</w:t>
      </w:r>
    </w:p>
    <w:p>
      <w:pPr>
        <w:spacing w:line="50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1.3承包方式：</w:t>
      </w:r>
      <w:r>
        <w:rPr>
          <w:rFonts w:hint="eastAsia" w:ascii="楷体_GB2312" w:hAnsi="楷体_GB2312" w:eastAsia="楷体_GB2312" w:cs="楷体_GB2312"/>
          <w:color w:val="auto"/>
          <w:sz w:val="24"/>
        </w:rPr>
        <w:t>包工包料。</w:t>
      </w:r>
    </w:p>
    <w:p>
      <w:pPr>
        <w:spacing w:line="50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1.4资金来源及比例：</w:t>
      </w:r>
      <w:r>
        <w:rPr>
          <w:rFonts w:hint="eastAsia" w:ascii="楷体_GB2312" w:hAnsi="楷体_GB2312" w:eastAsia="楷体_GB2312" w:cs="楷体_GB2312"/>
          <w:color w:val="auto"/>
          <w:sz w:val="24"/>
        </w:rPr>
        <w:t>国有资金100%。</w:t>
      </w:r>
    </w:p>
    <w:p>
      <w:pPr>
        <w:spacing w:line="50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2、招标方式</w:t>
      </w:r>
    </w:p>
    <w:p>
      <w:pPr>
        <w:spacing w:line="50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color w:val="auto"/>
          <w:sz w:val="24"/>
        </w:rPr>
        <w:t>2.1 本项目招标方式：公开招标。</w:t>
      </w:r>
    </w:p>
    <w:p>
      <w:pPr>
        <w:spacing w:line="50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color w:val="auto"/>
          <w:sz w:val="24"/>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3、投标人资格要求</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3.1投标人资格要求：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3.2财务要求：投标人应具有独立订立合同的能力，未处于财产被接管、冻结和破产状态。</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3.3信誉要求</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（1）投标人没有被国家、江苏省省级有关部门及盐城市级有关部门暂停招投标或市场准入资格且在公示处罚期内。</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（4）投标人不存在盐住建建筑【2020】24文规定的安全生产事故情形，且在通报暂停投标资格处罚期内。</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3.4投标项目负责人资格要求：项目负责人须具有建筑工程专业二级及以上建造师资格，同时须具有安全生产考核合格证（B类）。</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3.5项目负责人从本工程投标文件递交截止之日起必须满足下列条件：</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项目负责人不得同时在两个或者两个以上单位受聘或者执业特指以下三种情形：</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（一）同时在两个及以上单位签订劳动合同或交纳社会保险；</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（二）将本人执（职）业资格证书同时注册在两个及以上单位</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（三）项目负责人担任其他公司法定代表人。</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项目负责人投标截止时不得同时在其他建设工程项目中担任现场管理人员、不在本项目兼任本项目的其它岗位。</w:t>
      </w:r>
      <w:r>
        <w:rPr>
          <w:rFonts w:hint="eastAsia" w:ascii="楷体_GB2312" w:hAnsi="楷体_GB2312" w:eastAsia="楷体_GB2312" w:cs="楷体_GB2312"/>
          <w:bCs/>
          <w:color w:val="auto"/>
          <w:sz w:val="24"/>
        </w:rPr>
        <w:br w:type="textWrapping"/>
      </w:r>
      <w:r>
        <w:rPr>
          <w:rFonts w:hint="eastAsia" w:ascii="楷体_GB2312" w:hAnsi="楷体_GB2312" w:eastAsia="楷体_GB2312" w:cs="楷体_GB2312"/>
          <w:bCs/>
          <w:color w:val="auto"/>
          <w:sz w:val="24"/>
        </w:rPr>
        <w:t xml:space="preserve">    在建工程：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3.6本项目招标人不接受投标人的企业法定代表人担任项目负责人。</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3.7本项目招标人不接受企业退休人员担任项目负责人。</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3.8投标申请人须保证项目负责人及代理人均为本单位的正式职工，并确保从2020年</w:t>
      </w:r>
      <w:r>
        <w:rPr>
          <w:rFonts w:hint="eastAsia" w:ascii="楷体_GB2312" w:hAnsi="楷体_GB2312" w:eastAsia="楷体_GB2312" w:cs="楷体_GB2312"/>
          <w:bCs/>
          <w:color w:val="auto"/>
          <w:sz w:val="24"/>
          <w:lang w:val="en-US" w:eastAsia="zh-CN"/>
        </w:rPr>
        <w:t>3</w:t>
      </w:r>
      <w:r>
        <w:rPr>
          <w:rFonts w:hint="eastAsia" w:ascii="楷体_GB2312" w:hAnsi="楷体_GB2312" w:eastAsia="楷体_GB2312" w:cs="楷体_GB2312"/>
          <w:bCs/>
          <w:color w:val="auto"/>
          <w:sz w:val="24"/>
        </w:rPr>
        <w:t>月开始至投标截止之日当月至少连续6个月均已在本单位缴纳养老保险，中标候选人公示前、异议（投诉）提出时相关单位需提供缴费记录证明原件给招标人核验。（例：如开标日期为2015年10月的某一天，则投标单位需保证以上人员2015年2月以后任意连续6月养老保险均在本单位缴纳）。</w:t>
      </w:r>
    </w:p>
    <w:p>
      <w:pPr>
        <w:spacing w:line="440" w:lineRule="exact"/>
        <w:ind w:firstLine="480" w:firstLineChars="200"/>
        <w:jc w:val="left"/>
        <w:rPr>
          <w:rFonts w:hint="eastAsia" w:ascii="楷体_GB2312" w:hAnsi="楷体_GB2312" w:eastAsia="楷体_GB2312" w:cs="楷体_GB2312"/>
          <w:bCs/>
          <w:color w:val="auto"/>
          <w:sz w:val="24"/>
        </w:rPr>
      </w:pPr>
      <w:r>
        <w:rPr>
          <w:rFonts w:hint="eastAsia" w:ascii="楷体_GB2312" w:hAnsi="楷体_GB2312" w:eastAsia="楷体_GB2312" w:cs="楷体_GB2312"/>
          <w:bCs/>
          <w:color w:val="auto"/>
          <w:sz w:val="24"/>
        </w:rPr>
        <w:t>3.9本招标工程不接受联合体投标。</w:t>
      </w:r>
    </w:p>
    <w:p>
      <w:pPr>
        <w:spacing w:line="50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3.10投标人不得存在下列情形之一：</w:t>
      </w:r>
    </w:p>
    <w:p>
      <w:pPr>
        <w:spacing w:line="50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3.10.1.为招标人不具有独立法人资格的附属机构（单位）。</w:t>
      </w:r>
    </w:p>
    <w:p>
      <w:pPr>
        <w:spacing w:line="50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3.10.2.为本招标项目的监理人、代建人、项目管理人，以及为本招标项目提供招标代理、设计服务的。</w:t>
      </w:r>
    </w:p>
    <w:p>
      <w:pPr>
        <w:spacing w:line="50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3.10.3.与本招标项目的监理人、代建人、招标代理机构同为一个法定代表人的，或者相互控股、参股的。</w:t>
      </w:r>
    </w:p>
    <w:p>
      <w:pPr>
        <w:spacing w:line="50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3.10.4.与招标人存在利害关系可能影响招标公正性的。</w:t>
      </w:r>
    </w:p>
    <w:p>
      <w:pPr>
        <w:spacing w:line="50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 xml:space="preserve">3.10.5.单位负责人为同一人或者存在控股、管理关系的不同单位。    </w:t>
      </w:r>
    </w:p>
    <w:p>
      <w:pPr>
        <w:spacing w:line="50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3.10.6.处于被责令停业、财产被接管、冻结和破产状态，以及投标资格被取消或者被暂停且在暂停期内。</w:t>
      </w:r>
    </w:p>
    <w:p>
      <w:pPr>
        <w:spacing w:line="50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3.10.7.因拖欠工人工资或者因发生质量安全事故被有关部门限制在招标项目所在地承接工程的。</w:t>
      </w:r>
    </w:p>
    <w:p>
      <w:pPr>
        <w:snapToGrid w:val="0"/>
        <w:spacing w:line="50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3.11不符合法律、法规规定的其他条件。</w:t>
      </w:r>
    </w:p>
    <w:p>
      <w:pPr>
        <w:spacing w:line="500" w:lineRule="exact"/>
        <w:ind w:firstLine="480" w:firstLineChars="200"/>
        <w:outlineLvl w:val="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 xml:space="preserve">4、资格审查方式 </w:t>
      </w:r>
    </w:p>
    <w:p>
      <w:pPr>
        <w:snapToGrid w:val="0"/>
        <w:spacing w:line="50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4.1本招标项目资格审查方式：采用</w:t>
      </w:r>
      <w:r>
        <w:rPr>
          <w:rFonts w:hint="eastAsia" w:ascii="楷体_GB2312" w:hAnsi="楷体_GB2312" w:eastAsia="楷体_GB2312" w:cs="楷体_GB2312"/>
          <w:b/>
          <w:color w:val="auto"/>
          <w:sz w:val="24"/>
          <w:u w:val="single"/>
        </w:rPr>
        <w:t>资格后审</w:t>
      </w:r>
      <w:r>
        <w:rPr>
          <w:rFonts w:hint="eastAsia" w:ascii="楷体_GB2312" w:hAnsi="楷体_GB2312" w:eastAsia="楷体_GB2312" w:cs="楷体_GB2312"/>
          <w:color w:val="auto"/>
          <w:sz w:val="24"/>
        </w:rPr>
        <w:t>办法。</w:t>
      </w:r>
    </w:p>
    <w:p>
      <w:pPr>
        <w:snapToGrid w:val="0"/>
        <w:spacing w:line="500" w:lineRule="exact"/>
        <w:ind w:firstLine="480" w:firstLineChars="200"/>
        <w:jc w:val="left"/>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5、投标有效期</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 xml:space="preserve">本招标项目投标有效期为 </w:t>
      </w:r>
      <w:r>
        <w:rPr>
          <w:rFonts w:hint="eastAsia" w:ascii="楷体_GB2312" w:hAnsi="楷体_GB2312" w:eastAsia="楷体_GB2312" w:cs="楷体_GB2312"/>
          <w:color w:val="auto"/>
          <w:sz w:val="24"/>
          <w:u w:val="single"/>
        </w:rPr>
        <w:t xml:space="preserve">90 </w:t>
      </w:r>
      <w:r>
        <w:rPr>
          <w:rFonts w:hint="eastAsia" w:ascii="楷体_GB2312" w:hAnsi="楷体_GB2312" w:eastAsia="楷体_GB2312" w:cs="楷体_GB2312"/>
          <w:color w:val="auto"/>
          <w:sz w:val="24"/>
        </w:rPr>
        <w:t>日。</w:t>
      </w:r>
    </w:p>
    <w:p>
      <w:pPr>
        <w:spacing w:line="500" w:lineRule="exact"/>
        <w:ind w:firstLine="480" w:firstLineChars="200"/>
        <w:outlineLvl w:val="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6、投标保证金</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sz w:val="24"/>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6.2.1投标人在投标有效期内撤回或修改其投标文件的；</w:t>
      </w:r>
    </w:p>
    <w:p>
      <w:pPr>
        <w:adjustRightInd w:val="0"/>
        <w:snapToGrid w:val="0"/>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6.2.2中标后无正当理由放弃中标项目的；</w:t>
      </w:r>
    </w:p>
    <w:p>
      <w:pPr>
        <w:adjustRightInd w:val="0"/>
        <w:snapToGrid w:val="0"/>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6.2.3中标后拒不按照招标文件的要求提交履约保证金的；</w:t>
      </w:r>
    </w:p>
    <w:p>
      <w:pPr>
        <w:adjustRightInd w:val="0"/>
        <w:snapToGrid w:val="0"/>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6.2.4中标后无正当理由不与招标人签订合同，或者在签订合同时向招标人提出附加条件或者更改合同实质性内容要求的。</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6.2.5投标有效期间，投标人在中国行政区域有不良行为记录且在公示期内，经查属实的；</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6.2.6投标人的</w:t>
      </w:r>
      <w:r>
        <w:rPr>
          <w:rFonts w:hint="eastAsia" w:ascii="楷体_GB2312" w:hAnsi="楷体_GB2312" w:eastAsia="楷体_GB2312" w:cs="楷体_GB2312"/>
          <w:color w:val="auto"/>
          <w:sz w:val="24"/>
          <w:shd w:val="clear" w:color="auto" w:fill="FFFFFF"/>
        </w:rPr>
        <w:t>项目负责人</w:t>
      </w:r>
      <w:r>
        <w:rPr>
          <w:rFonts w:hint="eastAsia" w:ascii="楷体_GB2312" w:hAnsi="楷体_GB2312" w:eastAsia="楷体_GB2312" w:cs="楷体_GB2312"/>
          <w:color w:val="auto"/>
          <w:sz w:val="24"/>
        </w:rPr>
        <w:t>被反映或投诉有在建工程，并经查属实的。</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6.2.7 投标人存在串通投标行为的。</w:t>
      </w:r>
    </w:p>
    <w:p>
      <w:pPr>
        <w:adjustRightInd w:val="0"/>
        <w:snapToGrid w:val="0"/>
        <w:spacing w:line="50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color w:val="auto"/>
          <w:sz w:val="24"/>
        </w:rPr>
        <w:t>投标人（中标人）存在前款所述情形的，除按有关法律法规规定处罚外，还将作为其不良行为记录在有关网站上予以公示。</w:t>
      </w:r>
    </w:p>
    <w:p>
      <w:pPr>
        <w:widowControl/>
        <w:jc w:val="left"/>
        <w:rPr>
          <w:rFonts w:hint="eastAsia" w:ascii="楷体_GB2312" w:hAnsi="楷体_GB2312" w:eastAsia="楷体_GB2312" w:cs="楷体_GB2312"/>
          <w:b/>
          <w:color w:val="auto"/>
          <w:sz w:val="44"/>
          <w:szCs w:val="44"/>
        </w:rPr>
      </w:pPr>
    </w:p>
    <w:p>
      <w:pPr>
        <w:rPr>
          <w:rFonts w:hint="eastAsia" w:ascii="楷体_GB2312" w:hAnsi="楷体_GB2312" w:eastAsia="楷体_GB2312" w:cs="楷体_GB2312"/>
          <w:b/>
          <w:color w:val="auto"/>
          <w:sz w:val="44"/>
          <w:szCs w:val="44"/>
        </w:rPr>
      </w:pPr>
      <w:r>
        <w:rPr>
          <w:rFonts w:hint="eastAsia" w:ascii="楷体_GB2312" w:hAnsi="楷体_GB2312" w:eastAsia="楷体_GB2312" w:cs="楷体_GB2312"/>
          <w:b/>
          <w:color w:val="auto"/>
          <w:sz w:val="44"/>
          <w:szCs w:val="44"/>
        </w:rPr>
        <w:br w:type="page"/>
      </w:r>
    </w:p>
    <w:p>
      <w:pPr>
        <w:spacing w:line="500" w:lineRule="exact"/>
        <w:jc w:val="center"/>
        <w:rPr>
          <w:rFonts w:hint="eastAsia" w:ascii="楷体_GB2312" w:hAnsi="楷体_GB2312" w:eastAsia="楷体_GB2312" w:cs="楷体_GB2312"/>
          <w:b/>
          <w:color w:val="auto"/>
          <w:sz w:val="44"/>
          <w:szCs w:val="44"/>
        </w:rPr>
      </w:pPr>
      <w:r>
        <w:rPr>
          <w:rFonts w:hint="eastAsia" w:ascii="楷体_GB2312" w:hAnsi="楷体_GB2312" w:eastAsia="楷体_GB2312" w:cs="楷体_GB2312"/>
          <w:b/>
          <w:color w:val="auto"/>
          <w:sz w:val="44"/>
          <w:szCs w:val="44"/>
        </w:rPr>
        <w:t>第三部分  技术参数</w:t>
      </w:r>
    </w:p>
    <w:p>
      <w:pPr>
        <w:spacing w:line="500" w:lineRule="exact"/>
        <w:jc w:val="center"/>
        <w:rPr>
          <w:rFonts w:hint="eastAsia" w:ascii="楷体_GB2312" w:hAnsi="楷体_GB2312" w:eastAsia="楷体_GB2312" w:cs="楷体_GB2312"/>
          <w:b/>
          <w:color w:val="auto"/>
          <w:sz w:val="44"/>
          <w:szCs w:val="44"/>
        </w:rPr>
      </w:pPr>
    </w:p>
    <w:p>
      <w:pPr>
        <w:keepNext w:val="0"/>
        <w:keepLines w:val="0"/>
        <w:pageBreakBefore w:val="0"/>
        <w:widowControl w:val="0"/>
        <w:wordWrap/>
        <w:topLinePunct w:val="0"/>
        <w:bidi w:val="0"/>
        <w:snapToGrid/>
        <w:spacing w:line="440" w:lineRule="exact"/>
        <w:ind w:firstLine="480" w:firstLineChars="200"/>
        <w:textAlignment w:val="auto"/>
        <w:rPr>
          <w:rFonts w:hint="eastAsia" w:ascii="楷体_GB2312" w:hAnsi="楷体_GB2312" w:eastAsia="楷体_GB2312" w:cs="楷体_GB2312"/>
          <w:b/>
          <w:color w:val="auto"/>
          <w:sz w:val="24"/>
          <w:highlight w:val="none"/>
        </w:rPr>
      </w:pPr>
      <w:r>
        <w:rPr>
          <w:rFonts w:hint="eastAsia" w:ascii="楷体_GB2312" w:hAnsi="楷体_GB2312" w:eastAsia="楷体_GB2312" w:cs="楷体_GB2312"/>
          <w:b/>
          <w:color w:val="auto"/>
          <w:sz w:val="24"/>
          <w:highlight w:val="none"/>
        </w:rPr>
        <w:t>1、计税方式</w:t>
      </w:r>
    </w:p>
    <w:p>
      <w:pPr>
        <w:keepNext w:val="0"/>
        <w:keepLines w:val="0"/>
        <w:pageBreakBefore w:val="0"/>
        <w:widowControl w:val="0"/>
        <w:wordWrap/>
        <w:topLinePunct w:val="0"/>
        <w:bidi w:val="0"/>
        <w:snapToGrid/>
        <w:spacing w:line="440" w:lineRule="exact"/>
        <w:ind w:firstLine="480" w:firstLineChars="200"/>
        <w:textAlignment w:val="auto"/>
        <w:rPr>
          <w:rFonts w:hint="eastAsia" w:ascii="楷体_GB2312" w:hAnsi="楷体_GB2312" w:eastAsia="楷体_GB2312" w:cs="楷体_GB2312"/>
          <w:b/>
          <w:color w:val="auto"/>
          <w:sz w:val="24"/>
          <w:highlight w:val="none"/>
        </w:rPr>
      </w:pPr>
      <w:r>
        <w:rPr>
          <w:rFonts w:hint="eastAsia" w:ascii="楷体_GB2312" w:hAnsi="楷体_GB2312" w:eastAsia="楷体_GB2312" w:cs="楷体_GB2312"/>
          <w:b/>
          <w:color w:val="auto"/>
          <w:sz w:val="24"/>
          <w:highlight w:val="none"/>
        </w:rPr>
        <w:t>本项目采用增值税一般计税方法。</w:t>
      </w:r>
    </w:p>
    <w:p>
      <w:pPr>
        <w:keepNext w:val="0"/>
        <w:keepLines w:val="0"/>
        <w:pageBreakBefore w:val="0"/>
        <w:widowControl w:val="0"/>
        <w:wordWrap/>
        <w:topLinePunct w:val="0"/>
        <w:bidi w:val="0"/>
        <w:snapToGrid/>
        <w:spacing w:line="440" w:lineRule="exact"/>
        <w:ind w:firstLine="480" w:firstLineChars="200"/>
        <w:textAlignment w:val="auto"/>
        <w:rPr>
          <w:rFonts w:hint="eastAsia" w:ascii="楷体_GB2312" w:hAnsi="楷体_GB2312" w:eastAsia="楷体_GB2312" w:cs="楷体_GB2312"/>
          <w:b/>
          <w:color w:val="auto"/>
          <w:sz w:val="24"/>
          <w:highlight w:val="none"/>
        </w:rPr>
      </w:pPr>
      <w:r>
        <w:rPr>
          <w:rFonts w:hint="eastAsia" w:ascii="楷体_GB2312" w:hAnsi="楷体_GB2312" w:eastAsia="楷体_GB2312" w:cs="楷体_GB2312"/>
          <w:b/>
          <w:color w:val="auto"/>
          <w:sz w:val="24"/>
          <w:highlight w:val="none"/>
        </w:rPr>
        <w:t>2、合同定价方式</w:t>
      </w:r>
    </w:p>
    <w:p>
      <w:pPr>
        <w:keepNext w:val="0"/>
        <w:keepLines w:val="0"/>
        <w:pageBreakBefore w:val="0"/>
        <w:widowControl w:val="0"/>
        <w:wordWrap/>
        <w:topLinePunct w:val="0"/>
        <w:bidi w:val="0"/>
        <w:snapToGrid/>
        <w:spacing w:line="440" w:lineRule="exact"/>
        <w:ind w:firstLine="480" w:firstLineChars="200"/>
        <w:textAlignment w:val="auto"/>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2.1固定单价合同。本项目建设工程合同采用“固定</w:t>
      </w:r>
      <w:r>
        <w:rPr>
          <w:rFonts w:hint="eastAsia" w:ascii="楷体_GB2312" w:hAnsi="楷体_GB2312" w:eastAsia="楷体_GB2312" w:cs="楷体_GB2312"/>
          <w:color w:val="auto"/>
          <w:sz w:val="24"/>
          <w:highlight w:val="none"/>
          <w:lang w:eastAsia="zh-CN"/>
        </w:rPr>
        <w:t>全费用</w:t>
      </w:r>
      <w:r>
        <w:rPr>
          <w:rFonts w:hint="eastAsia" w:ascii="楷体_GB2312" w:hAnsi="楷体_GB2312" w:eastAsia="楷体_GB2312" w:cs="楷体_GB2312"/>
          <w:color w:val="auto"/>
          <w:sz w:val="24"/>
          <w:highlight w:val="none"/>
        </w:rPr>
        <w:t>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keepNext w:val="0"/>
        <w:keepLines w:val="0"/>
        <w:pageBreakBefore w:val="0"/>
        <w:widowControl w:val="0"/>
        <w:wordWrap/>
        <w:topLinePunct w:val="0"/>
        <w:bidi w:val="0"/>
        <w:snapToGrid/>
        <w:spacing w:line="440" w:lineRule="exact"/>
        <w:ind w:firstLine="480" w:firstLineChars="200"/>
        <w:textAlignment w:val="auto"/>
        <w:rPr>
          <w:rFonts w:hint="eastAsia" w:ascii="楷体_GB2312" w:hAnsi="楷体_GB2312" w:eastAsia="楷体_GB2312" w:cs="楷体_GB2312"/>
          <w:b/>
          <w:color w:val="auto"/>
          <w:sz w:val="24"/>
          <w:highlight w:val="none"/>
        </w:rPr>
      </w:pPr>
      <w:r>
        <w:rPr>
          <w:rFonts w:hint="eastAsia" w:ascii="楷体_GB2312" w:hAnsi="楷体_GB2312" w:eastAsia="楷体_GB2312" w:cs="楷体_GB2312"/>
          <w:b/>
          <w:color w:val="auto"/>
          <w:sz w:val="24"/>
          <w:highlight w:val="none"/>
        </w:rPr>
        <w:t>3、投标报价</w:t>
      </w:r>
    </w:p>
    <w:p>
      <w:pPr>
        <w:keepNext w:val="0"/>
        <w:keepLines w:val="0"/>
        <w:pageBreakBefore w:val="0"/>
        <w:widowControl w:val="0"/>
        <w:wordWrap/>
        <w:topLinePunct w:val="0"/>
        <w:autoSpaceDN w:val="0"/>
        <w:bidi w:val="0"/>
        <w:snapToGrid/>
        <w:spacing w:line="440" w:lineRule="exact"/>
        <w:ind w:firstLine="480" w:firstLineChars="200"/>
        <w:textAlignment w:val="auto"/>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pPr>
        <w:keepNext w:val="0"/>
        <w:keepLines w:val="0"/>
        <w:pageBreakBefore w:val="0"/>
        <w:widowControl w:val="0"/>
        <w:wordWrap/>
        <w:topLinePunct w:val="0"/>
        <w:autoSpaceDN w:val="0"/>
        <w:bidi w:val="0"/>
        <w:snapToGrid/>
        <w:spacing w:line="440" w:lineRule="exact"/>
        <w:ind w:firstLine="480" w:firstLineChars="200"/>
        <w:textAlignment w:val="auto"/>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3.2投标报价的方式：固定</w:t>
      </w:r>
      <w:r>
        <w:rPr>
          <w:rFonts w:hint="eastAsia" w:ascii="楷体_GB2312" w:hAnsi="楷体_GB2312" w:eastAsia="楷体_GB2312" w:cs="楷体_GB2312"/>
          <w:color w:val="auto"/>
          <w:sz w:val="24"/>
          <w:highlight w:val="none"/>
          <w:lang w:eastAsia="zh-CN"/>
        </w:rPr>
        <w:t>全费用</w:t>
      </w:r>
      <w:r>
        <w:rPr>
          <w:rFonts w:hint="eastAsia" w:ascii="楷体_GB2312" w:hAnsi="楷体_GB2312" w:eastAsia="楷体_GB2312" w:cs="楷体_GB2312"/>
          <w:color w:val="auto"/>
          <w:sz w:val="24"/>
          <w:highlight w:val="none"/>
        </w:rPr>
        <w:t>单价报价。以体现风险共担的原则。由招标人提供工程量清单，投标人以工程量清单及图纸为基础填报相应的</w:t>
      </w:r>
      <w:r>
        <w:rPr>
          <w:rFonts w:hint="eastAsia" w:ascii="楷体_GB2312" w:hAnsi="楷体_GB2312" w:eastAsia="楷体_GB2312" w:cs="楷体_GB2312"/>
          <w:color w:val="auto"/>
          <w:sz w:val="24"/>
          <w:highlight w:val="none"/>
          <w:lang w:eastAsia="zh-CN"/>
        </w:rPr>
        <w:t>全费用</w:t>
      </w:r>
      <w:r>
        <w:rPr>
          <w:rFonts w:hint="eastAsia" w:ascii="楷体_GB2312" w:hAnsi="楷体_GB2312" w:eastAsia="楷体_GB2312" w:cs="楷体_GB2312"/>
          <w:color w:val="auto"/>
          <w:sz w:val="24"/>
          <w:highlight w:val="none"/>
        </w:rPr>
        <w:t>单价并计算合价。招标人要求投标人承担本招标文件合同专用条款中约定的风险内容及其范围（幅度）产生的风险费用，在施工过程中，当出现的风险内容及其范围（幅度）在合同约定的范围内，工程价款不作调整。</w:t>
      </w:r>
    </w:p>
    <w:p>
      <w:pPr>
        <w:keepNext w:val="0"/>
        <w:keepLines w:val="0"/>
        <w:pageBreakBefore w:val="0"/>
        <w:widowControl w:val="0"/>
        <w:wordWrap/>
        <w:topLinePunct w:val="0"/>
        <w:autoSpaceDN w:val="0"/>
        <w:bidi w:val="0"/>
        <w:snapToGrid/>
        <w:spacing w:line="440" w:lineRule="exact"/>
        <w:ind w:firstLine="480" w:firstLineChars="200"/>
        <w:textAlignment w:val="auto"/>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若无相关设计变更，除本招标文件及施工合同约定允许调整外中标的</w:t>
      </w:r>
      <w:r>
        <w:rPr>
          <w:rFonts w:hint="eastAsia" w:ascii="楷体_GB2312" w:hAnsi="楷体_GB2312" w:eastAsia="楷体_GB2312" w:cs="楷体_GB2312"/>
          <w:color w:val="auto"/>
          <w:sz w:val="24"/>
          <w:highlight w:val="none"/>
          <w:lang w:eastAsia="zh-CN"/>
        </w:rPr>
        <w:t>全费用</w:t>
      </w:r>
      <w:r>
        <w:rPr>
          <w:rFonts w:hint="eastAsia" w:ascii="楷体_GB2312" w:hAnsi="楷体_GB2312" w:eastAsia="楷体_GB2312" w:cs="楷体_GB2312"/>
          <w:color w:val="auto"/>
          <w:sz w:val="24"/>
          <w:highlight w:val="none"/>
        </w:rPr>
        <w:t>单价不予调整，工程量按实际完成工程量结算。</w:t>
      </w:r>
    </w:p>
    <w:p>
      <w:pPr>
        <w:keepNext w:val="0"/>
        <w:keepLines w:val="0"/>
        <w:pageBreakBefore w:val="0"/>
        <w:widowControl w:val="0"/>
        <w:wordWrap/>
        <w:topLinePunct w:val="0"/>
        <w:bidi w:val="0"/>
        <w:snapToGrid/>
        <w:spacing w:line="440" w:lineRule="exact"/>
        <w:ind w:firstLine="480" w:firstLineChars="200"/>
        <w:textAlignment w:val="auto"/>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3.3投标报价的计价方法：本工程投标报价采用“工程量清单计价”法。投标人应根据招标人提供的工程量清单和施工图纸计算工程项目的</w:t>
      </w:r>
      <w:r>
        <w:rPr>
          <w:rFonts w:hint="eastAsia" w:ascii="楷体_GB2312" w:hAnsi="楷体_GB2312" w:eastAsia="楷体_GB2312" w:cs="楷体_GB2312"/>
          <w:color w:val="auto"/>
          <w:sz w:val="24"/>
          <w:highlight w:val="none"/>
          <w:lang w:eastAsia="zh-CN"/>
        </w:rPr>
        <w:t>全费用</w:t>
      </w:r>
      <w:r>
        <w:rPr>
          <w:rFonts w:hint="eastAsia" w:ascii="楷体_GB2312" w:hAnsi="楷体_GB2312" w:eastAsia="楷体_GB2312" w:cs="楷体_GB2312"/>
          <w:color w:val="auto"/>
          <w:sz w:val="24"/>
          <w:highlight w:val="none"/>
        </w:rPr>
        <w:t>单价和合价。工程量清单中每一个子目的单项均需计算并填写</w:t>
      </w:r>
      <w:r>
        <w:rPr>
          <w:rFonts w:hint="eastAsia" w:ascii="楷体_GB2312" w:hAnsi="楷体_GB2312" w:eastAsia="楷体_GB2312" w:cs="楷体_GB2312"/>
          <w:color w:val="auto"/>
          <w:sz w:val="24"/>
          <w:highlight w:val="none"/>
          <w:lang w:eastAsia="zh-CN"/>
        </w:rPr>
        <w:t>全费用</w:t>
      </w:r>
      <w:r>
        <w:rPr>
          <w:rFonts w:hint="eastAsia" w:ascii="楷体_GB2312" w:hAnsi="楷体_GB2312" w:eastAsia="楷体_GB2312" w:cs="楷体_GB2312"/>
          <w:color w:val="auto"/>
          <w:sz w:val="24"/>
          <w:highlight w:val="none"/>
        </w:rPr>
        <w:t>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pPr>
        <w:keepNext w:val="0"/>
        <w:keepLines w:val="0"/>
        <w:pageBreakBefore w:val="0"/>
        <w:widowControl w:val="0"/>
        <w:kinsoku w:val="0"/>
        <w:wordWrap/>
        <w:overflowPunct w:val="0"/>
        <w:topLinePunct w:val="0"/>
        <w:autoSpaceDE w:val="0"/>
        <w:autoSpaceDN w:val="0"/>
        <w:bidi w:val="0"/>
        <w:adjustRightInd w:val="0"/>
        <w:snapToGrid/>
        <w:spacing w:line="440" w:lineRule="exact"/>
        <w:ind w:firstLine="480" w:firstLineChars="200"/>
        <w:jc w:val="left"/>
        <w:textAlignment w:val="auto"/>
        <w:rPr>
          <w:rFonts w:hint="eastAsia" w:ascii="楷体_GB2312" w:hAnsi="楷体_GB2312" w:eastAsia="楷体_GB2312" w:cs="楷体_GB2312"/>
          <w:b/>
          <w:bCs/>
          <w:color w:val="auto"/>
          <w:sz w:val="24"/>
          <w:highlight w:val="none"/>
        </w:rPr>
      </w:pPr>
      <w:r>
        <w:rPr>
          <w:rFonts w:hint="eastAsia" w:ascii="楷体_GB2312" w:hAnsi="楷体_GB2312" w:eastAsia="楷体_GB2312" w:cs="楷体_GB2312"/>
          <w:b/>
          <w:bCs/>
          <w:color w:val="auto"/>
          <w:sz w:val="24"/>
          <w:highlight w:val="none"/>
        </w:rPr>
        <w:t>4、</w:t>
      </w:r>
      <w:bookmarkStart w:id="0" w:name="_Toc144974514"/>
      <w:bookmarkEnd w:id="0"/>
      <w:bookmarkStart w:id="1" w:name="_Toc247527571"/>
      <w:bookmarkEnd w:id="1"/>
      <w:bookmarkStart w:id="2" w:name="_Toc152045546"/>
      <w:bookmarkEnd w:id="2"/>
      <w:bookmarkStart w:id="3" w:name="_Toc152042322"/>
      <w:bookmarkEnd w:id="3"/>
      <w:bookmarkStart w:id="4" w:name="_Toc300834967"/>
      <w:bookmarkEnd w:id="4"/>
      <w:bookmarkStart w:id="5" w:name="_Toc247513970"/>
      <w:bookmarkEnd w:id="5"/>
      <w:r>
        <w:rPr>
          <w:rFonts w:hint="eastAsia" w:ascii="楷体_GB2312" w:hAnsi="楷体_GB2312" w:eastAsia="楷体_GB2312" w:cs="楷体_GB2312"/>
          <w:b/>
          <w:bCs/>
          <w:color w:val="auto"/>
          <w:sz w:val="24"/>
          <w:highlight w:val="none"/>
          <w:lang w:eastAsia="zh-CN"/>
        </w:rPr>
        <w:t>招标控制</w:t>
      </w:r>
      <w:r>
        <w:rPr>
          <w:rFonts w:hint="eastAsia" w:ascii="楷体_GB2312" w:hAnsi="楷体_GB2312" w:eastAsia="楷体_GB2312" w:cs="楷体_GB2312"/>
          <w:b/>
          <w:bCs/>
          <w:color w:val="auto"/>
          <w:sz w:val="24"/>
          <w:highlight w:val="none"/>
        </w:rPr>
        <w:t>价</w:t>
      </w:r>
    </w:p>
    <w:p>
      <w:pPr>
        <w:keepNext w:val="0"/>
        <w:keepLines w:val="0"/>
        <w:pageBreakBefore w:val="0"/>
        <w:widowControl w:val="0"/>
        <w:wordWrap/>
        <w:topLinePunct w:val="0"/>
        <w:bidi w:val="0"/>
        <w:snapToGrid/>
        <w:spacing w:line="440" w:lineRule="exact"/>
        <w:ind w:firstLine="480" w:firstLineChars="200"/>
        <w:textAlignment w:val="auto"/>
        <w:rPr>
          <w:rFonts w:hint="eastAsia" w:ascii="楷体_GB2312" w:hAnsi="楷体_GB2312" w:eastAsia="楷体_GB2312" w:cs="楷体_GB2312"/>
          <w:color w:val="auto"/>
          <w:sz w:val="24"/>
          <w:highlight w:val="none"/>
        </w:rPr>
      </w:pPr>
      <w:r>
        <w:rPr>
          <w:rFonts w:hint="eastAsia" w:ascii="楷体_GB2312" w:hAnsi="楷体_GB2312" w:eastAsia="楷体_GB2312" w:cs="楷体_GB2312"/>
          <w:b/>
          <w:color w:val="auto"/>
          <w:sz w:val="24"/>
          <w:highlight w:val="none"/>
        </w:rPr>
        <w:t>4.1本工程</w:t>
      </w:r>
      <w:r>
        <w:rPr>
          <w:rFonts w:hint="eastAsia" w:ascii="楷体_GB2312" w:hAnsi="楷体_GB2312" w:eastAsia="楷体_GB2312" w:cs="楷体_GB2312"/>
          <w:b/>
          <w:color w:val="auto"/>
          <w:sz w:val="24"/>
          <w:highlight w:val="none"/>
          <w:lang w:eastAsia="zh-CN"/>
        </w:rPr>
        <w:t>招标控制</w:t>
      </w:r>
      <w:r>
        <w:rPr>
          <w:rFonts w:hint="eastAsia" w:ascii="楷体_GB2312" w:hAnsi="楷体_GB2312" w:eastAsia="楷体_GB2312" w:cs="楷体_GB2312"/>
          <w:b/>
          <w:color w:val="auto"/>
          <w:sz w:val="24"/>
          <w:highlight w:val="none"/>
        </w:rPr>
        <w:t>价为人民币</w:t>
      </w:r>
      <w:r>
        <w:rPr>
          <w:rFonts w:hint="eastAsia" w:ascii="楷体_GB2312" w:hAnsi="楷体_GB2312" w:eastAsia="楷体_GB2312" w:cs="楷体_GB2312"/>
          <w:b/>
          <w:bCs/>
          <w:color w:val="auto"/>
          <w:sz w:val="24"/>
          <w:highlight w:val="none"/>
          <w:u w:val="single"/>
          <w:lang w:val="en-US" w:eastAsia="zh-CN"/>
        </w:rPr>
        <w:t>27万元</w:t>
      </w:r>
      <w:r>
        <w:rPr>
          <w:rFonts w:hint="eastAsia" w:ascii="楷体_GB2312" w:hAnsi="楷体_GB2312" w:eastAsia="楷体_GB2312" w:cs="楷体_GB2312"/>
          <w:color w:val="auto"/>
          <w:sz w:val="24"/>
          <w:highlight w:val="none"/>
        </w:rPr>
        <w:t>。投标人的投标报价不得超过</w:t>
      </w:r>
      <w:r>
        <w:rPr>
          <w:rFonts w:hint="eastAsia" w:ascii="楷体_GB2312" w:hAnsi="楷体_GB2312" w:eastAsia="楷体_GB2312" w:cs="楷体_GB2312"/>
          <w:color w:val="auto"/>
          <w:sz w:val="24"/>
          <w:highlight w:val="none"/>
          <w:lang w:eastAsia="zh-CN"/>
        </w:rPr>
        <w:t>招标控制价价</w:t>
      </w:r>
      <w:r>
        <w:rPr>
          <w:rFonts w:hint="eastAsia" w:ascii="楷体_GB2312" w:hAnsi="楷体_GB2312" w:eastAsia="楷体_GB2312" w:cs="楷体_GB2312"/>
          <w:color w:val="auto"/>
          <w:sz w:val="24"/>
          <w:highlight w:val="none"/>
        </w:rPr>
        <w:t>，否则作为无效标书处理。</w:t>
      </w:r>
    </w:p>
    <w:p>
      <w:pPr>
        <w:keepNext w:val="0"/>
        <w:keepLines w:val="0"/>
        <w:pageBreakBefore w:val="0"/>
        <w:widowControl w:val="0"/>
        <w:wordWrap/>
        <w:topLinePunct w:val="0"/>
        <w:bidi w:val="0"/>
        <w:snapToGrid/>
        <w:spacing w:line="440" w:lineRule="exact"/>
        <w:ind w:firstLine="420"/>
        <w:textAlignment w:val="auto"/>
        <w:rPr>
          <w:rFonts w:hint="eastAsia" w:ascii="楷体_GB2312" w:hAnsi="楷体_GB2312" w:eastAsia="楷体_GB2312" w:cs="楷体_GB2312"/>
          <w:color w:val="auto"/>
          <w:kern w:val="1"/>
          <w:sz w:val="24"/>
          <w:highlight w:val="none"/>
          <w:lang w:eastAsia="zh-CN"/>
        </w:rPr>
      </w:pPr>
      <w:r>
        <w:rPr>
          <w:rFonts w:hint="eastAsia" w:ascii="楷体_GB2312" w:hAnsi="楷体_GB2312" w:eastAsia="楷体_GB2312" w:cs="楷体_GB2312"/>
          <w:color w:val="auto"/>
          <w:kern w:val="1"/>
          <w:sz w:val="24"/>
          <w:highlight w:val="none"/>
        </w:rPr>
        <w:t>4.2</w:t>
      </w:r>
      <w:r>
        <w:rPr>
          <w:rFonts w:hint="eastAsia" w:ascii="楷体_GB2312" w:hAnsi="楷体_GB2312" w:eastAsia="楷体_GB2312" w:cs="楷体_GB2312"/>
          <w:color w:val="auto"/>
          <w:kern w:val="1"/>
          <w:sz w:val="24"/>
          <w:highlight w:val="none"/>
          <w:lang w:eastAsia="zh-CN"/>
        </w:rPr>
        <w:t>招标控制</w:t>
      </w:r>
      <w:r>
        <w:rPr>
          <w:rFonts w:hint="eastAsia" w:ascii="楷体_GB2312" w:hAnsi="楷体_GB2312" w:eastAsia="楷体_GB2312" w:cs="楷体_GB2312"/>
          <w:color w:val="auto"/>
          <w:kern w:val="1"/>
          <w:sz w:val="24"/>
          <w:highlight w:val="none"/>
        </w:rPr>
        <w:t>价确定的依据：本项目按照施工图纸</w:t>
      </w:r>
      <w:r>
        <w:rPr>
          <w:rFonts w:hint="eastAsia" w:ascii="楷体_GB2312" w:hAnsi="楷体_GB2312" w:eastAsia="楷体_GB2312" w:cs="楷体_GB2312"/>
          <w:color w:val="auto"/>
          <w:kern w:val="1"/>
          <w:sz w:val="24"/>
          <w:highlight w:val="none"/>
          <w:lang w:eastAsia="zh-CN"/>
        </w:rPr>
        <w:t>，施工现场情况，</w:t>
      </w:r>
      <w:r>
        <w:rPr>
          <w:rFonts w:hint="eastAsia" w:ascii="楷体_GB2312" w:hAnsi="楷体_GB2312" w:eastAsia="楷体_GB2312" w:cs="楷体_GB2312"/>
          <w:color w:val="auto"/>
          <w:kern w:val="1"/>
          <w:sz w:val="24"/>
          <w:highlight w:val="none"/>
        </w:rPr>
        <w:t>招标文件（含工程量清单）</w:t>
      </w:r>
      <w:r>
        <w:rPr>
          <w:rFonts w:hint="eastAsia" w:ascii="楷体_GB2312" w:hAnsi="楷体_GB2312" w:eastAsia="楷体_GB2312" w:cs="楷体_GB2312"/>
          <w:color w:val="auto"/>
          <w:kern w:val="1"/>
          <w:sz w:val="24"/>
          <w:highlight w:val="none"/>
          <w:lang w:eastAsia="zh-CN"/>
        </w:rPr>
        <w:t>，参照</w:t>
      </w:r>
      <w:r>
        <w:rPr>
          <w:rFonts w:hint="eastAsia" w:ascii="楷体_GB2312" w:hAnsi="楷体_GB2312" w:eastAsia="楷体_GB2312" w:cs="楷体_GB2312"/>
          <w:color w:val="auto"/>
          <w:kern w:val="1"/>
          <w:sz w:val="24"/>
          <w:highlight w:val="none"/>
        </w:rPr>
        <w:t>《建设工程工程量清单计价规范》（GB50500-2013）、《房屋建筑与装饰工程工程量计算规范》（GB50854-2013）、《通用安装工程工程量计算规范》（GB50856-2013））、《市政工程工程量计算规范》（GB50857-2013）（以下简称《工程量计算规范》）、《江苏省建筑与装饰工程计价定额》（2014版）、《江苏省市政工程计价定额》（2014版）、《江苏省安装工程计价定额》（2014版）（以下简称《计价定额》）、</w:t>
      </w:r>
      <w:r>
        <w:rPr>
          <w:rFonts w:hint="eastAsia" w:ascii="楷体_GB2312" w:hAnsi="楷体_GB2312" w:eastAsia="楷体_GB2312" w:cs="楷体_GB2312"/>
          <w:color w:val="auto"/>
          <w:sz w:val="24"/>
          <w:highlight w:val="none"/>
        </w:rPr>
        <w:t>《江苏省建设工程费用定额》（以下简称《费用定额》）（2014年）以及关于营改增后工程计价依据调整内容（苏建价〔2016〕154号）及苏建函价（2019）178号、江苏省住房和城乡建设厅[2018]第24号公告、江苏省住房和城乡建设厅</w:t>
      </w:r>
      <w:r>
        <w:rPr>
          <w:rFonts w:hint="eastAsia" w:ascii="楷体_GB2312" w:hAnsi="楷体_GB2312" w:eastAsia="楷体_GB2312" w:cs="楷体_GB2312"/>
          <w:bCs/>
          <w:color w:val="auto"/>
          <w:sz w:val="24"/>
          <w:highlight w:val="none"/>
        </w:rPr>
        <w:t>〔2019〕</w:t>
      </w:r>
      <w:r>
        <w:rPr>
          <w:rFonts w:hint="eastAsia" w:ascii="楷体_GB2312" w:hAnsi="楷体_GB2312" w:eastAsia="楷体_GB2312" w:cs="楷体_GB2312"/>
          <w:color w:val="auto"/>
          <w:sz w:val="24"/>
          <w:highlight w:val="none"/>
        </w:rPr>
        <w:t>第19号公告和现行工程造价有关文件规定、2020年第</w:t>
      </w:r>
      <w:r>
        <w:rPr>
          <w:rFonts w:hint="eastAsia" w:ascii="楷体_GB2312" w:hAnsi="楷体_GB2312" w:eastAsia="楷体_GB2312" w:cs="楷体_GB2312"/>
          <w:color w:val="auto"/>
          <w:sz w:val="24"/>
          <w:highlight w:val="none"/>
          <w:lang w:val="en-US" w:eastAsia="zh-CN"/>
        </w:rPr>
        <w:t>10</w:t>
      </w:r>
      <w:r>
        <w:rPr>
          <w:rFonts w:hint="eastAsia" w:ascii="楷体_GB2312" w:hAnsi="楷体_GB2312" w:eastAsia="楷体_GB2312" w:cs="楷体_GB2312"/>
          <w:color w:val="auto"/>
          <w:sz w:val="24"/>
          <w:highlight w:val="none"/>
        </w:rPr>
        <w:t>期</w:t>
      </w:r>
      <w:r>
        <w:rPr>
          <w:rFonts w:hint="eastAsia" w:ascii="楷体_GB2312" w:hAnsi="楷体_GB2312" w:eastAsia="楷体_GB2312" w:cs="楷体_GB2312"/>
          <w:color w:val="auto"/>
          <w:kern w:val="1"/>
          <w:sz w:val="24"/>
          <w:highlight w:val="none"/>
        </w:rPr>
        <w:t>《盐城工程造价》等相关计价文件的规定，计算出预算价。</w:t>
      </w:r>
      <w:r>
        <w:rPr>
          <w:rFonts w:hint="eastAsia" w:ascii="楷体_GB2312" w:hAnsi="楷体_GB2312" w:eastAsia="楷体_GB2312" w:cs="楷体_GB2312"/>
          <w:color w:val="auto"/>
          <w:kern w:val="1"/>
          <w:sz w:val="24"/>
          <w:highlight w:val="none"/>
          <w:lang w:eastAsia="zh-CN"/>
        </w:rPr>
        <w:t>预算价即招标控制价。</w:t>
      </w:r>
    </w:p>
    <w:p>
      <w:pPr>
        <w:keepNext w:val="0"/>
        <w:keepLines w:val="0"/>
        <w:pageBreakBefore w:val="0"/>
        <w:widowControl w:val="0"/>
        <w:wordWrap/>
        <w:topLinePunct w:val="0"/>
        <w:bidi w:val="0"/>
        <w:snapToGrid/>
        <w:spacing w:line="440" w:lineRule="exact"/>
        <w:ind w:left="-1" w:firstLine="480" w:firstLineChars="200"/>
        <w:textAlignment w:val="auto"/>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spacing w:line="440" w:lineRule="exact"/>
        <w:rPr>
          <w:rFonts w:hint="eastAsia" w:ascii="楷体_GB2312" w:hAnsi="楷体_GB2312" w:eastAsia="楷体_GB2312" w:cs="楷体_GB2312"/>
          <w:b/>
          <w:color w:val="auto"/>
          <w:sz w:val="44"/>
          <w:szCs w:val="44"/>
        </w:rPr>
      </w:pPr>
      <w:r>
        <w:rPr>
          <w:rFonts w:hint="eastAsia" w:ascii="楷体_GB2312" w:hAnsi="楷体_GB2312" w:eastAsia="楷体_GB2312" w:cs="楷体_GB2312"/>
          <w:b/>
          <w:color w:val="auto"/>
          <w:sz w:val="44"/>
          <w:szCs w:val="44"/>
        </w:rPr>
        <w:br w:type="page"/>
      </w:r>
    </w:p>
    <w:p>
      <w:pPr>
        <w:spacing w:line="500" w:lineRule="exact"/>
        <w:jc w:val="center"/>
        <w:rPr>
          <w:rFonts w:hint="eastAsia" w:ascii="楷体_GB2312" w:hAnsi="楷体_GB2312" w:eastAsia="楷体_GB2312" w:cs="楷体_GB2312"/>
          <w:b/>
          <w:bCs/>
          <w:color w:val="auto"/>
          <w:sz w:val="44"/>
        </w:rPr>
      </w:pPr>
      <w:r>
        <w:rPr>
          <w:rFonts w:hint="eastAsia" w:ascii="楷体_GB2312" w:hAnsi="楷体_GB2312" w:eastAsia="楷体_GB2312" w:cs="楷体_GB2312"/>
          <w:b/>
          <w:color w:val="auto"/>
          <w:sz w:val="44"/>
          <w:szCs w:val="44"/>
        </w:rPr>
        <w:t>第四部分  投标文件编制方法及要求</w:t>
      </w:r>
    </w:p>
    <w:p>
      <w:pPr>
        <w:spacing w:line="500" w:lineRule="exact"/>
        <w:ind w:firstLine="480" w:firstLineChars="200"/>
        <w:rPr>
          <w:rFonts w:hint="eastAsia" w:ascii="楷体_GB2312" w:hAnsi="楷体_GB2312" w:eastAsia="楷体_GB2312" w:cs="楷体_GB2312"/>
          <w:b/>
          <w:bCs/>
          <w:color w:val="auto"/>
          <w:sz w:val="24"/>
        </w:rPr>
      </w:pPr>
    </w:p>
    <w:p>
      <w:pPr>
        <w:spacing w:line="500" w:lineRule="exact"/>
        <w:ind w:firstLine="480" w:firstLineChars="200"/>
        <w:rPr>
          <w:rFonts w:hint="eastAsia" w:ascii="楷体_GB2312" w:hAnsi="楷体_GB2312" w:eastAsia="楷体_GB2312" w:cs="楷体_GB2312"/>
          <w:b/>
          <w:bCs/>
          <w:color w:val="auto"/>
          <w:sz w:val="24"/>
        </w:rPr>
      </w:pPr>
      <w:r>
        <w:rPr>
          <w:rFonts w:hint="eastAsia" w:ascii="楷体_GB2312" w:hAnsi="楷体_GB2312" w:eastAsia="楷体_GB2312" w:cs="楷体_GB2312"/>
          <w:b/>
          <w:bCs/>
          <w:color w:val="auto"/>
          <w:sz w:val="24"/>
        </w:rPr>
        <w:t>1、投标报价文件的编制依据及要求</w:t>
      </w:r>
    </w:p>
    <w:p>
      <w:pPr>
        <w:spacing w:line="500" w:lineRule="exact"/>
        <w:ind w:left="-1" w:firstLine="480" w:firstLineChars="200"/>
        <w:outlineLvl w:val="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1.1投标报价文件编制的依据：</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1.1.1招标人发出的招标文件、工程量清单及其编制说明、答疑文件、补充通知；</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1.1.2招标人提供的图纸和设定的招标控制价；</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1.1.3《建设工程工程量清单计价规范》（GB50500-2013）、《房屋建筑与装饰工程工程量计算规范》（GB50854-2013）、《市政工程工程量计算规范》（GB50857-2013）、《通用安装工程工程量计算规范》（GB50856-2013）……（以下简称《工程量计算规范》）、《江苏省房屋建筑与装饰工程计价定额》（2014版）、《江苏省安装工程计价定额》（2014版）和《江苏省</w:t>
      </w:r>
      <w:r>
        <w:rPr>
          <w:rFonts w:hint="eastAsia" w:ascii="楷体_GB2312" w:hAnsi="楷体_GB2312" w:eastAsia="楷体_GB2312" w:cs="楷体_GB2312"/>
          <w:color w:val="auto"/>
          <w:sz w:val="24"/>
          <w:u w:val="single"/>
        </w:rPr>
        <w:t>市政</w:t>
      </w:r>
      <w:r>
        <w:rPr>
          <w:rFonts w:hint="eastAsia" w:ascii="楷体_GB2312" w:hAnsi="楷体_GB2312" w:eastAsia="楷体_GB2312" w:cs="楷体_GB2312"/>
          <w:color w:val="auto"/>
          <w:sz w:val="24"/>
        </w:rPr>
        <w:t>工程计价定额》（2014版）……（以下简称《计价定额》）、《江苏省建设工程费用定额》（2014年）及</w:t>
      </w:r>
      <w:r>
        <w:rPr>
          <w:rFonts w:hint="eastAsia" w:ascii="楷体_GB2312" w:hAnsi="楷体_GB2312" w:eastAsia="楷体_GB2312" w:cs="楷体_GB2312"/>
          <w:b/>
          <w:color w:val="auto"/>
          <w:sz w:val="24"/>
        </w:rPr>
        <w:t>营改增后调整内容</w:t>
      </w:r>
      <w:r>
        <w:rPr>
          <w:rFonts w:hint="eastAsia" w:ascii="楷体_GB2312" w:hAnsi="楷体_GB2312" w:eastAsia="楷体_GB2312" w:cs="楷体_GB2312"/>
          <w:color w:val="auto"/>
          <w:sz w:val="24"/>
        </w:rPr>
        <w:t>（以下简称《费用定额》）、《盐城工程造价》、相关计价文件等。</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1.1.4省、市现行其他相关配套文件；　　　</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1.1.5与建设项目相关的标准、施工和验收规范等技术资料；</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1.1.6 施工现场情况、工程特点及投标人拟采用的施工组织设计和施工技术方案；</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1.1.7 投标人的企业定额及投标期间的各类材料市场价格信息或工程造价管理机构发布的工程造价信息；</w:t>
      </w:r>
    </w:p>
    <w:p>
      <w:pPr>
        <w:spacing w:line="500" w:lineRule="exact"/>
        <w:ind w:left="-1" w:firstLine="480" w:firstLineChars="200"/>
        <w:outlineLvl w:val="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1.2投标报价文件编制的要求：</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建筑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1.2.3投标人必须按现行有关规定的费率计取现场安全文明施工措施费基本费、</w:t>
      </w:r>
      <w:r>
        <w:rPr>
          <w:rFonts w:hint="eastAsia" w:ascii="楷体_GB2312" w:hAnsi="楷体_GB2312" w:eastAsia="楷体_GB2312" w:cs="楷体_GB2312"/>
          <w:color w:val="auto"/>
          <w:sz w:val="24"/>
          <w:highlight w:val="none"/>
          <w:lang w:eastAsia="zh-CN"/>
        </w:rPr>
        <w:t>标化增加费及扬尘污染防治增加费</w:t>
      </w:r>
      <w:r>
        <w:rPr>
          <w:rFonts w:hint="eastAsia" w:ascii="楷体_GB2312" w:hAnsi="楷体_GB2312" w:eastAsia="楷体_GB2312" w:cs="楷体_GB2312"/>
          <w:color w:val="auto"/>
          <w:sz w:val="24"/>
          <w:highlight w:val="none"/>
        </w:rPr>
        <w:t>、为完成本项目发生的所有措施项目费、管理费、利润、规费（包括环境保护税、社会保险费、住房公积金）和税金，上述费用综合分摊含在全费用综合单价中。</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1.2.4  投标人在投标报价时未填报综合单价的工程量清单项目，招标人视为已包括在工程量清单计价的其他单价中，无论何种原因使该清单项目发生工程量的变更，结算时均不作调整。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1.2.5  投标人在投标报价时，不得进行投标总价或合价的优惠（或降价、让利）或隐性提价；综合单价与工程量的乘积应与合价一致。</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1.2.6 投标人应充分考虑施工期间各类材料的市场风险和国家政策性调整风险系数，除合同约定可以调整的因素外，在合同实施期间材料价格不因市场变化或其他任何因素变化而变动，投标人在投标报价时应充分考虑本项目项目合同的风险。</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highlight w:val="none"/>
        </w:rPr>
        <w:t>1.2.7除计价规范另有规定外，投标文件使用的度量衡单位，均采用中华人民共和国法定计量单位，投标文件和与投标有关的所有文件均应使用中文，投标报价统一采用人民币作为计量单位。</w:t>
      </w:r>
      <w:r>
        <w:rPr>
          <w:rFonts w:hint="eastAsia" w:ascii="楷体_GB2312" w:hAnsi="楷体_GB2312" w:eastAsia="楷体_GB2312" w:cs="楷体_GB2312"/>
          <w:color w:val="auto"/>
          <w:sz w:val="24"/>
        </w:rPr>
        <w:t xml:space="preserve"> </w:t>
      </w:r>
    </w:p>
    <w:p>
      <w:pPr>
        <w:spacing w:line="500" w:lineRule="exact"/>
        <w:ind w:firstLine="480" w:firstLineChars="200"/>
        <w:rPr>
          <w:rFonts w:hint="eastAsia" w:ascii="楷体_GB2312" w:hAnsi="楷体_GB2312" w:eastAsia="楷体_GB2312" w:cs="楷体_GB2312"/>
          <w:b/>
          <w:bCs/>
          <w:color w:val="auto"/>
          <w:sz w:val="24"/>
        </w:rPr>
      </w:pPr>
      <w:r>
        <w:rPr>
          <w:rFonts w:hint="eastAsia" w:ascii="楷体_GB2312" w:hAnsi="楷体_GB2312" w:eastAsia="楷体_GB2312" w:cs="楷体_GB2312"/>
          <w:b/>
          <w:bCs/>
          <w:color w:val="auto"/>
          <w:sz w:val="24"/>
        </w:rPr>
        <w:t>2、投标文件的编制方法及要求</w:t>
      </w:r>
    </w:p>
    <w:p>
      <w:pPr>
        <w:spacing w:line="480" w:lineRule="exact"/>
        <w:ind w:left="-1"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2.1本次招标的投标文件共为</w:t>
      </w:r>
      <w:r>
        <w:rPr>
          <w:rFonts w:hint="eastAsia" w:ascii="楷体_GB2312" w:hAnsi="楷体_GB2312" w:eastAsia="楷体_GB2312" w:cs="楷体_GB2312"/>
          <w:b/>
          <w:color w:val="auto"/>
          <w:sz w:val="24"/>
          <w:szCs w:val="30"/>
        </w:rPr>
        <w:t>一号标书1个</w:t>
      </w:r>
      <w:r>
        <w:rPr>
          <w:rFonts w:hint="eastAsia" w:ascii="楷体_GB2312" w:hAnsi="楷体_GB2312" w:eastAsia="楷体_GB2312" w:cs="楷体_GB2312"/>
          <w:b/>
          <w:color w:val="auto"/>
          <w:sz w:val="24"/>
        </w:rPr>
        <w:t>标书，份数为正本1份、副本4份。</w:t>
      </w:r>
    </w:p>
    <w:p>
      <w:pPr>
        <w:spacing w:line="480" w:lineRule="exact"/>
        <w:ind w:left="-1"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2.2 一号标书应包括的内容：</w:t>
      </w:r>
    </w:p>
    <w:p>
      <w:pPr>
        <w:spacing w:line="48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2.2.1 封面（样式见附件）。</w:t>
      </w:r>
    </w:p>
    <w:p>
      <w:pPr>
        <w:spacing w:line="48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2.2.2 投标承诺书；法定代表人投标的须提供法定代表人身份证明书（如委托代理人投标的须提供授权委托书）；诚信承诺书</w:t>
      </w:r>
      <w:r>
        <w:rPr>
          <w:rFonts w:hint="eastAsia" w:ascii="楷体_GB2312" w:hAnsi="楷体_GB2312" w:eastAsia="楷体_GB2312" w:cs="楷体_GB2312"/>
          <w:color w:val="auto"/>
          <w:sz w:val="24"/>
          <w:szCs w:val="30"/>
        </w:rPr>
        <w:t>（格式见附件）</w:t>
      </w:r>
      <w:r>
        <w:rPr>
          <w:rFonts w:hint="eastAsia" w:ascii="楷体_GB2312" w:hAnsi="楷体_GB2312" w:eastAsia="楷体_GB2312" w:cs="楷体_GB2312"/>
          <w:color w:val="auto"/>
          <w:sz w:val="24"/>
        </w:rPr>
        <w:t>。</w:t>
      </w:r>
    </w:p>
    <w:p>
      <w:pPr>
        <w:spacing w:line="48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2.2.3</w:t>
      </w:r>
      <w:r>
        <w:rPr>
          <w:rFonts w:hint="eastAsia" w:ascii="楷体_GB2312" w:hAnsi="楷体_GB2312" w:eastAsia="楷体_GB2312" w:cs="楷体_GB2312"/>
          <w:color w:val="auto"/>
          <w:sz w:val="24"/>
          <w:highlight w:val="none"/>
        </w:rPr>
        <w:t>工程量清单计价成果文件（投标报价明细表，格式见附件）</w:t>
      </w:r>
      <w:r>
        <w:rPr>
          <w:rFonts w:hint="eastAsia" w:ascii="楷体_GB2312" w:hAnsi="楷体_GB2312" w:eastAsia="楷体_GB2312" w:cs="楷体_GB2312"/>
          <w:color w:val="auto"/>
          <w:sz w:val="24"/>
          <w:highlight w:val="none"/>
          <w:lang w:eastAsia="zh-CN"/>
        </w:rPr>
        <w:t>；</w:t>
      </w:r>
      <w:r>
        <w:rPr>
          <w:rFonts w:hint="eastAsia" w:ascii="楷体_GB2312" w:hAnsi="楷体_GB2312" w:eastAsia="楷体_GB2312" w:cs="楷体_GB2312"/>
          <w:color w:val="auto"/>
          <w:sz w:val="24"/>
          <w:highlight w:val="none"/>
        </w:rPr>
        <w:t>工程清单计价成果文件必须按照招标文件所提供的格式填入，其格式不得作任何改变。招标人提供的工程量清单中的</w:t>
      </w:r>
      <w:r>
        <w:rPr>
          <w:rFonts w:hint="eastAsia" w:ascii="楷体_GB2312" w:hAnsi="楷体_GB2312" w:eastAsia="楷体_GB2312" w:cs="楷体_GB2312"/>
          <w:color w:val="auto"/>
          <w:sz w:val="24"/>
          <w:highlight w:val="none"/>
          <w:lang w:eastAsia="zh-CN"/>
        </w:rPr>
        <w:t>序号、项目名称、项目特征、单位、数量</w:t>
      </w:r>
      <w:r>
        <w:rPr>
          <w:rFonts w:hint="eastAsia" w:ascii="楷体_GB2312" w:hAnsi="楷体_GB2312" w:eastAsia="楷体_GB2312" w:cs="楷体_GB2312"/>
          <w:color w:val="auto"/>
          <w:sz w:val="24"/>
          <w:highlight w:val="none"/>
        </w:rPr>
        <w:t>，投标人在投标报价时不得作任何更改变动，否则一切责任由投标单位自负。如果投标人认为清单内容有误或遗漏，只能通过答疑的方式由招标人统一修改更正</w:t>
      </w:r>
      <w:r>
        <w:rPr>
          <w:rFonts w:hint="eastAsia" w:ascii="楷体_GB2312" w:hAnsi="楷体_GB2312" w:eastAsia="楷体_GB2312" w:cs="楷体_GB2312"/>
          <w:color w:val="auto"/>
          <w:sz w:val="24"/>
        </w:rPr>
        <w:t>。</w:t>
      </w:r>
    </w:p>
    <w:p>
      <w:pPr>
        <w:tabs>
          <w:tab w:val="left" w:pos="6161"/>
        </w:tabs>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2.2.4符合招标文件要求的有效的投标人施工资质证书、安全生产许可证、营业执照、项目负责人建造师注册证书、项目负责人安全生产考核合格证书（B类）的原件及复印件。注：能有效识别二维码的复印件加盖证书持有单位公章和能有效识别二维码的电子证书加盖证书持有单位公章可视为原件。</w:t>
      </w:r>
      <w:r>
        <w:rPr>
          <w:rFonts w:hint="eastAsia" w:ascii="楷体_GB2312" w:hAnsi="楷体_GB2312" w:eastAsia="楷体_GB2312" w:cs="楷体_GB2312"/>
          <w:color w:val="auto"/>
          <w:sz w:val="24"/>
        </w:rPr>
        <w:tab/>
      </w:r>
    </w:p>
    <w:p>
      <w:pPr>
        <w:spacing w:line="50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注：以上2.2.1～2.2.4项材料装订成册,如有证书原件无需装订直接放入封袋中。如投标人投标文件中正副本不全，将不作为中标候选人。</w:t>
      </w:r>
    </w:p>
    <w:p>
      <w:pPr>
        <w:spacing w:line="50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评审过程中对投标人所提供的资料要求以评标办法及上述一号标书组成规定为准，其他部分如有涉及，一律不作为评审依据。</w:t>
      </w:r>
    </w:p>
    <w:p>
      <w:pPr>
        <w:spacing w:line="50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2.4投标文件编制的其他要求：</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2.4.1招标文件提供的表式投标人应使用，但表式可以按同样格式拓展。</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hint="eastAsia" w:ascii="楷体_GB2312" w:hAnsi="楷体_GB2312" w:eastAsia="楷体_GB2312" w:cs="楷体_GB2312"/>
          <w:b/>
          <w:bCs/>
          <w:color w:val="auto"/>
          <w:sz w:val="24"/>
        </w:rPr>
      </w:pPr>
      <w:r>
        <w:rPr>
          <w:rFonts w:hint="eastAsia" w:ascii="楷体_GB2312" w:hAnsi="楷体_GB2312" w:eastAsia="楷体_GB2312" w:cs="楷体_GB2312"/>
          <w:b/>
          <w:bCs/>
          <w:color w:val="auto"/>
          <w:sz w:val="24"/>
        </w:rPr>
        <w:t>3、投标有效期</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3.1本招标项目投标有效期见第一部分投标须知。</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 xml:space="preserve">3.2在投标有效期内，投标人不得要求撤销或修改其投标文件。 </w:t>
      </w:r>
      <w:r>
        <w:rPr>
          <w:rFonts w:hint="eastAsia" w:ascii="楷体_GB2312" w:hAnsi="楷体_GB2312" w:eastAsia="楷体_GB2312" w:cs="楷体_GB2312"/>
          <w:color w:val="auto"/>
          <w:sz w:val="24"/>
        </w:rPr>
        <w:cr/>
      </w:r>
      <w:r>
        <w:rPr>
          <w:rFonts w:hint="eastAsia" w:ascii="楷体_GB2312" w:hAnsi="楷体_GB2312" w:eastAsia="楷体_GB2312" w:cs="楷体_GB2312"/>
          <w:color w:val="auto"/>
          <w:sz w:val="24"/>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4、投标文件的密封与标志</w:t>
      </w:r>
    </w:p>
    <w:p>
      <w:pPr>
        <w:spacing w:line="500" w:lineRule="exact"/>
        <w:ind w:firstLine="480" w:firstLineChars="200"/>
        <w:rPr>
          <w:rFonts w:hint="eastAsia" w:ascii="楷体_GB2312" w:hAnsi="楷体_GB2312" w:eastAsia="楷体_GB2312" w:cs="楷体_GB2312"/>
          <w:color w:val="auto"/>
          <w:sz w:val="24"/>
          <w:u w:val="single"/>
        </w:rPr>
      </w:pPr>
      <w:r>
        <w:rPr>
          <w:rFonts w:hint="eastAsia" w:ascii="楷体_GB2312" w:hAnsi="楷体_GB2312" w:eastAsia="楷体_GB2312" w:cs="楷体_GB2312"/>
          <w:color w:val="auto"/>
          <w:sz w:val="24"/>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4.2所有投标文件装入封袋后都必须在封口处密封并加盖投标人公章。</w:t>
      </w:r>
    </w:p>
    <w:p>
      <w:pPr>
        <w:spacing w:line="50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5、投标文件的递交</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5.1投标人必须在招标文件规定的投标文件递交截止时间前完成投标文件的递交。</w:t>
      </w:r>
    </w:p>
    <w:p>
      <w:pPr>
        <w:snapToGrid w:val="0"/>
        <w:spacing w:line="440" w:lineRule="exact"/>
        <w:ind w:firstLine="480" w:firstLineChars="200"/>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5.2投标人递交投标文件的地点：见投标须知前附表。</w:t>
      </w:r>
    </w:p>
    <w:p>
      <w:pPr>
        <w:pStyle w:val="9"/>
        <w:adjustRightInd w:val="0"/>
        <w:snapToGrid w:val="0"/>
        <w:spacing w:line="44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6、投标文件的修改与撤回</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 xml:space="preserve">6.1在招标文件规定的投标截止时间之前，投标人可对所递交的投标文件进行修改或撤回，但必须以书面形式通知招标人。 </w:t>
      </w:r>
      <w:r>
        <w:rPr>
          <w:rFonts w:hint="eastAsia" w:ascii="楷体_GB2312" w:hAnsi="楷体_GB2312" w:eastAsia="楷体_GB2312" w:cs="楷体_GB2312"/>
          <w:color w:val="auto"/>
          <w:sz w:val="24"/>
        </w:rPr>
        <w:cr/>
      </w:r>
      <w:r>
        <w:rPr>
          <w:rFonts w:hint="eastAsia" w:ascii="楷体_GB2312" w:hAnsi="楷体_GB2312" w:eastAsia="楷体_GB2312" w:cs="楷体_GB2312"/>
          <w:color w:val="auto"/>
          <w:sz w:val="24"/>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6.3修改的内容为投标文件的组成部分。</w:t>
      </w:r>
    </w:p>
    <w:p>
      <w:pPr>
        <w:spacing w:line="50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7、投标费用</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投标人应承担其编制和递交投标文件所涉及的一切费用，无论投标结果如何，招标人对上述费用不负任何责任。</w:t>
      </w:r>
    </w:p>
    <w:p>
      <w:pPr>
        <w:spacing w:line="500" w:lineRule="exact"/>
        <w:rPr>
          <w:rFonts w:hint="eastAsia" w:ascii="楷体_GB2312" w:hAnsi="楷体_GB2312" w:eastAsia="楷体_GB2312" w:cs="楷体_GB2312"/>
          <w:b/>
          <w:color w:val="auto"/>
          <w:sz w:val="44"/>
          <w:szCs w:val="44"/>
        </w:rPr>
      </w:pPr>
      <w:r>
        <w:rPr>
          <w:rFonts w:hint="eastAsia" w:ascii="楷体_GB2312" w:hAnsi="楷体_GB2312" w:eastAsia="楷体_GB2312" w:cs="楷体_GB2312"/>
          <w:color w:val="auto"/>
          <w:sz w:val="24"/>
          <w:highlight w:val="none"/>
        </w:rPr>
        <w:t>本项目招标代理服务费（收费标准按计价格（2002）1980号文规定的标准×42%计取，如低于3000元的直接按3000元计取）</w:t>
      </w:r>
      <w:r>
        <w:rPr>
          <w:rFonts w:hint="eastAsia" w:ascii="楷体_GB2312" w:hAnsi="楷体_GB2312" w:eastAsia="楷体_GB2312" w:cs="楷体_GB2312"/>
          <w:color w:val="auto"/>
          <w:sz w:val="24"/>
          <w:highlight w:val="none"/>
          <w:lang w:eastAsia="zh-CN"/>
        </w:rPr>
        <w:t>和设计费（</w:t>
      </w:r>
      <w:r>
        <w:rPr>
          <w:rFonts w:hint="eastAsia" w:ascii="楷体_GB2312" w:hAnsi="楷体_GB2312" w:eastAsia="楷体_GB2312" w:cs="楷体_GB2312"/>
          <w:color w:val="auto"/>
          <w:sz w:val="24"/>
          <w:highlight w:val="none"/>
          <w:lang w:val="en-US" w:eastAsia="zh-CN"/>
        </w:rPr>
        <w:t>1.5万元</w:t>
      </w:r>
      <w:r>
        <w:rPr>
          <w:rFonts w:hint="eastAsia" w:ascii="楷体_GB2312" w:hAnsi="楷体_GB2312" w:eastAsia="楷体_GB2312" w:cs="楷体_GB2312"/>
          <w:color w:val="auto"/>
          <w:sz w:val="24"/>
          <w:highlight w:val="none"/>
          <w:lang w:eastAsia="zh-CN"/>
        </w:rPr>
        <w:t>）两项费用均</w:t>
      </w:r>
      <w:r>
        <w:rPr>
          <w:rFonts w:hint="eastAsia" w:ascii="楷体_GB2312" w:hAnsi="楷体_GB2312" w:eastAsia="楷体_GB2312" w:cs="楷体_GB2312"/>
          <w:color w:val="auto"/>
          <w:sz w:val="24"/>
          <w:highlight w:val="none"/>
        </w:rPr>
        <w:t>由中标人承担，各投标人在投标报价时须将</w:t>
      </w:r>
      <w:r>
        <w:rPr>
          <w:rFonts w:hint="eastAsia" w:ascii="楷体_GB2312" w:hAnsi="楷体_GB2312" w:eastAsia="楷体_GB2312" w:cs="楷体_GB2312"/>
          <w:color w:val="auto"/>
          <w:sz w:val="24"/>
          <w:highlight w:val="none"/>
          <w:lang w:eastAsia="zh-CN"/>
        </w:rPr>
        <w:t>上述两项</w:t>
      </w:r>
      <w:r>
        <w:rPr>
          <w:rFonts w:hint="eastAsia" w:ascii="楷体_GB2312" w:hAnsi="楷体_GB2312" w:eastAsia="楷体_GB2312" w:cs="楷体_GB2312"/>
          <w:color w:val="auto"/>
          <w:sz w:val="24"/>
          <w:highlight w:val="none"/>
        </w:rPr>
        <w:t>费用自行综合考虑分摊含进投标报价中，且不得单列，在开具中标通知书前一次性交纳。招标人不再承担上述费用。</w:t>
      </w:r>
    </w:p>
    <w:p>
      <w:pPr>
        <w:pStyle w:val="8"/>
        <w:rPr>
          <w:rFonts w:hint="eastAsia" w:ascii="楷体_GB2312" w:hAnsi="楷体_GB2312" w:eastAsia="楷体_GB2312" w:cs="楷体_GB2312"/>
          <w:b/>
          <w:color w:val="auto"/>
          <w:sz w:val="44"/>
          <w:szCs w:val="44"/>
        </w:rPr>
      </w:pPr>
    </w:p>
    <w:p>
      <w:pPr>
        <w:pStyle w:val="8"/>
        <w:rPr>
          <w:rFonts w:hint="eastAsia" w:ascii="楷体_GB2312" w:hAnsi="楷体_GB2312" w:eastAsia="楷体_GB2312" w:cs="楷体_GB2312"/>
          <w:b/>
          <w:color w:val="auto"/>
          <w:sz w:val="44"/>
          <w:szCs w:val="44"/>
        </w:rPr>
      </w:pPr>
    </w:p>
    <w:p>
      <w:pPr>
        <w:rPr>
          <w:rFonts w:hint="eastAsia" w:ascii="楷体_GB2312" w:hAnsi="楷体_GB2312" w:eastAsia="楷体_GB2312" w:cs="楷体_GB2312"/>
          <w:b/>
          <w:color w:val="auto"/>
          <w:sz w:val="44"/>
          <w:szCs w:val="44"/>
        </w:rPr>
      </w:pPr>
      <w:r>
        <w:rPr>
          <w:rFonts w:hint="eastAsia" w:ascii="楷体_GB2312" w:hAnsi="楷体_GB2312" w:eastAsia="楷体_GB2312" w:cs="楷体_GB2312"/>
          <w:b/>
          <w:color w:val="auto"/>
          <w:sz w:val="44"/>
          <w:szCs w:val="44"/>
        </w:rPr>
        <w:br w:type="page"/>
      </w:r>
    </w:p>
    <w:p>
      <w:pPr>
        <w:widowControl/>
        <w:jc w:val="center"/>
        <w:rPr>
          <w:rFonts w:hint="eastAsia" w:ascii="楷体_GB2312" w:hAnsi="楷体_GB2312" w:eastAsia="楷体_GB2312" w:cs="楷体_GB2312"/>
          <w:b/>
          <w:bCs/>
          <w:color w:val="auto"/>
          <w:sz w:val="44"/>
        </w:rPr>
      </w:pPr>
      <w:r>
        <w:rPr>
          <w:rFonts w:hint="eastAsia" w:ascii="楷体_GB2312" w:hAnsi="楷体_GB2312" w:eastAsia="楷体_GB2312" w:cs="楷体_GB2312"/>
          <w:b/>
          <w:color w:val="auto"/>
          <w:sz w:val="44"/>
          <w:szCs w:val="44"/>
        </w:rPr>
        <w:t>第五部分  开标 评标 定标</w:t>
      </w:r>
    </w:p>
    <w:p>
      <w:pPr>
        <w:spacing w:line="500" w:lineRule="exact"/>
        <w:ind w:left="-1" w:firstLine="480" w:firstLineChars="200"/>
        <w:rPr>
          <w:rFonts w:hint="eastAsia" w:ascii="楷体_GB2312" w:hAnsi="楷体_GB2312" w:eastAsia="楷体_GB2312" w:cs="楷体_GB2312"/>
          <w:color w:val="auto"/>
          <w:sz w:val="24"/>
        </w:rPr>
      </w:pPr>
    </w:p>
    <w:p>
      <w:pPr>
        <w:spacing w:line="50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1、评标定标办法和评标规则</w:t>
      </w:r>
    </w:p>
    <w:p>
      <w:pPr>
        <w:spacing w:line="50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color w:val="auto"/>
          <w:sz w:val="24"/>
        </w:rPr>
        <w:t>本项目评标办法采用</w:t>
      </w:r>
      <w:r>
        <w:rPr>
          <w:rFonts w:hint="eastAsia" w:ascii="楷体_GB2312" w:hAnsi="楷体_GB2312" w:eastAsia="楷体_GB2312" w:cs="楷体_GB2312"/>
          <w:color w:val="auto"/>
          <w:sz w:val="24"/>
          <w:u w:val="single"/>
        </w:rPr>
        <w:t>盐城ABCD合成法</w:t>
      </w:r>
      <w:r>
        <w:rPr>
          <w:rFonts w:hint="eastAsia" w:ascii="楷体_GB2312" w:hAnsi="楷体_GB2312" w:eastAsia="楷体_GB2312" w:cs="楷体_GB2312"/>
          <w:color w:val="auto"/>
          <w:sz w:val="24"/>
        </w:rPr>
        <w:t>，评标委员会按评标办法推荐有排序的中标候选人，由招标人依照国家有关法律、法规及定标办法确定中标人，具体评标定标办法及评标规则详见第七部分。</w:t>
      </w:r>
    </w:p>
    <w:p>
      <w:pPr>
        <w:spacing w:line="50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2、开标、评标、定标</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2.1开标按投标须知前附表规定的时间、地点举行。</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投标人对开标内容有异议的，应当在开标现场提出，否则视同认可。</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2.3招标人根据评标委员会提出的书面评标报告和推荐的中标候选人依法确定中标人。</w:t>
      </w:r>
    </w:p>
    <w:p>
      <w:pPr>
        <w:spacing w:line="50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3、评标定标办法</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详见第七部分。</w:t>
      </w:r>
    </w:p>
    <w:p>
      <w:pPr>
        <w:spacing w:line="50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4、投标文件有下列情况之一的，属于重大偏差，视为未能对招标文件作出实质性响应，作为无效投标予以否决：</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4.1投标文件中的投标函未加盖投标人的公章；</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4.2投标文件中的投标函未加盖企业法定代表人（或企业法定代表人委托代理人）印章（或签字）的；</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4.3投标函加盖企业法定代表人委托代理人印章（或签字），企业法定代表人委托代理人没有合法、有效的委托书（原件）的；</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4.4投标人资质条件不符合国家有关规定，或者不满足招标文件规定的资格条件；</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4.5投标报价低于工程成本或者高于招标文件设定的招标控制价的；</w:t>
      </w:r>
    </w:p>
    <w:p>
      <w:pPr>
        <w:spacing w:line="500" w:lineRule="exact"/>
        <w:rPr>
          <w:rFonts w:hint="eastAsia" w:ascii="楷体_GB2312" w:hAnsi="楷体_GB2312" w:eastAsia="楷体_GB2312" w:cs="楷体_GB2312"/>
          <w:vanish/>
          <w:color w:val="auto"/>
          <w:sz w:val="24"/>
        </w:rPr>
      </w:pPr>
      <w:r>
        <w:rPr>
          <w:rFonts w:hint="eastAsia" w:ascii="楷体_GB2312" w:hAnsi="楷体_GB2312" w:eastAsia="楷体_GB2312" w:cs="楷体_GB2312"/>
          <w:vanish/>
          <w:color w:val="auto"/>
          <w:sz w:val="24"/>
        </w:rPr>
        <w:t>情况除外于成本或者高于招标文件设定的最高投标限价的）绝其投标）</w:t>
      </w:r>
    </w:p>
    <w:p>
      <w:pPr>
        <w:spacing w:line="500" w:lineRule="exact"/>
        <w:ind w:firstLine="48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4.6同一投标人提交两个及以上不同的投标文件或者投标报价，但招标文件规定提交备选投标的除外；</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4.7投标文件中已标价工程量清单与招标文件规定的暂估价、暂列金额及甲供材料价格不一致的；</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4.8投标文件中已标价工程量清单与招标文件明确列出的不可竞争费用项目或费率或计算基础不一致的；</w:t>
      </w:r>
    </w:p>
    <w:p>
      <w:pPr>
        <w:spacing w:line="500" w:lineRule="exact"/>
        <w:ind w:firstLine="480"/>
        <w:rPr>
          <w:rFonts w:hint="eastAsia" w:ascii="楷体_GB2312" w:hAnsi="楷体_GB2312" w:eastAsia="楷体_GB2312" w:cs="楷体_GB2312"/>
          <w:color w:val="auto"/>
          <w:sz w:val="24"/>
        </w:rPr>
      </w:pPr>
      <w:r>
        <w:rPr>
          <w:rFonts w:hint="eastAsia" w:ascii="楷体_GB2312" w:hAnsi="楷体_GB2312" w:eastAsia="楷体_GB2312" w:cs="楷体_GB2312"/>
          <w:vanish/>
          <w:color w:val="auto"/>
          <w:sz w:val="24"/>
        </w:rPr>
        <w:t xml:space="preserve">    16.15</w:t>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color w:val="auto"/>
          <w:sz w:val="24"/>
        </w:rPr>
        <w:t>4.9投标文件中已标价工程量清单与招标文件提供的工程量清单中的项目编码、项目名称、项目特征、计量单位、工程量不一致的；</w:t>
      </w:r>
    </w:p>
    <w:p>
      <w:pPr>
        <w:spacing w:line="500" w:lineRule="exac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 xml:space="preserve">    4.10未按招标文件要求提供投标保证金的；</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4.11投标文件载明的招标项目完成期限超过招标文件规定的期限的；</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4.12明显不符合技术规范、技术标准的要求；</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4.13投标文件载明的货物包装方式、检验标准和方法等不符合招标文件的要求的；</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4.14投标文件提出了不能满足招标文件要求或招标人不能接受的工程验收、计量、价款结算和支付办法的；</w:t>
      </w:r>
    </w:p>
    <w:p>
      <w:pPr>
        <w:spacing w:line="500" w:lineRule="exact"/>
        <w:rPr>
          <w:rFonts w:hint="eastAsia" w:ascii="楷体_GB2312" w:hAnsi="楷体_GB2312" w:eastAsia="楷体_GB2312" w:cs="楷体_GB2312"/>
          <w:color w:val="auto"/>
          <w:sz w:val="24"/>
        </w:rPr>
      </w:pPr>
      <w:r>
        <w:rPr>
          <w:rFonts w:hint="eastAsia" w:ascii="楷体_GB2312" w:hAnsi="楷体_GB2312" w:eastAsia="楷体_GB2312" w:cs="楷体_GB2312"/>
          <w:vanish/>
          <w:color w:val="auto"/>
          <w:sz w:val="24"/>
        </w:rPr>
        <w:cr/>
      </w:r>
      <w:r>
        <w:rPr>
          <w:rFonts w:hint="eastAsia" w:ascii="楷体_GB2312" w:hAnsi="楷体_GB2312" w:eastAsia="楷体_GB2312" w:cs="楷体_GB2312"/>
          <w:vanish/>
          <w:color w:val="auto"/>
          <w:sz w:val="24"/>
        </w:rPr>
        <w:t xml:space="preserve">   0明的招标项目完成期限超过招标文件规定的期限、</w:t>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vanish/>
          <w:color w:val="auto"/>
          <w:sz w:val="24"/>
        </w:rPr>
        <w:pgNum/>
      </w:r>
      <w:r>
        <w:rPr>
          <w:rFonts w:hint="eastAsia" w:ascii="楷体_GB2312" w:hAnsi="楷体_GB2312" w:eastAsia="楷体_GB2312" w:cs="楷体_GB2312"/>
          <w:color w:val="auto"/>
          <w:sz w:val="24"/>
        </w:rPr>
        <w:t xml:space="preserve">    4.15不同投标人的投标文件制作过程出现了评标委员会认为不应当雷同的情况；</w:t>
      </w:r>
    </w:p>
    <w:p>
      <w:pPr>
        <w:spacing w:line="500" w:lineRule="exact"/>
        <w:ind w:firstLine="48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4.16以他人的名义投标、串通投标、以行贿手段谋取中标或者以其他弄虚作假方式投标的；</w:t>
      </w:r>
    </w:p>
    <w:p>
      <w:pPr>
        <w:spacing w:line="500" w:lineRule="exact"/>
        <w:ind w:firstLine="48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4.17投标文件关键内容模糊、无法辨认的</w:t>
      </w:r>
    </w:p>
    <w:p>
      <w:pPr>
        <w:spacing w:line="50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5、投标文件的澄清</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 xml:space="preserve">5.2评标委员会不接受投标人主动提出的澄清、说明或补正。 </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5.3对于评标委员会要求澄清、说明或者补正的内容，投标人应做出书面答复，但书面答复中不得改变投标文件的实质性内容；书面答复须经投标人法定代表人或其代理人的签署或加盖印章，并视为投标文件的组成部分。</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5.4评标委员会对投标人提交的答复仍有疑问的，可以要求投标人进一步澄清、说明或补正，直至满足评标委员会的要求。</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6、评标、定标</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6.1评标委员会组成</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6.1.1评标委员会由招标人组织相关专家和其他人员组成。</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6.1.2评标委员会在评标时独立开展工作，负责评审所有投标文件，并根据评标办法推荐中标候选人。</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6.1.3评标委员会决定投标文件的响应性只根据投标文件本身的内容，而不寻求外部的证据。</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6.1.5招标人根据评标委员会推荐的中标候选人，确定排名第一的中标候选人为中标人。</w:t>
      </w:r>
    </w:p>
    <w:p>
      <w:pPr>
        <w:spacing w:line="500" w:lineRule="exact"/>
        <w:ind w:left="-1" w:firstLine="480" w:firstLineChars="200"/>
        <w:rPr>
          <w:rFonts w:hint="eastAsia" w:ascii="楷体_GB2312" w:hAnsi="楷体_GB2312" w:eastAsia="楷体_GB2312" w:cs="楷体_GB2312"/>
          <w:b/>
          <w:bCs/>
          <w:color w:val="auto"/>
          <w:sz w:val="24"/>
        </w:rPr>
      </w:pPr>
      <w:r>
        <w:rPr>
          <w:rFonts w:hint="eastAsia" w:ascii="楷体_GB2312" w:hAnsi="楷体_GB2312" w:eastAsia="楷体_GB2312" w:cs="楷体_GB2312"/>
          <w:b/>
          <w:bCs/>
          <w:color w:val="auto"/>
          <w:sz w:val="24"/>
        </w:rPr>
        <w:t>7、评标结果公示</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招标人应当自收到评标报告之日起3日内在招标公告发布媒介上发布评标结果公示表，公示期不得少于3日。</w:t>
      </w:r>
    </w:p>
    <w:p>
      <w:pPr>
        <w:spacing w:line="500" w:lineRule="exact"/>
        <w:ind w:left="-1" w:firstLine="480" w:firstLineChars="200"/>
        <w:rPr>
          <w:rFonts w:hint="eastAsia" w:ascii="楷体_GB2312" w:hAnsi="楷体_GB2312" w:eastAsia="楷体_GB2312" w:cs="楷体_GB2312"/>
          <w:b/>
          <w:bCs/>
          <w:color w:val="auto"/>
          <w:sz w:val="24"/>
        </w:rPr>
      </w:pPr>
      <w:r>
        <w:rPr>
          <w:rFonts w:hint="eastAsia" w:ascii="楷体_GB2312" w:hAnsi="楷体_GB2312" w:eastAsia="楷体_GB2312" w:cs="楷体_GB2312"/>
          <w:b/>
          <w:bCs/>
          <w:color w:val="auto"/>
          <w:sz w:val="24"/>
        </w:rPr>
        <w:t>8、中标通知</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9、授予合同</w:t>
      </w:r>
    </w:p>
    <w:p>
      <w:pPr>
        <w:spacing w:line="500" w:lineRule="exact"/>
        <w:ind w:left="-1"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color w:val="auto"/>
          <w:sz w:val="24"/>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0" w:firstLineChars="200"/>
        <w:rPr>
          <w:rFonts w:hint="eastAsia" w:ascii="楷体_GB2312" w:hAnsi="楷体_GB2312" w:eastAsia="楷体_GB2312" w:cs="楷体_GB2312"/>
          <w:b/>
          <w:bCs/>
          <w:color w:val="auto"/>
          <w:sz w:val="24"/>
        </w:rPr>
      </w:pPr>
      <w:r>
        <w:rPr>
          <w:rFonts w:hint="eastAsia" w:ascii="楷体_GB2312" w:hAnsi="楷体_GB2312" w:eastAsia="楷体_GB2312" w:cs="楷体_GB2312"/>
          <w:b/>
          <w:bCs/>
          <w:color w:val="auto"/>
          <w:sz w:val="24"/>
        </w:rPr>
        <w:t>10、其他</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10.1</w:t>
      </w:r>
      <w:r>
        <w:rPr>
          <w:rFonts w:hint="eastAsia" w:ascii="楷体_GB2312" w:hAnsi="楷体_GB2312" w:eastAsia="楷体_GB2312" w:cs="楷体_GB2312"/>
          <w:b/>
          <w:color w:val="auto"/>
          <w:sz w:val="24"/>
        </w:rPr>
        <w:t>中标结果在网上公示后，投标人或者其他利害关系人对依法必须进行招标的项目的评标结果有异议的（异议书格式详见附件），应当在中标候选人公示期间提出。</w:t>
      </w:r>
      <w:r>
        <w:rPr>
          <w:rFonts w:hint="eastAsia" w:ascii="楷体_GB2312" w:hAnsi="楷体_GB2312" w:eastAsia="楷体_GB2312" w:cs="楷体_GB2312"/>
          <w:color w:val="auto"/>
          <w:sz w:val="24"/>
        </w:rPr>
        <w:t>除原件外，所有的投标文件均不予退还，请投标人另行存档备份。</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10.2.1 招投标各方主体及个人在招投标活动中违反法律法规和规章规定受到行政处罚的，公示不少于3个月。</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10.2.2投标人在招投标活动中出现如下失信行为，公示1-3个月：</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（3）企业一年内4次在全省投诉反映情况不属实，缺乏事实或法律依据的，公示1个月；</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（4）投诉人故意捏造事实、伪造证明材料的，或者以非法手段取得证明材料等进行恶意投诉的，公示3个月。</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10.3投标须知以及答疑文件、补充通知对本条款作出补充调整的，从其规定。</w:t>
      </w:r>
    </w:p>
    <w:p>
      <w:pPr>
        <w:spacing w:line="500" w:lineRule="exact"/>
        <w:ind w:left="-1"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10.4本条款未尽事宜，按国家和省有关法律、法规规定处理。</w:t>
      </w:r>
    </w:p>
    <w:p>
      <w:pPr>
        <w:spacing w:line="360" w:lineRule="auto"/>
        <w:rPr>
          <w:rFonts w:hint="eastAsia" w:ascii="楷体_GB2312" w:hAnsi="楷体_GB2312" w:eastAsia="楷体_GB2312" w:cs="楷体_GB2312"/>
          <w:color w:val="auto"/>
          <w:sz w:val="28"/>
          <w:szCs w:val="28"/>
        </w:rPr>
      </w:pPr>
    </w:p>
    <w:p>
      <w:pPr>
        <w:spacing w:line="500" w:lineRule="exact"/>
        <w:ind w:firstLine="560" w:firstLineChars="200"/>
        <w:jc w:val="center"/>
        <w:rPr>
          <w:rFonts w:hint="eastAsia" w:ascii="楷体_GB2312" w:hAnsi="楷体_GB2312" w:eastAsia="楷体_GB2312" w:cs="楷体_GB2312"/>
          <w:b/>
          <w:color w:val="auto"/>
          <w:sz w:val="44"/>
          <w:szCs w:val="44"/>
        </w:rPr>
      </w:pPr>
      <w:r>
        <w:rPr>
          <w:rFonts w:hint="eastAsia" w:ascii="楷体_GB2312" w:hAnsi="楷体_GB2312" w:eastAsia="楷体_GB2312" w:cs="楷体_GB2312"/>
          <w:b/>
          <w:color w:val="auto"/>
          <w:sz w:val="28"/>
          <w:szCs w:val="28"/>
        </w:rPr>
        <w:br w:type="page"/>
      </w:r>
      <w:r>
        <w:rPr>
          <w:rFonts w:hint="eastAsia" w:ascii="楷体_GB2312" w:hAnsi="楷体_GB2312" w:eastAsia="楷体_GB2312" w:cs="楷体_GB2312"/>
          <w:b/>
          <w:color w:val="auto"/>
          <w:sz w:val="44"/>
          <w:szCs w:val="44"/>
        </w:rPr>
        <w:t>第六部分  合同主要条款</w:t>
      </w:r>
    </w:p>
    <w:p>
      <w:pPr>
        <w:spacing w:line="500" w:lineRule="exact"/>
        <w:ind w:firstLine="480" w:firstLineChars="200"/>
        <w:rPr>
          <w:rFonts w:hint="eastAsia" w:ascii="楷体_GB2312" w:hAnsi="楷体_GB2312" w:eastAsia="楷体_GB2312" w:cs="楷体_GB2312"/>
          <w:b/>
          <w:color w:val="auto"/>
          <w:sz w:val="24"/>
        </w:rPr>
      </w:pPr>
    </w:p>
    <w:p>
      <w:pPr>
        <w:spacing w:line="500" w:lineRule="exact"/>
        <w:ind w:firstLine="480" w:firstLineChars="200"/>
        <w:rPr>
          <w:rFonts w:hint="eastAsia" w:ascii="楷体_GB2312" w:hAnsi="楷体_GB2312" w:eastAsia="楷体_GB2312" w:cs="楷体_GB2312"/>
          <w:b/>
          <w:color w:val="auto"/>
          <w:sz w:val="24"/>
          <w:highlight w:val="none"/>
        </w:rPr>
      </w:pPr>
      <w:r>
        <w:rPr>
          <w:rFonts w:hint="eastAsia" w:ascii="楷体_GB2312" w:hAnsi="楷体_GB2312" w:eastAsia="楷体_GB2312" w:cs="楷体_GB2312"/>
          <w:b/>
          <w:color w:val="auto"/>
          <w:sz w:val="24"/>
          <w:highlight w:val="none"/>
        </w:rPr>
        <w:t>发包人：</w:t>
      </w:r>
      <w:r>
        <w:rPr>
          <w:rFonts w:hint="eastAsia" w:ascii="楷体_GB2312" w:hAnsi="楷体_GB2312" w:eastAsia="楷体_GB2312" w:cs="楷体_GB2312"/>
          <w:b/>
          <w:color w:val="auto"/>
          <w:sz w:val="24"/>
          <w:highlight w:val="none"/>
          <w:u w:val="single"/>
        </w:rPr>
        <w:t>即招标人</w:t>
      </w:r>
    </w:p>
    <w:p>
      <w:pPr>
        <w:spacing w:line="500" w:lineRule="exact"/>
        <w:ind w:firstLine="480" w:firstLineChars="200"/>
        <w:rPr>
          <w:rFonts w:hint="eastAsia" w:ascii="楷体_GB2312" w:hAnsi="楷体_GB2312" w:eastAsia="楷体_GB2312" w:cs="楷体_GB2312"/>
          <w:b/>
          <w:color w:val="auto"/>
          <w:sz w:val="24"/>
          <w:highlight w:val="none"/>
          <w:u w:val="single"/>
        </w:rPr>
      </w:pPr>
      <w:r>
        <w:rPr>
          <w:rFonts w:hint="eastAsia" w:ascii="楷体_GB2312" w:hAnsi="楷体_GB2312" w:eastAsia="楷体_GB2312" w:cs="楷体_GB2312"/>
          <w:b/>
          <w:color w:val="auto"/>
          <w:sz w:val="24"/>
          <w:highlight w:val="none"/>
        </w:rPr>
        <w:t>承包人：</w:t>
      </w:r>
      <w:r>
        <w:rPr>
          <w:rFonts w:hint="eastAsia" w:ascii="楷体_GB2312" w:hAnsi="楷体_GB2312" w:eastAsia="楷体_GB2312" w:cs="楷体_GB2312"/>
          <w:b/>
          <w:color w:val="auto"/>
          <w:sz w:val="24"/>
          <w:highlight w:val="none"/>
          <w:u w:val="single"/>
        </w:rPr>
        <w:t>即中标人</w:t>
      </w:r>
    </w:p>
    <w:p>
      <w:pPr>
        <w:spacing w:line="500" w:lineRule="exact"/>
        <w:ind w:firstLine="480" w:firstLineChars="200"/>
        <w:rPr>
          <w:rFonts w:hint="eastAsia" w:ascii="楷体_GB2312" w:hAnsi="楷体_GB2312" w:eastAsia="楷体_GB2312" w:cs="楷体_GB2312"/>
          <w:b/>
          <w:color w:val="auto"/>
          <w:sz w:val="24"/>
          <w:highlight w:val="none"/>
        </w:rPr>
      </w:pPr>
      <w:r>
        <w:rPr>
          <w:rFonts w:hint="eastAsia" w:ascii="楷体_GB2312" w:hAnsi="楷体_GB2312" w:eastAsia="楷体_GB2312" w:cs="楷体_GB2312"/>
          <w:b/>
          <w:color w:val="auto"/>
          <w:sz w:val="24"/>
          <w:highlight w:val="none"/>
        </w:rPr>
        <w:t>1、合同价</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合同价的签定必须与中标价一致</w:t>
      </w:r>
    </w:p>
    <w:p>
      <w:pPr>
        <w:spacing w:line="500" w:lineRule="exact"/>
        <w:ind w:firstLine="480" w:firstLineChars="200"/>
        <w:rPr>
          <w:rFonts w:hint="eastAsia" w:ascii="楷体_GB2312" w:hAnsi="楷体_GB2312" w:eastAsia="楷体_GB2312" w:cs="楷体_GB2312"/>
          <w:b/>
          <w:color w:val="auto"/>
          <w:sz w:val="24"/>
          <w:highlight w:val="none"/>
        </w:rPr>
      </w:pPr>
      <w:r>
        <w:rPr>
          <w:rFonts w:hint="eastAsia" w:ascii="楷体_GB2312" w:hAnsi="楷体_GB2312" w:eastAsia="楷体_GB2312" w:cs="楷体_GB2312"/>
          <w:b/>
          <w:color w:val="auto"/>
          <w:sz w:val="24"/>
          <w:highlight w:val="none"/>
        </w:rPr>
        <w:t>2、承包方式</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包工包料</w:t>
      </w:r>
    </w:p>
    <w:p>
      <w:pPr>
        <w:spacing w:line="500" w:lineRule="exact"/>
        <w:ind w:firstLine="480" w:firstLineChars="200"/>
        <w:rPr>
          <w:rFonts w:hint="eastAsia" w:ascii="楷体_GB2312" w:hAnsi="楷体_GB2312" w:eastAsia="楷体_GB2312" w:cs="楷体_GB2312"/>
          <w:b/>
          <w:color w:val="auto"/>
          <w:sz w:val="24"/>
          <w:highlight w:val="none"/>
        </w:rPr>
      </w:pPr>
      <w:r>
        <w:rPr>
          <w:rFonts w:hint="eastAsia" w:ascii="楷体_GB2312" w:hAnsi="楷体_GB2312" w:eastAsia="楷体_GB2312" w:cs="楷体_GB2312"/>
          <w:b/>
          <w:color w:val="auto"/>
          <w:sz w:val="24"/>
          <w:highlight w:val="none"/>
        </w:rPr>
        <w:t>3、承包范围</w:t>
      </w:r>
    </w:p>
    <w:p>
      <w:pPr>
        <w:spacing w:line="500" w:lineRule="exact"/>
        <w:ind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详见投标须知前附表</w:t>
      </w:r>
    </w:p>
    <w:p>
      <w:pPr>
        <w:spacing w:line="500" w:lineRule="exact"/>
        <w:ind w:firstLine="480" w:firstLineChars="200"/>
        <w:rPr>
          <w:rFonts w:hint="eastAsia" w:ascii="楷体_GB2312" w:hAnsi="楷体_GB2312" w:eastAsia="楷体_GB2312" w:cs="楷体_GB2312"/>
          <w:b/>
          <w:color w:val="auto"/>
          <w:sz w:val="24"/>
          <w:highlight w:val="none"/>
        </w:rPr>
      </w:pPr>
      <w:r>
        <w:rPr>
          <w:rFonts w:hint="eastAsia" w:ascii="楷体_GB2312" w:hAnsi="楷体_GB2312" w:eastAsia="楷体_GB2312" w:cs="楷体_GB2312"/>
          <w:b/>
          <w:color w:val="auto"/>
          <w:sz w:val="24"/>
          <w:highlight w:val="none"/>
        </w:rPr>
        <w:t>4、履约担保</w:t>
      </w:r>
    </w:p>
    <w:p>
      <w:pPr>
        <w:spacing w:line="360" w:lineRule="auto"/>
        <w:ind w:firstLine="480" w:firstLineChars="200"/>
        <w:rPr>
          <w:rFonts w:hint="eastAsia" w:ascii="楷体_GB2312" w:hAnsi="楷体_GB2312" w:eastAsia="楷体_GB2312" w:cs="楷体_GB2312"/>
          <w:b/>
          <w:color w:val="auto"/>
          <w:sz w:val="24"/>
          <w:highlight w:val="none"/>
        </w:rPr>
      </w:pPr>
      <w:r>
        <w:rPr>
          <w:rFonts w:hint="eastAsia" w:ascii="楷体_GB2312" w:hAnsi="楷体_GB2312" w:eastAsia="楷体_GB2312" w:cs="楷体_GB2312"/>
          <w:color w:val="auto"/>
          <w:sz w:val="24"/>
          <w:highlight w:val="none"/>
        </w:rPr>
        <w:t>本工程履约保证金为中标价的</w:t>
      </w:r>
      <w:r>
        <w:rPr>
          <w:rFonts w:hint="eastAsia" w:ascii="楷体_GB2312" w:hAnsi="楷体_GB2312" w:eastAsia="楷体_GB2312" w:cs="楷体_GB2312"/>
          <w:color w:val="auto"/>
          <w:sz w:val="24"/>
          <w:highlight w:val="none"/>
          <w:u w:val="single"/>
        </w:rPr>
        <w:t>5 %</w:t>
      </w:r>
      <w:r>
        <w:rPr>
          <w:rFonts w:hint="eastAsia" w:ascii="楷体_GB2312" w:hAnsi="楷体_GB2312" w:eastAsia="楷体_GB2312" w:cs="楷体_GB2312"/>
          <w:color w:val="auto"/>
          <w:sz w:val="24"/>
          <w:highlight w:val="none"/>
        </w:rPr>
        <w:t>。中标人应自中标人结果公示之日起7 日内将履约保证金以转帐、电汇或银行汇票或银行保函形式汇转至招标人指定帐户。</w:t>
      </w:r>
      <w:r>
        <w:rPr>
          <w:rFonts w:hint="eastAsia" w:ascii="楷体_GB2312" w:hAnsi="楷体_GB2312" w:eastAsia="楷体_GB2312" w:cs="楷体_GB2312"/>
          <w:b/>
          <w:color w:val="auto"/>
          <w:sz w:val="24"/>
          <w:highlight w:val="none"/>
        </w:rPr>
        <w:t>如未按规定时间、方式缴纳履约保证金的，招标人有权取消其中标资格。</w:t>
      </w:r>
    </w:p>
    <w:p>
      <w:pPr>
        <w:spacing w:line="500" w:lineRule="exact"/>
        <w:ind w:left="-1" w:firstLine="480" w:firstLineChars="200"/>
        <w:rPr>
          <w:rFonts w:hint="eastAsia" w:ascii="楷体_GB2312" w:hAnsi="楷体_GB2312" w:eastAsia="楷体_GB2312" w:cs="楷体_GB2312"/>
          <w:b/>
          <w:color w:val="auto"/>
          <w:sz w:val="24"/>
          <w:highlight w:val="none"/>
        </w:rPr>
      </w:pPr>
      <w:r>
        <w:rPr>
          <w:rFonts w:hint="eastAsia" w:ascii="楷体_GB2312" w:hAnsi="楷体_GB2312" w:eastAsia="楷体_GB2312" w:cs="楷体_GB2312"/>
          <w:b/>
          <w:color w:val="auto"/>
          <w:sz w:val="24"/>
          <w:highlight w:val="none"/>
        </w:rPr>
        <w:t>5、项目组成员</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spacing w:line="500" w:lineRule="exact"/>
        <w:ind w:firstLine="480" w:firstLineChars="200"/>
        <w:rPr>
          <w:rFonts w:hint="eastAsia" w:ascii="楷体_GB2312" w:hAnsi="楷体_GB2312" w:eastAsia="楷体_GB2312" w:cs="楷体_GB2312"/>
          <w:b/>
          <w:color w:val="auto"/>
          <w:sz w:val="24"/>
          <w:highlight w:val="none"/>
        </w:rPr>
      </w:pPr>
      <w:r>
        <w:rPr>
          <w:rFonts w:hint="eastAsia" w:ascii="楷体_GB2312" w:hAnsi="楷体_GB2312" w:eastAsia="楷体_GB2312" w:cs="楷体_GB2312"/>
          <w:b/>
          <w:color w:val="auto"/>
          <w:sz w:val="24"/>
          <w:highlight w:val="none"/>
        </w:rPr>
        <w:t>6、合同工期</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6.1合同工期以中标人投标时承诺工期为准。</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6.2中标人应按照投标文件承诺的工期确保工程验收，不得以任何借口停工怠工，如因中标人原因延误工期的，中标人应承担违约责任，按每拖延一天向招标人支付合同价百分之一的违约金，如连续拖延达一周及以上的，招标人有权单方面解除合同，已完合格工程量按其70%结算。如因招标人原因并且符合工程工期顺延的情况，经监理或招标人签证确认后顺延。</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6.3实际开工日期以招标人发出的“开工通知书”为准。</w:t>
      </w:r>
    </w:p>
    <w:p>
      <w:pPr>
        <w:spacing w:line="500" w:lineRule="exact"/>
        <w:ind w:firstLine="480" w:firstLineChars="200"/>
        <w:rPr>
          <w:rFonts w:hint="eastAsia" w:ascii="楷体_GB2312" w:hAnsi="楷体_GB2312" w:eastAsia="楷体_GB2312" w:cs="楷体_GB2312"/>
          <w:b/>
          <w:color w:val="auto"/>
          <w:sz w:val="24"/>
          <w:highlight w:val="none"/>
        </w:rPr>
      </w:pPr>
      <w:r>
        <w:rPr>
          <w:rFonts w:hint="eastAsia" w:ascii="楷体_GB2312" w:hAnsi="楷体_GB2312" w:eastAsia="楷体_GB2312" w:cs="楷体_GB2312"/>
          <w:b/>
          <w:color w:val="auto"/>
          <w:sz w:val="24"/>
          <w:highlight w:val="none"/>
        </w:rPr>
        <w:t>7、 质量标准</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7.1合同质量标准以中标人投标时承诺的质量标准为准。</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7.2如达不到合同质量标准，中标人必须无偿整改达标准。否则，承担违约责任。非招标人原因，质量整改期间工期不予顺延。</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spacing w:line="500" w:lineRule="exact"/>
        <w:ind w:firstLine="480" w:firstLineChars="200"/>
        <w:rPr>
          <w:rFonts w:hint="eastAsia" w:ascii="楷体_GB2312" w:hAnsi="楷体_GB2312" w:eastAsia="楷体_GB2312" w:cs="楷体_GB2312"/>
          <w:b/>
          <w:color w:val="auto"/>
          <w:sz w:val="24"/>
          <w:highlight w:val="none"/>
        </w:rPr>
      </w:pPr>
      <w:r>
        <w:rPr>
          <w:rFonts w:hint="eastAsia" w:ascii="楷体_GB2312" w:hAnsi="楷体_GB2312" w:eastAsia="楷体_GB2312" w:cs="楷体_GB2312"/>
          <w:b/>
          <w:color w:val="auto"/>
          <w:sz w:val="24"/>
          <w:highlight w:val="none"/>
        </w:rPr>
        <w:t>8、材料设备供应</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8.1除招标文件中《发包人提供材料和工程设备一览表》中的材料为招标人供应外，其余材料均由中标人组织采购，凡由中标人采购的材料，中标人应按照设计和有关标准及招标文件要求采购，向招标人提供质量保证书、出厂合格证及现场抽样报告等证明材料，对材料质量负责。如不符合质量及相关规定要求或规格有差异的，应禁止使用。中标人采购的材料设备与设计或标准要求不符时，中标人应按工程师要求的时间运出施工场地，重新采购符合要求的产品，并承担由此发生的费用，由此延误的工期不予顺延。若已使用，对工程造成的损失由中标人负责。</w:t>
      </w:r>
    </w:p>
    <w:p>
      <w:pPr>
        <w:spacing w:line="500" w:lineRule="exact"/>
        <w:ind w:firstLine="480" w:firstLineChars="200"/>
        <w:rPr>
          <w:rFonts w:hint="eastAsia" w:ascii="楷体_GB2312" w:hAnsi="楷体_GB2312" w:eastAsia="楷体_GB2312" w:cs="楷体_GB2312"/>
          <w:b/>
          <w:color w:val="auto"/>
          <w:sz w:val="24"/>
          <w:highlight w:val="none"/>
        </w:rPr>
      </w:pPr>
      <w:r>
        <w:rPr>
          <w:rFonts w:hint="eastAsia" w:ascii="楷体_GB2312" w:hAnsi="楷体_GB2312" w:eastAsia="楷体_GB2312" w:cs="楷体_GB2312"/>
          <w:b/>
          <w:color w:val="auto"/>
          <w:sz w:val="24"/>
          <w:highlight w:val="none"/>
        </w:rPr>
        <w:t>9、工程付款</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9.1工程款指合同价（即中标价）扣除暂列金额后的工程价款。具体付款幅度如下：</w:t>
      </w:r>
    </w:p>
    <w:p>
      <w:pPr>
        <w:spacing w:line="500" w:lineRule="exact"/>
        <w:ind w:left="-1" w:firstLine="480" w:firstLineChars="200"/>
        <w:rPr>
          <w:rFonts w:hint="eastAsia" w:ascii="楷体_GB2312" w:hAnsi="楷体_GB2312" w:eastAsia="楷体_GB2312" w:cs="楷体_GB2312"/>
          <w:color w:val="FF0000"/>
          <w:sz w:val="24"/>
          <w:highlight w:val="none"/>
          <w:lang w:eastAsia="zh-CN"/>
        </w:rPr>
      </w:pPr>
      <w:r>
        <w:rPr>
          <w:rFonts w:hint="eastAsia" w:ascii="楷体_GB2312" w:hAnsi="楷体_GB2312" w:eastAsia="楷体_GB2312" w:cs="楷体_GB2312"/>
          <w:color w:val="FF0000"/>
          <w:sz w:val="24"/>
          <w:highlight w:val="none"/>
          <w:lang w:eastAsia="zh-CN"/>
        </w:rPr>
        <w:t>工程完成合同工作量的50%以上，经发包人审核后，可付至已完成工程量的70%；工程全部完成并经发包人验收合格后，付至全部已完成工程量的70%；审计结束后付至审计总价的95%，余款在一年质保期满且无质量问题后付清（无息）。</w:t>
      </w:r>
    </w:p>
    <w:p>
      <w:pPr>
        <w:spacing w:line="500" w:lineRule="exact"/>
        <w:ind w:firstLine="480" w:firstLineChars="200"/>
        <w:rPr>
          <w:rFonts w:hint="eastAsia" w:ascii="楷体_GB2312" w:hAnsi="楷体_GB2312" w:eastAsia="楷体_GB2312" w:cs="楷体_GB2312"/>
          <w:b/>
          <w:color w:val="auto"/>
          <w:sz w:val="24"/>
          <w:highlight w:val="none"/>
        </w:rPr>
      </w:pPr>
      <w:r>
        <w:rPr>
          <w:rFonts w:hint="eastAsia" w:ascii="楷体_GB2312" w:hAnsi="楷体_GB2312" w:eastAsia="楷体_GB2312" w:cs="楷体_GB2312"/>
          <w:b/>
          <w:color w:val="auto"/>
          <w:sz w:val="24"/>
          <w:highlight w:val="none"/>
        </w:rPr>
        <w:t>10、合同定价方式与工程结算</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10.1 本项目采用固定</w:t>
      </w:r>
      <w:r>
        <w:rPr>
          <w:rFonts w:hint="eastAsia" w:ascii="楷体_GB2312" w:hAnsi="楷体_GB2312" w:eastAsia="楷体_GB2312" w:cs="楷体_GB2312"/>
          <w:color w:val="auto"/>
          <w:sz w:val="24"/>
          <w:highlight w:val="none"/>
          <w:lang w:eastAsia="zh-CN"/>
        </w:rPr>
        <w:t>全费用</w:t>
      </w:r>
      <w:r>
        <w:rPr>
          <w:rFonts w:hint="eastAsia" w:ascii="楷体_GB2312" w:hAnsi="楷体_GB2312" w:eastAsia="楷体_GB2312" w:cs="楷体_GB2312"/>
          <w:color w:val="auto"/>
          <w:sz w:val="24"/>
          <w:highlight w:val="none"/>
        </w:rPr>
        <w:t>单价合同，合同实施过程中风险范围内中标</w:t>
      </w:r>
      <w:r>
        <w:rPr>
          <w:rFonts w:hint="eastAsia" w:ascii="楷体_GB2312" w:hAnsi="楷体_GB2312" w:eastAsia="楷体_GB2312" w:cs="楷体_GB2312"/>
          <w:color w:val="auto"/>
          <w:sz w:val="24"/>
          <w:highlight w:val="none"/>
          <w:lang w:eastAsia="zh-CN"/>
        </w:rPr>
        <w:t>全费用</w:t>
      </w:r>
      <w:r>
        <w:rPr>
          <w:rFonts w:hint="eastAsia" w:ascii="楷体_GB2312" w:hAnsi="楷体_GB2312" w:eastAsia="楷体_GB2312" w:cs="楷体_GB2312"/>
          <w:color w:val="auto"/>
          <w:sz w:val="24"/>
          <w:highlight w:val="none"/>
        </w:rPr>
        <w:t>单价不作调整。</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10.2 结算价=中标全费用单价×经审计的招标范围内经验收合格的实际工作量。</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无论招标时图纸、工程量清单中项目特征描述、招标文件中规定的技术要求是否准确，承包人的全费用综合单价报价应为完成施工图纸、招标人要求和工程量清单的全部内容，若无相关设计变更，中标的全费用综合单价不予调整，工程量按实际完成工程量结算。最终以审计部门审查确认后的工程竣工结算价为准。</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本工程施工过程中遇到的地方矛盾及由此发生的费用由承包人自行负责。</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工程所发生施工、生活、消防用水、用电由承包人自行解决并承担相关费用。</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承包人应在发包人确认的完工日之日起28日内编制并向发包人报送工程结算进行审核。</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施工期间部分材料市场价格发生变化超出一度幅度时的风险约定：不调整，均由承包人承担。</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10.3以上关于合同定价与结算方式条款中未尽事宜由双方依据《建设工程工程量清单计价规范》（GB 50500-2013）以及相关配套文件中关于工程价款调整与结算的内容进行协商，并在合同中具体约定。</w:t>
      </w:r>
    </w:p>
    <w:p>
      <w:pPr>
        <w:spacing w:line="500" w:lineRule="exact"/>
        <w:ind w:firstLine="480" w:firstLineChars="200"/>
        <w:rPr>
          <w:rFonts w:hint="eastAsia" w:ascii="楷体_GB2312" w:hAnsi="楷体_GB2312" w:eastAsia="楷体_GB2312" w:cs="楷体_GB2312"/>
          <w:b/>
          <w:color w:val="auto"/>
          <w:sz w:val="24"/>
          <w:highlight w:val="none"/>
        </w:rPr>
      </w:pPr>
      <w:r>
        <w:rPr>
          <w:rFonts w:hint="eastAsia" w:ascii="楷体_GB2312" w:hAnsi="楷体_GB2312" w:eastAsia="楷体_GB2312" w:cs="楷体_GB2312"/>
          <w:b/>
          <w:color w:val="auto"/>
          <w:sz w:val="24"/>
          <w:highlight w:val="none"/>
        </w:rPr>
        <w:t>11、安全文明施工与环境保护</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（1）承包人在施工过程中应严格执行国家、省、市、行业主</w:t>
      </w:r>
      <w:bookmarkStart w:id="6" w:name="OLE_LINK7"/>
      <w:r>
        <w:rPr>
          <w:rFonts w:hint="eastAsia" w:ascii="楷体_GB2312" w:hAnsi="楷体_GB2312" w:eastAsia="楷体_GB2312" w:cs="楷体_GB2312"/>
          <w:color w:val="auto"/>
          <w:sz w:val="24"/>
          <w:highlight w:val="none"/>
        </w:rPr>
        <w:t>管</w:t>
      </w:r>
      <w:bookmarkEnd w:id="6"/>
      <w:r>
        <w:rPr>
          <w:rFonts w:hint="eastAsia" w:ascii="楷体_GB2312" w:hAnsi="楷体_GB2312" w:eastAsia="楷体_GB2312" w:cs="楷体_GB2312"/>
          <w:color w:val="auto"/>
          <w:sz w:val="24"/>
          <w:highlight w:val="none"/>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（2）施工工作面内所有现场清理、矛盾协调处理等含在合同价内，结算时不予调整。</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（3）施工过程中应确保沿线单位、小区居民的临时出行和正常的生产生活</w:t>
      </w:r>
      <w:bookmarkStart w:id="7" w:name="OLE_LINK8"/>
      <w:r>
        <w:rPr>
          <w:rFonts w:hint="eastAsia" w:ascii="楷体_GB2312" w:hAnsi="楷体_GB2312" w:eastAsia="楷体_GB2312" w:cs="楷体_GB2312"/>
          <w:color w:val="auto"/>
          <w:sz w:val="24"/>
          <w:highlight w:val="none"/>
        </w:rPr>
        <w:t>秩序</w:t>
      </w:r>
      <w:bookmarkEnd w:id="7"/>
      <w:r>
        <w:rPr>
          <w:rFonts w:hint="eastAsia" w:ascii="楷体_GB2312" w:hAnsi="楷体_GB2312" w:eastAsia="楷体_GB2312" w:cs="楷体_GB2312"/>
          <w:color w:val="auto"/>
          <w:sz w:val="24"/>
          <w:highlight w:val="none"/>
        </w:rPr>
        <w:t>，协调处理好相关矛盾，费用由承包人自行负责。</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（4）因施工安全所需设置的各种警示标牌、警示灯、施工现场围护、导行交通、安全防护等措施费用由承包人自行负责。</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（5）工程施工过程中遇到的地方矛盾及由此发生的费用由承包人自行负责。</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（6）施工过程中如因承包人造成周边地上、地下附作物等损坏，均由承包人自行负责赔偿。</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（7）工程质量、工期、现场安全文明施工等的管理按现行有关规范标准以及发包人为强化项目管理所制定的各项管理制度执行，相关管理规定如有调整应按最新文件执行，费用均由中标人承担。</w:t>
      </w:r>
    </w:p>
    <w:p>
      <w:pPr>
        <w:spacing w:line="500" w:lineRule="exact"/>
        <w:ind w:firstLine="480" w:firstLineChars="200"/>
        <w:rPr>
          <w:rFonts w:hint="eastAsia" w:ascii="楷体_GB2312" w:hAnsi="楷体_GB2312" w:eastAsia="楷体_GB2312" w:cs="楷体_GB2312"/>
          <w:b/>
          <w:color w:val="auto"/>
          <w:sz w:val="24"/>
          <w:highlight w:val="none"/>
        </w:rPr>
      </w:pPr>
      <w:r>
        <w:rPr>
          <w:rFonts w:hint="eastAsia" w:ascii="楷体_GB2312" w:hAnsi="楷体_GB2312" w:eastAsia="楷体_GB2312" w:cs="楷体_GB2312"/>
          <w:b/>
          <w:color w:val="auto"/>
          <w:sz w:val="24"/>
          <w:highlight w:val="none"/>
        </w:rPr>
        <w:t>12、安全施工</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12.1此工程必须确保安全，若发生不安全问题，由中标人自行负责处理并承担一切责任。</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spacing w:line="500" w:lineRule="exact"/>
        <w:ind w:firstLine="480" w:firstLineChars="200"/>
        <w:rPr>
          <w:rFonts w:hint="eastAsia" w:ascii="楷体_GB2312" w:hAnsi="楷体_GB2312" w:eastAsia="楷体_GB2312" w:cs="楷体_GB2312"/>
          <w:b/>
          <w:color w:val="auto"/>
          <w:sz w:val="24"/>
          <w:highlight w:val="none"/>
        </w:rPr>
      </w:pPr>
      <w:r>
        <w:rPr>
          <w:rFonts w:hint="eastAsia" w:ascii="楷体_GB2312" w:hAnsi="楷体_GB2312" w:eastAsia="楷体_GB2312" w:cs="楷体_GB2312"/>
          <w:b/>
          <w:color w:val="auto"/>
          <w:sz w:val="24"/>
          <w:highlight w:val="none"/>
        </w:rPr>
        <w:t>13、缺陷责任和保修责任</w:t>
      </w:r>
    </w:p>
    <w:p>
      <w:pPr>
        <w:spacing w:line="500" w:lineRule="exact"/>
        <w:ind w:left="-1" w:firstLine="480" w:firstLineChars="200"/>
        <w:rPr>
          <w:rFonts w:hint="eastAsia" w:ascii="楷体_GB2312" w:hAnsi="楷体_GB2312" w:eastAsia="楷体_GB2312" w:cs="楷体_GB2312"/>
          <w:b/>
          <w:color w:val="auto"/>
          <w:sz w:val="24"/>
          <w:highlight w:val="none"/>
        </w:rPr>
      </w:pPr>
      <w:r>
        <w:rPr>
          <w:rFonts w:hint="eastAsia" w:ascii="楷体_GB2312" w:hAnsi="楷体_GB2312" w:eastAsia="楷体_GB2312" w:cs="楷体_GB2312"/>
          <w:b/>
          <w:color w:val="auto"/>
          <w:sz w:val="24"/>
          <w:highlight w:val="none"/>
        </w:rPr>
        <w:t>13.1缺陷责任</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13.1.1本项目缺陷责任期为</w:t>
      </w:r>
      <w:r>
        <w:rPr>
          <w:rFonts w:hint="eastAsia" w:ascii="楷体_GB2312" w:hAnsi="楷体_GB2312" w:eastAsia="楷体_GB2312" w:cs="楷体_GB2312"/>
          <w:color w:val="auto"/>
          <w:sz w:val="24"/>
          <w:highlight w:val="none"/>
          <w:u w:val="single"/>
        </w:rPr>
        <w:t>24</w:t>
      </w:r>
      <w:r>
        <w:rPr>
          <w:rFonts w:hint="eastAsia" w:ascii="楷体_GB2312" w:hAnsi="楷体_GB2312" w:eastAsia="楷体_GB2312" w:cs="楷体_GB2312"/>
          <w:color w:val="auto"/>
          <w:sz w:val="24"/>
          <w:highlight w:val="none"/>
        </w:rPr>
        <w:t>个月。</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 xml:space="preserve">13.1.2中标人应在缺陷责任期内对已交付使用的工程承担缺陷责任。 </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13.1.3缺陷责任期内，招标人对已接收使用的工程负责日常维护工作。</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13.1.4由于中标人原因造成某项缺陷或损坏使工程或工程设备不能按原定目标使用而需要再次检查、检验和修复的，招标人有权要求中标人相应延长缺陷责任期，但缺陷责任期最长不超过2年。</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13.1.5其他关于缺陷责任的有关约定由合同双方根据现行有关规定执行。</w:t>
      </w:r>
    </w:p>
    <w:p>
      <w:pPr>
        <w:spacing w:line="500" w:lineRule="exact"/>
        <w:ind w:left="478" w:leftChars="228"/>
        <w:rPr>
          <w:rFonts w:hint="eastAsia" w:ascii="楷体_GB2312" w:hAnsi="楷体_GB2312" w:eastAsia="楷体_GB2312" w:cs="楷体_GB2312"/>
          <w:b/>
          <w:color w:val="auto"/>
          <w:sz w:val="24"/>
          <w:highlight w:val="none"/>
        </w:rPr>
      </w:pPr>
      <w:r>
        <w:rPr>
          <w:rFonts w:hint="eastAsia" w:ascii="楷体_GB2312" w:hAnsi="楷体_GB2312" w:eastAsia="楷体_GB2312" w:cs="楷体_GB2312"/>
          <w:b/>
          <w:color w:val="auto"/>
          <w:sz w:val="24"/>
          <w:highlight w:val="none"/>
        </w:rPr>
        <w:t>13.2保修责任</w:t>
      </w:r>
    </w:p>
    <w:p>
      <w:pPr>
        <w:spacing w:line="500" w:lineRule="exact"/>
        <w:ind w:firstLine="470" w:firstLineChars="196"/>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13.2.1本项目质量保修范围、期限和责任由合同双方在合同条款中具体约定。</w:t>
      </w:r>
    </w:p>
    <w:p>
      <w:pPr>
        <w:spacing w:line="500" w:lineRule="exact"/>
        <w:ind w:firstLine="470" w:firstLineChars="196"/>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13.2.2合同双方质量保修范围、期限和责任的约定应不低于《建设工程质量管理条例》（国务院令第279号）和《房屋建筑工程质量保修办法》（建设部令第80号）中规定的最低标准和要求。</w:t>
      </w:r>
    </w:p>
    <w:p>
      <w:pPr>
        <w:spacing w:line="520" w:lineRule="exact"/>
        <w:ind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13.2.3质保期</w:t>
      </w:r>
      <w:r>
        <w:rPr>
          <w:rFonts w:hint="eastAsia" w:ascii="楷体_GB2312" w:hAnsi="楷体_GB2312" w:eastAsia="楷体_GB2312" w:cs="楷体_GB2312"/>
          <w:color w:val="auto"/>
          <w:sz w:val="24"/>
          <w:highlight w:val="none"/>
          <w:lang w:eastAsia="zh-CN"/>
        </w:rPr>
        <w:t>（</w:t>
      </w:r>
      <w:r>
        <w:rPr>
          <w:rFonts w:hint="eastAsia" w:ascii="楷体_GB2312" w:hAnsi="楷体_GB2312" w:eastAsia="楷体_GB2312" w:cs="楷体_GB2312"/>
          <w:color w:val="auto"/>
          <w:sz w:val="24"/>
          <w:highlight w:val="none"/>
          <w:lang w:val="en-US" w:eastAsia="zh-CN"/>
        </w:rPr>
        <w:t>1年</w:t>
      </w:r>
      <w:r>
        <w:rPr>
          <w:rFonts w:hint="eastAsia" w:ascii="楷体_GB2312" w:hAnsi="楷体_GB2312" w:eastAsia="楷体_GB2312" w:cs="楷体_GB2312"/>
          <w:color w:val="auto"/>
          <w:sz w:val="24"/>
          <w:highlight w:val="none"/>
          <w:lang w:eastAsia="zh-CN"/>
        </w:rPr>
        <w:t>）</w:t>
      </w:r>
      <w:r>
        <w:rPr>
          <w:rFonts w:hint="eastAsia" w:ascii="楷体_GB2312" w:hAnsi="楷体_GB2312" w:eastAsia="楷体_GB2312" w:cs="楷体_GB2312"/>
          <w:color w:val="auto"/>
          <w:sz w:val="24"/>
          <w:highlight w:val="none"/>
        </w:rPr>
        <w:t>内出现问题，承包人须在</w:t>
      </w:r>
      <w:r>
        <w:rPr>
          <w:rFonts w:hint="eastAsia" w:ascii="楷体_GB2312" w:hAnsi="楷体_GB2312" w:eastAsia="楷体_GB2312" w:cs="楷体_GB2312"/>
          <w:color w:val="auto"/>
          <w:sz w:val="24"/>
          <w:highlight w:val="none"/>
          <w:lang w:val="en-US" w:eastAsia="zh-CN"/>
        </w:rPr>
        <w:t>2</w:t>
      </w:r>
      <w:r>
        <w:rPr>
          <w:rFonts w:hint="eastAsia" w:ascii="楷体_GB2312" w:hAnsi="楷体_GB2312" w:eastAsia="楷体_GB2312" w:cs="楷体_GB2312"/>
          <w:color w:val="auto"/>
          <w:sz w:val="24"/>
          <w:highlight w:val="none"/>
        </w:rPr>
        <w:t>天内响应到场维修，否则发包人有权委托他人代修，所发生的费用按3倍从承包人的质保金中扣除。</w:t>
      </w:r>
    </w:p>
    <w:p>
      <w:pPr>
        <w:spacing w:line="500" w:lineRule="exact"/>
        <w:ind w:firstLine="480" w:firstLineChars="200"/>
        <w:rPr>
          <w:rFonts w:hint="eastAsia" w:ascii="楷体_GB2312" w:hAnsi="楷体_GB2312" w:eastAsia="楷体_GB2312" w:cs="楷体_GB2312"/>
          <w:b/>
          <w:bCs/>
          <w:color w:val="auto"/>
          <w:sz w:val="24"/>
          <w:highlight w:val="none"/>
        </w:rPr>
      </w:pPr>
      <w:r>
        <w:rPr>
          <w:rFonts w:hint="eastAsia" w:ascii="楷体_GB2312" w:hAnsi="楷体_GB2312" w:eastAsia="楷体_GB2312" w:cs="楷体_GB2312"/>
          <w:b/>
          <w:bCs/>
          <w:color w:val="auto"/>
          <w:sz w:val="24"/>
          <w:highlight w:val="none"/>
        </w:rPr>
        <w:t>14、工程分包</w:t>
      </w:r>
    </w:p>
    <w:p>
      <w:pPr>
        <w:spacing w:line="520" w:lineRule="exact"/>
        <w:ind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spacing w:line="520" w:lineRule="exact"/>
        <w:ind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14.2中标人不得将工程进行转包和违法分包，若发现中标人擅自进行转包和违法分包，招标人有权解除合同，并要求中标人支付违约金。</w:t>
      </w:r>
    </w:p>
    <w:p>
      <w:pPr>
        <w:spacing w:line="500" w:lineRule="exact"/>
        <w:ind w:firstLine="480" w:firstLineChars="200"/>
        <w:rPr>
          <w:rFonts w:hint="eastAsia" w:ascii="楷体_GB2312" w:hAnsi="楷体_GB2312" w:eastAsia="楷体_GB2312" w:cs="楷体_GB2312"/>
          <w:b/>
          <w:bCs/>
          <w:color w:val="auto"/>
          <w:sz w:val="24"/>
          <w:highlight w:val="none"/>
        </w:rPr>
      </w:pPr>
      <w:r>
        <w:rPr>
          <w:rFonts w:hint="eastAsia" w:ascii="楷体_GB2312" w:hAnsi="楷体_GB2312" w:eastAsia="楷体_GB2312" w:cs="楷体_GB2312"/>
          <w:b/>
          <w:bCs/>
          <w:color w:val="auto"/>
          <w:sz w:val="24"/>
          <w:highlight w:val="none"/>
        </w:rPr>
        <w:t>15、违约责任</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合同生效后，招标人或中标人如有违约，应按《中华人民共和国合同法》承担其违约责任，赔偿因其违约给对方造成的损失。赔偿损失的计算方法或者约定支付违约金的数额和计算方法由合同双方在合同中具体约定。</w:t>
      </w:r>
    </w:p>
    <w:p>
      <w:pPr>
        <w:spacing w:line="500" w:lineRule="exact"/>
        <w:ind w:firstLine="480" w:firstLineChars="200"/>
        <w:rPr>
          <w:rFonts w:hint="eastAsia" w:ascii="楷体_GB2312" w:hAnsi="楷体_GB2312" w:eastAsia="楷体_GB2312" w:cs="楷体_GB2312"/>
          <w:b/>
          <w:bCs/>
          <w:color w:val="auto"/>
          <w:sz w:val="24"/>
          <w:highlight w:val="none"/>
        </w:rPr>
      </w:pPr>
      <w:r>
        <w:rPr>
          <w:rFonts w:hint="eastAsia" w:ascii="楷体_GB2312" w:hAnsi="楷体_GB2312" w:eastAsia="楷体_GB2312" w:cs="楷体_GB2312"/>
          <w:b/>
          <w:bCs/>
          <w:color w:val="auto"/>
          <w:sz w:val="24"/>
          <w:highlight w:val="none"/>
        </w:rPr>
        <w:t>16、其他</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16.1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16.2 本项目施工过程中遇到的一切地方矛盾及由此发生的费用与招标人无涉，均由中标人自行负责，并在投标报价中考虑。</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16.3本项目合同实施期间所有消防、市容保洁、环境噪声、成品保护、文明施工均由中标人负责，并自行承担由此发生的相关费用。</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16.4中标人进场后自觉服从招标人对工地安全、标准化现场、总平面布置的管理，如出现不服从、不配合等现象，招标人有权按违约处理。</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16.5本项目价款一律通过银行非现金结算，实行专款专用。</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16.6 本项目发包人要求承包人严格按照盐建建筑〔2016〕35号《关于进一步做好建筑施工拖欠农民工工资治理工作的通知》文件要求执行。</w:t>
      </w:r>
    </w:p>
    <w:p>
      <w:pPr>
        <w:spacing w:line="500" w:lineRule="exact"/>
        <w:ind w:left="-1" w:firstLine="480" w:firstLineChars="200"/>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16.7本合同条款未尽事宜由双方按照《建设工程施工合同》（GF-2017-0201）示范文本的有关内容在合同中具体约定。</w:t>
      </w:r>
    </w:p>
    <w:p>
      <w:pPr>
        <w:widowControl/>
        <w:jc w:val="left"/>
        <w:rPr>
          <w:rFonts w:hint="eastAsia" w:ascii="楷体_GB2312" w:hAnsi="楷体_GB2312" w:eastAsia="楷体_GB2312" w:cs="楷体_GB2312"/>
          <w:b/>
          <w:color w:val="auto"/>
          <w:sz w:val="44"/>
          <w:szCs w:val="44"/>
        </w:rPr>
      </w:pPr>
      <w:r>
        <w:rPr>
          <w:rFonts w:hint="eastAsia" w:ascii="楷体_GB2312" w:hAnsi="楷体_GB2312" w:eastAsia="楷体_GB2312" w:cs="楷体_GB2312"/>
          <w:b/>
          <w:color w:val="auto"/>
          <w:sz w:val="44"/>
          <w:szCs w:val="44"/>
        </w:rPr>
        <w:br w:type="page"/>
      </w:r>
    </w:p>
    <w:p>
      <w:pPr>
        <w:spacing w:line="500" w:lineRule="exact"/>
        <w:jc w:val="center"/>
        <w:rPr>
          <w:rFonts w:hint="eastAsia" w:ascii="楷体_GB2312" w:hAnsi="楷体_GB2312" w:eastAsia="楷体_GB2312" w:cs="楷体_GB2312"/>
          <w:b/>
          <w:color w:val="auto"/>
          <w:sz w:val="44"/>
          <w:szCs w:val="44"/>
        </w:rPr>
      </w:pPr>
      <w:r>
        <w:rPr>
          <w:rFonts w:hint="eastAsia" w:ascii="楷体_GB2312" w:hAnsi="楷体_GB2312" w:eastAsia="楷体_GB2312" w:cs="楷体_GB2312"/>
          <w:b/>
          <w:color w:val="auto"/>
          <w:sz w:val="44"/>
          <w:szCs w:val="44"/>
        </w:rPr>
        <w:t>第七部分  评标定标办法</w:t>
      </w:r>
    </w:p>
    <w:p>
      <w:pPr>
        <w:spacing w:line="440" w:lineRule="exact"/>
        <w:ind w:firstLine="880" w:firstLineChars="200"/>
        <w:jc w:val="center"/>
        <w:rPr>
          <w:rFonts w:hint="eastAsia" w:ascii="楷体_GB2312" w:hAnsi="楷体_GB2312" w:eastAsia="楷体_GB2312" w:cs="楷体_GB2312"/>
          <w:b/>
          <w:color w:val="auto"/>
          <w:sz w:val="44"/>
          <w:szCs w:val="44"/>
        </w:rPr>
      </w:pPr>
    </w:p>
    <w:p>
      <w:pPr>
        <w:spacing w:line="400" w:lineRule="exact"/>
        <w:ind w:firstLine="420" w:firstLineChars="200"/>
        <w:jc w:val="left"/>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一、评标、定标办法</w:t>
      </w:r>
    </w:p>
    <w:p>
      <w:pPr>
        <w:spacing w:line="400" w:lineRule="exact"/>
        <w:ind w:firstLine="420" w:firstLineChars="200"/>
        <w:jc w:val="lef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本工程招标评标办法采用</w:t>
      </w:r>
      <w:r>
        <w:rPr>
          <w:rFonts w:hint="eastAsia" w:ascii="楷体_GB2312" w:hAnsi="楷体_GB2312" w:eastAsia="楷体_GB2312" w:cs="楷体_GB2312"/>
          <w:b/>
          <w:bCs/>
          <w:color w:val="auto"/>
          <w:szCs w:val="21"/>
        </w:rPr>
        <w:t>“</w:t>
      </w:r>
      <w:r>
        <w:rPr>
          <w:rFonts w:hint="eastAsia" w:ascii="楷体_GB2312" w:hAnsi="楷体_GB2312" w:eastAsia="楷体_GB2312" w:cs="楷体_GB2312"/>
          <w:bCs/>
          <w:color w:val="auto"/>
          <w:szCs w:val="21"/>
        </w:rPr>
        <w:t>盐城</w:t>
      </w:r>
      <w:r>
        <w:rPr>
          <w:rFonts w:hint="eastAsia" w:ascii="楷体_GB2312" w:hAnsi="楷体_GB2312" w:eastAsia="楷体_GB2312" w:cs="楷体_GB2312"/>
          <w:color w:val="auto"/>
          <w:szCs w:val="21"/>
        </w:rPr>
        <w:t>ABCD合成法</w:t>
      </w:r>
      <w:r>
        <w:rPr>
          <w:rFonts w:hint="eastAsia" w:ascii="楷体_GB2312" w:hAnsi="楷体_GB2312" w:eastAsia="楷体_GB2312" w:cs="楷体_GB2312"/>
          <w:b/>
          <w:bCs/>
          <w:color w:val="auto"/>
          <w:szCs w:val="21"/>
        </w:rPr>
        <w:t>”</w:t>
      </w:r>
      <w:r>
        <w:rPr>
          <w:rFonts w:hint="eastAsia" w:ascii="楷体_GB2312" w:hAnsi="楷体_GB2312" w:eastAsia="楷体_GB2312" w:cs="楷体_GB2312"/>
          <w:color w:val="auto"/>
          <w:szCs w:val="21"/>
        </w:rPr>
        <w:t>，由招标人依法组建的评标委员会对投标文件进行评审（投标人不需要编制施工组织设计，中标后，中标人应按有关规定编制施工组织设计），推荐有排序的3名中标侯选人。招标人根据评标委员会提供的书面评标报告，依法确定中标人。</w:t>
      </w:r>
    </w:p>
    <w:p>
      <w:pPr>
        <w:spacing w:line="400" w:lineRule="exact"/>
        <w:ind w:firstLine="420" w:firstLineChars="200"/>
        <w:jc w:val="left"/>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二、评标标准和程序</w:t>
      </w:r>
    </w:p>
    <w:p>
      <w:pPr>
        <w:spacing w:line="400" w:lineRule="exact"/>
        <w:ind w:firstLine="420" w:firstLineChars="200"/>
        <w:rPr>
          <w:rFonts w:hint="eastAsia" w:ascii="楷体_GB2312" w:hAnsi="楷体_GB2312" w:eastAsia="楷体_GB2312" w:cs="楷体_GB2312"/>
          <w:b/>
          <w:color w:val="auto"/>
          <w:kern w:val="0"/>
          <w:szCs w:val="21"/>
        </w:rPr>
      </w:pPr>
      <w:r>
        <w:rPr>
          <w:rFonts w:hint="eastAsia" w:ascii="楷体_GB2312" w:hAnsi="楷体_GB2312" w:eastAsia="楷体_GB2312" w:cs="楷体_GB2312"/>
          <w:b/>
          <w:color w:val="auto"/>
          <w:kern w:val="0"/>
          <w:szCs w:val="21"/>
        </w:rPr>
        <w:t>（一）开标</w:t>
      </w:r>
    </w:p>
    <w:p>
      <w:pPr>
        <w:spacing w:line="400" w:lineRule="exact"/>
        <w:ind w:firstLine="420" w:firstLineChars="200"/>
        <w:jc w:val="left"/>
        <w:rPr>
          <w:rFonts w:hint="eastAsia" w:ascii="楷体_GB2312" w:hAnsi="楷体_GB2312" w:eastAsia="楷体_GB2312" w:cs="楷体_GB2312"/>
          <w:b/>
          <w:color w:val="auto"/>
          <w:kern w:val="0"/>
          <w:szCs w:val="21"/>
        </w:rPr>
      </w:pPr>
      <w:r>
        <w:rPr>
          <w:rFonts w:hint="eastAsia" w:ascii="楷体_GB2312" w:hAnsi="楷体_GB2312" w:eastAsia="楷体_GB2312" w:cs="楷体_GB2312"/>
          <w:b/>
          <w:color w:val="auto"/>
          <w:kern w:val="0"/>
          <w:szCs w:val="21"/>
        </w:rPr>
        <w:t>投标文件存在以下情况之一的，以及开标过程发现的其他废标情形，不再进行后续评标：</w:t>
      </w:r>
    </w:p>
    <w:p>
      <w:pPr>
        <w:spacing w:line="400" w:lineRule="exact"/>
        <w:ind w:firstLine="420" w:firstLineChars="200"/>
        <w:jc w:val="lef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⑴至投标截止时间止，未足额递交投标保证金；</w:t>
      </w:r>
    </w:p>
    <w:p>
      <w:pPr>
        <w:spacing w:line="400" w:lineRule="exact"/>
        <w:ind w:firstLine="420" w:firstLineChars="200"/>
        <w:jc w:val="lef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⑵投标函中载明的招标项目完成期限超过招标文件规定的期限；</w:t>
      </w:r>
    </w:p>
    <w:p>
      <w:pPr>
        <w:spacing w:line="400" w:lineRule="exact"/>
        <w:ind w:firstLine="420" w:firstLineChars="200"/>
        <w:jc w:val="lef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⑶投标函中载明的投标质量标准未响应招标文件实质性要求和条件；</w:t>
      </w:r>
    </w:p>
    <w:p>
      <w:pPr>
        <w:spacing w:line="400" w:lineRule="exact"/>
        <w:ind w:firstLine="420" w:firstLineChars="200"/>
        <w:jc w:val="lef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⑷招标文件约定的出席开标会议的人员未到场的；</w:t>
      </w:r>
    </w:p>
    <w:p>
      <w:pPr>
        <w:spacing w:line="400" w:lineRule="exact"/>
        <w:ind w:firstLine="420" w:firstLineChars="200"/>
        <w:jc w:val="lef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⑸投标函中载明的投标报价高于招标控制价的。</w:t>
      </w:r>
    </w:p>
    <w:p>
      <w:pPr>
        <w:spacing w:line="400" w:lineRule="exact"/>
        <w:ind w:firstLine="420" w:firstLineChars="200"/>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按报价由高到低进行排序后按三分之一分成高、中、低三段（高、中段均去尾取整，多出的均结余至低段。事例说明：比如由高到低排序后投标人有8家，8/3=2.667，高段2家，中段2家，低段4家。按报价由高到低进行排序后，出现较高段区里低报价跟邻近较低段区高报价相同时都归类到较高的段区里），当投标人≤20家时，高、中、低段由招标人代表各随机抽取1家投标人报价，进行求和取平均值此为B值。当投标人＞20家时，高、中、低段由招标人代表各随机抽取2家投标人报价，进行求和取平均值此为B值。</w:t>
      </w:r>
    </w:p>
    <w:p>
      <w:pPr>
        <w:spacing w:line="400" w:lineRule="exact"/>
        <w:ind w:firstLine="420" w:firstLineChars="200"/>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在低段区且不得低于下限D值范围内由招标人代表随机抽取一家投标报价后确定为C值。</w:t>
      </w:r>
    </w:p>
    <w:p>
      <w:pPr>
        <w:spacing w:line="400" w:lineRule="exact"/>
        <w:ind w:firstLine="420" w:firstLineChars="200"/>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D值指:（开标环节无废标的评标价算术平均值×70%与招标控制价×30%之和）下浮</w:t>
      </w:r>
      <w:r>
        <w:rPr>
          <w:rFonts w:hint="eastAsia" w:ascii="楷体_GB2312" w:hAnsi="楷体_GB2312" w:eastAsia="楷体_GB2312" w:cs="楷体_GB2312"/>
          <w:b/>
          <w:color w:val="auto"/>
          <w:szCs w:val="21"/>
          <w:u w:val="single"/>
        </w:rPr>
        <w:t>20</w:t>
      </w:r>
      <w:r>
        <w:rPr>
          <w:rFonts w:hint="eastAsia" w:ascii="楷体_GB2312" w:hAnsi="楷体_GB2312" w:eastAsia="楷体_GB2312" w:cs="楷体_GB2312"/>
          <w:color w:val="auto"/>
          <w:szCs w:val="21"/>
          <w:u w:val="single"/>
        </w:rPr>
        <w:t>%</w:t>
      </w:r>
      <w:r>
        <w:rPr>
          <w:rFonts w:hint="eastAsia" w:ascii="楷体_GB2312" w:hAnsi="楷体_GB2312" w:eastAsia="楷体_GB2312" w:cs="楷体_GB2312"/>
          <w:color w:val="auto"/>
          <w:szCs w:val="21"/>
        </w:rPr>
        <w:t>计算出的值。</w:t>
      </w:r>
    </w:p>
    <w:p>
      <w:pPr>
        <w:spacing w:line="400" w:lineRule="exact"/>
        <w:ind w:firstLine="420" w:firstLineChars="200"/>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（当投标人数量较少，无法抽取B、C值时，直接在相关区间段内取值进行计算。若C值无法获取时，直接确定D值为C值。）</w:t>
      </w:r>
    </w:p>
    <w:p>
      <w:pPr>
        <w:spacing w:line="400" w:lineRule="exact"/>
        <w:ind w:firstLine="420" w:firstLineChars="200"/>
        <w:rPr>
          <w:rFonts w:hint="eastAsia" w:ascii="楷体_GB2312" w:hAnsi="楷体_GB2312" w:eastAsia="楷体_GB2312" w:cs="楷体_GB2312"/>
          <w:b/>
          <w:color w:val="auto"/>
          <w:kern w:val="0"/>
          <w:szCs w:val="21"/>
        </w:rPr>
      </w:pPr>
      <w:r>
        <w:rPr>
          <w:rFonts w:hint="eastAsia" w:ascii="楷体_GB2312" w:hAnsi="楷体_GB2312" w:eastAsia="楷体_GB2312" w:cs="楷体_GB2312"/>
          <w:b/>
          <w:color w:val="auto"/>
          <w:kern w:val="0"/>
          <w:szCs w:val="21"/>
        </w:rPr>
        <w:t>（二）评标准备</w:t>
      </w:r>
    </w:p>
    <w:p>
      <w:pPr>
        <w:spacing w:line="400" w:lineRule="exact"/>
        <w:ind w:firstLine="420" w:firstLineChars="200"/>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评标前由招标人对照省政府第 120 号令要求，进行评标准备工作，并核实投标人和项目负责人的资质和资格、经历和业绩、在建工程和信用状况等方面的情况，重点对被抽到参与有关值计算的投标人审查，发现有投标人递交无竞争力的投标文件的（无竞争力投标是指不以中标为目的的投标，包括投标报价畸高、投标文件故意漏项缺项、施工组织设计文件不符合篇幅要求、以及故意违反招标文件中已醒目标识的无效投标条款且事先未质疑、有业绩要求未提供业绩、或提供明显与招标文件招标公告要求不符的业绩参与投标的等情形），提请评标委员会先进行废标，并作为不良行为推送相关招标网公示不少于1个月，并限制其参加国有资金项目投标。</w:t>
      </w:r>
    </w:p>
    <w:p>
      <w:pPr>
        <w:spacing w:line="400" w:lineRule="exact"/>
        <w:ind w:firstLine="420" w:firstLineChars="200"/>
        <w:jc w:val="left"/>
        <w:rPr>
          <w:rFonts w:hint="eastAsia" w:ascii="楷体_GB2312" w:hAnsi="楷体_GB2312" w:eastAsia="楷体_GB2312" w:cs="楷体_GB2312"/>
          <w:b/>
          <w:color w:val="auto"/>
          <w:kern w:val="0"/>
          <w:szCs w:val="21"/>
        </w:rPr>
      </w:pPr>
      <w:r>
        <w:rPr>
          <w:rFonts w:hint="eastAsia" w:ascii="楷体_GB2312" w:hAnsi="楷体_GB2312" w:eastAsia="楷体_GB2312" w:cs="楷体_GB2312"/>
          <w:b/>
          <w:color w:val="auto"/>
          <w:kern w:val="0"/>
          <w:szCs w:val="21"/>
        </w:rPr>
        <w:t>（三）清标</w:t>
      </w:r>
    </w:p>
    <w:p>
      <w:pPr>
        <w:spacing w:line="400" w:lineRule="exact"/>
        <w:ind w:firstLine="420" w:firstLineChars="200"/>
        <w:jc w:val="left"/>
        <w:rPr>
          <w:rFonts w:hint="eastAsia" w:ascii="楷体_GB2312" w:hAnsi="楷体_GB2312" w:eastAsia="楷体_GB2312" w:cs="楷体_GB2312"/>
          <w:color w:val="auto"/>
          <w:szCs w:val="21"/>
        </w:rPr>
      </w:pPr>
      <w:r>
        <w:rPr>
          <w:rFonts w:hint="eastAsia" w:ascii="楷体_GB2312" w:hAnsi="楷体_GB2312" w:eastAsia="楷体_GB2312" w:cs="楷体_GB2312"/>
          <w:b/>
          <w:color w:val="auto"/>
          <w:kern w:val="0"/>
          <w:szCs w:val="21"/>
        </w:rPr>
        <w:t>（四）评标基准价及投标报价得分确定</w:t>
      </w:r>
    </w:p>
    <w:p>
      <w:pPr>
        <w:autoSpaceDE w:val="0"/>
        <w:autoSpaceDN w:val="0"/>
        <w:adjustRightInd w:val="0"/>
        <w:spacing w:line="400" w:lineRule="exact"/>
        <w:ind w:firstLine="420" w:firstLineChars="200"/>
        <w:jc w:val="lef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1、评标基准值计算方法的确定</w:t>
      </w:r>
    </w:p>
    <w:p>
      <w:pPr>
        <w:tabs>
          <w:tab w:val="left" w:pos="0"/>
        </w:tabs>
        <w:spacing w:line="400" w:lineRule="exact"/>
        <w:ind w:firstLine="420" w:firstLineChars="200"/>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评标基准价=</w:t>
      </w:r>
      <w:r>
        <w:rPr>
          <w:rFonts w:hint="eastAsia" w:ascii="楷体_GB2312" w:hAnsi="楷体_GB2312" w:eastAsia="楷体_GB2312" w:cs="楷体_GB2312"/>
          <w:color w:val="auto"/>
          <w:szCs w:val="21"/>
          <w:u w:val="single"/>
        </w:rPr>
        <w:t>（A×50%＋B×35%＋C×15%）×K；</w:t>
      </w:r>
    </w:p>
    <w:p>
      <w:pPr>
        <w:autoSpaceDE w:val="0"/>
        <w:autoSpaceDN w:val="0"/>
        <w:adjustRightInd w:val="0"/>
        <w:spacing w:line="400" w:lineRule="exact"/>
        <w:ind w:firstLine="420" w:firstLineChars="200"/>
        <w:jc w:val="lef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2、评标基准值计算具体细则见（附表一），参数设置如下：</w:t>
      </w:r>
    </w:p>
    <w:p>
      <w:pPr>
        <w:autoSpaceDE w:val="0"/>
        <w:autoSpaceDN w:val="0"/>
        <w:adjustRightInd w:val="0"/>
        <w:spacing w:line="400" w:lineRule="exact"/>
        <w:ind w:firstLine="420" w:firstLineChars="200"/>
        <w:jc w:val="left"/>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K值取值范围：</w:t>
      </w:r>
      <w:r>
        <w:rPr>
          <w:rFonts w:hint="eastAsia" w:ascii="楷体_GB2312" w:hAnsi="楷体_GB2312" w:eastAsia="楷体_GB2312" w:cs="楷体_GB2312"/>
          <w:color w:val="auto"/>
          <w:kern w:val="0"/>
          <w:szCs w:val="21"/>
          <w:u w:val="single"/>
        </w:rPr>
        <w:t>96%、96</w:t>
      </w:r>
      <w:r>
        <w:rPr>
          <w:rFonts w:hint="eastAsia" w:ascii="楷体_GB2312" w:hAnsi="楷体_GB2312" w:eastAsia="楷体_GB2312" w:cs="楷体_GB2312"/>
          <w:color w:val="auto"/>
          <w:szCs w:val="21"/>
          <w:u w:val="single"/>
        </w:rPr>
        <w:t>.5</w:t>
      </w:r>
      <w:r>
        <w:rPr>
          <w:rFonts w:hint="eastAsia" w:ascii="楷体_GB2312" w:hAnsi="楷体_GB2312" w:eastAsia="楷体_GB2312" w:cs="楷体_GB2312"/>
          <w:color w:val="auto"/>
          <w:kern w:val="0"/>
          <w:szCs w:val="21"/>
          <w:u w:val="single"/>
        </w:rPr>
        <w:t>%、</w:t>
      </w:r>
      <w:r>
        <w:rPr>
          <w:rFonts w:hint="eastAsia" w:ascii="楷体_GB2312" w:hAnsi="楷体_GB2312" w:eastAsia="楷体_GB2312" w:cs="楷体_GB2312"/>
          <w:color w:val="auto"/>
          <w:szCs w:val="21"/>
          <w:u w:val="single"/>
        </w:rPr>
        <w:t>97%、97.5%、98%</w:t>
      </w:r>
      <w:r>
        <w:rPr>
          <w:rFonts w:hint="eastAsia" w:ascii="楷体_GB2312" w:hAnsi="楷体_GB2312" w:eastAsia="楷体_GB2312" w:cs="楷体_GB2312"/>
          <w:color w:val="auto"/>
          <w:kern w:val="0"/>
          <w:szCs w:val="21"/>
        </w:rPr>
        <w:t>，（开标时由</w:t>
      </w:r>
      <w:r>
        <w:rPr>
          <w:rFonts w:hint="eastAsia" w:ascii="楷体_GB2312" w:hAnsi="楷体_GB2312" w:eastAsia="楷体_GB2312" w:cs="楷体_GB2312"/>
          <w:color w:val="auto"/>
          <w:kern w:val="0"/>
          <w:szCs w:val="21"/>
          <w:u w:val="single"/>
        </w:rPr>
        <w:t>招标人代表</w:t>
      </w:r>
      <w:r>
        <w:rPr>
          <w:rFonts w:hint="eastAsia" w:ascii="楷体_GB2312" w:hAnsi="楷体_GB2312" w:eastAsia="楷体_GB2312" w:cs="楷体_GB2312"/>
          <w:color w:val="auto"/>
          <w:kern w:val="0"/>
          <w:szCs w:val="21"/>
        </w:rPr>
        <w:t>随机抽取确定）；</w:t>
      </w:r>
    </w:p>
    <w:p>
      <w:pPr>
        <w:spacing w:line="400" w:lineRule="exact"/>
        <w:ind w:firstLine="420" w:firstLineChars="200"/>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szCs w:val="21"/>
        </w:rPr>
        <w:t>Δ</w:t>
      </w:r>
      <w:r>
        <w:rPr>
          <w:rFonts w:hint="eastAsia" w:ascii="楷体_GB2312" w:hAnsi="楷体_GB2312" w:eastAsia="楷体_GB2312" w:cs="楷体_GB2312"/>
          <w:color w:val="auto"/>
          <w:kern w:val="0"/>
          <w:szCs w:val="21"/>
        </w:rPr>
        <w:t>值取值范围详见附表：</w:t>
      </w:r>
      <w:r>
        <w:rPr>
          <w:rFonts w:hint="eastAsia" w:ascii="楷体_GB2312" w:hAnsi="楷体_GB2312" w:eastAsia="楷体_GB2312" w:cs="楷体_GB2312"/>
          <w:color w:val="auto"/>
          <w:szCs w:val="21"/>
          <w:u w:val="single"/>
        </w:rPr>
        <w:t>8%、9%、10%、11%、12%、13%、14%、15%</w:t>
      </w:r>
      <w:r>
        <w:rPr>
          <w:rFonts w:hint="eastAsia" w:ascii="楷体_GB2312" w:hAnsi="楷体_GB2312" w:eastAsia="楷体_GB2312" w:cs="楷体_GB2312"/>
          <w:color w:val="auto"/>
          <w:kern w:val="0"/>
          <w:szCs w:val="21"/>
        </w:rPr>
        <w:t>，（开标时由</w:t>
      </w:r>
      <w:r>
        <w:rPr>
          <w:rFonts w:hint="eastAsia" w:ascii="楷体_GB2312" w:hAnsi="楷体_GB2312" w:eastAsia="楷体_GB2312" w:cs="楷体_GB2312"/>
          <w:color w:val="auto"/>
          <w:kern w:val="0"/>
          <w:szCs w:val="21"/>
          <w:u w:val="single"/>
        </w:rPr>
        <w:t>招标人代表</w:t>
      </w:r>
      <w:r>
        <w:rPr>
          <w:rFonts w:hint="eastAsia" w:ascii="楷体_GB2312" w:hAnsi="楷体_GB2312" w:eastAsia="楷体_GB2312" w:cs="楷体_GB2312"/>
          <w:color w:val="auto"/>
          <w:kern w:val="0"/>
          <w:szCs w:val="21"/>
        </w:rPr>
        <w:t>随机抽取确定）；</w:t>
      </w:r>
    </w:p>
    <w:p>
      <w:pPr>
        <w:tabs>
          <w:tab w:val="left" w:pos="0"/>
        </w:tabs>
        <w:spacing w:line="400" w:lineRule="exact"/>
        <w:ind w:firstLine="420" w:firstLineChars="200"/>
        <w:rPr>
          <w:rFonts w:hint="eastAsia" w:ascii="楷体_GB2312" w:hAnsi="楷体_GB2312" w:eastAsia="楷体_GB2312" w:cs="楷体_GB2312"/>
          <w:color w:val="auto"/>
          <w:szCs w:val="21"/>
        </w:rPr>
      </w:pPr>
      <w:r>
        <w:rPr>
          <w:rFonts w:hint="eastAsia" w:ascii="楷体_GB2312" w:hAnsi="楷体_GB2312" w:eastAsia="楷体_GB2312" w:cs="楷体_GB2312"/>
          <w:color w:val="auto"/>
          <w:kern w:val="0"/>
          <w:szCs w:val="21"/>
        </w:rPr>
        <w:t>A值为</w:t>
      </w:r>
      <w:r>
        <w:rPr>
          <w:rFonts w:hint="eastAsia" w:ascii="楷体_GB2312" w:hAnsi="楷体_GB2312" w:eastAsia="楷体_GB2312" w:cs="楷体_GB2312"/>
          <w:color w:val="auto"/>
          <w:szCs w:val="21"/>
        </w:rPr>
        <w:t>A=招标控制价×（100%－下浮率Δ）；</w:t>
      </w:r>
    </w:p>
    <w:p>
      <w:pPr>
        <w:spacing w:line="400" w:lineRule="exact"/>
        <w:ind w:firstLine="420" w:firstLineChars="200"/>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B值为开标时</w:t>
      </w:r>
      <w:r>
        <w:rPr>
          <w:rFonts w:hint="eastAsia" w:ascii="楷体_GB2312" w:hAnsi="楷体_GB2312" w:eastAsia="楷体_GB2312" w:cs="楷体_GB2312"/>
          <w:color w:val="auto"/>
          <w:szCs w:val="21"/>
        </w:rPr>
        <w:t>由招标人代表</w:t>
      </w:r>
      <w:r>
        <w:rPr>
          <w:rFonts w:hint="eastAsia" w:ascii="楷体_GB2312" w:hAnsi="楷体_GB2312" w:eastAsia="楷体_GB2312" w:cs="楷体_GB2312"/>
          <w:color w:val="auto"/>
          <w:kern w:val="0"/>
          <w:szCs w:val="21"/>
        </w:rPr>
        <w:t xml:space="preserve">抽取有关投标报价经计算后确定； </w:t>
      </w:r>
    </w:p>
    <w:p>
      <w:pPr>
        <w:spacing w:line="400" w:lineRule="exact"/>
        <w:ind w:firstLine="420" w:firstLineChars="200"/>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C值在低段范围内且不得低于下限D值范围内由招标人代表随机抽取一家投标报价确定。</w:t>
      </w:r>
    </w:p>
    <w:p>
      <w:pPr>
        <w:spacing w:line="400" w:lineRule="exact"/>
        <w:ind w:firstLine="420" w:firstLineChars="200"/>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3、特殊情形下，评标基准价调整方式：除确认存在计算错误外，不因招投标当事人质疑、投诉、复议以及其它任何情形而改变；</w:t>
      </w:r>
    </w:p>
    <w:p>
      <w:pPr>
        <w:spacing w:line="400" w:lineRule="exact"/>
        <w:ind w:firstLine="420" w:firstLineChars="200"/>
        <w:jc w:val="left"/>
        <w:rPr>
          <w:rFonts w:hint="eastAsia" w:ascii="楷体_GB2312" w:hAnsi="楷体_GB2312" w:eastAsia="楷体_GB2312" w:cs="楷体_GB2312"/>
          <w:color w:val="auto"/>
          <w:kern w:val="0"/>
          <w:szCs w:val="21"/>
        </w:rPr>
      </w:pPr>
      <w:r>
        <w:rPr>
          <w:rFonts w:hint="eastAsia" w:ascii="楷体_GB2312" w:hAnsi="楷体_GB2312" w:eastAsia="楷体_GB2312" w:cs="楷体_GB2312"/>
          <w:b/>
          <w:color w:val="auto"/>
          <w:szCs w:val="21"/>
        </w:rPr>
        <w:t>B、C、D值一经确定，不因后续资格审查废标而改变。</w:t>
      </w:r>
    </w:p>
    <w:p>
      <w:pPr>
        <w:spacing w:line="400" w:lineRule="exact"/>
        <w:ind w:firstLine="420" w:firstLineChars="200"/>
        <w:jc w:val="left"/>
        <w:rPr>
          <w:rFonts w:hint="eastAsia" w:ascii="楷体_GB2312" w:hAnsi="楷体_GB2312" w:eastAsia="楷体_GB2312" w:cs="楷体_GB2312"/>
          <w:color w:val="auto"/>
          <w:kern w:val="0"/>
          <w:szCs w:val="21"/>
          <w:u w:val="single"/>
        </w:rPr>
      </w:pPr>
      <w:r>
        <w:rPr>
          <w:rFonts w:hint="eastAsia" w:ascii="楷体_GB2312" w:hAnsi="楷体_GB2312" w:eastAsia="楷体_GB2312" w:cs="楷体_GB2312"/>
          <w:color w:val="auto"/>
          <w:kern w:val="0"/>
          <w:szCs w:val="21"/>
        </w:rPr>
        <w:t>4、报价得分满分为</w:t>
      </w:r>
      <w:r>
        <w:rPr>
          <w:rFonts w:hint="eastAsia" w:ascii="楷体_GB2312" w:hAnsi="楷体_GB2312" w:eastAsia="楷体_GB2312" w:cs="楷体_GB2312"/>
          <w:color w:val="auto"/>
          <w:kern w:val="0"/>
          <w:szCs w:val="21"/>
          <w:u w:val="single"/>
        </w:rPr>
        <w:t>100分</w:t>
      </w:r>
    </w:p>
    <w:p>
      <w:pPr>
        <w:tabs>
          <w:tab w:val="left" w:pos="0"/>
        </w:tabs>
        <w:spacing w:line="400" w:lineRule="exact"/>
        <w:ind w:firstLine="420" w:firstLineChars="200"/>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下浮系数K、下浮率Δ，在开标时</w:t>
      </w:r>
      <w:r>
        <w:rPr>
          <w:rFonts w:hint="eastAsia" w:ascii="楷体_GB2312" w:hAnsi="楷体_GB2312" w:eastAsia="楷体_GB2312" w:cs="楷体_GB2312"/>
          <w:color w:val="auto"/>
          <w:kern w:val="0"/>
          <w:szCs w:val="21"/>
        </w:rPr>
        <w:t>由</w:t>
      </w:r>
      <w:r>
        <w:rPr>
          <w:rFonts w:hint="eastAsia" w:ascii="楷体_GB2312" w:hAnsi="楷体_GB2312" w:eastAsia="楷体_GB2312" w:cs="楷体_GB2312"/>
          <w:color w:val="auto"/>
          <w:kern w:val="0"/>
          <w:szCs w:val="21"/>
          <w:u w:val="single"/>
        </w:rPr>
        <w:t>招标人</w:t>
      </w:r>
      <w:r>
        <w:rPr>
          <w:rFonts w:hint="eastAsia" w:ascii="楷体_GB2312" w:hAnsi="楷体_GB2312" w:eastAsia="楷体_GB2312" w:cs="楷体_GB2312"/>
          <w:color w:val="auto"/>
          <w:szCs w:val="21"/>
          <w:u w:val="single"/>
        </w:rPr>
        <w:t>代表</w:t>
      </w:r>
      <w:r>
        <w:rPr>
          <w:rFonts w:hint="eastAsia" w:ascii="楷体_GB2312" w:hAnsi="楷体_GB2312" w:eastAsia="楷体_GB2312" w:cs="楷体_GB2312"/>
          <w:color w:val="auto"/>
          <w:szCs w:val="21"/>
        </w:rPr>
        <w:t>按下表取值范围内随机抽取。</w:t>
      </w:r>
    </w:p>
    <w:tbl>
      <w:tblPr>
        <w:tblStyle w:val="18"/>
        <w:tblW w:w="8200"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0"/>
        <w:gridCol w:w="1903"/>
        <w:gridCol w:w="5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9" w:hRule="atLeast"/>
          <w:tblCellSpacing w:w="15" w:type="dxa"/>
          <w:jc w:val="center"/>
        </w:trPr>
        <w:tc>
          <w:tcPr>
            <w:tcW w:w="3038" w:type="dxa"/>
            <w:gridSpan w:val="2"/>
            <w:vAlign w:val="center"/>
          </w:tcPr>
          <w:p>
            <w:pPr>
              <w:tabs>
                <w:tab w:val="left" w:pos="0"/>
              </w:tabs>
              <w:spacing w:line="4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分类</w:t>
            </w:r>
          </w:p>
        </w:tc>
        <w:tc>
          <w:tcPr>
            <w:tcW w:w="5072" w:type="dxa"/>
            <w:vAlign w:val="center"/>
          </w:tcPr>
          <w:p>
            <w:pPr>
              <w:tabs>
                <w:tab w:val="left" w:pos="0"/>
              </w:tabs>
              <w:spacing w:line="4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取值范围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blCellSpacing w:w="15" w:type="dxa"/>
          <w:jc w:val="center"/>
        </w:trPr>
        <w:tc>
          <w:tcPr>
            <w:tcW w:w="3038" w:type="dxa"/>
            <w:gridSpan w:val="2"/>
            <w:vAlign w:val="center"/>
          </w:tcPr>
          <w:p>
            <w:pPr>
              <w:tabs>
                <w:tab w:val="left" w:pos="0"/>
              </w:tabs>
              <w:spacing w:line="4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下浮系数K</w:t>
            </w:r>
          </w:p>
        </w:tc>
        <w:tc>
          <w:tcPr>
            <w:tcW w:w="5072" w:type="dxa"/>
            <w:vAlign w:val="center"/>
          </w:tcPr>
          <w:p>
            <w:pPr>
              <w:tabs>
                <w:tab w:val="left" w:pos="0"/>
              </w:tabs>
              <w:spacing w:line="4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96%、96.5%、97%、97.5%、98%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4" w:hRule="atLeast"/>
          <w:tblCellSpacing w:w="15" w:type="dxa"/>
          <w:jc w:val="center"/>
        </w:trPr>
        <w:tc>
          <w:tcPr>
            <w:tcW w:w="1135" w:type="dxa"/>
            <w:vMerge w:val="restart"/>
            <w:vAlign w:val="center"/>
          </w:tcPr>
          <w:p>
            <w:pPr>
              <w:tabs>
                <w:tab w:val="left" w:pos="0"/>
              </w:tabs>
              <w:spacing w:line="4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下浮率Δ</w:t>
            </w:r>
          </w:p>
        </w:tc>
        <w:tc>
          <w:tcPr>
            <w:tcW w:w="1873" w:type="dxa"/>
            <w:vAlign w:val="center"/>
          </w:tcPr>
          <w:p>
            <w:pPr>
              <w:tabs>
                <w:tab w:val="left" w:pos="0"/>
              </w:tabs>
              <w:spacing w:line="4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房屋建筑工程</w:t>
            </w:r>
          </w:p>
        </w:tc>
        <w:tc>
          <w:tcPr>
            <w:tcW w:w="5072" w:type="dxa"/>
            <w:vAlign w:val="center"/>
          </w:tcPr>
          <w:p>
            <w:pPr>
              <w:tabs>
                <w:tab w:val="left" w:pos="0"/>
              </w:tabs>
              <w:spacing w:line="4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6%、7%、8%、9%、10%、11%、12%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7" w:hRule="atLeast"/>
          <w:tblCellSpacing w:w="15" w:type="dxa"/>
          <w:jc w:val="center"/>
        </w:trPr>
        <w:tc>
          <w:tcPr>
            <w:tcW w:w="1135" w:type="dxa"/>
            <w:vMerge w:val="continue"/>
            <w:vAlign w:val="center"/>
          </w:tcPr>
          <w:p>
            <w:pPr>
              <w:tabs>
                <w:tab w:val="left" w:pos="0"/>
              </w:tabs>
              <w:spacing w:line="400" w:lineRule="exact"/>
              <w:rPr>
                <w:rFonts w:hint="eastAsia" w:ascii="楷体_GB2312" w:hAnsi="楷体_GB2312" w:eastAsia="楷体_GB2312" w:cs="楷体_GB2312"/>
                <w:color w:val="auto"/>
                <w:szCs w:val="21"/>
              </w:rPr>
            </w:pPr>
          </w:p>
        </w:tc>
        <w:tc>
          <w:tcPr>
            <w:tcW w:w="1873" w:type="dxa"/>
            <w:vAlign w:val="center"/>
          </w:tcPr>
          <w:p>
            <w:pPr>
              <w:tabs>
                <w:tab w:val="left" w:pos="0"/>
              </w:tabs>
              <w:spacing w:line="4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装饰装修、建筑幕墙及钢结构工程</w:t>
            </w:r>
          </w:p>
        </w:tc>
        <w:tc>
          <w:tcPr>
            <w:tcW w:w="5072" w:type="dxa"/>
            <w:vAlign w:val="center"/>
          </w:tcPr>
          <w:p>
            <w:pPr>
              <w:tabs>
                <w:tab w:val="left" w:pos="0"/>
              </w:tabs>
              <w:spacing w:line="4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8%、9%、10%、11%、12%、13%、14%、15%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1" w:hRule="atLeast"/>
          <w:tblCellSpacing w:w="15" w:type="dxa"/>
          <w:jc w:val="center"/>
        </w:trPr>
        <w:tc>
          <w:tcPr>
            <w:tcW w:w="1135" w:type="dxa"/>
            <w:vMerge w:val="continue"/>
            <w:vAlign w:val="center"/>
          </w:tcPr>
          <w:p>
            <w:pPr>
              <w:tabs>
                <w:tab w:val="left" w:pos="0"/>
              </w:tabs>
              <w:spacing w:line="400" w:lineRule="exact"/>
              <w:rPr>
                <w:rFonts w:hint="eastAsia" w:ascii="楷体_GB2312" w:hAnsi="楷体_GB2312" w:eastAsia="楷体_GB2312" w:cs="楷体_GB2312"/>
                <w:color w:val="auto"/>
                <w:szCs w:val="21"/>
              </w:rPr>
            </w:pPr>
          </w:p>
        </w:tc>
        <w:tc>
          <w:tcPr>
            <w:tcW w:w="1873" w:type="dxa"/>
            <w:vAlign w:val="center"/>
          </w:tcPr>
          <w:p>
            <w:pPr>
              <w:tabs>
                <w:tab w:val="left" w:pos="0"/>
              </w:tabs>
              <w:spacing w:line="4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机电安装工程</w:t>
            </w:r>
          </w:p>
        </w:tc>
        <w:tc>
          <w:tcPr>
            <w:tcW w:w="5072" w:type="dxa"/>
            <w:vAlign w:val="center"/>
          </w:tcPr>
          <w:p>
            <w:pPr>
              <w:tabs>
                <w:tab w:val="left" w:pos="0"/>
              </w:tabs>
              <w:spacing w:line="4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9%、10%、11%、12%、13%、14%、15%、16%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blCellSpacing w:w="15" w:type="dxa"/>
          <w:jc w:val="center"/>
        </w:trPr>
        <w:tc>
          <w:tcPr>
            <w:tcW w:w="1135" w:type="dxa"/>
            <w:vMerge w:val="continue"/>
            <w:vAlign w:val="center"/>
          </w:tcPr>
          <w:p>
            <w:pPr>
              <w:tabs>
                <w:tab w:val="left" w:pos="0"/>
              </w:tabs>
              <w:spacing w:line="400" w:lineRule="exact"/>
              <w:rPr>
                <w:rFonts w:hint="eastAsia" w:ascii="楷体_GB2312" w:hAnsi="楷体_GB2312" w:eastAsia="楷体_GB2312" w:cs="楷体_GB2312"/>
                <w:color w:val="auto"/>
                <w:szCs w:val="21"/>
              </w:rPr>
            </w:pPr>
          </w:p>
        </w:tc>
        <w:tc>
          <w:tcPr>
            <w:tcW w:w="1873" w:type="dxa"/>
            <w:vAlign w:val="center"/>
          </w:tcPr>
          <w:p>
            <w:pPr>
              <w:tabs>
                <w:tab w:val="left" w:pos="0"/>
              </w:tabs>
              <w:spacing w:line="4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市政工程</w:t>
            </w:r>
          </w:p>
        </w:tc>
        <w:tc>
          <w:tcPr>
            <w:tcW w:w="5072" w:type="dxa"/>
            <w:vAlign w:val="center"/>
          </w:tcPr>
          <w:p>
            <w:pPr>
              <w:tabs>
                <w:tab w:val="left" w:pos="0"/>
              </w:tabs>
              <w:spacing w:line="4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12%、13%、14%、15%、16%、17%、18%、19%、20%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5" w:hRule="atLeast"/>
          <w:tblCellSpacing w:w="15" w:type="dxa"/>
          <w:jc w:val="center"/>
        </w:trPr>
        <w:tc>
          <w:tcPr>
            <w:tcW w:w="1135" w:type="dxa"/>
            <w:vMerge w:val="continue"/>
            <w:vAlign w:val="center"/>
          </w:tcPr>
          <w:p>
            <w:pPr>
              <w:tabs>
                <w:tab w:val="left" w:pos="0"/>
              </w:tabs>
              <w:spacing w:line="400" w:lineRule="exact"/>
              <w:rPr>
                <w:rFonts w:hint="eastAsia" w:ascii="楷体_GB2312" w:hAnsi="楷体_GB2312" w:eastAsia="楷体_GB2312" w:cs="楷体_GB2312"/>
                <w:color w:val="auto"/>
                <w:szCs w:val="21"/>
              </w:rPr>
            </w:pPr>
          </w:p>
        </w:tc>
        <w:tc>
          <w:tcPr>
            <w:tcW w:w="1873" w:type="dxa"/>
            <w:vAlign w:val="center"/>
          </w:tcPr>
          <w:p>
            <w:pPr>
              <w:tabs>
                <w:tab w:val="left" w:pos="0"/>
              </w:tabs>
              <w:spacing w:line="4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绿化工程</w:t>
            </w:r>
          </w:p>
        </w:tc>
        <w:tc>
          <w:tcPr>
            <w:tcW w:w="5072" w:type="dxa"/>
            <w:vAlign w:val="center"/>
          </w:tcPr>
          <w:p>
            <w:pPr>
              <w:tabs>
                <w:tab w:val="left" w:pos="0"/>
              </w:tabs>
              <w:spacing w:line="4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17%、18%、19%、20%、21%、22%、23%、24%、25%</w:t>
            </w:r>
          </w:p>
        </w:tc>
      </w:tr>
    </w:tbl>
    <w:p>
      <w:pPr>
        <w:spacing w:line="400" w:lineRule="exact"/>
        <w:ind w:firstLine="420" w:firstLineChars="200"/>
        <w:jc w:val="left"/>
        <w:rPr>
          <w:rFonts w:hint="eastAsia" w:ascii="楷体_GB2312" w:hAnsi="楷体_GB2312" w:eastAsia="楷体_GB2312" w:cs="楷体_GB2312"/>
          <w:vanish/>
          <w:color w:val="auto"/>
          <w:szCs w:val="21"/>
        </w:rPr>
      </w:pPr>
    </w:p>
    <w:p>
      <w:pPr>
        <w:spacing w:line="400" w:lineRule="exact"/>
        <w:ind w:firstLine="420" w:firstLineChars="200"/>
        <w:jc w:val="lef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扣分标准：投标报价等于评标基准价的得满分，投标报价相对评标基准价每低1%扣</w:t>
      </w:r>
      <w:r>
        <w:rPr>
          <w:rFonts w:hint="eastAsia" w:ascii="楷体_GB2312" w:hAnsi="楷体_GB2312" w:eastAsia="楷体_GB2312" w:cs="楷体_GB2312"/>
          <w:color w:val="auto"/>
          <w:szCs w:val="21"/>
          <w:u w:val="single"/>
        </w:rPr>
        <w:t>0.6</w:t>
      </w:r>
      <w:r>
        <w:rPr>
          <w:rFonts w:hint="eastAsia" w:ascii="楷体_GB2312" w:hAnsi="楷体_GB2312" w:eastAsia="楷体_GB2312" w:cs="楷体_GB2312"/>
          <w:color w:val="auto"/>
          <w:szCs w:val="21"/>
        </w:rPr>
        <w:t>分，每高1%扣</w:t>
      </w:r>
      <w:r>
        <w:rPr>
          <w:rFonts w:hint="eastAsia" w:ascii="楷体_GB2312" w:hAnsi="楷体_GB2312" w:eastAsia="楷体_GB2312" w:cs="楷体_GB2312"/>
          <w:color w:val="auto"/>
          <w:szCs w:val="21"/>
          <w:u w:val="single"/>
        </w:rPr>
        <w:t>0.9</w:t>
      </w:r>
      <w:r>
        <w:rPr>
          <w:rFonts w:hint="eastAsia" w:ascii="楷体_GB2312" w:hAnsi="楷体_GB2312" w:eastAsia="楷体_GB2312" w:cs="楷体_GB2312"/>
          <w:color w:val="auto"/>
          <w:szCs w:val="21"/>
        </w:rPr>
        <w:t>分；偏离不足1%的，按照插入法计算得分。</w:t>
      </w:r>
    </w:p>
    <w:p>
      <w:pPr>
        <w:spacing w:line="400" w:lineRule="exact"/>
        <w:ind w:firstLine="420" w:firstLineChars="200"/>
        <w:jc w:val="left"/>
        <w:rPr>
          <w:rFonts w:hint="eastAsia" w:ascii="楷体_GB2312" w:hAnsi="楷体_GB2312" w:eastAsia="楷体_GB2312" w:cs="楷体_GB2312"/>
          <w:color w:val="auto"/>
          <w:kern w:val="0"/>
          <w:szCs w:val="21"/>
        </w:rPr>
      </w:pPr>
      <w:r>
        <w:rPr>
          <w:rFonts w:hint="eastAsia" w:ascii="楷体_GB2312" w:hAnsi="楷体_GB2312" w:eastAsia="楷体_GB2312" w:cs="楷体_GB2312"/>
          <w:b/>
          <w:color w:val="auto"/>
          <w:kern w:val="0"/>
          <w:szCs w:val="21"/>
        </w:rPr>
        <w:t>（五）投标人得分</w:t>
      </w:r>
    </w:p>
    <w:p>
      <w:pPr>
        <w:spacing w:line="400" w:lineRule="exact"/>
        <w:ind w:firstLine="420" w:firstLineChars="200"/>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1、评标委员会按本章“</w:t>
      </w:r>
      <w:r>
        <w:rPr>
          <w:rFonts w:hint="eastAsia" w:ascii="楷体_GB2312" w:hAnsi="楷体_GB2312" w:eastAsia="楷体_GB2312" w:cs="楷体_GB2312"/>
          <w:bCs/>
          <w:color w:val="auto"/>
          <w:szCs w:val="21"/>
        </w:rPr>
        <w:t>盐城</w:t>
      </w:r>
      <w:r>
        <w:rPr>
          <w:rFonts w:hint="eastAsia" w:ascii="楷体_GB2312" w:hAnsi="楷体_GB2312" w:eastAsia="楷体_GB2312" w:cs="楷体_GB2312"/>
          <w:color w:val="auto"/>
          <w:szCs w:val="21"/>
        </w:rPr>
        <w:t>ABCD合成法”对各项的量化因素和分值进行打分，并计算出综合评估得分。</w:t>
      </w:r>
    </w:p>
    <w:p>
      <w:pPr>
        <w:spacing w:line="400" w:lineRule="exact"/>
        <w:ind w:firstLine="420" w:firstLineChars="200"/>
        <w:jc w:val="lef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（1）按第（四）项评标基准价及投标报价得分，规定的评审因素和分值对投标报价计算出得分a；</w:t>
      </w:r>
    </w:p>
    <w:p>
      <w:pPr>
        <w:spacing w:line="400" w:lineRule="exact"/>
        <w:ind w:firstLine="420" w:firstLineChars="200"/>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2、评分分值计算过程中保留小数点后三位，小数点后第四位“四舍五入”。最终得分保留小数点后两位，第三位“四舍五入” 。</w:t>
      </w:r>
    </w:p>
    <w:p>
      <w:pPr>
        <w:spacing w:line="400" w:lineRule="exact"/>
        <w:ind w:firstLine="420" w:firstLineChars="200"/>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3、投标人得分=a。</w:t>
      </w:r>
    </w:p>
    <w:p>
      <w:pPr>
        <w:spacing w:line="400" w:lineRule="exact"/>
        <w:ind w:firstLine="420" w:firstLineChars="200"/>
        <w:jc w:val="left"/>
        <w:rPr>
          <w:rFonts w:hint="eastAsia" w:ascii="楷体_GB2312" w:hAnsi="楷体_GB2312" w:eastAsia="楷体_GB2312" w:cs="楷体_GB2312"/>
          <w:b/>
          <w:color w:val="auto"/>
          <w:kern w:val="0"/>
          <w:szCs w:val="21"/>
        </w:rPr>
      </w:pPr>
      <w:r>
        <w:rPr>
          <w:rFonts w:hint="eastAsia" w:ascii="楷体_GB2312" w:hAnsi="楷体_GB2312" w:eastAsia="楷体_GB2312" w:cs="楷体_GB2312"/>
          <w:b/>
          <w:color w:val="auto"/>
          <w:kern w:val="0"/>
          <w:szCs w:val="21"/>
        </w:rPr>
        <w:t>（六）资格审查</w:t>
      </w:r>
    </w:p>
    <w:p>
      <w:pPr>
        <w:spacing w:line="400" w:lineRule="exact"/>
        <w:ind w:firstLine="420" w:firstLineChars="200"/>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评标委员会对前面评审得分由高到低的投标文件按以下顺序进行，上一阶段未通过的不进入下一阶段评审，直至选出3名合格的中标候选人：</w:t>
      </w:r>
    </w:p>
    <w:p>
      <w:pPr>
        <w:spacing w:line="400" w:lineRule="exact"/>
        <w:ind w:firstLine="420" w:firstLineChars="200"/>
        <w:rPr>
          <w:rFonts w:hint="eastAsia" w:ascii="楷体_GB2312" w:hAnsi="楷体_GB2312" w:eastAsia="楷体_GB2312" w:cs="楷体_GB2312"/>
          <w:b/>
          <w:bCs/>
          <w:color w:val="auto"/>
          <w:szCs w:val="21"/>
        </w:rPr>
      </w:pPr>
      <w:r>
        <w:rPr>
          <w:rFonts w:hint="eastAsia" w:ascii="楷体_GB2312" w:hAnsi="楷体_GB2312" w:eastAsia="楷体_GB2312" w:cs="楷体_GB2312"/>
          <w:b/>
          <w:color w:val="auto"/>
          <w:szCs w:val="21"/>
        </w:rPr>
        <w:t>1、初步评审</w:t>
      </w:r>
    </w:p>
    <w:p>
      <w:pPr>
        <w:spacing w:line="400" w:lineRule="exact"/>
        <w:ind w:firstLine="420" w:firstLineChars="200"/>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1.1形式评审标准</w:t>
      </w:r>
    </w:p>
    <w:p>
      <w:pPr>
        <w:spacing w:line="400" w:lineRule="exact"/>
        <w:ind w:firstLine="420" w:firstLineChars="200"/>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对投标文件的有效性、完整性进行评审。</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56"/>
        <w:gridCol w:w="52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评审因素</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_GB2312" w:hAnsi="楷体_GB2312" w:eastAsia="楷体_GB2312" w:cs="楷体_GB2312"/>
                <w:b/>
                <w:color w:val="auto"/>
                <w:szCs w:val="21"/>
              </w:rPr>
            </w:pPr>
            <w:r>
              <w:rPr>
                <w:rFonts w:hint="eastAsia" w:ascii="楷体_GB2312" w:hAnsi="楷体_GB2312" w:eastAsia="楷体_GB2312" w:cs="楷体_GB2312"/>
                <w:color w:val="auto"/>
                <w:szCs w:val="21"/>
              </w:rPr>
              <w:t>投标人名称</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hint="eastAsia" w:ascii="楷体_GB2312" w:hAnsi="楷体_GB2312" w:eastAsia="楷体_GB2312" w:cs="楷体_GB2312"/>
                <w:b/>
                <w:color w:val="auto"/>
                <w:szCs w:val="21"/>
              </w:rPr>
            </w:pPr>
            <w:r>
              <w:rPr>
                <w:rFonts w:hint="eastAsia" w:ascii="楷体_GB2312" w:hAnsi="楷体_GB2312" w:eastAsia="楷体_GB2312" w:cs="楷体_GB2312"/>
                <w:color w:val="auto"/>
                <w:szCs w:val="21"/>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投标文件格式</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符合投标文件格式要求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2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投标承诺函</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有法定代表人或其委托代理人签字（或盖章）并加盖投标单位公章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2656"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授权委托书</w:t>
            </w:r>
          </w:p>
        </w:tc>
        <w:tc>
          <w:tcPr>
            <w:tcW w:w="5257" w:type="dxa"/>
            <w:tcBorders>
              <w:top w:val="single" w:color="auto" w:sz="4" w:space="0"/>
              <w:left w:val="single" w:color="auto" w:sz="4" w:space="0"/>
              <w:bottom w:val="single" w:color="auto" w:sz="4" w:space="0"/>
              <w:right w:val="single" w:color="auto" w:sz="4" w:space="0"/>
            </w:tcBorders>
          </w:tcPr>
          <w:p>
            <w:pPr>
              <w:spacing w:line="4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有法定代表人签字（或盖章）并加盖投标单位公章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报价唯一</w:t>
            </w:r>
          </w:p>
        </w:tc>
        <w:tc>
          <w:tcPr>
            <w:tcW w:w="5257"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只能有一个有效报价</w:t>
            </w:r>
          </w:p>
        </w:tc>
      </w:tr>
    </w:tbl>
    <w:p>
      <w:pPr>
        <w:spacing w:line="400" w:lineRule="exact"/>
        <w:ind w:firstLine="420" w:firstLineChars="200"/>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1.2资格审查（资格后审）</w:t>
      </w:r>
    </w:p>
    <w:p>
      <w:pPr>
        <w:spacing w:line="400" w:lineRule="exact"/>
        <w:ind w:firstLine="420" w:firstLineChars="200"/>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评标委员会对通过上一阶段评审的投标人资格对照招标文件中</w:t>
      </w:r>
      <w:r>
        <w:rPr>
          <w:rFonts w:hint="eastAsia" w:ascii="楷体_GB2312" w:hAnsi="楷体_GB2312" w:eastAsia="楷体_GB2312" w:cs="楷体_GB2312"/>
          <w:b/>
          <w:color w:val="auto"/>
          <w:szCs w:val="21"/>
        </w:rPr>
        <w:t>投标人资格要求</w:t>
      </w:r>
      <w:r>
        <w:rPr>
          <w:rFonts w:hint="eastAsia" w:ascii="楷体_GB2312" w:hAnsi="楷体_GB2312" w:eastAsia="楷体_GB2312" w:cs="楷体_GB2312"/>
          <w:color w:val="auto"/>
          <w:szCs w:val="21"/>
        </w:rPr>
        <w:t>的规定要求进行审查，只有通过资格审查的投标人方可进行下一阶段的评审。</w:t>
      </w:r>
    </w:p>
    <w:tbl>
      <w:tblPr>
        <w:tblStyle w:val="18"/>
        <w:tblW w:w="795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00"/>
        <w:gridCol w:w="52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评审因素</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营业执照</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提供有效的营业执照原件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安全生产许可证</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提供有效的安全生产许可证原件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资质等级</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提供建设行政主管部门核发的建筑工程施工总承包三级及以上资质或建筑装修装饰工程专业承包二级及以上资质或有效期内的建筑装饰装修工程设计与施工一体化三级及以上资质证书原件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项目负责人</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提供建筑工程专业二级及以上建造师注册证书原件和安全生产考核合格证书（B类）原件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700"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其他要求</w:t>
            </w:r>
          </w:p>
        </w:tc>
        <w:tc>
          <w:tcPr>
            <w:tcW w:w="5253" w:type="dxa"/>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符合投标人资格要求规定</w:t>
            </w:r>
          </w:p>
        </w:tc>
      </w:tr>
    </w:tbl>
    <w:p>
      <w:pPr>
        <w:spacing w:line="400" w:lineRule="exact"/>
        <w:ind w:firstLine="420" w:firstLineChars="200"/>
        <w:jc w:val="lef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注：能有效识别二维码的复印件加盖证书持有单位公章和能有效识别二维码的电子证书加盖证书持有单位公章可视为原件。</w:t>
      </w:r>
    </w:p>
    <w:p>
      <w:pPr>
        <w:spacing w:line="400" w:lineRule="exact"/>
        <w:ind w:firstLine="420" w:firstLineChars="200"/>
        <w:rPr>
          <w:rFonts w:hint="eastAsia" w:ascii="楷体_GB2312" w:hAnsi="楷体_GB2312" w:eastAsia="楷体_GB2312" w:cs="楷体_GB2312"/>
          <w:b/>
          <w:color w:val="auto"/>
          <w:szCs w:val="21"/>
        </w:rPr>
      </w:pPr>
      <w:r>
        <w:rPr>
          <w:rFonts w:hint="eastAsia" w:ascii="楷体_GB2312" w:hAnsi="楷体_GB2312" w:eastAsia="楷体_GB2312" w:cs="楷体_GB2312"/>
          <w:b/>
          <w:color w:val="auto"/>
          <w:szCs w:val="21"/>
        </w:rPr>
        <w:t>1.3响应性审查</w:t>
      </w:r>
    </w:p>
    <w:p>
      <w:pPr>
        <w:spacing w:line="400" w:lineRule="exact"/>
        <w:ind w:firstLine="420" w:firstLineChars="200"/>
        <w:jc w:val="lef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对招标文件要求的工期、质量标准、投标保证金、投标有效期、已标价工程量清单、暂定价、不可竞争费用、技术标准和要求等实质性要求的响应性进行评审。</w:t>
      </w:r>
    </w:p>
    <w:p>
      <w:pPr>
        <w:spacing w:line="400" w:lineRule="exact"/>
        <w:ind w:firstLine="420" w:firstLineChars="200"/>
        <w:jc w:val="left"/>
        <w:rPr>
          <w:rFonts w:hint="eastAsia" w:ascii="楷体_GB2312" w:hAnsi="楷体_GB2312" w:eastAsia="楷体_GB2312" w:cs="楷体_GB2312"/>
          <w:b/>
          <w:color w:val="auto"/>
          <w:kern w:val="0"/>
          <w:szCs w:val="21"/>
        </w:rPr>
      </w:pPr>
      <w:r>
        <w:rPr>
          <w:rFonts w:hint="eastAsia" w:ascii="楷体_GB2312" w:hAnsi="楷体_GB2312" w:eastAsia="楷体_GB2312" w:cs="楷体_GB2312"/>
          <w:b/>
          <w:color w:val="auto"/>
          <w:kern w:val="0"/>
          <w:szCs w:val="21"/>
        </w:rPr>
        <w:t>（七）定标补充规定</w:t>
      </w:r>
    </w:p>
    <w:p>
      <w:pPr>
        <w:spacing w:line="500" w:lineRule="exact"/>
        <w:ind w:left="37" w:leftChars="18" w:firstLine="443" w:firstLineChars="211"/>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1、上述各项得分相加即为投标人评标总分，按评标总分由高到低推荐3名中标候选人，若最终累计评标得分并列的，须明确中标候选人或需对中标候选人排序的，比较小数点后第三位值大小，得分高的排名靠前，若第三位仍相同的，由评标委员会按投标报价由低到高进行排序；如投标报价仍相同的，由招标人确定排序。</w:t>
      </w:r>
    </w:p>
    <w:p>
      <w:pPr>
        <w:spacing w:line="500" w:lineRule="exact"/>
        <w:ind w:left="37" w:leftChars="18" w:firstLine="443" w:firstLineChars="211"/>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招标人根据评标委员会推荐的中标候选人，确定排名第一的中标候选人为最终中标人。</w:t>
      </w:r>
    </w:p>
    <w:p>
      <w:pPr>
        <w:spacing w:line="500" w:lineRule="exact"/>
        <w:ind w:left="37" w:leftChars="18" w:firstLine="443" w:firstLineChars="211"/>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left="37" w:leftChars="18" w:firstLine="443" w:firstLineChars="211"/>
        <w:rPr>
          <w:rFonts w:hint="eastAsia" w:ascii="楷体_GB2312" w:hAnsi="楷体_GB2312" w:eastAsia="楷体_GB2312" w:cs="楷体_GB2312"/>
          <w:color w:val="auto"/>
          <w:kern w:val="0"/>
          <w:szCs w:val="21"/>
        </w:rPr>
      </w:pPr>
      <w:r>
        <w:rPr>
          <w:rFonts w:hint="eastAsia" w:ascii="楷体_GB2312" w:hAnsi="楷体_GB2312" w:eastAsia="楷体_GB2312" w:cs="楷体_GB2312"/>
          <w:color w:val="auto"/>
          <w:kern w:val="0"/>
          <w:szCs w:val="21"/>
        </w:rPr>
        <w:t>对不中标的投标人，招标人有权不作任何解释。</w:t>
      </w:r>
    </w:p>
    <w:p>
      <w:pPr>
        <w:spacing w:line="400" w:lineRule="exact"/>
        <w:ind w:firstLine="420" w:firstLineChars="200"/>
        <w:rPr>
          <w:rFonts w:hint="eastAsia" w:ascii="楷体_GB2312" w:hAnsi="楷体_GB2312" w:eastAsia="楷体_GB2312" w:cs="楷体_GB2312"/>
          <w:color w:val="auto"/>
          <w:szCs w:val="21"/>
        </w:rPr>
      </w:pPr>
      <w:r>
        <w:rPr>
          <w:rFonts w:hint="eastAsia" w:ascii="楷体_GB2312" w:hAnsi="楷体_GB2312" w:eastAsia="楷体_GB2312" w:cs="楷体_GB2312"/>
          <w:b/>
          <w:bCs/>
          <w:color w:val="auto"/>
          <w:szCs w:val="21"/>
        </w:rPr>
        <w:t>三、其它</w:t>
      </w:r>
    </w:p>
    <w:p>
      <w:pPr>
        <w:spacing w:line="400" w:lineRule="exact"/>
        <w:ind w:firstLine="420" w:firstLineChars="200"/>
        <w:jc w:val="left"/>
        <w:rPr>
          <w:rFonts w:hint="eastAsia" w:ascii="楷体_GB2312" w:hAnsi="楷体_GB2312" w:eastAsia="楷体_GB2312" w:cs="楷体_GB2312"/>
          <w:color w:val="auto"/>
          <w:szCs w:val="21"/>
        </w:rPr>
      </w:pPr>
      <w:r>
        <w:rPr>
          <w:rFonts w:hint="eastAsia" w:ascii="楷体_GB2312" w:hAnsi="楷体_GB2312" w:eastAsia="楷体_GB2312" w:cs="楷体_GB2312"/>
          <w:color w:val="auto"/>
          <w:szCs w:val="21"/>
        </w:rPr>
        <w:t>1、本办法未述及的事宜，由评标委员会依据法律法规处置。</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hint="eastAsia" w:ascii="楷体_GB2312" w:hAnsi="楷体_GB2312" w:eastAsia="楷体_GB2312" w:cs="楷体_GB2312"/>
          <w:color w:val="auto"/>
          <w:sz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after="156" w:afterLines="50" w:line="500" w:lineRule="exact"/>
        <w:ind w:right="-4" w:rightChars="-2"/>
        <w:rPr>
          <w:rFonts w:hint="eastAsia" w:ascii="楷体_GB2312" w:hAnsi="楷体_GB2312" w:eastAsia="楷体_GB2312" w:cs="楷体_GB2312"/>
          <w:color w:val="auto"/>
          <w:sz w:val="24"/>
        </w:rPr>
      </w:pPr>
    </w:p>
    <w:p>
      <w:pPr>
        <w:pStyle w:val="2"/>
        <w:ind w:firstLine="422"/>
        <w:rPr>
          <w:rFonts w:hint="eastAsia" w:ascii="楷体_GB2312" w:hAnsi="楷体_GB2312" w:eastAsia="楷体_GB2312" w:cs="楷体_GB2312"/>
          <w:color w:val="auto"/>
        </w:rPr>
      </w:pPr>
    </w:p>
    <w:p>
      <w:pPr>
        <w:pStyle w:val="17"/>
        <w:spacing w:before="0" w:beforeAutospacing="0" w:after="0" w:afterAutospacing="0" w:line="420" w:lineRule="exact"/>
        <w:jc w:val="both"/>
        <w:textAlignment w:val="baseline"/>
        <w:rPr>
          <w:rFonts w:hint="eastAsia" w:ascii="楷体_GB2312" w:hAnsi="楷体_GB2312" w:eastAsia="楷体_GB2312" w:cs="楷体_GB2312"/>
          <w:b/>
          <w:bCs/>
          <w:color w:val="auto"/>
          <w:sz w:val="32"/>
          <w:szCs w:val="32"/>
        </w:rPr>
      </w:pPr>
    </w:p>
    <w:p>
      <w:pPr>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br w:type="page"/>
      </w:r>
    </w:p>
    <w:p>
      <w:pPr>
        <w:pStyle w:val="17"/>
        <w:spacing w:before="0" w:beforeAutospacing="0" w:after="0" w:afterAutospacing="0" w:line="420" w:lineRule="exact"/>
        <w:jc w:val="both"/>
        <w:textAlignment w:val="baseline"/>
        <w:rPr>
          <w:rFonts w:hint="eastAsia" w:ascii="楷体_GB2312" w:hAnsi="楷体_GB2312" w:eastAsia="楷体_GB2312" w:cs="楷体_GB2312"/>
          <w:b/>
          <w:bCs/>
          <w:color w:val="auto"/>
          <w:sz w:val="44"/>
          <w:szCs w:val="44"/>
        </w:rPr>
      </w:pPr>
      <w:r>
        <w:rPr>
          <w:rFonts w:hint="eastAsia" w:ascii="楷体_GB2312" w:hAnsi="楷体_GB2312" w:eastAsia="楷体_GB2312" w:cs="楷体_GB2312"/>
          <w:b/>
          <w:bCs/>
          <w:color w:val="auto"/>
          <w:sz w:val="32"/>
          <w:szCs w:val="32"/>
        </w:rPr>
        <w:t>附件1</w:t>
      </w:r>
    </w:p>
    <w:p>
      <w:pPr>
        <w:pStyle w:val="17"/>
        <w:spacing w:before="0" w:beforeAutospacing="0" w:after="0" w:afterAutospacing="0" w:line="700" w:lineRule="exact"/>
        <w:jc w:val="center"/>
        <w:textAlignment w:val="baseline"/>
        <w:rPr>
          <w:rFonts w:hint="eastAsia" w:ascii="楷体_GB2312" w:hAnsi="楷体_GB2312" w:eastAsia="楷体_GB2312" w:cs="楷体_GB2312"/>
          <w:b/>
          <w:bCs/>
          <w:color w:val="auto"/>
          <w:sz w:val="48"/>
          <w:szCs w:val="48"/>
        </w:rPr>
      </w:pPr>
      <w:r>
        <w:rPr>
          <w:rFonts w:hint="eastAsia" w:ascii="楷体_GB2312" w:hAnsi="楷体_GB2312" w:eastAsia="楷体_GB2312" w:cs="楷体_GB2312"/>
          <w:b/>
          <w:bCs/>
          <w:color w:val="auto"/>
          <w:sz w:val="48"/>
          <w:szCs w:val="48"/>
        </w:rPr>
        <w:t>诚信承诺书</w:t>
      </w:r>
    </w:p>
    <w:p>
      <w:pPr>
        <w:pStyle w:val="17"/>
        <w:spacing w:before="0" w:beforeAutospacing="0" w:after="0" w:afterAutospacing="0" w:line="400" w:lineRule="exact"/>
        <w:jc w:val="both"/>
        <w:textAlignment w:val="baseline"/>
        <w:rPr>
          <w:rFonts w:hint="eastAsia" w:ascii="楷体_GB2312" w:hAnsi="楷体_GB2312" w:eastAsia="楷体_GB2312" w:cs="楷体_GB2312"/>
          <w:bCs/>
          <w:color w:val="auto"/>
        </w:rPr>
      </w:pPr>
    </w:p>
    <w:p>
      <w:pPr>
        <w:pStyle w:val="17"/>
        <w:spacing w:before="0" w:beforeAutospacing="0" w:after="0" w:afterAutospacing="0" w:line="400" w:lineRule="exact"/>
        <w:ind w:firstLine="470" w:firstLineChars="196"/>
        <w:textAlignment w:val="baseline"/>
        <w:rPr>
          <w:rFonts w:hint="eastAsia" w:ascii="楷体_GB2312" w:hAnsi="楷体_GB2312" w:eastAsia="楷体_GB2312" w:cs="楷体_GB2312"/>
          <w:bCs/>
          <w:color w:val="auto"/>
        </w:rPr>
      </w:pPr>
      <w:r>
        <w:rPr>
          <w:rFonts w:hint="eastAsia" w:ascii="楷体_GB2312" w:hAnsi="楷体_GB2312" w:eastAsia="楷体_GB2312" w:cs="楷体_GB2312"/>
          <w:bCs/>
          <w:color w:val="auto"/>
        </w:rPr>
        <w:t>本人__________（法定代表人全名）系</w:t>
      </w:r>
      <w:r>
        <w:rPr>
          <w:rFonts w:hint="eastAsia" w:ascii="楷体_GB2312" w:hAnsi="楷体_GB2312" w:eastAsia="楷体_GB2312" w:cs="楷体_GB2312"/>
          <w:bCs/>
          <w:color w:val="auto"/>
          <w:u w:val="single"/>
        </w:rPr>
        <w:t xml:space="preserve">                    </w:t>
      </w:r>
      <w:r>
        <w:rPr>
          <w:rFonts w:hint="eastAsia" w:ascii="楷体_GB2312" w:hAnsi="楷体_GB2312" w:eastAsia="楷体_GB2312" w:cs="楷体_GB2312"/>
          <w:bCs/>
          <w:color w:val="auto"/>
        </w:rPr>
        <w:t>（公司名）法定代表人，现对</w:t>
      </w:r>
      <w:r>
        <w:rPr>
          <w:rFonts w:hint="eastAsia" w:ascii="楷体_GB2312" w:hAnsi="楷体_GB2312" w:eastAsia="楷体_GB2312" w:cs="楷体_GB2312"/>
          <w:bCs/>
          <w:color w:val="auto"/>
          <w:u w:val="single"/>
          <w:lang w:eastAsia="zh-CN"/>
        </w:rPr>
        <w:t>盐城工业职业技术学院艺术设计学院一楼大厅改造项目</w:t>
      </w:r>
      <w:r>
        <w:rPr>
          <w:rFonts w:hint="eastAsia" w:ascii="楷体_GB2312" w:hAnsi="楷体_GB2312" w:eastAsia="楷体_GB2312" w:cs="楷体_GB2312"/>
          <w:bCs/>
          <w:color w:val="auto"/>
        </w:rPr>
        <w:t>项目做出如下诚信承诺：</w:t>
      </w:r>
    </w:p>
    <w:p>
      <w:pPr>
        <w:pStyle w:val="17"/>
        <w:spacing w:before="0" w:beforeAutospacing="0" w:after="0" w:afterAutospacing="0" w:line="400" w:lineRule="exact"/>
        <w:ind w:firstLine="480" w:firstLineChars="200"/>
        <w:textAlignment w:val="baseline"/>
        <w:rPr>
          <w:rFonts w:hint="eastAsia" w:ascii="楷体_GB2312" w:hAnsi="楷体_GB2312" w:eastAsia="楷体_GB2312" w:cs="楷体_GB2312"/>
          <w:bCs/>
          <w:color w:val="auto"/>
        </w:rPr>
      </w:pPr>
      <w:r>
        <w:rPr>
          <w:rFonts w:hint="eastAsia" w:ascii="楷体_GB2312" w:hAnsi="楷体_GB2312" w:eastAsia="楷体_GB2312" w:cs="楷体_GB2312"/>
          <w:bCs/>
          <w:color w:val="auto"/>
        </w:rPr>
        <w:t>① 我方申报的所有资料都是真实、有效的;</w:t>
      </w:r>
    </w:p>
    <w:p>
      <w:pPr>
        <w:pStyle w:val="17"/>
        <w:spacing w:before="0" w:beforeAutospacing="0" w:after="0" w:afterAutospacing="0" w:line="400" w:lineRule="exact"/>
        <w:ind w:firstLine="480" w:firstLineChars="200"/>
        <w:textAlignment w:val="baseline"/>
        <w:rPr>
          <w:rFonts w:hint="eastAsia" w:ascii="楷体_GB2312" w:hAnsi="楷体_GB2312" w:eastAsia="楷体_GB2312" w:cs="楷体_GB2312"/>
          <w:bCs/>
          <w:color w:val="auto"/>
        </w:rPr>
      </w:pPr>
      <w:r>
        <w:rPr>
          <w:rFonts w:hint="eastAsia" w:ascii="楷体_GB2312" w:hAnsi="楷体_GB2312" w:eastAsia="楷体_GB2312" w:cs="楷体_GB2312"/>
          <w:bCs/>
          <w:color w:val="auto"/>
        </w:rPr>
        <w:t>② 我方不存在资质挂靠或参与串标、围标情形;</w:t>
      </w:r>
    </w:p>
    <w:p>
      <w:pPr>
        <w:pStyle w:val="17"/>
        <w:spacing w:before="0" w:beforeAutospacing="0" w:after="0" w:afterAutospacing="0" w:line="400" w:lineRule="exact"/>
        <w:ind w:firstLine="480" w:firstLineChars="200"/>
        <w:textAlignment w:val="baseline"/>
        <w:rPr>
          <w:rFonts w:hint="eastAsia" w:ascii="楷体_GB2312" w:hAnsi="楷体_GB2312" w:eastAsia="楷体_GB2312" w:cs="楷体_GB2312"/>
          <w:bCs/>
          <w:color w:val="auto"/>
        </w:rPr>
      </w:pPr>
      <w:r>
        <w:rPr>
          <w:rFonts w:hint="eastAsia" w:ascii="楷体_GB2312" w:hAnsi="楷体_GB2312" w:eastAsia="楷体_GB2312" w:cs="楷体_GB2312"/>
          <w:bCs/>
          <w:color w:val="auto"/>
        </w:rPr>
        <w:t>③ 我方投标项目负责人无在建工程；</w:t>
      </w:r>
    </w:p>
    <w:p>
      <w:pPr>
        <w:pStyle w:val="17"/>
        <w:spacing w:before="0" w:beforeAutospacing="0" w:after="0" w:afterAutospacing="0" w:line="400" w:lineRule="exact"/>
        <w:ind w:firstLine="480" w:firstLineChars="200"/>
        <w:textAlignment w:val="baseline"/>
        <w:rPr>
          <w:rFonts w:hint="eastAsia" w:ascii="楷体_GB2312" w:hAnsi="楷体_GB2312" w:eastAsia="楷体_GB2312" w:cs="楷体_GB2312"/>
          <w:bCs/>
          <w:color w:val="auto"/>
        </w:rPr>
      </w:pPr>
      <w:r>
        <w:rPr>
          <w:rFonts w:hint="eastAsia" w:ascii="楷体_GB2312" w:hAnsi="楷体_GB2312" w:eastAsia="楷体_GB2312" w:cs="楷体_GB2312"/>
          <w:bCs/>
          <w:color w:val="auto"/>
        </w:rPr>
        <w:t>④ 我方未被各级行政主管部门做出停止市场行为的处罚;</w:t>
      </w:r>
    </w:p>
    <w:p>
      <w:pPr>
        <w:pStyle w:val="17"/>
        <w:spacing w:before="0" w:beforeAutospacing="0" w:after="0" w:afterAutospacing="0" w:line="400" w:lineRule="exact"/>
        <w:ind w:firstLine="480" w:firstLineChars="200"/>
        <w:textAlignment w:val="baseline"/>
        <w:rPr>
          <w:rFonts w:hint="eastAsia" w:ascii="楷体_GB2312" w:hAnsi="楷体_GB2312" w:eastAsia="楷体_GB2312" w:cs="楷体_GB2312"/>
          <w:bCs/>
          <w:color w:val="auto"/>
        </w:rPr>
      </w:pPr>
      <w:r>
        <w:rPr>
          <w:rFonts w:hint="eastAsia" w:ascii="楷体_GB2312" w:hAnsi="楷体_GB2312" w:eastAsia="楷体_GB2312" w:cs="楷体_GB2312"/>
          <w:bCs/>
          <w:color w:val="auto"/>
        </w:rPr>
        <w:t>⑤ 若我方中标，将严格按照规定及时与招标单位按照招标文件签订合同;</w:t>
      </w:r>
    </w:p>
    <w:p>
      <w:pPr>
        <w:pStyle w:val="17"/>
        <w:spacing w:before="0" w:beforeAutospacing="0" w:after="0" w:afterAutospacing="0" w:line="400" w:lineRule="exact"/>
        <w:ind w:firstLine="480" w:firstLineChars="200"/>
        <w:textAlignment w:val="baseline"/>
        <w:rPr>
          <w:rFonts w:hint="eastAsia" w:ascii="楷体_GB2312" w:hAnsi="楷体_GB2312" w:eastAsia="楷体_GB2312" w:cs="楷体_GB2312"/>
          <w:bCs/>
          <w:color w:val="auto"/>
        </w:rPr>
      </w:pPr>
      <w:r>
        <w:rPr>
          <w:rFonts w:hint="eastAsia" w:ascii="楷体_GB2312" w:hAnsi="楷体_GB2312" w:eastAsia="楷体_GB2312" w:cs="楷体_GB2312"/>
          <w:bCs/>
          <w:color w:val="auto"/>
        </w:rPr>
        <w:t>⑥ 我方未与其他投标人串通投标，采取不正当手段诋毁、排挤其他投标人的公平竞争，损害招标人或其他投标人的合法权益；</w:t>
      </w:r>
    </w:p>
    <w:p>
      <w:pPr>
        <w:pStyle w:val="17"/>
        <w:spacing w:before="0" w:beforeAutospacing="0" w:after="0" w:afterAutospacing="0" w:line="400" w:lineRule="exact"/>
        <w:ind w:firstLine="480" w:firstLineChars="200"/>
        <w:textAlignment w:val="baseline"/>
        <w:rPr>
          <w:rFonts w:hint="eastAsia" w:ascii="楷体_GB2312" w:hAnsi="楷体_GB2312" w:eastAsia="楷体_GB2312" w:cs="楷体_GB2312"/>
          <w:bCs/>
          <w:color w:val="auto"/>
        </w:rPr>
      </w:pPr>
      <w:r>
        <w:rPr>
          <w:rFonts w:hint="eastAsia" w:ascii="楷体_GB2312" w:hAnsi="楷体_GB2312" w:eastAsia="楷体_GB2312" w:cs="楷体_GB2312"/>
          <w:bCs/>
          <w:color w:val="auto"/>
        </w:rPr>
        <w:fldChar w:fldCharType="begin"/>
      </w:r>
      <w:r>
        <w:rPr>
          <w:rFonts w:hint="eastAsia" w:ascii="楷体_GB2312" w:hAnsi="楷体_GB2312" w:eastAsia="楷体_GB2312" w:cs="楷体_GB2312"/>
          <w:bCs/>
          <w:color w:val="auto"/>
        </w:rPr>
        <w:instrText xml:space="preserve">= 7 \* GB3</w:instrText>
      </w:r>
      <w:r>
        <w:rPr>
          <w:rFonts w:hint="eastAsia" w:ascii="楷体_GB2312" w:hAnsi="楷体_GB2312" w:eastAsia="楷体_GB2312" w:cs="楷体_GB2312"/>
          <w:bCs/>
          <w:color w:val="auto"/>
        </w:rPr>
        <w:fldChar w:fldCharType="separate"/>
      </w:r>
      <w:r>
        <w:rPr>
          <w:rFonts w:hint="eastAsia" w:ascii="楷体_GB2312" w:hAnsi="楷体_GB2312" w:eastAsia="楷体_GB2312" w:cs="楷体_GB2312"/>
          <w:bCs/>
          <w:color w:val="auto"/>
        </w:rPr>
        <w:t>⑦</w:t>
      </w:r>
      <w:r>
        <w:rPr>
          <w:rFonts w:hint="eastAsia" w:ascii="楷体_GB2312" w:hAnsi="楷体_GB2312" w:eastAsia="楷体_GB2312" w:cs="楷体_GB2312"/>
          <w:bCs/>
          <w:color w:val="auto"/>
        </w:rPr>
        <w:fldChar w:fldCharType="end"/>
      </w:r>
      <w:r>
        <w:rPr>
          <w:rFonts w:hint="eastAsia" w:ascii="楷体_GB2312" w:hAnsi="楷体_GB2312" w:eastAsia="楷体_GB2312" w:cs="楷体_GB2312"/>
          <w:bCs/>
          <w:color w:val="auto"/>
        </w:rPr>
        <w:t>我方杜绝捏造、虚构事实等方式进行恶意投诉的行为；</w:t>
      </w:r>
    </w:p>
    <w:p>
      <w:pPr>
        <w:pStyle w:val="17"/>
        <w:spacing w:before="0" w:beforeAutospacing="0" w:after="0" w:afterAutospacing="0" w:line="400" w:lineRule="exact"/>
        <w:ind w:firstLine="480" w:firstLineChars="200"/>
        <w:textAlignment w:val="baseline"/>
        <w:rPr>
          <w:rFonts w:hint="eastAsia" w:ascii="楷体_GB2312" w:hAnsi="楷体_GB2312" w:eastAsia="楷体_GB2312" w:cs="楷体_GB2312"/>
          <w:bCs/>
          <w:color w:val="auto"/>
        </w:rPr>
      </w:pPr>
      <w:r>
        <w:rPr>
          <w:rFonts w:hint="eastAsia" w:ascii="楷体_GB2312" w:hAnsi="楷体_GB2312" w:eastAsia="楷体_GB2312" w:cs="楷体_GB2312"/>
          <w:bCs/>
          <w:color w:val="auto"/>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7"/>
        <w:spacing w:before="0" w:beforeAutospacing="0" w:after="0" w:afterAutospacing="0" w:line="400" w:lineRule="exact"/>
        <w:ind w:firstLine="480" w:firstLineChars="200"/>
        <w:textAlignment w:val="baseline"/>
        <w:rPr>
          <w:rFonts w:hint="eastAsia" w:ascii="楷体_GB2312" w:hAnsi="楷体_GB2312" w:eastAsia="楷体_GB2312" w:cs="楷体_GB2312"/>
          <w:bCs/>
          <w:color w:val="auto"/>
        </w:rPr>
      </w:pPr>
      <w:r>
        <w:rPr>
          <w:rFonts w:hint="eastAsia" w:ascii="楷体_GB2312" w:hAnsi="楷体_GB2312" w:eastAsia="楷体_GB2312" w:cs="楷体_GB2312"/>
          <w:bCs/>
          <w:color w:val="auto"/>
        </w:rPr>
        <w:t>⑨若对本次投标有投诉（异议），我保证由我投标时授权的代理人全权处理投诉（异议）事项，不再另行委托他人处理，如若违背，招标人或监管机构有权拒绝受理我公司投诉（异议）事项。</w:t>
      </w:r>
    </w:p>
    <w:p>
      <w:pPr>
        <w:pStyle w:val="17"/>
        <w:spacing w:before="0" w:beforeAutospacing="0" w:after="0" w:afterAutospacing="0" w:line="400" w:lineRule="exact"/>
        <w:ind w:firstLine="480" w:firstLineChars="200"/>
        <w:textAlignment w:val="baseline"/>
        <w:rPr>
          <w:rFonts w:hint="eastAsia" w:ascii="楷体_GB2312" w:hAnsi="楷体_GB2312" w:eastAsia="楷体_GB2312" w:cs="楷体_GB2312"/>
          <w:bCs/>
          <w:color w:val="auto"/>
        </w:rPr>
      </w:pPr>
      <w:r>
        <w:rPr>
          <w:rFonts w:hint="eastAsia" w:ascii="楷体_GB2312" w:hAnsi="楷体_GB2312" w:eastAsia="楷体_GB2312" w:cs="楷体_GB2312"/>
          <w:bCs/>
          <w:color w:val="auto"/>
        </w:rPr>
        <w:t>我方在本次招投标活动过程中如有违背上述承诺诚实行为的：</w:t>
      </w:r>
    </w:p>
    <w:p>
      <w:pPr>
        <w:pStyle w:val="17"/>
        <w:spacing w:before="0" w:beforeAutospacing="0" w:after="0" w:afterAutospacing="0" w:line="400" w:lineRule="exact"/>
        <w:ind w:firstLine="480" w:firstLineChars="200"/>
        <w:textAlignment w:val="baseline"/>
        <w:rPr>
          <w:rFonts w:hint="eastAsia" w:ascii="楷体_GB2312" w:hAnsi="楷体_GB2312" w:eastAsia="楷体_GB2312" w:cs="楷体_GB2312"/>
          <w:bCs/>
          <w:color w:val="auto"/>
        </w:rPr>
      </w:pPr>
      <w:r>
        <w:rPr>
          <w:rFonts w:hint="eastAsia" w:ascii="楷体_GB2312" w:hAnsi="楷体_GB2312" w:eastAsia="楷体_GB2312" w:cs="楷体_GB2312"/>
          <w:bCs/>
          <w:color w:val="auto"/>
        </w:rPr>
        <w:t>① 自愿扣除本项目投标保证金。</w:t>
      </w:r>
    </w:p>
    <w:p>
      <w:pPr>
        <w:pStyle w:val="17"/>
        <w:spacing w:before="0" w:beforeAutospacing="0" w:after="0" w:afterAutospacing="0" w:line="400" w:lineRule="exact"/>
        <w:ind w:firstLine="480" w:firstLineChars="200"/>
        <w:textAlignment w:val="baseline"/>
        <w:rPr>
          <w:rFonts w:hint="eastAsia" w:ascii="楷体_GB2312" w:hAnsi="楷体_GB2312" w:eastAsia="楷体_GB2312" w:cs="楷体_GB2312"/>
          <w:bCs/>
          <w:color w:val="auto"/>
        </w:rPr>
      </w:pPr>
      <w:r>
        <w:rPr>
          <w:rFonts w:hint="eastAsia" w:ascii="楷体_GB2312" w:hAnsi="楷体_GB2312" w:eastAsia="楷体_GB2312" w:cs="楷体_GB2312"/>
          <w:bCs/>
          <w:color w:val="auto"/>
        </w:rPr>
        <w:t>②处罚公示期内，不得参与盐城市国有资金投资项目的投标。</w:t>
      </w:r>
    </w:p>
    <w:p>
      <w:pPr>
        <w:pStyle w:val="17"/>
        <w:spacing w:before="0" w:beforeAutospacing="0" w:after="0" w:afterAutospacing="0" w:line="400" w:lineRule="exact"/>
        <w:ind w:firstLine="480" w:firstLineChars="200"/>
        <w:textAlignment w:val="baseline"/>
        <w:rPr>
          <w:rFonts w:hint="eastAsia" w:ascii="楷体_GB2312" w:hAnsi="楷体_GB2312" w:eastAsia="楷体_GB2312" w:cs="楷体_GB2312"/>
          <w:bCs/>
          <w:color w:val="auto"/>
        </w:rPr>
      </w:pPr>
      <w:r>
        <w:rPr>
          <w:rFonts w:hint="eastAsia" w:ascii="楷体_GB2312" w:hAnsi="楷体_GB2312" w:eastAsia="楷体_GB2312" w:cs="楷体_GB2312"/>
          <w:bCs/>
          <w:color w:val="auto"/>
        </w:rPr>
        <w:t>③对造成的损失，任何法律和经济责任完全由我方负责。</w:t>
      </w:r>
    </w:p>
    <w:p>
      <w:pPr>
        <w:pStyle w:val="17"/>
        <w:spacing w:before="0" w:beforeAutospacing="0" w:after="0" w:afterAutospacing="0" w:line="400" w:lineRule="exact"/>
        <w:ind w:firstLine="480" w:firstLineChars="200"/>
        <w:textAlignment w:val="baseline"/>
        <w:rPr>
          <w:rFonts w:hint="eastAsia" w:ascii="楷体_GB2312" w:hAnsi="楷体_GB2312" w:eastAsia="楷体_GB2312" w:cs="楷体_GB2312"/>
          <w:b/>
          <w:color w:val="auto"/>
        </w:rPr>
      </w:pPr>
      <w:r>
        <w:rPr>
          <w:rFonts w:hint="eastAsia" w:ascii="楷体_GB2312" w:hAnsi="楷体_GB2312" w:eastAsia="楷体_GB2312" w:cs="楷体_GB2312"/>
          <w:b/>
          <w:color w:val="auto"/>
        </w:rPr>
        <w:t>投标人的法定代表人必须本人签署诚信承诺书，否则招标人将拒收（退回）其投标文件。</w:t>
      </w:r>
    </w:p>
    <w:p>
      <w:pPr>
        <w:pStyle w:val="3"/>
        <w:ind w:firstLine="0"/>
        <w:rPr>
          <w:rFonts w:hint="eastAsia" w:ascii="楷体_GB2312" w:hAnsi="楷体_GB2312" w:eastAsia="楷体_GB2312" w:cs="楷体_GB2312"/>
          <w:b w:val="0"/>
          <w:color w:val="auto"/>
        </w:rPr>
      </w:pPr>
    </w:p>
    <w:p>
      <w:pPr>
        <w:pStyle w:val="3"/>
        <w:ind w:firstLine="1200" w:firstLineChars="500"/>
        <w:jc w:val="left"/>
        <w:rPr>
          <w:rFonts w:hint="eastAsia" w:ascii="楷体_GB2312" w:hAnsi="楷体_GB2312" w:eastAsia="楷体_GB2312" w:cs="楷体_GB2312"/>
          <w:b w:val="0"/>
          <w:color w:val="auto"/>
        </w:rPr>
      </w:pPr>
      <w:r>
        <w:rPr>
          <w:rFonts w:hint="eastAsia" w:ascii="楷体_GB2312" w:hAnsi="楷体_GB2312" w:eastAsia="楷体_GB2312" w:cs="楷体_GB2312"/>
          <w:b w:val="0"/>
          <w:color w:val="auto"/>
        </w:rPr>
        <w:t>投标人（盖章）：</w:t>
      </w:r>
    </w:p>
    <w:p>
      <w:pPr>
        <w:pStyle w:val="3"/>
        <w:ind w:firstLine="1200" w:firstLineChars="500"/>
        <w:jc w:val="left"/>
        <w:rPr>
          <w:rFonts w:hint="eastAsia" w:ascii="楷体_GB2312" w:hAnsi="楷体_GB2312" w:eastAsia="楷体_GB2312" w:cs="楷体_GB2312"/>
          <w:b w:val="0"/>
          <w:color w:val="auto"/>
        </w:rPr>
      </w:pPr>
      <w:r>
        <w:rPr>
          <w:rFonts w:hint="eastAsia" w:ascii="楷体_GB2312" w:hAnsi="楷体_GB2312" w:eastAsia="楷体_GB2312" w:cs="楷体_GB2312"/>
          <w:b w:val="0"/>
          <w:color w:val="auto"/>
        </w:rPr>
        <w:t>法定代表人（签字）：</w:t>
      </w:r>
    </w:p>
    <w:p>
      <w:pPr>
        <w:pStyle w:val="3"/>
        <w:ind w:firstLine="1200" w:firstLineChars="500"/>
        <w:jc w:val="left"/>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日期：　 年　  月　　日</w:t>
      </w:r>
    </w:p>
    <w:p>
      <w:pPr>
        <w:spacing w:line="500" w:lineRule="exact"/>
        <w:jc w:val="left"/>
        <w:rPr>
          <w:rFonts w:hint="eastAsia" w:ascii="楷体_GB2312" w:hAnsi="楷体_GB2312" w:eastAsia="楷体_GB2312" w:cs="楷体_GB2312"/>
          <w:b/>
          <w:color w:val="auto"/>
          <w:sz w:val="32"/>
          <w:szCs w:val="32"/>
        </w:rPr>
      </w:pPr>
    </w:p>
    <w:p>
      <w:pPr>
        <w:spacing w:line="500" w:lineRule="exact"/>
        <w:jc w:val="left"/>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附件2</w:t>
      </w:r>
    </w:p>
    <w:p>
      <w:pPr>
        <w:spacing w:line="500" w:lineRule="exact"/>
        <w:jc w:val="center"/>
        <w:rPr>
          <w:rFonts w:hint="eastAsia" w:ascii="楷体_GB2312" w:hAnsi="楷体_GB2312" w:eastAsia="楷体_GB2312" w:cs="楷体_GB2312"/>
          <w:b/>
          <w:color w:val="auto"/>
          <w:sz w:val="32"/>
          <w:szCs w:val="32"/>
        </w:rPr>
      </w:pPr>
    </w:p>
    <w:p>
      <w:pPr>
        <w:spacing w:line="500" w:lineRule="exact"/>
        <w:jc w:val="center"/>
        <w:rPr>
          <w:rFonts w:hint="eastAsia" w:ascii="楷体_GB2312" w:hAnsi="楷体_GB2312" w:eastAsia="楷体_GB2312" w:cs="楷体_GB2312"/>
          <w:b/>
          <w:color w:val="auto"/>
          <w:sz w:val="44"/>
          <w:szCs w:val="44"/>
        </w:rPr>
      </w:pPr>
      <w:r>
        <w:rPr>
          <w:rFonts w:hint="eastAsia" w:ascii="楷体_GB2312" w:hAnsi="楷体_GB2312" w:eastAsia="楷体_GB2312" w:cs="楷体_GB2312"/>
          <w:b/>
          <w:color w:val="auto"/>
          <w:sz w:val="44"/>
          <w:szCs w:val="44"/>
        </w:rPr>
        <w:t>法定代表人身份证明书</w:t>
      </w:r>
    </w:p>
    <w:p>
      <w:pPr>
        <w:spacing w:line="500" w:lineRule="exact"/>
        <w:rPr>
          <w:rFonts w:hint="eastAsia" w:ascii="楷体_GB2312" w:hAnsi="楷体_GB2312" w:eastAsia="楷体_GB2312" w:cs="楷体_GB2312"/>
          <w:color w:val="auto"/>
          <w:sz w:val="28"/>
        </w:rPr>
      </w:pPr>
    </w:p>
    <w:p>
      <w:pPr>
        <w:spacing w:line="500" w:lineRule="exact"/>
        <w:ind w:firstLine="480" w:firstLineChars="200"/>
        <w:rPr>
          <w:rFonts w:hint="eastAsia" w:ascii="楷体_GB2312" w:hAnsi="楷体_GB2312" w:eastAsia="楷体_GB2312" w:cs="楷体_GB2312"/>
          <w:color w:val="auto"/>
          <w:sz w:val="24"/>
          <w:u w:val="single"/>
        </w:rPr>
      </w:pPr>
      <w:r>
        <w:rPr>
          <w:rFonts w:hint="eastAsia" w:ascii="楷体_GB2312" w:hAnsi="楷体_GB2312" w:eastAsia="楷体_GB2312" w:cs="楷体_GB2312"/>
          <w:color w:val="auto"/>
          <w:sz w:val="24"/>
        </w:rPr>
        <w:t>单位名称：</w:t>
      </w:r>
      <w:r>
        <w:rPr>
          <w:rFonts w:hint="eastAsia" w:ascii="楷体_GB2312" w:hAnsi="楷体_GB2312" w:eastAsia="楷体_GB2312" w:cs="楷体_GB2312"/>
          <w:color w:val="auto"/>
          <w:sz w:val="24"/>
          <w:u w:val="single"/>
        </w:rPr>
        <w:t xml:space="preserve">                                     </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单位性质：</w:t>
      </w:r>
      <w:r>
        <w:rPr>
          <w:rFonts w:hint="eastAsia" w:ascii="楷体_GB2312" w:hAnsi="楷体_GB2312" w:eastAsia="楷体_GB2312" w:cs="楷体_GB2312"/>
          <w:color w:val="auto"/>
          <w:sz w:val="24"/>
          <w:u w:val="single"/>
        </w:rPr>
        <w:t xml:space="preserve">                                     </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地    址：</w:t>
      </w:r>
      <w:r>
        <w:rPr>
          <w:rFonts w:hint="eastAsia" w:ascii="楷体_GB2312" w:hAnsi="楷体_GB2312" w:eastAsia="楷体_GB2312" w:cs="楷体_GB2312"/>
          <w:color w:val="auto"/>
          <w:sz w:val="24"/>
          <w:u w:val="single"/>
        </w:rPr>
        <w:t xml:space="preserve">                                     </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成立时间：</w:t>
      </w:r>
      <w:r>
        <w:rPr>
          <w:rFonts w:hint="eastAsia" w:ascii="楷体_GB2312" w:hAnsi="楷体_GB2312" w:eastAsia="楷体_GB2312" w:cs="楷体_GB2312"/>
          <w:color w:val="auto"/>
          <w:sz w:val="24"/>
          <w:u w:val="single"/>
        </w:rPr>
        <w:t xml:space="preserve">          </w:t>
      </w:r>
      <w:r>
        <w:rPr>
          <w:rFonts w:hint="eastAsia" w:ascii="楷体_GB2312" w:hAnsi="楷体_GB2312" w:eastAsia="楷体_GB2312" w:cs="楷体_GB2312"/>
          <w:color w:val="auto"/>
          <w:sz w:val="24"/>
        </w:rPr>
        <w:t>年</w:t>
      </w:r>
      <w:r>
        <w:rPr>
          <w:rFonts w:hint="eastAsia" w:ascii="楷体_GB2312" w:hAnsi="楷体_GB2312" w:eastAsia="楷体_GB2312" w:cs="楷体_GB2312"/>
          <w:color w:val="auto"/>
          <w:sz w:val="24"/>
          <w:u w:val="single"/>
        </w:rPr>
        <w:t xml:space="preserve">         </w:t>
      </w:r>
      <w:r>
        <w:rPr>
          <w:rFonts w:hint="eastAsia" w:ascii="楷体_GB2312" w:hAnsi="楷体_GB2312" w:eastAsia="楷体_GB2312" w:cs="楷体_GB2312"/>
          <w:color w:val="auto"/>
          <w:sz w:val="24"/>
        </w:rPr>
        <w:t>月</w:t>
      </w:r>
      <w:r>
        <w:rPr>
          <w:rFonts w:hint="eastAsia" w:ascii="楷体_GB2312" w:hAnsi="楷体_GB2312" w:eastAsia="楷体_GB2312" w:cs="楷体_GB2312"/>
          <w:color w:val="auto"/>
          <w:sz w:val="24"/>
          <w:u w:val="single"/>
        </w:rPr>
        <w:t xml:space="preserve">         </w:t>
      </w:r>
      <w:r>
        <w:rPr>
          <w:rFonts w:hint="eastAsia" w:ascii="楷体_GB2312" w:hAnsi="楷体_GB2312" w:eastAsia="楷体_GB2312" w:cs="楷体_GB2312"/>
          <w:color w:val="auto"/>
          <w:sz w:val="24"/>
        </w:rPr>
        <w:t>日</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经营期限：</w:t>
      </w:r>
      <w:r>
        <w:rPr>
          <w:rFonts w:hint="eastAsia" w:ascii="楷体_GB2312" w:hAnsi="楷体_GB2312" w:eastAsia="楷体_GB2312" w:cs="楷体_GB2312"/>
          <w:color w:val="auto"/>
          <w:sz w:val="24"/>
          <w:u w:val="single"/>
        </w:rPr>
        <w:t xml:space="preserve">                                     </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姓名：</w:t>
      </w:r>
      <w:r>
        <w:rPr>
          <w:rFonts w:hint="eastAsia" w:ascii="楷体_GB2312" w:hAnsi="楷体_GB2312" w:eastAsia="楷体_GB2312" w:cs="楷体_GB2312"/>
          <w:color w:val="auto"/>
          <w:sz w:val="24"/>
          <w:u w:val="single"/>
        </w:rPr>
        <w:t xml:space="preserve">        </w:t>
      </w:r>
      <w:r>
        <w:rPr>
          <w:rFonts w:hint="eastAsia" w:ascii="楷体_GB2312" w:hAnsi="楷体_GB2312" w:eastAsia="楷体_GB2312" w:cs="楷体_GB2312"/>
          <w:color w:val="auto"/>
          <w:sz w:val="24"/>
        </w:rPr>
        <w:t xml:space="preserve"> 性别：</w:t>
      </w:r>
      <w:r>
        <w:rPr>
          <w:rFonts w:hint="eastAsia" w:ascii="楷体_GB2312" w:hAnsi="楷体_GB2312" w:eastAsia="楷体_GB2312" w:cs="楷体_GB2312"/>
          <w:color w:val="auto"/>
          <w:sz w:val="24"/>
          <w:u w:val="single"/>
        </w:rPr>
        <w:t xml:space="preserve">      </w:t>
      </w:r>
      <w:r>
        <w:rPr>
          <w:rFonts w:hint="eastAsia" w:ascii="楷体_GB2312" w:hAnsi="楷体_GB2312" w:eastAsia="楷体_GB2312" w:cs="楷体_GB2312"/>
          <w:color w:val="auto"/>
          <w:sz w:val="24"/>
        </w:rPr>
        <w:t xml:space="preserve"> 年龄：</w:t>
      </w:r>
      <w:r>
        <w:rPr>
          <w:rFonts w:hint="eastAsia" w:ascii="楷体_GB2312" w:hAnsi="楷体_GB2312" w:eastAsia="楷体_GB2312" w:cs="楷体_GB2312"/>
          <w:color w:val="auto"/>
          <w:sz w:val="24"/>
          <w:u w:val="single"/>
        </w:rPr>
        <w:t xml:space="preserve">       </w:t>
      </w:r>
      <w:r>
        <w:rPr>
          <w:rFonts w:hint="eastAsia" w:ascii="楷体_GB2312" w:hAnsi="楷体_GB2312" w:eastAsia="楷体_GB2312" w:cs="楷体_GB2312"/>
          <w:color w:val="auto"/>
          <w:sz w:val="24"/>
        </w:rPr>
        <w:t xml:space="preserve"> 职务：</w:t>
      </w:r>
      <w:r>
        <w:rPr>
          <w:rFonts w:hint="eastAsia" w:ascii="楷体_GB2312" w:hAnsi="楷体_GB2312" w:eastAsia="楷体_GB2312" w:cs="楷体_GB2312"/>
          <w:color w:val="auto"/>
          <w:sz w:val="24"/>
          <w:u w:val="single"/>
        </w:rPr>
        <w:t xml:space="preserve">       </w:t>
      </w:r>
    </w:p>
    <w:p>
      <w:pPr>
        <w:spacing w:line="500" w:lineRule="exac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系</w:t>
      </w:r>
      <w:r>
        <w:rPr>
          <w:rFonts w:hint="eastAsia" w:ascii="楷体_GB2312" w:hAnsi="楷体_GB2312" w:eastAsia="楷体_GB2312" w:cs="楷体_GB2312"/>
          <w:color w:val="auto"/>
          <w:sz w:val="24"/>
          <w:u w:val="single"/>
        </w:rPr>
        <w:t xml:space="preserve">                                </w:t>
      </w:r>
      <w:r>
        <w:rPr>
          <w:rFonts w:hint="eastAsia" w:ascii="楷体_GB2312" w:hAnsi="楷体_GB2312" w:eastAsia="楷体_GB2312" w:cs="楷体_GB2312"/>
          <w:color w:val="auto"/>
          <w:sz w:val="24"/>
        </w:rPr>
        <w:t>（投标人）的法定代表人。</w:t>
      </w:r>
    </w:p>
    <w:p>
      <w:pPr>
        <w:spacing w:line="500" w:lineRule="exact"/>
        <w:ind w:firstLine="480" w:firstLineChars="200"/>
        <w:rPr>
          <w:rFonts w:hint="eastAsia" w:ascii="楷体_GB2312" w:hAnsi="楷体_GB2312" w:eastAsia="楷体_GB2312" w:cs="楷体_GB2312"/>
          <w:color w:val="auto"/>
          <w:sz w:val="24"/>
        </w:rPr>
      </w:pPr>
    </w:p>
    <w:p>
      <w:pPr>
        <w:spacing w:line="500" w:lineRule="exact"/>
        <w:ind w:firstLine="480" w:firstLineChars="200"/>
        <w:rPr>
          <w:rFonts w:hint="eastAsia" w:ascii="楷体_GB2312" w:hAnsi="楷体_GB2312" w:eastAsia="楷体_GB2312" w:cs="楷体_GB2312"/>
          <w:color w:val="auto"/>
          <w:sz w:val="24"/>
        </w:rPr>
      </w:pPr>
    </w:p>
    <w:p>
      <w:pPr>
        <w:spacing w:line="500" w:lineRule="exact"/>
        <w:ind w:firstLine="480" w:firstLineChars="200"/>
        <w:rPr>
          <w:rFonts w:hint="eastAsia" w:ascii="楷体_GB2312" w:hAnsi="楷体_GB2312" w:eastAsia="楷体_GB2312" w:cs="楷体_GB2312"/>
          <w:color w:val="auto"/>
          <w:sz w:val="24"/>
        </w:rPr>
      </w:pP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特此证明。</w:t>
      </w:r>
    </w:p>
    <w:p>
      <w:pPr>
        <w:spacing w:line="500" w:lineRule="exact"/>
        <w:ind w:firstLine="480" w:firstLineChars="200"/>
        <w:rPr>
          <w:rFonts w:hint="eastAsia" w:ascii="楷体_GB2312" w:hAnsi="楷体_GB2312" w:eastAsia="楷体_GB2312" w:cs="楷体_GB2312"/>
          <w:color w:val="auto"/>
          <w:sz w:val="24"/>
        </w:rPr>
      </w:pPr>
    </w:p>
    <w:p>
      <w:pPr>
        <w:spacing w:line="520" w:lineRule="atLeas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身份证复印件粘贴处：</w:t>
      </w:r>
    </w:p>
    <w:p>
      <w:pPr>
        <w:spacing w:line="500" w:lineRule="exact"/>
        <w:ind w:firstLine="480" w:firstLineChars="200"/>
        <w:rPr>
          <w:rFonts w:hint="eastAsia" w:ascii="楷体_GB2312" w:hAnsi="楷体_GB2312" w:eastAsia="楷体_GB2312" w:cs="楷体_GB2312"/>
          <w:color w:val="auto"/>
          <w:sz w:val="24"/>
        </w:rPr>
      </w:pPr>
    </w:p>
    <w:p>
      <w:pPr>
        <w:spacing w:line="500" w:lineRule="exact"/>
        <w:ind w:firstLine="480" w:firstLineChars="200"/>
        <w:rPr>
          <w:rFonts w:hint="eastAsia" w:ascii="楷体_GB2312" w:hAnsi="楷体_GB2312" w:eastAsia="楷体_GB2312" w:cs="楷体_GB2312"/>
          <w:color w:val="auto"/>
          <w:sz w:val="24"/>
        </w:rPr>
      </w:pPr>
    </w:p>
    <w:p>
      <w:pPr>
        <w:spacing w:line="500" w:lineRule="exact"/>
        <w:ind w:firstLine="480" w:firstLineChars="200"/>
        <w:rPr>
          <w:rFonts w:hint="eastAsia" w:ascii="楷体_GB2312" w:hAnsi="楷体_GB2312" w:eastAsia="楷体_GB2312" w:cs="楷体_GB2312"/>
          <w:color w:val="auto"/>
          <w:sz w:val="24"/>
        </w:rPr>
      </w:pPr>
    </w:p>
    <w:p>
      <w:pPr>
        <w:spacing w:line="500" w:lineRule="exact"/>
        <w:ind w:firstLine="480" w:firstLineChars="200"/>
        <w:rPr>
          <w:rFonts w:hint="eastAsia" w:ascii="楷体_GB2312" w:hAnsi="楷体_GB2312" w:eastAsia="楷体_GB2312" w:cs="楷体_GB2312"/>
          <w:color w:val="auto"/>
          <w:sz w:val="24"/>
        </w:rPr>
      </w:pPr>
    </w:p>
    <w:p>
      <w:pPr>
        <w:spacing w:line="500" w:lineRule="exact"/>
        <w:rPr>
          <w:rFonts w:hint="eastAsia" w:ascii="楷体_GB2312" w:hAnsi="楷体_GB2312" w:eastAsia="楷体_GB2312" w:cs="楷体_GB2312"/>
          <w:color w:val="auto"/>
          <w:sz w:val="24"/>
        </w:rPr>
      </w:pPr>
    </w:p>
    <w:p>
      <w:pPr>
        <w:spacing w:line="500" w:lineRule="exact"/>
        <w:ind w:firstLine="6240" w:firstLineChars="26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投标人（盖章）：</w:t>
      </w:r>
    </w:p>
    <w:p>
      <w:pPr>
        <w:spacing w:line="500" w:lineRule="exact"/>
        <w:ind w:firstLine="3840" w:firstLineChars="1600"/>
        <w:rPr>
          <w:rFonts w:hint="eastAsia" w:ascii="楷体_GB2312" w:hAnsi="楷体_GB2312" w:eastAsia="楷体_GB2312" w:cs="楷体_GB2312"/>
          <w:color w:val="auto"/>
          <w:sz w:val="24"/>
        </w:rPr>
      </w:pPr>
    </w:p>
    <w:p>
      <w:pPr>
        <w:spacing w:line="500" w:lineRule="exact"/>
        <w:jc w:val="righ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日期：    年   月   日</w:t>
      </w:r>
    </w:p>
    <w:p>
      <w:pPr>
        <w:spacing w:line="500" w:lineRule="exact"/>
        <w:jc w:val="left"/>
        <w:rPr>
          <w:rFonts w:hint="eastAsia" w:ascii="楷体_GB2312" w:hAnsi="楷体_GB2312" w:eastAsia="楷体_GB2312" w:cs="楷体_GB2312"/>
          <w:color w:val="auto"/>
          <w:sz w:val="24"/>
        </w:rPr>
      </w:pPr>
    </w:p>
    <w:p>
      <w:pPr>
        <w:spacing w:line="500" w:lineRule="exact"/>
        <w:jc w:val="left"/>
        <w:rPr>
          <w:rFonts w:hint="eastAsia" w:ascii="楷体_GB2312" w:hAnsi="楷体_GB2312" w:eastAsia="楷体_GB2312" w:cs="楷体_GB2312"/>
          <w:b/>
          <w:color w:val="auto"/>
          <w:sz w:val="32"/>
          <w:szCs w:val="32"/>
        </w:rPr>
      </w:pPr>
    </w:p>
    <w:p>
      <w:pPr>
        <w:spacing w:line="500" w:lineRule="exact"/>
        <w:jc w:val="left"/>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附件3</w:t>
      </w:r>
    </w:p>
    <w:p>
      <w:pPr>
        <w:spacing w:line="500" w:lineRule="exact"/>
        <w:jc w:val="center"/>
        <w:rPr>
          <w:rFonts w:hint="eastAsia" w:ascii="楷体_GB2312" w:hAnsi="楷体_GB2312" w:eastAsia="楷体_GB2312" w:cs="楷体_GB2312"/>
          <w:b/>
          <w:color w:val="auto"/>
          <w:sz w:val="44"/>
          <w:szCs w:val="44"/>
        </w:rPr>
      </w:pPr>
      <w:r>
        <w:rPr>
          <w:rFonts w:hint="eastAsia" w:ascii="楷体_GB2312" w:hAnsi="楷体_GB2312" w:eastAsia="楷体_GB2312" w:cs="楷体_GB2312"/>
          <w:b/>
          <w:color w:val="auto"/>
          <w:sz w:val="44"/>
          <w:szCs w:val="44"/>
        </w:rPr>
        <w:t>授 权 委 托 书</w:t>
      </w:r>
    </w:p>
    <w:p>
      <w:pPr>
        <w:spacing w:line="520" w:lineRule="atLeast"/>
        <w:jc w:val="center"/>
        <w:rPr>
          <w:rFonts w:hint="eastAsia" w:ascii="楷体_GB2312" w:hAnsi="楷体_GB2312" w:eastAsia="楷体_GB2312" w:cs="楷体_GB2312"/>
          <w:color w:val="auto"/>
          <w:sz w:val="44"/>
        </w:rPr>
      </w:pPr>
    </w:p>
    <w:p>
      <w:pPr>
        <w:spacing w:line="520" w:lineRule="atLeas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本授权委托书声明：我</w:t>
      </w:r>
      <w:r>
        <w:rPr>
          <w:rFonts w:hint="eastAsia" w:ascii="楷体_GB2312" w:hAnsi="楷体_GB2312" w:eastAsia="楷体_GB2312" w:cs="楷体_GB2312"/>
          <w:color w:val="auto"/>
          <w:sz w:val="24"/>
          <w:u w:val="single"/>
        </w:rPr>
        <w:t xml:space="preserve">            </w:t>
      </w:r>
      <w:r>
        <w:rPr>
          <w:rFonts w:hint="eastAsia" w:ascii="楷体_GB2312" w:hAnsi="楷体_GB2312" w:eastAsia="楷体_GB2312" w:cs="楷体_GB2312"/>
          <w:color w:val="auto"/>
          <w:sz w:val="24"/>
        </w:rPr>
        <w:t>（姓名）系</w:t>
      </w:r>
      <w:r>
        <w:rPr>
          <w:rFonts w:hint="eastAsia" w:ascii="楷体_GB2312" w:hAnsi="楷体_GB2312" w:eastAsia="楷体_GB2312" w:cs="楷体_GB2312"/>
          <w:color w:val="auto"/>
          <w:sz w:val="24"/>
          <w:u w:val="single"/>
        </w:rPr>
        <w:t xml:space="preserve">                 </w:t>
      </w:r>
      <w:r>
        <w:rPr>
          <w:rFonts w:hint="eastAsia" w:ascii="楷体_GB2312" w:hAnsi="楷体_GB2312" w:eastAsia="楷体_GB2312" w:cs="楷体_GB2312"/>
          <w:color w:val="auto"/>
          <w:sz w:val="24"/>
        </w:rPr>
        <w:t>（投标人名称）的法定代表人，现授权委托</w:t>
      </w:r>
      <w:r>
        <w:rPr>
          <w:rFonts w:hint="eastAsia" w:ascii="楷体_GB2312" w:hAnsi="楷体_GB2312" w:eastAsia="楷体_GB2312" w:cs="楷体_GB2312"/>
          <w:color w:val="auto"/>
          <w:sz w:val="28"/>
          <w:u w:val="single"/>
        </w:rPr>
        <w:t xml:space="preserve">        </w:t>
      </w:r>
      <w:r>
        <w:rPr>
          <w:rFonts w:hint="eastAsia" w:ascii="楷体_GB2312" w:hAnsi="楷体_GB2312" w:eastAsia="楷体_GB2312" w:cs="楷体_GB2312"/>
          <w:color w:val="auto"/>
          <w:sz w:val="24"/>
          <w:u w:val="single"/>
        </w:rPr>
        <w:t xml:space="preserve">      </w:t>
      </w:r>
      <w:r>
        <w:rPr>
          <w:rFonts w:hint="eastAsia" w:ascii="楷体_GB2312" w:hAnsi="楷体_GB2312" w:eastAsia="楷体_GB2312" w:cs="楷体_GB2312"/>
          <w:color w:val="auto"/>
          <w:sz w:val="24"/>
        </w:rPr>
        <w:t>（单位名称）的</w:t>
      </w:r>
      <w:r>
        <w:rPr>
          <w:rFonts w:hint="eastAsia" w:ascii="楷体_GB2312" w:hAnsi="楷体_GB2312" w:eastAsia="楷体_GB2312" w:cs="楷体_GB2312"/>
          <w:color w:val="auto"/>
          <w:sz w:val="24"/>
          <w:u w:val="single"/>
        </w:rPr>
        <w:t xml:space="preserve">               </w:t>
      </w:r>
      <w:r>
        <w:rPr>
          <w:rFonts w:hint="eastAsia" w:ascii="楷体_GB2312" w:hAnsi="楷体_GB2312" w:eastAsia="楷体_GB2312" w:cs="楷体_GB2312"/>
          <w:color w:val="auto"/>
          <w:sz w:val="24"/>
        </w:rPr>
        <w:t>（姓名）为我单位的代理人，以本单位的名义参加</w:t>
      </w:r>
      <w:r>
        <w:rPr>
          <w:rFonts w:hint="eastAsia" w:ascii="楷体_GB2312" w:hAnsi="楷体_GB2312" w:eastAsia="楷体_GB2312" w:cs="楷体_GB2312"/>
          <w:color w:val="auto"/>
          <w:sz w:val="24"/>
          <w:u w:val="single"/>
        </w:rPr>
        <w:t>盐城工业职业技术学院</w:t>
      </w:r>
      <w:r>
        <w:rPr>
          <w:rFonts w:hint="eastAsia" w:ascii="楷体_GB2312" w:hAnsi="楷体_GB2312" w:eastAsia="楷体_GB2312" w:cs="楷体_GB2312"/>
          <w:color w:val="auto"/>
          <w:sz w:val="24"/>
        </w:rPr>
        <w:t>（招标人名称）的</w:t>
      </w:r>
      <w:r>
        <w:rPr>
          <w:rFonts w:hint="eastAsia" w:ascii="楷体_GB2312" w:hAnsi="楷体_GB2312" w:eastAsia="楷体_GB2312" w:cs="楷体_GB2312"/>
          <w:color w:val="auto"/>
          <w:sz w:val="24"/>
          <w:u w:val="single"/>
          <w:lang w:eastAsia="zh-CN"/>
        </w:rPr>
        <w:t>盐城工业职业技术学院艺术设计学院一楼大厅改造项目</w:t>
      </w:r>
      <w:r>
        <w:rPr>
          <w:rFonts w:hint="eastAsia" w:ascii="楷体_GB2312" w:hAnsi="楷体_GB2312" w:eastAsia="楷体_GB2312" w:cs="楷体_GB2312"/>
          <w:color w:val="auto"/>
          <w:sz w:val="24"/>
        </w:rPr>
        <w:t>的投标活动。代理人在开标、评标、合同谈判过程中所签署的一切文件和处理与之有关的一切事务，我均予以承认。代理人无转委托权。</w:t>
      </w:r>
    </w:p>
    <w:p>
      <w:pPr>
        <w:spacing w:line="520" w:lineRule="atLeas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特此委托。</w:t>
      </w:r>
    </w:p>
    <w:p>
      <w:pPr>
        <w:spacing w:line="520" w:lineRule="atLeast"/>
        <w:rPr>
          <w:rFonts w:hint="eastAsia" w:ascii="楷体_GB2312" w:hAnsi="楷体_GB2312" w:eastAsia="楷体_GB2312" w:cs="楷体_GB2312"/>
          <w:color w:val="auto"/>
          <w:sz w:val="24"/>
        </w:rPr>
      </w:pPr>
    </w:p>
    <w:p>
      <w:pPr>
        <w:spacing w:line="520" w:lineRule="atLeas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代理人姓名：              性别：          身份证号码：</w:t>
      </w:r>
    </w:p>
    <w:p>
      <w:pPr>
        <w:spacing w:line="520" w:lineRule="atLeas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电话：                    传真：          手机：</w:t>
      </w:r>
    </w:p>
    <w:p>
      <w:pPr>
        <w:spacing w:line="520" w:lineRule="atLeast"/>
        <w:rPr>
          <w:rFonts w:hint="eastAsia" w:ascii="楷体_GB2312" w:hAnsi="楷体_GB2312" w:eastAsia="楷体_GB2312" w:cs="楷体_GB2312"/>
          <w:color w:val="auto"/>
          <w:sz w:val="24"/>
        </w:rPr>
      </w:pPr>
    </w:p>
    <w:p>
      <w:pPr>
        <w:spacing w:line="520" w:lineRule="atLeast"/>
        <w:jc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 xml:space="preserve">        投标人（盖章）： </w:t>
      </w:r>
    </w:p>
    <w:p>
      <w:pPr>
        <w:spacing w:line="520" w:lineRule="atLeast"/>
        <w:jc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 xml:space="preserve">                  </w:t>
      </w:r>
    </w:p>
    <w:p>
      <w:pPr>
        <w:spacing w:line="520" w:lineRule="atLeast"/>
        <w:jc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 xml:space="preserve">                  法定代表人（签字或盖章）：</w:t>
      </w:r>
    </w:p>
    <w:p>
      <w:pPr>
        <w:spacing w:line="520" w:lineRule="atLeast"/>
        <w:rPr>
          <w:rFonts w:hint="eastAsia" w:ascii="楷体_GB2312" w:hAnsi="楷体_GB2312" w:eastAsia="楷体_GB2312" w:cs="楷体_GB2312"/>
          <w:color w:val="auto"/>
          <w:sz w:val="24"/>
        </w:rPr>
      </w:pPr>
    </w:p>
    <w:p>
      <w:pPr>
        <w:spacing w:line="520" w:lineRule="atLeast"/>
        <w:rPr>
          <w:rFonts w:hint="eastAsia" w:ascii="楷体_GB2312" w:hAnsi="楷体_GB2312" w:eastAsia="楷体_GB2312" w:cs="楷体_GB2312"/>
          <w:color w:val="auto"/>
          <w:sz w:val="24"/>
        </w:rPr>
      </w:pPr>
    </w:p>
    <w:p>
      <w:pPr>
        <w:spacing w:line="520" w:lineRule="atLeast"/>
        <w:ind w:firstLine="480" w:firstLineChars="200"/>
        <w:rPr>
          <w:rFonts w:hint="eastAsia" w:ascii="楷体_GB2312" w:hAnsi="楷体_GB2312" w:eastAsia="楷体_GB2312" w:cs="楷体_GB2312"/>
          <w:b/>
          <w:color w:val="auto"/>
          <w:sz w:val="24"/>
        </w:rPr>
      </w:pPr>
      <w:r>
        <w:rPr>
          <w:rFonts w:hint="eastAsia" w:ascii="楷体_GB2312" w:hAnsi="楷体_GB2312" w:eastAsia="楷体_GB2312" w:cs="楷体_GB2312"/>
          <w:b/>
          <w:color w:val="auto"/>
          <w:sz w:val="24"/>
        </w:rPr>
        <w:t>身份证复印件粘贴处：</w:t>
      </w:r>
    </w:p>
    <w:p>
      <w:pPr>
        <w:spacing w:line="500" w:lineRule="exact"/>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br w:type="page"/>
      </w:r>
    </w:p>
    <w:p>
      <w:pPr>
        <w:pStyle w:val="3"/>
        <w:tabs>
          <w:tab w:val="left" w:pos="840"/>
        </w:tabs>
        <w:spacing w:after="156" w:afterLines="50" w:line="320" w:lineRule="exact"/>
        <w:ind w:firstLine="0"/>
        <w:rPr>
          <w:rFonts w:hint="eastAsia" w:ascii="楷体_GB2312" w:hAnsi="楷体_GB2312" w:eastAsia="楷体_GB2312" w:cs="楷体_GB2312"/>
          <w:color w:val="auto"/>
        </w:rPr>
      </w:pPr>
      <w:r>
        <w:rPr>
          <w:rFonts w:hint="eastAsia" w:ascii="楷体_GB2312" w:hAnsi="楷体_GB2312" w:eastAsia="楷体_GB2312" w:cs="楷体_GB2312"/>
          <w:bCs w:val="0"/>
          <w:color w:val="auto"/>
          <w:sz w:val="32"/>
          <w:szCs w:val="32"/>
        </w:rPr>
        <w:t>附件4</w:t>
      </w:r>
    </w:p>
    <w:p>
      <w:pPr>
        <w:pStyle w:val="3"/>
        <w:spacing w:after="156" w:afterLines="50" w:line="240" w:lineRule="auto"/>
        <w:ind w:firstLine="516"/>
        <w:jc w:val="center"/>
        <w:rPr>
          <w:rFonts w:hint="eastAsia" w:ascii="楷体_GB2312" w:hAnsi="楷体_GB2312" w:eastAsia="楷体_GB2312" w:cs="楷体_GB2312"/>
          <w:bCs w:val="0"/>
          <w:color w:val="auto"/>
          <w:sz w:val="32"/>
          <w:szCs w:val="32"/>
        </w:rPr>
      </w:pPr>
      <w:r>
        <w:rPr>
          <w:rFonts w:hint="eastAsia" w:ascii="楷体_GB2312" w:hAnsi="楷体_GB2312" w:eastAsia="楷体_GB2312" w:cs="楷体_GB2312"/>
          <w:bCs w:val="0"/>
          <w:color w:val="auto"/>
          <w:sz w:val="44"/>
          <w:szCs w:val="44"/>
        </w:rPr>
        <w:t>投标承诺书</w:t>
      </w:r>
    </w:p>
    <w:p>
      <w:pPr>
        <w:pStyle w:val="3"/>
        <w:spacing w:line="380" w:lineRule="exact"/>
        <w:ind w:firstLine="0"/>
        <w:rPr>
          <w:rFonts w:hint="eastAsia" w:ascii="楷体_GB2312" w:hAnsi="楷体_GB2312" w:eastAsia="楷体_GB2312" w:cs="楷体_GB2312"/>
          <w:b w:val="0"/>
          <w:color w:val="auto"/>
          <w:u w:val="single"/>
        </w:rPr>
      </w:pPr>
      <w:r>
        <w:rPr>
          <w:rFonts w:hint="eastAsia" w:ascii="楷体_GB2312" w:hAnsi="楷体_GB2312" w:eastAsia="楷体_GB2312" w:cs="楷体_GB2312"/>
          <w:b w:val="0"/>
          <w:color w:val="auto"/>
        </w:rPr>
        <w:t>致：</w:t>
      </w:r>
      <w:r>
        <w:rPr>
          <w:rFonts w:hint="eastAsia" w:ascii="楷体_GB2312" w:hAnsi="楷体_GB2312" w:eastAsia="楷体_GB2312" w:cs="楷体_GB2312"/>
          <w:b w:val="0"/>
          <w:bCs w:val="0"/>
          <w:color w:val="auto"/>
          <w:u w:val="single"/>
        </w:rPr>
        <w:t>盐城工业职业技术学院</w:t>
      </w:r>
    </w:p>
    <w:p>
      <w:pPr>
        <w:pStyle w:val="3"/>
        <w:spacing w:line="420" w:lineRule="exact"/>
        <w:ind w:firstLine="520" w:firstLineChars="200"/>
        <w:rPr>
          <w:rFonts w:hint="eastAsia" w:ascii="楷体_GB2312" w:hAnsi="楷体_GB2312" w:eastAsia="楷体_GB2312" w:cs="楷体_GB2312"/>
          <w:b w:val="0"/>
          <w:color w:val="auto"/>
        </w:rPr>
      </w:pPr>
      <w:r>
        <w:rPr>
          <w:rFonts w:hint="eastAsia" w:ascii="楷体_GB2312" w:hAnsi="楷体_GB2312" w:eastAsia="楷体_GB2312" w:cs="楷体_GB2312"/>
          <w:b w:val="0"/>
          <w:color w:val="auto"/>
          <w:spacing w:val="10"/>
        </w:rPr>
        <w:t>1.根据你方招标项目</w:t>
      </w:r>
      <w:r>
        <w:rPr>
          <w:rFonts w:hint="eastAsia" w:ascii="楷体_GB2312" w:hAnsi="楷体_GB2312" w:eastAsia="楷体_GB2312" w:cs="楷体_GB2312"/>
          <w:b w:val="0"/>
          <w:bCs w:val="0"/>
          <w:color w:val="auto"/>
          <w:u w:val="single"/>
          <w:lang w:eastAsia="zh-CN"/>
        </w:rPr>
        <w:t>盐城工业职业技术学院艺术设计学院一楼大厅改造项目</w:t>
      </w:r>
      <w:r>
        <w:rPr>
          <w:rFonts w:hint="eastAsia" w:ascii="楷体_GB2312" w:hAnsi="楷体_GB2312" w:eastAsia="楷体_GB2312" w:cs="楷体_GB2312"/>
          <w:b w:val="0"/>
          <w:color w:val="auto"/>
          <w:spacing w:val="10"/>
        </w:rPr>
        <w:t>的招标文件、遵照《中华人民共和国招标投标法》等有关规定，经踏勘项目现场和研究上述招标文件的投标须知、合同条</w:t>
      </w:r>
      <w:r>
        <w:rPr>
          <w:rFonts w:hint="eastAsia" w:ascii="楷体_GB2312" w:hAnsi="楷体_GB2312" w:eastAsia="楷体_GB2312" w:cs="楷体_GB2312"/>
          <w:b w:val="0"/>
          <w:color w:val="auto"/>
          <w:spacing w:val="10"/>
          <w:kern w:val="24"/>
        </w:rPr>
        <w:t>款、图</w:t>
      </w:r>
      <w:r>
        <w:rPr>
          <w:rFonts w:hint="eastAsia" w:ascii="楷体_GB2312" w:hAnsi="楷体_GB2312" w:eastAsia="楷体_GB2312" w:cs="楷体_GB2312"/>
          <w:b w:val="0"/>
          <w:color w:val="auto"/>
          <w:spacing w:val="10"/>
        </w:rPr>
        <w:t>纸</w:t>
      </w:r>
      <w:r>
        <w:rPr>
          <w:rFonts w:hint="eastAsia" w:ascii="楷体_GB2312" w:hAnsi="楷体_GB2312" w:eastAsia="楷体_GB2312" w:cs="楷体_GB2312"/>
          <w:b w:val="0"/>
          <w:color w:val="auto"/>
          <w:spacing w:val="10"/>
          <w:kern w:val="24"/>
        </w:rPr>
        <w:t>、建设标准和工程量清单及其他有关文件后，我方愿以人民币</w:t>
      </w:r>
      <w:r>
        <w:rPr>
          <w:rFonts w:hint="eastAsia" w:ascii="楷体_GB2312" w:hAnsi="楷体_GB2312" w:eastAsia="楷体_GB2312" w:cs="楷体_GB2312"/>
          <w:b w:val="0"/>
          <w:color w:val="auto"/>
          <w:spacing w:val="10"/>
          <w:kern w:val="24"/>
          <w:u w:val="single"/>
        </w:rPr>
        <w:t>（大写）   　　</w:t>
      </w:r>
      <w:r>
        <w:rPr>
          <w:rFonts w:hint="eastAsia" w:ascii="楷体_GB2312" w:hAnsi="楷体_GB2312" w:eastAsia="楷体_GB2312" w:cs="楷体_GB2312"/>
          <w:b w:val="0"/>
          <w:color w:val="auto"/>
          <w:spacing w:val="10"/>
          <w:kern w:val="24"/>
        </w:rPr>
        <w:t>（小写：</w:t>
      </w:r>
      <w:r>
        <w:rPr>
          <w:rFonts w:hint="eastAsia" w:ascii="楷体_GB2312" w:hAnsi="楷体_GB2312" w:eastAsia="楷体_GB2312" w:cs="楷体_GB2312"/>
          <w:b w:val="0"/>
          <w:color w:val="auto"/>
          <w:spacing w:val="10"/>
          <w:kern w:val="24"/>
          <w:u w:val="single"/>
        </w:rPr>
        <w:t>　 　</w:t>
      </w:r>
      <w:r>
        <w:rPr>
          <w:rFonts w:hint="eastAsia" w:ascii="楷体_GB2312" w:hAnsi="楷体_GB2312" w:eastAsia="楷体_GB2312" w:cs="楷体_GB2312"/>
          <w:b w:val="0"/>
          <w:color w:val="auto"/>
          <w:spacing w:val="10"/>
          <w:kern w:val="24"/>
        </w:rPr>
        <w:t>元）</w:t>
      </w:r>
      <w:r>
        <w:rPr>
          <w:rFonts w:hint="eastAsia" w:ascii="楷体_GB2312" w:hAnsi="楷体_GB2312" w:eastAsia="楷体_GB2312" w:cs="楷体_GB2312"/>
          <w:b w:val="0"/>
          <w:color w:val="auto"/>
          <w:spacing w:val="10"/>
        </w:rPr>
        <w:t>的投标报价并按上述图</w:t>
      </w:r>
      <w:r>
        <w:rPr>
          <w:rFonts w:hint="eastAsia" w:ascii="楷体_GB2312" w:hAnsi="楷体_GB2312" w:eastAsia="楷体_GB2312" w:cs="楷体_GB2312"/>
          <w:b w:val="0"/>
          <w:color w:val="auto"/>
        </w:rPr>
        <w:t>纸、</w:t>
      </w:r>
      <w:r>
        <w:rPr>
          <w:rFonts w:hint="eastAsia" w:ascii="楷体_GB2312" w:hAnsi="楷体_GB2312" w:eastAsia="楷体_GB2312" w:cs="楷体_GB2312"/>
          <w:b w:val="0"/>
          <w:color w:val="auto"/>
          <w:spacing w:val="10"/>
        </w:rPr>
        <w:t>合同条款、工程建设标准和工程</w:t>
      </w:r>
      <w:r>
        <w:rPr>
          <w:rFonts w:hint="eastAsia" w:ascii="楷体_GB2312" w:hAnsi="楷体_GB2312" w:eastAsia="楷体_GB2312" w:cs="楷体_GB2312"/>
          <w:b w:val="0"/>
          <w:color w:val="auto"/>
        </w:rPr>
        <w:t>量清单的条件要求承包上述工程的施工、竣工，并承担任何质量缺陷保修责任。</w:t>
      </w:r>
    </w:p>
    <w:p>
      <w:pPr>
        <w:pStyle w:val="3"/>
        <w:spacing w:line="380" w:lineRule="exact"/>
        <w:ind w:firstLine="480" w:firstLineChars="200"/>
        <w:rPr>
          <w:rFonts w:hint="eastAsia" w:ascii="楷体_GB2312" w:hAnsi="楷体_GB2312" w:eastAsia="楷体_GB2312" w:cs="楷体_GB2312"/>
          <w:b w:val="0"/>
          <w:color w:val="auto"/>
        </w:rPr>
      </w:pPr>
      <w:r>
        <w:rPr>
          <w:rFonts w:hint="eastAsia" w:ascii="楷体_GB2312" w:hAnsi="楷体_GB2312" w:eastAsia="楷体_GB2312" w:cs="楷体_GB2312"/>
          <w:b w:val="0"/>
          <w:color w:val="auto"/>
        </w:rPr>
        <w:t>2.我方派出</w:t>
      </w:r>
      <w:r>
        <w:rPr>
          <w:rFonts w:hint="eastAsia" w:ascii="楷体_GB2312" w:hAnsi="楷体_GB2312" w:eastAsia="楷体_GB2312" w:cs="楷体_GB2312"/>
          <w:b w:val="0"/>
          <w:color w:val="auto"/>
          <w:u w:val="single"/>
        </w:rPr>
        <w:t>　　　</w:t>
      </w:r>
      <w:r>
        <w:rPr>
          <w:rFonts w:hint="eastAsia" w:ascii="楷体_GB2312" w:hAnsi="楷体_GB2312" w:eastAsia="楷体_GB2312" w:cs="楷体_GB2312"/>
          <w:b w:val="0"/>
          <w:color w:val="auto"/>
        </w:rPr>
        <w:t>（项目负责人姓名）作为本次招标项目的项目负责人，项目负责人的联系电话为</w:t>
      </w:r>
      <w:r>
        <w:rPr>
          <w:rFonts w:hint="eastAsia" w:ascii="楷体_GB2312" w:hAnsi="楷体_GB2312" w:eastAsia="楷体_GB2312" w:cs="楷体_GB2312"/>
          <w:b w:val="0"/>
          <w:color w:val="auto"/>
          <w:u w:val="single"/>
        </w:rPr>
        <w:t xml:space="preserve">              </w:t>
      </w:r>
      <w:r>
        <w:rPr>
          <w:rFonts w:hint="eastAsia" w:ascii="楷体_GB2312" w:hAnsi="楷体_GB2312" w:eastAsia="楷体_GB2312" w:cs="楷体_GB2312"/>
          <w:b w:val="0"/>
          <w:color w:val="auto"/>
        </w:rPr>
        <w:t>。</w:t>
      </w:r>
    </w:p>
    <w:p>
      <w:pPr>
        <w:pStyle w:val="3"/>
        <w:spacing w:line="380" w:lineRule="exact"/>
        <w:ind w:firstLine="480" w:firstLineChars="200"/>
        <w:rPr>
          <w:rFonts w:hint="eastAsia" w:ascii="楷体_GB2312" w:hAnsi="楷体_GB2312" w:eastAsia="楷体_GB2312" w:cs="楷体_GB2312"/>
          <w:b w:val="0"/>
          <w:color w:val="auto"/>
        </w:rPr>
      </w:pPr>
      <w:r>
        <w:rPr>
          <w:rFonts w:hint="eastAsia" w:ascii="楷体_GB2312" w:hAnsi="楷体_GB2312" w:eastAsia="楷体_GB2312" w:cs="楷体_GB2312"/>
          <w:b w:val="0"/>
          <w:color w:val="auto"/>
        </w:rPr>
        <w:t>3.我方已详细阅读全部招标文件，包括修改文件、答疑及有关附件，我方承诺完全响应并认可上述文件的所有内容。</w:t>
      </w:r>
    </w:p>
    <w:p>
      <w:pPr>
        <w:pStyle w:val="3"/>
        <w:spacing w:line="380" w:lineRule="exact"/>
        <w:ind w:firstLine="480" w:firstLineChars="200"/>
        <w:rPr>
          <w:rFonts w:hint="eastAsia" w:ascii="楷体_GB2312" w:hAnsi="楷体_GB2312" w:eastAsia="楷体_GB2312" w:cs="楷体_GB2312"/>
          <w:b w:val="0"/>
          <w:color w:val="auto"/>
        </w:rPr>
      </w:pPr>
      <w:r>
        <w:rPr>
          <w:rFonts w:hint="eastAsia" w:ascii="楷体_GB2312" w:hAnsi="楷体_GB2312" w:eastAsia="楷体_GB2312" w:cs="楷体_GB2312"/>
          <w:b w:val="0"/>
          <w:color w:val="auto"/>
        </w:rPr>
        <w:t>4.我方承认投标函附件是我方投标函的组成部分。</w:t>
      </w:r>
    </w:p>
    <w:p>
      <w:pPr>
        <w:pStyle w:val="3"/>
        <w:spacing w:line="380" w:lineRule="exact"/>
        <w:ind w:firstLine="480" w:firstLineChars="200"/>
        <w:rPr>
          <w:rFonts w:hint="eastAsia" w:ascii="楷体_GB2312" w:hAnsi="楷体_GB2312" w:eastAsia="楷体_GB2312" w:cs="楷体_GB2312"/>
          <w:b w:val="0"/>
          <w:color w:val="auto"/>
        </w:rPr>
      </w:pPr>
      <w:r>
        <w:rPr>
          <w:rFonts w:hint="eastAsia" w:ascii="楷体_GB2312" w:hAnsi="楷体_GB2312" w:eastAsia="楷体_GB2312" w:cs="楷体_GB2312"/>
          <w:b w:val="0"/>
          <w:color w:val="auto"/>
        </w:rPr>
        <w:t>5.一旦我方中标，我方保证在招标人要求的工期</w:t>
      </w:r>
      <w:r>
        <w:rPr>
          <w:rFonts w:hint="eastAsia" w:ascii="楷体_GB2312" w:hAnsi="楷体_GB2312" w:eastAsia="楷体_GB2312" w:cs="楷体_GB2312"/>
          <w:b w:val="0"/>
          <w:color w:val="auto"/>
          <w:u w:val="single"/>
        </w:rPr>
        <w:t>　　</w:t>
      </w:r>
      <w:r>
        <w:rPr>
          <w:rFonts w:hint="eastAsia" w:ascii="楷体_GB2312" w:hAnsi="楷体_GB2312" w:eastAsia="楷体_GB2312" w:cs="楷体_GB2312"/>
          <w:b w:val="0"/>
          <w:color w:val="auto"/>
        </w:rPr>
        <w:t>日历天内完成并移交全部工程，并确保工程质量达到</w:t>
      </w:r>
      <w:r>
        <w:rPr>
          <w:rFonts w:hint="eastAsia" w:ascii="楷体_GB2312" w:hAnsi="楷体_GB2312" w:eastAsia="楷体_GB2312" w:cs="楷体_GB2312"/>
          <w:b w:val="0"/>
          <w:color w:val="auto"/>
          <w:u w:val="single"/>
        </w:rPr>
        <w:t>　　</w:t>
      </w:r>
      <w:r>
        <w:rPr>
          <w:rFonts w:hint="eastAsia" w:ascii="楷体_GB2312" w:hAnsi="楷体_GB2312" w:eastAsia="楷体_GB2312" w:cs="楷体_GB2312"/>
          <w:b w:val="0"/>
          <w:color w:val="auto"/>
        </w:rPr>
        <w:t>标准，同时严格执行《建设工程质量管理条例》中有关工程保修条款。</w:t>
      </w:r>
    </w:p>
    <w:p>
      <w:pPr>
        <w:pStyle w:val="3"/>
        <w:spacing w:line="380" w:lineRule="exact"/>
        <w:ind w:firstLine="480" w:firstLineChars="200"/>
        <w:rPr>
          <w:rFonts w:hint="eastAsia" w:ascii="楷体_GB2312" w:hAnsi="楷体_GB2312" w:eastAsia="楷体_GB2312" w:cs="楷体_GB2312"/>
          <w:b w:val="0"/>
          <w:color w:val="auto"/>
        </w:rPr>
      </w:pPr>
      <w:r>
        <w:rPr>
          <w:rFonts w:hint="eastAsia" w:ascii="楷体_GB2312" w:hAnsi="楷体_GB2312" w:eastAsia="楷体_GB2312" w:cs="楷体_GB2312"/>
          <w:b w:val="0"/>
          <w:color w:val="auto"/>
        </w:rPr>
        <w:t>6、如果我方在投标有效期内撤回投标、无故放弃中标资格，或违反招标文件、法律、法规规定的其他事项，我方的投标保证金贵方不予退还。</w:t>
      </w:r>
    </w:p>
    <w:p>
      <w:pPr>
        <w:pStyle w:val="3"/>
        <w:spacing w:line="380" w:lineRule="exact"/>
        <w:ind w:firstLine="480" w:firstLineChars="200"/>
        <w:rPr>
          <w:rFonts w:hint="eastAsia" w:ascii="楷体_GB2312" w:hAnsi="楷体_GB2312" w:eastAsia="楷体_GB2312" w:cs="楷体_GB2312"/>
          <w:b w:val="0"/>
          <w:color w:val="auto"/>
        </w:rPr>
      </w:pPr>
      <w:r>
        <w:rPr>
          <w:rFonts w:hint="eastAsia" w:ascii="楷体_GB2312" w:hAnsi="楷体_GB2312" w:eastAsia="楷体_GB2312" w:cs="楷体_GB2312"/>
          <w:b w:val="0"/>
          <w:color w:val="auto"/>
        </w:rPr>
        <w:t>7.  我方同意所提交的投标文件在招标文件规定的投标有效期内有效，在此期间内如果中标，我方将受此约束。</w:t>
      </w:r>
    </w:p>
    <w:p>
      <w:pPr>
        <w:pStyle w:val="3"/>
        <w:spacing w:line="380" w:lineRule="exact"/>
        <w:ind w:firstLine="480" w:firstLineChars="200"/>
        <w:rPr>
          <w:rFonts w:hint="eastAsia" w:ascii="楷体_GB2312" w:hAnsi="楷体_GB2312" w:eastAsia="楷体_GB2312" w:cs="楷体_GB2312"/>
          <w:b w:val="0"/>
          <w:color w:val="auto"/>
        </w:rPr>
      </w:pPr>
      <w:r>
        <w:rPr>
          <w:rFonts w:hint="eastAsia" w:ascii="楷体_GB2312" w:hAnsi="楷体_GB2312" w:eastAsia="楷体_GB2312" w:cs="楷体_GB2312"/>
          <w:b w:val="0"/>
          <w:color w:val="auto"/>
        </w:rPr>
        <w:t>8. 除非另外达成协议生效，你方的《中标通知书》和本投标文件将成为约束双方的合同文件的组成部分。</w:t>
      </w:r>
    </w:p>
    <w:p>
      <w:pPr>
        <w:pStyle w:val="3"/>
        <w:spacing w:line="380" w:lineRule="exact"/>
        <w:ind w:firstLine="1473" w:firstLineChars="614"/>
        <w:rPr>
          <w:rFonts w:hint="eastAsia" w:ascii="楷体_GB2312" w:hAnsi="楷体_GB2312" w:eastAsia="楷体_GB2312" w:cs="楷体_GB2312"/>
          <w:b w:val="0"/>
          <w:color w:val="auto"/>
        </w:rPr>
      </w:pPr>
    </w:p>
    <w:p>
      <w:pPr>
        <w:pStyle w:val="3"/>
        <w:spacing w:line="380" w:lineRule="exact"/>
        <w:ind w:firstLine="1305" w:firstLineChars="544"/>
        <w:rPr>
          <w:rFonts w:hint="eastAsia" w:ascii="楷体_GB2312" w:hAnsi="楷体_GB2312" w:eastAsia="楷体_GB2312" w:cs="楷体_GB2312"/>
          <w:b w:val="0"/>
          <w:color w:val="auto"/>
        </w:rPr>
      </w:pPr>
      <w:r>
        <w:rPr>
          <w:rFonts w:hint="eastAsia" w:ascii="楷体_GB2312" w:hAnsi="楷体_GB2312" w:eastAsia="楷体_GB2312" w:cs="楷体_GB2312"/>
          <w:b w:val="0"/>
          <w:color w:val="auto"/>
        </w:rPr>
        <w:t>投标人（盖章）：</w:t>
      </w:r>
      <w:r>
        <w:rPr>
          <w:rFonts w:hint="eastAsia" w:ascii="楷体_GB2312" w:hAnsi="楷体_GB2312" w:eastAsia="楷体_GB2312" w:cs="楷体_GB2312"/>
          <w:b w:val="0"/>
          <w:color w:val="auto"/>
          <w:u w:val="single"/>
        </w:rPr>
        <w:t>　　　　　　　　　　　　　　　   　　　　</w:t>
      </w:r>
    </w:p>
    <w:p>
      <w:pPr>
        <w:pStyle w:val="3"/>
        <w:spacing w:line="380" w:lineRule="exact"/>
        <w:ind w:firstLine="1200" w:firstLineChars="500"/>
        <w:rPr>
          <w:rFonts w:hint="eastAsia" w:ascii="楷体_GB2312" w:hAnsi="楷体_GB2312" w:eastAsia="楷体_GB2312" w:cs="楷体_GB2312"/>
          <w:b w:val="0"/>
          <w:color w:val="auto"/>
          <w:u w:val="single"/>
        </w:rPr>
      </w:pPr>
      <w:r>
        <w:rPr>
          <w:rFonts w:hint="eastAsia" w:ascii="楷体_GB2312" w:hAnsi="楷体_GB2312" w:eastAsia="楷体_GB2312" w:cs="楷体_GB2312"/>
          <w:b w:val="0"/>
          <w:color w:val="auto"/>
        </w:rPr>
        <w:t>地址：</w:t>
      </w:r>
      <w:r>
        <w:rPr>
          <w:rFonts w:hint="eastAsia" w:ascii="楷体_GB2312" w:hAnsi="楷体_GB2312" w:eastAsia="楷体_GB2312" w:cs="楷体_GB2312"/>
          <w:b w:val="0"/>
          <w:color w:val="auto"/>
          <w:u w:val="single"/>
        </w:rPr>
        <w:t>　　　　　　　　　   　　　　　　　　　　 　　　　</w:t>
      </w:r>
    </w:p>
    <w:p>
      <w:pPr>
        <w:pStyle w:val="3"/>
        <w:spacing w:line="380" w:lineRule="exact"/>
        <w:ind w:firstLine="1200" w:firstLineChars="500"/>
        <w:rPr>
          <w:rFonts w:hint="eastAsia" w:ascii="楷体_GB2312" w:hAnsi="楷体_GB2312" w:eastAsia="楷体_GB2312" w:cs="楷体_GB2312"/>
          <w:b w:val="0"/>
          <w:color w:val="auto"/>
          <w:u w:val="single"/>
        </w:rPr>
      </w:pPr>
      <w:r>
        <w:rPr>
          <w:rFonts w:hint="eastAsia" w:ascii="楷体_GB2312" w:hAnsi="楷体_GB2312" w:eastAsia="楷体_GB2312" w:cs="楷体_GB2312"/>
          <w:b w:val="0"/>
          <w:color w:val="auto"/>
        </w:rPr>
        <w:t>法定代表人或其委托代理人（签字或盖章）：</w:t>
      </w:r>
      <w:r>
        <w:rPr>
          <w:rFonts w:hint="eastAsia" w:ascii="楷体_GB2312" w:hAnsi="楷体_GB2312" w:eastAsia="楷体_GB2312" w:cs="楷体_GB2312"/>
          <w:b w:val="0"/>
          <w:color w:val="auto"/>
          <w:u w:val="single"/>
        </w:rPr>
        <w:t>　　　　　　 　　</w:t>
      </w:r>
    </w:p>
    <w:p>
      <w:pPr>
        <w:pStyle w:val="3"/>
        <w:spacing w:line="380" w:lineRule="exact"/>
        <w:ind w:firstLine="1200" w:firstLineChars="500"/>
        <w:rPr>
          <w:rFonts w:hint="eastAsia" w:ascii="楷体_GB2312" w:hAnsi="楷体_GB2312" w:eastAsia="楷体_GB2312" w:cs="楷体_GB2312"/>
          <w:b w:val="0"/>
          <w:color w:val="auto"/>
        </w:rPr>
      </w:pPr>
      <w:r>
        <w:rPr>
          <w:rFonts w:hint="eastAsia" w:ascii="楷体_GB2312" w:hAnsi="楷体_GB2312" w:eastAsia="楷体_GB2312" w:cs="楷体_GB2312"/>
          <w:b w:val="0"/>
          <w:color w:val="auto"/>
        </w:rPr>
        <w:t>邮政编码：</w:t>
      </w:r>
      <w:r>
        <w:rPr>
          <w:rFonts w:hint="eastAsia" w:ascii="楷体_GB2312" w:hAnsi="楷体_GB2312" w:eastAsia="楷体_GB2312" w:cs="楷体_GB2312"/>
          <w:b w:val="0"/>
          <w:color w:val="auto"/>
          <w:u w:val="single"/>
        </w:rPr>
        <w:t>　　　　</w:t>
      </w:r>
      <w:r>
        <w:rPr>
          <w:rFonts w:hint="eastAsia" w:ascii="楷体_GB2312" w:hAnsi="楷体_GB2312" w:eastAsia="楷体_GB2312" w:cs="楷体_GB2312"/>
          <w:b w:val="0"/>
          <w:color w:val="auto"/>
        </w:rPr>
        <w:t>电话：</w:t>
      </w:r>
      <w:r>
        <w:rPr>
          <w:rFonts w:hint="eastAsia" w:ascii="楷体_GB2312" w:hAnsi="楷体_GB2312" w:eastAsia="楷体_GB2312" w:cs="楷体_GB2312"/>
          <w:b w:val="0"/>
          <w:color w:val="auto"/>
          <w:u w:val="single"/>
        </w:rPr>
        <w:t>　　　　</w:t>
      </w:r>
      <w:r>
        <w:rPr>
          <w:rFonts w:hint="eastAsia" w:ascii="楷体_GB2312" w:hAnsi="楷体_GB2312" w:eastAsia="楷体_GB2312" w:cs="楷体_GB2312"/>
          <w:b w:val="0"/>
          <w:color w:val="auto"/>
        </w:rPr>
        <w:t>传真：</w:t>
      </w:r>
      <w:r>
        <w:rPr>
          <w:rFonts w:hint="eastAsia" w:ascii="楷体_GB2312" w:hAnsi="楷体_GB2312" w:eastAsia="楷体_GB2312" w:cs="楷体_GB2312"/>
          <w:b w:val="0"/>
          <w:color w:val="auto"/>
          <w:u w:val="single"/>
        </w:rPr>
        <w:t>　　　　　</w:t>
      </w:r>
      <w:r>
        <w:rPr>
          <w:rFonts w:hint="eastAsia" w:ascii="楷体_GB2312" w:hAnsi="楷体_GB2312" w:eastAsia="楷体_GB2312" w:cs="楷体_GB2312"/>
          <w:b w:val="0"/>
          <w:color w:val="auto"/>
        </w:rPr>
        <w:t>邮箱：</w:t>
      </w:r>
      <w:r>
        <w:rPr>
          <w:rFonts w:hint="eastAsia" w:ascii="楷体_GB2312" w:hAnsi="楷体_GB2312" w:eastAsia="楷体_GB2312" w:cs="楷体_GB2312"/>
          <w:b w:val="0"/>
          <w:color w:val="auto"/>
          <w:u w:val="single"/>
        </w:rPr>
        <w:t>　　</w:t>
      </w:r>
    </w:p>
    <w:p>
      <w:pPr>
        <w:spacing w:line="380" w:lineRule="exact"/>
        <w:ind w:firstLine="5145" w:firstLineChars="2450"/>
        <w:jc w:val="left"/>
        <w:rPr>
          <w:rFonts w:hint="eastAsia" w:ascii="楷体_GB2312" w:hAnsi="楷体_GB2312" w:eastAsia="楷体_GB2312" w:cs="楷体_GB2312"/>
          <w:color w:val="auto"/>
        </w:rPr>
      </w:pPr>
      <w:r>
        <w:rPr>
          <w:rFonts w:hint="eastAsia" w:ascii="楷体_GB2312" w:hAnsi="楷体_GB2312" w:eastAsia="楷体_GB2312" w:cs="楷体_GB2312"/>
          <w:color w:val="auto"/>
        </w:rPr>
        <w:t>日期：</w:t>
      </w:r>
      <w:r>
        <w:rPr>
          <w:rFonts w:hint="eastAsia" w:ascii="楷体_GB2312" w:hAnsi="楷体_GB2312" w:eastAsia="楷体_GB2312" w:cs="楷体_GB2312"/>
          <w:color w:val="auto"/>
          <w:u w:val="single"/>
        </w:rPr>
        <w:t>　　　年　  月　　日</w:t>
      </w:r>
    </w:p>
    <w:p>
      <w:pPr>
        <w:spacing w:line="500" w:lineRule="exact"/>
        <w:jc w:val="left"/>
        <w:rPr>
          <w:rFonts w:hint="eastAsia" w:ascii="楷体_GB2312" w:hAnsi="楷体_GB2312" w:eastAsia="楷体_GB2312" w:cs="楷体_GB2312"/>
          <w:color w:val="auto"/>
        </w:rPr>
      </w:pPr>
    </w:p>
    <w:p>
      <w:pPr>
        <w:widowControl/>
        <w:jc w:val="left"/>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br w:type="page"/>
      </w:r>
    </w:p>
    <w:p>
      <w:pPr>
        <w:spacing w:line="500" w:lineRule="exact"/>
        <w:jc w:val="left"/>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附件5</w:t>
      </w:r>
    </w:p>
    <w:p>
      <w:pPr>
        <w:spacing w:line="500" w:lineRule="exac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一号标书封面样式：</w:t>
      </w:r>
    </w:p>
    <w:p>
      <w:pPr>
        <w:spacing w:line="520" w:lineRule="atLeast"/>
        <w:jc w:val="right"/>
        <w:rPr>
          <w:rFonts w:hint="eastAsia" w:ascii="楷体_GB2312" w:hAnsi="楷体_GB2312" w:eastAsia="楷体_GB2312" w:cs="楷体_GB2312"/>
          <w:color w:val="auto"/>
          <w:sz w:val="28"/>
        </w:rPr>
      </w:pPr>
      <w:r>
        <w:rPr>
          <w:rFonts w:hint="eastAsia" w:ascii="楷体_GB2312" w:hAnsi="楷体_GB2312" w:eastAsia="楷体_GB2312" w:cs="楷体_GB2312"/>
          <w:color w:val="auto"/>
          <w:sz w:val="28"/>
          <w:u w:val="single"/>
        </w:rPr>
        <w:t xml:space="preserve">    </w:t>
      </w:r>
      <w:r>
        <w:rPr>
          <w:rFonts w:hint="eastAsia" w:ascii="楷体_GB2312" w:hAnsi="楷体_GB2312" w:eastAsia="楷体_GB2312" w:cs="楷体_GB2312"/>
          <w:color w:val="auto"/>
          <w:sz w:val="28"/>
        </w:rPr>
        <w:t>本</w:t>
      </w:r>
    </w:p>
    <w:p>
      <w:pPr>
        <w:pStyle w:val="9"/>
        <w:adjustRightInd w:val="0"/>
        <w:snapToGrid w:val="0"/>
        <w:spacing w:line="300" w:lineRule="exact"/>
        <w:ind w:left="109" w:leftChars="52"/>
        <w:rPr>
          <w:rFonts w:hint="eastAsia" w:ascii="楷体_GB2312" w:hAnsi="楷体_GB2312" w:eastAsia="楷体_GB2312" w:cs="楷体_GB2312"/>
          <w:b/>
          <w:bCs/>
          <w:color w:val="auto"/>
          <w:sz w:val="32"/>
          <w:szCs w:val="32"/>
        </w:rPr>
      </w:pPr>
    </w:p>
    <w:p>
      <w:pPr>
        <w:pStyle w:val="9"/>
        <w:adjustRightInd w:val="0"/>
        <w:snapToGrid w:val="0"/>
        <w:spacing w:line="300" w:lineRule="exact"/>
        <w:rPr>
          <w:rFonts w:hint="eastAsia" w:ascii="楷体_GB2312" w:hAnsi="楷体_GB2312" w:eastAsia="楷体_GB2312" w:cs="楷体_GB2312"/>
          <w:b/>
          <w:bCs/>
          <w:color w:val="auto"/>
          <w:sz w:val="32"/>
          <w:szCs w:val="32"/>
        </w:rPr>
      </w:pPr>
    </w:p>
    <w:p>
      <w:pPr>
        <w:pStyle w:val="9"/>
        <w:adjustRightInd w:val="0"/>
        <w:snapToGrid w:val="0"/>
        <w:spacing w:line="300" w:lineRule="exact"/>
        <w:ind w:left="109" w:leftChars="52"/>
        <w:rPr>
          <w:rFonts w:hint="eastAsia" w:ascii="楷体_GB2312" w:hAnsi="楷体_GB2312" w:eastAsia="楷体_GB2312" w:cs="楷体_GB2312"/>
          <w:b/>
          <w:bCs/>
          <w:color w:val="auto"/>
          <w:sz w:val="32"/>
          <w:szCs w:val="32"/>
        </w:rPr>
      </w:pPr>
    </w:p>
    <w:p>
      <w:pPr>
        <w:pStyle w:val="9"/>
        <w:adjustRightInd w:val="0"/>
        <w:snapToGrid w:val="0"/>
        <w:jc w:val="center"/>
        <w:rPr>
          <w:rFonts w:hint="eastAsia" w:ascii="楷体_GB2312" w:hAnsi="楷体_GB2312" w:eastAsia="楷体_GB2312" w:cs="楷体_GB2312"/>
          <w:b/>
          <w:color w:val="auto"/>
          <w:kern w:val="2"/>
          <w:sz w:val="44"/>
          <w:szCs w:val="44"/>
          <w:lang w:eastAsia="zh-CN"/>
        </w:rPr>
      </w:pPr>
      <w:r>
        <w:rPr>
          <w:rFonts w:hint="eastAsia" w:ascii="楷体_GB2312" w:hAnsi="楷体_GB2312" w:eastAsia="楷体_GB2312" w:cs="楷体_GB2312"/>
          <w:b/>
          <w:color w:val="auto"/>
          <w:kern w:val="2"/>
          <w:sz w:val="44"/>
          <w:szCs w:val="44"/>
          <w:lang w:eastAsia="zh-CN"/>
        </w:rPr>
        <w:t>盐城工业职业技术学院艺术设计学院一楼大厅改造项目</w:t>
      </w:r>
    </w:p>
    <w:p>
      <w:pPr>
        <w:spacing w:line="480" w:lineRule="auto"/>
        <w:jc w:val="center"/>
        <w:rPr>
          <w:rFonts w:hint="eastAsia" w:ascii="楷体_GB2312" w:hAnsi="楷体_GB2312" w:eastAsia="楷体_GB2312" w:cs="楷体_GB2312"/>
          <w:b/>
          <w:color w:val="auto"/>
          <w:sz w:val="32"/>
          <w:szCs w:val="32"/>
        </w:rPr>
      </w:pPr>
    </w:p>
    <w:p>
      <w:pPr>
        <w:spacing w:line="520" w:lineRule="atLeast"/>
        <w:rPr>
          <w:rFonts w:hint="eastAsia" w:ascii="楷体_GB2312" w:hAnsi="楷体_GB2312" w:eastAsia="楷体_GB2312" w:cs="楷体_GB2312"/>
          <w:color w:val="auto"/>
          <w:sz w:val="48"/>
        </w:rPr>
      </w:pPr>
    </w:p>
    <w:p>
      <w:pPr>
        <w:pStyle w:val="2"/>
        <w:ind w:firstLine="422"/>
        <w:rPr>
          <w:rFonts w:hint="eastAsia" w:ascii="楷体_GB2312" w:hAnsi="楷体_GB2312" w:eastAsia="楷体_GB2312" w:cs="楷体_GB2312"/>
          <w:color w:val="auto"/>
        </w:rPr>
      </w:pPr>
    </w:p>
    <w:p>
      <w:pPr>
        <w:spacing w:line="520" w:lineRule="atLeast"/>
        <w:jc w:val="center"/>
        <w:rPr>
          <w:rFonts w:hint="eastAsia" w:ascii="楷体_GB2312" w:hAnsi="楷体_GB2312" w:eastAsia="楷体_GB2312" w:cs="楷体_GB2312"/>
          <w:b/>
          <w:bCs/>
          <w:color w:val="auto"/>
          <w:sz w:val="72"/>
        </w:rPr>
      </w:pPr>
      <w:r>
        <w:rPr>
          <w:rFonts w:hint="eastAsia" w:ascii="楷体_GB2312" w:hAnsi="楷体_GB2312" w:eastAsia="楷体_GB2312" w:cs="楷体_GB2312"/>
          <w:b/>
          <w:bCs/>
          <w:color w:val="auto"/>
          <w:sz w:val="72"/>
        </w:rPr>
        <w:t>投 标 文 件</w:t>
      </w:r>
    </w:p>
    <w:p>
      <w:pPr>
        <w:spacing w:line="520" w:lineRule="atLeast"/>
        <w:jc w:val="center"/>
        <w:rPr>
          <w:rFonts w:hint="eastAsia" w:ascii="楷体_GB2312" w:hAnsi="楷体_GB2312" w:eastAsia="楷体_GB2312" w:cs="楷体_GB2312"/>
          <w:b/>
          <w:bCs/>
          <w:color w:val="auto"/>
          <w:sz w:val="36"/>
        </w:rPr>
      </w:pPr>
    </w:p>
    <w:p>
      <w:pPr>
        <w:spacing w:line="520" w:lineRule="atLeast"/>
        <w:jc w:val="center"/>
        <w:rPr>
          <w:rFonts w:hint="eastAsia" w:ascii="楷体_GB2312" w:hAnsi="楷体_GB2312" w:eastAsia="楷体_GB2312" w:cs="楷体_GB2312"/>
          <w:b/>
          <w:bCs/>
          <w:color w:val="auto"/>
          <w:sz w:val="36"/>
        </w:rPr>
      </w:pPr>
      <w:r>
        <w:rPr>
          <w:rFonts w:hint="eastAsia" w:ascii="楷体_GB2312" w:hAnsi="楷体_GB2312" w:eastAsia="楷体_GB2312" w:cs="楷体_GB2312"/>
          <w:b/>
          <w:bCs/>
          <w:color w:val="auto"/>
          <w:sz w:val="36"/>
        </w:rPr>
        <w:t>（一号标书）</w:t>
      </w:r>
    </w:p>
    <w:p>
      <w:pPr>
        <w:spacing w:line="520" w:lineRule="atLeast"/>
        <w:rPr>
          <w:rFonts w:hint="eastAsia" w:ascii="楷体_GB2312" w:hAnsi="楷体_GB2312" w:eastAsia="楷体_GB2312" w:cs="楷体_GB2312"/>
          <w:b/>
          <w:bCs/>
          <w:color w:val="auto"/>
          <w:sz w:val="48"/>
        </w:rPr>
      </w:pPr>
    </w:p>
    <w:p>
      <w:pPr>
        <w:spacing w:line="520" w:lineRule="atLeast"/>
        <w:rPr>
          <w:rFonts w:hint="eastAsia" w:ascii="楷体_GB2312" w:hAnsi="楷体_GB2312" w:eastAsia="楷体_GB2312" w:cs="楷体_GB2312"/>
          <w:color w:val="auto"/>
          <w:sz w:val="28"/>
        </w:rPr>
      </w:pPr>
    </w:p>
    <w:p>
      <w:pPr>
        <w:spacing w:line="520" w:lineRule="atLeast"/>
        <w:rPr>
          <w:rFonts w:hint="eastAsia" w:ascii="楷体_GB2312" w:hAnsi="楷体_GB2312" w:eastAsia="楷体_GB2312" w:cs="楷体_GB2312"/>
          <w:color w:val="auto"/>
          <w:sz w:val="28"/>
        </w:rPr>
      </w:pPr>
    </w:p>
    <w:p>
      <w:pPr>
        <w:spacing w:line="520" w:lineRule="atLeast"/>
        <w:rPr>
          <w:rFonts w:hint="eastAsia" w:ascii="楷体_GB2312" w:hAnsi="楷体_GB2312" w:eastAsia="楷体_GB2312" w:cs="楷体_GB2312"/>
          <w:color w:val="auto"/>
          <w:sz w:val="28"/>
        </w:rPr>
      </w:pPr>
    </w:p>
    <w:p>
      <w:pPr>
        <w:spacing w:line="500" w:lineRule="exact"/>
        <w:ind w:firstLine="480" w:firstLineChars="200"/>
        <w:rPr>
          <w:rFonts w:hint="eastAsia" w:ascii="楷体_GB2312" w:hAnsi="楷体_GB2312" w:eastAsia="楷体_GB2312" w:cs="楷体_GB2312"/>
          <w:color w:val="auto"/>
          <w:sz w:val="24"/>
          <w:u w:val="single"/>
        </w:rPr>
      </w:pPr>
      <w:r>
        <w:rPr>
          <w:rFonts w:hint="eastAsia" w:ascii="楷体_GB2312" w:hAnsi="楷体_GB2312" w:eastAsia="楷体_GB2312" w:cs="楷体_GB2312"/>
          <w:color w:val="auto"/>
          <w:sz w:val="24"/>
        </w:rPr>
        <w:t>投标人（盖章）：</w:t>
      </w:r>
      <w:r>
        <w:rPr>
          <w:rFonts w:hint="eastAsia" w:ascii="楷体_GB2312" w:hAnsi="楷体_GB2312" w:eastAsia="楷体_GB2312" w:cs="楷体_GB2312"/>
          <w:color w:val="auto"/>
          <w:sz w:val="24"/>
          <w:u w:val="single"/>
        </w:rPr>
        <w:t xml:space="preserve">                                            </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 xml:space="preserve"> </w:t>
      </w:r>
    </w:p>
    <w:p>
      <w:pPr>
        <w:spacing w:line="500" w:lineRule="exact"/>
        <w:ind w:firstLine="480" w:firstLineChars="200"/>
        <w:rPr>
          <w:rFonts w:hint="eastAsia" w:ascii="楷体_GB2312" w:hAnsi="楷体_GB2312" w:eastAsia="楷体_GB2312" w:cs="楷体_GB2312"/>
          <w:color w:val="auto"/>
          <w:sz w:val="24"/>
          <w:u w:val="single"/>
        </w:rPr>
      </w:pPr>
      <w:r>
        <w:rPr>
          <w:rFonts w:hint="eastAsia" w:ascii="楷体_GB2312" w:hAnsi="楷体_GB2312" w:eastAsia="楷体_GB2312" w:cs="楷体_GB2312"/>
          <w:color w:val="auto"/>
          <w:sz w:val="24"/>
        </w:rPr>
        <w:t>法定代表人或授权委托人（签字或盖章）：</w:t>
      </w:r>
      <w:r>
        <w:rPr>
          <w:rFonts w:hint="eastAsia" w:ascii="楷体_GB2312" w:hAnsi="楷体_GB2312" w:eastAsia="楷体_GB2312" w:cs="楷体_GB2312"/>
          <w:color w:val="auto"/>
          <w:sz w:val="24"/>
          <w:u w:val="single"/>
        </w:rPr>
        <w:t xml:space="preserve">                      </w:t>
      </w:r>
    </w:p>
    <w:p>
      <w:pPr>
        <w:spacing w:line="500" w:lineRule="exact"/>
        <w:ind w:firstLine="480" w:firstLineChars="200"/>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 xml:space="preserve"> </w:t>
      </w:r>
    </w:p>
    <w:p>
      <w:pPr>
        <w:spacing w:line="500" w:lineRule="exact"/>
        <w:ind w:firstLine="480" w:firstLineChars="200"/>
        <w:rPr>
          <w:rFonts w:hint="eastAsia" w:ascii="楷体_GB2312" w:hAnsi="楷体_GB2312" w:eastAsia="楷体_GB2312" w:cs="楷体_GB2312"/>
          <w:color w:val="auto"/>
          <w:sz w:val="24"/>
        </w:rPr>
      </w:pPr>
    </w:p>
    <w:p>
      <w:pPr>
        <w:spacing w:line="500" w:lineRule="exact"/>
        <w:ind w:firstLine="480" w:firstLineChars="200"/>
        <w:jc w:val="center"/>
        <w:rPr>
          <w:rFonts w:hint="eastAsia" w:ascii="楷体_GB2312" w:hAnsi="楷体_GB2312" w:eastAsia="楷体_GB2312" w:cs="楷体_GB2312"/>
          <w:b/>
          <w:color w:val="auto"/>
          <w:sz w:val="32"/>
          <w:szCs w:val="32"/>
        </w:rPr>
      </w:pPr>
      <w:r>
        <w:rPr>
          <w:rFonts w:hint="eastAsia" w:ascii="楷体_GB2312" w:hAnsi="楷体_GB2312" w:eastAsia="楷体_GB2312" w:cs="楷体_GB2312"/>
          <w:color w:val="auto"/>
          <w:sz w:val="24"/>
        </w:rPr>
        <w:t>年     月     日</w:t>
      </w:r>
    </w:p>
    <w:p>
      <w:pPr>
        <w:pStyle w:val="2"/>
        <w:ind w:left="0" w:leftChars="0" w:firstLine="0" w:firstLineChars="0"/>
        <w:rPr>
          <w:rFonts w:hint="eastAsia" w:ascii="楷体_GB2312" w:hAnsi="楷体_GB2312" w:eastAsia="楷体_GB2312" w:cs="楷体_GB2312"/>
          <w:color w:val="auto"/>
        </w:rPr>
      </w:pPr>
    </w:p>
    <w:p>
      <w:pPr>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br w:type="page"/>
      </w:r>
    </w:p>
    <w:p>
      <w:pPr>
        <w:spacing w:line="500" w:lineRule="exact"/>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附件6</w:t>
      </w:r>
    </w:p>
    <w:tbl>
      <w:tblPr>
        <w:tblStyle w:val="18"/>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vAlign w:val="center"/>
          </w:tcPr>
          <w:p>
            <w:pPr>
              <w:widowControl/>
              <w:jc w:val="center"/>
              <w:rPr>
                <w:rFonts w:hint="eastAsia" w:ascii="楷体_GB2312" w:hAnsi="楷体_GB2312" w:eastAsia="楷体_GB2312" w:cs="楷体_GB2312"/>
                <w:b/>
                <w:bCs/>
                <w:color w:val="auto"/>
                <w:kern w:val="0"/>
                <w:sz w:val="44"/>
                <w:szCs w:val="44"/>
              </w:rPr>
            </w:pPr>
            <w:r>
              <w:rPr>
                <w:rFonts w:hint="eastAsia" w:ascii="楷体_GB2312" w:hAnsi="楷体_GB2312" w:eastAsia="楷体_GB2312" w:cs="楷体_GB2312"/>
                <w:b/>
                <w:bCs/>
                <w:color w:val="auto"/>
                <w:kern w:val="0"/>
                <w:sz w:val="44"/>
                <w:szCs w:val="44"/>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vAlign w:val="center"/>
          </w:tcPr>
          <w:p>
            <w:pPr>
              <w:widowControl/>
              <w:jc w:val="left"/>
              <w:rPr>
                <w:rFonts w:hint="eastAsia" w:ascii="楷体_GB2312" w:hAnsi="楷体_GB2312" w:eastAsia="楷体_GB2312" w:cs="楷体_GB2312"/>
                <w:b/>
                <w:bCs/>
                <w:color w:val="auto"/>
                <w:kern w:val="0"/>
                <w:sz w:val="22"/>
                <w:szCs w:val="22"/>
              </w:rPr>
            </w:pPr>
            <w:r>
              <w:rPr>
                <w:rFonts w:hint="eastAsia" w:ascii="楷体_GB2312" w:hAnsi="楷体_GB2312" w:eastAsia="楷体_GB2312" w:cs="楷体_GB2312"/>
                <w:b/>
                <w:bCs/>
                <w:color w:val="auto"/>
                <w:kern w:val="0"/>
                <w:sz w:val="22"/>
                <w:szCs w:val="22"/>
              </w:rPr>
              <w:t>投标人名称：</w:t>
            </w:r>
          </w:p>
        </w:tc>
        <w:tc>
          <w:tcPr>
            <w:tcW w:w="3113" w:type="dxa"/>
            <w:tcBorders>
              <w:top w:val="nil"/>
              <w:left w:val="nil"/>
              <w:bottom w:val="single" w:color="auto" w:sz="4" w:space="0"/>
              <w:right w:val="nil"/>
            </w:tcBorders>
            <w:vAlign w:val="center"/>
          </w:tcPr>
          <w:p>
            <w:pPr>
              <w:widowControl/>
              <w:jc w:val="center"/>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　</w:t>
            </w:r>
          </w:p>
        </w:tc>
        <w:tc>
          <w:tcPr>
            <w:tcW w:w="3420" w:type="dxa"/>
            <w:tcBorders>
              <w:top w:val="nil"/>
              <w:left w:val="nil"/>
              <w:bottom w:val="single" w:color="auto" w:sz="4" w:space="0"/>
              <w:right w:val="nil"/>
            </w:tcBorders>
            <w:vAlign w:val="center"/>
          </w:tcPr>
          <w:p>
            <w:pPr>
              <w:widowControl/>
              <w:jc w:val="center"/>
              <w:rPr>
                <w:rFonts w:hint="eastAsia"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b/>
                <w:bCs/>
                <w:color w:val="auto"/>
                <w:kern w:val="0"/>
                <w:sz w:val="24"/>
              </w:rPr>
              <w:t>序</w:t>
            </w:r>
            <w:r>
              <w:rPr>
                <w:rFonts w:hint="eastAsia" w:ascii="楷体_GB2312" w:hAnsi="楷体_GB2312" w:eastAsia="楷体_GB2312" w:cs="楷体_GB2312"/>
                <w:b/>
                <w:bCs/>
                <w:color w:val="auto"/>
                <w:kern w:val="0"/>
                <w:sz w:val="24"/>
              </w:rPr>
              <w:br w:type="textWrapping"/>
            </w:r>
            <w:r>
              <w:rPr>
                <w:rFonts w:hint="eastAsia" w:ascii="楷体_GB2312" w:hAnsi="楷体_GB2312" w:eastAsia="楷体_GB2312" w:cs="楷体_GB2312"/>
                <w:b/>
                <w:bCs/>
                <w:color w:val="auto"/>
                <w:kern w:val="0"/>
                <w:sz w:val="24"/>
              </w:rPr>
              <w:t>号</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b/>
                <w:bCs/>
                <w:color w:val="auto"/>
                <w:kern w:val="0"/>
                <w:sz w:val="24"/>
              </w:rPr>
            </w:pPr>
            <w:r>
              <w:rPr>
                <w:rFonts w:hint="eastAsia" w:ascii="楷体_GB2312" w:hAnsi="楷体_GB2312" w:eastAsia="楷体_GB2312" w:cs="楷体_GB2312"/>
                <w:b/>
                <w:bCs/>
                <w:color w:val="auto"/>
                <w:kern w:val="0"/>
                <w:sz w:val="24"/>
              </w:rPr>
              <w:t>原件名称</w:t>
            </w:r>
          </w:p>
        </w:tc>
        <w:tc>
          <w:tcPr>
            <w:tcW w:w="3420" w:type="dxa"/>
            <w:tcBorders>
              <w:top w:val="nil"/>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b/>
                <w:bCs/>
                <w:color w:val="auto"/>
                <w:kern w:val="0"/>
                <w:sz w:val="24"/>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3</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4</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5</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6</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7</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8</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9</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11</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12</w:t>
            </w:r>
          </w:p>
        </w:tc>
        <w:tc>
          <w:tcPr>
            <w:tcW w:w="494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c>
          <w:tcPr>
            <w:tcW w:w="3420" w:type="dxa"/>
            <w:tcBorders>
              <w:top w:val="nil"/>
              <w:left w:val="nil"/>
              <w:bottom w:val="single" w:color="auto" w:sz="4" w:space="0"/>
              <w:right w:val="single" w:color="auto" w:sz="4" w:space="0"/>
            </w:tcBorders>
            <w:vAlign w:val="center"/>
          </w:tcPr>
          <w:p>
            <w:pPr>
              <w:widowControl/>
              <w:jc w:val="center"/>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0"/>
                <w:szCs w:val="20"/>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vAlign w:val="center"/>
          </w:tcPr>
          <w:p>
            <w:pPr>
              <w:widowControl/>
              <w:spacing w:line="440" w:lineRule="exact"/>
              <w:jc w:val="left"/>
              <w:rPr>
                <w:rFonts w:hint="eastAsia" w:ascii="楷体_GB2312" w:hAnsi="楷体_GB2312" w:eastAsia="楷体_GB2312" w:cs="楷体_GB2312"/>
                <w:color w:val="auto"/>
                <w:kern w:val="0"/>
                <w:sz w:val="24"/>
              </w:rPr>
            </w:pPr>
            <w:r>
              <w:rPr>
                <w:rFonts w:hint="eastAsia" w:ascii="楷体_GB2312" w:hAnsi="楷体_GB2312" w:eastAsia="楷体_GB2312" w:cs="楷体_GB2312"/>
                <w:color w:val="auto"/>
                <w:kern w:val="0"/>
                <w:sz w:val="24"/>
              </w:rPr>
              <w:t>注：</w:t>
            </w:r>
          </w:p>
          <w:p>
            <w:pPr>
              <w:widowControl/>
              <w:spacing w:line="440" w:lineRule="exact"/>
              <w:ind w:firstLine="480" w:firstLineChars="200"/>
              <w:jc w:val="left"/>
              <w:rPr>
                <w:rFonts w:hint="eastAsia" w:ascii="楷体_GB2312" w:hAnsi="楷体_GB2312" w:eastAsia="楷体_GB2312" w:cs="楷体_GB2312"/>
                <w:color w:val="auto"/>
                <w:kern w:val="0"/>
                <w:sz w:val="20"/>
                <w:szCs w:val="20"/>
              </w:rPr>
            </w:pPr>
            <w:r>
              <w:rPr>
                <w:rFonts w:hint="eastAsia" w:ascii="楷体_GB2312" w:hAnsi="楷体_GB2312" w:eastAsia="楷体_GB2312" w:cs="楷体_GB2312"/>
                <w:color w:val="auto"/>
                <w:kern w:val="0"/>
                <w:sz w:val="24"/>
              </w:rPr>
              <w:t>1、本表仅为核对投标人提供的证书等招标项目评标所需材料原件之用，如本表填写不下可按相同格式进行扩展；</w:t>
            </w:r>
            <w:r>
              <w:rPr>
                <w:rFonts w:hint="eastAsia" w:ascii="楷体_GB2312" w:hAnsi="楷体_GB2312" w:eastAsia="楷体_GB2312" w:cs="楷体_GB2312"/>
                <w:color w:val="auto"/>
                <w:kern w:val="0"/>
                <w:sz w:val="24"/>
              </w:rPr>
              <w:br w:type="textWrapping"/>
            </w:r>
            <w:r>
              <w:rPr>
                <w:rFonts w:hint="eastAsia" w:ascii="楷体_GB2312" w:hAnsi="楷体_GB2312" w:eastAsia="楷体_GB2312" w:cs="楷体_GB2312"/>
                <w:color w:val="auto"/>
                <w:kern w:val="0"/>
                <w:sz w:val="24"/>
              </w:rPr>
              <w:t>　　2、如因投标人未按要求填写本表或填写内容表述不清造成原件材料缺失或无法核对，后果由投标人自负。</w:t>
            </w:r>
          </w:p>
        </w:tc>
      </w:tr>
    </w:tbl>
    <w:p>
      <w:pPr>
        <w:spacing w:line="300" w:lineRule="auto"/>
        <w:rPr>
          <w:rFonts w:hint="eastAsia" w:ascii="楷体_GB2312" w:hAnsi="楷体_GB2312" w:eastAsia="楷体_GB2312" w:cs="楷体_GB2312"/>
          <w:color w:val="auto"/>
        </w:rPr>
      </w:pPr>
    </w:p>
    <w:p>
      <w:pPr>
        <w:pStyle w:val="2"/>
        <w:ind w:firstLine="422"/>
        <w:rPr>
          <w:rFonts w:hint="eastAsia" w:ascii="楷体_GB2312" w:hAnsi="楷体_GB2312" w:eastAsia="楷体_GB2312" w:cs="楷体_GB2312"/>
          <w:color w:val="auto"/>
        </w:rPr>
      </w:pPr>
    </w:p>
    <w:p>
      <w:pPr>
        <w:pStyle w:val="2"/>
        <w:ind w:firstLine="422"/>
        <w:rPr>
          <w:rFonts w:hint="eastAsia" w:ascii="楷体_GB2312" w:hAnsi="楷体_GB2312" w:eastAsia="楷体_GB2312" w:cs="楷体_GB2312"/>
          <w:color w:val="auto"/>
        </w:rPr>
      </w:pPr>
    </w:p>
    <w:p>
      <w:pPr>
        <w:rPr>
          <w:rFonts w:hint="eastAsia" w:ascii="楷体_GB2312" w:hAnsi="楷体_GB2312" w:eastAsia="楷体_GB2312" w:cs="楷体_GB2312"/>
          <w:color w:val="auto"/>
        </w:rPr>
      </w:pPr>
    </w:p>
    <w:p>
      <w:pPr>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附件7</w:t>
      </w:r>
    </w:p>
    <w:p>
      <w:pPr>
        <w:jc w:val="center"/>
        <w:rPr>
          <w:rFonts w:hint="eastAsia" w:ascii="楷体_GB2312" w:hAnsi="楷体_GB2312" w:eastAsia="楷体_GB2312" w:cs="楷体_GB2312"/>
          <w:b/>
          <w:color w:val="auto"/>
          <w:sz w:val="44"/>
          <w:szCs w:val="44"/>
        </w:rPr>
      </w:pPr>
      <w:r>
        <w:rPr>
          <w:rFonts w:hint="eastAsia" w:ascii="楷体_GB2312" w:hAnsi="楷体_GB2312" w:eastAsia="楷体_GB2312" w:cs="楷体_GB2312"/>
          <w:b/>
          <w:color w:val="auto"/>
          <w:sz w:val="44"/>
          <w:szCs w:val="44"/>
        </w:rPr>
        <w:t>异议书（格式）</w:t>
      </w:r>
    </w:p>
    <w:p>
      <w:pPr>
        <w:jc w:val="center"/>
        <w:rPr>
          <w:rFonts w:hint="eastAsia" w:ascii="楷体_GB2312" w:hAnsi="楷体_GB2312" w:eastAsia="楷体_GB2312" w:cs="楷体_GB2312"/>
          <w:color w:val="auto"/>
          <w:sz w:val="36"/>
          <w:szCs w:val="36"/>
        </w:rPr>
      </w:pPr>
    </w:p>
    <w:p>
      <w:pPr>
        <w:spacing w:line="360" w:lineRule="auto"/>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项目名称：</w:t>
      </w:r>
    </w:p>
    <w:p>
      <w:pPr>
        <w:spacing w:line="360" w:lineRule="auto"/>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异议人：</w:t>
      </w:r>
    </w:p>
    <w:p>
      <w:pPr>
        <w:spacing w:line="360" w:lineRule="auto"/>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住所地：                  邮编：</w:t>
      </w:r>
    </w:p>
    <w:p>
      <w:pPr>
        <w:spacing w:line="360" w:lineRule="auto"/>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法定代表人：             联系电话</w:t>
      </w:r>
    </w:p>
    <w:p>
      <w:pPr>
        <w:spacing w:line="360" w:lineRule="auto"/>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异议人授权代表：        性别：        年龄：</w:t>
      </w:r>
    </w:p>
    <w:p>
      <w:pPr>
        <w:spacing w:line="360" w:lineRule="auto"/>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住址：                    联系电话：</w:t>
      </w:r>
    </w:p>
    <w:p>
      <w:pPr>
        <w:spacing w:line="360" w:lineRule="auto"/>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提起异议事项的基本事实：</w:t>
      </w:r>
    </w:p>
    <w:p>
      <w:pPr>
        <w:spacing w:line="360" w:lineRule="auto"/>
        <w:jc w:val="left"/>
        <w:rPr>
          <w:rFonts w:hint="eastAsia" w:ascii="楷体_GB2312" w:hAnsi="楷体_GB2312" w:eastAsia="楷体_GB2312" w:cs="楷体_GB2312"/>
          <w:color w:val="auto"/>
          <w:sz w:val="24"/>
        </w:rPr>
      </w:pPr>
    </w:p>
    <w:p>
      <w:pPr>
        <w:spacing w:line="360" w:lineRule="auto"/>
        <w:jc w:val="left"/>
        <w:rPr>
          <w:rFonts w:hint="eastAsia" w:ascii="楷体_GB2312" w:hAnsi="楷体_GB2312" w:eastAsia="楷体_GB2312" w:cs="楷体_GB2312"/>
          <w:color w:val="auto"/>
          <w:sz w:val="24"/>
        </w:rPr>
      </w:pPr>
    </w:p>
    <w:p>
      <w:pPr>
        <w:spacing w:line="360" w:lineRule="auto"/>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相关请求及主张：</w:t>
      </w:r>
    </w:p>
    <w:p>
      <w:pPr>
        <w:spacing w:line="360" w:lineRule="auto"/>
        <w:jc w:val="left"/>
        <w:rPr>
          <w:rFonts w:hint="eastAsia" w:ascii="楷体_GB2312" w:hAnsi="楷体_GB2312" w:eastAsia="楷体_GB2312" w:cs="楷体_GB2312"/>
          <w:color w:val="auto"/>
          <w:sz w:val="24"/>
        </w:rPr>
      </w:pPr>
    </w:p>
    <w:p>
      <w:pPr>
        <w:spacing w:line="360" w:lineRule="auto"/>
        <w:jc w:val="left"/>
        <w:rPr>
          <w:rFonts w:hint="eastAsia" w:ascii="楷体_GB2312" w:hAnsi="楷体_GB2312" w:eastAsia="楷体_GB2312" w:cs="楷体_GB2312"/>
          <w:color w:val="auto"/>
          <w:sz w:val="24"/>
        </w:rPr>
      </w:pPr>
    </w:p>
    <w:p>
      <w:pPr>
        <w:spacing w:line="360" w:lineRule="auto"/>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有效线索和相关证明材料：</w:t>
      </w:r>
    </w:p>
    <w:p>
      <w:pPr>
        <w:spacing w:line="360" w:lineRule="auto"/>
        <w:jc w:val="left"/>
        <w:rPr>
          <w:rFonts w:hint="eastAsia" w:ascii="楷体_GB2312" w:hAnsi="楷体_GB2312" w:eastAsia="楷体_GB2312" w:cs="楷体_GB2312"/>
          <w:color w:val="auto"/>
          <w:sz w:val="24"/>
        </w:rPr>
      </w:pPr>
    </w:p>
    <w:p>
      <w:pPr>
        <w:spacing w:line="360" w:lineRule="auto"/>
        <w:jc w:val="left"/>
        <w:rPr>
          <w:rFonts w:hint="eastAsia" w:ascii="楷体_GB2312" w:hAnsi="楷体_GB2312" w:eastAsia="楷体_GB2312" w:cs="楷体_GB2312"/>
          <w:color w:val="auto"/>
          <w:sz w:val="24"/>
        </w:rPr>
      </w:pPr>
    </w:p>
    <w:p>
      <w:pPr>
        <w:spacing w:line="360" w:lineRule="auto"/>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异议人与提起项目有利害关系的证明材料：</w:t>
      </w:r>
    </w:p>
    <w:p>
      <w:pPr>
        <w:spacing w:line="360" w:lineRule="auto"/>
        <w:jc w:val="center"/>
        <w:rPr>
          <w:rFonts w:hint="eastAsia" w:ascii="楷体_GB2312" w:hAnsi="楷体_GB2312" w:eastAsia="楷体_GB2312" w:cs="楷体_GB2312"/>
          <w:color w:val="auto"/>
          <w:sz w:val="24"/>
        </w:rPr>
      </w:pPr>
    </w:p>
    <w:p>
      <w:pPr>
        <w:spacing w:line="360" w:lineRule="auto"/>
        <w:jc w:val="center"/>
        <w:rPr>
          <w:rFonts w:hint="eastAsia" w:ascii="楷体_GB2312" w:hAnsi="楷体_GB2312" w:eastAsia="楷体_GB2312" w:cs="楷体_GB2312"/>
          <w:color w:val="auto"/>
          <w:sz w:val="24"/>
        </w:rPr>
      </w:pPr>
    </w:p>
    <w:p>
      <w:pPr>
        <w:spacing w:line="360" w:lineRule="auto"/>
        <w:jc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 xml:space="preserve">                                           异议人（公章）：</w:t>
      </w:r>
    </w:p>
    <w:p>
      <w:pPr>
        <w:spacing w:line="360" w:lineRule="auto"/>
        <w:jc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 xml:space="preserve">                                          法定代表人或授权代表（签字）</w:t>
      </w:r>
    </w:p>
    <w:p>
      <w:pPr>
        <w:spacing w:line="360" w:lineRule="auto"/>
        <w:jc w:val="center"/>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 xml:space="preserve">                                      年     月     日</w:t>
      </w:r>
    </w:p>
    <w:p>
      <w:pPr>
        <w:spacing w:line="360" w:lineRule="auto"/>
        <w:jc w:val="center"/>
        <w:rPr>
          <w:rFonts w:hint="eastAsia" w:ascii="楷体_GB2312" w:hAnsi="楷体_GB2312" w:eastAsia="楷体_GB2312" w:cs="楷体_GB2312"/>
          <w:color w:val="auto"/>
          <w:sz w:val="24"/>
        </w:rPr>
      </w:pPr>
    </w:p>
    <w:p>
      <w:pPr>
        <w:spacing w:line="360" w:lineRule="auto"/>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说明：</w:t>
      </w:r>
    </w:p>
    <w:p>
      <w:pPr>
        <w:spacing w:line="360" w:lineRule="auto"/>
        <w:jc w:val="left"/>
        <w:rPr>
          <w:rFonts w:hint="eastAsia" w:ascii="楷体_GB2312" w:hAnsi="楷体_GB2312" w:eastAsia="楷体_GB2312" w:cs="楷体_GB2312"/>
          <w:color w:val="auto"/>
          <w:sz w:val="24"/>
        </w:rPr>
      </w:pPr>
      <w:r>
        <w:rPr>
          <w:rFonts w:hint="eastAsia" w:ascii="楷体_GB2312" w:hAnsi="楷体_GB2312" w:eastAsia="楷体_GB2312" w:cs="楷体_GB2312"/>
          <w:color w:val="auto"/>
          <w:sz w:val="24"/>
        </w:rPr>
        <w:t>1.异议人是法人的，异议书必须由其法定代表人或者授权代表签字并盖章。</w:t>
      </w:r>
    </w:p>
    <w:p>
      <w:pPr>
        <w:spacing w:line="360" w:lineRule="auto"/>
        <w:jc w:val="left"/>
        <w:rPr>
          <w:rFonts w:hint="eastAsia" w:ascii="楷体_GB2312" w:hAnsi="楷体_GB2312" w:eastAsia="楷体_GB2312" w:cs="楷体_GB2312"/>
          <w:b/>
          <w:color w:val="auto"/>
          <w:sz w:val="32"/>
          <w:szCs w:val="32"/>
        </w:rPr>
        <w:sectPr>
          <w:headerReference r:id="rId3" w:type="default"/>
          <w:footerReference r:id="rId4" w:type="default"/>
          <w:pgSz w:w="11906" w:h="16838"/>
          <w:pgMar w:top="1701" w:right="1418" w:bottom="1440" w:left="1418" w:header="851" w:footer="992" w:gutter="0"/>
          <w:cols w:space="425" w:num="1"/>
          <w:docGrid w:type="linesAndChars" w:linePitch="312" w:charSpace="0"/>
        </w:sectPr>
      </w:pPr>
      <w:r>
        <w:rPr>
          <w:rFonts w:hint="eastAsia" w:ascii="楷体_GB2312" w:hAnsi="楷体_GB2312" w:eastAsia="楷体_GB2312" w:cs="楷体_GB2312"/>
          <w:color w:val="auto"/>
          <w:sz w:val="24"/>
        </w:rPr>
        <w:t>2.异议书有关材料是外文的，异议人应当同时提供其中文译本。</w:t>
      </w:r>
    </w:p>
    <w:p>
      <w:pPr>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附件8</w:t>
      </w:r>
    </w:p>
    <w:p>
      <w:pPr>
        <w:jc w:val="center"/>
        <w:rPr>
          <w:rFonts w:hint="eastAsia" w:ascii="楷体_GB2312" w:hAnsi="楷体_GB2312" w:eastAsia="楷体_GB2312" w:cs="楷体_GB2312"/>
          <w:color w:val="auto"/>
        </w:rPr>
      </w:pPr>
      <w:r>
        <w:rPr>
          <w:rFonts w:hint="eastAsia" w:ascii="楷体_GB2312" w:hAnsi="楷体_GB2312" w:eastAsia="楷体_GB2312" w:cs="楷体_GB2312"/>
          <w:b/>
          <w:color w:val="auto"/>
          <w:sz w:val="32"/>
          <w:szCs w:val="32"/>
          <w:highlight w:val="none"/>
        </w:rPr>
        <w:t>工程量清单计价成果文件（投标报价明细表）</w:t>
      </w:r>
    </w:p>
    <w:tbl>
      <w:tblPr>
        <w:tblStyle w:val="18"/>
        <w:tblW w:w="9722" w:type="dxa"/>
        <w:tblInd w:w="0" w:type="dxa"/>
        <w:shd w:val="clear" w:color="auto" w:fill="auto"/>
        <w:tblLayout w:type="autofit"/>
        <w:tblCellMar>
          <w:top w:w="0" w:type="dxa"/>
          <w:left w:w="0" w:type="dxa"/>
          <w:bottom w:w="0" w:type="dxa"/>
          <w:right w:w="0" w:type="dxa"/>
        </w:tblCellMar>
      </w:tblPr>
      <w:tblGrid>
        <w:gridCol w:w="1067"/>
        <w:gridCol w:w="1067"/>
        <w:gridCol w:w="2160"/>
        <w:gridCol w:w="1067"/>
        <w:gridCol w:w="1067"/>
        <w:gridCol w:w="1067"/>
        <w:gridCol w:w="1160"/>
        <w:gridCol w:w="1067"/>
      </w:tblGrid>
      <w:tr>
        <w:tblPrEx>
          <w:shd w:val="clear" w:color="auto" w:fill="auto"/>
          <w:tblCellMar>
            <w:top w:w="0" w:type="dxa"/>
            <w:left w:w="0" w:type="dxa"/>
            <w:bottom w:w="0" w:type="dxa"/>
            <w:right w:w="0" w:type="dxa"/>
          </w:tblCellMar>
        </w:tblPrEx>
        <w:trPr>
          <w:trHeight w:val="333" w:hRule="atLeast"/>
        </w:trPr>
        <w:tc>
          <w:tcPr>
            <w:tcW w:w="9722"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20"/>
                <w:szCs w:val="20"/>
                <w:u w:val="none"/>
              </w:rPr>
            </w:pPr>
            <w:r>
              <w:rPr>
                <w:rFonts w:hint="eastAsia" w:ascii="楷体_GB2312" w:hAnsi="楷体_GB2312" w:eastAsia="楷体_GB2312" w:cs="楷体_GB2312"/>
                <w:i w:val="0"/>
                <w:color w:val="FF0000"/>
                <w:kern w:val="0"/>
                <w:sz w:val="20"/>
                <w:szCs w:val="20"/>
                <w:u w:val="none"/>
                <w:lang w:val="en-US" w:eastAsia="zh-CN" w:bidi="ar"/>
              </w:rPr>
              <w:t>项目名称：艺术设计学院一楼大厅改造项目</w:t>
            </w:r>
          </w:p>
        </w:tc>
      </w:tr>
      <w:tr>
        <w:tblPrEx>
          <w:shd w:val="clear" w:color="auto" w:fill="auto"/>
          <w:tblCellMar>
            <w:top w:w="0" w:type="dxa"/>
            <w:left w:w="0" w:type="dxa"/>
            <w:bottom w:w="0" w:type="dxa"/>
            <w:right w:w="0" w:type="dxa"/>
          </w:tblCellMar>
        </w:tblPrEx>
        <w:trPr>
          <w:trHeight w:val="270" w:hRule="atLeast"/>
        </w:trPr>
        <w:tc>
          <w:tcPr>
            <w:tcW w:w="1067"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b/>
                <w:i w:val="0"/>
                <w:color w:val="FF0000"/>
                <w:sz w:val="18"/>
                <w:szCs w:val="18"/>
                <w:u w:val="none"/>
              </w:rPr>
            </w:pPr>
            <w:r>
              <w:rPr>
                <w:rFonts w:hint="eastAsia" w:ascii="楷体_GB2312" w:hAnsi="楷体_GB2312" w:eastAsia="楷体_GB2312" w:cs="楷体_GB2312"/>
                <w:b/>
                <w:i w:val="0"/>
                <w:color w:val="FF0000"/>
                <w:kern w:val="0"/>
                <w:sz w:val="18"/>
                <w:szCs w:val="18"/>
                <w:u w:val="none"/>
                <w:lang w:val="en-US" w:eastAsia="zh-CN" w:bidi="ar"/>
              </w:rPr>
              <w:t>序</w:t>
            </w:r>
          </w:p>
        </w:tc>
        <w:tc>
          <w:tcPr>
            <w:tcW w:w="1067"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b/>
                <w:i w:val="0"/>
                <w:color w:val="FF0000"/>
                <w:sz w:val="18"/>
                <w:szCs w:val="18"/>
                <w:u w:val="none"/>
              </w:rPr>
            </w:pPr>
            <w:r>
              <w:rPr>
                <w:rFonts w:hint="eastAsia" w:ascii="楷体_GB2312" w:hAnsi="楷体_GB2312" w:eastAsia="楷体_GB2312" w:cs="楷体_GB2312"/>
                <w:b/>
                <w:i w:val="0"/>
                <w:color w:val="FF0000"/>
                <w:kern w:val="0"/>
                <w:sz w:val="18"/>
                <w:szCs w:val="18"/>
                <w:u w:val="none"/>
                <w:lang w:val="en-US" w:eastAsia="zh-CN" w:bidi="ar"/>
              </w:rPr>
              <w:t>项目名称</w:t>
            </w:r>
          </w:p>
        </w:tc>
        <w:tc>
          <w:tcPr>
            <w:tcW w:w="2160"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b/>
                <w:i w:val="0"/>
                <w:color w:val="FF0000"/>
                <w:sz w:val="18"/>
                <w:szCs w:val="18"/>
                <w:u w:val="none"/>
              </w:rPr>
            </w:pPr>
            <w:r>
              <w:rPr>
                <w:rFonts w:hint="eastAsia" w:ascii="楷体_GB2312" w:hAnsi="楷体_GB2312" w:eastAsia="楷体_GB2312" w:cs="楷体_GB2312"/>
                <w:b/>
                <w:i w:val="0"/>
                <w:color w:val="FF0000"/>
                <w:kern w:val="0"/>
                <w:sz w:val="18"/>
                <w:szCs w:val="18"/>
                <w:u w:val="none"/>
                <w:lang w:val="en-US" w:eastAsia="zh-CN" w:bidi="ar"/>
              </w:rPr>
              <w:t>项目特征描述</w:t>
            </w:r>
          </w:p>
        </w:tc>
        <w:tc>
          <w:tcPr>
            <w:tcW w:w="106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b/>
                <w:i w:val="0"/>
                <w:color w:val="FF0000"/>
                <w:sz w:val="18"/>
                <w:szCs w:val="18"/>
                <w:u w:val="none"/>
              </w:rPr>
            </w:pPr>
            <w:r>
              <w:rPr>
                <w:rFonts w:hint="eastAsia" w:ascii="楷体_GB2312" w:hAnsi="楷体_GB2312" w:eastAsia="楷体_GB2312" w:cs="楷体_GB2312"/>
                <w:b/>
                <w:i w:val="0"/>
                <w:color w:val="FF0000"/>
                <w:kern w:val="0"/>
                <w:sz w:val="18"/>
                <w:szCs w:val="18"/>
                <w:u w:val="none"/>
                <w:lang w:val="en-US" w:eastAsia="zh-CN" w:bidi="ar"/>
              </w:rPr>
              <w:t>计量</w:t>
            </w:r>
          </w:p>
        </w:tc>
        <w:tc>
          <w:tcPr>
            <w:tcW w:w="1067" w:type="dxa"/>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b/>
                <w:i w:val="0"/>
                <w:color w:val="FF0000"/>
                <w:sz w:val="18"/>
                <w:szCs w:val="18"/>
                <w:u w:val="none"/>
              </w:rPr>
            </w:pPr>
            <w:r>
              <w:rPr>
                <w:rFonts w:hint="eastAsia" w:ascii="楷体_GB2312" w:hAnsi="楷体_GB2312" w:eastAsia="楷体_GB2312" w:cs="楷体_GB2312"/>
                <w:b/>
                <w:i w:val="0"/>
                <w:color w:val="FF0000"/>
                <w:kern w:val="0"/>
                <w:sz w:val="18"/>
                <w:szCs w:val="18"/>
                <w:u w:val="none"/>
                <w:lang w:val="en-US" w:eastAsia="zh-CN" w:bidi="ar"/>
              </w:rPr>
              <w:t>工程量</w:t>
            </w:r>
          </w:p>
        </w:tc>
        <w:tc>
          <w:tcPr>
            <w:tcW w:w="2227" w:type="dxa"/>
            <w:gridSpan w:val="2"/>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b/>
                <w:i w:val="0"/>
                <w:color w:val="FF0000"/>
                <w:sz w:val="18"/>
                <w:szCs w:val="18"/>
                <w:u w:val="none"/>
              </w:rPr>
            </w:pPr>
            <w:r>
              <w:rPr>
                <w:rFonts w:hint="eastAsia" w:ascii="楷体_GB2312" w:hAnsi="楷体_GB2312" w:eastAsia="楷体_GB2312" w:cs="楷体_GB2312"/>
                <w:b/>
                <w:i w:val="0"/>
                <w:color w:val="FF0000"/>
                <w:kern w:val="0"/>
                <w:sz w:val="18"/>
                <w:szCs w:val="18"/>
                <w:u w:val="none"/>
                <w:lang w:val="en-US" w:eastAsia="zh-CN" w:bidi="ar"/>
              </w:rPr>
              <w:t>金 额(元)</w:t>
            </w:r>
          </w:p>
        </w:tc>
        <w:tc>
          <w:tcPr>
            <w:tcW w:w="1067" w:type="dxa"/>
            <w:vMerge w:val="restar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b/>
                <w:i w:val="0"/>
                <w:color w:val="FF0000"/>
                <w:sz w:val="18"/>
                <w:szCs w:val="18"/>
                <w:u w:val="none"/>
              </w:rPr>
            </w:pPr>
            <w:r>
              <w:rPr>
                <w:rFonts w:hint="eastAsia" w:ascii="楷体_GB2312" w:hAnsi="楷体_GB2312" w:eastAsia="楷体_GB2312" w:cs="楷体_GB2312"/>
                <w:b/>
                <w:i w:val="0"/>
                <w:color w:val="FF0000"/>
                <w:kern w:val="0"/>
                <w:sz w:val="18"/>
                <w:szCs w:val="18"/>
                <w:u w:val="none"/>
                <w:lang w:val="en-US" w:eastAsia="zh-CN" w:bidi="ar"/>
              </w:rPr>
              <w:t>备注</w:t>
            </w:r>
          </w:p>
        </w:tc>
      </w:tr>
      <w:tr>
        <w:tblPrEx>
          <w:shd w:val="clear" w:color="auto" w:fill="auto"/>
          <w:tblCellMar>
            <w:top w:w="0" w:type="dxa"/>
            <w:left w:w="0" w:type="dxa"/>
            <w:bottom w:w="0" w:type="dxa"/>
            <w:right w:w="0" w:type="dxa"/>
          </w:tblCellMar>
        </w:tblPrEx>
        <w:trPr>
          <w:trHeight w:val="477" w:hRule="atLeast"/>
        </w:trPr>
        <w:tc>
          <w:tcPr>
            <w:tcW w:w="106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b/>
                <w:i w:val="0"/>
                <w:color w:val="FF0000"/>
                <w:sz w:val="18"/>
                <w:szCs w:val="18"/>
                <w:u w:val="none"/>
              </w:rPr>
            </w:pPr>
            <w:r>
              <w:rPr>
                <w:rFonts w:hint="eastAsia" w:ascii="楷体_GB2312" w:hAnsi="楷体_GB2312" w:eastAsia="楷体_GB2312" w:cs="楷体_GB2312"/>
                <w:b/>
                <w:i w:val="0"/>
                <w:color w:val="FF0000"/>
                <w:kern w:val="0"/>
                <w:sz w:val="18"/>
                <w:szCs w:val="18"/>
                <w:u w:val="none"/>
                <w:lang w:val="en-US" w:eastAsia="zh-CN" w:bidi="ar"/>
              </w:rPr>
              <w:t>号</w:t>
            </w:r>
          </w:p>
        </w:tc>
        <w:tc>
          <w:tcPr>
            <w:tcW w:w="1067"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b/>
                <w:i w:val="0"/>
                <w:color w:val="FF0000"/>
                <w:sz w:val="18"/>
                <w:szCs w:val="18"/>
                <w:u w:val="none"/>
              </w:rPr>
            </w:pPr>
          </w:p>
        </w:tc>
        <w:tc>
          <w:tcPr>
            <w:tcW w:w="2160"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b/>
                <w:i w:val="0"/>
                <w:color w:val="FF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b/>
                <w:i w:val="0"/>
                <w:color w:val="FF0000"/>
                <w:sz w:val="18"/>
                <w:szCs w:val="18"/>
                <w:u w:val="none"/>
              </w:rPr>
            </w:pPr>
            <w:r>
              <w:rPr>
                <w:rFonts w:hint="eastAsia" w:ascii="楷体_GB2312" w:hAnsi="楷体_GB2312" w:eastAsia="楷体_GB2312" w:cs="楷体_GB2312"/>
                <w:b/>
                <w:i w:val="0"/>
                <w:color w:val="FF0000"/>
                <w:kern w:val="0"/>
                <w:sz w:val="18"/>
                <w:szCs w:val="18"/>
                <w:u w:val="none"/>
                <w:lang w:val="en-US" w:eastAsia="zh-CN" w:bidi="ar"/>
              </w:rPr>
              <w:t>单位</w:t>
            </w:r>
          </w:p>
        </w:tc>
        <w:tc>
          <w:tcPr>
            <w:tcW w:w="1067" w:type="dxa"/>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b/>
                <w:i w:val="0"/>
                <w:color w:val="FF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b/>
                <w:i w:val="0"/>
                <w:color w:val="FF0000"/>
                <w:sz w:val="18"/>
                <w:szCs w:val="18"/>
                <w:u w:val="none"/>
              </w:rPr>
            </w:pPr>
            <w:r>
              <w:rPr>
                <w:rFonts w:hint="eastAsia" w:ascii="楷体_GB2312" w:hAnsi="楷体_GB2312" w:eastAsia="楷体_GB2312" w:cs="楷体_GB2312"/>
                <w:b/>
                <w:i w:val="0"/>
                <w:color w:val="FF0000"/>
                <w:kern w:val="0"/>
                <w:sz w:val="18"/>
                <w:szCs w:val="18"/>
                <w:u w:val="none"/>
                <w:lang w:val="en-US" w:eastAsia="zh-CN" w:bidi="ar"/>
              </w:rPr>
              <w:t>全费用综合单价</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b/>
                <w:i w:val="0"/>
                <w:color w:val="FF0000"/>
                <w:sz w:val="18"/>
                <w:szCs w:val="18"/>
                <w:u w:val="none"/>
              </w:rPr>
            </w:pPr>
            <w:r>
              <w:rPr>
                <w:rFonts w:hint="eastAsia" w:ascii="楷体_GB2312" w:hAnsi="楷体_GB2312" w:eastAsia="楷体_GB2312" w:cs="楷体_GB2312"/>
                <w:b/>
                <w:i w:val="0"/>
                <w:color w:val="FF0000"/>
                <w:kern w:val="0"/>
                <w:sz w:val="18"/>
                <w:szCs w:val="18"/>
                <w:u w:val="none"/>
                <w:lang w:val="en-US" w:eastAsia="zh-CN" w:bidi="ar"/>
              </w:rPr>
              <w:t>合价</w:t>
            </w:r>
          </w:p>
        </w:tc>
        <w:tc>
          <w:tcPr>
            <w:tcW w:w="1067" w:type="dxa"/>
            <w:vMerge w:val="continue"/>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b/>
                <w:i w:val="0"/>
                <w:color w:val="FF0000"/>
                <w:sz w:val="18"/>
                <w:szCs w:val="18"/>
                <w:u w:val="none"/>
              </w:rPr>
            </w:pPr>
          </w:p>
        </w:tc>
      </w:tr>
      <w:tr>
        <w:tblPrEx>
          <w:shd w:val="clear" w:color="auto" w:fill="auto"/>
          <w:tblCellMar>
            <w:top w:w="0" w:type="dxa"/>
            <w:left w:w="0" w:type="dxa"/>
            <w:bottom w:w="0" w:type="dxa"/>
            <w:right w:w="0" w:type="dxa"/>
          </w:tblCellMar>
        </w:tblPrEx>
        <w:trPr>
          <w:trHeight w:val="333" w:hRule="atLeast"/>
        </w:trPr>
        <w:tc>
          <w:tcPr>
            <w:tcW w:w="8655" w:type="dxa"/>
            <w:gridSpan w:val="7"/>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b/>
                <w:i w:val="0"/>
                <w:color w:val="FF0000"/>
                <w:sz w:val="18"/>
                <w:szCs w:val="18"/>
                <w:u w:val="none"/>
              </w:rPr>
            </w:pPr>
            <w:r>
              <w:rPr>
                <w:rFonts w:hint="eastAsia" w:ascii="楷体_GB2312" w:hAnsi="楷体_GB2312" w:eastAsia="楷体_GB2312" w:cs="楷体_GB2312"/>
                <w:b/>
                <w:i w:val="0"/>
                <w:color w:val="FF0000"/>
                <w:kern w:val="0"/>
                <w:sz w:val="18"/>
                <w:szCs w:val="18"/>
                <w:u w:val="none"/>
                <w:lang w:val="en-US" w:eastAsia="zh-CN" w:bidi="ar"/>
              </w:rPr>
              <w:t>一、建筑、装饰部分</w:t>
            </w:r>
          </w:p>
        </w:tc>
        <w:tc>
          <w:tcPr>
            <w:tcW w:w="106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b/>
                <w:i w:val="0"/>
                <w:color w:val="FF0000"/>
                <w:sz w:val="18"/>
                <w:szCs w:val="18"/>
                <w:u w:val="none"/>
              </w:rPr>
            </w:pPr>
          </w:p>
        </w:tc>
      </w:tr>
      <w:tr>
        <w:tblPrEx>
          <w:shd w:val="clear" w:color="auto" w:fill="auto"/>
          <w:tblCellMar>
            <w:top w:w="0" w:type="dxa"/>
            <w:left w:w="0" w:type="dxa"/>
            <w:bottom w:w="0" w:type="dxa"/>
            <w:right w:w="0" w:type="dxa"/>
          </w:tblCellMar>
        </w:tblPrEx>
        <w:trPr>
          <w:trHeight w:val="270" w:hRule="atLeast"/>
        </w:trPr>
        <w:tc>
          <w:tcPr>
            <w:tcW w:w="8655" w:type="dxa"/>
            <w:gridSpan w:val="7"/>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b/>
                <w:i w:val="0"/>
                <w:color w:val="FF0000"/>
                <w:sz w:val="18"/>
                <w:szCs w:val="18"/>
                <w:u w:val="none"/>
              </w:rPr>
            </w:pPr>
            <w:r>
              <w:rPr>
                <w:rFonts w:hint="eastAsia" w:ascii="楷体_GB2312" w:hAnsi="楷体_GB2312" w:eastAsia="楷体_GB2312" w:cs="楷体_GB2312"/>
                <w:b/>
                <w:i w:val="0"/>
                <w:color w:val="FF0000"/>
                <w:kern w:val="0"/>
                <w:sz w:val="18"/>
                <w:szCs w:val="18"/>
                <w:u w:val="none"/>
                <w:lang w:val="en-US" w:eastAsia="zh-CN" w:bidi="ar"/>
              </w:rPr>
              <w:t xml:space="preserve"> A 门头</w:t>
            </w:r>
          </w:p>
        </w:tc>
        <w:tc>
          <w:tcPr>
            <w:tcW w:w="106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b/>
                <w:i w:val="0"/>
                <w:color w:val="FF0000"/>
                <w:sz w:val="18"/>
                <w:szCs w:val="18"/>
                <w:u w:val="none"/>
              </w:rPr>
            </w:pPr>
          </w:p>
        </w:tc>
      </w:tr>
      <w:tr>
        <w:tblPrEx>
          <w:shd w:val="clear" w:color="auto" w:fill="auto"/>
          <w:tblCellMar>
            <w:top w:w="0" w:type="dxa"/>
            <w:left w:w="0" w:type="dxa"/>
            <w:bottom w:w="0" w:type="dxa"/>
            <w:right w:w="0" w:type="dxa"/>
          </w:tblCellMar>
        </w:tblPrEx>
        <w:trPr>
          <w:trHeight w:val="630" w:hRule="atLeast"/>
        </w:trPr>
        <w:tc>
          <w:tcPr>
            <w:tcW w:w="106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本色不锈钢饰面</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7"/>
                <w:szCs w:val="17"/>
                <w:u w:val="none"/>
              </w:rPr>
            </w:pPr>
            <w:r>
              <w:rPr>
                <w:rFonts w:hint="eastAsia" w:ascii="楷体_GB2312" w:hAnsi="楷体_GB2312" w:eastAsia="楷体_GB2312" w:cs="楷体_GB2312"/>
                <w:i w:val="0"/>
                <w:color w:val="FF0000"/>
                <w:kern w:val="0"/>
                <w:sz w:val="17"/>
                <w:szCs w:val="17"/>
                <w:u w:val="none"/>
                <w:lang w:val="en-US" w:eastAsia="zh-CN" w:bidi="ar"/>
              </w:rPr>
              <w:t>1.2mm304本色不锈钢饰面，50*50*3mm钢架基层，不锈钢板交界处打胶收口</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m2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72.2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楷体_GB2312" w:hAnsi="楷体_GB2312" w:eastAsia="楷体_GB2312" w:cs="楷体_GB2312"/>
                <w:i w:val="0"/>
                <w:color w:val="FF0000"/>
                <w:sz w:val="18"/>
                <w:szCs w:val="18"/>
                <w:u w:val="none"/>
              </w:rPr>
            </w:pPr>
          </w:p>
        </w:tc>
      </w:tr>
      <w:tr>
        <w:tblPrEx>
          <w:shd w:val="clear" w:color="auto" w:fill="auto"/>
          <w:tblCellMar>
            <w:top w:w="0" w:type="dxa"/>
            <w:left w:w="0" w:type="dxa"/>
            <w:bottom w:w="0" w:type="dxa"/>
            <w:right w:w="0" w:type="dxa"/>
          </w:tblCellMar>
        </w:tblPrEx>
        <w:trPr>
          <w:trHeight w:val="1180" w:hRule="atLeast"/>
        </w:trPr>
        <w:tc>
          <w:tcPr>
            <w:tcW w:w="106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Log发光字</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7"/>
                <w:szCs w:val="17"/>
                <w:u w:val="none"/>
              </w:rPr>
            </w:pPr>
            <w:r>
              <w:rPr>
                <w:rFonts w:hint="eastAsia" w:ascii="楷体_GB2312" w:hAnsi="楷体_GB2312" w:eastAsia="楷体_GB2312" w:cs="楷体_GB2312"/>
                <w:i w:val="0"/>
                <w:color w:val="FF0000"/>
                <w:kern w:val="0"/>
                <w:sz w:val="17"/>
                <w:szCs w:val="17"/>
                <w:u w:val="none"/>
                <w:lang w:val="en-US" w:eastAsia="zh-CN" w:bidi="ar"/>
              </w:rPr>
              <w:t>不锈钢底，亚克力饰面发光字（艺术设计学院）H:300mm;(</w:t>
            </w:r>
            <w:r>
              <w:rPr>
                <w:rFonts w:hint="eastAsia" w:ascii="楷体_GB2312" w:hAnsi="楷体_GB2312" w:eastAsia="楷体_GB2312" w:cs="楷体_GB2312"/>
                <w:i w:val="0"/>
                <w:color w:val="FF0000"/>
                <w:kern w:val="0"/>
                <w:sz w:val="18"/>
                <w:szCs w:val="18"/>
                <w:u w:val="none"/>
                <w:lang w:val="en-US" w:eastAsia="zh-CN" w:bidi="ar"/>
              </w:rPr>
              <w:t>College of art layout）</w:t>
            </w:r>
            <w:r>
              <w:rPr>
                <w:rFonts w:hint="eastAsia" w:ascii="楷体_GB2312" w:hAnsi="楷体_GB2312" w:eastAsia="楷体_GB2312" w:cs="楷体_GB2312"/>
                <w:i w:val="0"/>
                <w:color w:val="FF0000"/>
                <w:kern w:val="0"/>
                <w:sz w:val="16"/>
                <w:szCs w:val="16"/>
                <w:u w:val="none"/>
                <w:lang w:val="en-US" w:eastAsia="zh-CN" w:bidi="ar"/>
              </w:rPr>
              <w:t>H：100mm</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项</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楷体_GB2312" w:hAnsi="楷体_GB2312" w:eastAsia="楷体_GB2312" w:cs="楷体_GB2312"/>
                <w:i w:val="0"/>
                <w:color w:val="FF0000"/>
                <w:sz w:val="18"/>
                <w:szCs w:val="18"/>
                <w:u w:val="none"/>
              </w:rPr>
            </w:pPr>
          </w:p>
        </w:tc>
      </w:tr>
      <w:tr>
        <w:tblPrEx>
          <w:shd w:val="clear" w:color="auto" w:fill="auto"/>
          <w:tblCellMar>
            <w:top w:w="0" w:type="dxa"/>
            <w:left w:w="0" w:type="dxa"/>
            <w:bottom w:w="0" w:type="dxa"/>
            <w:right w:w="0" w:type="dxa"/>
          </w:tblCellMar>
        </w:tblPrEx>
        <w:trPr>
          <w:trHeight w:val="820" w:hRule="atLeast"/>
        </w:trPr>
        <w:tc>
          <w:tcPr>
            <w:tcW w:w="106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电动玻璃门</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7"/>
                <w:szCs w:val="17"/>
                <w:u w:val="none"/>
              </w:rPr>
            </w:pPr>
            <w:r>
              <w:rPr>
                <w:rFonts w:hint="eastAsia" w:ascii="楷体_GB2312" w:hAnsi="楷体_GB2312" w:eastAsia="楷体_GB2312" w:cs="楷体_GB2312"/>
                <w:i w:val="0"/>
                <w:color w:val="FF0000"/>
                <w:kern w:val="0"/>
                <w:sz w:val="17"/>
                <w:szCs w:val="17"/>
                <w:u w:val="none"/>
                <w:lang w:val="en-US" w:eastAsia="zh-CN" w:bidi="ar"/>
              </w:rPr>
              <w:t>3.6*2.7m电动玻璃门，12mm钢化玻璃，含电机，五金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樘</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21"/>
                <w:szCs w:val="21"/>
                <w:u w:val="none"/>
              </w:rPr>
            </w:pPr>
            <w:r>
              <w:rPr>
                <w:rFonts w:hint="eastAsia" w:ascii="楷体_GB2312" w:hAnsi="楷体_GB2312" w:eastAsia="楷体_GB2312" w:cs="楷体_GB2312"/>
                <w:i w:val="0"/>
                <w:color w:val="FF0000"/>
                <w:kern w:val="0"/>
                <w:sz w:val="21"/>
                <w:szCs w:val="21"/>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kern w:val="2"/>
                <w:sz w:val="18"/>
                <w:szCs w:val="18"/>
                <w:u w:val="none"/>
                <w:lang w:val="en-US" w:eastAsia="zh-CN" w:bidi="ar-SA"/>
              </w:rPr>
            </w:pPr>
            <w:r>
              <w:rPr>
                <w:rFonts w:hint="eastAsia" w:ascii="楷体_GB2312" w:hAnsi="楷体_GB2312" w:eastAsia="楷体_GB2312" w:cs="楷体_GB2312"/>
                <w:i w:val="0"/>
                <w:color w:val="FF0000"/>
                <w:kern w:val="0"/>
                <w:sz w:val="18"/>
                <w:szCs w:val="18"/>
                <w:u w:val="none"/>
                <w:lang w:val="en-US" w:eastAsia="zh-CN" w:bidi="ar"/>
              </w:rPr>
              <w:t>电机品牌松下、GMT、多玛</w:t>
            </w:r>
          </w:p>
        </w:tc>
      </w:tr>
      <w:tr>
        <w:tblPrEx>
          <w:tblCellMar>
            <w:top w:w="0" w:type="dxa"/>
            <w:left w:w="0" w:type="dxa"/>
            <w:bottom w:w="0" w:type="dxa"/>
            <w:right w:w="0" w:type="dxa"/>
          </w:tblCellMar>
        </w:tblPrEx>
        <w:trPr>
          <w:trHeight w:val="1160" w:hRule="atLeast"/>
        </w:trPr>
        <w:tc>
          <w:tcPr>
            <w:tcW w:w="106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门槛石材铺贴</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7"/>
                <w:szCs w:val="17"/>
                <w:u w:val="none"/>
              </w:rPr>
            </w:pPr>
            <w:r>
              <w:rPr>
                <w:rFonts w:hint="eastAsia" w:ascii="楷体_GB2312" w:hAnsi="楷体_GB2312" w:eastAsia="楷体_GB2312" w:cs="楷体_GB2312"/>
                <w:i w:val="0"/>
                <w:color w:val="FF0000"/>
                <w:kern w:val="0"/>
                <w:sz w:val="17"/>
                <w:szCs w:val="17"/>
                <w:u w:val="none"/>
                <w:lang w:val="en-US" w:eastAsia="zh-CN" w:bidi="ar"/>
              </w:rPr>
              <w:t>1.8cm黑金砂石材门槛石铺贴，30mm干硬砂浆结合层，10mm素水泥砂浆粘结层</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m2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21"/>
                <w:szCs w:val="21"/>
                <w:u w:val="none"/>
              </w:rPr>
            </w:pPr>
            <w:r>
              <w:rPr>
                <w:rFonts w:hint="eastAsia" w:ascii="楷体_GB2312" w:hAnsi="楷体_GB2312" w:eastAsia="楷体_GB2312" w:cs="楷体_GB2312"/>
                <w:i w:val="0"/>
                <w:color w:val="FF0000"/>
                <w:kern w:val="0"/>
                <w:sz w:val="21"/>
                <w:szCs w:val="21"/>
                <w:u w:val="none"/>
                <w:lang w:val="en-US" w:eastAsia="zh-CN" w:bidi="ar"/>
              </w:rPr>
              <w:t>27</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楷体_GB2312" w:hAnsi="楷体_GB2312" w:eastAsia="楷体_GB2312" w:cs="楷体_GB2312"/>
                <w:i w:val="0"/>
                <w:color w:val="FF0000"/>
                <w:sz w:val="18"/>
                <w:szCs w:val="18"/>
                <w:u w:val="none"/>
              </w:rPr>
            </w:pPr>
          </w:p>
        </w:tc>
      </w:tr>
      <w:tr>
        <w:tblPrEx>
          <w:tblCellMar>
            <w:top w:w="0" w:type="dxa"/>
            <w:left w:w="0" w:type="dxa"/>
            <w:bottom w:w="0" w:type="dxa"/>
            <w:right w:w="0" w:type="dxa"/>
          </w:tblCellMar>
        </w:tblPrEx>
        <w:trPr>
          <w:trHeight w:val="453" w:hRule="atLeast"/>
        </w:trPr>
        <w:tc>
          <w:tcPr>
            <w:tcW w:w="106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拆除</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7"/>
                <w:szCs w:val="17"/>
                <w:u w:val="none"/>
              </w:rPr>
            </w:pPr>
            <w:r>
              <w:rPr>
                <w:rFonts w:hint="eastAsia" w:ascii="楷体_GB2312" w:hAnsi="楷体_GB2312" w:eastAsia="楷体_GB2312" w:cs="楷体_GB2312"/>
                <w:i w:val="0"/>
                <w:color w:val="FF0000"/>
                <w:kern w:val="0"/>
                <w:sz w:val="17"/>
                <w:szCs w:val="17"/>
                <w:u w:val="none"/>
                <w:lang w:val="en-US" w:eastAsia="zh-CN" w:bidi="ar"/>
              </w:rPr>
              <w:t>原门及屋檐拆除、清运</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项</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楷体_GB2312" w:hAnsi="楷体_GB2312" w:eastAsia="楷体_GB2312" w:cs="楷体_GB2312"/>
                <w:i w:val="0"/>
                <w:color w:val="FF0000"/>
                <w:sz w:val="18"/>
                <w:szCs w:val="18"/>
                <w:u w:val="none"/>
              </w:rPr>
            </w:pPr>
          </w:p>
        </w:tc>
      </w:tr>
      <w:tr>
        <w:tblPrEx>
          <w:tblCellMar>
            <w:top w:w="0" w:type="dxa"/>
            <w:left w:w="0" w:type="dxa"/>
            <w:bottom w:w="0" w:type="dxa"/>
            <w:right w:w="0" w:type="dxa"/>
          </w:tblCellMar>
        </w:tblPrEx>
        <w:trPr>
          <w:trHeight w:val="270" w:hRule="atLeast"/>
        </w:trPr>
        <w:tc>
          <w:tcPr>
            <w:tcW w:w="8655" w:type="dxa"/>
            <w:gridSpan w:val="7"/>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楷体_GB2312" w:hAnsi="楷体_GB2312" w:eastAsia="楷体_GB2312" w:cs="楷体_GB2312"/>
                <w:b/>
                <w:i w:val="0"/>
                <w:color w:val="FF0000"/>
                <w:sz w:val="18"/>
                <w:szCs w:val="18"/>
                <w:u w:val="none"/>
              </w:rPr>
            </w:pPr>
            <w:r>
              <w:rPr>
                <w:rFonts w:hint="eastAsia" w:ascii="楷体_GB2312" w:hAnsi="楷体_GB2312" w:eastAsia="楷体_GB2312" w:cs="楷体_GB2312"/>
                <w:b/>
                <w:i w:val="0"/>
                <w:color w:val="FF0000"/>
                <w:kern w:val="0"/>
                <w:sz w:val="18"/>
                <w:szCs w:val="18"/>
                <w:u w:val="none"/>
                <w:lang w:val="en-US" w:eastAsia="zh-CN" w:bidi="ar"/>
              </w:rPr>
              <w:t>B 服装表演厅</w:t>
            </w:r>
          </w:p>
        </w:tc>
        <w:tc>
          <w:tcPr>
            <w:tcW w:w="106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b/>
                <w:i w:val="0"/>
                <w:color w:val="FF0000"/>
                <w:sz w:val="18"/>
                <w:szCs w:val="18"/>
                <w:u w:val="none"/>
              </w:rPr>
            </w:pPr>
          </w:p>
        </w:tc>
      </w:tr>
      <w:tr>
        <w:tblPrEx>
          <w:tblCellMar>
            <w:top w:w="0" w:type="dxa"/>
            <w:left w:w="0" w:type="dxa"/>
            <w:bottom w:w="0" w:type="dxa"/>
            <w:right w:w="0" w:type="dxa"/>
          </w:tblCellMar>
        </w:tblPrEx>
        <w:trPr>
          <w:trHeight w:val="900" w:hRule="atLeast"/>
        </w:trPr>
        <w:tc>
          <w:tcPr>
            <w:tcW w:w="106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不锈钢玻璃门</w:t>
            </w:r>
            <w:r>
              <w:rPr>
                <w:rFonts w:hint="eastAsia" w:ascii="楷体_GB2312" w:hAnsi="楷体_GB2312" w:eastAsia="楷体_GB2312" w:cs="楷体_GB2312"/>
                <w:i w:val="0"/>
                <w:color w:val="FF0000"/>
                <w:kern w:val="0"/>
                <w:sz w:val="17"/>
                <w:szCs w:val="17"/>
                <w:u w:val="none"/>
                <w:lang w:val="en-US" w:eastAsia="zh-CN" w:bidi="ar"/>
              </w:rPr>
              <w:t>2500*1500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7"/>
                <w:szCs w:val="17"/>
                <w:u w:val="none"/>
              </w:rPr>
            </w:pPr>
            <w:r>
              <w:rPr>
                <w:rFonts w:hint="eastAsia" w:ascii="楷体_GB2312" w:hAnsi="楷体_GB2312" w:eastAsia="楷体_GB2312" w:cs="楷体_GB2312"/>
                <w:i w:val="0"/>
                <w:color w:val="FF0000"/>
                <w:kern w:val="0"/>
                <w:sz w:val="17"/>
                <w:szCs w:val="17"/>
                <w:u w:val="none"/>
                <w:lang w:val="en-US" w:eastAsia="zh-CN" w:bidi="ar"/>
              </w:rPr>
              <w:t>12mm玻璃门，10cm不锈钢包边，含地弹簧及配套五金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樘</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地弹簧品牌：多玛、海福乐、皇冠</w:t>
            </w:r>
          </w:p>
        </w:tc>
      </w:tr>
      <w:tr>
        <w:tblPrEx>
          <w:tblCellMar>
            <w:top w:w="0" w:type="dxa"/>
            <w:left w:w="0" w:type="dxa"/>
            <w:bottom w:w="0" w:type="dxa"/>
            <w:right w:w="0" w:type="dxa"/>
          </w:tblCellMar>
        </w:tblPrEx>
        <w:trPr>
          <w:trHeight w:val="630" w:hRule="atLeast"/>
        </w:trPr>
        <w:tc>
          <w:tcPr>
            <w:tcW w:w="106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不锈钢玻璃门</w:t>
            </w:r>
            <w:r>
              <w:rPr>
                <w:rFonts w:hint="eastAsia" w:ascii="楷体_GB2312" w:hAnsi="楷体_GB2312" w:eastAsia="楷体_GB2312" w:cs="楷体_GB2312"/>
                <w:i w:val="0"/>
                <w:color w:val="FF0000"/>
                <w:kern w:val="0"/>
                <w:sz w:val="17"/>
                <w:szCs w:val="17"/>
                <w:u w:val="none"/>
                <w:lang w:val="en-US" w:eastAsia="zh-CN" w:bidi="ar"/>
              </w:rPr>
              <w:t>2200*1500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7"/>
                <w:szCs w:val="17"/>
                <w:u w:val="none"/>
              </w:rPr>
            </w:pPr>
            <w:r>
              <w:rPr>
                <w:rFonts w:hint="eastAsia" w:ascii="楷体_GB2312" w:hAnsi="楷体_GB2312" w:eastAsia="楷体_GB2312" w:cs="楷体_GB2312"/>
                <w:i w:val="0"/>
                <w:color w:val="FF0000"/>
                <w:kern w:val="0"/>
                <w:sz w:val="17"/>
                <w:szCs w:val="17"/>
                <w:u w:val="none"/>
                <w:lang w:val="en-US" w:eastAsia="zh-CN" w:bidi="ar"/>
              </w:rPr>
              <w:t>12mm玻璃门，10cm不锈钢包边，含地弹簧及配套五金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樘</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楷体_GB2312" w:hAnsi="楷体_GB2312" w:eastAsia="楷体_GB2312" w:cs="楷体_GB2312"/>
                <w:i w:val="0"/>
                <w:color w:val="FF0000"/>
                <w:sz w:val="18"/>
                <w:szCs w:val="18"/>
                <w:u w:val="none"/>
              </w:rPr>
            </w:pPr>
          </w:p>
        </w:tc>
      </w:tr>
      <w:tr>
        <w:tblPrEx>
          <w:shd w:val="clear" w:color="auto" w:fill="auto"/>
          <w:tblCellMar>
            <w:top w:w="0" w:type="dxa"/>
            <w:left w:w="0" w:type="dxa"/>
            <w:bottom w:w="0" w:type="dxa"/>
            <w:right w:w="0" w:type="dxa"/>
          </w:tblCellMar>
        </w:tblPrEx>
        <w:trPr>
          <w:trHeight w:val="861" w:hRule="atLeast"/>
        </w:trPr>
        <w:tc>
          <w:tcPr>
            <w:tcW w:w="106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不锈钢玻璃门</w:t>
            </w:r>
            <w:r>
              <w:rPr>
                <w:rFonts w:hint="eastAsia" w:ascii="楷体_GB2312" w:hAnsi="楷体_GB2312" w:eastAsia="楷体_GB2312" w:cs="楷体_GB2312"/>
                <w:i w:val="0"/>
                <w:color w:val="FF0000"/>
                <w:kern w:val="0"/>
                <w:sz w:val="17"/>
                <w:szCs w:val="17"/>
                <w:u w:val="none"/>
                <w:lang w:val="en-US" w:eastAsia="zh-CN" w:bidi="ar"/>
              </w:rPr>
              <w:t>2500*1000</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7"/>
                <w:szCs w:val="17"/>
                <w:u w:val="none"/>
              </w:rPr>
            </w:pPr>
            <w:r>
              <w:rPr>
                <w:rFonts w:hint="eastAsia" w:ascii="楷体_GB2312" w:hAnsi="楷体_GB2312" w:eastAsia="楷体_GB2312" w:cs="楷体_GB2312"/>
                <w:i w:val="0"/>
                <w:color w:val="FF0000"/>
                <w:kern w:val="0"/>
                <w:sz w:val="17"/>
                <w:szCs w:val="17"/>
                <w:u w:val="none"/>
                <w:lang w:val="en-US" w:eastAsia="zh-CN" w:bidi="ar"/>
              </w:rPr>
              <w:t>12mm玻璃门，10cm不锈钢包边，含配套五金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樘</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楷体_GB2312" w:hAnsi="楷体_GB2312" w:eastAsia="楷体_GB2312" w:cs="楷体_GB2312"/>
                <w:i w:val="0"/>
                <w:color w:val="FF0000"/>
                <w:sz w:val="18"/>
                <w:szCs w:val="18"/>
                <w:u w:val="none"/>
              </w:rPr>
            </w:pPr>
          </w:p>
        </w:tc>
      </w:tr>
      <w:tr>
        <w:tblPrEx>
          <w:shd w:val="clear" w:color="auto" w:fill="auto"/>
          <w:tblCellMar>
            <w:top w:w="0" w:type="dxa"/>
            <w:left w:w="0" w:type="dxa"/>
            <w:bottom w:w="0" w:type="dxa"/>
            <w:right w:w="0" w:type="dxa"/>
          </w:tblCellMar>
        </w:tblPrEx>
        <w:trPr>
          <w:trHeight w:val="270" w:hRule="atLeast"/>
        </w:trPr>
        <w:tc>
          <w:tcPr>
            <w:tcW w:w="8655" w:type="dxa"/>
            <w:gridSpan w:val="7"/>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楷体_GB2312" w:hAnsi="楷体_GB2312" w:eastAsia="楷体_GB2312" w:cs="楷体_GB2312"/>
                <w:b/>
                <w:i w:val="0"/>
                <w:color w:val="FF0000"/>
                <w:sz w:val="18"/>
                <w:szCs w:val="18"/>
                <w:u w:val="none"/>
              </w:rPr>
            </w:pPr>
            <w:r>
              <w:rPr>
                <w:rFonts w:hint="eastAsia" w:ascii="楷体_GB2312" w:hAnsi="楷体_GB2312" w:eastAsia="楷体_GB2312" w:cs="楷体_GB2312"/>
                <w:b/>
                <w:i w:val="0"/>
                <w:color w:val="FF0000"/>
                <w:kern w:val="0"/>
                <w:sz w:val="18"/>
                <w:szCs w:val="18"/>
                <w:u w:val="none"/>
                <w:lang w:val="en-US" w:eastAsia="zh-CN" w:bidi="ar"/>
              </w:rPr>
              <w:t>C 一楼过道</w:t>
            </w:r>
          </w:p>
        </w:tc>
        <w:tc>
          <w:tcPr>
            <w:tcW w:w="106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b/>
                <w:i w:val="0"/>
                <w:color w:val="FF0000"/>
                <w:sz w:val="18"/>
                <w:szCs w:val="18"/>
                <w:u w:val="none"/>
              </w:rPr>
            </w:pPr>
          </w:p>
        </w:tc>
      </w:tr>
      <w:tr>
        <w:tblPrEx>
          <w:tblCellMar>
            <w:top w:w="0" w:type="dxa"/>
            <w:left w:w="0" w:type="dxa"/>
            <w:bottom w:w="0" w:type="dxa"/>
            <w:right w:w="0" w:type="dxa"/>
          </w:tblCellMar>
        </w:tblPrEx>
        <w:trPr>
          <w:trHeight w:val="1400" w:hRule="atLeast"/>
        </w:trPr>
        <w:tc>
          <w:tcPr>
            <w:tcW w:w="106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吊顶（复杂）</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7"/>
                <w:szCs w:val="17"/>
                <w:u w:val="none"/>
              </w:rPr>
            </w:pPr>
            <w:r>
              <w:rPr>
                <w:rFonts w:hint="eastAsia" w:ascii="楷体_GB2312" w:hAnsi="楷体_GB2312" w:eastAsia="楷体_GB2312" w:cs="楷体_GB2312"/>
                <w:i w:val="0"/>
                <w:color w:val="FF0000"/>
                <w:kern w:val="0"/>
                <w:sz w:val="17"/>
                <w:szCs w:val="17"/>
                <w:u w:val="none"/>
                <w:lang w:val="en-US" w:eastAsia="zh-CN" w:bidi="ar"/>
              </w:rPr>
              <w:t>8mm全丝吊杆，50系轻钢主辅龙骨，9.5mm石膏板走边，0.8mm中空黑色铝方通格栅，石膏板白色乳胶漆饰面</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m2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150</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黑色铝方通90㎡</w:t>
            </w:r>
          </w:p>
        </w:tc>
      </w:tr>
      <w:tr>
        <w:tblPrEx>
          <w:shd w:val="clear" w:color="auto" w:fill="auto"/>
          <w:tblCellMar>
            <w:top w:w="0" w:type="dxa"/>
            <w:left w:w="0" w:type="dxa"/>
            <w:bottom w:w="0" w:type="dxa"/>
            <w:right w:w="0" w:type="dxa"/>
          </w:tblCellMar>
        </w:tblPrEx>
        <w:trPr>
          <w:trHeight w:val="270" w:hRule="atLeast"/>
        </w:trPr>
        <w:tc>
          <w:tcPr>
            <w:tcW w:w="106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顶面乳胶漆</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7"/>
                <w:szCs w:val="17"/>
                <w:u w:val="none"/>
              </w:rPr>
            </w:pPr>
            <w:r>
              <w:rPr>
                <w:rFonts w:hint="eastAsia" w:ascii="楷体_GB2312" w:hAnsi="楷体_GB2312" w:eastAsia="楷体_GB2312" w:cs="楷体_GB2312"/>
                <w:i w:val="0"/>
                <w:color w:val="FF0000"/>
                <w:kern w:val="0"/>
                <w:sz w:val="17"/>
                <w:szCs w:val="17"/>
                <w:u w:val="none"/>
                <w:lang w:val="en-US" w:eastAsia="zh-CN" w:bidi="ar"/>
              </w:rPr>
              <w:t>白色乳胶漆两遍</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m2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61.5</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FF0000"/>
                <w:sz w:val="18"/>
                <w:szCs w:val="18"/>
                <w:u w:val="none"/>
              </w:rPr>
            </w:pPr>
          </w:p>
        </w:tc>
      </w:tr>
      <w:tr>
        <w:tblPrEx>
          <w:shd w:val="clear" w:color="auto" w:fill="auto"/>
          <w:tblCellMar>
            <w:top w:w="0" w:type="dxa"/>
            <w:left w:w="0" w:type="dxa"/>
            <w:bottom w:w="0" w:type="dxa"/>
            <w:right w:w="0" w:type="dxa"/>
          </w:tblCellMar>
        </w:tblPrEx>
        <w:trPr>
          <w:trHeight w:val="460" w:hRule="atLeast"/>
        </w:trPr>
        <w:tc>
          <w:tcPr>
            <w:tcW w:w="106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顶面喷黑</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7"/>
                <w:szCs w:val="17"/>
                <w:u w:val="none"/>
              </w:rPr>
            </w:pPr>
            <w:r>
              <w:rPr>
                <w:rFonts w:hint="eastAsia" w:ascii="楷体_GB2312" w:hAnsi="楷体_GB2312" w:eastAsia="楷体_GB2312" w:cs="楷体_GB2312"/>
                <w:i w:val="0"/>
                <w:color w:val="FF0000"/>
                <w:kern w:val="0"/>
                <w:sz w:val="17"/>
                <w:szCs w:val="17"/>
                <w:u w:val="none"/>
                <w:lang w:val="en-US" w:eastAsia="zh-CN" w:bidi="ar"/>
              </w:rPr>
              <w:t>原顶喷黑，展开面积</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m2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152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FF0000"/>
                <w:sz w:val="18"/>
                <w:szCs w:val="18"/>
                <w:u w:val="none"/>
              </w:rPr>
            </w:pPr>
          </w:p>
        </w:tc>
      </w:tr>
      <w:tr>
        <w:tblPrEx>
          <w:shd w:val="clear" w:color="auto" w:fill="auto"/>
          <w:tblCellMar>
            <w:top w:w="0" w:type="dxa"/>
            <w:left w:w="0" w:type="dxa"/>
            <w:bottom w:w="0" w:type="dxa"/>
            <w:right w:w="0" w:type="dxa"/>
          </w:tblCellMar>
        </w:tblPrEx>
        <w:trPr>
          <w:trHeight w:val="270" w:hRule="atLeast"/>
        </w:trPr>
        <w:tc>
          <w:tcPr>
            <w:tcW w:w="106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双头斗胆灯</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7"/>
                <w:szCs w:val="17"/>
                <w:u w:val="none"/>
              </w:rPr>
            </w:pPr>
            <w:r>
              <w:rPr>
                <w:rFonts w:hint="eastAsia" w:ascii="楷体_GB2312" w:hAnsi="楷体_GB2312" w:eastAsia="楷体_GB2312" w:cs="楷体_GB2312"/>
                <w:i w:val="0"/>
                <w:color w:val="FF0000"/>
                <w:kern w:val="0"/>
                <w:sz w:val="17"/>
                <w:szCs w:val="17"/>
                <w:u w:val="none"/>
                <w:lang w:val="en-US" w:eastAsia="zh-CN" w:bidi="ar"/>
              </w:rPr>
              <w:t>LED双头斗胆灯</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盏</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58</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FF0000"/>
                <w:sz w:val="18"/>
                <w:szCs w:val="18"/>
                <w:u w:val="none"/>
              </w:rPr>
            </w:pPr>
          </w:p>
        </w:tc>
      </w:tr>
      <w:tr>
        <w:tblPrEx>
          <w:shd w:val="clear" w:color="auto" w:fill="auto"/>
          <w:tblCellMar>
            <w:top w:w="0" w:type="dxa"/>
            <w:left w:w="0" w:type="dxa"/>
            <w:bottom w:w="0" w:type="dxa"/>
            <w:right w:w="0" w:type="dxa"/>
          </w:tblCellMar>
        </w:tblPrEx>
        <w:trPr>
          <w:trHeight w:val="750" w:hRule="atLeast"/>
        </w:trPr>
        <w:tc>
          <w:tcPr>
            <w:tcW w:w="106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顶面电路铺设</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7"/>
                <w:szCs w:val="17"/>
                <w:u w:val="none"/>
              </w:rPr>
            </w:pPr>
            <w:r>
              <w:rPr>
                <w:rFonts w:hint="eastAsia" w:ascii="楷体_GB2312" w:hAnsi="楷体_GB2312" w:eastAsia="楷体_GB2312" w:cs="楷体_GB2312"/>
                <w:i w:val="0"/>
                <w:color w:val="FF0000"/>
                <w:kern w:val="0"/>
                <w:sz w:val="17"/>
                <w:szCs w:val="17"/>
                <w:u w:val="none"/>
                <w:lang w:val="en-US" w:eastAsia="zh-CN" w:bidi="ar"/>
              </w:rPr>
              <w:t>Pvc配管，bv-2.5mm2线</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m2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150</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FF0000"/>
                <w:sz w:val="18"/>
                <w:szCs w:val="18"/>
                <w:u w:val="none"/>
              </w:rPr>
            </w:pPr>
          </w:p>
        </w:tc>
      </w:tr>
      <w:tr>
        <w:tblPrEx>
          <w:shd w:val="clear" w:color="auto" w:fill="auto"/>
          <w:tblCellMar>
            <w:top w:w="0" w:type="dxa"/>
            <w:left w:w="0" w:type="dxa"/>
            <w:bottom w:w="0" w:type="dxa"/>
            <w:right w:w="0" w:type="dxa"/>
          </w:tblCellMar>
        </w:tblPrEx>
        <w:trPr>
          <w:trHeight w:val="1361" w:hRule="atLeast"/>
        </w:trPr>
        <w:tc>
          <w:tcPr>
            <w:tcW w:w="106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6</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Led展示墙</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7"/>
                <w:szCs w:val="17"/>
                <w:u w:val="none"/>
              </w:rPr>
            </w:pPr>
            <w:r>
              <w:rPr>
                <w:rFonts w:hint="eastAsia" w:ascii="楷体_GB2312" w:hAnsi="楷体_GB2312" w:eastAsia="楷体_GB2312" w:cs="楷体_GB2312"/>
                <w:i w:val="0"/>
                <w:color w:val="FF0000"/>
                <w:kern w:val="0"/>
                <w:sz w:val="17"/>
                <w:szCs w:val="17"/>
                <w:u w:val="none"/>
                <w:lang w:val="en-US" w:eastAsia="zh-CN" w:bidi="ar"/>
              </w:rPr>
              <w:t>3.2*2.24M的P1.86显示屏，墙体木饰面基层垫后12CM。12毫米金属收边，墙面龙骨木工板垫平，铝塑板封面。</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m2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11</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品牌：利亚德 金立翔 海佳彩亮</w:t>
            </w:r>
          </w:p>
        </w:tc>
      </w:tr>
      <w:tr>
        <w:tblPrEx>
          <w:shd w:val="clear" w:color="auto" w:fill="auto"/>
          <w:tblCellMar>
            <w:top w:w="0" w:type="dxa"/>
            <w:left w:w="0" w:type="dxa"/>
            <w:bottom w:w="0" w:type="dxa"/>
            <w:right w:w="0" w:type="dxa"/>
          </w:tblCellMar>
        </w:tblPrEx>
        <w:trPr>
          <w:trHeight w:val="270" w:hRule="atLeast"/>
        </w:trPr>
        <w:tc>
          <w:tcPr>
            <w:tcW w:w="9722" w:type="dxa"/>
            <w:gridSpan w:val="8"/>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楷体_GB2312" w:hAnsi="楷体_GB2312" w:eastAsia="楷体_GB2312" w:cs="楷体_GB2312"/>
                <w:b/>
                <w:i w:val="0"/>
                <w:color w:val="FF0000"/>
                <w:sz w:val="18"/>
                <w:szCs w:val="18"/>
                <w:u w:val="none"/>
              </w:rPr>
            </w:pPr>
            <w:r>
              <w:rPr>
                <w:rFonts w:hint="eastAsia" w:ascii="楷体_GB2312" w:hAnsi="楷体_GB2312" w:eastAsia="楷体_GB2312" w:cs="楷体_GB2312"/>
                <w:b/>
                <w:i w:val="0"/>
                <w:color w:val="FF0000"/>
                <w:kern w:val="0"/>
                <w:sz w:val="18"/>
                <w:szCs w:val="18"/>
                <w:u w:val="none"/>
                <w:lang w:val="en-US" w:eastAsia="zh-CN" w:bidi="ar"/>
              </w:rPr>
              <w:t>D 其他</w:t>
            </w:r>
          </w:p>
        </w:tc>
      </w:tr>
      <w:tr>
        <w:tblPrEx>
          <w:shd w:val="clear" w:color="auto" w:fill="auto"/>
          <w:tblCellMar>
            <w:top w:w="0" w:type="dxa"/>
            <w:left w:w="0" w:type="dxa"/>
            <w:bottom w:w="0" w:type="dxa"/>
            <w:right w:w="0" w:type="dxa"/>
          </w:tblCellMar>
        </w:tblPrEx>
        <w:trPr>
          <w:trHeight w:val="450" w:hRule="atLeast"/>
        </w:trPr>
        <w:tc>
          <w:tcPr>
            <w:tcW w:w="106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落地展示画架</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7"/>
                <w:szCs w:val="17"/>
                <w:u w:val="none"/>
              </w:rPr>
            </w:pPr>
            <w:r>
              <w:rPr>
                <w:rFonts w:hint="eastAsia" w:ascii="楷体_GB2312" w:hAnsi="楷体_GB2312" w:eastAsia="楷体_GB2312" w:cs="楷体_GB2312"/>
                <w:i w:val="0"/>
                <w:color w:val="FF0000"/>
                <w:kern w:val="0"/>
                <w:sz w:val="17"/>
                <w:szCs w:val="17"/>
                <w:u w:val="none"/>
                <w:lang w:val="en-US" w:eastAsia="zh-CN" w:bidi="ar"/>
              </w:rPr>
              <w:t>布面硬包，20mm木工板组架（详见图纸）</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组</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30</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楷体_GB2312" w:hAnsi="楷体_GB2312" w:eastAsia="楷体_GB2312" w:cs="楷体_GB2312"/>
                <w:i w:val="0"/>
                <w:color w:val="FF0000"/>
                <w:sz w:val="18"/>
                <w:szCs w:val="18"/>
                <w:u w:val="none"/>
              </w:rPr>
            </w:pPr>
          </w:p>
        </w:tc>
      </w:tr>
      <w:tr>
        <w:tblPrEx>
          <w:tblCellMar>
            <w:top w:w="0" w:type="dxa"/>
            <w:left w:w="0" w:type="dxa"/>
            <w:bottom w:w="0" w:type="dxa"/>
            <w:right w:w="0" w:type="dxa"/>
          </w:tblCellMar>
        </w:tblPrEx>
        <w:trPr>
          <w:trHeight w:val="270" w:hRule="atLeast"/>
        </w:trPr>
        <w:tc>
          <w:tcPr>
            <w:tcW w:w="106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脚手架</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FF0000"/>
                <w:sz w:val="17"/>
                <w:szCs w:val="17"/>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项</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p>
        </w:tc>
        <w:tc>
          <w:tcPr>
            <w:tcW w:w="106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jc w:val="right"/>
              <w:rPr>
                <w:rFonts w:hint="eastAsia" w:ascii="楷体_GB2312" w:hAnsi="楷体_GB2312" w:eastAsia="楷体_GB2312" w:cs="楷体_GB2312"/>
                <w:i w:val="0"/>
                <w:color w:val="FF0000"/>
                <w:sz w:val="18"/>
                <w:szCs w:val="18"/>
                <w:u w:val="none"/>
              </w:rPr>
            </w:pPr>
          </w:p>
        </w:tc>
      </w:tr>
      <w:tr>
        <w:tblPrEx>
          <w:shd w:val="clear" w:color="auto" w:fill="auto"/>
          <w:tblCellMar>
            <w:top w:w="0" w:type="dxa"/>
            <w:left w:w="0" w:type="dxa"/>
            <w:bottom w:w="0" w:type="dxa"/>
            <w:right w:w="0" w:type="dxa"/>
          </w:tblCellMar>
        </w:tblPrEx>
        <w:trPr>
          <w:trHeight w:val="630" w:hRule="atLeast"/>
        </w:trPr>
        <w:tc>
          <w:tcPr>
            <w:tcW w:w="106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设计费</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7"/>
                <w:szCs w:val="17"/>
                <w:u w:val="none"/>
              </w:rPr>
            </w:pPr>
            <w:r>
              <w:rPr>
                <w:rFonts w:hint="eastAsia" w:ascii="楷体_GB2312" w:hAnsi="楷体_GB2312" w:eastAsia="楷体_GB2312" w:cs="楷体_GB2312"/>
                <w:i w:val="0"/>
                <w:color w:val="FF0000"/>
                <w:kern w:val="0"/>
                <w:sz w:val="17"/>
                <w:szCs w:val="17"/>
                <w:u w:val="none"/>
                <w:lang w:val="en-US" w:eastAsia="zh-CN" w:bidi="ar"/>
              </w:rPr>
              <w:t>1、投标人投标时该费用不得让利</w:t>
            </w:r>
            <w:r>
              <w:rPr>
                <w:rFonts w:hint="eastAsia" w:ascii="楷体_GB2312" w:hAnsi="楷体_GB2312" w:eastAsia="楷体_GB2312" w:cs="楷体_GB2312"/>
                <w:i w:val="0"/>
                <w:color w:val="FF0000"/>
                <w:kern w:val="0"/>
                <w:sz w:val="17"/>
                <w:szCs w:val="17"/>
                <w:u w:val="none"/>
                <w:lang w:val="en-US" w:eastAsia="zh-CN" w:bidi="ar"/>
              </w:rPr>
              <w:br w:type="textWrapping"/>
            </w:r>
            <w:r>
              <w:rPr>
                <w:rFonts w:hint="eastAsia" w:ascii="楷体_GB2312" w:hAnsi="楷体_GB2312" w:eastAsia="楷体_GB2312" w:cs="楷体_GB2312"/>
                <w:i w:val="0"/>
                <w:color w:val="FF0000"/>
                <w:kern w:val="0"/>
                <w:sz w:val="17"/>
                <w:szCs w:val="17"/>
                <w:u w:val="none"/>
                <w:lang w:val="en-US" w:eastAsia="zh-CN" w:bidi="ar"/>
              </w:rPr>
              <w:t>2、中标后支付给设计单位</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项</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15000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15000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楷体_GB2312" w:hAnsi="楷体_GB2312" w:eastAsia="楷体_GB2312" w:cs="楷体_GB2312"/>
                <w:i w:val="0"/>
                <w:color w:val="FF0000"/>
                <w:sz w:val="22"/>
                <w:szCs w:val="22"/>
                <w:u w:val="none"/>
              </w:rPr>
            </w:pPr>
          </w:p>
        </w:tc>
      </w:tr>
      <w:tr>
        <w:tblPrEx>
          <w:shd w:val="clear" w:color="auto" w:fill="auto"/>
          <w:tblCellMar>
            <w:top w:w="0" w:type="dxa"/>
            <w:left w:w="0" w:type="dxa"/>
            <w:bottom w:w="0" w:type="dxa"/>
            <w:right w:w="0" w:type="dxa"/>
          </w:tblCellMar>
        </w:tblPrEx>
        <w:trPr>
          <w:trHeight w:val="1260" w:hRule="atLeast"/>
        </w:trPr>
        <w:tc>
          <w:tcPr>
            <w:tcW w:w="1067"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预留金</w:t>
            </w:r>
          </w:p>
        </w:tc>
        <w:tc>
          <w:tcPr>
            <w:tcW w:w="2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sz w:val="17"/>
                <w:szCs w:val="17"/>
                <w:u w:val="none"/>
              </w:rPr>
            </w:pPr>
            <w:r>
              <w:rPr>
                <w:rFonts w:hint="eastAsia" w:ascii="楷体_GB2312" w:hAnsi="楷体_GB2312" w:eastAsia="楷体_GB2312" w:cs="楷体_GB2312"/>
                <w:i w:val="0"/>
                <w:color w:val="FF0000"/>
                <w:kern w:val="0"/>
                <w:sz w:val="17"/>
                <w:szCs w:val="17"/>
                <w:u w:val="none"/>
                <w:lang w:val="en-US" w:eastAsia="zh-CN" w:bidi="ar"/>
              </w:rPr>
              <w:t>1、投标人投标时该费用不得让利</w:t>
            </w:r>
            <w:r>
              <w:rPr>
                <w:rFonts w:hint="eastAsia" w:ascii="楷体_GB2312" w:hAnsi="楷体_GB2312" w:eastAsia="楷体_GB2312" w:cs="楷体_GB2312"/>
                <w:i w:val="0"/>
                <w:color w:val="FF0000"/>
                <w:kern w:val="0"/>
                <w:sz w:val="17"/>
                <w:szCs w:val="17"/>
                <w:u w:val="none"/>
                <w:lang w:val="en-US" w:eastAsia="zh-CN" w:bidi="ar"/>
              </w:rPr>
              <w:br w:type="textWrapping"/>
            </w:r>
            <w:r>
              <w:rPr>
                <w:rFonts w:hint="eastAsia" w:ascii="楷体_GB2312" w:hAnsi="楷体_GB2312" w:eastAsia="楷体_GB2312" w:cs="楷体_GB2312"/>
                <w:i w:val="0"/>
                <w:color w:val="FF0000"/>
                <w:kern w:val="0"/>
                <w:sz w:val="17"/>
                <w:szCs w:val="17"/>
                <w:u w:val="none"/>
                <w:lang w:val="en-US" w:eastAsia="zh-CN" w:bidi="ar"/>
              </w:rPr>
              <w:t>2、最终如有合同外工程发生，按实结算；如无合同外工程发生，该费用不计取</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项</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25000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25000</w:t>
            </w:r>
          </w:p>
        </w:tc>
        <w:tc>
          <w:tcPr>
            <w:tcW w:w="0" w:type="auto"/>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rPr>
                <w:rFonts w:hint="eastAsia" w:ascii="楷体_GB2312" w:hAnsi="楷体_GB2312" w:eastAsia="楷体_GB2312" w:cs="楷体_GB2312"/>
                <w:i w:val="0"/>
                <w:color w:val="FF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9722" w:type="dxa"/>
            <w:gridSpan w:val="8"/>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100"/>
              <w:jc w:val="left"/>
              <w:textAlignment w:val="center"/>
              <w:rPr>
                <w:rFonts w:hint="eastAsia" w:ascii="楷体_GB2312" w:hAnsi="楷体_GB2312" w:eastAsia="楷体_GB2312" w:cs="楷体_GB2312"/>
                <w:b/>
                <w:i w:val="0"/>
                <w:color w:val="FF0000"/>
                <w:sz w:val="18"/>
                <w:szCs w:val="18"/>
                <w:u w:val="none"/>
              </w:rPr>
            </w:pPr>
            <w:r>
              <w:rPr>
                <w:rFonts w:hint="eastAsia" w:ascii="楷体_GB2312" w:hAnsi="楷体_GB2312" w:eastAsia="楷体_GB2312" w:cs="楷体_GB2312"/>
                <w:b/>
                <w:i w:val="0"/>
                <w:color w:val="FF0000"/>
                <w:kern w:val="0"/>
                <w:sz w:val="18"/>
                <w:szCs w:val="18"/>
                <w:u w:val="none"/>
                <w:lang w:val="en-US" w:eastAsia="zh-CN" w:bidi="ar"/>
              </w:rPr>
              <w:t>E 汇总</w:t>
            </w:r>
          </w:p>
        </w:tc>
      </w:tr>
      <w:tr>
        <w:tblPrEx>
          <w:shd w:val="clear" w:color="auto" w:fill="auto"/>
          <w:tblCellMar>
            <w:top w:w="0" w:type="dxa"/>
            <w:left w:w="0" w:type="dxa"/>
            <w:bottom w:w="0" w:type="dxa"/>
            <w:right w:w="0" w:type="dxa"/>
          </w:tblCellMar>
        </w:tblPrEx>
        <w:trPr>
          <w:trHeight w:val="420" w:hRule="atLeast"/>
        </w:trPr>
        <w:tc>
          <w:tcPr>
            <w:tcW w:w="1067" w:type="dxa"/>
            <w:tcBorders>
              <w:top w:val="single" w:color="000000" w:sz="4" w:space="0"/>
              <w:left w:val="single" w:color="000000" w:sz="8"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FF0000"/>
                <w:sz w:val="18"/>
                <w:szCs w:val="18"/>
                <w:u w:val="none"/>
              </w:rPr>
            </w:pPr>
            <w:r>
              <w:rPr>
                <w:rFonts w:hint="eastAsia" w:ascii="楷体_GB2312" w:hAnsi="楷体_GB2312" w:eastAsia="楷体_GB2312" w:cs="楷体_GB2312"/>
                <w:i w:val="0"/>
                <w:color w:val="FF0000"/>
                <w:kern w:val="0"/>
                <w:sz w:val="18"/>
                <w:szCs w:val="18"/>
                <w:u w:val="none"/>
                <w:lang w:val="en-US" w:eastAsia="zh-CN" w:bidi="ar"/>
              </w:rPr>
              <w:t>1</w:t>
            </w:r>
          </w:p>
        </w:tc>
        <w:tc>
          <w:tcPr>
            <w:tcW w:w="106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b/>
                <w:i w:val="0"/>
                <w:color w:val="FF0000"/>
                <w:sz w:val="17"/>
                <w:szCs w:val="17"/>
                <w:u w:val="none"/>
              </w:rPr>
            </w:pPr>
            <w:r>
              <w:rPr>
                <w:rFonts w:hint="eastAsia" w:ascii="楷体_GB2312" w:hAnsi="楷体_GB2312" w:eastAsia="楷体_GB2312" w:cs="楷体_GB2312"/>
                <w:b/>
                <w:i w:val="0"/>
                <w:color w:val="FF0000"/>
                <w:kern w:val="0"/>
                <w:sz w:val="17"/>
                <w:szCs w:val="17"/>
                <w:u w:val="none"/>
                <w:lang w:val="en-US" w:eastAsia="zh-CN" w:bidi="ar"/>
              </w:rPr>
              <w:t>合计</w:t>
            </w:r>
          </w:p>
        </w:tc>
        <w:tc>
          <w:tcPr>
            <w:tcW w:w="216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FF0000"/>
                <w:sz w:val="18"/>
                <w:szCs w:val="18"/>
                <w:u w:val="none"/>
              </w:rPr>
            </w:pPr>
          </w:p>
        </w:tc>
        <w:tc>
          <w:tcPr>
            <w:tcW w:w="106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FF0000"/>
                <w:sz w:val="17"/>
                <w:szCs w:val="17"/>
                <w:u w:val="none"/>
              </w:rPr>
            </w:pPr>
          </w:p>
        </w:tc>
        <w:tc>
          <w:tcPr>
            <w:tcW w:w="106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FF0000"/>
                <w:sz w:val="18"/>
                <w:szCs w:val="18"/>
                <w:u w:val="none"/>
              </w:rPr>
            </w:pPr>
          </w:p>
        </w:tc>
        <w:tc>
          <w:tcPr>
            <w:tcW w:w="1067"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FF0000"/>
                <w:sz w:val="17"/>
                <w:szCs w:val="17"/>
                <w:u w:val="none"/>
              </w:rPr>
            </w:pPr>
          </w:p>
        </w:tc>
        <w:tc>
          <w:tcPr>
            <w:tcW w:w="116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楷体_GB2312" w:hAnsi="楷体_GB2312" w:eastAsia="楷体_GB2312" w:cs="楷体_GB2312"/>
                <w:b/>
                <w:i w:val="0"/>
                <w:color w:val="FF0000"/>
                <w:sz w:val="18"/>
                <w:szCs w:val="18"/>
                <w:u w:val="none"/>
              </w:rPr>
            </w:pPr>
          </w:p>
        </w:tc>
        <w:tc>
          <w:tcPr>
            <w:tcW w:w="0" w:type="auto"/>
            <w:tcBorders>
              <w:top w:val="single" w:color="000000" w:sz="4" w:space="0"/>
              <w:left w:val="single" w:color="000000" w:sz="4" w:space="0"/>
              <w:bottom w:val="single" w:color="000000" w:sz="8" w:space="0"/>
              <w:right w:val="single" w:color="000000" w:sz="8" w:space="0"/>
            </w:tcBorders>
            <w:shd w:val="clear" w:color="auto" w:fill="auto"/>
            <w:noWrap/>
            <w:tcMar>
              <w:top w:w="15" w:type="dxa"/>
              <w:left w:w="15" w:type="dxa"/>
              <w:right w:w="15" w:type="dxa"/>
            </w:tcMar>
            <w:vAlign w:val="center"/>
          </w:tcPr>
          <w:p>
            <w:pPr>
              <w:rPr>
                <w:rFonts w:hint="eastAsia" w:ascii="楷体_GB2312" w:hAnsi="楷体_GB2312" w:eastAsia="楷体_GB2312" w:cs="楷体_GB2312"/>
                <w:i w:val="0"/>
                <w:color w:val="FF0000"/>
                <w:sz w:val="22"/>
                <w:szCs w:val="22"/>
                <w:u w:val="none"/>
              </w:rPr>
            </w:pPr>
          </w:p>
        </w:tc>
      </w:tr>
      <w:tr>
        <w:tblPrEx>
          <w:shd w:val="clear" w:color="auto" w:fill="auto"/>
          <w:tblCellMar>
            <w:top w:w="0" w:type="dxa"/>
            <w:left w:w="0" w:type="dxa"/>
            <w:bottom w:w="0" w:type="dxa"/>
            <w:right w:w="0" w:type="dxa"/>
          </w:tblCellMar>
        </w:tblPrEx>
        <w:trPr>
          <w:trHeight w:val="270" w:hRule="atLeast"/>
        </w:trPr>
        <w:tc>
          <w:tcPr>
            <w:tcW w:w="9722" w:type="dxa"/>
            <w:gridSpan w:val="8"/>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FF0000"/>
                <w:kern w:val="0"/>
                <w:sz w:val="22"/>
                <w:szCs w:val="22"/>
                <w:u w:val="none"/>
                <w:lang w:val="en-US" w:eastAsia="zh-CN" w:bidi="ar"/>
              </w:rPr>
            </w:pPr>
            <w:r>
              <w:rPr>
                <w:rFonts w:hint="eastAsia" w:ascii="楷体_GB2312" w:hAnsi="楷体_GB2312" w:eastAsia="楷体_GB2312" w:cs="楷体_GB2312"/>
                <w:i w:val="0"/>
                <w:color w:val="FF0000"/>
                <w:kern w:val="0"/>
                <w:sz w:val="22"/>
                <w:szCs w:val="22"/>
                <w:u w:val="none"/>
                <w:lang w:val="en-US" w:eastAsia="zh-CN" w:bidi="ar"/>
              </w:rPr>
              <w:t>说明：1、全费用综合单价包括了招标范围内的所有内容交付使用前的全部费用，综合单价包括采购费（含辅材）及损耗、人工、机械、材料、运输、装卸、现场保管、安装调试费、管理费、利润、规费、税金、所有措施费、矛盾协调、总承包服务费、机械进退场、赶工措施费等一切相关的所有费用；投标人自行现场勘察，确保本项目满足设计及规范要求，上述清单中如有描述不全的，投标人报价时需充分考虑入上述全费用单价中，中标后竣工结算时全费用单价不予调整，各投标人要充分考虑，结算时数量按实结算。</w:t>
            </w:r>
          </w:p>
          <w:p>
            <w:pPr>
              <w:keepNext w:val="0"/>
              <w:keepLines w:val="0"/>
              <w:widowControl/>
              <w:suppressLineNumbers w:val="0"/>
              <w:jc w:val="left"/>
              <w:textAlignment w:val="center"/>
              <w:rPr>
                <w:rFonts w:hint="eastAsia" w:ascii="楷体_GB2312" w:hAnsi="楷体_GB2312" w:eastAsia="楷体_GB2312" w:cs="楷体_GB2312"/>
                <w:i w:val="0"/>
                <w:color w:val="FF0000"/>
                <w:kern w:val="0"/>
                <w:sz w:val="22"/>
                <w:szCs w:val="22"/>
                <w:u w:val="none"/>
                <w:lang w:val="en-US" w:eastAsia="zh-CN" w:bidi="ar"/>
              </w:rPr>
            </w:pPr>
            <w:r>
              <w:rPr>
                <w:rFonts w:hint="eastAsia" w:ascii="楷体_GB2312" w:hAnsi="楷体_GB2312" w:eastAsia="楷体_GB2312" w:cs="楷体_GB2312"/>
                <w:i w:val="0"/>
                <w:color w:val="FF0000"/>
                <w:kern w:val="0"/>
                <w:sz w:val="22"/>
                <w:szCs w:val="22"/>
                <w:u w:val="none"/>
                <w:lang w:val="en-US" w:eastAsia="zh-CN" w:bidi="ar"/>
              </w:rPr>
              <w:t>2、各投标人在投标前必须对施工现场进行详细踏勘，如有疑问及时向招标人提出，否则由此引起的一切风险均由投标人自行承担。每项清单必须报全费用单价，如有一项漏报，视同该项为让利免费提供。为完成本项目而必须发生的、但清单中未列明的相关费用也由各投标人自行综合考虑分摊含进投标报价中，结算时不再另增任何费用。</w:t>
            </w:r>
          </w:p>
          <w:p>
            <w:pPr>
              <w:keepNext w:val="0"/>
              <w:keepLines w:val="0"/>
              <w:widowControl/>
              <w:suppressLineNumbers w:val="0"/>
              <w:jc w:val="left"/>
              <w:textAlignment w:val="center"/>
              <w:rPr>
                <w:rFonts w:hint="eastAsia" w:ascii="楷体_GB2312" w:hAnsi="楷体_GB2312" w:eastAsia="楷体_GB2312" w:cs="楷体_GB2312"/>
                <w:i w:val="0"/>
                <w:color w:val="FF0000"/>
                <w:kern w:val="0"/>
                <w:sz w:val="22"/>
                <w:szCs w:val="22"/>
                <w:u w:val="none"/>
                <w:lang w:val="en-US" w:eastAsia="zh-CN" w:bidi="ar"/>
              </w:rPr>
            </w:pPr>
            <w:r>
              <w:rPr>
                <w:rFonts w:hint="eastAsia" w:ascii="楷体_GB2312" w:hAnsi="楷体_GB2312" w:eastAsia="楷体_GB2312" w:cs="楷体_GB2312"/>
                <w:i w:val="0"/>
                <w:color w:val="FF0000"/>
                <w:kern w:val="0"/>
                <w:sz w:val="22"/>
                <w:szCs w:val="22"/>
                <w:u w:val="none"/>
                <w:lang w:val="en-US" w:eastAsia="zh-CN" w:bidi="ar"/>
              </w:rPr>
              <w:t>3、工程竣工验收前，中标人必须将工程施工所产生的垃圾及时清运出校园。</w:t>
            </w:r>
          </w:p>
          <w:p>
            <w:pPr>
              <w:keepNext w:val="0"/>
              <w:keepLines w:val="0"/>
              <w:widowControl/>
              <w:suppressLineNumbers w:val="0"/>
              <w:jc w:val="left"/>
              <w:textAlignment w:val="center"/>
              <w:rPr>
                <w:rFonts w:hint="eastAsia" w:ascii="楷体_GB2312" w:hAnsi="楷体_GB2312" w:eastAsia="楷体_GB2312" w:cs="楷体_GB2312"/>
                <w:i w:val="0"/>
                <w:color w:val="FF0000"/>
                <w:sz w:val="22"/>
                <w:szCs w:val="22"/>
                <w:u w:val="none"/>
              </w:rPr>
            </w:pPr>
            <w:r>
              <w:rPr>
                <w:rFonts w:hint="eastAsia" w:ascii="楷体_GB2312" w:hAnsi="楷体_GB2312" w:eastAsia="楷体_GB2312" w:cs="楷体_GB2312"/>
                <w:i w:val="0"/>
                <w:color w:val="FF0000"/>
                <w:kern w:val="0"/>
                <w:sz w:val="22"/>
                <w:szCs w:val="22"/>
                <w:u w:val="none"/>
                <w:lang w:val="en-US" w:eastAsia="zh-CN" w:bidi="ar"/>
              </w:rPr>
              <w:t>4、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tc>
      </w:tr>
      <w:tr>
        <w:tblPrEx>
          <w:shd w:val="clear" w:color="auto" w:fill="auto"/>
          <w:tblCellMar>
            <w:top w:w="0" w:type="dxa"/>
            <w:left w:w="0" w:type="dxa"/>
            <w:bottom w:w="0" w:type="dxa"/>
            <w:right w:w="0" w:type="dxa"/>
          </w:tblCellMar>
        </w:tblPrEx>
        <w:trPr>
          <w:trHeight w:val="4177" w:hRule="atLeast"/>
        </w:trPr>
        <w:tc>
          <w:tcPr>
            <w:tcW w:w="9722" w:type="dxa"/>
            <w:gridSpan w:val="8"/>
            <w:vMerge w:val="continue"/>
            <w:tcBorders>
              <w:top w:val="nil"/>
              <w:left w:val="nil"/>
              <w:bottom w:val="nil"/>
              <w:right w:val="nil"/>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FF0000"/>
                <w:sz w:val="22"/>
                <w:szCs w:val="22"/>
                <w:u w:val="none"/>
              </w:rPr>
            </w:pPr>
          </w:p>
        </w:tc>
      </w:tr>
    </w:tbl>
    <w:p>
      <w:pPr>
        <w:pStyle w:val="2"/>
        <w:ind w:left="0" w:leftChars="0" w:firstLine="0" w:firstLineChars="0"/>
        <w:rPr>
          <w:rFonts w:hint="eastAsia" w:ascii="楷体_GB2312" w:hAnsi="楷体_GB2312" w:eastAsia="楷体_GB2312" w:cs="楷体_GB2312"/>
          <w:color w:val="auto"/>
          <w:highlight w:val="none"/>
        </w:rPr>
      </w:pPr>
    </w:p>
    <w:p>
      <w:pPr>
        <w:jc w:val="left"/>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 xml:space="preserve">投标人全称（加盖公章）：               </w:t>
      </w:r>
    </w:p>
    <w:p>
      <w:pPr>
        <w:jc w:val="left"/>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 xml:space="preserve">法定代表人或授权代表（签字）                   </w:t>
      </w:r>
    </w:p>
    <w:p>
      <w:pPr>
        <w:spacing w:line="360" w:lineRule="auto"/>
        <w:jc w:val="left"/>
        <w:rPr>
          <w:rFonts w:hint="eastAsia" w:ascii="楷体_GB2312" w:hAnsi="楷体_GB2312" w:eastAsia="楷体_GB2312" w:cs="楷体_GB2312"/>
          <w:color w:val="auto"/>
        </w:rPr>
      </w:pPr>
      <w:r>
        <w:rPr>
          <w:rFonts w:hint="eastAsia" w:ascii="楷体_GB2312" w:hAnsi="楷体_GB2312" w:eastAsia="楷体_GB2312" w:cs="楷体_GB2312"/>
          <w:color w:val="auto"/>
          <w:sz w:val="24"/>
          <w:highlight w:val="none"/>
        </w:rPr>
        <w:t>年     月     日</w:t>
      </w:r>
    </w:p>
    <w:sectPr>
      <w:pgSz w:w="11906" w:h="16838"/>
      <w:pgMar w:top="1701" w:right="1418"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58313"/>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pPr>
    <w:r>
      <w:rPr>
        <w:rFonts w:hint="eastAsia" w:eastAsia="隶书"/>
        <w:color w:val="000000"/>
        <w:spacing w:val="40"/>
        <w:sz w:val="21"/>
        <w:szCs w:val="21"/>
      </w:rPr>
      <w:t>2020-</w:t>
    </w:r>
    <w:r>
      <w:rPr>
        <w:rFonts w:hint="eastAsia" w:eastAsia="隶书"/>
        <w:color w:val="000000"/>
        <w:spacing w:val="40"/>
        <w:sz w:val="21"/>
        <w:szCs w:val="21"/>
        <w:lang w:val="en-US" w:eastAsia="zh-CN"/>
      </w:rPr>
      <w:t>060</w:t>
    </w:r>
    <w:r>
      <w:rPr>
        <w:rFonts w:hint="eastAsia" w:eastAsia="隶书"/>
        <w:color w:val="000000"/>
        <w:spacing w:val="40"/>
        <w:sz w:val="21"/>
        <w:szCs w:val="21"/>
      </w:rPr>
      <w:t>S</w:t>
    </w:r>
    <w:r>
      <w:rPr>
        <w:rFonts w:eastAsia="隶书"/>
        <w:color w:val="000000"/>
        <w:spacing w:val="40"/>
        <w:sz w:val="21"/>
        <w:szCs w:val="21"/>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5087D"/>
    <w:rsid w:val="0000757E"/>
    <w:rsid w:val="0001164C"/>
    <w:rsid w:val="00011AE2"/>
    <w:rsid w:val="00013E51"/>
    <w:rsid w:val="000153D1"/>
    <w:rsid w:val="0002247A"/>
    <w:rsid w:val="0002673F"/>
    <w:rsid w:val="000318DC"/>
    <w:rsid w:val="00031EAE"/>
    <w:rsid w:val="000376BA"/>
    <w:rsid w:val="0003797F"/>
    <w:rsid w:val="00044B92"/>
    <w:rsid w:val="000461E2"/>
    <w:rsid w:val="00047565"/>
    <w:rsid w:val="000500FB"/>
    <w:rsid w:val="00050C8A"/>
    <w:rsid w:val="000513D7"/>
    <w:rsid w:val="00052B02"/>
    <w:rsid w:val="00054067"/>
    <w:rsid w:val="00061576"/>
    <w:rsid w:val="0006674D"/>
    <w:rsid w:val="000675E0"/>
    <w:rsid w:val="000737B2"/>
    <w:rsid w:val="000738A3"/>
    <w:rsid w:val="00074832"/>
    <w:rsid w:val="000804DE"/>
    <w:rsid w:val="00080B8A"/>
    <w:rsid w:val="00080C74"/>
    <w:rsid w:val="00083C67"/>
    <w:rsid w:val="00085F8D"/>
    <w:rsid w:val="0008794F"/>
    <w:rsid w:val="000918C7"/>
    <w:rsid w:val="000919B1"/>
    <w:rsid w:val="00091F28"/>
    <w:rsid w:val="00092A1C"/>
    <w:rsid w:val="00092D89"/>
    <w:rsid w:val="000A1CCD"/>
    <w:rsid w:val="000A4844"/>
    <w:rsid w:val="000A6CF6"/>
    <w:rsid w:val="000A7B5C"/>
    <w:rsid w:val="000B0EE1"/>
    <w:rsid w:val="000B4700"/>
    <w:rsid w:val="000B52EC"/>
    <w:rsid w:val="000B55DE"/>
    <w:rsid w:val="000B6527"/>
    <w:rsid w:val="000B726D"/>
    <w:rsid w:val="000C00DA"/>
    <w:rsid w:val="000C0EDC"/>
    <w:rsid w:val="000C0F75"/>
    <w:rsid w:val="000C3A0B"/>
    <w:rsid w:val="000C7607"/>
    <w:rsid w:val="000D14E7"/>
    <w:rsid w:val="000D1A2C"/>
    <w:rsid w:val="000D1CBD"/>
    <w:rsid w:val="000D41B8"/>
    <w:rsid w:val="000D4424"/>
    <w:rsid w:val="000E7051"/>
    <w:rsid w:val="000F03B8"/>
    <w:rsid w:val="000F3684"/>
    <w:rsid w:val="000F5044"/>
    <w:rsid w:val="001050DA"/>
    <w:rsid w:val="00105FDE"/>
    <w:rsid w:val="001135E1"/>
    <w:rsid w:val="00113950"/>
    <w:rsid w:val="00114568"/>
    <w:rsid w:val="00122C5E"/>
    <w:rsid w:val="001319D8"/>
    <w:rsid w:val="00131AC1"/>
    <w:rsid w:val="00132713"/>
    <w:rsid w:val="00133497"/>
    <w:rsid w:val="0014051D"/>
    <w:rsid w:val="001407DC"/>
    <w:rsid w:val="00142AA3"/>
    <w:rsid w:val="001434AA"/>
    <w:rsid w:val="00144D54"/>
    <w:rsid w:val="0014684E"/>
    <w:rsid w:val="001505DC"/>
    <w:rsid w:val="00153DBB"/>
    <w:rsid w:val="0015495A"/>
    <w:rsid w:val="00154E48"/>
    <w:rsid w:val="001550FC"/>
    <w:rsid w:val="00157A8D"/>
    <w:rsid w:val="00161C33"/>
    <w:rsid w:val="00165312"/>
    <w:rsid w:val="00165C49"/>
    <w:rsid w:val="001661BD"/>
    <w:rsid w:val="0017083D"/>
    <w:rsid w:val="0017134C"/>
    <w:rsid w:val="001725D1"/>
    <w:rsid w:val="001810C4"/>
    <w:rsid w:val="00181C4C"/>
    <w:rsid w:val="0018483C"/>
    <w:rsid w:val="00185854"/>
    <w:rsid w:val="001873B0"/>
    <w:rsid w:val="00187E68"/>
    <w:rsid w:val="001915AE"/>
    <w:rsid w:val="001925D8"/>
    <w:rsid w:val="00195827"/>
    <w:rsid w:val="001A01B1"/>
    <w:rsid w:val="001A1B05"/>
    <w:rsid w:val="001A31F3"/>
    <w:rsid w:val="001A6958"/>
    <w:rsid w:val="001A6D0C"/>
    <w:rsid w:val="001B139E"/>
    <w:rsid w:val="001B32B5"/>
    <w:rsid w:val="001C048B"/>
    <w:rsid w:val="001C34C5"/>
    <w:rsid w:val="001C41C8"/>
    <w:rsid w:val="001C528F"/>
    <w:rsid w:val="001C7CA7"/>
    <w:rsid w:val="001D057D"/>
    <w:rsid w:val="001D1CAC"/>
    <w:rsid w:val="001D246C"/>
    <w:rsid w:val="001D7082"/>
    <w:rsid w:val="001E2EE7"/>
    <w:rsid w:val="001E327E"/>
    <w:rsid w:val="001E66E7"/>
    <w:rsid w:val="001E72EF"/>
    <w:rsid w:val="001F0F75"/>
    <w:rsid w:val="001F57B5"/>
    <w:rsid w:val="001F67DC"/>
    <w:rsid w:val="0020223D"/>
    <w:rsid w:val="00204EFF"/>
    <w:rsid w:val="002154D0"/>
    <w:rsid w:val="00217EBA"/>
    <w:rsid w:val="00217F79"/>
    <w:rsid w:val="00224A89"/>
    <w:rsid w:val="00226851"/>
    <w:rsid w:val="002278A4"/>
    <w:rsid w:val="00231F9D"/>
    <w:rsid w:val="00232888"/>
    <w:rsid w:val="00242CC1"/>
    <w:rsid w:val="00250A52"/>
    <w:rsid w:val="00250C94"/>
    <w:rsid w:val="002512AD"/>
    <w:rsid w:val="002555C3"/>
    <w:rsid w:val="00255D7A"/>
    <w:rsid w:val="0025705C"/>
    <w:rsid w:val="002628E6"/>
    <w:rsid w:val="00262F96"/>
    <w:rsid w:val="00264FC2"/>
    <w:rsid w:val="002653AA"/>
    <w:rsid w:val="002666F2"/>
    <w:rsid w:val="00266834"/>
    <w:rsid w:val="00267E3C"/>
    <w:rsid w:val="002821D7"/>
    <w:rsid w:val="00282F6F"/>
    <w:rsid w:val="002843DB"/>
    <w:rsid w:val="00285806"/>
    <w:rsid w:val="00285ABF"/>
    <w:rsid w:val="002868D1"/>
    <w:rsid w:val="00287DEB"/>
    <w:rsid w:val="00290D91"/>
    <w:rsid w:val="002A1E5A"/>
    <w:rsid w:val="002A27BA"/>
    <w:rsid w:val="002A34EC"/>
    <w:rsid w:val="002A4B60"/>
    <w:rsid w:val="002B2936"/>
    <w:rsid w:val="002B2AED"/>
    <w:rsid w:val="002B6B12"/>
    <w:rsid w:val="002B6E60"/>
    <w:rsid w:val="002B7029"/>
    <w:rsid w:val="002B7C98"/>
    <w:rsid w:val="002C2420"/>
    <w:rsid w:val="002C2BE3"/>
    <w:rsid w:val="002C465E"/>
    <w:rsid w:val="002D0727"/>
    <w:rsid w:val="002D3CD0"/>
    <w:rsid w:val="002D4B8C"/>
    <w:rsid w:val="002D594D"/>
    <w:rsid w:val="002D6414"/>
    <w:rsid w:val="002E45D9"/>
    <w:rsid w:val="002E4DB3"/>
    <w:rsid w:val="002E5A1B"/>
    <w:rsid w:val="002E5CAC"/>
    <w:rsid w:val="002F0AF2"/>
    <w:rsid w:val="002F7130"/>
    <w:rsid w:val="002F71DD"/>
    <w:rsid w:val="00302DB1"/>
    <w:rsid w:val="003036ED"/>
    <w:rsid w:val="003062FC"/>
    <w:rsid w:val="00314BA6"/>
    <w:rsid w:val="003208EC"/>
    <w:rsid w:val="003226E4"/>
    <w:rsid w:val="00324DCE"/>
    <w:rsid w:val="00330BF0"/>
    <w:rsid w:val="00331EE9"/>
    <w:rsid w:val="003340DF"/>
    <w:rsid w:val="003431B7"/>
    <w:rsid w:val="0034434B"/>
    <w:rsid w:val="003446D1"/>
    <w:rsid w:val="00344ACC"/>
    <w:rsid w:val="00346867"/>
    <w:rsid w:val="00346C72"/>
    <w:rsid w:val="00351FC9"/>
    <w:rsid w:val="00353AF1"/>
    <w:rsid w:val="00353F05"/>
    <w:rsid w:val="00354A4A"/>
    <w:rsid w:val="00355A6B"/>
    <w:rsid w:val="003613A1"/>
    <w:rsid w:val="003618BC"/>
    <w:rsid w:val="00363057"/>
    <w:rsid w:val="00363C5B"/>
    <w:rsid w:val="003652D9"/>
    <w:rsid w:val="0036698E"/>
    <w:rsid w:val="003714F3"/>
    <w:rsid w:val="00372EA1"/>
    <w:rsid w:val="00380B48"/>
    <w:rsid w:val="003815FD"/>
    <w:rsid w:val="00382705"/>
    <w:rsid w:val="00385C64"/>
    <w:rsid w:val="003874D6"/>
    <w:rsid w:val="003977BF"/>
    <w:rsid w:val="003A21A0"/>
    <w:rsid w:val="003A345E"/>
    <w:rsid w:val="003A63FC"/>
    <w:rsid w:val="003A6792"/>
    <w:rsid w:val="003B0FB9"/>
    <w:rsid w:val="003B212E"/>
    <w:rsid w:val="003B7BD1"/>
    <w:rsid w:val="003C0153"/>
    <w:rsid w:val="003C40B0"/>
    <w:rsid w:val="003C47FA"/>
    <w:rsid w:val="003C4C91"/>
    <w:rsid w:val="003D0885"/>
    <w:rsid w:val="003D210A"/>
    <w:rsid w:val="003D22AC"/>
    <w:rsid w:val="003D687B"/>
    <w:rsid w:val="003E0F99"/>
    <w:rsid w:val="003E26F6"/>
    <w:rsid w:val="003E2B82"/>
    <w:rsid w:val="003E5E3A"/>
    <w:rsid w:val="003E6FBF"/>
    <w:rsid w:val="003F50C5"/>
    <w:rsid w:val="003F6B2A"/>
    <w:rsid w:val="00402716"/>
    <w:rsid w:val="0040479B"/>
    <w:rsid w:val="00407A9B"/>
    <w:rsid w:val="00413018"/>
    <w:rsid w:val="00415905"/>
    <w:rsid w:val="0042209E"/>
    <w:rsid w:val="00425678"/>
    <w:rsid w:val="00430024"/>
    <w:rsid w:val="00430B4E"/>
    <w:rsid w:val="0043131B"/>
    <w:rsid w:val="004317E3"/>
    <w:rsid w:val="00432A5A"/>
    <w:rsid w:val="0044201E"/>
    <w:rsid w:val="00445171"/>
    <w:rsid w:val="00445196"/>
    <w:rsid w:val="004472D0"/>
    <w:rsid w:val="00451DA0"/>
    <w:rsid w:val="004558AA"/>
    <w:rsid w:val="00461F62"/>
    <w:rsid w:val="004643FC"/>
    <w:rsid w:val="00466707"/>
    <w:rsid w:val="00474400"/>
    <w:rsid w:val="00480876"/>
    <w:rsid w:val="00482639"/>
    <w:rsid w:val="004836F3"/>
    <w:rsid w:val="0048373E"/>
    <w:rsid w:val="00484BA8"/>
    <w:rsid w:val="00485309"/>
    <w:rsid w:val="00485B11"/>
    <w:rsid w:val="004907C6"/>
    <w:rsid w:val="004915A7"/>
    <w:rsid w:val="0049268F"/>
    <w:rsid w:val="00493359"/>
    <w:rsid w:val="004952EF"/>
    <w:rsid w:val="00496197"/>
    <w:rsid w:val="004974D4"/>
    <w:rsid w:val="004A032D"/>
    <w:rsid w:val="004A0B4C"/>
    <w:rsid w:val="004A2405"/>
    <w:rsid w:val="004A3E2E"/>
    <w:rsid w:val="004A50D9"/>
    <w:rsid w:val="004B0390"/>
    <w:rsid w:val="004B16D2"/>
    <w:rsid w:val="004B52AD"/>
    <w:rsid w:val="004C5C6D"/>
    <w:rsid w:val="004C7035"/>
    <w:rsid w:val="004D2A12"/>
    <w:rsid w:val="004D608D"/>
    <w:rsid w:val="004E5477"/>
    <w:rsid w:val="004E62A5"/>
    <w:rsid w:val="004F4733"/>
    <w:rsid w:val="004F6AB1"/>
    <w:rsid w:val="0050204E"/>
    <w:rsid w:val="00504B8E"/>
    <w:rsid w:val="00507821"/>
    <w:rsid w:val="00514D32"/>
    <w:rsid w:val="0052086C"/>
    <w:rsid w:val="005217B5"/>
    <w:rsid w:val="005240E4"/>
    <w:rsid w:val="005279FF"/>
    <w:rsid w:val="0053314B"/>
    <w:rsid w:val="005333D9"/>
    <w:rsid w:val="00535763"/>
    <w:rsid w:val="005358C9"/>
    <w:rsid w:val="00535C43"/>
    <w:rsid w:val="005367B6"/>
    <w:rsid w:val="00543B60"/>
    <w:rsid w:val="00544528"/>
    <w:rsid w:val="0055087D"/>
    <w:rsid w:val="00553187"/>
    <w:rsid w:val="005535C4"/>
    <w:rsid w:val="0055616D"/>
    <w:rsid w:val="00560E05"/>
    <w:rsid w:val="00563ACF"/>
    <w:rsid w:val="005648F2"/>
    <w:rsid w:val="005717A1"/>
    <w:rsid w:val="0057497A"/>
    <w:rsid w:val="00575756"/>
    <w:rsid w:val="005768C4"/>
    <w:rsid w:val="00577AF0"/>
    <w:rsid w:val="005839B8"/>
    <w:rsid w:val="00584E66"/>
    <w:rsid w:val="00590A38"/>
    <w:rsid w:val="005910E1"/>
    <w:rsid w:val="00592EC6"/>
    <w:rsid w:val="00596CCE"/>
    <w:rsid w:val="005973C4"/>
    <w:rsid w:val="005A070B"/>
    <w:rsid w:val="005A087C"/>
    <w:rsid w:val="005A121D"/>
    <w:rsid w:val="005A2EBD"/>
    <w:rsid w:val="005A3B6F"/>
    <w:rsid w:val="005A50C1"/>
    <w:rsid w:val="005B0716"/>
    <w:rsid w:val="005B2BD4"/>
    <w:rsid w:val="005C4DF1"/>
    <w:rsid w:val="005D0FD9"/>
    <w:rsid w:val="005D1684"/>
    <w:rsid w:val="005D21D9"/>
    <w:rsid w:val="005E1ECD"/>
    <w:rsid w:val="005F391B"/>
    <w:rsid w:val="005F7330"/>
    <w:rsid w:val="0060483D"/>
    <w:rsid w:val="00611747"/>
    <w:rsid w:val="00613767"/>
    <w:rsid w:val="00614633"/>
    <w:rsid w:val="006146A4"/>
    <w:rsid w:val="00615CC8"/>
    <w:rsid w:val="0061692E"/>
    <w:rsid w:val="006177DA"/>
    <w:rsid w:val="00617820"/>
    <w:rsid w:val="00626966"/>
    <w:rsid w:val="00626AC1"/>
    <w:rsid w:val="00630417"/>
    <w:rsid w:val="006310D7"/>
    <w:rsid w:val="00640979"/>
    <w:rsid w:val="00644CDE"/>
    <w:rsid w:val="006467AC"/>
    <w:rsid w:val="00646EC7"/>
    <w:rsid w:val="00647189"/>
    <w:rsid w:val="00660407"/>
    <w:rsid w:val="0066057B"/>
    <w:rsid w:val="00660F75"/>
    <w:rsid w:val="00661789"/>
    <w:rsid w:val="00661A62"/>
    <w:rsid w:val="00663088"/>
    <w:rsid w:val="00665AEF"/>
    <w:rsid w:val="00667508"/>
    <w:rsid w:val="006705BB"/>
    <w:rsid w:val="00672106"/>
    <w:rsid w:val="00682CBE"/>
    <w:rsid w:val="00684C8D"/>
    <w:rsid w:val="00687836"/>
    <w:rsid w:val="00687B86"/>
    <w:rsid w:val="00692947"/>
    <w:rsid w:val="00695B44"/>
    <w:rsid w:val="00696896"/>
    <w:rsid w:val="00696E80"/>
    <w:rsid w:val="006A619F"/>
    <w:rsid w:val="006B0230"/>
    <w:rsid w:val="006B222D"/>
    <w:rsid w:val="006B398E"/>
    <w:rsid w:val="006B6F62"/>
    <w:rsid w:val="006C1956"/>
    <w:rsid w:val="006C632D"/>
    <w:rsid w:val="006C6D33"/>
    <w:rsid w:val="006D0D29"/>
    <w:rsid w:val="006D2CD8"/>
    <w:rsid w:val="006D30A9"/>
    <w:rsid w:val="006D4616"/>
    <w:rsid w:val="006D4646"/>
    <w:rsid w:val="006D596C"/>
    <w:rsid w:val="006D5D9B"/>
    <w:rsid w:val="006D6C96"/>
    <w:rsid w:val="006E38B4"/>
    <w:rsid w:val="006F055F"/>
    <w:rsid w:val="006F1BED"/>
    <w:rsid w:val="006F3B96"/>
    <w:rsid w:val="006F6673"/>
    <w:rsid w:val="00701270"/>
    <w:rsid w:val="00704CF8"/>
    <w:rsid w:val="007104D3"/>
    <w:rsid w:val="0071468C"/>
    <w:rsid w:val="00720465"/>
    <w:rsid w:val="0072557F"/>
    <w:rsid w:val="00726FB5"/>
    <w:rsid w:val="00731481"/>
    <w:rsid w:val="007371A7"/>
    <w:rsid w:val="007376A4"/>
    <w:rsid w:val="00737E12"/>
    <w:rsid w:val="00740799"/>
    <w:rsid w:val="00740E3D"/>
    <w:rsid w:val="00740E87"/>
    <w:rsid w:val="00742866"/>
    <w:rsid w:val="00750C93"/>
    <w:rsid w:val="00753C19"/>
    <w:rsid w:val="00755535"/>
    <w:rsid w:val="00756DC7"/>
    <w:rsid w:val="007601F3"/>
    <w:rsid w:val="007656DA"/>
    <w:rsid w:val="00765A4B"/>
    <w:rsid w:val="00766765"/>
    <w:rsid w:val="007670A4"/>
    <w:rsid w:val="00771791"/>
    <w:rsid w:val="007768FC"/>
    <w:rsid w:val="007776D6"/>
    <w:rsid w:val="00782B44"/>
    <w:rsid w:val="00782FDB"/>
    <w:rsid w:val="007925D3"/>
    <w:rsid w:val="00792A7B"/>
    <w:rsid w:val="007937D8"/>
    <w:rsid w:val="007A33B5"/>
    <w:rsid w:val="007A6D2D"/>
    <w:rsid w:val="007B74DA"/>
    <w:rsid w:val="007C017E"/>
    <w:rsid w:val="007C0E98"/>
    <w:rsid w:val="007C187F"/>
    <w:rsid w:val="007C3C7D"/>
    <w:rsid w:val="007C41C6"/>
    <w:rsid w:val="007C5574"/>
    <w:rsid w:val="007D183E"/>
    <w:rsid w:val="007D3230"/>
    <w:rsid w:val="007D7A8E"/>
    <w:rsid w:val="007E0C28"/>
    <w:rsid w:val="007E18DD"/>
    <w:rsid w:val="007E2589"/>
    <w:rsid w:val="007E5F2C"/>
    <w:rsid w:val="007E62DC"/>
    <w:rsid w:val="007F03E8"/>
    <w:rsid w:val="007F06F8"/>
    <w:rsid w:val="007F35CA"/>
    <w:rsid w:val="007F44FB"/>
    <w:rsid w:val="007F4D38"/>
    <w:rsid w:val="007F6534"/>
    <w:rsid w:val="0080120E"/>
    <w:rsid w:val="0080251E"/>
    <w:rsid w:val="00803EFC"/>
    <w:rsid w:val="00806070"/>
    <w:rsid w:val="00810D4D"/>
    <w:rsid w:val="00814276"/>
    <w:rsid w:val="00814833"/>
    <w:rsid w:val="00814968"/>
    <w:rsid w:val="00816032"/>
    <w:rsid w:val="008166E5"/>
    <w:rsid w:val="0082104C"/>
    <w:rsid w:val="008211BE"/>
    <w:rsid w:val="00826309"/>
    <w:rsid w:val="00827733"/>
    <w:rsid w:val="00830830"/>
    <w:rsid w:val="00831F6C"/>
    <w:rsid w:val="00832556"/>
    <w:rsid w:val="00835098"/>
    <w:rsid w:val="00843FC2"/>
    <w:rsid w:val="00844204"/>
    <w:rsid w:val="00844BA7"/>
    <w:rsid w:val="00845215"/>
    <w:rsid w:val="00845DB7"/>
    <w:rsid w:val="008461D5"/>
    <w:rsid w:val="00847D06"/>
    <w:rsid w:val="00850FDF"/>
    <w:rsid w:val="0085435A"/>
    <w:rsid w:val="00855DAF"/>
    <w:rsid w:val="00855F39"/>
    <w:rsid w:val="0085601D"/>
    <w:rsid w:val="0085721D"/>
    <w:rsid w:val="0085758A"/>
    <w:rsid w:val="00861284"/>
    <w:rsid w:val="00862A08"/>
    <w:rsid w:val="00862ADB"/>
    <w:rsid w:val="0086493E"/>
    <w:rsid w:val="00866D48"/>
    <w:rsid w:val="0086722A"/>
    <w:rsid w:val="00867FAD"/>
    <w:rsid w:val="0087273F"/>
    <w:rsid w:val="0087500C"/>
    <w:rsid w:val="00876DE4"/>
    <w:rsid w:val="0088157E"/>
    <w:rsid w:val="00882C39"/>
    <w:rsid w:val="00887084"/>
    <w:rsid w:val="008906FD"/>
    <w:rsid w:val="008A0A6E"/>
    <w:rsid w:val="008A69FD"/>
    <w:rsid w:val="008A7511"/>
    <w:rsid w:val="008B269D"/>
    <w:rsid w:val="008B4273"/>
    <w:rsid w:val="008B6463"/>
    <w:rsid w:val="008B7F66"/>
    <w:rsid w:val="008C0245"/>
    <w:rsid w:val="008D181C"/>
    <w:rsid w:val="008D26CC"/>
    <w:rsid w:val="008D3727"/>
    <w:rsid w:val="008D47BF"/>
    <w:rsid w:val="008D4DF3"/>
    <w:rsid w:val="008D6F67"/>
    <w:rsid w:val="008E16BB"/>
    <w:rsid w:val="008E3334"/>
    <w:rsid w:val="008E3AC9"/>
    <w:rsid w:val="008E55A1"/>
    <w:rsid w:val="008F48EB"/>
    <w:rsid w:val="009014B0"/>
    <w:rsid w:val="00904244"/>
    <w:rsid w:val="00904A8D"/>
    <w:rsid w:val="00905259"/>
    <w:rsid w:val="00917FED"/>
    <w:rsid w:val="00920C8E"/>
    <w:rsid w:val="009220F8"/>
    <w:rsid w:val="0092282D"/>
    <w:rsid w:val="00930C86"/>
    <w:rsid w:val="00931A08"/>
    <w:rsid w:val="00931A3F"/>
    <w:rsid w:val="00932243"/>
    <w:rsid w:val="00932294"/>
    <w:rsid w:val="009331C1"/>
    <w:rsid w:val="009348DF"/>
    <w:rsid w:val="0093605C"/>
    <w:rsid w:val="00937749"/>
    <w:rsid w:val="00945FE0"/>
    <w:rsid w:val="00947917"/>
    <w:rsid w:val="00950616"/>
    <w:rsid w:val="00951BF5"/>
    <w:rsid w:val="009527F8"/>
    <w:rsid w:val="009530D3"/>
    <w:rsid w:val="009533CD"/>
    <w:rsid w:val="00960919"/>
    <w:rsid w:val="00960D05"/>
    <w:rsid w:val="009652B0"/>
    <w:rsid w:val="009664F6"/>
    <w:rsid w:val="00967C66"/>
    <w:rsid w:val="0097088C"/>
    <w:rsid w:val="0097527C"/>
    <w:rsid w:val="00977C5D"/>
    <w:rsid w:val="00982628"/>
    <w:rsid w:val="009828D1"/>
    <w:rsid w:val="00983D86"/>
    <w:rsid w:val="0098429F"/>
    <w:rsid w:val="00993BC9"/>
    <w:rsid w:val="00994CFA"/>
    <w:rsid w:val="00994D82"/>
    <w:rsid w:val="00996F54"/>
    <w:rsid w:val="00997A72"/>
    <w:rsid w:val="009A07D5"/>
    <w:rsid w:val="009A34AF"/>
    <w:rsid w:val="009A4247"/>
    <w:rsid w:val="009A7688"/>
    <w:rsid w:val="009A77BE"/>
    <w:rsid w:val="009A7959"/>
    <w:rsid w:val="009B0104"/>
    <w:rsid w:val="009B42FB"/>
    <w:rsid w:val="009C351B"/>
    <w:rsid w:val="009C6CFC"/>
    <w:rsid w:val="009C74BC"/>
    <w:rsid w:val="009D25DA"/>
    <w:rsid w:val="009D699E"/>
    <w:rsid w:val="009D6B1A"/>
    <w:rsid w:val="009E1CD4"/>
    <w:rsid w:val="009E335A"/>
    <w:rsid w:val="009F336C"/>
    <w:rsid w:val="009F3700"/>
    <w:rsid w:val="009F3A35"/>
    <w:rsid w:val="009F4C42"/>
    <w:rsid w:val="009F4D2C"/>
    <w:rsid w:val="009F7995"/>
    <w:rsid w:val="00A00F37"/>
    <w:rsid w:val="00A016CC"/>
    <w:rsid w:val="00A045CA"/>
    <w:rsid w:val="00A049D4"/>
    <w:rsid w:val="00A10EEF"/>
    <w:rsid w:val="00A12AA9"/>
    <w:rsid w:val="00A22DF7"/>
    <w:rsid w:val="00A25EB1"/>
    <w:rsid w:val="00A26F05"/>
    <w:rsid w:val="00A2743E"/>
    <w:rsid w:val="00A30C38"/>
    <w:rsid w:val="00A31853"/>
    <w:rsid w:val="00A31868"/>
    <w:rsid w:val="00A330F0"/>
    <w:rsid w:val="00A34435"/>
    <w:rsid w:val="00A35E05"/>
    <w:rsid w:val="00A40E41"/>
    <w:rsid w:val="00A42325"/>
    <w:rsid w:val="00A446E4"/>
    <w:rsid w:val="00A45DCE"/>
    <w:rsid w:val="00A50BAE"/>
    <w:rsid w:val="00A53E46"/>
    <w:rsid w:val="00A645B5"/>
    <w:rsid w:val="00A651AC"/>
    <w:rsid w:val="00A65FFE"/>
    <w:rsid w:val="00A66CE9"/>
    <w:rsid w:val="00A731FC"/>
    <w:rsid w:val="00A81546"/>
    <w:rsid w:val="00A817A1"/>
    <w:rsid w:val="00A911F0"/>
    <w:rsid w:val="00A92C75"/>
    <w:rsid w:val="00A939EC"/>
    <w:rsid w:val="00A94152"/>
    <w:rsid w:val="00A95B8F"/>
    <w:rsid w:val="00AA4699"/>
    <w:rsid w:val="00AB2F23"/>
    <w:rsid w:val="00AB3728"/>
    <w:rsid w:val="00AB399E"/>
    <w:rsid w:val="00AB4A43"/>
    <w:rsid w:val="00AB6F1F"/>
    <w:rsid w:val="00AC001F"/>
    <w:rsid w:val="00AC03DB"/>
    <w:rsid w:val="00AC0AC1"/>
    <w:rsid w:val="00AC1D78"/>
    <w:rsid w:val="00AC6550"/>
    <w:rsid w:val="00AD0771"/>
    <w:rsid w:val="00AD11EB"/>
    <w:rsid w:val="00AD196B"/>
    <w:rsid w:val="00AD1D86"/>
    <w:rsid w:val="00AD2D7B"/>
    <w:rsid w:val="00AD4792"/>
    <w:rsid w:val="00AD53F2"/>
    <w:rsid w:val="00AD6286"/>
    <w:rsid w:val="00AE0C12"/>
    <w:rsid w:val="00AF10BE"/>
    <w:rsid w:val="00AF5968"/>
    <w:rsid w:val="00B001D8"/>
    <w:rsid w:val="00B01964"/>
    <w:rsid w:val="00B16402"/>
    <w:rsid w:val="00B23653"/>
    <w:rsid w:val="00B27D32"/>
    <w:rsid w:val="00B30382"/>
    <w:rsid w:val="00B30C01"/>
    <w:rsid w:val="00B3439B"/>
    <w:rsid w:val="00B35691"/>
    <w:rsid w:val="00B35BE2"/>
    <w:rsid w:val="00B377A9"/>
    <w:rsid w:val="00B4154D"/>
    <w:rsid w:val="00B42BCC"/>
    <w:rsid w:val="00B46611"/>
    <w:rsid w:val="00B4713F"/>
    <w:rsid w:val="00B475DF"/>
    <w:rsid w:val="00B54246"/>
    <w:rsid w:val="00B56285"/>
    <w:rsid w:val="00B57D6D"/>
    <w:rsid w:val="00B6097B"/>
    <w:rsid w:val="00B624FF"/>
    <w:rsid w:val="00B65A2F"/>
    <w:rsid w:val="00B7199A"/>
    <w:rsid w:val="00B73572"/>
    <w:rsid w:val="00B75CA9"/>
    <w:rsid w:val="00B7677E"/>
    <w:rsid w:val="00B82419"/>
    <w:rsid w:val="00B83151"/>
    <w:rsid w:val="00B8372E"/>
    <w:rsid w:val="00B85746"/>
    <w:rsid w:val="00B91F58"/>
    <w:rsid w:val="00B926C5"/>
    <w:rsid w:val="00B933D3"/>
    <w:rsid w:val="00B97E00"/>
    <w:rsid w:val="00BA2A3C"/>
    <w:rsid w:val="00BA38EB"/>
    <w:rsid w:val="00BA64E3"/>
    <w:rsid w:val="00BB071A"/>
    <w:rsid w:val="00BB303B"/>
    <w:rsid w:val="00BB616E"/>
    <w:rsid w:val="00BB6348"/>
    <w:rsid w:val="00BB6402"/>
    <w:rsid w:val="00BC318C"/>
    <w:rsid w:val="00BC4DF0"/>
    <w:rsid w:val="00BD1351"/>
    <w:rsid w:val="00BD6126"/>
    <w:rsid w:val="00BE311B"/>
    <w:rsid w:val="00BE6984"/>
    <w:rsid w:val="00BE6B23"/>
    <w:rsid w:val="00BE6DD0"/>
    <w:rsid w:val="00BE7579"/>
    <w:rsid w:val="00BE7604"/>
    <w:rsid w:val="00BF12FB"/>
    <w:rsid w:val="00BF1BC8"/>
    <w:rsid w:val="00BF41D5"/>
    <w:rsid w:val="00BF46E6"/>
    <w:rsid w:val="00BF79A1"/>
    <w:rsid w:val="00C00A1E"/>
    <w:rsid w:val="00C0134F"/>
    <w:rsid w:val="00C04383"/>
    <w:rsid w:val="00C07DFC"/>
    <w:rsid w:val="00C1269F"/>
    <w:rsid w:val="00C14933"/>
    <w:rsid w:val="00C27DC5"/>
    <w:rsid w:val="00C27ECB"/>
    <w:rsid w:val="00C3086F"/>
    <w:rsid w:val="00C41BFC"/>
    <w:rsid w:val="00C42B10"/>
    <w:rsid w:val="00C44181"/>
    <w:rsid w:val="00C446DD"/>
    <w:rsid w:val="00C46C68"/>
    <w:rsid w:val="00C47676"/>
    <w:rsid w:val="00C5062D"/>
    <w:rsid w:val="00C51851"/>
    <w:rsid w:val="00C53C8C"/>
    <w:rsid w:val="00C55639"/>
    <w:rsid w:val="00C57E2A"/>
    <w:rsid w:val="00C6394D"/>
    <w:rsid w:val="00C67092"/>
    <w:rsid w:val="00C70AE5"/>
    <w:rsid w:val="00C70CC3"/>
    <w:rsid w:val="00C71016"/>
    <w:rsid w:val="00C73E9E"/>
    <w:rsid w:val="00C74E4C"/>
    <w:rsid w:val="00C76526"/>
    <w:rsid w:val="00C770FF"/>
    <w:rsid w:val="00C808CB"/>
    <w:rsid w:val="00C83218"/>
    <w:rsid w:val="00C90453"/>
    <w:rsid w:val="00C90E03"/>
    <w:rsid w:val="00C91AD6"/>
    <w:rsid w:val="00C92A23"/>
    <w:rsid w:val="00C9458F"/>
    <w:rsid w:val="00C965C0"/>
    <w:rsid w:val="00C976A9"/>
    <w:rsid w:val="00CB2243"/>
    <w:rsid w:val="00CC2B9C"/>
    <w:rsid w:val="00CC5006"/>
    <w:rsid w:val="00CD03DA"/>
    <w:rsid w:val="00CD1DB1"/>
    <w:rsid w:val="00CD4217"/>
    <w:rsid w:val="00CD4F96"/>
    <w:rsid w:val="00CD6AF2"/>
    <w:rsid w:val="00CD6C9B"/>
    <w:rsid w:val="00CE597E"/>
    <w:rsid w:val="00CE6ABF"/>
    <w:rsid w:val="00CE7A9F"/>
    <w:rsid w:val="00CF0179"/>
    <w:rsid w:val="00CF0B19"/>
    <w:rsid w:val="00CF178D"/>
    <w:rsid w:val="00CF24FF"/>
    <w:rsid w:val="00D057D7"/>
    <w:rsid w:val="00D110D6"/>
    <w:rsid w:val="00D120CC"/>
    <w:rsid w:val="00D12C22"/>
    <w:rsid w:val="00D13B95"/>
    <w:rsid w:val="00D1407B"/>
    <w:rsid w:val="00D161E5"/>
    <w:rsid w:val="00D212D1"/>
    <w:rsid w:val="00D224EE"/>
    <w:rsid w:val="00D2637C"/>
    <w:rsid w:val="00D26AC6"/>
    <w:rsid w:val="00D27889"/>
    <w:rsid w:val="00D32F7A"/>
    <w:rsid w:val="00D37C5B"/>
    <w:rsid w:val="00D46775"/>
    <w:rsid w:val="00D467EB"/>
    <w:rsid w:val="00D53678"/>
    <w:rsid w:val="00D5389C"/>
    <w:rsid w:val="00D613F0"/>
    <w:rsid w:val="00D616CE"/>
    <w:rsid w:val="00D63AA0"/>
    <w:rsid w:val="00D63FB1"/>
    <w:rsid w:val="00D7031A"/>
    <w:rsid w:val="00D73E2F"/>
    <w:rsid w:val="00D764F1"/>
    <w:rsid w:val="00D80F16"/>
    <w:rsid w:val="00D875D9"/>
    <w:rsid w:val="00D8770C"/>
    <w:rsid w:val="00D92BA1"/>
    <w:rsid w:val="00D9424D"/>
    <w:rsid w:val="00D96E46"/>
    <w:rsid w:val="00DA10FF"/>
    <w:rsid w:val="00DA5B8D"/>
    <w:rsid w:val="00DA654E"/>
    <w:rsid w:val="00DA6C66"/>
    <w:rsid w:val="00DA7208"/>
    <w:rsid w:val="00DB2D2D"/>
    <w:rsid w:val="00DB339C"/>
    <w:rsid w:val="00DB34C9"/>
    <w:rsid w:val="00DB6A8F"/>
    <w:rsid w:val="00DC0205"/>
    <w:rsid w:val="00DC0413"/>
    <w:rsid w:val="00DC10A4"/>
    <w:rsid w:val="00DC260F"/>
    <w:rsid w:val="00DC3C58"/>
    <w:rsid w:val="00DC3D61"/>
    <w:rsid w:val="00DC4C5C"/>
    <w:rsid w:val="00DC4FBC"/>
    <w:rsid w:val="00DC6700"/>
    <w:rsid w:val="00DC7131"/>
    <w:rsid w:val="00DD1177"/>
    <w:rsid w:val="00DD7FA1"/>
    <w:rsid w:val="00DE2D86"/>
    <w:rsid w:val="00DE3B2F"/>
    <w:rsid w:val="00DF0C0B"/>
    <w:rsid w:val="00DF24B6"/>
    <w:rsid w:val="00DF45B2"/>
    <w:rsid w:val="00DF4BAC"/>
    <w:rsid w:val="00E01791"/>
    <w:rsid w:val="00E041AC"/>
    <w:rsid w:val="00E05959"/>
    <w:rsid w:val="00E1073E"/>
    <w:rsid w:val="00E10ADC"/>
    <w:rsid w:val="00E12AF9"/>
    <w:rsid w:val="00E13CD5"/>
    <w:rsid w:val="00E144DE"/>
    <w:rsid w:val="00E1466E"/>
    <w:rsid w:val="00E14833"/>
    <w:rsid w:val="00E1569E"/>
    <w:rsid w:val="00E16C85"/>
    <w:rsid w:val="00E2076F"/>
    <w:rsid w:val="00E254A8"/>
    <w:rsid w:val="00E26C89"/>
    <w:rsid w:val="00E311A6"/>
    <w:rsid w:val="00E31C4F"/>
    <w:rsid w:val="00E32CE8"/>
    <w:rsid w:val="00E3655A"/>
    <w:rsid w:val="00E36B28"/>
    <w:rsid w:val="00E40AA4"/>
    <w:rsid w:val="00E41F5F"/>
    <w:rsid w:val="00E42710"/>
    <w:rsid w:val="00E42E42"/>
    <w:rsid w:val="00E522BC"/>
    <w:rsid w:val="00E543F2"/>
    <w:rsid w:val="00E54B57"/>
    <w:rsid w:val="00E616B9"/>
    <w:rsid w:val="00E64B6F"/>
    <w:rsid w:val="00E65924"/>
    <w:rsid w:val="00E7062A"/>
    <w:rsid w:val="00E74B41"/>
    <w:rsid w:val="00E764D1"/>
    <w:rsid w:val="00E80D85"/>
    <w:rsid w:val="00E83C2D"/>
    <w:rsid w:val="00E8601E"/>
    <w:rsid w:val="00E872EE"/>
    <w:rsid w:val="00E876AE"/>
    <w:rsid w:val="00E900E0"/>
    <w:rsid w:val="00E94A81"/>
    <w:rsid w:val="00EA3058"/>
    <w:rsid w:val="00EA7493"/>
    <w:rsid w:val="00EA775B"/>
    <w:rsid w:val="00EB4C40"/>
    <w:rsid w:val="00EB4DD9"/>
    <w:rsid w:val="00EB624C"/>
    <w:rsid w:val="00EC1164"/>
    <w:rsid w:val="00EC627E"/>
    <w:rsid w:val="00EE0EDD"/>
    <w:rsid w:val="00EE36B7"/>
    <w:rsid w:val="00EE44EF"/>
    <w:rsid w:val="00EF1422"/>
    <w:rsid w:val="00EF3002"/>
    <w:rsid w:val="00EF3913"/>
    <w:rsid w:val="00EF560F"/>
    <w:rsid w:val="00EF65B0"/>
    <w:rsid w:val="00EF7E75"/>
    <w:rsid w:val="00F004D4"/>
    <w:rsid w:val="00F00CE1"/>
    <w:rsid w:val="00F0125E"/>
    <w:rsid w:val="00F040A4"/>
    <w:rsid w:val="00F046D6"/>
    <w:rsid w:val="00F11003"/>
    <w:rsid w:val="00F1183A"/>
    <w:rsid w:val="00F126E4"/>
    <w:rsid w:val="00F12F5E"/>
    <w:rsid w:val="00F21E90"/>
    <w:rsid w:val="00F226ED"/>
    <w:rsid w:val="00F22CCA"/>
    <w:rsid w:val="00F22FDB"/>
    <w:rsid w:val="00F23FE0"/>
    <w:rsid w:val="00F24FAA"/>
    <w:rsid w:val="00F26F61"/>
    <w:rsid w:val="00F30180"/>
    <w:rsid w:val="00F31047"/>
    <w:rsid w:val="00F32B6F"/>
    <w:rsid w:val="00F35D03"/>
    <w:rsid w:val="00F365FE"/>
    <w:rsid w:val="00F40649"/>
    <w:rsid w:val="00F41D93"/>
    <w:rsid w:val="00F46870"/>
    <w:rsid w:val="00F46B70"/>
    <w:rsid w:val="00F520A9"/>
    <w:rsid w:val="00F52CFF"/>
    <w:rsid w:val="00F536BE"/>
    <w:rsid w:val="00F56943"/>
    <w:rsid w:val="00F61BF6"/>
    <w:rsid w:val="00F620AB"/>
    <w:rsid w:val="00F64545"/>
    <w:rsid w:val="00F67102"/>
    <w:rsid w:val="00F709AA"/>
    <w:rsid w:val="00F71E96"/>
    <w:rsid w:val="00F72BF4"/>
    <w:rsid w:val="00F7590C"/>
    <w:rsid w:val="00F81777"/>
    <w:rsid w:val="00F84D65"/>
    <w:rsid w:val="00F87172"/>
    <w:rsid w:val="00F90D7D"/>
    <w:rsid w:val="00F91E47"/>
    <w:rsid w:val="00F92507"/>
    <w:rsid w:val="00F9428D"/>
    <w:rsid w:val="00F958B9"/>
    <w:rsid w:val="00FA4284"/>
    <w:rsid w:val="00FA5E2E"/>
    <w:rsid w:val="00FB03C5"/>
    <w:rsid w:val="00FB03D3"/>
    <w:rsid w:val="00FB229C"/>
    <w:rsid w:val="00FB2E48"/>
    <w:rsid w:val="00FB428A"/>
    <w:rsid w:val="00FB489B"/>
    <w:rsid w:val="00FB65E1"/>
    <w:rsid w:val="00FB6BB0"/>
    <w:rsid w:val="00FB6EBE"/>
    <w:rsid w:val="00FC219D"/>
    <w:rsid w:val="00FC2A91"/>
    <w:rsid w:val="00FC314E"/>
    <w:rsid w:val="00FC441D"/>
    <w:rsid w:val="00FC4E73"/>
    <w:rsid w:val="00FD65F4"/>
    <w:rsid w:val="00FD71C8"/>
    <w:rsid w:val="00FD74CC"/>
    <w:rsid w:val="00FE2044"/>
    <w:rsid w:val="00FE368A"/>
    <w:rsid w:val="00FF0698"/>
    <w:rsid w:val="00FF2C3D"/>
    <w:rsid w:val="011E15F8"/>
    <w:rsid w:val="0124391B"/>
    <w:rsid w:val="01340364"/>
    <w:rsid w:val="01653282"/>
    <w:rsid w:val="016B2576"/>
    <w:rsid w:val="017079F6"/>
    <w:rsid w:val="017A73A7"/>
    <w:rsid w:val="018D62E5"/>
    <w:rsid w:val="01922DAC"/>
    <w:rsid w:val="01A10813"/>
    <w:rsid w:val="01AA5DCF"/>
    <w:rsid w:val="02086DD1"/>
    <w:rsid w:val="02096875"/>
    <w:rsid w:val="023F4004"/>
    <w:rsid w:val="026011A7"/>
    <w:rsid w:val="029D05EB"/>
    <w:rsid w:val="02BC6E3E"/>
    <w:rsid w:val="02E6056C"/>
    <w:rsid w:val="02E66489"/>
    <w:rsid w:val="02EA366D"/>
    <w:rsid w:val="02F076F8"/>
    <w:rsid w:val="02FC0890"/>
    <w:rsid w:val="03213326"/>
    <w:rsid w:val="03554DFB"/>
    <w:rsid w:val="035F1C34"/>
    <w:rsid w:val="039543CA"/>
    <w:rsid w:val="03B33244"/>
    <w:rsid w:val="03BB03F0"/>
    <w:rsid w:val="03C2338C"/>
    <w:rsid w:val="03C44BB5"/>
    <w:rsid w:val="03CA2475"/>
    <w:rsid w:val="03D978D4"/>
    <w:rsid w:val="043041D3"/>
    <w:rsid w:val="044A451F"/>
    <w:rsid w:val="04502B00"/>
    <w:rsid w:val="046926C7"/>
    <w:rsid w:val="04930524"/>
    <w:rsid w:val="049A6BC0"/>
    <w:rsid w:val="049F746B"/>
    <w:rsid w:val="04C161C2"/>
    <w:rsid w:val="052D7AAA"/>
    <w:rsid w:val="0541155C"/>
    <w:rsid w:val="05431A26"/>
    <w:rsid w:val="054F3468"/>
    <w:rsid w:val="05721669"/>
    <w:rsid w:val="05762F8F"/>
    <w:rsid w:val="05767FB8"/>
    <w:rsid w:val="05804C64"/>
    <w:rsid w:val="058500B4"/>
    <w:rsid w:val="05AC7BF4"/>
    <w:rsid w:val="05CC57C4"/>
    <w:rsid w:val="05F833A7"/>
    <w:rsid w:val="0603174A"/>
    <w:rsid w:val="0614624B"/>
    <w:rsid w:val="065F4698"/>
    <w:rsid w:val="0678078D"/>
    <w:rsid w:val="06821EEF"/>
    <w:rsid w:val="069809AC"/>
    <w:rsid w:val="069D7ED4"/>
    <w:rsid w:val="0747226A"/>
    <w:rsid w:val="076D0B83"/>
    <w:rsid w:val="07C35286"/>
    <w:rsid w:val="07C631E6"/>
    <w:rsid w:val="07CB41A4"/>
    <w:rsid w:val="08124875"/>
    <w:rsid w:val="08154D08"/>
    <w:rsid w:val="08171156"/>
    <w:rsid w:val="082F75FC"/>
    <w:rsid w:val="084349F8"/>
    <w:rsid w:val="08625508"/>
    <w:rsid w:val="089326E0"/>
    <w:rsid w:val="08AC08E6"/>
    <w:rsid w:val="08AD5056"/>
    <w:rsid w:val="08E3343B"/>
    <w:rsid w:val="092154C7"/>
    <w:rsid w:val="09554073"/>
    <w:rsid w:val="09855E02"/>
    <w:rsid w:val="099A5A28"/>
    <w:rsid w:val="09B15222"/>
    <w:rsid w:val="09BE1F73"/>
    <w:rsid w:val="09C742E1"/>
    <w:rsid w:val="09DD0CF5"/>
    <w:rsid w:val="09E1421F"/>
    <w:rsid w:val="09F930EA"/>
    <w:rsid w:val="09FF54DC"/>
    <w:rsid w:val="0A1603C1"/>
    <w:rsid w:val="0A245448"/>
    <w:rsid w:val="0A7C3F6D"/>
    <w:rsid w:val="0A7D3AE6"/>
    <w:rsid w:val="0A9868F9"/>
    <w:rsid w:val="0AC172E9"/>
    <w:rsid w:val="0ACA060F"/>
    <w:rsid w:val="0AD71E9B"/>
    <w:rsid w:val="0B0B5F07"/>
    <w:rsid w:val="0B516F03"/>
    <w:rsid w:val="0B674F8E"/>
    <w:rsid w:val="0B7D3EDE"/>
    <w:rsid w:val="0B89775E"/>
    <w:rsid w:val="0BCE7EA7"/>
    <w:rsid w:val="0C3928C9"/>
    <w:rsid w:val="0C4718F6"/>
    <w:rsid w:val="0C9C36D5"/>
    <w:rsid w:val="0CBB6787"/>
    <w:rsid w:val="0CE034C0"/>
    <w:rsid w:val="0CE37539"/>
    <w:rsid w:val="0CF63F41"/>
    <w:rsid w:val="0CFE0FC0"/>
    <w:rsid w:val="0D0374E3"/>
    <w:rsid w:val="0D06787E"/>
    <w:rsid w:val="0D0A572F"/>
    <w:rsid w:val="0D0A6306"/>
    <w:rsid w:val="0D16312A"/>
    <w:rsid w:val="0D1B1559"/>
    <w:rsid w:val="0D1C1711"/>
    <w:rsid w:val="0D555176"/>
    <w:rsid w:val="0D6F0E5D"/>
    <w:rsid w:val="0D7B2231"/>
    <w:rsid w:val="0D887BC6"/>
    <w:rsid w:val="0DB1060F"/>
    <w:rsid w:val="0DCD5C93"/>
    <w:rsid w:val="0E016C40"/>
    <w:rsid w:val="0E311BA4"/>
    <w:rsid w:val="0E336A16"/>
    <w:rsid w:val="0E64092D"/>
    <w:rsid w:val="0E7D0AB3"/>
    <w:rsid w:val="0E7D5C8D"/>
    <w:rsid w:val="0E963CAB"/>
    <w:rsid w:val="0EA51F74"/>
    <w:rsid w:val="0EAF1251"/>
    <w:rsid w:val="0ED36ED3"/>
    <w:rsid w:val="0EE6002D"/>
    <w:rsid w:val="0EEE1E26"/>
    <w:rsid w:val="0F00375C"/>
    <w:rsid w:val="0F560D8D"/>
    <w:rsid w:val="0F5764BB"/>
    <w:rsid w:val="0F6257C5"/>
    <w:rsid w:val="0F7A2DB0"/>
    <w:rsid w:val="0FB42DAE"/>
    <w:rsid w:val="0FBB1C4A"/>
    <w:rsid w:val="0FC41391"/>
    <w:rsid w:val="0FC43940"/>
    <w:rsid w:val="0FDE036F"/>
    <w:rsid w:val="0FEA11FB"/>
    <w:rsid w:val="0FF72380"/>
    <w:rsid w:val="10227FC7"/>
    <w:rsid w:val="1029166D"/>
    <w:rsid w:val="108C1B09"/>
    <w:rsid w:val="10F3457C"/>
    <w:rsid w:val="10FE2ED7"/>
    <w:rsid w:val="11160C7D"/>
    <w:rsid w:val="112B3BA0"/>
    <w:rsid w:val="114D5741"/>
    <w:rsid w:val="1155348D"/>
    <w:rsid w:val="116105A8"/>
    <w:rsid w:val="11715E76"/>
    <w:rsid w:val="11746A5F"/>
    <w:rsid w:val="11AA42B6"/>
    <w:rsid w:val="11CB3F36"/>
    <w:rsid w:val="11F15383"/>
    <w:rsid w:val="12065192"/>
    <w:rsid w:val="12125307"/>
    <w:rsid w:val="125F51F7"/>
    <w:rsid w:val="12607E18"/>
    <w:rsid w:val="12D45BF3"/>
    <w:rsid w:val="12E61DF9"/>
    <w:rsid w:val="132C0FC9"/>
    <w:rsid w:val="13DC1C7A"/>
    <w:rsid w:val="13DF6617"/>
    <w:rsid w:val="14127E02"/>
    <w:rsid w:val="14D75725"/>
    <w:rsid w:val="152E1013"/>
    <w:rsid w:val="156845D9"/>
    <w:rsid w:val="156A2131"/>
    <w:rsid w:val="158F2312"/>
    <w:rsid w:val="15A23E67"/>
    <w:rsid w:val="15B74989"/>
    <w:rsid w:val="15E31867"/>
    <w:rsid w:val="15F54513"/>
    <w:rsid w:val="15F54AE8"/>
    <w:rsid w:val="1633512B"/>
    <w:rsid w:val="165F5F88"/>
    <w:rsid w:val="16742C11"/>
    <w:rsid w:val="167D64C8"/>
    <w:rsid w:val="16B243CF"/>
    <w:rsid w:val="16BD3913"/>
    <w:rsid w:val="16C53D0A"/>
    <w:rsid w:val="16D62715"/>
    <w:rsid w:val="16DB7598"/>
    <w:rsid w:val="16E057F3"/>
    <w:rsid w:val="170E104E"/>
    <w:rsid w:val="173B3423"/>
    <w:rsid w:val="174E1EC3"/>
    <w:rsid w:val="174F614E"/>
    <w:rsid w:val="17593F7C"/>
    <w:rsid w:val="179C6BA6"/>
    <w:rsid w:val="17B9383D"/>
    <w:rsid w:val="17C75809"/>
    <w:rsid w:val="17E165CB"/>
    <w:rsid w:val="17EB74E7"/>
    <w:rsid w:val="180D7E99"/>
    <w:rsid w:val="185C66AE"/>
    <w:rsid w:val="186B2AA6"/>
    <w:rsid w:val="1876710A"/>
    <w:rsid w:val="187C3036"/>
    <w:rsid w:val="188D3123"/>
    <w:rsid w:val="18DC4043"/>
    <w:rsid w:val="18DD0937"/>
    <w:rsid w:val="190D6C99"/>
    <w:rsid w:val="19223429"/>
    <w:rsid w:val="19245762"/>
    <w:rsid w:val="19601987"/>
    <w:rsid w:val="19690B66"/>
    <w:rsid w:val="197403CC"/>
    <w:rsid w:val="19B429F8"/>
    <w:rsid w:val="19B72F86"/>
    <w:rsid w:val="19B85E10"/>
    <w:rsid w:val="19BC22D6"/>
    <w:rsid w:val="19E020B8"/>
    <w:rsid w:val="19E8568F"/>
    <w:rsid w:val="1A0265AC"/>
    <w:rsid w:val="1A0D36FE"/>
    <w:rsid w:val="1A230D00"/>
    <w:rsid w:val="1A3106BF"/>
    <w:rsid w:val="1A4A26AB"/>
    <w:rsid w:val="1A4B05C3"/>
    <w:rsid w:val="1A5B6C23"/>
    <w:rsid w:val="1A8717B9"/>
    <w:rsid w:val="1AC6787B"/>
    <w:rsid w:val="1ACB0AE0"/>
    <w:rsid w:val="1AED2EFC"/>
    <w:rsid w:val="1B0D313F"/>
    <w:rsid w:val="1B320224"/>
    <w:rsid w:val="1B6A22C9"/>
    <w:rsid w:val="1B830DA9"/>
    <w:rsid w:val="1BC3044B"/>
    <w:rsid w:val="1BD23808"/>
    <w:rsid w:val="1C1007DD"/>
    <w:rsid w:val="1C3938AC"/>
    <w:rsid w:val="1C3B2B44"/>
    <w:rsid w:val="1C3E68C5"/>
    <w:rsid w:val="1C401C64"/>
    <w:rsid w:val="1C551678"/>
    <w:rsid w:val="1CA677B8"/>
    <w:rsid w:val="1CD6295C"/>
    <w:rsid w:val="1CE44D73"/>
    <w:rsid w:val="1CF20859"/>
    <w:rsid w:val="1D393F6D"/>
    <w:rsid w:val="1D3C017E"/>
    <w:rsid w:val="1D664BF1"/>
    <w:rsid w:val="1D66642C"/>
    <w:rsid w:val="1D772CEF"/>
    <w:rsid w:val="1D817FD4"/>
    <w:rsid w:val="1D97493F"/>
    <w:rsid w:val="1DA958AD"/>
    <w:rsid w:val="1DB84D0E"/>
    <w:rsid w:val="1DDB774B"/>
    <w:rsid w:val="1DF06B0A"/>
    <w:rsid w:val="1E1A291F"/>
    <w:rsid w:val="1E480074"/>
    <w:rsid w:val="1E6854BC"/>
    <w:rsid w:val="1E6C1F65"/>
    <w:rsid w:val="1E784143"/>
    <w:rsid w:val="1E815BA1"/>
    <w:rsid w:val="1E8B3D11"/>
    <w:rsid w:val="1E9D2721"/>
    <w:rsid w:val="1EBD353A"/>
    <w:rsid w:val="1EC27F75"/>
    <w:rsid w:val="1EC865D8"/>
    <w:rsid w:val="1EDB10BF"/>
    <w:rsid w:val="1EF208C3"/>
    <w:rsid w:val="1EFC4767"/>
    <w:rsid w:val="1F0A1B74"/>
    <w:rsid w:val="1F0C32F6"/>
    <w:rsid w:val="1F0D4C5B"/>
    <w:rsid w:val="1F1209A4"/>
    <w:rsid w:val="1F2018E1"/>
    <w:rsid w:val="1F49440C"/>
    <w:rsid w:val="1F7478B7"/>
    <w:rsid w:val="1F7A064D"/>
    <w:rsid w:val="1FCB7610"/>
    <w:rsid w:val="200158E4"/>
    <w:rsid w:val="201F614A"/>
    <w:rsid w:val="2036061A"/>
    <w:rsid w:val="20390284"/>
    <w:rsid w:val="204474F4"/>
    <w:rsid w:val="206308DD"/>
    <w:rsid w:val="206B7CFB"/>
    <w:rsid w:val="20782FE0"/>
    <w:rsid w:val="20956654"/>
    <w:rsid w:val="20BF6B4D"/>
    <w:rsid w:val="20CE49E5"/>
    <w:rsid w:val="20EB177E"/>
    <w:rsid w:val="20EC2AB3"/>
    <w:rsid w:val="20F560A2"/>
    <w:rsid w:val="21075EAE"/>
    <w:rsid w:val="21446D64"/>
    <w:rsid w:val="218E227A"/>
    <w:rsid w:val="219B0E35"/>
    <w:rsid w:val="21B262B5"/>
    <w:rsid w:val="21B97618"/>
    <w:rsid w:val="21C46F29"/>
    <w:rsid w:val="21F15EBD"/>
    <w:rsid w:val="21F82CE7"/>
    <w:rsid w:val="220732D0"/>
    <w:rsid w:val="221B1AA1"/>
    <w:rsid w:val="22493602"/>
    <w:rsid w:val="22871F41"/>
    <w:rsid w:val="22E76720"/>
    <w:rsid w:val="23351427"/>
    <w:rsid w:val="233D075D"/>
    <w:rsid w:val="235A2118"/>
    <w:rsid w:val="23A302C8"/>
    <w:rsid w:val="23AE428F"/>
    <w:rsid w:val="23CA04FD"/>
    <w:rsid w:val="23EF4F44"/>
    <w:rsid w:val="24017C3E"/>
    <w:rsid w:val="2478400A"/>
    <w:rsid w:val="24A977D4"/>
    <w:rsid w:val="24F26F35"/>
    <w:rsid w:val="24FB7B5E"/>
    <w:rsid w:val="25482D76"/>
    <w:rsid w:val="256956B8"/>
    <w:rsid w:val="25830BDD"/>
    <w:rsid w:val="25936C44"/>
    <w:rsid w:val="2595447B"/>
    <w:rsid w:val="25AB53AA"/>
    <w:rsid w:val="25CA6E03"/>
    <w:rsid w:val="25D90F8B"/>
    <w:rsid w:val="26205CFD"/>
    <w:rsid w:val="263B1339"/>
    <w:rsid w:val="263D681D"/>
    <w:rsid w:val="266807FF"/>
    <w:rsid w:val="26911AED"/>
    <w:rsid w:val="26AC098C"/>
    <w:rsid w:val="26AF4030"/>
    <w:rsid w:val="26F02FAB"/>
    <w:rsid w:val="272145E0"/>
    <w:rsid w:val="275E3610"/>
    <w:rsid w:val="276A51E0"/>
    <w:rsid w:val="277B3338"/>
    <w:rsid w:val="277E33C0"/>
    <w:rsid w:val="27ED72B6"/>
    <w:rsid w:val="27F52CFD"/>
    <w:rsid w:val="280C0039"/>
    <w:rsid w:val="282D258B"/>
    <w:rsid w:val="283B0BBB"/>
    <w:rsid w:val="285E0683"/>
    <w:rsid w:val="28854F72"/>
    <w:rsid w:val="28BA186B"/>
    <w:rsid w:val="28D864E0"/>
    <w:rsid w:val="28E32ED5"/>
    <w:rsid w:val="290D5247"/>
    <w:rsid w:val="294F1A4F"/>
    <w:rsid w:val="29814F03"/>
    <w:rsid w:val="298D119C"/>
    <w:rsid w:val="29A0418D"/>
    <w:rsid w:val="29B81621"/>
    <w:rsid w:val="29C749AC"/>
    <w:rsid w:val="29E91BC9"/>
    <w:rsid w:val="29E97234"/>
    <w:rsid w:val="29ED3EB9"/>
    <w:rsid w:val="29F9264C"/>
    <w:rsid w:val="2A546A20"/>
    <w:rsid w:val="2A5471DE"/>
    <w:rsid w:val="2ADE530A"/>
    <w:rsid w:val="2AEC38E2"/>
    <w:rsid w:val="2B21260A"/>
    <w:rsid w:val="2B222ACD"/>
    <w:rsid w:val="2BB2438C"/>
    <w:rsid w:val="2BC22C7B"/>
    <w:rsid w:val="2BCA32A1"/>
    <w:rsid w:val="2C055696"/>
    <w:rsid w:val="2C070392"/>
    <w:rsid w:val="2C2D2F9C"/>
    <w:rsid w:val="2C551389"/>
    <w:rsid w:val="2C863751"/>
    <w:rsid w:val="2C890BE2"/>
    <w:rsid w:val="2CB2362F"/>
    <w:rsid w:val="2CC35888"/>
    <w:rsid w:val="2CDC700C"/>
    <w:rsid w:val="2CEB1449"/>
    <w:rsid w:val="2D4D5DA6"/>
    <w:rsid w:val="2D883B0E"/>
    <w:rsid w:val="2D8B3A56"/>
    <w:rsid w:val="2D9655B5"/>
    <w:rsid w:val="2D9B4C43"/>
    <w:rsid w:val="2DB60C0D"/>
    <w:rsid w:val="2DB66DAF"/>
    <w:rsid w:val="2DB676C5"/>
    <w:rsid w:val="2DED7AC1"/>
    <w:rsid w:val="2DF55C0B"/>
    <w:rsid w:val="2E007F3F"/>
    <w:rsid w:val="2E034032"/>
    <w:rsid w:val="2E110ADE"/>
    <w:rsid w:val="2E29498D"/>
    <w:rsid w:val="2E2E141D"/>
    <w:rsid w:val="2E521653"/>
    <w:rsid w:val="2E6D15F0"/>
    <w:rsid w:val="2E7B7104"/>
    <w:rsid w:val="2E7C7DB1"/>
    <w:rsid w:val="2E926146"/>
    <w:rsid w:val="2E9E2680"/>
    <w:rsid w:val="2EB7183E"/>
    <w:rsid w:val="2EBF5D80"/>
    <w:rsid w:val="2EC67B81"/>
    <w:rsid w:val="2EED184C"/>
    <w:rsid w:val="2F946053"/>
    <w:rsid w:val="2FB111C0"/>
    <w:rsid w:val="2FB250EE"/>
    <w:rsid w:val="2FBE1727"/>
    <w:rsid w:val="300A04DE"/>
    <w:rsid w:val="302A58D2"/>
    <w:rsid w:val="3034564F"/>
    <w:rsid w:val="306B6815"/>
    <w:rsid w:val="307811E2"/>
    <w:rsid w:val="308B7EDE"/>
    <w:rsid w:val="308C1105"/>
    <w:rsid w:val="308D292D"/>
    <w:rsid w:val="30996E7C"/>
    <w:rsid w:val="30BB7024"/>
    <w:rsid w:val="30E363D4"/>
    <w:rsid w:val="30E72B9B"/>
    <w:rsid w:val="311F4CAE"/>
    <w:rsid w:val="31386DF1"/>
    <w:rsid w:val="31461845"/>
    <w:rsid w:val="319B49F2"/>
    <w:rsid w:val="31DA1919"/>
    <w:rsid w:val="31DB702A"/>
    <w:rsid w:val="31ED18E3"/>
    <w:rsid w:val="31EE3D4C"/>
    <w:rsid w:val="322B69F3"/>
    <w:rsid w:val="32950F56"/>
    <w:rsid w:val="32997C5C"/>
    <w:rsid w:val="329F5D83"/>
    <w:rsid w:val="32AE67FE"/>
    <w:rsid w:val="32BF1974"/>
    <w:rsid w:val="32C40656"/>
    <w:rsid w:val="32C67030"/>
    <w:rsid w:val="32EF63BD"/>
    <w:rsid w:val="3300581E"/>
    <w:rsid w:val="331204DD"/>
    <w:rsid w:val="332D317D"/>
    <w:rsid w:val="3371460F"/>
    <w:rsid w:val="337F32F4"/>
    <w:rsid w:val="338623B5"/>
    <w:rsid w:val="33897800"/>
    <w:rsid w:val="33C12B14"/>
    <w:rsid w:val="33C77CE4"/>
    <w:rsid w:val="347608AD"/>
    <w:rsid w:val="34B2648F"/>
    <w:rsid w:val="34B45F97"/>
    <w:rsid w:val="34C533CE"/>
    <w:rsid w:val="34DE1476"/>
    <w:rsid w:val="34E7797D"/>
    <w:rsid w:val="350100F6"/>
    <w:rsid w:val="35081CE0"/>
    <w:rsid w:val="353225AF"/>
    <w:rsid w:val="35330164"/>
    <w:rsid w:val="35372BEB"/>
    <w:rsid w:val="357D18D4"/>
    <w:rsid w:val="3583106D"/>
    <w:rsid w:val="358D6E27"/>
    <w:rsid w:val="35AB1587"/>
    <w:rsid w:val="35DD7083"/>
    <w:rsid w:val="35E16CDF"/>
    <w:rsid w:val="35F51443"/>
    <w:rsid w:val="35FB01E4"/>
    <w:rsid w:val="35FC2475"/>
    <w:rsid w:val="36000DEE"/>
    <w:rsid w:val="361075AA"/>
    <w:rsid w:val="3619247E"/>
    <w:rsid w:val="361C32E3"/>
    <w:rsid w:val="362D1EA8"/>
    <w:rsid w:val="363B4F21"/>
    <w:rsid w:val="36452244"/>
    <w:rsid w:val="365325D3"/>
    <w:rsid w:val="36604074"/>
    <w:rsid w:val="367A4AE9"/>
    <w:rsid w:val="36C733A6"/>
    <w:rsid w:val="36CF0F85"/>
    <w:rsid w:val="36F24313"/>
    <w:rsid w:val="37096D47"/>
    <w:rsid w:val="37176A8D"/>
    <w:rsid w:val="371C4C0A"/>
    <w:rsid w:val="372F0C76"/>
    <w:rsid w:val="37332780"/>
    <w:rsid w:val="37461637"/>
    <w:rsid w:val="37603C70"/>
    <w:rsid w:val="37906037"/>
    <w:rsid w:val="37B107DF"/>
    <w:rsid w:val="37EC2340"/>
    <w:rsid w:val="383306CA"/>
    <w:rsid w:val="388F3360"/>
    <w:rsid w:val="38B60CED"/>
    <w:rsid w:val="38BD57EE"/>
    <w:rsid w:val="38BE3ED1"/>
    <w:rsid w:val="38C66435"/>
    <w:rsid w:val="38C72C82"/>
    <w:rsid w:val="38D0712F"/>
    <w:rsid w:val="390147D5"/>
    <w:rsid w:val="391E4543"/>
    <w:rsid w:val="39297CD8"/>
    <w:rsid w:val="394064F4"/>
    <w:rsid w:val="39555064"/>
    <w:rsid w:val="39DB0183"/>
    <w:rsid w:val="39E16FE0"/>
    <w:rsid w:val="3A005687"/>
    <w:rsid w:val="3A084041"/>
    <w:rsid w:val="3A0C5A88"/>
    <w:rsid w:val="3A22197C"/>
    <w:rsid w:val="3A3E0FB0"/>
    <w:rsid w:val="3AC6747A"/>
    <w:rsid w:val="3AC8207F"/>
    <w:rsid w:val="3AF172AC"/>
    <w:rsid w:val="3B22543A"/>
    <w:rsid w:val="3B311067"/>
    <w:rsid w:val="3B6C3AF0"/>
    <w:rsid w:val="3B8C10A4"/>
    <w:rsid w:val="3BA5009C"/>
    <w:rsid w:val="3BE00A47"/>
    <w:rsid w:val="3C0E4B8A"/>
    <w:rsid w:val="3C1E52CF"/>
    <w:rsid w:val="3C3057C7"/>
    <w:rsid w:val="3C8056A3"/>
    <w:rsid w:val="3CA95D3D"/>
    <w:rsid w:val="3CC83A56"/>
    <w:rsid w:val="3CCC31AE"/>
    <w:rsid w:val="3CF30D75"/>
    <w:rsid w:val="3D1F4448"/>
    <w:rsid w:val="3DA151C8"/>
    <w:rsid w:val="3DC00F9C"/>
    <w:rsid w:val="3DCF21E6"/>
    <w:rsid w:val="3DCF76E3"/>
    <w:rsid w:val="3E0301DA"/>
    <w:rsid w:val="3E1B096F"/>
    <w:rsid w:val="3E2B66F1"/>
    <w:rsid w:val="3E2F3297"/>
    <w:rsid w:val="3E432B3C"/>
    <w:rsid w:val="3E440CAA"/>
    <w:rsid w:val="3E6C6867"/>
    <w:rsid w:val="3EDC70DA"/>
    <w:rsid w:val="3EEA6653"/>
    <w:rsid w:val="3F1F063F"/>
    <w:rsid w:val="3F344A27"/>
    <w:rsid w:val="3F395DA7"/>
    <w:rsid w:val="3F3D1A00"/>
    <w:rsid w:val="3F693D1E"/>
    <w:rsid w:val="3F7C08BE"/>
    <w:rsid w:val="3F8C4BB5"/>
    <w:rsid w:val="3FAF1BDB"/>
    <w:rsid w:val="3FAF36F8"/>
    <w:rsid w:val="3FFA2F37"/>
    <w:rsid w:val="402F10B7"/>
    <w:rsid w:val="40BE135F"/>
    <w:rsid w:val="40C84DC0"/>
    <w:rsid w:val="40E63087"/>
    <w:rsid w:val="40EE74C4"/>
    <w:rsid w:val="41021FF2"/>
    <w:rsid w:val="413B7C4F"/>
    <w:rsid w:val="41417772"/>
    <w:rsid w:val="417047AC"/>
    <w:rsid w:val="417D2BF0"/>
    <w:rsid w:val="41D74163"/>
    <w:rsid w:val="41EC7D00"/>
    <w:rsid w:val="41FE21BE"/>
    <w:rsid w:val="420402E9"/>
    <w:rsid w:val="42040900"/>
    <w:rsid w:val="42227488"/>
    <w:rsid w:val="4251106B"/>
    <w:rsid w:val="42531840"/>
    <w:rsid w:val="42856D8B"/>
    <w:rsid w:val="429814D9"/>
    <w:rsid w:val="42A677C5"/>
    <w:rsid w:val="42B73177"/>
    <w:rsid w:val="42D66CA8"/>
    <w:rsid w:val="42FE679E"/>
    <w:rsid w:val="43131DC9"/>
    <w:rsid w:val="43315492"/>
    <w:rsid w:val="4363130B"/>
    <w:rsid w:val="437D6BB8"/>
    <w:rsid w:val="43C42B2A"/>
    <w:rsid w:val="43D80BD9"/>
    <w:rsid w:val="43DD39C4"/>
    <w:rsid w:val="43E1472A"/>
    <w:rsid w:val="44060E88"/>
    <w:rsid w:val="44070D31"/>
    <w:rsid w:val="446620DC"/>
    <w:rsid w:val="44994749"/>
    <w:rsid w:val="44B17375"/>
    <w:rsid w:val="44CB06C6"/>
    <w:rsid w:val="44D96A59"/>
    <w:rsid w:val="451413DC"/>
    <w:rsid w:val="455F04A3"/>
    <w:rsid w:val="458A0E9B"/>
    <w:rsid w:val="45AA21AA"/>
    <w:rsid w:val="45B03354"/>
    <w:rsid w:val="45BE3AA1"/>
    <w:rsid w:val="45D77AC2"/>
    <w:rsid w:val="460D03A3"/>
    <w:rsid w:val="46170337"/>
    <w:rsid w:val="46BC4D6B"/>
    <w:rsid w:val="4709536A"/>
    <w:rsid w:val="47346345"/>
    <w:rsid w:val="474C22E0"/>
    <w:rsid w:val="475F108B"/>
    <w:rsid w:val="479E0BF9"/>
    <w:rsid w:val="47CC2CBF"/>
    <w:rsid w:val="47E859E5"/>
    <w:rsid w:val="48015AC2"/>
    <w:rsid w:val="48026040"/>
    <w:rsid w:val="4806597B"/>
    <w:rsid w:val="4818686D"/>
    <w:rsid w:val="48290EA1"/>
    <w:rsid w:val="482F00F2"/>
    <w:rsid w:val="485D3FFB"/>
    <w:rsid w:val="485E3463"/>
    <w:rsid w:val="48985421"/>
    <w:rsid w:val="48A90E72"/>
    <w:rsid w:val="48B66A37"/>
    <w:rsid w:val="48D90BAA"/>
    <w:rsid w:val="48F60966"/>
    <w:rsid w:val="48F71B49"/>
    <w:rsid w:val="49022E3C"/>
    <w:rsid w:val="493A64D3"/>
    <w:rsid w:val="49563556"/>
    <w:rsid w:val="495B46CC"/>
    <w:rsid w:val="49791ED9"/>
    <w:rsid w:val="4994738B"/>
    <w:rsid w:val="49BA4E94"/>
    <w:rsid w:val="49C47816"/>
    <w:rsid w:val="49D96ACF"/>
    <w:rsid w:val="49F65120"/>
    <w:rsid w:val="49FA32DA"/>
    <w:rsid w:val="49FF6276"/>
    <w:rsid w:val="4A106B86"/>
    <w:rsid w:val="4A4354C2"/>
    <w:rsid w:val="4A474308"/>
    <w:rsid w:val="4A5934BB"/>
    <w:rsid w:val="4A6855C7"/>
    <w:rsid w:val="4A720EEF"/>
    <w:rsid w:val="4A8926F4"/>
    <w:rsid w:val="4AA91B97"/>
    <w:rsid w:val="4AAF31B1"/>
    <w:rsid w:val="4AD706A1"/>
    <w:rsid w:val="4B301A82"/>
    <w:rsid w:val="4B313227"/>
    <w:rsid w:val="4B434E7D"/>
    <w:rsid w:val="4B6603D5"/>
    <w:rsid w:val="4B7E054D"/>
    <w:rsid w:val="4B8E5A73"/>
    <w:rsid w:val="4B9716E8"/>
    <w:rsid w:val="4B981AFB"/>
    <w:rsid w:val="4BFB0D39"/>
    <w:rsid w:val="4C165BC1"/>
    <w:rsid w:val="4C2E05AB"/>
    <w:rsid w:val="4C3460DC"/>
    <w:rsid w:val="4C41266C"/>
    <w:rsid w:val="4C751E30"/>
    <w:rsid w:val="4C7B2918"/>
    <w:rsid w:val="4C93465E"/>
    <w:rsid w:val="4C940FE0"/>
    <w:rsid w:val="4CC833B3"/>
    <w:rsid w:val="4CEE7232"/>
    <w:rsid w:val="4D1D334B"/>
    <w:rsid w:val="4D1F5259"/>
    <w:rsid w:val="4D1F766E"/>
    <w:rsid w:val="4D310CE0"/>
    <w:rsid w:val="4D6B61CD"/>
    <w:rsid w:val="4D7609DC"/>
    <w:rsid w:val="4D764358"/>
    <w:rsid w:val="4DA274F8"/>
    <w:rsid w:val="4DCB4C25"/>
    <w:rsid w:val="4DCD485F"/>
    <w:rsid w:val="4DEC7F03"/>
    <w:rsid w:val="4DF9198D"/>
    <w:rsid w:val="4E19786B"/>
    <w:rsid w:val="4E3C460A"/>
    <w:rsid w:val="4E3E69BC"/>
    <w:rsid w:val="4E3F10A8"/>
    <w:rsid w:val="4E4B26D4"/>
    <w:rsid w:val="4E547C4C"/>
    <w:rsid w:val="4E6B3D76"/>
    <w:rsid w:val="4E751922"/>
    <w:rsid w:val="4E7F48DD"/>
    <w:rsid w:val="4E846489"/>
    <w:rsid w:val="4E874D01"/>
    <w:rsid w:val="4E931ECD"/>
    <w:rsid w:val="4EB34DD0"/>
    <w:rsid w:val="4ECE788B"/>
    <w:rsid w:val="4F1E5F93"/>
    <w:rsid w:val="4F52155B"/>
    <w:rsid w:val="4F5416EE"/>
    <w:rsid w:val="4F573C87"/>
    <w:rsid w:val="4F5802AB"/>
    <w:rsid w:val="4F604D99"/>
    <w:rsid w:val="4F6F1C9B"/>
    <w:rsid w:val="4F9B3E73"/>
    <w:rsid w:val="4FAF1E86"/>
    <w:rsid w:val="50181D1A"/>
    <w:rsid w:val="502E4BEA"/>
    <w:rsid w:val="505A2966"/>
    <w:rsid w:val="507B2640"/>
    <w:rsid w:val="508B5174"/>
    <w:rsid w:val="50A8231C"/>
    <w:rsid w:val="50B05815"/>
    <w:rsid w:val="50FE62A2"/>
    <w:rsid w:val="51032870"/>
    <w:rsid w:val="51062C7C"/>
    <w:rsid w:val="510A1923"/>
    <w:rsid w:val="5120599C"/>
    <w:rsid w:val="51205C57"/>
    <w:rsid w:val="5145465F"/>
    <w:rsid w:val="515E708D"/>
    <w:rsid w:val="5169663D"/>
    <w:rsid w:val="51C80F05"/>
    <w:rsid w:val="51E03A19"/>
    <w:rsid w:val="520D6F4A"/>
    <w:rsid w:val="52563E44"/>
    <w:rsid w:val="527F2428"/>
    <w:rsid w:val="52870E84"/>
    <w:rsid w:val="52BC1638"/>
    <w:rsid w:val="52D070F5"/>
    <w:rsid w:val="52D723B0"/>
    <w:rsid w:val="52FF75B0"/>
    <w:rsid w:val="534E0590"/>
    <w:rsid w:val="53AD4E07"/>
    <w:rsid w:val="540727CA"/>
    <w:rsid w:val="5415503F"/>
    <w:rsid w:val="543E07CB"/>
    <w:rsid w:val="54546A52"/>
    <w:rsid w:val="549B37D5"/>
    <w:rsid w:val="54B61333"/>
    <w:rsid w:val="54CD13A5"/>
    <w:rsid w:val="54CE60A9"/>
    <w:rsid w:val="54D71C0F"/>
    <w:rsid w:val="552134EF"/>
    <w:rsid w:val="55346F44"/>
    <w:rsid w:val="556548A8"/>
    <w:rsid w:val="556B26A8"/>
    <w:rsid w:val="556E70B3"/>
    <w:rsid w:val="55780BB3"/>
    <w:rsid w:val="557E5388"/>
    <w:rsid w:val="558420D1"/>
    <w:rsid w:val="559D25E7"/>
    <w:rsid w:val="55B8599C"/>
    <w:rsid w:val="55C51D6D"/>
    <w:rsid w:val="55EC16DE"/>
    <w:rsid w:val="55FB7AE9"/>
    <w:rsid w:val="564C3BAF"/>
    <w:rsid w:val="567C73D4"/>
    <w:rsid w:val="56971C9D"/>
    <w:rsid w:val="56A13FD5"/>
    <w:rsid w:val="56AF212C"/>
    <w:rsid w:val="56B22FD9"/>
    <w:rsid w:val="56CD35B6"/>
    <w:rsid w:val="56CD5DF2"/>
    <w:rsid w:val="56EF0E1E"/>
    <w:rsid w:val="56F55E75"/>
    <w:rsid w:val="57085025"/>
    <w:rsid w:val="570925BD"/>
    <w:rsid w:val="574A01C9"/>
    <w:rsid w:val="57683EB8"/>
    <w:rsid w:val="57C970C0"/>
    <w:rsid w:val="57CD20EB"/>
    <w:rsid w:val="57F8518C"/>
    <w:rsid w:val="58055912"/>
    <w:rsid w:val="580F5F80"/>
    <w:rsid w:val="587161E6"/>
    <w:rsid w:val="588E2186"/>
    <w:rsid w:val="588F79F3"/>
    <w:rsid w:val="58B06C41"/>
    <w:rsid w:val="58B438DB"/>
    <w:rsid w:val="58BC2BEA"/>
    <w:rsid w:val="58C37E45"/>
    <w:rsid w:val="58E50E83"/>
    <w:rsid w:val="58F637C8"/>
    <w:rsid w:val="58FA1C78"/>
    <w:rsid w:val="590F2C96"/>
    <w:rsid w:val="59114924"/>
    <w:rsid w:val="591E35A8"/>
    <w:rsid w:val="594A0D9A"/>
    <w:rsid w:val="59530AC8"/>
    <w:rsid w:val="596140D0"/>
    <w:rsid w:val="596F395C"/>
    <w:rsid w:val="5976348A"/>
    <w:rsid w:val="59835F75"/>
    <w:rsid w:val="598A1B97"/>
    <w:rsid w:val="59A8766A"/>
    <w:rsid w:val="59BB5DF4"/>
    <w:rsid w:val="59F438C7"/>
    <w:rsid w:val="59FB7D2C"/>
    <w:rsid w:val="5A2C7FF6"/>
    <w:rsid w:val="5A35296A"/>
    <w:rsid w:val="5A626BF7"/>
    <w:rsid w:val="5AB57BF3"/>
    <w:rsid w:val="5ABF7889"/>
    <w:rsid w:val="5ACA0880"/>
    <w:rsid w:val="5AEC5D6B"/>
    <w:rsid w:val="5B05040A"/>
    <w:rsid w:val="5B17524C"/>
    <w:rsid w:val="5B530B81"/>
    <w:rsid w:val="5B5A43D2"/>
    <w:rsid w:val="5B6202AD"/>
    <w:rsid w:val="5B6A0214"/>
    <w:rsid w:val="5B6A078A"/>
    <w:rsid w:val="5B725AC7"/>
    <w:rsid w:val="5B7D66A9"/>
    <w:rsid w:val="5B7F6419"/>
    <w:rsid w:val="5B827C48"/>
    <w:rsid w:val="5B8B15FE"/>
    <w:rsid w:val="5BAC00C5"/>
    <w:rsid w:val="5BB03FDE"/>
    <w:rsid w:val="5BEC6454"/>
    <w:rsid w:val="5BF36CFF"/>
    <w:rsid w:val="5C003D71"/>
    <w:rsid w:val="5C62594C"/>
    <w:rsid w:val="5C814268"/>
    <w:rsid w:val="5C86422F"/>
    <w:rsid w:val="5CBD6243"/>
    <w:rsid w:val="5CEB1947"/>
    <w:rsid w:val="5CFB35C0"/>
    <w:rsid w:val="5CFE0B84"/>
    <w:rsid w:val="5D107DC0"/>
    <w:rsid w:val="5D2A2F13"/>
    <w:rsid w:val="5D2D4F79"/>
    <w:rsid w:val="5D626994"/>
    <w:rsid w:val="5D880F63"/>
    <w:rsid w:val="5DA455A5"/>
    <w:rsid w:val="5DAC00DF"/>
    <w:rsid w:val="5DAF1081"/>
    <w:rsid w:val="5DB07439"/>
    <w:rsid w:val="5DC4160C"/>
    <w:rsid w:val="5DCE69CD"/>
    <w:rsid w:val="5DCF2EB6"/>
    <w:rsid w:val="5DF5356B"/>
    <w:rsid w:val="5E0B0FBC"/>
    <w:rsid w:val="5E0B226E"/>
    <w:rsid w:val="5E4B0CBE"/>
    <w:rsid w:val="5E773F6F"/>
    <w:rsid w:val="5E7D14CB"/>
    <w:rsid w:val="5E84241E"/>
    <w:rsid w:val="5E9616E7"/>
    <w:rsid w:val="5E982EE0"/>
    <w:rsid w:val="5EB714AD"/>
    <w:rsid w:val="5EDE105F"/>
    <w:rsid w:val="5F37360D"/>
    <w:rsid w:val="5F49229E"/>
    <w:rsid w:val="5F61731D"/>
    <w:rsid w:val="5F684F25"/>
    <w:rsid w:val="5F6E48EF"/>
    <w:rsid w:val="5F7073BF"/>
    <w:rsid w:val="5F760A23"/>
    <w:rsid w:val="5F817211"/>
    <w:rsid w:val="5F914557"/>
    <w:rsid w:val="5FA66240"/>
    <w:rsid w:val="5FC554F9"/>
    <w:rsid w:val="5FC6028B"/>
    <w:rsid w:val="5FCB6C9D"/>
    <w:rsid w:val="5FDF438C"/>
    <w:rsid w:val="5FED4422"/>
    <w:rsid w:val="600F3C6C"/>
    <w:rsid w:val="603431AE"/>
    <w:rsid w:val="604A6D49"/>
    <w:rsid w:val="60645F1B"/>
    <w:rsid w:val="60AB0DF5"/>
    <w:rsid w:val="60C61CEC"/>
    <w:rsid w:val="60D7093C"/>
    <w:rsid w:val="60EC2501"/>
    <w:rsid w:val="60EF79BC"/>
    <w:rsid w:val="60F87F31"/>
    <w:rsid w:val="61104A26"/>
    <w:rsid w:val="61240A21"/>
    <w:rsid w:val="61374820"/>
    <w:rsid w:val="61471A2E"/>
    <w:rsid w:val="6148017D"/>
    <w:rsid w:val="614A0AA6"/>
    <w:rsid w:val="616022A7"/>
    <w:rsid w:val="61807D53"/>
    <w:rsid w:val="6199549E"/>
    <w:rsid w:val="61DD4B30"/>
    <w:rsid w:val="62405901"/>
    <w:rsid w:val="626A0712"/>
    <w:rsid w:val="62990AE3"/>
    <w:rsid w:val="62E658D4"/>
    <w:rsid w:val="63586784"/>
    <w:rsid w:val="6371469D"/>
    <w:rsid w:val="63750C45"/>
    <w:rsid w:val="6384606B"/>
    <w:rsid w:val="63916F28"/>
    <w:rsid w:val="642549B8"/>
    <w:rsid w:val="642678DA"/>
    <w:rsid w:val="643B0262"/>
    <w:rsid w:val="6443661D"/>
    <w:rsid w:val="64814DC1"/>
    <w:rsid w:val="651B5E29"/>
    <w:rsid w:val="65220114"/>
    <w:rsid w:val="652D0934"/>
    <w:rsid w:val="652F3D17"/>
    <w:rsid w:val="653063AB"/>
    <w:rsid w:val="6536207A"/>
    <w:rsid w:val="65B473BF"/>
    <w:rsid w:val="65EF0909"/>
    <w:rsid w:val="65FE13CB"/>
    <w:rsid w:val="66130CF9"/>
    <w:rsid w:val="66345BE8"/>
    <w:rsid w:val="66365C97"/>
    <w:rsid w:val="667A6F0C"/>
    <w:rsid w:val="668460E0"/>
    <w:rsid w:val="669E44D1"/>
    <w:rsid w:val="66BC5967"/>
    <w:rsid w:val="66CD7E07"/>
    <w:rsid w:val="66CE14BB"/>
    <w:rsid w:val="66E32850"/>
    <w:rsid w:val="66F37FC3"/>
    <w:rsid w:val="670E0CB6"/>
    <w:rsid w:val="67113266"/>
    <w:rsid w:val="675E17FD"/>
    <w:rsid w:val="676E458A"/>
    <w:rsid w:val="67DE5F73"/>
    <w:rsid w:val="68026E74"/>
    <w:rsid w:val="680B110A"/>
    <w:rsid w:val="6826276A"/>
    <w:rsid w:val="683D512D"/>
    <w:rsid w:val="684D472B"/>
    <w:rsid w:val="686E5BB4"/>
    <w:rsid w:val="68A62B31"/>
    <w:rsid w:val="68BE5593"/>
    <w:rsid w:val="68F631D5"/>
    <w:rsid w:val="691124A6"/>
    <w:rsid w:val="692D4180"/>
    <w:rsid w:val="694C5544"/>
    <w:rsid w:val="696A7D45"/>
    <w:rsid w:val="698B1EAA"/>
    <w:rsid w:val="6991300A"/>
    <w:rsid w:val="69B11567"/>
    <w:rsid w:val="6A0B7CAC"/>
    <w:rsid w:val="6A1C06D4"/>
    <w:rsid w:val="6A3F4B44"/>
    <w:rsid w:val="6A767940"/>
    <w:rsid w:val="6A8702CE"/>
    <w:rsid w:val="6A96278C"/>
    <w:rsid w:val="6AAB6638"/>
    <w:rsid w:val="6AB3586A"/>
    <w:rsid w:val="6ADB3CEE"/>
    <w:rsid w:val="6AEC7FA6"/>
    <w:rsid w:val="6B015D49"/>
    <w:rsid w:val="6B4A06B0"/>
    <w:rsid w:val="6B526AFF"/>
    <w:rsid w:val="6B547775"/>
    <w:rsid w:val="6B8C5DC0"/>
    <w:rsid w:val="6B926804"/>
    <w:rsid w:val="6BD85211"/>
    <w:rsid w:val="6BE1256C"/>
    <w:rsid w:val="6BEA4587"/>
    <w:rsid w:val="6BF17577"/>
    <w:rsid w:val="6BF302FF"/>
    <w:rsid w:val="6BFF58F6"/>
    <w:rsid w:val="6C1A0D74"/>
    <w:rsid w:val="6C22550C"/>
    <w:rsid w:val="6C6626E3"/>
    <w:rsid w:val="6C662C4E"/>
    <w:rsid w:val="6C6E2AEC"/>
    <w:rsid w:val="6C762D8F"/>
    <w:rsid w:val="6CB96FFB"/>
    <w:rsid w:val="6CBE1C6F"/>
    <w:rsid w:val="6CDB2174"/>
    <w:rsid w:val="6CF62758"/>
    <w:rsid w:val="6D3163D3"/>
    <w:rsid w:val="6D34441D"/>
    <w:rsid w:val="6D3B47A6"/>
    <w:rsid w:val="6D483DE7"/>
    <w:rsid w:val="6D4E7533"/>
    <w:rsid w:val="6D7664AF"/>
    <w:rsid w:val="6D8C5F9F"/>
    <w:rsid w:val="6D8F609F"/>
    <w:rsid w:val="6DCE79C6"/>
    <w:rsid w:val="6DF47F72"/>
    <w:rsid w:val="6E093526"/>
    <w:rsid w:val="6E0B43ED"/>
    <w:rsid w:val="6E1B3F67"/>
    <w:rsid w:val="6E202BC7"/>
    <w:rsid w:val="6E690C17"/>
    <w:rsid w:val="6E7D1507"/>
    <w:rsid w:val="6E9E6DE2"/>
    <w:rsid w:val="6EB47DBF"/>
    <w:rsid w:val="6ECC2F07"/>
    <w:rsid w:val="6EE06106"/>
    <w:rsid w:val="6F655E08"/>
    <w:rsid w:val="6F9E422F"/>
    <w:rsid w:val="6F9F02B2"/>
    <w:rsid w:val="6FC27461"/>
    <w:rsid w:val="6FC71D13"/>
    <w:rsid w:val="6FDF692D"/>
    <w:rsid w:val="70004EC4"/>
    <w:rsid w:val="70054296"/>
    <w:rsid w:val="708176D1"/>
    <w:rsid w:val="70D03517"/>
    <w:rsid w:val="70D46B74"/>
    <w:rsid w:val="70E43CE1"/>
    <w:rsid w:val="710F1327"/>
    <w:rsid w:val="71273FA1"/>
    <w:rsid w:val="715F3DE9"/>
    <w:rsid w:val="71A34F9A"/>
    <w:rsid w:val="72245008"/>
    <w:rsid w:val="7224755A"/>
    <w:rsid w:val="72346A12"/>
    <w:rsid w:val="72537A2C"/>
    <w:rsid w:val="727A5785"/>
    <w:rsid w:val="72A539E6"/>
    <w:rsid w:val="730048C9"/>
    <w:rsid w:val="731A55B0"/>
    <w:rsid w:val="73511E13"/>
    <w:rsid w:val="735A56D9"/>
    <w:rsid w:val="738E738B"/>
    <w:rsid w:val="73A159D5"/>
    <w:rsid w:val="73EB2712"/>
    <w:rsid w:val="73FD4900"/>
    <w:rsid w:val="744317E0"/>
    <w:rsid w:val="74450F3F"/>
    <w:rsid w:val="745665A3"/>
    <w:rsid w:val="746F221E"/>
    <w:rsid w:val="746F4466"/>
    <w:rsid w:val="74711172"/>
    <w:rsid w:val="74BE27A9"/>
    <w:rsid w:val="74C306D0"/>
    <w:rsid w:val="752141B2"/>
    <w:rsid w:val="756273A8"/>
    <w:rsid w:val="756375D4"/>
    <w:rsid w:val="75800318"/>
    <w:rsid w:val="758B51E5"/>
    <w:rsid w:val="7594786A"/>
    <w:rsid w:val="75952B4B"/>
    <w:rsid w:val="75A91B7B"/>
    <w:rsid w:val="75F3613A"/>
    <w:rsid w:val="75F46F2C"/>
    <w:rsid w:val="76087A16"/>
    <w:rsid w:val="763F7892"/>
    <w:rsid w:val="7674730B"/>
    <w:rsid w:val="7683775D"/>
    <w:rsid w:val="76C30678"/>
    <w:rsid w:val="76E917F2"/>
    <w:rsid w:val="76F06858"/>
    <w:rsid w:val="7713302C"/>
    <w:rsid w:val="77136A2D"/>
    <w:rsid w:val="773F00B5"/>
    <w:rsid w:val="776F655D"/>
    <w:rsid w:val="778911F3"/>
    <w:rsid w:val="778F6DA7"/>
    <w:rsid w:val="77991202"/>
    <w:rsid w:val="77A271B3"/>
    <w:rsid w:val="77AD1753"/>
    <w:rsid w:val="77AF5682"/>
    <w:rsid w:val="77CB5AC9"/>
    <w:rsid w:val="78194131"/>
    <w:rsid w:val="782112B1"/>
    <w:rsid w:val="782C408D"/>
    <w:rsid w:val="7879346A"/>
    <w:rsid w:val="78BE4335"/>
    <w:rsid w:val="78C651E8"/>
    <w:rsid w:val="78C718E2"/>
    <w:rsid w:val="78DB0A49"/>
    <w:rsid w:val="78F2466F"/>
    <w:rsid w:val="79132357"/>
    <w:rsid w:val="792B1401"/>
    <w:rsid w:val="793C03C5"/>
    <w:rsid w:val="79474056"/>
    <w:rsid w:val="79650D4B"/>
    <w:rsid w:val="79845813"/>
    <w:rsid w:val="79BB424A"/>
    <w:rsid w:val="79C40F42"/>
    <w:rsid w:val="79C91C92"/>
    <w:rsid w:val="79CE6679"/>
    <w:rsid w:val="7A0B5E51"/>
    <w:rsid w:val="7A110017"/>
    <w:rsid w:val="7A343FE5"/>
    <w:rsid w:val="7A557FF1"/>
    <w:rsid w:val="7A5D0C82"/>
    <w:rsid w:val="7AA349F6"/>
    <w:rsid w:val="7ACD61FF"/>
    <w:rsid w:val="7B2F5EA3"/>
    <w:rsid w:val="7B436CC4"/>
    <w:rsid w:val="7B4F0952"/>
    <w:rsid w:val="7B5C4060"/>
    <w:rsid w:val="7BB33E9C"/>
    <w:rsid w:val="7BB61BF2"/>
    <w:rsid w:val="7BCC7612"/>
    <w:rsid w:val="7BD63BC4"/>
    <w:rsid w:val="7BE01F2B"/>
    <w:rsid w:val="7BF13B58"/>
    <w:rsid w:val="7C1C212F"/>
    <w:rsid w:val="7C2A1290"/>
    <w:rsid w:val="7C5108ED"/>
    <w:rsid w:val="7C637794"/>
    <w:rsid w:val="7C872DCE"/>
    <w:rsid w:val="7C8D4593"/>
    <w:rsid w:val="7C9C6253"/>
    <w:rsid w:val="7CA22103"/>
    <w:rsid w:val="7CAA158F"/>
    <w:rsid w:val="7CC54136"/>
    <w:rsid w:val="7CFF4D5A"/>
    <w:rsid w:val="7D1F324E"/>
    <w:rsid w:val="7D300344"/>
    <w:rsid w:val="7D340618"/>
    <w:rsid w:val="7D7410DF"/>
    <w:rsid w:val="7D812EA1"/>
    <w:rsid w:val="7D8D0E31"/>
    <w:rsid w:val="7D90016A"/>
    <w:rsid w:val="7D9508F0"/>
    <w:rsid w:val="7DA80BC8"/>
    <w:rsid w:val="7DAC507A"/>
    <w:rsid w:val="7DBE0AFF"/>
    <w:rsid w:val="7DC01F88"/>
    <w:rsid w:val="7DD16438"/>
    <w:rsid w:val="7DEB0C97"/>
    <w:rsid w:val="7E05110C"/>
    <w:rsid w:val="7E102E1B"/>
    <w:rsid w:val="7E2B7079"/>
    <w:rsid w:val="7E306B12"/>
    <w:rsid w:val="7E3C241E"/>
    <w:rsid w:val="7E5019F3"/>
    <w:rsid w:val="7E6C1950"/>
    <w:rsid w:val="7E6C4CC3"/>
    <w:rsid w:val="7E8A5090"/>
    <w:rsid w:val="7EA05EF0"/>
    <w:rsid w:val="7ED1562A"/>
    <w:rsid w:val="7F0238CB"/>
    <w:rsid w:val="7F09056F"/>
    <w:rsid w:val="7F100237"/>
    <w:rsid w:val="7F4740EE"/>
    <w:rsid w:val="7FB02405"/>
    <w:rsid w:val="7FB47FBA"/>
    <w:rsid w:val="7FC8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link w:val="36"/>
    <w:qFormat/>
    <w:uiPriority w:val="0"/>
    <w:pPr>
      <w:spacing w:line="400" w:lineRule="exact"/>
      <w:ind w:firstLine="515"/>
    </w:pPr>
    <w:rPr>
      <w:rFonts w:ascii="楷体_GB2312" w:eastAsia="楷体_GB2312"/>
      <w:b/>
      <w:bCs/>
      <w:kern w:val="0"/>
      <w:sz w:val="24"/>
    </w:rPr>
  </w:style>
  <w:style w:type="paragraph" w:styleId="4">
    <w:name w:val="envelope return"/>
    <w:basedOn w:val="1"/>
    <w:qFormat/>
    <w:uiPriority w:val="0"/>
    <w:pPr>
      <w:snapToGrid w:val="0"/>
    </w:pPr>
    <w:rPr>
      <w:rFonts w:ascii="Arial" w:hAnsi="Arial"/>
    </w:rPr>
  </w:style>
  <w:style w:type="paragraph" w:styleId="6">
    <w:name w:val="Document Map"/>
    <w:basedOn w:val="1"/>
    <w:link w:val="34"/>
    <w:qFormat/>
    <w:uiPriority w:val="0"/>
    <w:pPr>
      <w:shd w:val="clear" w:color="auto" w:fill="000080"/>
    </w:pPr>
    <w:rPr>
      <w:kern w:val="0"/>
      <w:sz w:val="20"/>
    </w:rPr>
  </w:style>
  <w:style w:type="paragraph" w:styleId="7">
    <w:name w:val="annotation text"/>
    <w:basedOn w:val="1"/>
    <w:qFormat/>
    <w:uiPriority w:val="0"/>
    <w:pPr>
      <w:jc w:val="left"/>
    </w:pPr>
  </w:style>
  <w:style w:type="paragraph" w:styleId="8">
    <w:name w:val="Body Text"/>
    <w:basedOn w:val="1"/>
    <w:link w:val="29"/>
    <w:qFormat/>
    <w:uiPriority w:val="0"/>
    <w:pPr>
      <w:spacing w:after="120"/>
    </w:pPr>
    <w:rPr>
      <w:rFonts w:asciiTheme="minorHAnsi" w:hAnsiTheme="minorHAnsi" w:eastAsiaTheme="minorEastAsia" w:cstheme="minorBidi"/>
    </w:rPr>
  </w:style>
  <w:style w:type="paragraph" w:styleId="9">
    <w:name w:val="Plain Text"/>
    <w:basedOn w:val="1"/>
    <w:link w:val="35"/>
    <w:qFormat/>
    <w:uiPriority w:val="0"/>
    <w:rPr>
      <w:rFonts w:ascii="宋体" w:hAnsi="Courier New"/>
      <w:kern w:val="0"/>
      <w:sz w:val="20"/>
      <w:szCs w:val="21"/>
    </w:rPr>
  </w:style>
  <w:style w:type="paragraph" w:styleId="10">
    <w:name w:val="Date"/>
    <w:basedOn w:val="1"/>
    <w:next w:val="1"/>
    <w:link w:val="30"/>
    <w:qFormat/>
    <w:uiPriority w:val="0"/>
    <w:pPr>
      <w:ind w:left="100" w:leftChars="2500"/>
    </w:pPr>
    <w:rPr>
      <w:kern w:val="0"/>
      <w:sz w:val="28"/>
    </w:rPr>
  </w:style>
  <w:style w:type="paragraph" w:styleId="11">
    <w:name w:val="Body Text Indent 2"/>
    <w:basedOn w:val="1"/>
    <w:link w:val="33"/>
    <w:qFormat/>
    <w:uiPriority w:val="0"/>
    <w:pPr>
      <w:spacing w:line="400" w:lineRule="exact"/>
      <w:ind w:left="-1" w:firstLine="480" w:firstLineChars="200"/>
    </w:pPr>
    <w:rPr>
      <w:rFonts w:ascii="楷体_GB2312" w:eastAsia="楷体_GB2312"/>
      <w:kern w:val="0"/>
      <w:sz w:val="24"/>
    </w:rPr>
  </w:style>
  <w:style w:type="paragraph" w:styleId="12">
    <w:name w:val="Balloon Text"/>
    <w:basedOn w:val="1"/>
    <w:link w:val="31"/>
    <w:qFormat/>
    <w:uiPriority w:val="0"/>
    <w:rPr>
      <w:kern w:val="0"/>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99"/>
    <w:pPr>
      <w:tabs>
        <w:tab w:val="center" w:pos="4153"/>
        <w:tab w:val="right" w:pos="8306"/>
      </w:tabs>
      <w:snapToGrid w:val="0"/>
      <w:jc w:val="center"/>
    </w:pPr>
    <w:rPr>
      <w:sz w:val="18"/>
      <w:szCs w:val="18"/>
    </w:rPr>
  </w:style>
  <w:style w:type="paragraph" w:styleId="15">
    <w:name w:val="Body Text Indent 3"/>
    <w:basedOn w:val="1"/>
    <w:link w:val="37"/>
    <w:qFormat/>
    <w:uiPriority w:val="0"/>
    <w:pPr>
      <w:spacing w:line="440" w:lineRule="exact"/>
      <w:ind w:firstLine="540"/>
    </w:pPr>
    <w:rPr>
      <w:rFonts w:ascii="楷体_GB2312" w:eastAsia="楷体_GB2312"/>
      <w:bCs/>
      <w:kern w:val="0"/>
      <w:sz w:val="24"/>
    </w:rPr>
  </w:style>
  <w:style w:type="paragraph" w:styleId="16">
    <w:name w:val="HTML Preformatted"/>
    <w:basedOn w:val="1"/>
    <w:link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page number"/>
    <w:basedOn w:val="20"/>
    <w:qFormat/>
    <w:uiPriority w:val="0"/>
  </w:style>
  <w:style w:type="character" w:styleId="22">
    <w:name w:val="FollowedHyperlink"/>
    <w:basedOn w:val="20"/>
    <w:qFormat/>
    <w:uiPriority w:val="0"/>
    <w:rPr>
      <w:color w:val="555555"/>
      <w:u w:val="none"/>
    </w:rPr>
  </w:style>
  <w:style w:type="character" w:styleId="23">
    <w:name w:val="Hyperlink"/>
    <w:basedOn w:val="20"/>
    <w:qFormat/>
    <w:uiPriority w:val="0"/>
    <w:rPr>
      <w:color w:val="555555"/>
      <w:u w:val="none"/>
    </w:rPr>
  </w:style>
  <w:style w:type="character" w:styleId="24">
    <w:name w:val="annotation reference"/>
    <w:qFormat/>
    <w:uiPriority w:val="0"/>
    <w:rPr>
      <w:sz w:val="21"/>
      <w:szCs w:val="21"/>
    </w:rPr>
  </w:style>
  <w:style w:type="character" w:customStyle="1" w:styleId="25">
    <w:name w:val="页眉 字符"/>
    <w:basedOn w:val="20"/>
    <w:link w:val="14"/>
    <w:qFormat/>
    <w:uiPriority w:val="99"/>
    <w:rPr>
      <w:rFonts w:ascii="Times New Roman" w:hAnsi="Times New Roman" w:eastAsia="宋体" w:cs="Times New Roman"/>
      <w:sz w:val="18"/>
      <w:szCs w:val="18"/>
    </w:rPr>
  </w:style>
  <w:style w:type="character" w:customStyle="1" w:styleId="26">
    <w:name w:val="页脚 字符"/>
    <w:basedOn w:val="20"/>
    <w:link w:val="13"/>
    <w:qFormat/>
    <w:uiPriority w:val="99"/>
    <w:rPr>
      <w:sz w:val="18"/>
      <w:szCs w:val="18"/>
    </w:rPr>
  </w:style>
  <w:style w:type="character" w:customStyle="1" w:styleId="27">
    <w:name w:val="正文文本 Char"/>
    <w:qFormat/>
    <w:uiPriority w:val="0"/>
    <w:rPr>
      <w:szCs w:val="24"/>
    </w:rPr>
  </w:style>
  <w:style w:type="paragraph" w:styleId="28">
    <w:name w:val="List Paragraph"/>
    <w:basedOn w:val="1"/>
    <w:qFormat/>
    <w:uiPriority w:val="34"/>
    <w:pPr>
      <w:ind w:firstLine="420" w:firstLineChars="200"/>
    </w:pPr>
  </w:style>
  <w:style w:type="character" w:customStyle="1" w:styleId="29">
    <w:name w:val="正文文本 字符"/>
    <w:basedOn w:val="20"/>
    <w:link w:val="8"/>
    <w:semiHidden/>
    <w:qFormat/>
    <w:uiPriority w:val="99"/>
    <w:rPr>
      <w:rFonts w:ascii="Times New Roman" w:hAnsi="Times New Roman" w:eastAsia="宋体" w:cs="Times New Roman"/>
      <w:szCs w:val="24"/>
    </w:rPr>
  </w:style>
  <w:style w:type="character" w:customStyle="1" w:styleId="30">
    <w:name w:val="日期 字符"/>
    <w:basedOn w:val="20"/>
    <w:link w:val="10"/>
    <w:qFormat/>
    <w:uiPriority w:val="0"/>
    <w:rPr>
      <w:rFonts w:ascii="Times New Roman" w:hAnsi="Times New Roman" w:eastAsia="宋体" w:cs="Times New Roman"/>
      <w:kern w:val="0"/>
      <w:sz w:val="28"/>
      <w:szCs w:val="24"/>
    </w:rPr>
  </w:style>
  <w:style w:type="character" w:customStyle="1" w:styleId="31">
    <w:name w:val="批注框文本 字符"/>
    <w:basedOn w:val="20"/>
    <w:link w:val="12"/>
    <w:qFormat/>
    <w:uiPriority w:val="0"/>
    <w:rPr>
      <w:rFonts w:ascii="Times New Roman" w:hAnsi="Times New Roman" w:eastAsia="宋体" w:cs="Times New Roman"/>
      <w:kern w:val="0"/>
      <w:sz w:val="18"/>
      <w:szCs w:val="18"/>
    </w:rPr>
  </w:style>
  <w:style w:type="paragraph" w:customStyle="1" w:styleId="32">
    <w:name w:val="_Style 9"/>
    <w:basedOn w:val="1"/>
    <w:next w:val="9"/>
    <w:qFormat/>
    <w:uiPriority w:val="0"/>
    <w:rPr>
      <w:rFonts w:ascii="宋体" w:hAnsi="Courier New"/>
      <w:szCs w:val="21"/>
    </w:rPr>
  </w:style>
  <w:style w:type="character" w:customStyle="1" w:styleId="33">
    <w:name w:val="正文文本缩进 2 字符"/>
    <w:basedOn w:val="20"/>
    <w:link w:val="11"/>
    <w:qFormat/>
    <w:uiPriority w:val="0"/>
    <w:rPr>
      <w:rFonts w:ascii="楷体_GB2312" w:hAnsi="Times New Roman" w:eastAsia="楷体_GB2312" w:cs="Times New Roman"/>
      <w:kern w:val="0"/>
      <w:sz w:val="24"/>
      <w:szCs w:val="24"/>
    </w:rPr>
  </w:style>
  <w:style w:type="character" w:customStyle="1" w:styleId="34">
    <w:name w:val="文档结构图 字符"/>
    <w:basedOn w:val="20"/>
    <w:link w:val="6"/>
    <w:qFormat/>
    <w:uiPriority w:val="0"/>
    <w:rPr>
      <w:rFonts w:ascii="Times New Roman" w:hAnsi="Times New Roman" w:eastAsia="宋体" w:cs="Times New Roman"/>
      <w:kern w:val="0"/>
      <w:sz w:val="20"/>
      <w:szCs w:val="24"/>
      <w:shd w:val="clear" w:color="auto" w:fill="000080"/>
    </w:rPr>
  </w:style>
  <w:style w:type="character" w:customStyle="1" w:styleId="35">
    <w:name w:val="纯文本 字符"/>
    <w:basedOn w:val="20"/>
    <w:link w:val="9"/>
    <w:qFormat/>
    <w:uiPriority w:val="0"/>
    <w:rPr>
      <w:rFonts w:ascii="宋体" w:hAnsi="Courier New" w:eastAsia="宋体" w:cs="Times New Roman"/>
      <w:kern w:val="0"/>
      <w:sz w:val="20"/>
      <w:szCs w:val="21"/>
    </w:rPr>
  </w:style>
  <w:style w:type="character" w:customStyle="1" w:styleId="36">
    <w:name w:val="正文文本缩进 字符"/>
    <w:basedOn w:val="20"/>
    <w:link w:val="3"/>
    <w:qFormat/>
    <w:uiPriority w:val="0"/>
    <w:rPr>
      <w:rFonts w:ascii="楷体_GB2312" w:hAnsi="Times New Roman" w:eastAsia="楷体_GB2312" w:cs="Times New Roman"/>
      <w:b/>
      <w:bCs/>
      <w:kern w:val="0"/>
      <w:sz w:val="24"/>
      <w:szCs w:val="24"/>
    </w:rPr>
  </w:style>
  <w:style w:type="character" w:customStyle="1" w:styleId="37">
    <w:name w:val="正文文本缩进 3 字符"/>
    <w:basedOn w:val="20"/>
    <w:link w:val="15"/>
    <w:qFormat/>
    <w:uiPriority w:val="0"/>
    <w:rPr>
      <w:rFonts w:ascii="楷体_GB2312" w:hAnsi="Times New Roman" w:eastAsia="楷体_GB2312" w:cs="Times New Roman"/>
      <w:bCs/>
      <w:kern w:val="0"/>
      <w:sz w:val="24"/>
      <w:szCs w:val="24"/>
    </w:rPr>
  </w:style>
  <w:style w:type="character" w:customStyle="1" w:styleId="38">
    <w:name w:val="HTML 预设格式 字符"/>
    <w:basedOn w:val="20"/>
    <w:link w:val="16"/>
    <w:qFormat/>
    <w:uiPriority w:val="0"/>
    <w:rPr>
      <w:rFonts w:ascii="黑体" w:hAnsi="Courier New" w:eastAsia="黑体" w:cs="Times New Roman"/>
      <w:kern w:val="0"/>
      <w:sz w:val="20"/>
      <w:szCs w:val="20"/>
    </w:rPr>
  </w:style>
  <w:style w:type="paragraph" w:customStyle="1" w:styleId="39">
    <w:name w:val="Char Char Char7"/>
    <w:basedOn w:val="1"/>
    <w:qFormat/>
    <w:uiPriority w:val="0"/>
    <w:rPr>
      <w:rFonts w:ascii="仿宋_GB2312" w:eastAsia="仿宋_GB2312" w:cs="仿宋_GB2312"/>
      <w:b/>
      <w:bCs/>
      <w:sz w:val="32"/>
      <w:szCs w:val="32"/>
    </w:rPr>
  </w:style>
  <w:style w:type="paragraph" w:customStyle="1" w:styleId="4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1">
    <w:name w:val="font11"/>
    <w:basedOn w:val="20"/>
    <w:qFormat/>
    <w:uiPriority w:val="0"/>
    <w:rPr>
      <w:rFonts w:hint="eastAsia" w:ascii="宋体" w:hAnsi="宋体" w:eastAsia="宋体" w:cs="宋体"/>
      <w:color w:val="000000"/>
      <w:sz w:val="20"/>
      <w:szCs w:val="20"/>
      <w:u w:val="none"/>
    </w:rPr>
  </w:style>
  <w:style w:type="character" w:customStyle="1" w:styleId="42">
    <w:name w:val="font01"/>
    <w:basedOn w:val="20"/>
    <w:qFormat/>
    <w:uiPriority w:val="0"/>
    <w:rPr>
      <w:rFonts w:hint="eastAsia" w:ascii="宋体" w:hAnsi="宋体" w:eastAsia="宋体" w:cs="宋体"/>
      <w:color w:val="000000"/>
      <w:sz w:val="22"/>
      <w:szCs w:val="22"/>
      <w:u w:val="none"/>
    </w:rPr>
  </w:style>
  <w:style w:type="paragraph" w:customStyle="1" w:styleId="43">
    <w:name w:val="正文文本首行缩进 21"/>
    <w:basedOn w:val="44"/>
    <w:qFormat/>
    <w:uiPriority w:val="0"/>
    <w:pPr>
      <w:spacing w:after="120" w:line="240" w:lineRule="auto"/>
      <w:ind w:left="420" w:leftChars="200" w:firstLine="420" w:firstLineChars="200"/>
    </w:pPr>
    <w:rPr>
      <w:sz w:val="21"/>
    </w:rPr>
  </w:style>
  <w:style w:type="paragraph" w:customStyle="1" w:styleId="44">
    <w:name w:val="正文文本缩进1"/>
    <w:basedOn w:val="1"/>
    <w:next w:val="45"/>
    <w:qFormat/>
    <w:uiPriority w:val="0"/>
    <w:pPr>
      <w:spacing w:line="400" w:lineRule="exact"/>
      <w:ind w:firstLine="515"/>
    </w:pPr>
    <w:rPr>
      <w:rFonts w:ascii="楷体_GB2312" w:eastAsia="楷体_GB2312"/>
      <w:b/>
      <w:bCs/>
      <w:kern w:val="0"/>
      <w:sz w:val="24"/>
    </w:rPr>
  </w:style>
  <w:style w:type="paragraph" w:customStyle="1" w:styleId="45">
    <w:name w:val="寄信人地址1"/>
    <w:basedOn w:val="1"/>
    <w:qFormat/>
    <w:uiPriority w:val="0"/>
    <w:pPr>
      <w:snapToGrid w:val="0"/>
    </w:pPr>
    <w:rPr>
      <w:rFonts w:ascii="Arial" w:hAnsi="Arial"/>
    </w:rPr>
  </w:style>
  <w:style w:type="character" w:customStyle="1" w:styleId="46">
    <w:name w:val="font31"/>
    <w:basedOn w:val="20"/>
    <w:qFormat/>
    <w:uiPriority w:val="0"/>
    <w:rPr>
      <w:rFonts w:hint="eastAsia" w:ascii="宋体" w:hAnsi="宋体" w:eastAsia="宋体" w:cs="宋体"/>
      <w:color w:val="000000"/>
      <w:sz w:val="22"/>
      <w:szCs w:val="22"/>
      <w:u w:val="none"/>
    </w:rPr>
  </w:style>
  <w:style w:type="character" w:customStyle="1" w:styleId="47">
    <w:name w:val="font21"/>
    <w:basedOn w:val="20"/>
    <w:qFormat/>
    <w:uiPriority w:val="0"/>
    <w:rPr>
      <w:rFonts w:hint="eastAsia" w:ascii="楷体" w:hAnsi="楷体" w:eastAsia="楷体" w:cs="楷体"/>
      <w:color w:val="000000"/>
      <w:sz w:val="17"/>
      <w:szCs w:val="17"/>
      <w:u w:val="none"/>
    </w:rPr>
  </w:style>
  <w:style w:type="character" w:customStyle="1" w:styleId="48">
    <w:name w:val="font41"/>
    <w:basedOn w:val="20"/>
    <w:qFormat/>
    <w:uiPriority w:val="0"/>
    <w:rPr>
      <w:rFonts w:ascii="Arial" w:hAnsi="Arial" w:cs="Arial"/>
      <w:color w:val="000000"/>
      <w:sz w:val="18"/>
      <w:szCs w:val="18"/>
      <w:u w:val="none"/>
    </w:rPr>
  </w:style>
  <w:style w:type="character" w:customStyle="1" w:styleId="49">
    <w:name w:val="font51"/>
    <w:basedOn w:val="20"/>
    <w:qFormat/>
    <w:uiPriority w:val="0"/>
    <w:rPr>
      <w:rFonts w:hint="eastAsia" w:ascii="宋体" w:hAnsi="宋体" w:eastAsia="宋体" w:cs="宋体"/>
      <w:color w:val="000000"/>
      <w:sz w:val="18"/>
      <w:szCs w:val="18"/>
      <w:u w:val="none"/>
    </w:rPr>
  </w:style>
  <w:style w:type="character" w:customStyle="1" w:styleId="50">
    <w:name w:val="font101"/>
    <w:basedOn w:val="20"/>
    <w:qFormat/>
    <w:uiPriority w:val="0"/>
    <w:rPr>
      <w:rFonts w:hint="eastAsia" w:ascii="宋体" w:hAnsi="宋体" w:eastAsia="宋体" w:cs="宋体"/>
      <w:color w:val="000000"/>
      <w:sz w:val="16"/>
      <w:szCs w:val="16"/>
      <w:u w:val="none"/>
    </w:rPr>
  </w:style>
  <w:style w:type="character" w:customStyle="1" w:styleId="51">
    <w:name w:val="font111"/>
    <w:basedOn w:val="20"/>
    <w:qFormat/>
    <w:uiPriority w:val="0"/>
    <w:rPr>
      <w:rFonts w:hint="default" w:ascii="Arial" w:hAnsi="Arial" w:cs="Arial"/>
      <w:color w:val="000000"/>
      <w:sz w:val="16"/>
      <w:szCs w:val="16"/>
      <w:u w:val="none"/>
    </w:rPr>
  </w:style>
  <w:style w:type="character" w:customStyle="1" w:styleId="52">
    <w:name w:val="font71"/>
    <w:basedOn w:val="20"/>
    <w:qFormat/>
    <w:uiPriority w:val="0"/>
    <w:rPr>
      <w:rFonts w:hint="eastAsia" w:ascii="楷体" w:hAnsi="楷体" w:eastAsia="楷体" w:cs="楷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7AC1C7-04B2-4E11-BE9D-49DC9160024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47</Pages>
  <Words>4778</Words>
  <Characters>27238</Characters>
  <Lines>226</Lines>
  <Paragraphs>63</Paragraphs>
  <TotalTime>0</TotalTime>
  <ScaleCrop>false</ScaleCrop>
  <LinksUpToDate>false</LinksUpToDate>
  <CharactersWithSpaces>31953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2017-02-27T08:39:00Z</dcterms:created>
  <dc:creator>User</dc:creator>
  <cp:lastModifiedBy>赵萌</cp:lastModifiedBy>
  <cp:lastPrinted>2020-07-24T01:24:00Z</cp:lastPrinted>
  <dcterms:modified xsi:type="dcterms:W3CDTF">2020-11-12T08:46:19Z</dcterms:modified>
  <cp:revision>432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