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ascii="宋体" w:hAnsi="宋体" w:eastAsia="宋体" w:cs="宋体"/>
          <w:color w:val="auto"/>
          <w:highlight w:val="none"/>
        </w:rPr>
      </w:pPr>
    </w:p>
    <w:p>
      <w:pPr>
        <w:spacing w:line="500" w:lineRule="exact"/>
        <w:rPr>
          <w:rFonts w:ascii="宋体" w:hAnsi="宋体" w:cs="宋体"/>
          <w:b/>
          <w:color w:val="auto"/>
          <w:sz w:val="28"/>
          <w:szCs w:val="28"/>
          <w:highlight w:val="none"/>
        </w:rPr>
      </w:pPr>
    </w:p>
    <w:p>
      <w:pPr>
        <w:pStyle w:val="2"/>
        <w:ind w:firstLine="422"/>
        <w:rPr>
          <w:rFonts w:ascii="宋体" w:hAnsi="宋体" w:eastAsia="宋体" w:cs="宋体"/>
          <w:color w:val="auto"/>
          <w:highlight w:val="none"/>
        </w:rPr>
      </w:pPr>
    </w:p>
    <w:p>
      <w:pPr>
        <w:spacing w:line="360" w:lineRule="auto"/>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rPr>
        <w:t>盐城工业职业技术学院</w:t>
      </w:r>
      <w:r>
        <w:rPr>
          <w:rFonts w:hint="eastAsia" w:ascii="宋体" w:hAnsi="宋体" w:cs="宋体"/>
          <w:b/>
          <w:color w:val="auto"/>
          <w:sz w:val="44"/>
          <w:szCs w:val="44"/>
          <w:highlight w:val="none"/>
          <w:lang w:eastAsia="zh-CN"/>
        </w:rPr>
        <w:t>非遗学院教室改造项目</w:t>
      </w:r>
    </w:p>
    <w:p>
      <w:pPr>
        <w:spacing w:line="480" w:lineRule="auto"/>
        <w:rPr>
          <w:rFonts w:ascii="宋体" w:hAnsi="宋体" w:cs="宋体"/>
          <w:color w:val="auto"/>
          <w:sz w:val="24"/>
          <w:highlight w:val="none"/>
        </w:rPr>
      </w:pPr>
    </w:p>
    <w:p>
      <w:pPr>
        <w:spacing w:line="480" w:lineRule="auto"/>
        <w:jc w:val="center"/>
        <w:rPr>
          <w:rFonts w:ascii="宋体" w:hAnsi="宋体" w:cs="宋体"/>
          <w:b/>
          <w:color w:val="auto"/>
          <w:sz w:val="84"/>
          <w:szCs w:val="84"/>
          <w:highlight w:val="none"/>
        </w:rPr>
      </w:pPr>
      <w:r>
        <w:rPr>
          <w:rFonts w:hint="eastAsia" w:ascii="宋体" w:hAnsi="宋体" w:cs="宋体"/>
          <w:b/>
          <w:color w:val="auto"/>
          <w:sz w:val="84"/>
          <w:szCs w:val="84"/>
          <w:highlight w:val="none"/>
        </w:rPr>
        <w:t>招 标 文 件</w:t>
      </w:r>
    </w:p>
    <w:p>
      <w:pPr>
        <w:jc w:val="center"/>
        <w:rPr>
          <w:rFonts w:ascii="宋体" w:hAnsi="宋体" w:cs="宋体"/>
          <w:b/>
          <w:color w:val="auto"/>
          <w:sz w:val="72"/>
          <w:szCs w:val="72"/>
          <w:highlight w:val="none"/>
        </w:rPr>
      </w:pPr>
    </w:p>
    <w:p>
      <w:pPr>
        <w:jc w:val="center"/>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项目编号：</w:t>
      </w:r>
      <w:r>
        <w:rPr>
          <w:rFonts w:hint="eastAsia" w:ascii="宋体" w:hAnsi="宋体" w:cs="宋体"/>
          <w:b/>
          <w:color w:val="auto"/>
          <w:sz w:val="30"/>
          <w:szCs w:val="30"/>
          <w:highlight w:val="none"/>
          <w:lang w:eastAsia="zh-CN"/>
        </w:rPr>
        <w:t xml:space="preserve">2024-026J </w:t>
      </w:r>
    </w:p>
    <w:p>
      <w:pPr>
        <w:spacing w:line="500" w:lineRule="exact"/>
        <w:rPr>
          <w:rFonts w:ascii="宋体" w:hAnsi="宋体" w:cs="宋体"/>
          <w:color w:val="auto"/>
          <w:highlight w:val="none"/>
        </w:rPr>
      </w:pPr>
    </w:p>
    <w:p>
      <w:pPr>
        <w:spacing w:line="500" w:lineRule="exact"/>
        <w:rPr>
          <w:rFonts w:ascii="宋体" w:hAnsi="宋体" w:cs="宋体"/>
          <w:color w:val="auto"/>
          <w:highlight w:val="none"/>
        </w:rPr>
      </w:pPr>
    </w:p>
    <w:p>
      <w:pPr>
        <w:spacing w:line="500" w:lineRule="exact"/>
        <w:rPr>
          <w:rFonts w:ascii="宋体" w:hAnsi="宋体" w:cs="宋体"/>
          <w:color w:val="auto"/>
          <w:highlight w:val="none"/>
        </w:rPr>
      </w:pPr>
    </w:p>
    <w:p>
      <w:pPr>
        <w:spacing w:line="500" w:lineRule="exact"/>
        <w:rPr>
          <w:rFonts w:ascii="宋体" w:hAnsi="宋体" w:cs="宋体"/>
          <w:color w:val="auto"/>
          <w:highlight w:val="none"/>
        </w:rPr>
      </w:pPr>
    </w:p>
    <w:p>
      <w:pPr>
        <w:spacing w:line="500" w:lineRule="exact"/>
        <w:rPr>
          <w:rFonts w:ascii="宋体" w:hAnsi="宋体" w:cs="宋体"/>
          <w:color w:val="auto"/>
          <w:highlight w:val="none"/>
        </w:rPr>
      </w:pPr>
    </w:p>
    <w:p>
      <w:pPr>
        <w:spacing w:line="500" w:lineRule="exact"/>
        <w:rPr>
          <w:rFonts w:ascii="宋体" w:hAnsi="宋体" w:cs="宋体"/>
          <w:color w:val="auto"/>
          <w:highlight w:val="none"/>
        </w:rPr>
      </w:pPr>
    </w:p>
    <w:p>
      <w:pPr>
        <w:spacing w:line="500" w:lineRule="exact"/>
        <w:rPr>
          <w:rFonts w:ascii="宋体" w:hAnsi="宋体" w:cs="宋体"/>
          <w:color w:val="auto"/>
          <w:highlight w:val="none"/>
        </w:rPr>
      </w:pPr>
    </w:p>
    <w:p>
      <w:pPr>
        <w:spacing w:line="500" w:lineRule="exact"/>
        <w:rPr>
          <w:rFonts w:ascii="宋体" w:hAnsi="宋体" w:cs="宋体"/>
          <w:color w:val="auto"/>
          <w:highlight w:val="none"/>
        </w:rPr>
      </w:pPr>
    </w:p>
    <w:p>
      <w:pPr>
        <w:jc w:val="center"/>
        <w:rPr>
          <w:rFonts w:ascii="宋体" w:hAnsi="宋体" w:cs="宋体"/>
          <w:bCs/>
          <w:color w:val="auto"/>
          <w:sz w:val="36"/>
          <w:szCs w:val="36"/>
          <w:highlight w:val="none"/>
        </w:rPr>
      </w:pPr>
      <w:r>
        <w:rPr>
          <w:rFonts w:hint="eastAsia" w:ascii="宋体" w:hAnsi="宋体" w:cs="宋体"/>
          <w:bCs/>
          <w:color w:val="auto"/>
          <w:sz w:val="36"/>
          <w:szCs w:val="36"/>
          <w:highlight w:val="none"/>
        </w:rPr>
        <w:t>盐城工业职业技术学院</w:t>
      </w:r>
    </w:p>
    <w:p>
      <w:pPr>
        <w:jc w:val="center"/>
        <w:rPr>
          <w:rFonts w:hint="eastAsia" w:ascii="宋体" w:hAnsi="宋体" w:eastAsia="宋体" w:cs="宋体"/>
          <w:color w:val="auto"/>
          <w:sz w:val="36"/>
          <w:szCs w:val="36"/>
          <w:highlight w:val="none"/>
          <w:lang w:eastAsia="zh-CN"/>
        </w:rPr>
      </w:pPr>
      <w:r>
        <w:rPr>
          <w:rFonts w:hint="eastAsia" w:ascii="宋体" w:hAnsi="宋体" w:cs="宋体"/>
          <w:color w:val="auto"/>
          <w:sz w:val="36"/>
          <w:szCs w:val="36"/>
          <w:highlight w:val="none"/>
          <w:lang w:eastAsia="zh-CN"/>
        </w:rPr>
        <w:t>江苏建博工程管理咨询有限公司</w:t>
      </w:r>
    </w:p>
    <w:p>
      <w:pPr>
        <w:jc w:val="center"/>
        <w:rPr>
          <w:rFonts w:ascii="宋体" w:hAnsi="宋体" w:cs="宋体"/>
          <w:color w:val="auto"/>
          <w:sz w:val="36"/>
          <w:szCs w:val="36"/>
          <w:highlight w:val="none"/>
        </w:rPr>
      </w:pPr>
      <w:r>
        <w:rPr>
          <w:rFonts w:hint="eastAsia" w:ascii="宋体" w:hAnsi="宋体" w:cs="宋体"/>
          <w:color w:val="auto"/>
          <w:sz w:val="36"/>
          <w:szCs w:val="36"/>
          <w:highlight w:val="none"/>
        </w:rPr>
        <w:t>202</w:t>
      </w:r>
      <w:r>
        <w:rPr>
          <w:rFonts w:hint="eastAsia" w:ascii="宋体" w:hAnsi="宋体" w:cs="宋体"/>
          <w:color w:val="auto"/>
          <w:sz w:val="36"/>
          <w:szCs w:val="36"/>
          <w:highlight w:val="none"/>
          <w:lang w:val="en-US" w:eastAsia="zh-CN"/>
        </w:rPr>
        <w:t>4</w:t>
      </w:r>
      <w:r>
        <w:rPr>
          <w:rFonts w:hint="eastAsia" w:ascii="宋体" w:hAnsi="宋体" w:cs="宋体"/>
          <w:color w:val="auto"/>
          <w:sz w:val="36"/>
          <w:szCs w:val="36"/>
          <w:highlight w:val="none"/>
        </w:rPr>
        <w:t>年</w:t>
      </w:r>
      <w:r>
        <w:rPr>
          <w:rFonts w:hint="eastAsia" w:ascii="宋体" w:hAnsi="宋体" w:cs="宋体"/>
          <w:color w:val="auto"/>
          <w:sz w:val="36"/>
          <w:szCs w:val="36"/>
          <w:highlight w:val="none"/>
          <w:lang w:val="en-US" w:eastAsia="zh-CN"/>
        </w:rPr>
        <w:t>7</w:t>
      </w:r>
      <w:r>
        <w:rPr>
          <w:rFonts w:hint="eastAsia" w:ascii="宋体" w:hAnsi="宋体" w:cs="宋体"/>
          <w:color w:val="auto"/>
          <w:sz w:val="36"/>
          <w:szCs w:val="36"/>
          <w:highlight w:val="none"/>
        </w:rPr>
        <w:t>月</w:t>
      </w:r>
      <w:r>
        <w:rPr>
          <w:rFonts w:hint="eastAsia" w:ascii="宋体" w:hAnsi="宋体" w:cs="宋体"/>
          <w:color w:val="auto"/>
          <w:sz w:val="36"/>
          <w:szCs w:val="36"/>
          <w:highlight w:val="none"/>
          <w:lang w:val="en-US" w:eastAsia="zh-CN"/>
        </w:rPr>
        <w:t>22</w:t>
      </w:r>
      <w:r>
        <w:rPr>
          <w:rFonts w:hint="eastAsia" w:ascii="宋体" w:hAnsi="宋体" w:cs="宋体"/>
          <w:color w:val="auto"/>
          <w:sz w:val="36"/>
          <w:szCs w:val="36"/>
          <w:highlight w:val="none"/>
        </w:rPr>
        <w:t>日</w:t>
      </w:r>
    </w:p>
    <w:p>
      <w:pPr>
        <w:spacing w:line="400" w:lineRule="exact"/>
        <w:rPr>
          <w:rFonts w:ascii="宋体" w:hAnsi="宋体" w:cs="宋体"/>
          <w:color w:val="auto"/>
          <w:sz w:val="24"/>
          <w:highlight w:val="none"/>
        </w:rPr>
      </w:pPr>
    </w:p>
    <w:p>
      <w:pPr>
        <w:tabs>
          <w:tab w:val="left" w:pos="900"/>
        </w:tabs>
        <w:spacing w:line="44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盐城工业职业技术学院</w:t>
      </w:r>
      <w:r>
        <w:rPr>
          <w:rFonts w:hint="eastAsia" w:ascii="宋体" w:hAnsi="宋体" w:cs="宋体"/>
          <w:b/>
          <w:bCs/>
          <w:color w:val="auto"/>
          <w:sz w:val="32"/>
          <w:szCs w:val="32"/>
          <w:highlight w:val="none"/>
          <w:lang w:eastAsia="zh-CN"/>
        </w:rPr>
        <w:t>非遗学院教室改造项目</w:t>
      </w:r>
      <w:r>
        <w:rPr>
          <w:rFonts w:hint="eastAsia" w:ascii="宋体" w:hAnsi="宋体" w:cs="宋体"/>
          <w:b/>
          <w:bCs/>
          <w:color w:val="auto"/>
          <w:sz w:val="32"/>
          <w:szCs w:val="32"/>
          <w:highlight w:val="none"/>
        </w:rPr>
        <w:t>招标公告</w:t>
      </w:r>
    </w:p>
    <w:p>
      <w:pPr>
        <w:tabs>
          <w:tab w:val="left" w:pos="900"/>
        </w:tabs>
        <w:spacing w:line="440" w:lineRule="exact"/>
        <w:ind w:firstLine="480" w:firstLineChars="200"/>
        <w:jc w:val="left"/>
        <w:rPr>
          <w:rFonts w:ascii="宋体" w:hAnsi="宋体" w:cs="宋体"/>
          <w:color w:val="auto"/>
          <w:sz w:val="24"/>
          <w:highlight w:val="none"/>
        </w:rPr>
      </w:pPr>
    </w:p>
    <w:p>
      <w:pPr>
        <w:tabs>
          <w:tab w:val="left" w:pos="900"/>
        </w:tabs>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根据盐城工业职业技术学院招标采购计划，</w:t>
      </w:r>
      <w:r>
        <w:rPr>
          <w:rFonts w:hint="eastAsia" w:ascii="宋体" w:hAnsi="宋体" w:cs="宋体"/>
          <w:color w:val="auto"/>
          <w:sz w:val="24"/>
          <w:highlight w:val="none"/>
          <w:lang w:eastAsia="zh-CN"/>
        </w:rPr>
        <w:t>江苏建博工程管理咨询有限公司</w:t>
      </w:r>
      <w:r>
        <w:rPr>
          <w:rFonts w:hint="eastAsia" w:ascii="宋体" w:hAnsi="宋体" w:cs="宋体"/>
          <w:color w:val="auto"/>
          <w:sz w:val="24"/>
          <w:highlight w:val="none"/>
        </w:rPr>
        <w:t>受盐城工业职业技术学院</w:t>
      </w:r>
      <w:r>
        <w:rPr>
          <w:rFonts w:hint="eastAsia" w:ascii="宋体" w:hAnsi="宋体" w:cs="宋体"/>
          <w:color w:val="auto"/>
          <w:sz w:val="24"/>
          <w:highlight w:val="none"/>
        </w:rPr>
        <w:softHyphen/>
      </w:r>
      <w:r>
        <w:rPr>
          <w:rFonts w:hint="eastAsia" w:ascii="宋体" w:hAnsi="宋体" w:cs="宋体"/>
          <w:color w:val="auto"/>
          <w:sz w:val="24"/>
          <w:highlight w:val="none"/>
        </w:rPr>
        <w:softHyphen/>
      </w:r>
      <w:r>
        <w:rPr>
          <w:rFonts w:hint="eastAsia" w:ascii="宋体" w:hAnsi="宋体" w:cs="宋体"/>
          <w:color w:val="auto"/>
          <w:sz w:val="24"/>
          <w:highlight w:val="none"/>
        </w:rPr>
        <w:t>的委托，就其所需的</w:t>
      </w:r>
      <w:r>
        <w:rPr>
          <w:rFonts w:hint="eastAsia" w:ascii="宋体" w:hAnsi="宋体" w:cs="宋体"/>
          <w:color w:val="auto"/>
          <w:sz w:val="24"/>
          <w:highlight w:val="none"/>
          <w:lang w:eastAsia="zh-CN"/>
        </w:rPr>
        <w:t>非遗学院教室改造项目</w:t>
      </w:r>
      <w:r>
        <w:rPr>
          <w:rFonts w:hint="eastAsia" w:ascii="宋体" w:hAnsi="宋体" w:cs="宋体"/>
          <w:color w:val="auto"/>
          <w:sz w:val="24"/>
          <w:highlight w:val="none"/>
        </w:rPr>
        <w:t>进行公开招标，欢迎符合相关条件的合格投标人投标。</w:t>
      </w:r>
    </w:p>
    <w:p>
      <w:pPr>
        <w:tabs>
          <w:tab w:val="left" w:pos="900"/>
        </w:tabs>
        <w:spacing w:line="440" w:lineRule="exact"/>
        <w:ind w:firstLine="480" w:firstLineChars="200"/>
        <w:jc w:val="left"/>
        <w:rPr>
          <w:rFonts w:ascii="宋体" w:hAnsi="宋体" w:cs="宋体"/>
          <w:b/>
          <w:bCs/>
          <w:color w:val="auto"/>
          <w:sz w:val="24"/>
          <w:highlight w:val="none"/>
        </w:rPr>
      </w:pPr>
      <w:r>
        <w:rPr>
          <w:rFonts w:hint="eastAsia" w:ascii="宋体" w:hAnsi="宋体" w:cs="宋体"/>
          <w:b/>
          <w:bCs/>
          <w:color w:val="auto"/>
          <w:sz w:val="24"/>
          <w:highlight w:val="none"/>
        </w:rPr>
        <w:t>一、招标工程名称及编号</w:t>
      </w:r>
    </w:p>
    <w:p>
      <w:pPr>
        <w:tabs>
          <w:tab w:val="left" w:pos="900"/>
        </w:tabs>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工程名称：盐城工业职业技术学院</w:t>
      </w:r>
      <w:r>
        <w:rPr>
          <w:rFonts w:hint="eastAsia" w:ascii="宋体" w:hAnsi="宋体" w:cs="宋体"/>
          <w:color w:val="auto"/>
          <w:sz w:val="24"/>
          <w:highlight w:val="none"/>
          <w:lang w:eastAsia="zh-CN"/>
        </w:rPr>
        <w:t>非遗学院教室改造项目</w:t>
      </w:r>
    </w:p>
    <w:p>
      <w:pPr>
        <w:tabs>
          <w:tab w:val="left" w:pos="900"/>
        </w:tabs>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标书编号：</w:t>
      </w:r>
      <w:r>
        <w:rPr>
          <w:rFonts w:hint="eastAsia" w:ascii="宋体" w:hAnsi="宋体" w:cs="宋体"/>
          <w:color w:val="auto"/>
          <w:sz w:val="24"/>
          <w:highlight w:val="none"/>
          <w:lang w:eastAsia="zh-CN"/>
        </w:rPr>
        <w:t xml:space="preserve">2024-026J </w:t>
      </w:r>
    </w:p>
    <w:p>
      <w:pPr>
        <w:tabs>
          <w:tab w:val="left" w:pos="900"/>
        </w:tabs>
        <w:spacing w:line="440" w:lineRule="exact"/>
        <w:ind w:firstLine="480" w:firstLineChars="200"/>
        <w:jc w:val="left"/>
        <w:rPr>
          <w:rFonts w:ascii="宋体" w:hAnsi="宋体" w:cs="宋体"/>
          <w:b/>
          <w:bCs/>
          <w:color w:val="auto"/>
          <w:sz w:val="24"/>
          <w:highlight w:val="none"/>
        </w:rPr>
      </w:pPr>
      <w:r>
        <w:rPr>
          <w:rFonts w:hint="eastAsia" w:ascii="宋体" w:hAnsi="宋体" w:cs="宋体"/>
          <w:b/>
          <w:bCs/>
          <w:color w:val="auto"/>
          <w:sz w:val="24"/>
          <w:highlight w:val="none"/>
        </w:rPr>
        <w:t>二、工程概况</w:t>
      </w:r>
    </w:p>
    <w:p>
      <w:pP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1、工程地点：盐城工业职业技术学院内（盐城市解放南路285号）。</w:t>
      </w:r>
    </w:p>
    <w:p>
      <w:pP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2、工期要求：自甲方通知开工之日起</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日历天内全部通过竣工验收合格并交付使用。</w:t>
      </w:r>
    </w:p>
    <w:p>
      <w:pP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3、质量要求：国家合格标准。 </w:t>
      </w:r>
    </w:p>
    <w:p>
      <w:pP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4、资金来源及落实情况：国有资金且已落实。 </w:t>
      </w:r>
    </w:p>
    <w:p>
      <w:pP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5、招标范围及标段划分：盐城工业职业技术学院</w:t>
      </w:r>
      <w:r>
        <w:rPr>
          <w:rFonts w:hint="eastAsia" w:ascii="宋体" w:hAnsi="宋体" w:cs="宋体"/>
          <w:color w:val="auto"/>
          <w:sz w:val="24"/>
          <w:highlight w:val="none"/>
          <w:lang w:eastAsia="zh-CN"/>
        </w:rPr>
        <w:t>非遗学院教室改造项目</w:t>
      </w:r>
      <w:r>
        <w:rPr>
          <w:rFonts w:hint="eastAsia" w:ascii="宋体" w:hAnsi="宋体" w:cs="宋体"/>
          <w:color w:val="auto"/>
          <w:sz w:val="24"/>
          <w:highlight w:val="none"/>
        </w:rPr>
        <w:t>，非遗学院二楼南楼为约为500平米的开放式空间，现将隔断为3个教室空间，为非遗学院教学服务。改造后的3个教室均需满足30个学生的学习空间需求，具备完善的供电保障，充足的电源插座，稳定的网络信号，安全的防护措施，舒适的环境氛围，以确保教室的正常使用</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具体内容详按工程量清单及招标人要求执行，招标人保留进行调整的权利。本次招标共为1个标段。</w:t>
      </w:r>
    </w:p>
    <w:p>
      <w:pPr>
        <w:snapToGrid w:val="0"/>
        <w:spacing w:line="440" w:lineRule="exact"/>
        <w:ind w:firstLine="480" w:firstLineChars="200"/>
        <w:jc w:val="left"/>
        <w:rPr>
          <w:rFonts w:ascii="宋体" w:hAnsi="宋体" w:cs="宋体"/>
          <w:color w:val="auto"/>
          <w:highlight w:val="none"/>
        </w:rPr>
      </w:pPr>
      <w:r>
        <w:rPr>
          <w:rFonts w:hint="eastAsia" w:ascii="宋体" w:hAnsi="宋体" w:cs="宋体"/>
          <w:color w:val="auto"/>
          <w:sz w:val="24"/>
          <w:highlight w:val="none"/>
        </w:rPr>
        <w:t>6、工程规模：</w:t>
      </w:r>
      <w:r>
        <w:rPr>
          <w:rFonts w:hint="eastAsia" w:ascii="宋体" w:hAnsi="宋体" w:cs="宋体"/>
          <w:color w:val="auto"/>
          <w:sz w:val="24"/>
          <w:highlight w:val="none"/>
          <w:lang w:val="en-US" w:eastAsia="zh-CN"/>
        </w:rPr>
        <w:t>预算价（</w:t>
      </w:r>
      <w:r>
        <w:rPr>
          <w:rFonts w:hint="eastAsia" w:ascii="宋体" w:hAnsi="宋体" w:cs="宋体"/>
          <w:color w:val="auto"/>
          <w:sz w:val="24"/>
          <w:highlight w:val="none"/>
        </w:rPr>
        <w:t>最高</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限价</w:t>
      </w:r>
      <w:r>
        <w:rPr>
          <w:rFonts w:hint="eastAsia" w:ascii="宋体" w:hAnsi="宋体" w:cs="宋体"/>
          <w:color w:val="auto"/>
          <w:sz w:val="24"/>
          <w:highlight w:val="none"/>
          <w:lang w:val="en-US" w:eastAsia="zh-CN"/>
        </w:rPr>
        <w:t>）为</w:t>
      </w:r>
      <w:r>
        <w:rPr>
          <w:rFonts w:hint="eastAsia" w:ascii="宋体" w:hAnsi="宋体" w:cs="宋体"/>
          <w:color w:val="auto"/>
          <w:sz w:val="24"/>
          <w:highlight w:val="none"/>
          <w:lang w:eastAsia="zh-CN"/>
        </w:rPr>
        <w:t>15万元。</w:t>
      </w:r>
      <w:r>
        <w:rPr>
          <w:rFonts w:hint="eastAsia" w:ascii="宋体" w:hAnsi="宋体" w:cs="宋体"/>
          <w:color w:val="auto"/>
          <w:sz w:val="24"/>
          <w:highlight w:val="none"/>
        </w:rPr>
        <w:t>结算时以中标全费用单价乘以按招标人要求实际施工并经验收合格的数量为准。</w:t>
      </w:r>
    </w:p>
    <w:p>
      <w:pPr>
        <w:tabs>
          <w:tab w:val="left" w:pos="900"/>
        </w:tabs>
        <w:spacing w:line="440" w:lineRule="exact"/>
        <w:ind w:firstLine="480" w:firstLineChars="200"/>
        <w:jc w:val="left"/>
        <w:rPr>
          <w:rFonts w:ascii="宋体" w:hAnsi="宋体" w:cs="宋体"/>
          <w:b/>
          <w:bCs/>
          <w:color w:val="auto"/>
          <w:sz w:val="24"/>
          <w:highlight w:val="none"/>
        </w:rPr>
      </w:pPr>
      <w:r>
        <w:rPr>
          <w:rFonts w:hint="eastAsia" w:ascii="宋体" w:hAnsi="宋体" w:cs="宋体"/>
          <w:b/>
          <w:bCs/>
          <w:color w:val="auto"/>
          <w:sz w:val="24"/>
          <w:highlight w:val="none"/>
        </w:rPr>
        <w:t>三、投标人资格要求</w:t>
      </w:r>
    </w:p>
    <w:p>
      <w:pPr>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投标人资格要求：投标人具有建设行政主管部门核发的建筑工程施工总承包三级及以上资质或建筑装修装饰工程专业承包二级及以上资质的独立法人，并持有安全生产许可证。</w:t>
      </w:r>
    </w:p>
    <w:p>
      <w:pPr>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财务要求：投标人应具有独立订立合同的能力，未处于财产被接管、冻结和破产状态。</w:t>
      </w:r>
    </w:p>
    <w:p>
      <w:pPr>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信誉要求</w:t>
      </w:r>
    </w:p>
    <w:p>
      <w:pPr>
        <w:spacing w:line="440" w:lineRule="exact"/>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投标人没有被国家、江苏省省级有关部门及盐城市级有关部门暂停招投标或市场准入资格且在公示处罚期内。</w:t>
      </w:r>
    </w:p>
    <w:p>
      <w:pPr>
        <w:spacing w:line="440" w:lineRule="exact"/>
        <w:ind w:firstLine="480" w:firstLineChars="200"/>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（2）在招投标活动中因本招标文件第五部分10.1.1、10.1.2所列的不良行为，在“江苏省建设工程招标网”公示期间的。</w:t>
      </w:r>
    </w:p>
    <w:p>
      <w:pPr>
        <w:spacing w:line="440" w:lineRule="exact"/>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）近3年内有行贿犯罪行为且被记录，或者法定代表人、项目负责人有行贿犯罪记录且自记录之日起未超过5年的。（均自记录之日起至投标截止日止）</w:t>
      </w:r>
    </w:p>
    <w:p>
      <w:pPr>
        <w:spacing w:line="440" w:lineRule="exact"/>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 xml:space="preserve">）被人民法院列为失信被执行人的信息正在被“信用中国”、“信用江苏”网站公布的，投标截止时间前失信被执行人信息已撤销或更正的除外。 </w:t>
      </w:r>
    </w:p>
    <w:p>
      <w:pPr>
        <w:spacing w:line="440" w:lineRule="exact"/>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）投标人作为失信联合惩戒对象被采取依法限制参与建设工程招投标惩戒措施的，且被有关部门推送在“信用中国”、“信用江苏”、“信用盐城”相关网站公示且在有效期内的。</w:t>
      </w:r>
    </w:p>
    <w:p>
      <w:pPr>
        <w:spacing w:line="440" w:lineRule="exact"/>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pPr>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投标项目负责人资格要求：项目负责人须具有建筑工程专业二级及以上建造师资格，同时须具有安全生产考核合格证（B类）。</w:t>
      </w:r>
    </w:p>
    <w:p>
      <w:pPr>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项目负责人从本工程投标文件递交截止之日起必须满足下列条件：</w:t>
      </w:r>
    </w:p>
    <w:p>
      <w:pPr>
        <w:spacing w:line="440" w:lineRule="exact"/>
        <w:ind w:firstLine="480" w:firstLineChars="200"/>
        <w:jc w:val="left"/>
        <w:rPr>
          <w:rFonts w:hint="eastAsia" w:ascii="宋体" w:hAnsi="宋体" w:cs="宋体"/>
          <w:bCs/>
          <w:color w:val="auto"/>
          <w:sz w:val="24"/>
          <w:highlight w:val="none"/>
          <w:lang w:eastAsia="zh-CN"/>
        </w:rPr>
      </w:pPr>
      <w:r>
        <w:rPr>
          <w:rFonts w:ascii="宋体" w:hAnsi="宋体" w:cs="宋体"/>
          <w:bCs/>
          <w:color w:val="auto"/>
          <w:sz w:val="24"/>
          <w:highlight w:val="none"/>
        </w:rPr>
        <w:t>项目负责人不得同时在两个或者两个以上单位受聘或者执业</w:t>
      </w:r>
      <w:r>
        <w:rPr>
          <w:rFonts w:hint="eastAsia" w:ascii="宋体" w:hAnsi="宋体" w:cs="宋体"/>
          <w:bCs/>
          <w:color w:val="auto"/>
          <w:sz w:val="24"/>
          <w:highlight w:val="none"/>
          <w:lang w:eastAsia="zh-CN"/>
        </w:rPr>
        <w:t>。</w:t>
      </w:r>
    </w:p>
    <w:p>
      <w:pPr>
        <w:spacing w:line="44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项目负责人是非变更后无在建工程，或项目负责人是变更后无在建工程（必须原合同工期已满且变更备案之日已满 6个月），或因非承包方原因致使工程项目停工或因故不能按期开工、且已办理了项目负责人解锁手续，或项目负责人有在建工程，但该在建工程与本次招标的工程属于同一工程项目、同一项目批 文、同一施工地点分段发包或分期施工的情况且总的工程规模在 项目负责人执业范围之内。</w:t>
      </w:r>
    </w:p>
    <w:p>
      <w:pPr>
        <w:spacing w:line="44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在建</w:t>
      </w:r>
      <w:r>
        <w:rPr>
          <w:rFonts w:ascii="宋体" w:hAnsi="宋体" w:cs="宋体"/>
          <w:bCs/>
          <w:color w:val="auto"/>
          <w:sz w:val="24"/>
          <w:highlight w:val="none"/>
        </w:rPr>
        <w:t>工程</w:t>
      </w:r>
      <w:r>
        <w:rPr>
          <w:rFonts w:hint="eastAsia" w:ascii="宋体" w:hAnsi="宋体" w:cs="宋体"/>
          <w:bCs/>
          <w:color w:val="auto"/>
          <w:sz w:val="24"/>
          <w:highlight w:val="none"/>
        </w:rPr>
        <w:t>：</w:t>
      </w:r>
      <w:r>
        <w:rPr>
          <w:rFonts w:ascii="宋体" w:hAnsi="宋体" w:cs="宋体"/>
          <w:bCs/>
          <w:color w:val="auto"/>
          <w:sz w:val="24"/>
          <w:highlight w:val="none"/>
        </w:rPr>
        <w:t>处于中标结果公告（直接发包的项目以网上合同备案</w:t>
      </w:r>
      <w:r>
        <w:rPr>
          <w:rFonts w:hint="eastAsia" w:ascii="宋体" w:hAnsi="宋体" w:cs="宋体"/>
          <w:bCs/>
          <w:color w:val="auto"/>
          <w:sz w:val="24"/>
          <w:highlight w:val="none"/>
        </w:rPr>
        <w:t>或归集</w:t>
      </w:r>
      <w:r>
        <w:rPr>
          <w:rFonts w:ascii="宋体" w:hAnsi="宋体" w:cs="宋体"/>
          <w:bCs/>
          <w:color w:val="auto"/>
          <w:sz w:val="24"/>
          <w:highlight w:val="none"/>
        </w:rPr>
        <w:t>为准）到合同约定的工程全部完成且竣工验收合格期间的工程。竣工验收证明是指由建设单位（或监理）组织工程建设各方验收合格， 并签署相应的单位工程质量竣工验收记录或者分部工程质量验 收记录等验收文件。</w:t>
      </w:r>
    </w:p>
    <w:p>
      <w:pPr>
        <w:spacing w:line="44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本项目招标文件项目负责人有在养护期内的绿化养护、市政养护项目的，</w:t>
      </w:r>
      <w:r>
        <w:rPr>
          <w:rFonts w:ascii="宋体" w:hAnsi="宋体" w:cs="宋体"/>
          <w:bCs/>
          <w:color w:val="auto"/>
          <w:sz w:val="24"/>
          <w:highlight w:val="none"/>
        </w:rPr>
        <w:t>不属于招标公告及文件规定的有在建工程</w:t>
      </w:r>
      <w:r>
        <w:rPr>
          <w:rFonts w:hint="eastAsia" w:ascii="宋体" w:hAnsi="宋体" w:cs="宋体"/>
          <w:bCs/>
          <w:color w:val="auto"/>
          <w:sz w:val="24"/>
          <w:highlight w:val="none"/>
        </w:rPr>
        <w:t>。绿化养护、市政养护工程招标，对项目负责人是否有在建工程不作要求。</w:t>
      </w:r>
    </w:p>
    <w:p>
      <w:pPr>
        <w:spacing w:line="44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投标申请人代理人及投标承诺的项目部人员均为本单位的正式职工，投标时提供代理人及项目负责人从2024年4月开始至投标截止之日当月至少1个月在本单位缴纳养老保险缴费记录证明。（退休人员提供在本单位相关证明）。</w:t>
      </w:r>
    </w:p>
    <w:p>
      <w:pPr>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本工程投标时，仅需提供项目经理相关资料，项目部其他人员施工时按现场管理规定要求配备到位。</w:t>
      </w:r>
    </w:p>
    <w:p>
      <w:pPr>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本招标工程不接受联合体投标。</w:t>
      </w:r>
    </w:p>
    <w:p>
      <w:pPr>
        <w:spacing w:line="440" w:lineRule="exact"/>
        <w:ind w:firstLine="480" w:firstLineChars="200"/>
        <w:jc w:val="left"/>
        <w:rPr>
          <w:rFonts w:ascii="宋体" w:hAnsi="宋体" w:cs="宋体"/>
          <w:b/>
          <w:color w:val="auto"/>
          <w:kern w:val="0"/>
          <w:sz w:val="24"/>
          <w:highlight w:val="none"/>
          <w:shd w:val="clear" w:color="auto" w:fill="FFFFFF"/>
        </w:rPr>
      </w:pPr>
      <w:r>
        <w:rPr>
          <w:rFonts w:hint="eastAsia" w:ascii="宋体" w:hAnsi="宋体" w:cs="宋体"/>
          <w:b/>
          <w:color w:val="auto"/>
          <w:kern w:val="0"/>
          <w:sz w:val="24"/>
          <w:highlight w:val="none"/>
          <w:shd w:val="clear" w:color="auto" w:fill="FFFFFF"/>
        </w:rPr>
        <w:t>四、资格审查办法：</w:t>
      </w:r>
      <w:r>
        <w:rPr>
          <w:rFonts w:hint="eastAsia" w:ascii="宋体" w:hAnsi="宋体" w:cs="宋体"/>
          <w:b/>
          <w:bCs/>
          <w:color w:val="auto"/>
          <w:sz w:val="24"/>
          <w:highlight w:val="none"/>
        </w:rPr>
        <w:t>资格后审</w:t>
      </w:r>
      <w:r>
        <w:rPr>
          <w:rFonts w:hint="eastAsia" w:ascii="宋体" w:hAnsi="宋体" w:cs="宋体"/>
          <w:bCs/>
          <w:color w:val="auto"/>
          <w:kern w:val="0"/>
          <w:sz w:val="24"/>
          <w:highlight w:val="none"/>
          <w:shd w:val="clear" w:color="auto" w:fill="FFFFFF"/>
        </w:rPr>
        <w:t>。</w:t>
      </w:r>
    </w:p>
    <w:p>
      <w:pPr>
        <w:spacing w:line="440" w:lineRule="exact"/>
        <w:ind w:firstLine="480" w:firstLineChars="200"/>
        <w:jc w:val="left"/>
        <w:rPr>
          <w:rFonts w:ascii="宋体" w:hAnsi="宋体" w:cs="宋体"/>
          <w:color w:val="auto"/>
          <w:sz w:val="24"/>
          <w:highlight w:val="none"/>
        </w:rPr>
      </w:pPr>
      <w:r>
        <w:rPr>
          <w:rFonts w:hint="eastAsia" w:ascii="宋体" w:hAnsi="宋体" w:cs="宋体"/>
          <w:b/>
          <w:color w:val="auto"/>
          <w:kern w:val="0"/>
          <w:sz w:val="24"/>
          <w:highlight w:val="none"/>
          <w:shd w:val="clear" w:color="auto" w:fill="FFFFFF"/>
        </w:rPr>
        <w:t>五、评标定标办法：</w:t>
      </w:r>
      <w:r>
        <w:rPr>
          <w:rFonts w:hint="eastAsia" w:ascii="宋体" w:hAnsi="宋体" w:cs="宋体"/>
          <w:color w:val="auto"/>
          <w:sz w:val="24"/>
          <w:highlight w:val="none"/>
        </w:rPr>
        <w:t>采用</w:t>
      </w:r>
      <w:r>
        <w:rPr>
          <w:rFonts w:hint="eastAsia" w:ascii="宋体" w:hAnsi="宋体" w:cs="宋体"/>
          <w:color w:val="auto"/>
          <w:sz w:val="24"/>
          <w:highlight w:val="none"/>
          <w:lang w:val="en-US" w:eastAsia="zh-CN"/>
        </w:rPr>
        <w:t>合理低价法</w:t>
      </w:r>
      <w:r>
        <w:rPr>
          <w:rFonts w:hint="eastAsia" w:ascii="宋体" w:hAnsi="宋体" w:cs="宋体"/>
          <w:color w:val="auto"/>
          <w:sz w:val="24"/>
          <w:highlight w:val="none"/>
        </w:rPr>
        <w:t>，具体详见招标文件正文。</w:t>
      </w:r>
    </w:p>
    <w:p>
      <w:pPr>
        <w:spacing w:line="440" w:lineRule="exact"/>
        <w:ind w:firstLine="480" w:firstLineChars="200"/>
        <w:jc w:val="left"/>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六、</w:t>
      </w:r>
      <w:r>
        <w:rPr>
          <w:rFonts w:hint="eastAsia" w:ascii="宋体" w:hAnsi="宋体" w:cs="宋体"/>
          <w:b/>
          <w:bCs/>
          <w:color w:val="auto"/>
          <w:sz w:val="24"/>
          <w:highlight w:val="none"/>
          <w:lang w:val="en-US" w:eastAsia="zh-CN"/>
        </w:rPr>
        <w:t>获取招标文件</w:t>
      </w:r>
    </w:p>
    <w:p>
      <w:pPr>
        <w:spacing w:line="44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时间：2024年</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22</w:t>
      </w:r>
      <w:r>
        <w:rPr>
          <w:rFonts w:hint="eastAsia" w:ascii="宋体" w:hAnsi="宋体" w:cs="宋体"/>
          <w:bCs/>
          <w:color w:val="auto"/>
          <w:sz w:val="24"/>
          <w:highlight w:val="none"/>
        </w:rPr>
        <w:t>日至2024年7月</w:t>
      </w:r>
      <w:r>
        <w:rPr>
          <w:rFonts w:hint="eastAsia" w:ascii="宋体" w:hAnsi="宋体" w:cs="宋体"/>
          <w:bCs/>
          <w:color w:val="auto"/>
          <w:sz w:val="24"/>
          <w:highlight w:val="none"/>
          <w:lang w:val="en-US" w:eastAsia="zh-CN"/>
        </w:rPr>
        <w:t>30</w:t>
      </w:r>
      <w:r>
        <w:rPr>
          <w:rFonts w:hint="eastAsia" w:ascii="宋体" w:hAnsi="宋体" w:cs="宋体"/>
          <w:bCs/>
          <w:color w:val="auto"/>
          <w:sz w:val="24"/>
          <w:highlight w:val="none"/>
        </w:rPr>
        <w:t>日，每天上午08:30-11:30，下午14:30-18:00（北京时间，法定节假日除外）</w:t>
      </w:r>
    </w:p>
    <w:p>
      <w:pPr>
        <w:spacing w:line="44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地点：盐城市世纪大道619号金太阳装饰城B座六楼607室</w:t>
      </w:r>
    </w:p>
    <w:p>
      <w:pPr>
        <w:spacing w:line="44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方式：凡自愿参加本项目的供应商应于规定时间内携带单位介绍信、个人居民身份证到指定地点获取采购文件，未按规定获取采购文件的不得参与投标。</w:t>
      </w:r>
    </w:p>
    <w:p>
      <w:pPr>
        <w:spacing w:line="44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售价：</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00.00元，售后不退。</w:t>
      </w:r>
    </w:p>
    <w:p>
      <w:pPr>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有关本次招标的事项若存在变动或修改，敬请及时关注盐城工业职业技术学院招标采购网发布的信息更正公告。</w:t>
      </w:r>
    </w:p>
    <w:p>
      <w:pPr>
        <w:tabs>
          <w:tab w:val="left" w:pos="900"/>
        </w:tabs>
        <w:spacing w:line="440" w:lineRule="exact"/>
        <w:ind w:firstLine="480" w:firstLineChars="200"/>
        <w:jc w:val="left"/>
        <w:rPr>
          <w:rFonts w:ascii="宋体" w:hAnsi="宋体" w:cs="宋体"/>
          <w:b/>
          <w:bCs/>
          <w:color w:val="auto"/>
          <w:sz w:val="24"/>
          <w:highlight w:val="none"/>
        </w:rPr>
      </w:pPr>
      <w:r>
        <w:rPr>
          <w:rFonts w:hint="eastAsia" w:ascii="宋体" w:hAnsi="宋体" w:cs="宋体"/>
          <w:b/>
          <w:color w:val="auto"/>
          <w:sz w:val="24"/>
          <w:highlight w:val="none"/>
        </w:rPr>
        <w:t>七、</w:t>
      </w:r>
      <w:r>
        <w:rPr>
          <w:rFonts w:hint="eastAsia" w:ascii="宋体" w:hAnsi="宋体" w:cs="宋体"/>
          <w:b/>
          <w:bCs/>
          <w:color w:val="auto"/>
          <w:sz w:val="24"/>
          <w:highlight w:val="none"/>
        </w:rPr>
        <w:t>投标文件接收信息</w:t>
      </w:r>
    </w:p>
    <w:p>
      <w:pPr>
        <w:tabs>
          <w:tab w:val="left" w:pos="900"/>
        </w:tabs>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投标文件接收时间：202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w:t>
      </w:r>
    </w:p>
    <w:p>
      <w:pPr>
        <w:tabs>
          <w:tab w:val="left" w:pos="900"/>
        </w:tabs>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投标文件接收截止时间：202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p>
    <w:p>
      <w:pPr>
        <w:spacing w:line="44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投标文件接收地点：</w:t>
      </w:r>
      <w:r>
        <w:rPr>
          <w:rStyle w:val="64"/>
          <w:rFonts w:hint="eastAsia" w:ascii="宋体" w:hAnsi="宋体" w:cs="宋体"/>
          <w:color w:val="auto"/>
          <w:sz w:val="24"/>
          <w:highlight w:val="none"/>
        </w:rPr>
        <w:t>盐城工业职业技术学院（盐城市解放南路285号）南食堂四楼402开标室</w:t>
      </w:r>
      <w:r>
        <w:rPr>
          <w:rFonts w:hint="eastAsia" w:ascii="宋体" w:hAnsi="宋体" w:cs="宋体"/>
          <w:bCs/>
          <w:color w:val="auto"/>
          <w:sz w:val="24"/>
          <w:highlight w:val="none"/>
        </w:rPr>
        <w:t>。</w:t>
      </w:r>
    </w:p>
    <w:p>
      <w:pPr>
        <w:spacing w:line="44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八、开标有关信息</w:t>
      </w:r>
    </w:p>
    <w:p>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开标时间：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p>
    <w:p>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开标地点：</w:t>
      </w:r>
      <w:r>
        <w:rPr>
          <w:rStyle w:val="64"/>
          <w:rFonts w:hint="eastAsia" w:ascii="宋体" w:hAnsi="宋体" w:cs="宋体"/>
          <w:color w:val="auto"/>
          <w:sz w:val="24"/>
          <w:highlight w:val="none"/>
        </w:rPr>
        <w:t>盐城工业职业技术学院（盐城市解放南路285号）南食堂四楼402开标室</w:t>
      </w:r>
      <w:r>
        <w:rPr>
          <w:rFonts w:hint="eastAsia" w:ascii="宋体" w:hAnsi="宋体" w:cs="宋体"/>
          <w:bCs/>
          <w:color w:val="auto"/>
          <w:sz w:val="24"/>
          <w:highlight w:val="none"/>
        </w:rPr>
        <w:t>。</w:t>
      </w:r>
    </w:p>
    <w:p>
      <w:pPr>
        <w:spacing w:line="44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九、本次招标联系事项</w:t>
      </w:r>
    </w:p>
    <w:p>
      <w:pPr>
        <w:tabs>
          <w:tab w:val="left" w:pos="900"/>
        </w:tabs>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（一）采购人项目联系人：袁老师18921848699，张老师13770011137；</w:t>
      </w:r>
    </w:p>
    <w:p>
      <w:pPr>
        <w:tabs>
          <w:tab w:val="left" w:pos="900"/>
        </w:tabs>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采购人招标联系人：赵老师，联系电话：</w:t>
      </w:r>
      <w:r>
        <w:rPr>
          <w:rFonts w:hint="eastAsia" w:ascii="宋体" w:hAnsi="宋体" w:cs="宋体"/>
          <w:color w:val="auto"/>
          <w:sz w:val="24"/>
          <w:highlight w:val="none"/>
          <w:lang w:eastAsia="zh-CN"/>
        </w:rPr>
        <w:t>0515-88580406</w:t>
      </w:r>
      <w:r>
        <w:rPr>
          <w:rFonts w:hint="eastAsia" w:ascii="宋体" w:hAnsi="宋体" w:cs="宋体"/>
          <w:color w:val="auto"/>
          <w:sz w:val="24"/>
          <w:highlight w:val="none"/>
        </w:rPr>
        <w:t>；</w:t>
      </w:r>
    </w:p>
    <w:p>
      <w:pPr>
        <w:tabs>
          <w:tab w:val="left" w:pos="900"/>
        </w:tabs>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地址：盐城工业职业技术学院；</w:t>
      </w:r>
    </w:p>
    <w:p>
      <w:pPr>
        <w:tabs>
          <w:tab w:val="left" w:pos="900"/>
        </w:tabs>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（二）招标代理机构联系人：</w:t>
      </w:r>
      <w:r>
        <w:rPr>
          <w:rFonts w:hint="eastAsia" w:ascii="宋体" w:hAnsi="宋体" w:cs="宋体"/>
          <w:color w:val="auto"/>
          <w:sz w:val="24"/>
          <w:highlight w:val="none"/>
          <w:lang w:val="en-US" w:eastAsia="zh-CN"/>
        </w:rPr>
        <w:t>孙女士</w:t>
      </w:r>
      <w:r>
        <w:rPr>
          <w:rFonts w:hint="eastAsia" w:ascii="宋体" w:hAnsi="宋体" w:cs="宋体"/>
          <w:color w:val="auto"/>
          <w:sz w:val="24"/>
          <w:highlight w:val="none"/>
        </w:rPr>
        <w:t>， 联系电话：</w:t>
      </w:r>
      <w:r>
        <w:rPr>
          <w:rFonts w:hint="eastAsia" w:ascii="宋体" w:hAnsi="宋体" w:cs="宋体"/>
          <w:color w:val="auto"/>
          <w:sz w:val="24"/>
          <w:highlight w:val="none"/>
          <w:lang w:val="en-US" w:eastAsia="zh-CN"/>
        </w:rPr>
        <w:t>15605108891</w:t>
      </w:r>
      <w:r>
        <w:rPr>
          <w:rFonts w:hint="eastAsia" w:ascii="宋体" w:hAnsi="宋体" w:cs="宋体"/>
          <w:color w:val="auto"/>
          <w:sz w:val="24"/>
          <w:highlight w:val="none"/>
        </w:rPr>
        <w:t>；</w:t>
      </w:r>
    </w:p>
    <w:p>
      <w:pPr>
        <w:tabs>
          <w:tab w:val="left" w:pos="900"/>
        </w:tabs>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招标代理机构联系地址：</w:t>
      </w:r>
      <w:r>
        <w:rPr>
          <w:rFonts w:hint="eastAsia" w:ascii="宋体" w:hAnsi="宋体" w:cs="宋体"/>
          <w:color w:val="auto"/>
          <w:sz w:val="24"/>
          <w:highlight w:val="none"/>
          <w:lang w:eastAsia="zh-CN"/>
        </w:rPr>
        <w:t>盐城市世纪大道619号金太阳装饰城B座六楼</w:t>
      </w:r>
      <w:r>
        <w:rPr>
          <w:rFonts w:hint="eastAsia" w:ascii="宋体" w:hAnsi="宋体" w:cs="宋体"/>
          <w:color w:val="auto"/>
          <w:sz w:val="24"/>
          <w:highlight w:val="none"/>
        </w:rPr>
        <w:t xml:space="preserve">。 </w:t>
      </w:r>
    </w:p>
    <w:p>
      <w:pPr>
        <w:spacing w:line="440" w:lineRule="exact"/>
        <w:ind w:firstLine="480" w:firstLineChars="200"/>
        <w:jc w:val="left"/>
        <w:rPr>
          <w:rFonts w:ascii="宋体" w:hAnsi="宋体" w:cs="宋体"/>
          <w:b/>
          <w:color w:val="auto"/>
          <w:sz w:val="24"/>
          <w:highlight w:val="none"/>
        </w:rPr>
      </w:pPr>
      <w:r>
        <w:rPr>
          <w:rFonts w:hint="eastAsia" w:ascii="宋体" w:hAnsi="宋体" w:cs="宋体"/>
          <w:b/>
          <w:color w:val="auto"/>
          <w:sz w:val="24"/>
          <w:highlight w:val="none"/>
        </w:rPr>
        <w:t>十、投标文件制作份数要求</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正本份数：1份，副本份数：4份。</w:t>
      </w:r>
    </w:p>
    <w:p>
      <w:pPr>
        <w:spacing w:line="440" w:lineRule="exact"/>
        <w:ind w:firstLine="480" w:firstLineChars="200"/>
        <w:jc w:val="left"/>
        <w:rPr>
          <w:rFonts w:ascii="宋体" w:hAnsi="宋体" w:cs="宋体"/>
          <w:b/>
          <w:bCs/>
          <w:color w:val="auto"/>
          <w:sz w:val="24"/>
          <w:highlight w:val="none"/>
        </w:rPr>
      </w:pPr>
      <w:r>
        <w:rPr>
          <w:rFonts w:hint="eastAsia" w:ascii="宋体" w:hAnsi="宋体" w:cs="宋体"/>
          <w:b/>
          <w:bCs/>
          <w:color w:val="auto"/>
          <w:sz w:val="24"/>
          <w:highlight w:val="none"/>
        </w:rPr>
        <w:t>十一、本次招标投标保证金</w:t>
      </w:r>
    </w:p>
    <w:p>
      <w:pPr>
        <w:spacing w:line="440" w:lineRule="exact"/>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本次招标收取保证金。本工程投标保证金金额为人民币</w:t>
      </w:r>
      <w:r>
        <w:rPr>
          <w:rFonts w:hint="eastAsia" w:ascii="宋体" w:hAnsi="宋体" w:cs="宋体"/>
          <w:color w:val="auto"/>
          <w:sz w:val="24"/>
          <w:highlight w:val="none"/>
          <w:u w:val="single"/>
          <w:lang w:val="en-US" w:eastAsia="zh-CN"/>
        </w:rPr>
        <w:t>叁仟元</w:t>
      </w:r>
      <w:r>
        <w:rPr>
          <w:rFonts w:hint="eastAsia" w:ascii="宋体" w:hAnsi="宋体" w:cs="宋体"/>
          <w:color w:val="auto"/>
          <w:sz w:val="24"/>
          <w:highlight w:val="none"/>
          <w:u w:val="single"/>
        </w:rPr>
        <w:t>整</w:t>
      </w:r>
      <w:r>
        <w:rPr>
          <w:rFonts w:hint="eastAsia" w:ascii="宋体" w:hAnsi="宋体" w:cs="宋体"/>
          <w:color w:val="auto"/>
          <w:sz w:val="24"/>
          <w:highlight w:val="none"/>
        </w:rPr>
        <w:t>，投标保证金必须在</w:t>
      </w:r>
      <w:r>
        <w:rPr>
          <w:rFonts w:hint="eastAsia" w:ascii="宋体" w:hAnsi="宋体" w:cs="宋体"/>
          <w:bCs/>
          <w:color w:val="auto"/>
          <w:sz w:val="24"/>
          <w:highlight w:val="none"/>
        </w:rPr>
        <w:t>投标文件接收截止时间</w:t>
      </w:r>
      <w:r>
        <w:rPr>
          <w:rFonts w:hint="eastAsia" w:ascii="宋体" w:hAnsi="宋体" w:cs="宋体"/>
          <w:color w:val="auto"/>
          <w:sz w:val="24"/>
          <w:highlight w:val="none"/>
        </w:rPr>
        <w:t>前与投标文件一起送达投标文件接收地点（不要密封在响应文件中）。</w:t>
      </w:r>
    </w:p>
    <w:p>
      <w:pPr>
        <w:spacing w:line="440" w:lineRule="exact"/>
        <w:ind w:firstLine="480" w:firstLineChars="200"/>
        <w:outlineLvl w:val="1"/>
        <w:rPr>
          <w:rFonts w:ascii="宋体" w:hAnsi="宋体" w:cs="宋体"/>
          <w:color w:val="auto"/>
          <w:sz w:val="24"/>
          <w:highlight w:val="none"/>
        </w:rPr>
      </w:pPr>
      <w:r>
        <w:rPr>
          <w:rFonts w:hint="eastAsia" w:ascii="宋体" w:hAnsi="宋体" w:cs="宋体"/>
          <w:b/>
          <w:color w:val="auto"/>
          <w:kern w:val="0"/>
          <w:sz w:val="24"/>
          <w:highlight w:val="none"/>
        </w:rPr>
        <w:t>投标保证金必须采用有效银行本票或银行汇票，不接受电汇、转账、现金、现金交款单、支票或其他形式的保证金。</w:t>
      </w:r>
      <w:r>
        <w:rPr>
          <w:rFonts w:hint="eastAsia" w:ascii="宋体" w:hAnsi="宋体" w:cs="宋体"/>
          <w:color w:val="auto"/>
          <w:kern w:val="0"/>
          <w:sz w:val="24"/>
          <w:highlight w:val="none"/>
        </w:rPr>
        <w:t>各投标人须在</w:t>
      </w:r>
      <w:r>
        <w:rPr>
          <w:rFonts w:hint="eastAsia" w:ascii="宋体" w:hAnsi="宋体" w:cs="宋体"/>
          <w:bCs/>
          <w:color w:val="auto"/>
          <w:sz w:val="24"/>
          <w:highlight w:val="none"/>
        </w:rPr>
        <w:t>投标文件接收截止时间</w:t>
      </w:r>
      <w:r>
        <w:rPr>
          <w:rFonts w:hint="eastAsia" w:ascii="宋体" w:hAnsi="宋体" w:cs="宋体"/>
          <w:color w:val="auto"/>
          <w:kern w:val="0"/>
          <w:sz w:val="24"/>
          <w:highlight w:val="none"/>
        </w:rPr>
        <w:t>前将投标保证金从投标人本单位的基本账户上汇出（不入账），以投标人汇出资金的银行日期为准，且保证金汇出单位必须与投标人名称一致，</w:t>
      </w:r>
      <w:r>
        <w:rPr>
          <w:rFonts w:hint="eastAsia" w:ascii="宋体" w:hAnsi="宋体" w:cs="宋体"/>
          <w:b/>
          <w:bCs/>
          <w:color w:val="auto"/>
          <w:kern w:val="0"/>
          <w:sz w:val="24"/>
          <w:highlight w:val="none"/>
        </w:rPr>
        <w:t>收款人名称：</w:t>
      </w:r>
      <w:r>
        <w:rPr>
          <w:rFonts w:hint="eastAsia" w:ascii="宋体" w:hAnsi="宋体" w:cs="宋体"/>
          <w:b/>
          <w:bCs/>
          <w:color w:val="auto"/>
          <w:sz w:val="24"/>
          <w:highlight w:val="none"/>
          <w:lang w:eastAsia="zh-CN"/>
        </w:rPr>
        <w:t>江苏建博工程管理咨询有限公司</w:t>
      </w:r>
      <w:r>
        <w:rPr>
          <w:rFonts w:hint="eastAsia" w:ascii="宋体" w:hAnsi="宋体" w:cs="宋体"/>
          <w:b/>
          <w:bCs/>
          <w:color w:val="auto"/>
          <w:sz w:val="24"/>
          <w:highlight w:val="none"/>
        </w:rPr>
        <w:t xml:space="preserve">，开户行： </w:t>
      </w:r>
      <w:r>
        <w:rPr>
          <w:rFonts w:hint="eastAsia" w:ascii="宋体" w:hAnsi="宋体" w:cs="宋体"/>
          <w:b/>
          <w:bCs/>
          <w:color w:val="auto"/>
          <w:sz w:val="24"/>
          <w:highlight w:val="none"/>
          <w:lang w:eastAsia="zh-CN"/>
        </w:rPr>
        <w:t>华夏银行盐城分行</w:t>
      </w:r>
      <w:r>
        <w:rPr>
          <w:rFonts w:hint="eastAsia" w:ascii="宋体" w:hAnsi="宋体" w:cs="宋体"/>
          <w:b/>
          <w:bCs/>
          <w:color w:val="auto"/>
          <w:sz w:val="24"/>
          <w:highlight w:val="none"/>
        </w:rPr>
        <w:t>，账号：</w:t>
      </w:r>
      <w:r>
        <w:rPr>
          <w:rFonts w:hint="eastAsia" w:ascii="宋体" w:hAnsi="宋体" w:cs="宋体"/>
          <w:b/>
          <w:bCs/>
          <w:color w:val="auto"/>
          <w:sz w:val="24"/>
          <w:highlight w:val="none"/>
          <w:lang w:eastAsia="zh-CN"/>
        </w:rPr>
        <w:t>16050000000035542</w:t>
      </w:r>
      <w:r>
        <w:rPr>
          <w:rFonts w:hint="eastAsia" w:ascii="宋体" w:hAnsi="宋体" w:cs="宋体"/>
          <w:color w:val="auto"/>
          <w:kern w:val="0"/>
          <w:sz w:val="24"/>
          <w:highlight w:val="none"/>
        </w:rPr>
        <w:t>。</w:t>
      </w:r>
      <w:r>
        <w:rPr>
          <w:rFonts w:hint="eastAsia" w:ascii="宋体" w:hAnsi="宋体" w:cs="宋体"/>
          <w:bCs/>
          <w:color w:val="auto"/>
          <w:sz w:val="24"/>
          <w:highlight w:val="none"/>
        </w:rPr>
        <w:t>投标文件接收截止时间前</w:t>
      </w:r>
      <w:r>
        <w:rPr>
          <w:rFonts w:hint="eastAsia" w:ascii="宋体" w:hAnsi="宋体" w:cs="宋体"/>
          <w:color w:val="auto"/>
          <w:kern w:val="0"/>
          <w:sz w:val="24"/>
          <w:highlight w:val="none"/>
        </w:rPr>
        <w:t>，各投标人将有效银行本票原件或银行汇票原件带至开标现场交工作人员核验，未按上述要求交纳投标保证金的，</w:t>
      </w:r>
      <w:r>
        <w:rPr>
          <w:rFonts w:hint="eastAsia" w:ascii="宋体" w:hAnsi="宋体" w:cs="宋体"/>
          <w:color w:val="auto"/>
          <w:sz w:val="24"/>
          <w:highlight w:val="none"/>
        </w:rPr>
        <w:t>将被视为非响应性投标而予以拒绝。</w:t>
      </w:r>
    </w:p>
    <w:p>
      <w:pPr>
        <w:spacing w:line="440" w:lineRule="exact"/>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投标保证金退还方式：未中标人的投标保证金现场退还，中标人的投标保证金在签订合同并交纳招标代理服务费后，凭合同原件及交费凭证至招标代理机构财务部退还。</w:t>
      </w:r>
    </w:p>
    <w:p>
      <w:pPr>
        <w:spacing w:line="440" w:lineRule="exact"/>
        <w:ind w:firstLine="5760" w:firstLineChars="2400"/>
        <w:outlineLvl w:val="1"/>
        <w:rPr>
          <w:rFonts w:ascii="宋体" w:hAnsi="宋体" w:cs="宋体"/>
          <w:color w:val="auto"/>
          <w:kern w:val="0"/>
          <w:sz w:val="24"/>
          <w:highlight w:val="none"/>
        </w:rPr>
      </w:pPr>
    </w:p>
    <w:p>
      <w:pPr>
        <w:pStyle w:val="2"/>
        <w:rPr>
          <w:color w:val="auto"/>
          <w:highlight w:val="none"/>
        </w:rPr>
      </w:pPr>
    </w:p>
    <w:p>
      <w:pPr>
        <w:spacing w:line="440" w:lineRule="exact"/>
        <w:ind w:firstLine="5760" w:firstLineChars="2400"/>
        <w:outlineLvl w:val="1"/>
        <w:rPr>
          <w:rFonts w:ascii="宋体" w:hAnsi="宋体" w:cs="宋体"/>
          <w:color w:val="auto"/>
          <w:kern w:val="0"/>
          <w:sz w:val="24"/>
          <w:highlight w:val="none"/>
        </w:rPr>
      </w:pPr>
      <w:r>
        <w:rPr>
          <w:rFonts w:hint="eastAsia" w:ascii="宋体" w:hAnsi="宋体" w:cs="宋体"/>
          <w:color w:val="auto"/>
          <w:kern w:val="0"/>
          <w:sz w:val="24"/>
          <w:highlight w:val="none"/>
        </w:rPr>
        <w:t>盐城工业职业技术学院</w:t>
      </w:r>
    </w:p>
    <w:p>
      <w:pPr>
        <w:spacing w:line="440" w:lineRule="exact"/>
        <w:ind w:firstLine="5520" w:firstLineChars="2300"/>
        <w:outlineLvl w:val="1"/>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江苏建博工程管理咨询有限公司</w:t>
      </w:r>
    </w:p>
    <w:p>
      <w:pPr>
        <w:spacing w:line="440" w:lineRule="exact"/>
        <w:ind w:firstLine="6240" w:firstLineChars="2600"/>
        <w:outlineLvl w:val="1"/>
        <w:rPr>
          <w:rFonts w:ascii="宋体" w:hAnsi="宋体" w:cs="宋体"/>
          <w:color w:val="auto"/>
          <w:kern w:val="0"/>
          <w:sz w:val="24"/>
          <w:highlight w:val="none"/>
        </w:rPr>
      </w:pPr>
      <w:r>
        <w:rPr>
          <w:rFonts w:hint="eastAsia" w:ascii="宋体" w:hAnsi="宋体" w:cs="宋体"/>
          <w:color w:val="auto"/>
          <w:kern w:val="0"/>
          <w:sz w:val="24"/>
          <w:highlight w:val="none"/>
        </w:rPr>
        <w:t>202</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22</w:t>
      </w:r>
      <w:r>
        <w:rPr>
          <w:rFonts w:hint="eastAsia" w:ascii="宋体" w:hAnsi="宋体" w:cs="宋体"/>
          <w:color w:val="auto"/>
          <w:kern w:val="0"/>
          <w:sz w:val="24"/>
          <w:highlight w:val="none"/>
        </w:rPr>
        <w:t>日</w:t>
      </w:r>
    </w:p>
    <w:p>
      <w:pPr>
        <w:spacing w:line="500" w:lineRule="exact"/>
        <w:rPr>
          <w:rFonts w:ascii="宋体" w:hAnsi="宋体" w:cs="宋体"/>
          <w:b/>
          <w:color w:val="auto"/>
          <w:sz w:val="24"/>
          <w:highlight w:val="none"/>
        </w:rPr>
      </w:pPr>
      <w:r>
        <w:rPr>
          <w:rFonts w:hint="eastAsia" w:ascii="宋体" w:hAnsi="宋体" w:cs="宋体"/>
          <w:b/>
          <w:color w:val="auto"/>
          <w:sz w:val="44"/>
          <w:szCs w:val="44"/>
          <w:highlight w:val="none"/>
        </w:rPr>
        <w:br w:type="page"/>
      </w:r>
    </w:p>
    <w:p>
      <w:pPr>
        <w:jc w:val="center"/>
        <w:rPr>
          <w:rFonts w:ascii="宋体" w:hAnsi="宋体" w:cs="宋体"/>
          <w:b/>
          <w:bCs/>
          <w:color w:val="auto"/>
          <w:sz w:val="44"/>
          <w:highlight w:val="none"/>
        </w:rPr>
      </w:pPr>
      <w:r>
        <w:rPr>
          <w:rFonts w:hint="eastAsia" w:ascii="宋体" w:hAnsi="宋体" w:cs="宋体"/>
          <w:b/>
          <w:color w:val="auto"/>
          <w:sz w:val="44"/>
          <w:szCs w:val="44"/>
          <w:highlight w:val="none"/>
        </w:rPr>
        <w:t>第一部分  投标须知</w:t>
      </w:r>
    </w:p>
    <w:p>
      <w:pPr>
        <w:spacing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前 附 表</w:t>
      </w:r>
    </w:p>
    <w:tbl>
      <w:tblPr>
        <w:tblStyle w:val="21"/>
        <w:tblW w:w="93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29" w:type="dxa"/>
            <w:tcBorders>
              <w:top w:val="single" w:color="auto" w:sz="8" w:space="0"/>
              <w:left w:val="single" w:color="auto" w:sz="8" w:space="0"/>
              <w:bottom w:val="single" w:color="auto" w:sz="4" w:space="0"/>
              <w:right w:val="single" w:color="auto" w:sz="4" w:space="0"/>
            </w:tcBorders>
            <w:vAlign w:val="center"/>
          </w:tcPr>
          <w:p>
            <w:pPr>
              <w:pStyle w:val="11"/>
              <w:adjustRightInd w:val="0"/>
              <w:snapToGrid w:val="0"/>
              <w:spacing w:line="320" w:lineRule="exact"/>
              <w:jc w:val="center"/>
              <w:rPr>
                <w:rFonts w:hAnsi="宋体" w:cs="宋体"/>
                <w:color w:val="auto"/>
                <w:kern w:val="2"/>
                <w:sz w:val="24"/>
                <w:highlight w:val="none"/>
              </w:rPr>
            </w:pPr>
            <w:r>
              <w:rPr>
                <w:rFonts w:hint="eastAsia" w:hAnsi="宋体" w:cs="宋体"/>
                <w:color w:val="auto"/>
                <w:kern w:val="2"/>
                <w:sz w:val="24"/>
                <w:highlight w:val="none"/>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11"/>
              <w:adjustRightInd w:val="0"/>
              <w:snapToGrid w:val="0"/>
              <w:spacing w:line="320" w:lineRule="exact"/>
              <w:jc w:val="center"/>
              <w:rPr>
                <w:rFonts w:hAnsi="宋体" w:cs="宋体"/>
                <w:color w:val="auto"/>
                <w:kern w:val="2"/>
                <w:sz w:val="24"/>
                <w:highlight w:val="none"/>
              </w:rPr>
            </w:pPr>
            <w:r>
              <w:rPr>
                <w:rFonts w:hint="eastAsia" w:hAnsi="宋体" w:cs="宋体"/>
                <w:color w:val="auto"/>
                <w:kern w:val="2"/>
                <w:sz w:val="24"/>
                <w:highlight w:val="none"/>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11"/>
              <w:adjustRightInd w:val="0"/>
              <w:snapToGrid w:val="0"/>
              <w:spacing w:line="320" w:lineRule="exact"/>
              <w:jc w:val="center"/>
              <w:rPr>
                <w:rFonts w:hAnsi="宋体" w:cs="宋体"/>
                <w:color w:val="auto"/>
                <w:kern w:val="2"/>
                <w:sz w:val="24"/>
                <w:highlight w:val="none"/>
              </w:rPr>
            </w:pPr>
            <w:r>
              <w:rPr>
                <w:rFonts w:hint="eastAsia" w:hAnsi="宋体" w:cs="宋体"/>
                <w:color w:val="auto"/>
                <w:kern w:val="2"/>
                <w:sz w:val="24"/>
                <w:highlight w:val="none"/>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11"/>
              <w:adjustRightInd w:val="0"/>
              <w:snapToGrid w:val="0"/>
              <w:spacing w:line="300" w:lineRule="exact"/>
              <w:rPr>
                <w:rFonts w:hAnsi="宋体" w:cs="宋体"/>
                <w:color w:val="auto"/>
                <w:kern w:val="2"/>
                <w:sz w:val="24"/>
                <w:highlight w:val="none"/>
              </w:rPr>
            </w:pPr>
            <w:r>
              <w:rPr>
                <w:rFonts w:hint="eastAsia" w:hAnsi="宋体" w:cs="宋体"/>
                <w:color w:val="auto"/>
                <w:kern w:val="2"/>
                <w:sz w:val="24"/>
                <w:highlight w:val="none"/>
              </w:rPr>
              <w:t>工程名称：盐城工业职业技术学院</w:t>
            </w:r>
            <w:r>
              <w:rPr>
                <w:rFonts w:hint="eastAsia" w:hAnsi="宋体" w:cs="宋体"/>
                <w:color w:val="auto"/>
                <w:kern w:val="2"/>
                <w:sz w:val="24"/>
                <w:highlight w:val="none"/>
                <w:lang w:eastAsia="zh-CN"/>
              </w:rPr>
              <w:t>非遗学院教室改造项目</w:t>
            </w:r>
            <w:r>
              <w:rPr>
                <w:rFonts w:hint="eastAsia" w:hAnsi="宋体" w:cs="宋体"/>
                <w:color w:val="auto"/>
                <w:kern w:val="2"/>
                <w:sz w:val="24"/>
                <w:highlight w:val="none"/>
              </w:rPr>
              <w:t>　　　　</w:t>
            </w:r>
          </w:p>
          <w:p>
            <w:pPr>
              <w:pStyle w:val="11"/>
              <w:adjustRightInd w:val="0"/>
              <w:snapToGrid w:val="0"/>
              <w:spacing w:line="300" w:lineRule="exact"/>
              <w:rPr>
                <w:rFonts w:hAnsi="宋体" w:cs="宋体"/>
                <w:color w:val="auto"/>
                <w:kern w:val="2"/>
                <w:sz w:val="24"/>
                <w:highlight w:val="none"/>
              </w:rPr>
            </w:pPr>
            <w:r>
              <w:rPr>
                <w:rFonts w:hint="eastAsia" w:hAnsi="宋体" w:cs="宋体"/>
                <w:color w:val="auto"/>
                <w:kern w:val="2"/>
                <w:sz w:val="24"/>
                <w:highlight w:val="none"/>
              </w:rPr>
              <w:t>招标人名称：盐城工业职业技术学院</w:t>
            </w:r>
          </w:p>
          <w:p>
            <w:pPr>
              <w:pStyle w:val="11"/>
              <w:adjustRightInd w:val="0"/>
              <w:snapToGrid w:val="0"/>
              <w:spacing w:line="300" w:lineRule="exact"/>
              <w:rPr>
                <w:rFonts w:hAnsi="宋体" w:cs="宋体"/>
                <w:color w:val="auto"/>
                <w:kern w:val="2"/>
                <w:sz w:val="24"/>
                <w:highlight w:val="none"/>
              </w:rPr>
            </w:pPr>
            <w:r>
              <w:rPr>
                <w:rFonts w:hint="eastAsia" w:hAnsi="宋体" w:cs="宋体"/>
                <w:color w:val="auto"/>
                <w:kern w:val="2"/>
                <w:sz w:val="24"/>
                <w:highlight w:val="none"/>
              </w:rPr>
              <w:t>招标范围及标段划分：盐城工业职业技术学院</w:t>
            </w:r>
            <w:r>
              <w:rPr>
                <w:rFonts w:hint="eastAsia" w:hAnsi="宋体" w:cs="宋体"/>
                <w:color w:val="auto"/>
                <w:kern w:val="2"/>
                <w:sz w:val="24"/>
                <w:highlight w:val="none"/>
                <w:lang w:eastAsia="zh-CN"/>
              </w:rPr>
              <w:t>非遗学院教室改造项目</w:t>
            </w:r>
            <w:r>
              <w:rPr>
                <w:rFonts w:hint="eastAsia" w:hAnsi="宋体" w:cs="宋体"/>
                <w:color w:val="auto"/>
                <w:kern w:val="2"/>
                <w:sz w:val="24"/>
                <w:highlight w:val="none"/>
              </w:rPr>
              <w:t>，具体内容详按工程量清单及招标人要求执行，招标人保留进行调整的权利。本次招标共为1个标段。</w:t>
            </w:r>
          </w:p>
          <w:p>
            <w:pPr>
              <w:pStyle w:val="11"/>
              <w:adjustRightInd w:val="0"/>
              <w:snapToGrid w:val="0"/>
              <w:spacing w:line="300" w:lineRule="exact"/>
              <w:rPr>
                <w:rFonts w:hAnsi="宋体" w:cs="宋体"/>
                <w:color w:val="auto"/>
                <w:kern w:val="2"/>
                <w:sz w:val="24"/>
                <w:highlight w:val="none"/>
              </w:rPr>
            </w:pPr>
            <w:r>
              <w:rPr>
                <w:rFonts w:hint="eastAsia" w:hAnsi="宋体" w:cs="宋体"/>
                <w:color w:val="auto"/>
                <w:kern w:val="2"/>
                <w:sz w:val="24"/>
                <w:highlight w:val="none"/>
              </w:rPr>
              <w:t>质量标准：国家合格标准</w:t>
            </w:r>
          </w:p>
          <w:p>
            <w:pPr>
              <w:pStyle w:val="11"/>
              <w:adjustRightInd w:val="0"/>
              <w:snapToGrid w:val="0"/>
              <w:spacing w:line="300" w:lineRule="exact"/>
              <w:rPr>
                <w:rFonts w:hAnsi="宋体" w:cs="宋体"/>
                <w:color w:val="auto"/>
                <w:kern w:val="2"/>
                <w:sz w:val="24"/>
                <w:highlight w:val="none"/>
              </w:rPr>
            </w:pPr>
            <w:r>
              <w:rPr>
                <w:rFonts w:hint="eastAsia" w:hAnsi="宋体" w:cs="宋体"/>
                <w:color w:val="auto"/>
                <w:kern w:val="2"/>
                <w:sz w:val="24"/>
                <w:highlight w:val="none"/>
              </w:rPr>
              <w:t>工期要求：自甲方通知开工之日起2</w:t>
            </w:r>
            <w:r>
              <w:rPr>
                <w:rFonts w:hint="eastAsia" w:hAnsi="宋体" w:cs="宋体"/>
                <w:color w:val="auto"/>
                <w:kern w:val="2"/>
                <w:sz w:val="24"/>
                <w:highlight w:val="none"/>
                <w:lang w:val="en-US" w:eastAsia="zh-CN"/>
              </w:rPr>
              <w:t>0</w:t>
            </w:r>
            <w:r>
              <w:rPr>
                <w:rFonts w:hint="eastAsia" w:hAnsi="宋体" w:cs="宋体"/>
                <w:color w:val="auto"/>
                <w:kern w:val="2"/>
                <w:sz w:val="24"/>
                <w:highlight w:val="none"/>
              </w:rPr>
              <w:t>日历天内全部通过竣工验收合格并交付使用。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45"/>
              <w:adjustRightInd w:val="0"/>
              <w:snapToGrid w:val="0"/>
              <w:spacing w:line="320" w:lineRule="exact"/>
              <w:jc w:val="center"/>
              <w:rPr>
                <w:rFonts w:hAnsi="宋体" w:cs="宋体"/>
                <w:color w:val="auto"/>
                <w:sz w:val="24"/>
                <w:highlight w:val="none"/>
              </w:rPr>
            </w:pPr>
            <w:r>
              <w:rPr>
                <w:rFonts w:hint="eastAsia" w:hAnsi="宋体" w:cs="宋体"/>
                <w:color w:val="auto"/>
                <w:sz w:val="24"/>
                <w:highlight w:val="none"/>
              </w:rPr>
              <w:t>2</w:t>
            </w:r>
          </w:p>
        </w:tc>
        <w:tc>
          <w:tcPr>
            <w:tcW w:w="8666" w:type="dxa"/>
            <w:tcBorders>
              <w:top w:val="single" w:color="auto" w:sz="4" w:space="0"/>
              <w:left w:val="single" w:color="auto" w:sz="4" w:space="0"/>
              <w:bottom w:val="single" w:color="auto" w:sz="4" w:space="0"/>
              <w:right w:val="single" w:color="auto" w:sz="8" w:space="0"/>
            </w:tcBorders>
            <w:vAlign w:val="center"/>
          </w:tcPr>
          <w:p>
            <w:pPr>
              <w:spacing w:line="300" w:lineRule="exact"/>
              <w:outlineLvl w:val="1"/>
              <w:rPr>
                <w:rFonts w:ascii="宋体" w:hAnsi="宋体" w:cs="宋体"/>
                <w:color w:val="auto"/>
                <w:sz w:val="24"/>
                <w:highlight w:val="none"/>
              </w:rPr>
            </w:pPr>
            <w:r>
              <w:rPr>
                <w:rFonts w:hint="eastAsia" w:ascii="宋体" w:hAnsi="宋体" w:cs="宋体"/>
                <w:color w:val="auto"/>
                <w:sz w:val="24"/>
                <w:highlight w:val="none"/>
              </w:rPr>
              <w:t>本次招标收取保证金。本工程投标保证金金额为人民币</w:t>
            </w:r>
            <w:r>
              <w:rPr>
                <w:rFonts w:hint="eastAsia" w:ascii="宋体" w:hAnsi="宋体" w:cs="宋体"/>
                <w:color w:val="auto"/>
                <w:sz w:val="24"/>
                <w:highlight w:val="none"/>
                <w:u w:val="single"/>
                <w:lang w:val="en-US" w:eastAsia="zh-CN"/>
              </w:rPr>
              <w:t>叁仟元</w:t>
            </w:r>
            <w:r>
              <w:rPr>
                <w:rFonts w:hint="eastAsia" w:ascii="宋体" w:hAnsi="宋体" w:cs="宋体"/>
                <w:color w:val="auto"/>
                <w:sz w:val="24"/>
                <w:highlight w:val="none"/>
                <w:u w:val="single"/>
              </w:rPr>
              <w:t>整</w:t>
            </w:r>
            <w:r>
              <w:rPr>
                <w:rFonts w:hint="eastAsia" w:ascii="宋体" w:hAnsi="宋体" w:cs="宋体"/>
                <w:color w:val="auto"/>
                <w:sz w:val="24"/>
                <w:highlight w:val="none"/>
              </w:rPr>
              <w:t>，投标保证金必须在投标文件接收截止时间前与投标文件一起送达投标文件接收地点（不要密封在响应文件中）。</w:t>
            </w:r>
          </w:p>
          <w:p>
            <w:pPr>
              <w:spacing w:line="300" w:lineRule="exact"/>
              <w:outlineLvl w:val="1"/>
              <w:rPr>
                <w:rFonts w:ascii="宋体" w:hAnsi="宋体" w:cs="宋体"/>
                <w:color w:val="auto"/>
                <w:sz w:val="24"/>
                <w:highlight w:val="none"/>
              </w:rPr>
            </w:pPr>
            <w:r>
              <w:rPr>
                <w:rFonts w:hint="eastAsia" w:ascii="宋体" w:hAnsi="宋体" w:cs="宋体"/>
                <w:b/>
                <w:color w:val="auto"/>
                <w:kern w:val="0"/>
                <w:sz w:val="24"/>
                <w:highlight w:val="none"/>
              </w:rPr>
              <w:t>投标保证金必须采用有效银行本票或银行汇票，不接受电汇、转账、现金、现金交款单、支票或其他形式的保证金。</w:t>
            </w:r>
            <w:r>
              <w:rPr>
                <w:rFonts w:hint="eastAsia" w:ascii="宋体" w:hAnsi="宋体" w:cs="宋体"/>
                <w:color w:val="auto"/>
                <w:kern w:val="0"/>
                <w:sz w:val="24"/>
                <w:highlight w:val="none"/>
              </w:rPr>
              <w:t>各投标人须在</w:t>
            </w:r>
            <w:r>
              <w:rPr>
                <w:rFonts w:hint="eastAsia" w:ascii="宋体" w:hAnsi="宋体" w:cs="宋体"/>
                <w:bCs/>
                <w:color w:val="auto"/>
                <w:sz w:val="24"/>
                <w:highlight w:val="none"/>
              </w:rPr>
              <w:t>投标文件接收截止时间</w:t>
            </w:r>
            <w:r>
              <w:rPr>
                <w:rFonts w:hint="eastAsia" w:ascii="宋体" w:hAnsi="宋体" w:cs="宋体"/>
                <w:color w:val="auto"/>
                <w:kern w:val="0"/>
                <w:sz w:val="24"/>
                <w:highlight w:val="none"/>
              </w:rPr>
              <w:t>前将投标保证金从投标人本单位的基本账户上汇出（不入账），以投标人汇出资金的银行日期为准，且保证金汇出单位必须与投标人名称一致，</w:t>
            </w:r>
            <w:r>
              <w:rPr>
                <w:rFonts w:hint="eastAsia" w:ascii="宋体" w:hAnsi="宋体" w:cs="宋体"/>
                <w:b/>
                <w:bCs/>
                <w:color w:val="auto"/>
                <w:kern w:val="0"/>
                <w:sz w:val="24"/>
                <w:highlight w:val="none"/>
              </w:rPr>
              <w:t>收款人名称：</w:t>
            </w:r>
            <w:r>
              <w:rPr>
                <w:rFonts w:hint="eastAsia" w:ascii="宋体" w:hAnsi="宋体" w:cs="宋体"/>
                <w:b/>
                <w:bCs/>
                <w:color w:val="auto"/>
                <w:sz w:val="24"/>
                <w:highlight w:val="none"/>
                <w:lang w:eastAsia="zh-CN"/>
              </w:rPr>
              <w:t>江苏建博工程管理咨询有限公司</w:t>
            </w:r>
            <w:r>
              <w:rPr>
                <w:rFonts w:hint="eastAsia" w:ascii="宋体" w:hAnsi="宋体" w:cs="宋体"/>
                <w:b/>
                <w:bCs/>
                <w:color w:val="auto"/>
                <w:sz w:val="24"/>
                <w:highlight w:val="none"/>
              </w:rPr>
              <w:t>，</w:t>
            </w:r>
            <w:r>
              <w:rPr>
                <w:rFonts w:hint="eastAsia" w:ascii="宋体" w:hAnsi="宋体" w:cs="宋体"/>
                <w:b/>
                <w:bCs/>
                <w:color w:val="auto"/>
                <w:sz w:val="24"/>
                <w:highlight w:val="none"/>
                <w:lang w:eastAsia="zh-CN"/>
              </w:rPr>
              <w:t>开户行： 华夏银行盐城分行，账号：16050000000035542</w:t>
            </w:r>
            <w:r>
              <w:rPr>
                <w:rFonts w:hint="eastAsia" w:ascii="宋体" w:hAnsi="宋体" w:cs="宋体"/>
                <w:color w:val="auto"/>
                <w:kern w:val="0"/>
                <w:sz w:val="24"/>
                <w:highlight w:val="none"/>
              </w:rPr>
              <w:t>。</w:t>
            </w:r>
            <w:r>
              <w:rPr>
                <w:rFonts w:hint="eastAsia" w:ascii="宋体" w:hAnsi="宋体" w:cs="宋体"/>
                <w:bCs/>
                <w:color w:val="auto"/>
                <w:sz w:val="24"/>
                <w:highlight w:val="none"/>
              </w:rPr>
              <w:t>投标文件接收截止时间前</w:t>
            </w:r>
            <w:r>
              <w:rPr>
                <w:rFonts w:hint="eastAsia" w:ascii="宋体" w:hAnsi="宋体" w:cs="宋体"/>
                <w:color w:val="auto"/>
                <w:kern w:val="0"/>
                <w:sz w:val="24"/>
                <w:highlight w:val="none"/>
              </w:rPr>
              <w:t>，各投标人将有效银行本票原件或银行汇票原件带至开标现场交工作人员核验，未按上述要求交纳投标保证金的，</w:t>
            </w:r>
            <w:r>
              <w:rPr>
                <w:rFonts w:hint="eastAsia" w:ascii="宋体" w:hAnsi="宋体" w:cs="宋体"/>
                <w:color w:val="auto"/>
                <w:sz w:val="24"/>
                <w:highlight w:val="none"/>
              </w:rPr>
              <w:t>将被视为非响应性投标而予以拒绝。</w:t>
            </w:r>
          </w:p>
          <w:p>
            <w:pPr>
              <w:spacing w:line="300" w:lineRule="exact"/>
              <w:outlineLvl w:val="1"/>
              <w:rPr>
                <w:rFonts w:ascii="宋体" w:hAnsi="宋体" w:cs="宋体"/>
                <w:color w:val="auto"/>
                <w:kern w:val="0"/>
                <w:sz w:val="24"/>
                <w:highlight w:val="none"/>
              </w:rPr>
            </w:pPr>
            <w:r>
              <w:rPr>
                <w:rFonts w:hint="eastAsia" w:ascii="宋体" w:hAnsi="宋体" w:cs="宋体"/>
                <w:color w:val="auto"/>
                <w:sz w:val="24"/>
                <w:highlight w:val="none"/>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7"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45"/>
              <w:adjustRightInd w:val="0"/>
              <w:snapToGrid w:val="0"/>
              <w:spacing w:line="320" w:lineRule="exact"/>
              <w:jc w:val="center"/>
              <w:rPr>
                <w:rFonts w:hAnsi="宋体" w:cs="宋体"/>
                <w:color w:val="auto"/>
                <w:sz w:val="24"/>
                <w:highlight w:val="none"/>
              </w:rPr>
            </w:pPr>
            <w:r>
              <w:rPr>
                <w:rFonts w:hint="eastAsia" w:hAnsi="宋体" w:cs="宋体"/>
                <w:color w:val="auto"/>
                <w:sz w:val="24"/>
                <w:highlight w:val="none"/>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11"/>
              <w:adjustRightInd w:val="0"/>
              <w:snapToGrid w:val="0"/>
              <w:spacing w:line="300" w:lineRule="exact"/>
              <w:rPr>
                <w:rFonts w:hAnsi="宋体" w:cs="宋体"/>
                <w:color w:val="auto"/>
                <w:kern w:val="2"/>
                <w:sz w:val="24"/>
                <w:highlight w:val="none"/>
              </w:rPr>
            </w:pPr>
            <w:r>
              <w:rPr>
                <w:rFonts w:hint="eastAsia" w:hAnsi="宋体" w:cs="宋体"/>
                <w:color w:val="auto"/>
                <w:kern w:val="2"/>
                <w:sz w:val="24"/>
                <w:highlight w:val="none"/>
              </w:rPr>
              <w:t xml:space="preserve">递交疑问时间：投标文件接收截止时间3日前； </w:t>
            </w:r>
          </w:p>
          <w:p>
            <w:pPr>
              <w:pStyle w:val="11"/>
              <w:adjustRightInd w:val="0"/>
              <w:snapToGrid w:val="0"/>
              <w:spacing w:line="300" w:lineRule="exact"/>
              <w:rPr>
                <w:rFonts w:hAnsi="宋体" w:cs="宋体"/>
                <w:color w:val="auto"/>
                <w:kern w:val="2"/>
                <w:sz w:val="24"/>
                <w:highlight w:val="none"/>
              </w:rPr>
            </w:pPr>
            <w:r>
              <w:rPr>
                <w:rFonts w:hint="eastAsia" w:hAnsi="宋体" w:cs="宋体"/>
                <w:color w:val="auto"/>
                <w:kern w:val="2"/>
                <w:sz w:val="24"/>
                <w:highlight w:val="none"/>
              </w:rPr>
              <w:t>递交方式：发送电子邮件并电话告知，递交地址（邮箱）：</w:t>
            </w:r>
            <w:r>
              <w:rPr>
                <w:color w:val="auto"/>
                <w:highlight w:val="none"/>
              </w:rPr>
              <w:fldChar w:fldCharType="begin"/>
            </w:r>
            <w:r>
              <w:rPr>
                <w:color w:val="auto"/>
                <w:highlight w:val="none"/>
              </w:rPr>
              <w:instrText xml:space="preserve"> HYPERLINK "mailto:854320948@qq.com" </w:instrText>
            </w:r>
            <w:r>
              <w:rPr>
                <w:color w:val="auto"/>
                <w:highlight w:val="none"/>
              </w:rPr>
              <w:fldChar w:fldCharType="separate"/>
            </w:r>
            <w:r>
              <w:rPr>
                <w:rStyle w:val="32"/>
                <w:rFonts w:hint="eastAsia" w:hAnsi="宋体" w:cs="宋体"/>
                <w:color w:val="auto"/>
                <w:kern w:val="2"/>
                <w:sz w:val="24"/>
                <w:highlight w:val="none"/>
                <w:lang w:eastAsia="zh-CN"/>
              </w:rPr>
              <w:t>409573028</w:t>
            </w:r>
            <w:r>
              <w:rPr>
                <w:rStyle w:val="32"/>
                <w:rFonts w:hint="eastAsia" w:hAnsi="宋体" w:cs="宋体"/>
                <w:color w:val="auto"/>
                <w:kern w:val="2"/>
                <w:sz w:val="24"/>
                <w:highlight w:val="none"/>
              </w:rPr>
              <w:t>@qq.com</w:t>
            </w:r>
            <w:r>
              <w:rPr>
                <w:rStyle w:val="32"/>
                <w:rFonts w:hint="eastAsia" w:hAnsi="宋体" w:cs="宋体"/>
                <w:color w:val="auto"/>
                <w:kern w:val="2"/>
                <w:sz w:val="24"/>
                <w:highlight w:val="none"/>
              </w:rPr>
              <w:fldChar w:fldCharType="end"/>
            </w:r>
            <w:r>
              <w:rPr>
                <w:rFonts w:hint="eastAsia" w:hAnsi="宋体" w:cs="宋体"/>
                <w:color w:val="auto"/>
                <w:kern w:val="2"/>
                <w:sz w:val="24"/>
                <w:highlight w:val="none"/>
              </w:rPr>
              <w:t xml:space="preserve">。 </w:t>
            </w:r>
          </w:p>
          <w:p>
            <w:pPr>
              <w:pStyle w:val="11"/>
              <w:adjustRightInd w:val="0"/>
              <w:snapToGrid w:val="0"/>
              <w:spacing w:line="300" w:lineRule="exact"/>
              <w:rPr>
                <w:rFonts w:hAnsi="宋体" w:cs="宋体"/>
                <w:color w:val="auto"/>
                <w:kern w:val="2"/>
                <w:sz w:val="24"/>
                <w:highlight w:val="none"/>
              </w:rPr>
            </w:pPr>
            <w:r>
              <w:rPr>
                <w:rFonts w:hint="eastAsia" w:hAnsi="宋体" w:cs="宋体"/>
                <w:color w:val="auto"/>
                <w:kern w:val="2"/>
                <w:sz w:val="24"/>
                <w:highlight w:val="none"/>
              </w:rPr>
              <w:t>投标人须及时登录</w:t>
            </w:r>
            <w:r>
              <w:rPr>
                <w:rFonts w:hint="eastAsia" w:hAnsi="宋体" w:cs="宋体"/>
                <w:bCs/>
                <w:color w:val="auto"/>
                <w:sz w:val="24"/>
                <w:highlight w:val="none"/>
              </w:rPr>
              <w:t>“盐城工业职业技术学院招标采购网”</w:t>
            </w:r>
            <w:r>
              <w:rPr>
                <w:rFonts w:hint="eastAsia" w:hAnsi="宋体" w:cs="宋体"/>
                <w:color w:val="auto"/>
                <w:kern w:val="2"/>
                <w:sz w:val="24"/>
                <w:highlight w:val="none"/>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11"/>
              <w:adjustRightInd w:val="0"/>
              <w:snapToGrid w:val="0"/>
              <w:spacing w:line="320" w:lineRule="exact"/>
              <w:jc w:val="center"/>
              <w:rPr>
                <w:rFonts w:hAnsi="宋体" w:cs="宋体"/>
                <w:color w:val="auto"/>
                <w:kern w:val="2"/>
                <w:sz w:val="24"/>
                <w:highlight w:val="none"/>
              </w:rPr>
            </w:pPr>
            <w:r>
              <w:rPr>
                <w:rFonts w:hint="eastAsia" w:hAnsi="宋体" w:cs="宋体"/>
                <w:color w:val="auto"/>
                <w:kern w:val="2"/>
                <w:sz w:val="24"/>
                <w:highlight w:val="none"/>
              </w:rPr>
              <w:t>4</w:t>
            </w:r>
          </w:p>
        </w:tc>
        <w:tc>
          <w:tcPr>
            <w:tcW w:w="8666" w:type="dxa"/>
            <w:vAlign w:val="center"/>
          </w:tcPr>
          <w:p>
            <w:pPr>
              <w:pStyle w:val="11"/>
              <w:adjustRightInd w:val="0"/>
              <w:snapToGrid w:val="0"/>
              <w:spacing w:line="300" w:lineRule="exact"/>
              <w:rPr>
                <w:rFonts w:hAnsi="宋体" w:cs="宋体"/>
                <w:color w:val="auto"/>
                <w:kern w:val="2"/>
                <w:sz w:val="24"/>
                <w:highlight w:val="none"/>
              </w:rPr>
            </w:pPr>
            <w:r>
              <w:rPr>
                <w:rFonts w:hint="eastAsia" w:hAnsi="宋体" w:cs="宋体"/>
                <w:color w:val="auto"/>
                <w:kern w:val="2"/>
                <w:sz w:val="24"/>
                <w:highlight w:val="none"/>
              </w:rPr>
              <w:t>投标文件递交截止时间：</w:t>
            </w:r>
            <w:r>
              <w:rPr>
                <w:rFonts w:hint="eastAsia" w:ascii="宋体" w:hAnsi="宋体" w:cs="宋体"/>
                <w:color w:val="auto"/>
                <w:sz w:val="24"/>
                <w:highlight w:val="none"/>
              </w:rPr>
              <w:t>202</w:t>
            </w:r>
            <w:r>
              <w:rPr>
                <w:rFonts w:hint="eastAsia" w:hAnsi="宋体" w:cs="宋体"/>
                <w:color w:val="auto"/>
                <w:sz w:val="24"/>
                <w:highlight w:val="none"/>
                <w:lang w:val="en-US" w:eastAsia="zh-CN"/>
              </w:rPr>
              <w:t>4</w:t>
            </w:r>
            <w:r>
              <w:rPr>
                <w:rFonts w:hint="eastAsia" w:ascii="宋体" w:hAnsi="宋体" w:cs="宋体"/>
                <w:color w:val="auto"/>
                <w:sz w:val="24"/>
                <w:highlight w:val="none"/>
              </w:rPr>
              <w:t>年</w:t>
            </w:r>
            <w:r>
              <w:rPr>
                <w:rFonts w:hint="eastAsia" w:hAnsi="宋体" w:cs="宋体"/>
                <w:color w:val="auto"/>
                <w:sz w:val="24"/>
                <w:highlight w:val="none"/>
                <w:lang w:val="en-US" w:eastAsia="zh-CN"/>
              </w:rPr>
              <w:t>8</w:t>
            </w:r>
            <w:r>
              <w:rPr>
                <w:rFonts w:hint="eastAsia" w:ascii="宋体" w:hAnsi="宋体" w:cs="宋体"/>
                <w:color w:val="auto"/>
                <w:sz w:val="24"/>
                <w:highlight w:val="none"/>
              </w:rPr>
              <w:t>月</w:t>
            </w:r>
            <w:r>
              <w:rPr>
                <w:rFonts w:hint="eastAsia" w:hAnsi="宋体" w:cs="宋体"/>
                <w:color w:val="auto"/>
                <w:sz w:val="24"/>
                <w:highlight w:val="none"/>
                <w:lang w:val="en-US" w:eastAsia="zh-CN"/>
              </w:rPr>
              <w:t>2</w:t>
            </w:r>
            <w:r>
              <w:rPr>
                <w:rFonts w:hint="eastAsia" w:ascii="宋体" w:hAnsi="宋体" w:cs="宋体"/>
                <w:color w:val="auto"/>
                <w:sz w:val="24"/>
                <w:highlight w:val="none"/>
              </w:rPr>
              <w:t>日</w:t>
            </w:r>
            <w:r>
              <w:rPr>
                <w:rFonts w:hint="eastAsia" w:hAnsi="宋体" w:cs="宋体"/>
                <w:color w:val="auto"/>
                <w:sz w:val="24"/>
                <w:highlight w:val="none"/>
                <w:lang w:val="en-US" w:eastAsia="zh-CN"/>
              </w:rPr>
              <w:t>9：00</w:t>
            </w:r>
            <w:r>
              <w:rPr>
                <w:rFonts w:hint="eastAsia" w:ascii="宋体" w:hAnsi="宋体" w:cs="宋体"/>
                <w:color w:val="auto"/>
                <w:sz w:val="24"/>
                <w:highlight w:val="none"/>
              </w:rPr>
              <w:t>时</w:t>
            </w:r>
            <w:r>
              <w:rPr>
                <w:rFonts w:hint="eastAsia" w:hAnsi="宋体" w:cs="宋体"/>
                <w:color w:val="auto"/>
                <w:kern w:val="2"/>
                <w:sz w:val="24"/>
                <w:highlight w:val="none"/>
              </w:rPr>
              <w:t>；</w:t>
            </w:r>
          </w:p>
          <w:p>
            <w:pPr>
              <w:spacing w:line="440" w:lineRule="exact"/>
              <w:rPr>
                <w:rFonts w:ascii="宋体" w:hAnsi="宋体" w:cs="宋体"/>
                <w:color w:val="auto"/>
                <w:sz w:val="24"/>
                <w:highlight w:val="none"/>
              </w:rPr>
            </w:pPr>
            <w:r>
              <w:rPr>
                <w:rFonts w:hint="eastAsia" w:ascii="宋体" w:hAnsi="宋体" w:cs="宋体"/>
                <w:color w:val="auto"/>
                <w:sz w:val="24"/>
                <w:highlight w:val="none"/>
              </w:rPr>
              <w:t xml:space="preserve">地点: </w:t>
            </w:r>
            <w:r>
              <w:rPr>
                <w:rStyle w:val="64"/>
                <w:rFonts w:hint="eastAsia" w:ascii="宋体" w:hAnsi="宋体"/>
                <w:color w:val="auto"/>
                <w:sz w:val="24"/>
                <w:highlight w:val="none"/>
              </w:rPr>
              <w:t>盐城工业职业技术学院（盐城市解放南路285号）南食堂四楼402开标室</w:t>
            </w:r>
            <w:r>
              <w:rPr>
                <w:rFonts w:hint="eastAsia" w:ascii="宋体" w:hAnsi="宋体" w:cs="宋体"/>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11"/>
              <w:adjustRightInd w:val="0"/>
              <w:snapToGrid w:val="0"/>
              <w:spacing w:line="320" w:lineRule="exact"/>
              <w:jc w:val="center"/>
              <w:rPr>
                <w:rFonts w:hAnsi="宋体" w:cs="宋体"/>
                <w:color w:val="auto"/>
                <w:kern w:val="2"/>
                <w:sz w:val="24"/>
                <w:highlight w:val="none"/>
              </w:rPr>
            </w:pPr>
            <w:r>
              <w:rPr>
                <w:rFonts w:hint="eastAsia" w:hAnsi="宋体" w:cs="宋体"/>
                <w:color w:val="auto"/>
                <w:kern w:val="2"/>
                <w:sz w:val="24"/>
                <w:highlight w:val="none"/>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11"/>
              <w:adjustRightInd w:val="0"/>
              <w:snapToGrid w:val="0"/>
              <w:spacing w:line="300" w:lineRule="exact"/>
              <w:rPr>
                <w:rFonts w:hAnsi="宋体" w:cs="宋体"/>
                <w:color w:val="auto"/>
                <w:kern w:val="2"/>
                <w:sz w:val="24"/>
                <w:highlight w:val="none"/>
              </w:rPr>
            </w:pPr>
            <w:r>
              <w:rPr>
                <w:rFonts w:hint="eastAsia" w:hAnsi="宋体" w:cs="宋体"/>
                <w:color w:val="auto"/>
                <w:kern w:val="2"/>
                <w:sz w:val="24"/>
                <w:highlight w:val="none"/>
              </w:rPr>
              <w:t>开标时间：</w:t>
            </w:r>
            <w:r>
              <w:rPr>
                <w:rFonts w:hint="eastAsia" w:ascii="宋体" w:hAnsi="宋体" w:cs="宋体"/>
                <w:color w:val="auto"/>
                <w:sz w:val="24"/>
                <w:highlight w:val="none"/>
              </w:rPr>
              <w:t>202</w:t>
            </w:r>
            <w:r>
              <w:rPr>
                <w:rFonts w:hint="eastAsia" w:hAnsi="宋体" w:cs="宋体"/>
                <w:color w:val="auto"/>
                <w:sz w:val="24"/>
                <w:highlight w:val="none"/>
                <w:lang w:val="en-US" w:eastAsia="zh-CN"/>
              </w:rPr>
              <w:t>4</w:t>
            </w:r>
            <w:r>
              <w:rPr>
                <w:rFonts w:hint="eastAsia" w:ascii="宋体" w:hAnsi="宋体" w:cs="宋体"/>
                <w:color w:val="auto"/>
                <w:sz w:val="24"/>
                <w:highlight w:val="none"/>
              </w:rPr>
              <w:t>年</w:t>
            </w:r>
            <w:r>
              <w:rPr>
                <w:rFonts w:hint="eastAsia" w:hAnsi="宋体" w:cs="宋体"/>
                <w:color w:val="auto"/>
                <w:sz w:val="24"/>
                <w:highlight w:val="none"/>
                <w:lang w:val="en-US" w:eastAsia="zh-CN"/>
              </w:rPr>
              <w:t>8</w:t>
            </w:r>
            <w:r>
              <w:rPr>
                <w:rFonts w:hint="eastAsia" w:ascii="宋体" w:hAnsi="宋体" w:cs="宋体"/>
                <w:color w:val="auto"/>
                <w:sz w:val="24"/>
                <w:highlight w:val="none"/>
              </w:rPr>
              <w:t>月</w:t>
            </w:r>
            <w:r>
              <w:rPr>
                <w:rFonts w:hint="eastAsia" w:hAnsi="宋体" w:cs="宋体"/>
                <w:color w:val="auto"/>
                <w:sz w:val="24"/>
                <w:highlight w:val="none"/>
                <w:lang w:val="en-US" w:eastAsia="zh-CN"/>
              </w:rPr>
              <w:t>2</w:t>
            </w:r>
            <w:r>
              <w:rPr>
                <w:rFonts w:hint="eastAsia" w:ascii="宋体" w:hAnsi="宋体" w:cs="宋体"/>
                <w:color w:val="auto"/>
                <w:sz w:val="24"/>
                <w:highlight w:val="none"/>
              </w:rPr>
              <w:t>日</w:t>
            </w:r>
            <w:r>
              <w:rPr>
                <w:rFonts w:hint="eastAsia" w:hAnsi="宋体" w:cs="宋体"/>
                <w:color w:val="auto"/>
                <w:sz w:val="24"/>
                <w:highlight w:val="none"/>
                <w:lang w:val="en-US" w:eastAsia="zh-CN"/>
              </w:rPr>
              <w:t>9：00</w:t>
            </w:r>
            <w:r>
              <w:rPr>
                <w:rFonts w:hint="eastAsia" w:ascii="宋体" w:hAnsi="宋体" w:cs="宋体"/>
                <w:color w:val="auto"/>
                <w:sz w:val="24"/>
                <w:highlight w:val="none"/>
              </w:rPr>
              <w:t>时</w:t>
            </w:r>
            <w:r>
              <w:rPr>
                <w:rFonts w:hint="eastAsia" w:hAnsi="宋体" w:cs="宋体"/>
                <w:color w:val="auto"/>
                <w:kern w:val="2"/>
                <w:sz w:val="24"/>
                <w:highlight w:val="none"/>
              </w:rPr>
              <w:t>；</w:t>
            </w:r>
          </w:p>
          <w:p>
            <w:pPr>
              <w:spacing w:line="440" w:lineRule="exact"/>
              <w:rPr>
                <w:rFonts w:hAnsi="宋体" w:cs="宋体"/>
                <w:color w:val="auto"/>
                <w:sz w:val="24"/>
                <w:highlight w:val="none"/>
                <w:u w:val="single"/>
              </w:rPr>
            </w:pPr>
            <w:r>
              <w:rPr>
                <w:rFonts w:hint="eastAsia" w:hAnsi="宋体" w:cs="宋体"/>
                <w:color w:val="auto"/>
                <w:sz w:val="24"/>
                <w:highlight w:val="none"/>
              </w:rPr>
              <w:t>地点:</w:t>
            </w:r>
            <w:r>
              <w:rPr>
                <w:rStyle w:val="64"/>
                <w:rFonts w:hint="eastAsia" w:ascii="宋体" w:hAnsi="宋体"/>
                <w:color w:val="auto"/>
                <w:sz w:val="24"/>
                <w:highlight w:val="none"/>
              </w:rPr>
              <w:t>盐城工业职业技术学院（盐城市解放南路285号）南食堂四楼402开标室</w:t>
            </w:r>
            <w:r>
              <w:rPr>
                <w:rFonts w:hint="eastAsia" w:ascii="宋体" w:hAnsi="宋体" w:cs="宋体"/>
                <w:bCs/>
                <w:color w:val="auto"/>
                <w:sz w:val="24"/>
                <w:highlight w:val="none"/>
              </w:rPr>
              <w:t>。</w:t>
            </w:r>
          </w:p>
          <w:p>
            <w:pPr>
              <w:spacing w:line="300" w:lineRule="exact"/>
              <w:rPr>
                <w:rFonts w:ascii="宋体" w:hAnsi="宋体" w:cs="宋体"/>
                <w:color w:val="auto"/>
                <w:sz w:val="24"/>
                <w:highlight w:val="none"/>
              </w:rPr>
            </w:pPr>
            <w:r>
              <w:rPr>
                <w:rFonts w:hint="eastAsia" w:ascii="宋体" w:hAnsi="宋体" w:cs="宋体"/>
                <w:color w:val="auto"/>
                <w:sz w:val="24"/>
                <w:highlight w:val="none"/>
              </w:rPr>
              <w:t>必须出席开标会的人员：投标人的法定代表人或委托代理人；</w:t>
            </w:r>
          </w:p>
          <w:p>
            <w:pPr>
              <w:spacing w:line="300" w:lineRule="exact"/>
              <w:rPr>
                <w:rFonts w:ascii="宋体" w:hAnsi="宋体" w:cs="宋体"/>
                <w:color w:val="auto"/>
                <w:sz w:val="24"/>
                <w:highlight w:val="none"/>
                <w:u w:val="single"/>
              </w:rPr>
            </w:pPr>
            <w:r>
              <w:rPr>
                <w:rFonts w:hint="eastAsia" w:ascii="宋体" w:hAnsi="宋体" w:cs="宋体"/>
                <w:color w:val="auto"/>
                <w:sz w:val="24"/>
                <w:highlight w:val="none"/>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ascii="宋体" w:hAnsi="宋体" w:cs="宋体"/>
          <w:b/>
          <w:bCs/>
          <w:color w:val="auto"/>
          <w:sz w:val="44"/>
          <w:highlight w:val="none"/>
        </w:rPr>
      </w:pPr>
      <w:r>
        <w:rPr>
          <w:rFonts w:hint="eastAsia" w:ascii="宋体" w:hAnsi="宋体" w:cs="宋体"/>
          <w:b/>
          <w:color w:val="auto"/>
          <w:sz w:val="24"/>
          <w:highlight w:val="none"/>
        </w:rPr>
        <w:br w:type="page"/>
      </w:r>
      <w:r>
        <w:rPr>
          <w:rFonts w:hint="eastAsia" w:ascii="宋体" w:hAnsi="宋体" w:cs="宋体"/>
          <w:b/>
          <w:color w:val="auto"/>
          <w:sz w:val="44"/>
          <w:szCs w:val="44"/>
          <w:highlight w:val="none"/>
        </w:rPr>
        <w:t>第二部分  总则</w:t>
      </w: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1、综合说明</w:t>
      </w:r>
    </w:p>
    <w:p>
      <w:pPr>
        <w:snapToGrid w:val="0"/>
        <w:spacing w:line="440" w:lineRule="exact"/>
        <w:ind w:firstLine="480" w:firstLineChars="200"/>
        <w:jc w:val="left"/>
        <w:rPr>
          <w:rFonts w:ascii="宋体" w:hAnsi="宋体" w:cs="宋体"/>
          <w:color w:val="auto"/>
          <w:sz w:val="24"/>
          <w:highlight w:val="none"/>
        </w:rPr>
      </w:pPr>
      <w:r>
        <w:rPr>
          <w:rFonts w:hint="eastAsia" w:ascii="宋体" w:hAnsi="宋体" w:cs="宋体"/>
          <w:b/>
          <w:bCs/>
          <w:color w:val="auto"/>
          <w:sz w:val="24"/>
          <w:highlight w:val="none"/>
        </w:rPr>
        <w:t>1.1</w:t>
      </w:r>
      <w:r>
        <w:rPr>
          <w:rFonts w:hint="eastAsia" w:ascii="宋体" w:hAnsi="宋体" w:cs="宋体"/>
          <w:b/>
          <w:color w:val="auto"/>
          <w:sz w:val="24"/>
          <w:highlight w:val="none"/>
        </w:rPr>
        <w:t>招标范围及标段划分：</w:t>
      </w:r>
      <w:r>
        <w:rPr>
          <w:rFonts w:hint="eastAsia" w:ascii="宋体" w:hAnsi="宋体" w:cs="宋体"/>
          <w:color w:val="auto"/>
          <w:sz w:val="24"/>
          <w:highlight w:val="none"/>
        </w:rPr>
        <w:t>盐城工业职业技术学院</w:t>
      </w:r>
      <w:r>
        <w:rPr>
          <w:rFonts w:hint="eastAsia" w:ascii="宋体" w:hAnsi="宋体" w:cs="宋体"/>
          <w:color w:val="auto"/>
          <w:sz w:val="24"/>
          <w:highlight w:val="none"/>
          <w:lang w:eastAsia="zh-CN"/>
        </w:rPr>
        <w:t>非遗学院教室改造项目</w:t>
      </w:r>
      <w:r>
        <w:rPr>
          <w:rFonts w:hint="eastAsia" w:ascii="宋体" w:hAnsi="宋体" w:cs="宋体"/>
          <w:color w:val="auto"/>
          <w:sz w:val="24"/>
          <w:highlight w:val="none"/>
        </w:rPr>
        <w:t>，具体内容详按工程量清单及招标人要求执行，招标人保留进行调整的权利。本次招标共为1个标段。</w:t>
      </w: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1.2项目地点：</w:t>
      </w:r>
      <w:r>
        <w:rPr>
          <w:rFonts w:hint="eastAsia" w:ascii="宋体" w:hAnsi="宋体" w:cs="宋体"/>
          <w:color w:val="auto"/>
          <w:sz w:val="24"/>
          <w:highlight w:val="none"/>
        </w:rPr>
        <w:t>盐城工业职业技术学院内（盐城市解放南路285号）。</w:t>
      </w: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1.3承包方式：</w:t>
      </w:r>
      <w:r>
        <w:rPr>
          <w:rFonts w:hint="eastAsia" w:ascii="宋体" w:hAnsi="宋体" w:cs="宋体"/>
          <w:color w:val="auto"/>
          <w:sz w:val="24"/>
          <w:highlight w:val="none"/>
        </w:rPr>
        <w:t>包工包料。</w:t>
      </w: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1.4资金来源及比例：</w:t>
      </w:r>
      <w:r>
        <w:rPr>
          <w:rFonts w:hint="eastAsia" w:ascii="宋体" w:hAnsi="宋体" w:cs="宋体"/>
          <w:color w:val="auto"/>
          <w:sz w:val="24"/>
          <w:highlight w:val="none"/>
        </w:rPr>
        <w:t>国有资金100%。</w:t>
      </w: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2、招标方式</w:t>
      </w:r>
    </w:p>
    <w:p>
      <w:pPr>
        <w:spacing w:line="50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2.1 本项目招标方式：公开招标。</w:t>
      </w:r>
    </w:p>
    <w:p>
      <w:pPr>
        <w:spacing w:line="50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ascii="宋体" w:hAnsi="宋体" w:cs="宋体"/>
          <w:b/>
          <w:color w:val="auto"/>
          <w:sz w:val="24"/>
          <w:highlight w:val="none"/>
        </w:rPr>
      </w:pPr>
      <w:r>
        <w:rPr>
          <w:rFonts w:hint="eastAsia" w:ascii="宋体" w:hAnsi="宋体" w:cs="宋体"/>
          <w:b/>
          <w:color w:val="auto"/>
          <w:sz w:val="24"/>
          <w:highlight w:val="none"/>
        </w:rPr>
        <w:t>3、投标人资格要求</w:t>
      </w:r>
    </w:p>
    <w:p>
      <w:pPr>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3.1投标人资格要求：投标人具有建设行政主管部门核发的建筑工程施工总承包三级及以上资质或建筑装修装饰工程专业承包二级及以上资质的独立法人，并持有安全生产许可证。</w:t>
      </w:r>
    </w:p>
    <w:p>
      <w:pPr>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3.2财务要求：投标人应具有独立订立合同的能力，未处于财产被接管、冻结和破产状态。</w:t>
      </w:r>
    </w:p>
    <w:p>
      <w:pPr>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3.3信誉要求</w:t>
      </w:r>
    </w:p>
    <w:p>
      <w:pPr>
        <w:spacing w:line="440" w:lineRule="exact"/>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投标人没有被国家、江苏省省级有关部门及盐城市级有关部门暂停招投标或市场准入资格且在公示处罚期内。</w:t>
      </w:r>
    </w:p>
    <w:p>
      <w:pPr>
        <w:spacing w:line="440" w:lineRule="exact"/>
        <w:ind w:firstLine="480" w:firstLineChars="200"/>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（2）在招投标活动中因本招标文件第五部分10.1.1、10.1.2所列的不良行为，在“江苏省建设工程招标网”公示期间的。</w:t>
      </w:r>
    </w:p>
    <w:p>
      <w:pPr>
        <w:spacing w:line="440" w:lineRule="exact"/>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）近3年内有行贿犯罪行为且被记录，或者法定代表人、项目负责人有行贿犯罪记录且自记录之日起未超过5年的。（均自记录之日起至投标截止日止）</w:t>
      </w:r>
    </w:p>
    <w:p>
      <w:pPr>
        <w:spacing w:line="440" w:lineRule="exact"/>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 xml:space="preserve">）被人民法院列为失信被执行人的信息正在被“信用中国”、“信用江苏”网站公布的，投标截止时间前失信被执行人信息已撤销或更正的除外。 </w:t>
      </w:r>
    </w:p>
    <w:p>
      <w:pPr>
        <w:spacing w:line="440" w:lineRule="exact"/>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）投标人作为失信联合惩戒对象被采取依法限制参与建设工程招投标惩戒措施的，且被有关部门推送在“信用中国”、“信用江苏”、“信用盐城”相关网站公示且在有效期内的。</w:t>
      </w:r>
    </w:p>
    <w:p>
      <w:pPr>
        <w:spacing w:line="440" w:lineRule="exact"/>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pPr>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3.4投标项目负责人资格要求：项目负责人须具有建筑工程专业二级及以上建造师资格，同时须具有安全生产考核合格证（B类）。</w:t>
      </w:r>
    </w:p>
    <w:p>
      <w:pPr>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3.5项目负责人从本工程投标文件递交截止之日起必须满足下列条件：</w:t>
      </w:r>
    </w:p>
    <w:p>
      <w:pPr>
        <w:spacing w:line="440" w:lineRule="exact"/>
        <w:ind w:firstLine="480" w:firstLineChars="200"/>
        <w:jc w:val="left"/>
        <w:rPr>
          <w:rFonts w:hint="eastAsia" w:ascii="宋体" w:hAnsi="宋体" w:cs="宋体"/>
          <w:bCs/>
          <w:color w:val="auto"/>
          <w:sz w:val="24"/>
          <w:highlight w:val="none"/>
          <w:lang w:eastAsia="zh-CN"/>
        </w:rPr>
      </w:pPr>
      <w:r>
        <w:rPr>
          <w:rFonts w:ascii="宋体" w:hAnsi="宋体" w:cs="宋体"/>
          <w:bCs/>
          <w:color w:val="auto"/>
          <w:sz w:val="24"/>
          <w:highlight w:val="none"/>
        </w:rPr>
        <w:t>项目负责人不得同时在两个或者两个以上单位受聘或者执业</w:t>
      </w:r>
      <w:r>
        <w:rPr>
          <w:rFonts w:hint="eastAsia" w:ascii="宋体" w:hAnsi="宋体" w:cs="宋体"/>
          <w:bCs/>
          <w:color w:val="auto"/>
          <w:sz w:val="24"/>
          <w:highlight w:val="none"/>
          <w:lang w:eastAsia="zh-CN"/>
        </w:rPr>
        <w:t>。</w:t>
      </w:r>
    </w:p>
    <w:p>
      <w:pPr>
        <w:spacing w:line="44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项目负责人是非变更后无在建工程，或项目负责人是变更后无在建工程（必须原合同工期已满且变更备案之日已满 6个月），或因非承包方原因致使工程项目停工或因故不能按期开工、且已办理了项目负责人解锁手续，或项目负责人有在建工程，但该在建工程与本次招标的工程属于同一工程项目、同一项目批 文、同一施工地点分段发包或分期施工的情况且总的工程规模在 项目负责人执业范围之内。</w:t>
      </w:r>
    </w:p>
    <w:p>
      <w:pPr>
        <w:spacing w:line="44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在建</w:t>
      </w:r>
      <w:r>
        <w:rPr>
          <w:rFonts w:ascii="宋体" w:hAnsi="宋体" w:cs="宋体"/>
          <w:bCs/>
          <w:color w:val="auto"/>
          <w:sz w:val="24"/>
          <w:highlight w:val="none"/>
        </w:rPr>
        <w:t>工程</w:t>
      </w:r>
      <w:r>
        <w:rPr>
          <w:rFonts w:hint="eastAsia" w:ascii="宋体" w:hAnsi="宋体" w:cs="宋体"/>
          <w:bCs/>
          <w:color w:val="auto"/>
          <w:sz w:val="24"/>
          <w:highlight w:val="none"/>
        </w:rPr>
        <w:t>：</w:t>
      </w:r>
      <w:r>
        <w:rPr>
          <w:rFonts w:ascii="宋体" w:hAnsi="宋体" w:cs="宋体"/>
          <w:bCs/>
          <w:color w:val="auto"/>
          <w:sz w:val="24"/>
          <w:highlight w:val="none"/>
        </w:rPr>
        <w:t>处于中标结果公告（直接发包的项目以网上合同备案</w:t>
      </w:r>
      <w:r>
        <w:rPr>
          <w:rFonts w:hint="eastAsia" w:ascii="宋体" w:hAnsi="宋体" w:cs="宋体"/>
          <w:bCs/>
          <w:color w:val="auto"/>
          <w:sz w:val="24"/>
          <w:highlight w:val="none"/>
        </w:rPr>
        <w:t>或归集</w:t>
      </w:r>
      <w:r>
        <w:rPr>
          <w:rFonts w:ascii="宋体" w:hAnsi="宋体" w:cs="宋体"/>
          <w:bCs/>
          <w:color w:val="auto"/>
          <w:sz w:val="24"/>
          <w:highlight w:val="none"/>
        </w:rPr>
        <w:t>为准）到合同约定的工程全部完成且竣工验收合格期间的工程。竣工验收证明是指由建设单位（或监理）组织工程建设各方验收合格， 并签署相应的单位工程质量竣工验收记录或者分部工程质量验 收记录等验收文件。</w:t>
      </w:r>
    </w:p>
    <w:p>
      <w:pPr>
        <w:spacing w:line="44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本项目招标文件项目负责人有在养护期内的绿化养护、市政养护项目的，</w:t>
      </w:r>
      <w:r>
        <w:rPr>
          <w:rFonts w:ascii="宋体" w:hAnsi="宋体" w:cs="宋体"/>
          <w:bCs/>
          <w:color w:val="auto"/>
          <w:sz w:val="24"/>
          <w:highlight w:val="none"/>
        </w:rPr>
        <w:t>不属于招标公告及文件规定的有在建工程</w:t>
      </w:r>
      <w:r>
        <w:rPr>
          <w:rFonts w:hint="eastAsia" w:ascii="宋体" w:hAnsi="宋体" w:cs="宋体"/>
          <w:bCs/>
          <w:color w:val="auto"/>
          <w:sz w:val="24"/>
          <w:highlight w:val="none"/>
        </w:rPr>
        <w:t>。绿化养护、市政养护工程招标，对项目负责人是否有在建工程不作要求。</w:t>
      </w:r>
    </w:p>
    <w:p>
      <w:pPr>
        <w:spacing w:line="44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3.6投标申请人代理人及投标承诺的项目部人员均为本单位的正式职工，投标时提供代理人及项目负责人从2024年4月开始至投标截止之日当月至少1个月在本单位缴纳养老保险缴费记录证明。（退休人员提供在本单位相关证明）。</w:t>
      </w:r>
    </w:p>
    <w:p>
      <w:pPr>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本工程投标时，仅需提供项目经理相关资料，项目部其他人员施工时按现场管理规定要求配备到位。</w:t>
      </w:r>
    </w:p>
    <w:p>
      <w:pPr>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本招标工程不接受联合体投标。</w:t>
      </w:r>
    </w:p>
    <w:p>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投标人不得存在下列情形之一：</w:t>
      </w:r>
    </w:p>
    <w:p>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.1.为招标人不具有独立法人资格的附属机构（单位）。</w:t>
      </w:r>
    </w:p>
    <w:p>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.2.为本招标项目的监理人、代建人、项目管理人，以及为本招标项目提供招标代理、设计服务的。</w:t>
      </w:r>
    </w:p>
    <w:p>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.3.与本招标项目的监理人、代建人、招标代理机构同为一个法定代表人的，或者相互控股、参股的。</w:t>
      </w:r>
    </w:p>
    <w:p>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.4.与招标人存在利害关系可能影响招标公正性的。</w:t>
      </w:r>
    </w:p>
    <w:p>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 xml:space="preserve">.5.单位负责人为同一人或者存在控股、管理关系的不同单位。    </w:t>
      </w:r>
    </w:p>
    <w:p>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.6.处于被责令停业、财产被接管、冻结和破产状态，以及投标资格被取消或者被暂停且在暂停期内。</w:t>
      </w:r>
    </w:p>
    <w:p>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.7.因拖欠工人工资或者因发生质量安全事故被有关部门限制在招标项目所在地承接工程的。</w:t>
      </w:r>
    </w:p>
    <w:p>
      <w:pPr>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符合法律、法规规定的其他条件。</w:t>
      </w:r>
    </w:p>
    <w:p>
      <w:pPr>
        <w:spacing w:line="500" w:lineRule="exact"/>
        <w:ind w:firstLine="480" w:firstLineChars="200"/>
        <w:outlineLvl w:val="0"/>
        <w:rPr>
          <w:rFonts w:ascii="宋体" w:hAnsi="宋体" w:cs="宋体"/>
          <w:b/>
          <w:color w:val="auto"/>
          <w:sz w:val="24"/>
          <w:highlight w:val="none"/>
        </w:rPr>
      </w:pPr>
      <w:r>
        <w:rPr>
          <w:rFonts w:hint="eastAsia" w:ascii="宋体" w:hAnsi="宋体" w:cs="宋体"/>
          <w:b/>
          <w:color w:val="auto"/>
          <w:sz w:val="24"/>
          <w:highlight w:val="none"/>
        </w:rPr>
        <w:t xml:space="preserve">4、资格审查方式 </w:t>
      </w:r>
    </w:p>
    <w:p>
      <w:pPr>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4.1本招标项目资格审查方式：采用</w:t>
      </w:r>
      <w:r>
        <w:rPr>
          <w:rFonts w:hint="eastAsia" w:ascii="宋体" w:hAnsi="宋体" w:cs="宋体"/>
          <w:b/>
          <w:color w:val="auto"/>
          <w:sz w:val="24"/>
          <w:highlight w:val="none"/>
          <w:u w:val="single"/>
        </w:rPr>
        <w:t>资格后审</w:t>
      </w:r>
      <w:r>
        <w:rPr>
          <w:rFonts w:hint="eastAsia" w:ascii="宋体" w:hAnsi="宋体" w:cs="宋体"/>
          <w:color w:val="auto"/>
          <w:sz w:val="24"/>
          <w:highlight w:val="none"/>
        </w:rPr>
        <w:t>办法。</w:t>
      </w:r>
    </w:p>
    <w:p>
      <w:pPr>
        <w:snapToGrid w:val="0"/>
        <w:spacing w:line="500" w:lineRule="exact"/>
        <w:ind w:firstLine="480" w:firstLineChars="200"/>
        <w:jc w:val="left"/>
        <w:rPr>
          <w:rFonts w:ascii="宋体" w:hAnsi="宋体" w:cs="宋体"/>
          <w:b/>
          <w:color w:val="auto"/>
          <w:sz w:val="24"/>
          <w:highlight w:val="none"/>
        </w:rPr>
      </w:pPr>
      <w:r>
        <w:rPr>
          <w:rFonts w:hint="eastAsia" w:ascii="宋体" w:hAnsi="宋体" w:cs="宋体"/>
          <w:b/>
          <w:color w:val="auto"/>
          <w:sz w:val="24"/>
          <w:highlight w:val="none"/>
        </w:rPr>
        <w:t>5、投标有效期</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本招标项目投标有效期为</w:t>
      </w:r>
      <w:r>
        <w:rPr>
          <w:rFonts w:hint="eastAsia" w:ascii="宋体" w:hAnsi="宋体" w:cs="宋体"/>
          <w:color w:val="auto"/>
          <w:sz w:val="24"/>
          <w:highlight w:val="none"/>
          <w:u w:val="single"/>
          <w:lang w:val="en-US" w:eastAsia="zh-CN"/>
        </w:rPr>
        <w:t>90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500" w:lineRule="exact"/>
        <w:ind w:firstLine="480" w:firstLineChars="200"/>
        <w:outlineLvl w:val="0"/>
        <w:rPr>
          <w:rFonts w:ascii="宋体" w:hAnsi="宋体" w:cs="宋体"/>
          <w:b/>
          <w:color w:val="auto"/>
          <w:sz w:val="24"/>
          <w:highlight w:val="none"/>
        </w:rPr>
      </w:pPr>
      <w:r>
        <w:rPr>
          <w:rFonts w:hint="eastAsia" w:ascii="宋体" w:hAnsi="宋体" w:cs="宋体"/>
          <w:b/>
          <w:color w:val="auto"/>
          <w:sz w:val="24"/>
          <w:highlight w:val="none"/>
        </w:rPr>
        <w:t>6、投标保证金</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6.2.1投标人在投标有效期内撤回或修改其投标文件的；</w:t>
      </w:r>
    </w:p>
    <w:p>
      <w:pPr>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6.2.2中标后无正当理由放弃中标项目的；</w:t>
      </w:r>
    </w:p>
    <w:p>
      <w:pPr>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6.2.3中标后拒不按照招标文件的要求提交履约保证金的；</w:t>
      </w:r>
    </w:p>
    <w:p>
      <w:pPr>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6.2.4中标后无正当理由不与招标人签订合同，或者在签订合同时向招标人提出附加条件或者更改合同实质性内容要求的。</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6.2.5投标有效期间，投标人在中国行政区域有不良行为记录且在公示期内，经查属实的；</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6.2.6投标人的</w:t>
      </w:r>
      <w:r>
        <w:rPr>
          <w:rFonts w:hint="eastAsia" w:ascii="宋体" w:hAnsi="宋体" w:cs="宋体"/>
          <w:color w:val="auto"/>
          <w:sz w:val="24"/>
          <w:highlight w:val="none"/>
          <w:shd w:val="clear" w:color="auto" w:fill="FFFFFF"/>
        </w:rPr>
        <w:t>项目负责人</w:t>
      </w:r>
      <w:r>
        <w:rPr>
          <w:rFonts w:hint="eastAsia" w:ascii="宋体" w:hAnsi="宋体" w:cs="宋体"/>
          <w:color w:val="auto"/>
          <w:sz w:val="24"/>
          <w:highlight w:val="none"/>
        </w:rPr>
        <w:t>被反映或投诉有在建工程，并经查属实的。</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6.2.7 投标人存在串通投标行为的。</w:t>
      </w:r>
    </w:p>
    <w:p>
      <w:pPr>
        <w:adjustRightInd w:val="0"/>
        <w:snapToGrid w:val="0"/>
        <w:spacing w:line="50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投标人（中标人）存在前款所述情形的，除按有关法律法规规定处罚外，还将作为其不良行为记录在有关网站上予以公示。</w:t>
      </w:r>
    </w:p>
    <w:p>
      <w:pPr>
        <w:spacing w:line="50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、踏勘现场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 投标人根据需要自行踏勘项目现场。</w:t>
      </w:r>
      <w:r>
        <w:rPr>
          <w:rFonts w:hint="eastAsia" w:ascii="宋体" w:hAnsi="宋体" w:eastAsia="宋体" w:cs="宋体"/>
          <w:color w:val="auto"/>
          <w:sz w:val="24"/>
          <w:highlight w:val="none"/>
          <w:lang w:val="en-US" w:eastAsia="zh-CN"/>
        </w:rPr>
        <w:t>投标人应自行进行现场考察，中标后不再增加任何费用。不进行现场察看的视为对现场情况已经准确了解，后果自行承担。</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 投标人踏勘现场发生的费用自理。</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 投标人自行负责在踏勘现场中所发生的人员伤亡和财产损失。</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50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第三部分  技术参数</w:t>
      </w:r>
    </w:p>
    <w:p>
      <w:pPr>
        <w:spacing w:line="500" w:lineRule="exact"/>
        <w:jc w:val="center"/>
        <w:rPr>
          <w:rFonts w:ascii="宋体" w:hAnsi="宋体" w:cs="宋体"/>
          <w:b/>
          <w:color w:val="auto"/>
          <w:sz w:val="44"/>
          <w:szCs w:val="44"/>
          <w:highlight w:val="none"/>
        </w:rPr>
      </w:pPr>
    </w:p>
    <w:p>
      <w:pPr>
        <w:spacing w:line="44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1、计税方式</w:t>
      </w:r>
    </w:p>
    <w:p>
      <w:pPr>
        <w:spacing w:line="44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本项目采用增值税一般计税方法。</w:t>
      </w:r>
    </w:p>
    <w:p>
      <w:pPr>
        <w:spacing w:line="44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2、合同定价方式</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全费用综合单价合同。本项目建设工程合同采用“全费用综合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spacing w:line="44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3、投标报价</w:t>
      </w:r>
    </w:p>
    <w:p>
      <w:pPr>
        <w:autoSpaceDN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pPr>
        <w:autoSpaceDN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投标报价的方式：全费用综合单价报价。以体现风险共担的原则。由招标人提供工程量清单，投标人以工程量清单及图纸为基础填报相应的全费用单价并计算合价。招标人要求投标人承担本招标文件合同专用条款中约定的风险内容及其范围（幅度）产生的风险费用，在施工过程中，当出现的风险内容及其范围（幅度）在合同约定的范围内，工程价款不作调整。</w:t>
      </w:r>
    </w:p>
    <w:p>
      <w:pPr>
        <w:autoSpaceDN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若无相关设计变更，除本招标文件及施工合同约定允许调整外中标的全费用单价不予调整，工程量按实际完成工程量结算。</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投标报价的计价方法：本工程投标报价采用“工程量清单计价”法。投标人应根据招标人提供的工程量清单和施工图纸计算工程项目的全费用单价和合价。工程量清单中每一个子目的单项均需计算并填写全费用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pPr>
        <w:kinsoku w:val="0"/>
        <w:overflowPunct w:val="0"/>
        <w:autoSpaceDE w:val="0"/>
        <w:autoSpaceDN w:val="0"/>
        <w:adjustRightInd w:val="0"/>
        <w:spacing w:line="440" w:lineRule="exact"/>
        <w:ind w:firstLine="480" w:firstLineChars="200"/>
        <w:jc w:val="left"/>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4、</w:t>
      </w:r>
      <w:bookmarkStart w:id="0" w:name="_Toc152042322"/>
      <w:bookmarkEnd w:id="0"/>
      <w:bookmarkStart w:id="1" w:name="_Toc152045546"/>
      <w:bookmarkEnd w:id="1"/>
      <w:bookmarkStart w:id="2" w:name="_Toc247513970"/>
      <w:bookmarkEnd w:id="2"/>
      <w:bookmarkStart w:id="3" w:name="_Toc144974514"/>
      <w:bookmarkEnd w:id="3"/>
      <w:bookmarkStart w:id="4" w:name="_Toc247527571"/>
      <w:bookmarkEnd w:id="4"/>
      <w:bookmarkStart w:id="5" w:name="_Toc300834967"/>
      <w:bookmarkEnd w:id="5"/>
      <w:r>
        <w:rPr>
          <w:rFonts w:hint="eastAsia" w:ascii="宋体" w:hAnsi="宋体" w:cs="宋体"/>
          <w:b/>
          <w:bCs/>
          <w:color w:val="auto"/>
          <w:sz w:val="24"/>
          <w:highlight w:val="none"/>
          <w:lang w:eastAsia="zh-CN"/>
        </w:rPr>
        <w:t>最高投标限价</w:t>
      </w:r>
    </w:p>
    <w:p>
      <w:pPr>
        <w:spacing w:line="440" w:lineRule="exact"/>
        <w:ind w:firstLine="480" w:firstLineChars="200"/>
        <w:rPr>
          <w:rFonts w:ascii="宋体" w:hAnsi="宋体" w:cs="宋体"/>
          <w:color w:val="auto"/>
          <w:sz w:val="24"/>
          <w:highlight w:val="none"/>
        </w:rPr>
      </w:pPr>
      <w:r>
        <w:rPr>
          <w:rFonts w:hint="eastAsia" w:ascii="宋体" w:hAnsi="宋体" w:cs="宋体"/>
          <w:b/>
          <w:color w:val="auto"/>
          <w:sz w:val="24"/>
          <w:highlight w:val="none"/>
        </w:rPr>
        <w:t>4.1本工程</w:t>
      </w:r>
      <w:r>
        <w:rPr>
          <w:rFonts w:hint="eastAsia" w:ascii="宋体" w:hAnsi="宋体" w:cs="宋体"/>
          <w:b/>
          <w:color w:val="auto"/>
          <w:sz w:val="24"/>
          <w:highlight w:val="none"/>
          <w:lang w:eastAsia="zh-CN"/>
        </w:rPr>
        <w:t>最高投标限价</w:t>
      </w:r>
      <w:r>
        <w:rPr>
          <w:rFonts w:hint="eastAsia" w:ascii="宋体" w:hAnsi="宋体" w:cs="宋体"/>
          <w:b/>
          <w:color w:val="auto"/>
          <w:sz w:val="24"/>
          <w:highlight w:val="none"/>
        </w:rPr>
        <w:t>为人民币</w:t>
      </w:r>
      <w:r>
        <w:rPr>
          <w:rFonts w:hint="eastAsia" w:ascii="宋体" w:hAnsi="宋体" w:cs="宋体"/>
          <w:b/>
          <w:color w:val="auto"/>
          <w:sz w:val="24"/>
          <w:highlight w:val="none"/>
          <w:u w:val="single"/>
          <w:lang w:val="en-US" w:eastAsia="zh-CN"/>
        </w:rPr>
        <w:t>15万元</w:t>
      </w:r>
      <w:r>
        <w:rPr>
          <w:rFonts w:hint="eastAsia" w:ascii="宋体" w:hAnsi="宋体" w:cs="宋体"/>
          <w:color w:val="auto"/>
          <w:sz w:val="24"/>
          <w:highlight w:val="none"/>
        </w:rPr>
        <w:t>。投标人的投标报价不得超过</w:t>
      </w:r>
      <w:r>
        <w:rPr>
          <w:rFonts w:hint="eastAsia" w:ascii="宋体" w:hAnsi="宋体" w:cs="宋体"/>
          <w:color w:val="auto"/>
          <w:sz w:val="24"/>
          <w:highlight w:val="none"/>
          <w:lang w:eastAsia="zh-CN"/>
        </w:rPr>
        <w:t>最高投标限价</w:t>
      </w:r>
      <w:r>
        <w:rPr>
          <w:rFonts w:hint="eastAsia" w:ascii="宋体" w:hAnsi="宋体" w:cs="宋体"/>
          <w:color w:val="auto"/>
          <w:sz w:val="24"/>
          <w:highlight w:val="none"/>
        </w:rPr>
        <w:t>价，否则作为无效标书处理。</w:t>
      </w:r>
    </w:p>
    <w:p>
      <w:pPr>
        <w:spacing w:line="440" w:lineRule="exact"/>
        <w:ind w:firstLine="420"/>
        <w:rPr>
          <w:rFonts w:ascii="宋体" w:hAnsi="宋体" w:cs="宋体"/>
          <w:color w:val="auto"/>
          <w:kern w:val="1"/>
          <w:sz w:val="24"/>
          <w:highlight w:val="none"/>
        </w:rPr>
      </w:pPr>
      <w:r>
        <w:rPr>
          <w:rFonts w:hint="eastAsia" w:ascii="宋体" w:hAnsi="宋体" w:cs="宋体"/>
          <w:color w:val="auto"/>
          <w:kern w:val="1"/>
          <w:sz w:val="24"/>
          <w:highlight w:val="none"/>
        </w:rPr>
        <w:t>4.2</w:t>
      </w:r>
      <w:r>
        <w:rPr>
          <w:rFonts w:hint="eastAsia" w:ascii="宋体" w:hAnsi="宋体" w:cs="宋体"/>
          <w:color w:val="auto"/>
          <w:kern w:val="1"/>
          <w:sz w:val="24"/>
          <w:highlight w:val="none"/>
          <w:lang w:val="en-US" w:eastAsia="zh-CN"/>
        </w:rPr>
        <w:t>预算价</w:t>
      </w:r>
      <w:r>
        <w:rPr>
          <w:rFonts w:hint="eastAsia" w:ascii="宋体" w:hAnsi="宋体" w:cs="宋体"/>
          <w:color w:val="auto"/>
          <w:kern w:val="1"/>
          <w:sz w:val="24"/>
          <w:highlight w:val="none"/>
        </w:rPr>
        <w:t>确定的依据：本项目按照施工图纸，施工现场情况，招标文件（含工程量清单），参照《建设工程工程量清单计价规范》（GB50500-2013）、《房屋建筑与装饰工程工程量计算规范》（GB50854-2013）、《通用安装工程工程量计算规范》（GB50856-2013））、《市政工程工程量计算规范》（GB50857-2013）（以下简称《工程量计算规范》）、《江苏省建筑与装饰工程计价定额》（2014版）、《江苏省市政工程计价定额》（2014版）、《江苏省安装工程计价定额》（2014版）（以下简称《计价定额》）、</w:t>
      </w:r>
      <w:r>
        <w:rPr>
          <w:rFonts w:hint="eastAsia" w:ascii="宋体" w:hAnsi="宋体" w:cs="宋体"/>
          <w:color w:val="auto"/>
          <w:sz w:val="24"/>
          <w:highlight w:val="none"/>
        </w:rPr>
        <w:t>《江苏省建设工程费用定额》（以下简称《费用定额》）（2014年）以及关于营改增后工程计价依据调整内容（苏建价〔2016〕154号）及苏建函价（2019）178号、江苏省住房和城乡建设厅[2018]第24号公告、江苏省住房和城乡建设厅</w:t>
      </w:r>
      <w:r>
        <w:rPr>
          <w:rFonts w:hint="eastAsia" w:ascii="宋体" w:hAnsi="宋体" w:cs="宋体"/>
          <w:bCs/>
          <w:color w:val="auto"/>
          <w:sz w:val="24"/>
          <w:highlight w:val="none"/>
        </w:rPr>
        <w:t>〔2019〕</w:t>
      </w:r>
      <w:r>
        <w:rPr>
          <w:rFonts w:hint="eastAsia" w:ascii="宋体" w:hAnsi="宋体" w:cs="宋体"/>
          <w:color w:val="auto"/>
          <w:sz w:val="24"/>
          <w:highlight w:val="none"/>
        </w:rPr>
        <w:t>第19号公告和现行工程造价有关文件规定、</w:t>
      </w:r>
      <w:r>
        <w:rPr>
          <w:rFonts w:hint="eastAsia" w:ascii="宋体" w:hAnsi="宋体" w:cs="宋体"/>
          <w:color w:val="auto"/>
          <w:kern w:val="1"/>
          <w:sz w:val="24"/>
          <w:highlight w:val="none"/>
        </w:rPr>
        <w:t>《盐城工程造价》等相关计价文件的规定，计算出预算价。预算价即</w:t>
      </w:r>
      <w:r>
        <w:rPr>
          <w:rFonts w:hint="eastAsia" w:ascii="宋体" w:hAnsi="宋体" w:cs="宋体"/>
          <w:color w:val="auto"/>
          <w:kern w:val="1"/>
          <w:sz w:val="24"/>
          <w:highlight w:val="none"/>
          <w:lang w:eastAsia="zh-CN"/>
        </w:rPr>
        <w:t>最高投标限价</w:t>
      </w:r>
      <w:r>
        <w:rPr>
          <w:rFonts w:hint="eastAsia" w:ascii="宋体" w:hAnsi="宋体" w:cs="宋体"/>
          <w:color w:val="auto"/>
          <w:kern w:val="1"/>
          <w:sz w:val="24"/>
          <w:highlight w:val="none"/>
        </w:rPr>
        <w:t>。</w:t>
      </w:r>
    </w:p>
    <w:p>
      <w:pPr>
        <w:spacing w:line="44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spacing w:line="440" w:lineRule="exact"/>
        <w:ind w:left="-1" w:firstLine="480" w:firstLineChars="200"/>
        <w:rPr>
          <w:rFonts w:ascii="宋体" w:hAnsi="宋体" w:cs="宋体"/>
          <w:b/>
          <w:bCs/>
          <w:color w:val="auto"/>
          <w:sz w:val="24"/>
          <w:highlight w:val="none"/>
        </w:rPr>
      </w:pPr>
      <w:r>
        <w:rPr>
          <w:rFonts w:hint="eastAsia" w:ascii="宋体" w:hAnsi="宋体" w:cs="宋体"/>
          <w:b/>
          <w:bCs/>
          <w:color w:val="auto"/>
          <w:sz w:val="24"/>
          <w:highlight w:val="none"/>
        </w:rPr>
        <w:t>5、其他</w:t>
      </w:r>
    </w:p>
    <w:p>
      <w:pPr>
        <w:spacing w:line="440" w:lineRule="exact"/>
        <w:ind w:left="-1" w:firstLine="480" w:firstLineChars="200"/>
        <w:rPr>
          <w:rFonts w:ascii="宋体" w:hAnsi="宋体" w:cs="宋体"/>
          <w:b/>
          <w:bCs/>
          <w:color w:val="auto"/>
          <w:sz w:val="24"/>
          <w:highlight w:val="none"/>
        </w:rPr>
      </w:pPr>
      <w:r>
        <w:rPr>
          <w:rFonts w:hint="eastAsia" w:ascii="宋体" w:hAnsi="宋体" w:cs="宋体"/>
          <w:b/>
          <w:bCs/>
          <w:color w:val="auto"/>
          <w:sz w:val="24"/>
          <w:highlight w:val="none"/>
        </w:rPr>
        <w:t>本项目第一中标候选人如在服务期间的工程质量、工期、安全和服务不到位的，招标人有权直接取消其中标资格，已完的合格工程量可按70%结算。招标人可视情况确定第二中标候选人进行替补服务，如第二中标候选人仍存在上述服务不到位等情形的，招标人也可再确定第三中标候选人进行替补服务，但结算时全费用综合单价均统一按第一中标候选人的全费用综合单价执行，各投标人在投标报价时须充分考虑该因素。</w:t>
      </w:r>
    </w:p>
    <w:p>
      <w:pPr>
        <w:spacing w:line="440" w:lineRule="exact"/>
        <w:rPr>
          <w:rFonts w:ascii="宋体" w:hAnsi="宋体" w:cs="宋体"/>
          <w:b/>
          <w:color w:val="auto"/>
          <w:sz w:val="44"/>
          <w:szCs w:val="44"/>
          <w:highlight w:val="none"/>
        </w:rPr>
      </w:pPr>
    </w:p>
    <w:p>
      <w:pPr>
        <w:rPr>
          <w:rFonts w:ascii="宋体" w:hAnsi="宋体" w:cs="宋体"/>
          <w:b/>
          <w:color w:val="auto"/>
          <w:sz w:val="44"/>
          <w:szCs w:val="44"/>
          <w:highlight w:val="none"/>
        </w:rPr>
      </w:pPr>
      <w:r>
        <w:rPr>
          <w:rFonts w:hint="eastAsia" w:ascii="宋体" w:hAnsi="宋体" w:cs="宋体"/>
          <w:b/>
          <w:color w:val="auto"/>
          <w:sz w:val="44"/>
          <w:szCs w:val="44"/>
          <w:highlight w:val="none"/>
        </w:rPr>
        <w:br w:type="page"/>
      </w:r>
    </w:p>
    <w:p>
      <w:pPr>
        <w:spacing w:line="500" w:lineRule="exact"/>
        <w:jc w:val="center"/>
        <w:rPr>
          <w:rFonts w:ascii="宋体" w:hAnsi="宋体" w:cs="宋体"/>
          <w:b/>
          <w:bCs/>
          <w:color w:val="auto"/>
          <w:sz w:val="44"/>
          <w:highlight w:val="none"/>
        </w:rPr>
      </w:pPr>
      <w:r>
        <w:rPr>
          <w:rFonts w:hint="eastAsia" w:ascii="宋体" w:hAnsi="宋体" w:cs="宋体"/>
          <w:b/>
          <w:color w:val="auto"/>
          <w:sz w:val="44"/>
          <w:szCs w:val="44"/>
          <w:highlight w:val="none"/>
        </w:rPr>
        <w:t>第四部分  投标文件编制方法及要求</w:t>
      </w:r>
    </w:p>
    <w:p>
      <w:pPr>
        <w:spacing w:line="500" w:lineRule="exact"/>
        <w:ind w:firstLine="480" w:firstLineChars="200"/>
        <w:rPr>
          <w:rFonts w:ascii="宋体" w:hAnsi="宋体" w:cs="宋体"/>
          <w:b/>
          <w:bCs/>
          <w:color w:val="auto"/>
          <w:sz w:val="24"/>
          <w:highlight w:val="none"/>
        </w:rPr>
      </w:pPr>
    </w:p>
    <w:p>
      <w:pPr>
        <w:spacing w:line="500" w:lineRule="exact"/>
        <w:ind w:firstLine="480" w:firstLineChars="200"/>
        <w:rPr>
          <w:rFonts w:ascii="宋体" w:hAnsi="宋体" w:cs="宋体"/>
          <w:b/>
          <w:bCs/>
          <w:color w:val="auto"/>
          <w:sz w:val="24"/>
          <w:highlight w:val="none"/>
        </w:rPr>
      </w:pPr>
      <w:r>
        <w:rPr>
          <w:rFonts w:hint="eastAsia" w:ascii="宋体" w:hAnsi="宋体" w:cs="宋体"/>
          <w:b/>
          <w:bCs/>
          <w:color w:val="auto"/>
          <w:sz w:val="24"/>
          <w:highlight w:val="none"/>
        </w:rPr>
        <w:t>1、投标报价文件的编制依据及要求</w:t>
      </w:r>
    </w:p>
    <w:p>
      <w:pPr>
        <w:spacing w:line="500" w:lineRule="exact"/>
        <w:ind w:left="-1" w:firstLine="480" w:firstLineChars="200"/>
        <w:outlineLvl w:val="0"/>
        <w:rPr>
          <w:rFonts w:ascii="宋体" w:hAnsi="宋体" w:cs="宋体"/>
          <w:b/>
          <w:color w:val="auto"/>
          <w:sz w:val="24"/>
          <w:highlight w:val="none"/>
        </w:rPr>
      </w:pPr>
      <w:r>
        <w:rPr>
          <w:rFonts w:hint="eastAsia" w:ascii="宋体" w:hAnsi="宋体" w:cs="宋体"/>
          <w:b/>
          <w:color w:val="auto"/>
          <w:sz w:val="24"/>
          <w:highlight w:val="none"/>
        </w:rPr>
        <w:t>1.1投标报价文件编制的依据：</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1.1.1招标人发出的招标文件、工程量清单及其编制说明、答疑文件、补充通知；</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1.1.2招标人提供的图纸和设定的</w:t>
      </w:r>
      <w:r>
        <w:rPr>
          <w:rFonts w:hint="eastAsia" w:ascii="宋体" w:hAnsi="宋体" w:cs="宋体"/>
          <w:color w:val="auto"/>
          <w:sz w:val="24"/>
          <w:highlight w:val="none"/>
          <w:lang w:eastAsia="zh-CN"/>
        </w:rPr>
        <w:t>最高投标限价</w:t>
      </w:r>
      <w:r>
        <w:rPr>
          <w:rFonts w:hint="eastAsia" w:ascii="宋体" w:hAnsi="宋体" w:cs="宋体"/>
          <w:color w:val="auto"/>
          <w:sz w:val="24"/>
          <w:highlight w:val="none"/>
        </w:rPr>
        <w:t>；</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市政工程计价定额》（2014版）……（以下简称《计价定额》）、《江苏省建设工程费用定额》（2014年）及</w:t>
      </w:r>
      <w:r>
        <w:rPr>
          <w:rFonts w:hint="eastAsia" w:ascii="宋体" w:hAnsi="宋体" w:cs="宋体"/>
          <w:b/>
          <w:color w:val="auto"/>
          <w:sz w:val="24"/>
          <w:highlight w:val="none"/>
        </w:rPr>
        <w:t>营改增后调整内容</w:t>
      </w:r>
      <w:r>
        <w:rPr>
          <w:rFonts w:hint="eastAsia" w:ascii="宋体" w:hAnsi="宋体" w:cs="宋体"/>
          <w:color w:val="auto"/>
          <w:sz w:val="24"/>
          <w:highlight w:val="none"/>
        </w:rPr>
        <w:t>（以下简称《费用定额》）、《盐城工程造价》、相关计价文件等。</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1.1.4省、市现行其他相关配套文件；　　　</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1.1.5与建设项目相关的标准、施工和验收规范等技术资料；</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1.1.6 施工现场情况、工程特点及投标人拟采用的施工组织设计和施工技术方案；</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1.1.7 投标人的企业定额及投标期间的各类材料市场价格信息或工程造价管理机构发布的工程造价信息；</w:t>
      </w:r>
    </w:p>
    <w:p>
      <w:pPr>
        <w:spacing w:line="500" w:lineRule="exact"/>
        <w:ind w:left="-1" w:firstLine="480" w:firstLineChars="200"/>
        <w:outlineLvl w:val="0"/>
        <w:rPr>
          <w:rFonts w:ascii="宋体" w:hAnsi="宋体" w:cs="宋体"/>
          <w:b/>
          <w:color w:val="auto"/>
          <w:sz w:val="24"/>
          <w:highlight w:val="none"/>
        </w:rPr>
      </w:pPr>
      <w:r>
        <w:rPr>
          <w:rFonts w:hint="eastAsia" w:ascii="宋体" w:hAnsi="宋体" w:cs="宋体"/>
          <w:b/>
          <w:color w:val="auto"/>
          <w:sz w:val="24"/>
          <w:highlight w:val="none"/>
        </w:rPr>
        <w:t>1.2投标报价文件编制的要求：</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1.2.3投标人投标全费用综合单价中必须包含现行有关规定的费率计取</w:t>
      </w:r>
      <w:r>
        <w:rPr>
          <w:rFonts w:hint="eastAsia" w:ascii="宋体" w:hAnsi="宋体" w:cs="宋体"/>
          <w:color w:val="auto"/>
          <w:sz w:val="24"/>
          <w:highlight w:val="none"/>
          <w:lang w:val="en-US" w:eastAsia="zh-CN"/>
        </w:rPr>
        <w:t>现场安全</w:t>
      </w:r>
      <w:r>
        <w:rPr>
          <w:rFonts w:hint="eastAsia" w:ascii="宋体" w:hAnsi="宋体" w:cs="宋体"/>
          <w:color w:val="auto"/>
          <w:sz w:val="24"/>
          <w:highlight w:val="none"/>
        </w:rPr>
        <w:t>文明施工措施费基本费1.5%、扬尘污染防治增加费0.21%，为完成本项目发生的所有措施项目费、管理费、利润、规费（包括环境保护税0.1%、社会保险费3.8%、住房公积金0.67%、和税金9%）。</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1.2.4  投标人在投标报价时未填报综合单价的工程量清单项目，招标人视为已包括在工程量清单计价的其他单价中，无论何种原因使该清单项目发生工程量的变更，结算时均不作调整。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1.2.5  投标人在投标报价时，不得进行投标总价或合价的优惠（或降价、让利）或隐性提价；综合单价与工程量的乘积应与合价一致。</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合同的风险。</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1.2.7除计价规范另有规定外，投标文件使用的度量衡单位，均采用中华人民共和国法定计量单位，投标文件和与投标有关的所有文件均应使用中文，投标报价统一采用人民币作为计量单位。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0" w:firstLineChars="200"/>
        <w:rPr>
          <w:rFonts w:ascii="宋体" w:hAnsi="宋体" w:cs="宋体"/>
          <w:b/>
          <w:bCs/>
          <w:color w:val="auto"/>
          <w:sz w:val="24"/>
          <w:highlight w:val="none"/>
        </w:rPr>
      </w:pPr>
      <w:r>
        <w:rPr>
          <w:rFonts w:hint="eastAsia" w:ascii="宋体" w:hAnsi="宋体" w:cs="宋体"/>
          <w:b/>
          <w:bCs/>
          <w:color w:val="auto"/>
          <w:sz w:val="24"/>
          <w:highlight w:val="none"/>
        </w:rPr>
        <w:t>2、投标文件的编制方法及要求</w:t>
      </w:r>
    </w:p>
    <w:p>
      <w:pPr>
        <w:spacing w:line="480" w:lineRule="exact"/>
        <w:ind w:left="-1" w:firstLine="480" w:firstLineChars="200"/>
        <w:rPr>
          <w:rFonts w:ascii="宋体" w:hAnsi="宋体" w:cs="宋体"/>
          <w:color w:val="auto"/>
          <w:highlight w:val="none"/>
        </w:rPr>
      </w:pPr>
      <w:r>
        <w:rPr>
          <w:rFonts w:hint="eastAsia" w:ascii="宋体" w:hAnsi="宋体" w:cs="宋体"/>
          <w:b/>
          <w:color w:val="auto"/>
          <w:sz w:val="24"/>
          <w:highlight w:val="none"/>
        </w:rPr>
        <w:t>2.1本次招标的投标文件共为一号标书1个标书，份数为正本1份、副本4份。</w:t>
      </w:r>
    </w:p>
    <w:p>
      <w:pPr>
        <w:spacing w:line="480" w:lineRule="exact"/>
        <w:ind w:left="-1" w:firstLine="480" w:firstLineChars="200"/>
        <w:rPr>
          <w:rFonts w:ascii="宋体" w:hAnsi="宋体" w:cs="宋体"/>
          <w:b/>
          <w:color w:val="auto"/>
          <w:sz w:val="24"/>
          <w:highlight w:val="none"/>
        </w:rPr>
      </w:pPr>
      <w:r>
        <w:rPr>
          <w:rFonts w:hint="eastAsia" w:ascii="宋体" w:hAnsi="宋体" w:cs="宋体"/>
          <w:b/>
          <w:color w:val="auto"/>
          <w:sz w:val="24"/>
          <w:highlight w:val="none"/>
        </w:rPr>
        <w:t>2.2 一号标书应包括的内容：</w:t>
      </w:r>
    </w:p>
    <w:p>
      <w:pPr>
        <w:spacing w:line="48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2.2.1 封面（样式见附件）。</w:t>
      </w:r>
    </w:p>
    <w:p>
      <w:pPr>
        <w:spacing w:line="48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2.2.2 投标承诺书；法定代表人投标的须提供法定代表人身份证明书（如委托代理人投标的须提供授权委托书）；诚信承诺书</w:t>
      </w:r>
      <w:r>
        <w:rPr>
          <w:rFonts w:hint="eastAsia" w:ascii="宋体" w:hAnsi="宋体" w:cs="宋体"/>
          <w:color w:val="auto"/>
          <w:sz w:val="24"/>
          <w:szCs w:val="30"/>
          <w:highlight w:val="none"/>
        </w:rPr>
        <w:t>（格式见附件）</w:t>
      </w:r>
      <w:r>
        <w:rPr>
          <w:rFonts w:hint="eastAsia" w:ascii="宋体" w:hAnsi="宋体" w:cs="宋体"/>
          <w:color w:val="auto"/>
          <w:sz w:val="24"/>
          <w:highlight w:val="none"/>
        </w:rPr>
        <w:t>。</w:t>
      </w:r>
    </w:p>
    <w:p>
      <w:pPr>
        <w:spacing w:line="48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2.2.3工程量清单计价成果文件（投标报价明细表，格式见附件）；工程清单计价成果文件必须按照招标文件所提供的格式填入，其格式不得作任何改变。招标人提供的工程量清单中的序号、项目名称、项目特征、单位、数量，投标人在投标报价时不得作任何更改变动，否则一切责任由投标单位自负。如果投标人认为清单内容有误或遗漏，只能通过答疑的方式由招标人统一修改更正。</w:t>
      </w:r>
    </w:p>
    <w:p>
      <w:pPr>
        <w:tabs>
          <w:tab w:val="left" w:pos="6161"/>
        </w:tabs>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2.2.4符合招标文件要求的有效的投标人施工资质证书、安全生产许可证、营业执照、项目负责人建造师注册证书、项目负责人安全生产考核合格证书（B类）的原件及复印件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代理人及</w:t>
      </w:r>
      <w:r>
        <w:rPr>
          <w:rFonts w:hint="eastAsia" w:ascii="宋体" w:hAnsi="宋体" w:cs="宋体"/>
          <w:color w:val="auto"/>
          <w:sz w:val="24"/>
          <w:highlight w:val="none"/>
        </w:rPr>
        <w:t>项目负责人的缴纳养老保险缴费记录证明加盖</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公章（退休人员提供在本单位相关证明</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pPr>
        <w:tabs>
          <w:tab w:val="left" w:pos="6161"/>
        </w:tabs>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注：能有效识别二维码的复印件加盖证书持有单位公章和能有效识别二维码的电子证书加盖证书持有单位公章可视为原件。</w:t>
      </w:r>
      <w:r>
        <w:rPr>
          <w:rFonts w:hint="eastAsia" w:ascii="宋体" w:hAnsi="宋体" w:cs="宋体"/>
          <w:color w:val="auto"/>
          <w:sz w:val="24"/>
          <w:highlight w:val="none"/>
        </w:rPr>
        <w:tab/>
      </w: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注：以上2.2.1～2.2.4项材料装订成册,如有证书原件无需装订直接放入封袋中。如投标人投标文件中正副本不全，将不作为中标候选人。</w:t>
      </w: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评审过程中对投标人所提供的资料要求以评标办法及上述一号标书组成规定为准，其他部分如有涉及，一律不作为评审依据。</w:t>
      </w: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2.3投标文件编制的其他要求：</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2.3.1招标文件提供的表式投标人应使用，但表式可以按同样格式拓展。</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2.3.2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ascii="宋体" w:hAnsi="宋体" w:cs="宋体"/>
          <w:b/>
          <w:bCs/>
          <w:color w:val="auto"/>
          <w:sz w:val="24"/>
          <w:highlight w:val="none"/>
        </w:rPr>
      </w:pPr>
      <w:r>
        <w:rPr>
          <w:rFonts w:hint="eastAsia" w:ascii="宋体" w:hAnsi="宋体" w:cs="宋体"/>
          <w:b/>
          <w:bCs/>
          <w:color w:val="auto"/>
          <w:sz w:val="24"/>
          <w:highlight w:val="none"/>
        </w:rPr>
        <w:t>3、投标有效期</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3.1本招标项目投标有效期见第一部分投标须知。</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 xml:space="preserve">3.2在投标有效期内，投标人不得要求撤销或修改其投标文件。 </w:t>
      </w:r>
      <w:r>
        <w:rPr>
          <w:rFonts w:hint="eastAsia" w:ascii="宋体" w:hAnsi="宋体" w:cs="宋体"/>
          <w:color w:val="auto"/>
          <w:sz w:val="24"/>
          <w:highlight w:val="none"/>
        </w:rPr>
        <w:cr/>
      </w:r>
      <w:r>
        <w:rPr>
          <w:rFonts w:hint="eastAsia" w:ascii="宋体" w:hAnsi="宋体" w:cs="宋体"/>
          <w:color w:val="auto"/>
          <w:sz w:val="24"/>
          <w:highlight w:val="none"/>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4、投标文件的密封与标志</w:t>
      </w:r>
    </w:p>
    <w:p>
      <w:pPr>
        <w:spacing w:line="5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4.2所有投标文件装入封袋后都必须在封口处密封并加盖投标人公章。</w:t>
      </w: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5、投标文件的递交</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5.1投标人必须在招标文件规定的投标文件递交截止时间前完成投标文件的递交。</w:t>
      </w:r>
    </w:p>
    <w:p>
      <w:pP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5.2投标人递交投标文件的地点：见投标须知前附表。</w:t>
      </w:r>
    </w:p>
    <w:p>
      <w:pPr>
        <w:pStyle w:val="11"/>
        <w:adjustRightInd w:val="0"/>
        <w:snapToGrid w:val="0"/>
        <w:spacing w:line="440" w:lineRule="exact"/>
        <w:ind w:firstLine="480" w:firstLineChars="200"/>
        <w:rPr>
          <w:rFonts w:hAnsi="宋体" w:cs="宋体"/>
          <w:b/>
          <w:color w:val="auto"/>
          <w:sz w:val="24"/>
          <w:highlight w:val="none"/>
        </w:rPr>
      </w:pPr>
      <w:r>
        <w:rPr>
          <w:rFonts w:hint="eastAsia" w:hAnsi="宋体" w:cs="宋体"/>
          <w:b/>
          <w:color w:val="auto"/>
          <w:sz w:val="24"/>
          <w:highlight w:val="none"/>
        </w:rPr>
        <w:t>6、投标文件的修改与撤回</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 xml:space="preserve">6.1在招标文件规定的投标截止时间之前，投标人可对所递交的投标文件进行修改或撤回，但必须以书面形式通知招标人。 </w:t>
      </w:r>
      <w:r>
        <w:rPr>
          <w:rFonts w:hint="eastAsia" w:ascii="宋体" w:hAnsi="宋体" w:cs="宋体"/>
          <w:color w:val="auto"/>
          <w:sz w:val="24"/>
          <w:highlight w:val="none"/>
        </w:rPr>
        <w:cr/>
      </w:r>
      <w:r>
        <w:rPr>
          <w:rFonts w:hint="eastAsia" w:ascii="宋体" w:hAnsi="宋体" w:cs="宋体"/>
          <w:color w:val="auto"/>
          <w:sz w:val="24"/>
          <w:highlight w:val="none"/>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6.3修改的内容为投标文件的组成部分。</w:t>
      </w: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7、投标费用</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投标人应承担其编制和递交投标文件所涉及的一切费用，无论投标结果如何，招标人对上述费用不负任何责任。</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本项目招标代理服务费</w:t>
      </w:r>
      <w:r>
        <w:rPr>
          <w:rStyle w:val="64"/>
          <w:rFonts w:hint="eastAsia" w:ascii="宋体" w:hAnsi="宋体" w:cs="宋体"/>
          <w:color w:val="auto"/>
          <w:sz w:val="24"/>
          <w:szCs w:val="24"/>
          <w:highlight w:val="none"/>
          <w:lang w:val="en-US" w:eastAsia="zh-CN"/>
        </w:rPr>
        <w:t>按</w:t>
      </w:r>
      <w:r>
        <w:rPr>
          <w:rStyle w:val="64"/>
          <w:rFonts w:hint="eastAsia" w:ascii="宋体" w:hAnsi="宋体" w:cs="宋体"/>
          <w:color w:val="auto"/>
          <w:sz w:val="24"/>
          <w:szCs w:val="24"/>
          <w:highlight w:val="none"/>
        </w:rPr>
        <w:t>苏招协〔2022﹞002号规定的收费标准</w:t>
      </w:r>
      <w:r>
        <w:rPr>
          <w:rStyle w:val="64"/>
          <w:rFonts w:hint="eastAsia" w:ascii="宋体" w:hAnsi="宋体" w:cs="宋体"/>
          <w:color w:val="auto"/>
          <w:sz w:val="24"/>
          <w:szCs w:val="24"/>
          <w:highlight w:val="none"/>
          <w:lang w:val="en-US" w:eastAsia="zh-CN"/>
        </w:rPr>
        <w:t>的</w:t>
      </w:r>
      <w:r>
        <w:rPr>
          <w:rStyle w:val="64"/>
          <w:rFonts w:hint="eastAsia" w:ascii="宋体" w:hAnsi="宋体" w:cs="宋体"/>
          <w:color w:val="auto"/>
          <w:sz w:val="24"/>
          <w:szCs w:val="24"/>
          <w:highlight w:val="none"/>
        </w:rPr>
        <w:t>30%</w:t>
      </w:r>
      <w:r>
        <w:rPr>
          <w:rStyle w:val="64"/>
          <w:rFonts w:hint="eastAsia" w:ascii="宋体" w:hAnsi="宋体" w:cs="宋体"/>
          <w:color w:val="auto"/>
          <w:sz w:val="24"/>
          <w:szCs w:val="24"/>
          <w:highlight w:val="none"/>
          <w:lang w:val="en-US" w:eastAsia="zh-CN"/>
        </w:rPr>
        <w:t>收取，</w:t>
      </w:r>
      <w:r>
        <w:rPr>
          <w:rFonts w:hint="eastAsia" w:ascii="宋体" w:hAnsi="宋体" w:cs="宋体"/>
          <w:color w:val="auto"/>
          <w:sz w:val="24"/>
          <w:highlight w:val="none"/>
        </w:rPr>
        <w:t>由中标人承担，各投标人在投标报价时须将上述费用自行综合考虑分摊含进投标报价中，且不得单列，在开具中标通知书前向招标代理机构一次性交纳。招标人不再承担上述费用。</w:t>
      </w:r>
    </w:p>
    <w:p>
      <w:pPr>
        <w:spacing w:line="500" w:lineRule="exact"/>
        <w:rPr>
          <w:rFonts w:ascii="宋体" w:hAnsi="宋体" w:cs="宋体"/>
          <w:b/>
          <w:color w:val="auto"/>
          <w:sz w:val="44"/>
          <w:szCs w:val="44"/>
          <w:highlight w:val="none"/>
        </w:rPr>
      </w:pPr>
    </w:p>
    <w:p>
      <w:pPr>
        <w:rPr>
          <w:rFonts w:ascii="宋体" w:hAnsi="宋体" w:cs="宋体"/>
          <w:b/>
          <w:color w:val="auto"/>
          <w:sz w:val="44"/>
          <w:szCs w:val="44"/>
          <w:highlight w:val="none"/>
        </w:rPr>
      </w:pPr>
      <w:r>
        <w:rPr>
          <w:rFonts w:hint="eastAsia" w:ascii="宋体" w:hAnsi="宋体" w:cs="宋体"/>
          <w:b/>
          <w:color w:val="auto"/>
          <w:sz w:val="44"/>
          <w:szCs w:val="44"/>
          <w:highlight w:val="none"/>
        </w:rPr>
        <w:br w:type="page"/>
      </w:r>
    </w:p>
    <w:p>
      <w:pPr>
        <w:widowControl/>
        <w:jc w:val="center"/>
        <w:rPr>
          <w:rFonts w:ascii="宋体" w:hAnsi="宋体" w:cs="宋体"/>
          <w:b/>
          <w:bCs/>
          <w:color w:val="auto"/>
          <w:sz w:val="44"/>
          <w:highlight w:val="none"/>
        </w:rPr>
      </w:pPr>
      <w:r>
        <w:rPr>
          <w:rFonts w:hint="eastAsia" w:ascii="宋体" w:hAnsi="宋体" w:cs="宋体"/>
          <w:b/>
          <w:color w:val="auto"/>
          <w:sz w:val="44"/>
          <w:szCs w:val="44"/>
          <w:highlight w:val="none"/>
        </w:rPr>
        <w:t>第五部分  开标 评标 定标</w:t>
      </w:r>
    </w:p>
    <w:p>
      <w:pPr>
        <w:spacing w:line="500" w:lineRule="exact"/>
        <w:ind w:left="-1" w:firstLine="480" w:firstLineChars="200"/>
        <w:rPr>
          <w:rFonts w:ascii="宋体" w:hAnsi="宋体" w:cs="宋体"/>
          <w:color w:val="auto"/>
          <w:sz w:val="24"/>
          <w:highlight w:val="none"/>
        </w:rPr>
      </w:pP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1、评标定标办法和评标规则</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本项目评标办法采用</w:t>
      </w:r>
      <w:r>
        <w:rPr>
          <w:rFonts w:hint="eastAsia" w:ascii="宋体" w:hAnsi="宋体" w:cs="宋体"/>
          <w:color w:val="auto"/>
          <w:sz w:val="24"/>
          <w:highlight w:val="none"/>
          <w:lang w:val="en-US" w:eastAsia="zh-CN"/>
        </w:rPr>
        <w:t>合理低价法</w:t>
      </w:r>
      <w:r>
        <w:rPr>
          <w:rFonts w:hint="eastAsia" w:ascii="宋体" w:hAnsi="宋体" w:cs="宋体"/>
          <w:color w:val="auto"/>
          <w:sz w:val="24"/>
          <w:highlight w:val="none"/>
        </w:rPr>
        <w:t>，评标委员会按评标办法推荐有排序的中标候选人，由招标人依照国家有关法律、法规及定标办法确定中标人，具体评标定标办法及评标规则详见第七部分。</w:t>
      </w:r>
    </w:p>
    <w:p>
      <w:pPr>
        <w:spacing w:line="500" w:lineRule="exact"/>
        <w:ind w:left="-1" w:firstLine="480" w:firstLineChars="200"/>
        <w:rPr>
          <w:rFonts w:ascii="宋体" w:hAnsi="宋体" w:cs="宋体"/>
          <w:b/>
          <w:bCs/>
          <w:color w:val="auto"/>
          <w:sz w:val="24"/>
          <w:highlight w:val="none"/>
        </w:rPr>
      </w:pPr>
      <w:r>
        <w:rPr>
          <w:rFonts w:hint="eastAsia" w:ascii="宋体" w:hAnsi="宋体" w:cs="宋体"/>
          <w:b/>
          <w:bCs/>
          <w:color w:val="auto"/>
          <w:sz w:val="24"/>
          <w:highlight w:val="none"/>
        </w:rPr>
        <w:t>2、开标、评标、定标</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2.1开标按投标须知前附表规定的时间、地点举行。</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投标人对开标内容有异议的，应当在开标现场提出，否则视同认可。</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2.2评标由招标人依法组建的评标委员会负责。评标委员会应当按照招标文件确定的评标标准和方法，对投标文件进行评审和比较，并根据评标办法约定的数量推荐标明顺序的中标候选人。</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2.3招标人根据评标委员会提出的书面评标报告和推荐的中标候选人依法确定中标人。</w:t>
      </w:r>
    </w:p>
    <w:p>
      <w:pPr>
        <w:spacing w:line="500" w:lineRule="exact"/>
        <w:ind w:left="-1" w:firstLine="480" w:firstLineChars="200"/>
        <w:rPr>
          <w:rFonts w:ascii="宋体" w:hAnsi="宋体" w:cs="宋体"/>
          <w:b/>
          <w:bCs/>
          <w:color w:val="auto"/>
          <w:sz w:val="24"/>
          <w:highlight w:val="none"/>
        </w:rPr>
      </w:pPr>
      <w:r>
        <w:rPr>
          <w:rFonts w:hint="eastAsia" w:ascii="宋体" w:hAnsi="宋体" w:cs="宋体"/>
          <w:b/>
          <w:bCs/>
          <w:color w:val="auto"/>
          <w:sz w:val="24"/>
          <w:highlight w:val="none"/>
        </w:rPr>
        <w:t>3、评标定标办法</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详见第七部分。</w:t>
      </w:r>
    </w:p>
    <w:p>
      <w:pPr>
        <w:spacing w:line="500" w:lineRule="exact"/>
        <w:ind w:left="-1" w:firstLine="480" w:firstLineChars="200"/>
        <w:rPr>
          <w:rFonts w:ascii="宋体" w:hAnsi="宋体" w:cs="宋体"/>
          <w:b/>
          <w:bCs/>
          <w:color w:val="auto"/>
          <w:sz w:val="24"/>
          <w:highlight w:val="none"/>
        </w:rPr>
      </w:pPr>
      <w:r>
        <w:rPr>
          <w:rFonts w:hint="eastAsia" w:ascii="宋体" w:hAnsi="宋体" w:cs="宋体"/>
          <w:b/>
          <w:bCs/>
          <w:color w:val="auto"/>
          <w:sz w:val="24"/>
          <w:highlight w:val="none"/>
        </w:rPr>
        <w:t>4、投标文件有下列情况之一的，属于重大偏差，视为未能对招标文件作出实质性响应，作为无效投标予以否决：</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4.1投标文件中的投标函未加盖投标人的公章；</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4.2投标文件中的投标函未加盖企业法定代表人（或企业法定代表人代理人）印章（或签字）的；</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4.3投标函加盖企业法定代表人委托代理人印章（或签字），企业法定代表人委托代理人没有合法、有效的委托书（原件）的；</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4.4投标人资质条件不符合国家有关规定，或者不满足招标文件规定的资格条件；</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4.5投标报价低于工程成本或者高于招标文件设定的</w:t>
      </w:r>
      <w:r>
        <w:rPr>
          <w:rFonts w:hint="eastAsia" w:ascii="宋体" w:hAnsi="宋体" w:cs="宋体"/>
          <w:color w:val="auto"/>
          <w:sz w:val="24"/>
          <w:highlight w:val="none"/>
          <w:lang w:eastAsia="zh-CN"/>
        </w:rPr>
        <w:t>最高投标限价</w:t>
      </w:r>
      <w:r>
        <w:rPr>
          <w:rFonts w:hint="eastAsia" w:ascii="宋体" w:hAnsi="宋体" w:cs="宋体"/>
          <w:color w:val="auto"/>
          <w:sz w:val="24"/>
          <w:highlight w:val="none"/>
        </w:rPr>
        <w:t>的；</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4.6同一投标人提交两个及以上不同的投标文件或者投标报价，但招标文件规定提交备选投标的除外；</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4.7投标文件中已标价工程量清单与招标文件规定的暂估价、暂列金额及甲供材料价格不一致的；</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4.8投标文件中已标价工程量清单与招标文件明确列出的不可竞争费用项目或费率或计算基础不一致的；</w:t>
      </w:r>
    </w:p>
    <w:p>
      <w:pPr>
        <w:spacing w:line="500" w:lineRule="exact"/>
        <w:rPr>
          <w:rFonts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pgNum/>
      </w:r>
      <w:r>
        <w:rPr>
          <w:rFonts w:hint="eastAsia" w:ascii="宋体" w:hAnsi="宋体" w:cs="宋体"/>
          <w:color w:val="auto"/>
          <w:sz w:val="24"/>
          <w:highlight w:val="none"/>
        </w:rPr>
        <w:t>4.9投标文件中已标价工程量清单与招标文件提供的工程量清单中的项目编码、项目名称、项目特征、计量单位、工程量不一致的；</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4.10未按招标文件要求提供投标保证金的；</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4.11投标文件载明的招标项目完成期限超过招标文件规定的期限的；</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4.12明显不符合技术规范、技术标准的要求；</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4.13投标文件载明的货物包装方式、检验标准和方法等不符合招标文件的要求的；</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4.14投标文件提出了不能满足招标文件要求或招标人不能接受的工程验收、计量、价款结算和支付办法的；</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4.15不同投标人的投标文件制作过程出现了评标委员会认为不应当雷同的情况；</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4.16以他人的名义投标、串通投标、以行贿手段谋取中标或者以其他弄虚作假方式投标的；</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4.17投标文件关键内容模糊、无法辨认的；</w:t>
      </w:r>
    </w:p>
    <w:p>
      <w:pPr>
        <w:spacing w:line="500" w:lineRule="exact"/>
        <w:ind w:left="-1" w:firstLine="480" w:firstLineChars="200"/>
        <w:rPr>
          <w:rFonts w:ascii="宋体" w:hAnsi="宋体" w:cs="宋体"/>
          <w:b/>
          <w:bCs/>
          <w:color w:val="auto"/>
          <w:sz w:val="24"/>
          <w:highlight w:val="none"/>
        </w:rPr>
      </w:pPr>
      <w:r>
        <w:rPr>
          <w:rFonts w:hint="eastAsia" w:ascii="宋体" w:hAnsi="宋体" w:cs="宋体"/>
          <w:b/>
          <w:bCs/>
          <w:color w:val="auto"/>
          <w:sz w:val="24"/>
          <w:highlight w:val="none"/>
        </w:rPr>
        <w:t>5、投标文件的澄清</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 xml:space="preserve">5.2评标委员会不接受投标人主动提出的澄清、说明或补正。 </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5.4评标委员会对投标人提交的答复仍有疑问的，可以要求投标人进一步澄清、说明或补正，直至满足评标委员会的要求。</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5.5投标截止时间后，投标文件中没有列入的价格和优惠条件或投标人对投标报价或其他实质性内容修正的函件和增加的任何优惠条件，一律不得作为评标、定标的依据。</w:t>
      </w:r>
    </w:p>
    <w:p>
      <w:pPr>
        <w:spacing w:line="500" w:lineRule="exact"/>
        <w:ind w:left="-1" w:firstLine="480" w:firstLineChars="200"/>
        <w:rPr>
          <w:rFonts w:ascii="宋体" w:hAnsi="宋体" w:cs="宋体"/>
          <w:b/>
          <w:bCs/>
          <w:color w:val="auto"/>
          <w:sz w:val="24"/>
          <w:highlight w:val="none"/>
        </w:rPr>
      </w:pPr>
      <w:r>
        <w:rPr>
          <w:rFonts w:hint="eastAsia" w:ascii="宋体" w:hAnsi="宋体" w:cs="宋体"/>
          <w:b/>
          <w:bCs/>
          <w:color w:val="auto"/>
          <w:sz w:val="24"/>
          <w:highlight w:val="none"/>
        </w:rPr>
        <w:t>6、评标、定标</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6.1评标委员会组成</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6.1.1评标委员会由招标人组织相关专家和其他人员组成。</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6.1.2评标委员会在评标时独立开展工作，负责评审所有投标文件，并根据评标办法推荐中标候选人。</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6.1.3评标委员会决定投标文件的响应性只根据投标文件本身的内容，而不寻求外部的证据。</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6.1.5招标人根据评标委员会推荐的中标候选人，确定排名第一的中标候选人为中标人。</w:t>
      </w:r>
    </w:p>
    <w:p>
      <w:pPr>
        <w:spacing w:line="500" w:lineRule="exact"/>
        <w:ind w:left="-1" w:firstLine="480" w:firstLineChars="200"/>
        <w:rPr>
          <w:rFonts w:ascii="宋体" w:hAnsi="宋体" w:cs="宋体"/>
          <w:b/>
          <w:bCs/>
          <w:color w:val="auto"/>
          <w:sz w:val="24"/>
          <w:highlight w:val="none"/>
        </w:rPr>
      </w:pPr>
      <w:r>
        <w:rPr>
          <w:rFonts w:hint="eastAsia" w:ascii="宋体" w:hAnsi="宋体" w:cs="宋体"/>
          <w:b/>
          <w:bCs/>
          <w:color w:val="auto"/>
          <w:sz w:val="24"/>
          <w:highlight w:val="none"/>
        </w:rPr>
        <w:t>7、评标结果公示</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招标人应当自收到评标报告之日起3日内在招标公告发布媒介上发布评标结果公示表，公示期不得少于3日。</w:t>
      </w:r>
    </w:p>
    <w:p>
      <w:pPr>
        <w:spacing w:line="500" w:lineRule="exact"/>
        <w:ind w:left="-1" w:firstLine="480" w:firstLineChars="200"/>
        <w:rPr>
          <w:rFonts w:ascii="宋体" w:hAnsi="宋体" w:cs="宋体"/>
          <w:b/>
          <w:bCs/>
          <w:color w:val="auto"/>
          <w:sz w:val="24"/>
          <w:highlight w:val="none"/>
        </w:rPr>
      </w:pPr>
      <w:r>
        <w:rPr>
          <w:rFonts w:hint="eastAsia" w:ascii="宋体" w:hAnsi="宋体" w:cs="宋体"/>
          <w:b/>
          <w:bCs/>
          <w:color w:val="auto"/>
          <w:sz w:val="24"/>
          <w:highlight w:val="none"/>
        </w:rPr>
        <w:t>8、中标通知</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left="-1" w:firstLine="480" w:firstLineChars="200"/>
        <w:rPr>
          <w:rFonts w:ascii="宋体" w:hAnsi="宋体" w:cs="宋体"/>
          <w:b/>
          <w:bCs/>
          <w:color w:val="auto"/>
          <w:sz w:val="24"/>
          <w:highlight w:val="none"/>
        </w:rPr>
      </w:pPr>
      <w:r>
        <w:rPr>
          <w:rFonts w:hint="eastAsia" w:ascii="宋体" w:hAnsi="宋体" w:cs="宋体"/>
          <w:b/>
          <w:bCs/>
          <w:color w:val="auto"/>
          <w:sz w:val="24"/>
          <w:highlight w:val="none"/>
        </w:rPr>
        <w:t>9、授予合同</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9.1招标人和中标人应当自《中标通知书》发出之日起15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left="-1" w:firstLine="480" w:firstLineChars="200"/>
        <w:rPr>
          <w:rFonts w:ascii="宋体" w:hAnsi="宋体" w:cs="宋体"/>
          <w:b/>
          <w:bCs/>
          <w:color w:val="auto"/>
          <w:sz w:val="24"/>
          <w:highlight w:val="none"/>
        </w:rPr>
      </w:pPr>
      <w:r>
        <w:rPr>
          <w:rFonts w:hint="eastAsia" w:ascii="宋体" w:hAnsi="宋体" w:cs="宋体"/>
          <w:b/>
          <w:bCs/>
          <w:color w:val="auto"/>
          <w:sz w:val="24"/>
          <w:highlight w:val="none"/>
        </w:rPr>
        <w:t>10、其他</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10.1</w:t>
      </w:r>
      <w:r>
        <w:rPr>
          <w:rFonts w:hint="eastAsia" w:ascii="宋体" w:hAnsi="宋体" w:cs="宋体"/>
          <w:b/>
          <w:bCs/>
          <w:color w:val="auto"/>
          <w:sz w:val="24"/>
          <w:highlight w:val="none"/>
        </w:rPr>
        <w:t>中标结果在网上公示后，投标人或者其他利害关系人对依法必须进行招标的项目的评标结果有异议的（异议书格式详见附件），应当在中标候选人公示期间提出。</w:t>
      </w:r>
      <w:r>
        <w:rPr>
          <w:rFonts w:hint="eastAsia" w:ascii="宋体" w:hAnsi="宋体" w:cs="宋体"/>
          <w:color w:val="auto"/>
          <w:sz w:val="24"/>
          <w:highlight w:val="none"/>
        </w:rPr>
        <w:t>除原件外，所有的投标文件均不予退还，请投标人另行存档备份。</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10.2招投标相关单位及个人在招投标活动中存在以下10.2.1以及10.2.2条失信行为的，在“江苏省建设工程招标网”公示期间，本项目的招标人拒绝其投标。</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10.2.1 招投标各方主体及个人在招投标活动中违反法律法规和规章规定受到行政处罚的，公示不少于3个月。</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10.2.2投标人在招投标活动中出现如下失信行为，公示1-3个月：</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（3）企业一年内4次在全省投诉反映情况不属实，缺乏事实或法律依据的，公示1个月；</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（4）投诉人故意捏造事实、伪造证明材料的，或者以非法手段取得证明材料等进行恶意投诉的，公示3个月。</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10.3投标须知以及答疑文件、补充通知对本条款作出补充调整的，从其规定。</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10.4本条款未尽事宜，按国家和省有关法律、法规规定处理。</w:t>
      </w:r>
    </w:p>
    <w:p>
      <w:pPr>
        <w:spacing w:line="500" w:lineRule="exact"/>
        <w:ind w:firstLine="560" w:firstLineChars="200"/>
        <w:jc w:val="center"/>
        <w:rPr>
          <w:rFonts w:ascii="宋体" w:hAnsi="宋体" w:cs="宋体"/>
          <w:b/>
          <w:color w:val="auto"/>
          <w:sz w:val="44"/>
          <w:szCs w:val="44"/>
          <w:highlight w:val="none"/>
        </w:rPr>
      </w:pPr>
      <w:r>
        <w:rPr>
          <w:rFonts w:hint="eastAsia" w:ascii="宋体" w:hAnsi="宋体" w:cs="宋体"/>
          <w:b/>
          <w:color w:val="auto"/>
          <w:sz w:val="28"/>
          <w:szCs w:val="28"/>
          <w:highlight w:val="none"/>
        </w:rPr>
        <w:br w:type="page"/>
      </w:r>
      <w:r>
        <w:rPr>
          <w:rFonts w:hint="eastAsia" w:ascii="宋体" w:hAnsi="宋体" w:cs="宋体"/>
          <w:b/>
          <w:color w:val="auto"/>
          <w:sz w:val="44"/>
          <w:szCs w:val="44"/>
          <w:highlight w:val="none"/>
        </w:rPr>
        <w:t>第六部分  合同主要条款</w:t>
      </w:r>
    </w:p>
    <w:p>
      <w:pPr>
        <w:spacing w:line="500" w:lineRule="exact"/>
        <w:ind w:firstLine="480" w:firstLineChars="200"/>
        <w:rPr>
          <w:rFonts w:ascii="宋体" w:hAnsi="宋体" w:cs="宋体"/>
          <w:b/>
          <w:color w:val="auto"/>
          <w:sz w:val="24"/>
          <w:highlight w:val="none"/>
        </w:rPr>
      </w:pP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发包人：</w:t>
      </w:r>
      <w:r>
        <w:rPr>
          <w:rFonts w:hint="eastAsia" w:ascii="宋体" w:hAnsi="宋体" w:cs="宋体"/>
          <w:b/>
          <w:color w:val="auto"/>
          <w:sz w:val="24"/>
          <w:highlight w:val="none"/>
          <w:u w:val="single"/>
        </w:rPr>
        <w:t>即招标人</w:t>
      </w:r>
    </w:p>
    <w:p>
      <w:pPr>
        <w:spacing w:line="500" w:lineRule="exact"/>
        <w:ind w:firstLine="480" w:firstLineChars="200"/>
        <w:rPr>
          <w:rFonts w:ascii="宋体" w:hAnsi="宋体" w:cs="宋体"/>
          <w:b/>
          <w:color w:val="auto"/>
          <w:sz w:val="24"/>
          <w:highlight w:val="none"/>
          <w:u w:val="single"/>
        </w:rPr>
      </w:pPr>
      <w:r>
        <w:rPr>
          <w:rFonts w:hint="eastAsia" w:ascii="宋体" w:hAnsi="宋体" w:cs="宋体"/>
          <w:b/>
          <w:color w:val="auto"/>
          <w:sz w:val="24"/>
          <w:highlight w:val="none"/>
        </w:rPr>
        <w:t>承包人：</w:t>
      </w:r>
      <w:r>
        <w:rPr>
          <w:rFonts w:hint="eastAsia" w:ascii="宋体" w:hAnsi="宋体" w:cs="宋体"/>
          <w:b/>
          <w:color w:val="auto"/>
          <w:sz w:val="24"/>
          <w:highlight w:val="none"/>
          <w:u w:val="single"/>
        </w:rPr>
        <w:t>即中标人</w:t>
      </w: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1、合同价</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合同价的签</w:t>
      </w:r>
      <w:r>
        <w:rPr>
          <w:rFonts w:hint="eastAsia" w:ascii="宋体" w:hAnsi="宋体" w:cs="宋体"/>
          <w:color w:val="auto"/>
          <w:sz w:val="24"/>
          <w:highlight w:val="none"/>
          <w:lang w:val="en-US" w:eastAsia="zh-CN"/>
        </w:rPr>
        <w:t>订</w:t>
      </w:r>
      <w:r>
        <w:rPr>
          <w:rFonts w:hint="eastAsia" w:ascii="宋体" w:hAnsi="宋体" w:cs="宋体"/>
          <w:color w:val="auto"/>
          <w:sz w:val="24"/>
          <w:highlight w:val="none"/>
        </w:rPr>
        <w:t>必须与中标价一致</w:t>
      </w: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2、承包方式</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包工包料</w:t>
      </w: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3、承包范围</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详见投标须知前附表</w:t>
      </w: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4、履约担保</w:t>
      </w:r>
    </w:p>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本工程履约保证金为中标价的</w:t>
      </w:r>
      <w:r>
        <w:rPr>
          <w:rFonts w:hint="eastAsia" w:ascii="宋体" w:hAnsi="宋体" w:cs="宋体"/>
          <w:color w:val="auto"/>
          <w:sz w:val="24"/>
          <w:highlight w:val="none"/>
          <w:u w:val="single"/>
        </w:rPr>
        <w:t>5 %</w:t>
      </w:r>
      <w:r>
        <w:rPr>
          <w:rFonts w:hint="eastAsia" w:ascii="宋体" w:hAnsi="宋体" w:cs="宋体"/>
          <w:color w:val="auto"/>
          <w:sz w:val="24"/>
          <w:highlight w:val="none"/>
        </w:rPr>
        <w:t>。承包人应自中标人结果公示之日起7 日内将履约保证金以转帐、电汇或银行汇票或银行保函形式汇转至发包人指定帐户。</w:t>
      </w:r>
      <w:r>
        <w:rPr>
          <w:rFonts w:hint="eastAsia" w:ascii="宋体" w:hAnsi="宋体" w:cs="宋体"/>
          <w:b/>
          <w:color w:val="auto"/>
          <w:sz w:val="24"/>
          <w:highlight w:val="none"/>
        </w:rPr>
        <w:t>如未按规定时间、方式缴纳履约保证金的，发包人有权取消其中标资格。</w:t>
      </w:r>
    </w:p>
    <w:p>
      <w:pPr>
        <w:spacing w:line="500" w:lineRule="exact"/>
        <w:ind w:left="-1" w:firstLine="480" w:firstLineChars="200"/>
        <w:rPr>
          <w:rFonts w:ascii="宋体" w:hAnsi="宋体" w:cs="宋体"/>
          <w:b/>
          <w:color w:val="auto"/>
          <w:sz w:val="24"/>
          <w:highlight w:val="none"/>
        </w:rPr>
      </w:pPr>
      <w:r>
        <w:rPr>
          <w:rFonts w:hint="eastAsia" w:ascii="宋体" w:hAnsi="宋体" w:cs="宋体"/>
          <w:b/>
          <w:color w:val="auto"/>
          <w:sz w:val="24"/>
          <w:highlight w:val="none"/>
        </w:rPr>
        <w:t>5、项目组成员</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6、合同工期</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6.1合同工期自发包人通知开工之日起</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日历天内全部通过竣工验收合格并交付使用。</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6.2承包人应按照投标文件承诺的工期确保工程验收，不得以任何借口停工怠工，如因承包人原因延误工期的，承包人应承担违约责任，按每拖延一天向发包人支付2000元的违约金，如连续拖延达一周及以上的，发包人有权单方面解除合同，已完合格工程量按其70%结算。如因发包人原因并且符合工程工期顺延的情况，经监理或发包人签证确认后顺延。</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6.3实际开工日期以发包人发出的“开工通知书”为准。</w:t>
      </w: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7、 质量标准</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7.1合同质量标准以承包人投标时承诺的质量标准为准。</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7.2如达不到合同质量标准，承包人必须无偿整改达标准。否则，承担违约责任。非招标人原因，质量整改期间工期不予顺延。</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8、材料设备供应</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8.1除招标文件中《发包人提供材料和工程设备一览表》中的材料为招标人供应外，其余材料均由中标人组织采购，凡由承包人采购的材料，承包人应按照设计和有关标准及招标文件要求采购，向发包人提供质量保证书、出厂合格证及现场抽样报告等证明材料，对材料质量负责。如不符合质量及相关规定要求或规格有差异的，应禁止使用。承包人采购的材料设备与设计或标准要求不符时，承包人应按发包人要求的时间运出施工场地，重新采购符合要求的产品，并承担由此发生的费用，由此延误的工期不予顺延。若已使用，对工程造成的损失由承包人负责。</w:t>
      </w: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9、工程付款</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9.1工程款指合同价（即中标价）扣除暂列金额后的工程价款。具体付款幅度如下：</w:t>
      </w:r>
    </w:p>
    <w:p>
      <w:pPr>
        <w:spacing w:line="500" w:lineRule="exact"/>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工程结束全部验收合格，审计结束后付至审计总价的90%，余款在</w:t>
      </w:r>
      <w:r>
        <w:rPr>
          <w:rFonts w:hint="eastAsia" w:ascii="宋体" w:hAnsi="宋体" w:cs="宋体"/>
          <w:color w:val="auto"/>
          <w:sz w:val="24"/>
          <w:highlight w:val="none"/>
          <w:lang w:val="en-US" w:eastAsia="zh-CN"/>
        </w:rPr>
        <w:t>两年</w:t>
      </w:r>
      <w:r>
        <w:rPr>
          <w:rFonts w:hint="eastAsia" w:ascii="宋体" w:hAnsi="宋体" w:eastAsia="宋体" w:cs="宋体"/>
          <w:color w:val="auto"/>
          <w:sz w:val="24"/>
          <w:highlight w:val="none"/>
          <w:lang w:val="en-US" w:eastAsia="zh-CN"/>
        </w:rPr>
        <w:t>质保期满且无质量问题后付清</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承包人须出具与其营业执照名称相一致的正规发票。</w:t>
      </w: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10、合同定价方式与工程结算</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10.1 本项目采用固定全费用单价合同，合同实施过程中风险范围内中标全费用单价不作调整。</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10.2 结算价=中标全费用综合单价×经审计的招标范围内经验收合格的实际工作量。</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无论招标时图纸、工程量清单中项目特征描述、招标文件中规定的技术要求是否准确，承包人的全费用综合单价报价应为完成施工图纸、发包人要求和工程量清单的全部内容，若无相关设计变更，中标的全费用综合单价不予调整，工程量按实际完成工程量结算。最终以审计部门审查确认后的工程竣工结算价为准。</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本工程施工过程中遇到的地方矛盾及由此发生的费用由承包人自行负责。</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工程所发生施工、生活、消防用水、用电由承包人自行解决并承担相关费用。</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承包人应在发包人确认的完工日之日起28日内编制并向发包人报送工程结算进行审核。</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施工期间部分材料市场价格发生变化超出一度幅度时的风险约定：不调整，均由承包人承担。</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10.3以上关于合同定价与结算方式条款中未尽事宜由双方依据《建设工程工程量清单计价规范》（GB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11、安全文明施工与环境保护</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（1）承包人在施工过程中应严格执行国家、省、市、行业主</w:t>
      </w:r>
      <w:bookmarkStart w:id="6" w:name="OLE_LINK7"/>
      <w:r>
        <w:rPr>
          <w:rFonts w:hint="eastAsia" w:ascii="宋体" w:hAnsi="宋体" w:cs="宋体"/>
          <w:color w:val="auto"/>
          <w:sz w:val="24"/>
          <w:highlight w:val="none"/>
        </w:rPr>
        <w:t>管</w:t>
      </w:r>
      <w:bookmarkEnd w:id="6"/>
      <w:r>
        <w:rPr>
          <w:rFonts w:hint="eastAsia" w:ascii="宋体" w:hAnsi="宋体" w:cs="宋体"/>
          <w:color w:val="auto"/>
          <w:sz w:val="24"/>
          <w:highlight w:val="none"/>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（2）施工工作面内所有现场清理、矛盾协调处理等含在合同价内，结算时不予调整。如打扫不到位，发包人有权直接安排第三方打扫，费用从承包人的履约保证金中直接扣付。</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（3）施工过程中应确保沿线单位、小区居民的临时出行和正常的生产生活</w:t>
      </w:r>
      <w:bookmarkStart w:id="7" w:name="OLE_LINK8"/>
      <w:r>
        <w:rPr>
          <w:rFonts w:hint="eastAsia" w:ascii="宋体" w:hAnsi="宋体" w:cs="宋体"/>
          <w:color w:val="auto"/>
          <w:sz w:val="24"/>
          <w:highlight w:val="none"/>
        </w:rPr>
        <w:t>秩序</w:t>
      </w:r>
      <w:bookmarkEnd w:id="7"/>
      <w:r>
        <w:rPr>
          <w:rFonts w:hint="eastAsia" w:ascii="宋体" w:hAnsi="宋体" w:cs="宋体"/>
          <w:color w:val="auto"/>
          <w:sz w:val="24"/>
          <w:highlight w:val="none"/>
        </w:rPr>
        <w:t>，协调处理好相关矛盾，费用由承包人自行负责。</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（4）因施工安全所需设置的各种警示标牌、警示灯、施工现场围护、导行交通、安全防护等措施费用由承包人自行负责。</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（5）工程施工过程中遇到的地方矛盾及由此发生的费用由承包人自行负责。</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（6）施工过程中如因承包人造成周边地上、地下附作物等损坏，均由承包人自行负责赔偿。</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（7）工程质量、工期、现场安全文明施工等的管理按现行有关规范标准以及发包人为强化项目管理所制定的各项管理制度执行，相关管理规定如有调整应按最新文件执行，费用均由中标人承担。</w:t>
      </w: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12、安全施工</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12.1此工程必须确保安全，若发生不安全问题，由中标人自行负责处理并承担一切责任。</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w:t>
      </w:r>
      <w:r>
        <w:rPr>
          <w:rFonts w:hint="eastAsia" w:ascii="宋体" w:hAnsi="宋体" w:eastAsia="宋体" w:cs="宋体"/>
          <w:color w:val="auto"/>
          <w:sz w:val="24"/>
          <w:highlight w:val="none"/>
        </w:rPr>
        <w:t>按规定及时上报有关部门并通知发包人，同时按相关规定处理。</w:t>
      </w:r>
    </w:p>
    <w:p>
      <w:pPr>
        <w:spacing w:line="500" w:lineRule="exact"/>
        <w:ind w:left="-1"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12.5必须严格按照国家、地方颁发的建筑工程规范标准等进行施工，并接受学校现场派驻代表的监督。</w:t>
      </w:r>
    </w:p>
    <w:p>
      <w:pPr>
        <w:spacing w:line="5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13、缺陷责任和保修责任</w:t>
      </w:r>
    </w:p>
    <w:p>
      <w:pPr>
        <w:spacing w:line="500" w:lineRule="exact"/>
        <w:ind w:left="-1" w:firstLine="480" w:firstLineChars="200"/>
        <w:rPr>
          <w:rFonts w:ascii="宋体" w:hAnsi="宋体" w:cs="宋体"/>
          <w:b/>
          <w:color w:val="auto"/>
          <w:sz w:val="24"/>
          <w:highlight w:val="none"/>
        </w:rPr>
      </w:pPr>
      <w:r>
        <w:rPr>
          <w:rFonts w:hint="eastAsia" w:ascii="宋体" w:hAnsi="宋体" w:cs="宋体"/>
          <w:b/>
          <w:color w:val="auto"/>
          <w:sz w:val="24"/>
          <w:highlight w:val="none"/>
        </w:rPr>
        <w:t>13.1缺陷责任</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13.1.1本项目缺陷责任期为</w:t>
      </w:r>
      <w:r>
        <w:rPr>
          <w:rFonts w:hint="eastAsia" w:ascii="宋体" w:hAnsi="宋体" w:cs="宋体"/>
          <w:color w:val="auto"/>
          <w:sz w:val="24"/>
          <w:highlight w:val="none"/>
          <w:u w:val="single"/>
        </w:rPr>
        <w:t>24</w:t>
      </w:r>
      <w:r>
        <w:rPr>
          <w:rFonts w:hint="eastAsia" w:ascii="宋体" w:hAnsi="宋体" w:cs="宋体"/>
          <w:color w:val="auto"/>
          <w:sz w:val="24"/>
          <w:highlight w:val="none"/>
        </w:rPr>
        <w:t>个月。</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 xml:space="preserve">13.1.2中标人应在缺陷责任期内对已交付使用的工程承担缺陷责任。 </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13.1.3缺陷责任期内，招标人对已接收使用的工程负责日常维护工作。</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13.1.5其他关于缺陷责任的有关约定由合同双方根据现行有关规定执行。</w:t>
      </w:r>
    </w:p>
    <w:p>
      <w:pPr>
        <w:spacing w:line="500" w:lineRule="exact"/>
        <w:ind w:left="478" w:leftChars="228"/>
        <w:rPr>
          <w:rFonts w:ascii="宋体" w:hAnsi="宋体" w:cs="宋体"/>
          <w:b/>
          <w:color w:val="auto"/>
          <w:sz w:val="24"/>
          <w:highlight w:val="none"/>
        </w:rPr>
      </w:pPr>
      <w:r>
        <w:rPr>
          <w:rFonts w:hint="eastAsia" w:ascii="宋体" w:hAnsi="宋体" w:cs="宋体"/>
          <w:b/>
          <w:color w:val="auto"/>
          <w:sz w:val="24"/>
          <w:highlight w:val="none"/>
        </w:rPr>
        <w:t>13.2保修责任</w:t>
      </w:r>
    </w:p>
    <w:p>
      <w:pPr>
        <w:spacing w:line="500" w:lineRule="exact"/>
        <w:ind w:firstLine="470" w:firstLineChars="196"/>
        <w:rPr>
          <w:rFonts w:ascii="宋体" w:hAnsi="宋体" w:cs="宋体"/>
          <w:color w:val="auto"/>
          <w:sz w:val="24"/>
          <w:highlight w:val="none"/>
        </w:rPr>
      </w:pPr>
      <w:r>
        <w:rPr>
          <w:rFonts w:hint="eastAsia" w:ascii="宋体" w:hAnsi="宋体" w:cs="宋体"/>
          <w:color w:val="auto"/>
          <w:sz w:val="24"/>
          <w:highlight w:val="none"/>
        </w:rPr>
        <w:t>13.2.1本项目质量保修范围、期限和责任由合同双方在合同条款中具体约定。</w:t>
      </w:r>
    </w:p>
    <w:p>
      <w:pPr>
        <w:spacing w:line="500" w:lineRule="exact"/>
        <w:ind w:firstLine="470" w:firstLineChars="196"/>
        <w:rPr>
          <w:rFonts w:ascii="宋体" w:hAnsi="宋体" w:cs="宋体"/>
          <w:color w:val="auto"/>
          <w:sz w:val="24"/>
          <w:highlight w:val="none"/>
        </w:rPr>
      </w:pPr>
      <w:r>
        <w:rPr>
          <w:rFonts w:hint="eastAsia" w:ascii="宋体" w:hAnsi="宋体" w:cs="宋体"/>
          <w:color w:val="auto"/>
          <w:sz w:val="24"/>
          <w:highlight w:val="none"/>
        </w:rPr>
        <w:t>13.2.2合同双方质量保修范围、期限和责任的约定应不低于《建设工程质量管理条例》（国务院令第279号）和《房屋建筑工程质量保修办法》（建设部令第80号）中规定的最低标准和要求。</w:t>
      </w:r>
    </w:p>
    <w:p>
      <w:pPr>
        <w:spacing w:line="52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13.2.3</w:t>
      </w:r>
      <w:r>
        <w:rPr>
          <w:rFonts w:hint="eastAsia" w:ascii="宋体" w:hAnsi="宋体" w:cs="宋体"/>
          <w:color w:val="auto"/>
          <w:sz w:val="24"/>
          <w:highlight w:val="none"/>
          <w:lang w:val="en-US" w:eastAsia="zh-CN"/>
        </w:rPr>
        <w:t>本项目</w:t>
      </w:r>
      <w:r>
        <w:rPr>
          <w:rFonts w:hint="eastAsia" w:ascii="宋体" w:hAnsi="宋体" w:cs="宋体"/>
          <w:color w:val="auto"/>
          <w:sz w:val="24"/>
          <w:highlight w:val="none"/>
          <w:lang w:eastAsia="zh-CN"/>
        </w:rPr>
        <w:t>质保期</w:t>
      </w:r>
      <w:r>
        <w:rPr>
          <w:rFonts w:hint="eastAsia" w:ascii="宋体" w:hAnsi="宋体" w:cs="宋体"/>
          <w:color w:val="auto"/>
          <w:sz w:val="24"/>
          <w:highlight w:val="none"/>
          <w:u w:val="single"/>
          <w:lang w:val="en-US" w:eastAsia="zh-CN"/>
        </w:rPr>
        <w:t xml:space="preserve"> 2 年</w:t>
      </w:r>
      <w:r>
        <w:rPr>
          <w:rFonts w:hint="eastAsia" w:ascii="宋体" w:hAnsi="宋体" w:cs="宋体"/>
          <w:color w:val="auto"/>
          <w:sz w:val="24"/>
          <w:highlight w:val="none"/>
          <w:u w:val="none"/>
          <w:lang w:val="en-US" w:eastAsia="zh-CN"/>
        </w:rPr>
        <w:t>，</w:t>
      </w:r>
      <w:r>
        <w:rPr>
          <w:rFonts w:hint="eastAsia" w:ascii="宋体" w:hAnsi="宋体" w:cs="宋体"/>
          <w:color w:val="auto"/>
          <w:sz w:val="24"/>
          <w:highlight w:val="none"/>
          <w:lang w:eastAsia="zh-CN"/>
        </w:rPr>
        <w:t>自项目验收合格之日起计算。</w:t>
      </w:r>
      <w:r>
        <w:rPr>
          <w:rFonts w:hint="eastAsia" w:ascii="宋体" w:hAnsi="宋体" w:cs="宋体"/>
          <w:color w:val="auto"/>
          <w:sz w:val="24"/>
          <w:highlight w:val="none"/>
          <w:lang w:val="en-US" w:eastAsia="zh-CN"/>
        </w:rPr>
        <w:t>质保应包括所有更换的静电地板、电源线、网线、电源插座维修等项目</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承包人</w:t>
      </w:r>
      <w:r>
        <w:rPr>
          <w:rFonts w:hint="eastAsia" w:ascii="宋体" w:hAnsi="宋体" w:cs="宋体"/>
          <w:color w:val="auto"/>
          <w:sz w:val="24"/>
          <w:highlight w:val="none"/>
          <w:lang w:eastAsia="zh-CN"/>
        </w:rPr>
        <w:t>应在接到维修请求后的24小时内提供响应，并在48小时内派遣技术人员到达现场进行维修服务。对于在质保期内发现的任何缺陷或故障，</w:t>
      </w:r>
      <w:r>
        <w:rPr>
          <w:rFonts w:hint="eastAsia" w:ascii="宋体" w:hAnsi="宋体" w:cs="宋体"/>
          <w:color w:val="auto"/>
          <w:sz w:val="24"/>
          <w:highlight w:val="none"/>
          <w:lang w:val="en-US" w:eastAsia="zh-CN"/>
        </w:rPr>
        <w:t>承包人</w:t>
      </w:r>
      <w:r>
        <w:rPr>
          <w:rFonts w:hint="eastAsia" w:ascii="宋体" w:hAnsi="宋体" w:cs="宋体"/>
          <w:color w:val="auto"/>
          <w:sz w:val="24"/>
          <w:highlight w:val="none"/>
          <w:lang w:eastAsia="zh-CN"/>
        </w:rPr>
        <w:t>应免费提供更换或修复服务。</w:t>
      </w:r>
    </w:p>
    <w:p>
      <w:pPr>
        <w:spacing w:line="52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13.2.4承包人</w:t>
      </w:r>
      <w:r>
        <w:rPr>
          <w:rFonts w:hint="eastAsia" w:ascii="宋体" w:hAnsi="宋体" w:cs="宋体"/>
          <w:color w:val="auto"/>
          <w:sz w:val="24"/>
          <w:highlight w:val="none"/>
          <w:lang w:eastAsia="zh-CN"/>
        </w:rPr>
        <w:t>应保证在质保期内及之后的1年内，以不高于市场平均价格提供所需的备件。</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13.2.5承包人</w:t>
      </w:r>
      <w:r>
        <w:rPr>
          <w:rFonts w:hint="eastAsia" w:ascii="宋体" w:hAnsi="宋体" w:cs="宋体"/>
          <w:color w:val="auto"/>
          <w:sz w:val="24"/>
          <w:highlight w:val="none"/>
          <w:lang w:eastAsia="zh-CN"/>
        </w:rPr>
        <w:t>应在项目交付时提供详细的质保证明文件，包括质保期限、范围、服务承诺等</w:t>
      </w:r>
      <w:r>
        <w:rPr>
          <w:rFonts w:hint="eastAsia" w:ascii="宋体" w:hAnsi="宋体" w:cs="宋体"/>
          <w:color w:val="auto"/>
          <w:sz w:val="24"/>
          <w:highlight w:val="none"/>
        </w:rPr>
        <w:t>。</w:t>
      </w:r>
    </w:p>
    <w:p>
      <w:pPr>
        <w:spacing w:line="500" w:lineRule="exact"/>
        <w:ind w:firstLine="480" w:firstLineChars="200"/>
        <w:rPr>
          <w:rFonts w:ascii="宋体" w:hAnsi="宋体" w:cs="宋体"/>
          <w:b/>
          <w:bCs/>
          <w:color w:val="auto"/>
          <w:sz w:val="24"/>
          <w:highlight w:val="none"/>
        </w:rPr>
      </w:pPr>
      <w:r>
        <w:rPr>
          <w:rFonts w:hint="eastAsia" w:ascii="宋体" w:hAnsi="宋体" w:cs="宋体"/>
          <w:b/>
          <w:bCs/>
          <w:color w:val="auto"/>
          <w:sz w:val="24"/>
          <w:highlight w:val="none"/>
        </w:rPr>
        <w:t>14、工程分包</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w:t>
      </w:r>
      <w:r>
        <w:rPr>
          <w:rFonts w:hint="eastAsia" w:ascii="宋体" w:hAnsi="宋体" w:cs="宋体"/>
          <w:color w:val="auto"/>
          <w:sz w:val="24"/>
          <w:highlight w:val="none"/>
          <w:lang w:val="en-US" w:eastAsia="zh-CN"/>
        </w:rPr>
        <w:t>承包人必须使用自己的员工提供所有服务，不得将项目外包给第三方。</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14.2中标人不得将工程进行转包和违法分包，若发现中标人擅自进行转包和违法分包，招标人有权解除合同，并要求中标人支付违约金。</w:t>
      </w:r>
    </w:p>
    <w:p>
      <w:pPr>
        <w:spacing w:line="520" w:lineRule="exact"/>
        <w:ind w:firstLine="480" w:firstLineChars="200"/>
        <w:rPr>
          <w:rFonts w:ascii="宋体" w:hAnsi="宋体" w:cs="宋体"/>
          <w:b/>
          <w:bCs/>
          <w:color w:val="auto"/>
          <w:sz w:val="24"/>
          <w:highlight w:val="none"/>
        </w:rPr>
      </w:pPr>
      <w:r>
        <w:rPr>
          <w:rFonts w:hint="eastAsia" w:ascii="宋体" w:hAnsi="宋体" w:cs="宋体"/>
          <w:b/>
          <w:bCs/>
          <w:color w:val="auto"/>
          <w:sz w:val="24"/>
          <w:highlight w:val="none"/>
        </w:rPr>
        <w:t>15、工程审计</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工程结算报审约定：</w:t>
      </w:r>
    </w:p>
    <w:p>
      <w:pPr>
        <w:numPr>
          <w:ilvl w:val="0"/>
          <w:numId w:val="1"/>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单项工程核减率超过10%的，其审计费用全部由投标人承担，并由招标人从投标人工程款中扣除（下同）；</w:t>
      </w:r>
    </w:p>
    <w:p>
      <w:pPr>
        <w:numPr>
          <w:ilvl w:val="0"/>
          <w:numId w:val="1"/>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单项工程核减率在8%-10%（含10%）之间的，其审计费用由招标人承担20%，投标人承担80%；</w:t>
      </w:r>
    </w:p>
    <w:p>
      <w:pPr>
        <w:numPr>
          <w:ilvl w:val="0"/>
          <w:numId w:val="1"/>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单项工程核减率在5%-8%（含8%）之间的，其审计费用由投标人承担20%，招标人承担80%；</w:t>
      </w:r>
    </w:p>
    <w:p>
      <w:pPr>
        <w:spacing w:line="520" w:lineRule="exact"/>
        <w:ind w:left="420" w:leftChars="200"/>
        <w:rPr>
          <w:rFonts w:ascii="宋体" w:hAnsi="宋体" w:cs="宋体"/>
          <w:color w:val="auto"/>
          <w:highlight w:val="none"/>
        </w:rPr>
      </w:pPr>
      <w:r>
        <w:rPr>
          <w:rFonts w:hint="eastAsia" w:ascii="宋体" w:hAnsi="宋体" w:cs="宋体"/>
          <w:color w:val="auto"/>
          <w:sz w:val="24"/>
          <w:highlight w:val="none"/>
        </w:rPr>
        <w:t>（四）单项工程核减率在5%及其以下的，其审计费用由招标人承担。</w:t>
      </w:r>
    </w:p>
    <w:p>
      <w:pPr>
        <w:spacing w:line="500" w:lineRule="exact"/>
        <w:ind w:firstLine="480" w:firstLineChars="200"/>
        <w:rPr>
          <w:rFonts w:ascii="宋体" w:hAnsi="宋体" w:cs="宋体"/>
          <w:b/>
          <w:bCs/>
          <w:color w:val="auto"/>
          <w:sz w:val="24"/>
          <w:highlight w:val="none"/>
        </w:rPr>
      </w:pPr>
      <w:r>
        <w:rPr>
          <w:rFonts w:hint="eastAsia" w:ascii="宋体" w:hAnsi="宋体" w:cs="宋体"/>
          <w:b/>
          <w:bCs/>
          <w:color w:val="auto"/>
          <w:sz w:val="24"/>
          <w:highlight w:val="none"/>
        </w:rPr>
        <w:t>16、违约责任</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合同生效后，招标人或中标人如有违约，应按《中华人民共和国</w:t>
      </w:r>
      <w:r>
        <w:rPr>
          <w:rFonts w:hint="eastAsia" w:ascii="宋体" w:hAnsi="宋体" w:cs="宋体"/>
          <w:color w:val="auto"/>
          <w:sz w:val="24"/>
          <w:highlight w:val="none"/>
          <w:lang w:val="en-US" w:eastAsia="zh-CN"/>
        </w:rPr>
        <w:t>民法典</w:t>
      </w:r>
      <w:r>
        <w:rPr>
          <w:rFonts w:hint="eastAsia" w:ascii="宋体" w:hAnsi="宋体" w:cs="宋体"/>
          <w:color w:val="auto"/>
          <w:sz w:val="24"/>
          <w:highlight w:val="none"/>
        </w:rPr>
        <w:t>》承担其违约责任，赔偿因其违约给对方造成的损失。赔偿损失的计算方法或者约定支付违约金的数额和计算方法由合同双方在合同中具体约定。</w:t>
      </w:r>
    </w:p>
    <w:p>
      <w:pPr>
        <w:spacing w:line="500" w:lineRule="exact"/>
        <w:ind w:firstLine="480" w:firstLineChars="200"/>
        <w:rPr>
          <w:rFonts w:ascii="宋体" w:hAnsi="宋体" w:cs="宋体"/>
          <w:b/>
          <w:bCs/>
          <w:color w:val="auto"/>
          <w:sz w:val="24"/>
          <w:highlight w:val="none"/>
        </w:rPr>
      </w:pPr>
      <w:r>
        <w:rPr>
          <w:rFonts w:hint="eastAsia" w:ascii="宋体" w:hAnsi="宋体" w:cs="宋体"/>
          <w:b/>
          <w:bCs/>
          <w:color w:val="auto"/>
          <w:sz w:val="24"/>
          <w:highlight w:val="none"/>
        </w:rPr>
        <w:t>17、其他</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17.1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spacing w:line="500" w:lineRule="exact"/>
        <w:ind w:left="-1" w:firstLine="480" w:firstLineChars="200"/>
        <w:rPr>
          <w:rFonts w:ascii="宋体" w:hAnsi="宋体" w:cs="宋体"/>
          <w:b/>
          <w:bCs/>
          <w:color w:val="auto"/>
          <w:sz w:val="24"/>
          <w:highlight w:val="none"/>
        </w:rPr>
      </w:pPr>
      <w:r>
        <w:rPr>
          <w:rFonts w:hint="eastAsia" w:ascii="宋体" w:hAnsi="宋体" w:cs="宋体"/>
          <w:color w:val="auto"/>
          <w:sz w:val="24"/>
          <w:highlight w:val="none"/>
        </w:rPr>
        <w:t>17.2 本项目</w:t>
      </w:r>
      <w:r>
        <w:rPr>
          <w:rFonts w:hint="eastAsia" w:ascii="宋体" w:hAnsi="宋体" w:cs="宋体"/>
          <w:b/>
          <w:bCs/>
          <w:color w:val="auto"/>
          <w:sz w:val="24"/>
          <w:highlight w:val="none"/>
        </w:rPr>
        <w:t>施工过程中遇到的一切地方矛盾及由此发生的费用与招标人无涉，均由中标人自行负责，并在投标报价中考虑。</w:t>
      </w:r>
    </w:p>
    <w:p>
      <w:pPr>
        <w:spacing w:line="500" w:lineRule="exact"/>
        <w:ind w:left="-1" w:firstLine="480" w:firstLineChars="200"/>
        <w:rPr>
          <w:rFonts w:ascii="宋体" w:hAnsi="宋体" w:cs="宋体"/>
          <w:b/>
          <w:bCs/>
          <w:color w:val="auto"/>
          <w:sz w:val="24"/>
          <w:highlight w:val="none"/>
        </w:rPr>
      </w:pPr>
      <w:r>
        <w:rPr>
          <w:rFonts w:hint="eastAsia" w:ascii="宋体" w:hAnsi="宋体" w:cs="宋体"/>
          <w:b/>
          <w:bCs/>
          <w:color w:val="auto"/>
          <w:sz w:val="24"/>
          <w:highlight w:val="none"/>
        </w:rPr>
        <w:t>17.3本项目合同实施期间所有消防、市容保洁、环境噪声、成品保护、文明施工均由中标人负责，并自行承担由此发生的相关费用。</w:t>
      </w:r>
    </w:p>
    <w:p>
      <w:pPr>
        <w:spacing w:line="500" w:lineRule="exact"/>
        <w:ind w:left="-1" w:firstLine="480" w:firstLineChars="200"/>
        <w:rPr>
          <w:rFonts w:ascii="宋体" w:hAnsi="宋体" w:cs="宋体"/>
          <w:color w:val="auto"/>
          <w:sz w:val="24"/>
          <w:highlight w:val="none"/>
        </w:rPr>
      </w:pPr>
      <w:r>
        <w:rPr>
          <w:rFonts w:hint="eastAsia" w:ascii="宋体" w:hAnsi="宋体" w:cs="宋体"/>
          <w:b/>
          <w:bCs/>
          <w:color w:val="auto"/>
          <w:sz w:val="24"/>
          <w:highlight w:val="none"/>
        </w:rPr>
        <w:t>17.4中标人进场后自觉服从招标人对工地安全、标准化现场、总平面布置的管理，如出现不服从、不配合等现象，招标人有权按违</w:t>
      </w:r>
      <w:r>
        <w:rPr>
          <w:rFonts w:hint="eastAsia" w:ascii="宋体" w:hAnsi="宋体" w:cs="宋体"/>
          <w:color w:val="auto"/>
          <w:sz w:val="24"/>
          <w:highlight w:val="none"/>
        </w:rPr>
        <w:t>约处理。</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17.5本项目价款一律通过银行非现金结算，实行专款专用。</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17.6 本项目发包人要求承包人严格按照盐建建筑〔2016〕35号《关于进一步做好建筑施工拖欠农民工工资治理工作的通知》文件要求执行。</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17.7本合同条款未尽事宜由双方按照《建设工程施工合同》（GF-2017-0201）示范文本的有关内容在合同中具体约定。</w:t>
      </w:r>
    </w:p>
    <w:p>
      <w:pPr>
        <w:widowControl/>
        <w:jc w:val="left"/>
        <w:rPr>
          <w:rFonts w:ascii="宋体" w:hAnsi="宋体" w:cs="宋体"/>
          <w:b/>
          <w:color w:val="auto"/>
          <w:sz w:val="44"/>
          <w:szCs w:val="44"/>
          <w:highlight w:val="none"/>
        </w:rPr>
      </w:pPr>
      <w:r>
        <w:rPr>
          <w:rFonts w:hint="eastAsia" w:ascii="宋体" w:hAnsi="宋体" w:cs="宋体"/>
          <w:b/>
          <w:color w:val="auto"/>
          <w:sz w:val="44"/>
          <w:szCs w:val="44"/>
          <w:highlight w:val="none"/>
        </w:rPr>
        <w:br w:type="page"/>
      </w:r>
    </w:p>
    <w:p>
      <w:pPr>
        <w:spacing w:line="50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第七部分  评标定标办法</w:t>
      </w:r>
    </w:p>
    <w:p>
      <w:pPr>
        <w:spacing w:line="440" w:lineRule="exact"/>
        <w:ind w:firstLine="880" w:firstLineChars="200"/>
        <w:jc w:val="center"/>
        <w:rPr>
          <w:rFonts w:ascii="宋体" w:hAnsi="宋体" w:cs="宋体"/>
          <w:b/>
          <w:color w:val="auto"/>
          <w:sz w:val="44"/>
          <w:szCs w:val="44"/>
          <w:highlight w:val="none"/>
        </w:rPr>
      </w:pPr>
    </w:p>
    <w:p>
      <w:pPr>
        <w:spacing w:line="500" w:lineRule="exact"/>
        <w:ind w:left="-1" w:firstLine="480" w:firstLineChars="200"/>
        <w:rPr>
          <w:rFonts w:ascii="宋体" w:hAnsi="宋体" w:cs="宋体"/>
          <w:b/>
          <w:bCs/>
          <w:color w:val="auto"/>
          <w:sz w:val="24"/>
          <w:highlight w:val="none"/>
        </w:rPr>
      </w:pPr>
      <w:r>
        <w:rPr>
          <w:rFonts w:hint="eastAsia" w:ascii="宋体" w:hAnsi="宋体" w:cs="宋体"/>
          <w:b/>
          <w:bCs/>
          <w:color w:val="auto"/>
          <w:sz w:val="24"/>
          <w:highlight w:val="none"/>
        </w:rPr>
        <w:t>一、评标、定标办法</w:t>
      </w:r>
    </w:p>
    <w:p>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本工程招标评标办法采用“</w:t>
      </w:r>
      <w:r>
        <w:rPr>
          <w:rFonts w:hint="eastAsia" w:ascii="宋体" w:hAnsi="宋体" w:cs="宋体"/>
          <w:color w:val="auto"/>
          <w:sz w:val="24"/>
          <w:highlight w:val="none"/>
          <w:lang w:val="en-US" w:eastAsia="zh-CN"/>
        </w:rPr>
        <w:t>合理低价法</w:t>
      </w:r>
      <w:r>
        <w:rPr>
          <w:rFonts w:hint="eastAsia" w:ascii="宋体" w:hAnsi="宋体" w:cs="宋体"/>
          <w:color w:val="auto"/>
          <w:sz w:val="24"/>
          <w:highlight w:val="none"/>
        </w:rPr>
        <w:t>”，由招标人依法组建的评标委员会对投标文件进行评审（投标人不需要编制施工组织设计，中标后，中标人应按有关规定编制施工组织设计），推荐有排序的1名中标侯选人。招标人根据评标委员会提供的书面评标报告，依法确定中标人。</w:t>
      </w:r>
    </w:p>
    <w:p>
      <w:pPr>
        <w:spacing w:line="500" w:lineRule="exact"/>
        <w:ind w:left="-1" w:firstLine="480" w:firstLineChars="200"/>
        <w:rPr>
          <w:rFonts w:ascii="宋体" w:hAnsi="宋体" w:cs="宋体"/>
          <w:b/>
          <w:bCs/>
          <w:color w:val="auto"/>
          <w:sz w:val="24"/>
          <w:highlight w:val="none"/>
        </w:rPr>
      </w:pPr>
      <w:r>
        <w:rPr>
          <w:rFonts w:hint="eastAsia" w:ascii="宋体" w:hAnsi="宋体" w:cs="宋体"/>
          <w:b/>
          <w:bCs/>
          <w:color w:val="auto"/>
          <w:sz w:val="24"/>
          <w:highlight w:val="none"/>
        </w:rPr>
        <w:t>二、评标标准和程序</w:t>
      </w:r>
    </w:p>
    <w:p>
      <w:pPr>
        <w:spacing w:line="500" w:lineRule="exact"/>
        <w:ind w:left="-1"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（一）开标</w:t>
      </w:r>
    </w:p>
    <w:p>
      <w:pPr>
        <w:pStyle w:val="13"/>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（二）招标人评标准备</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清标</w:t>
      </w:r>
      <w:r>
        <w:rPr>
          <w:rFonts w:hint="eastAsia" w:ascii="宋体" w:hAnsi="宋体" w:eastAsia="宋体" w:cs="宋体"/>
          <w:b/>
          <w:color w:val="auto"/>
          <w:sz w:val="24"/>
          <w:szCs w:val="24"/>
          <w:highlight w:val="none"/>
          <w:lang w:eastAsia="zh-CN"/>
        </w:rPr>
        <w:t>）</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评标前由招标人对照省政府第 120 号令要求，进行评标准备工作，并核实投标人和项目负责人的资质和资格、经历和业绩、保证金缴纳情况、在建工程和信用状况等方面的情况。发现投标人有可能低于成本或者影响履约的异常低价投标，通知投标人进行书面澄清说明，提请评标委员会分析研判认定是否作无效标处理。由于投标单位授权委托人联系不上或在规定时间内未能作出书面澄清说明的，被</w:t>
      </w:r>
      <w:r>
        <w:rPr>
          <w:rFonts w:hint="eastAsia" w:ascii="宋体" w:hAnsi="宋体" w:eastAsia="宋体" w:cs="宋体"/>
          <w:b/>
          <w:bCs/>
          <w:color w:val="auto"/>
          <w:sz w:val="24"/>
          <w:szCs w:val="24"/>
          <w:highlight w:val="none"/>
          <w:lang w:val="en-US" w:eastAsia="zh-CN"/>
        </w:rPr>
        <w:t>否决投标</w:t>
      </w:r>
      <w:r>
        <w:rPr>
          <w:rFonts w:hint="eastAsia" w:ascii="宋体" w:hAnsi="宋体" w:eastAsia="宋体" w:cs="宋体"/>
          <w:color w:val="auto"/>
          <w:sz w:val="24"/>
          <w:szCs w:val="24"/>
          <w:highlight w:val="none"/>
        </w:rPr>
        <w:t>责任自负。</w:t>
      </w:r>
    </w:p>
    <w:p>
      <w:pPr>
        <w:spacing w:line="480" w:lineRule="exact"/>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招标人在评标准备过程中发现的问题应主动提请评标委员会作无效标处理，在招标人审查意见表生成后，评标准备工作一旦结束，评标准备结果不因后续资格审查</w:t>
      </w:r>
      <w:r>
        <w:rPr>
          <w:rFonts w:hint="eastAsia" w:ascii="宋体" w:hAnsi="宋体" w:eastAsia="宋体" w:cs="宋体"/>
          <w:b/>
          <w:bCs/>
          <w:color w:val="auto"/>
          <w:sz w:val="24"/>
          <w:szCs w:val="24"/>
          <w:highlight w:val="none"/>
          <w:lang w:val="en-US" w:eastAsia="zh-CN"/>
        </w:rPr>
        <w:t>否决投标</w:t>
      </w:r>
      <w:r>
        <w:rPr>
          <w:rFonts w:hint="eastAsia" w:ascii="宋体" w:hAnsi="宋体" w:eastAsia="宋体" w:cs="宋体"/>
          <w:b w:val="0"/>
          <w:color w:val="auto"/>
          <w:kern w:val="2"/>
          <w:sz w:val="24"/>
          <w:szCs w:val="24"/>
          <w:highlight w:val="none"/>
          <w:lang w:val="en-US" w:eastAsia="zh-CN" w:bidi="ar-SA"/>
        </w:rPr>
        <w:t>、招投标当事人质疑、投诉、复议以及其它任何情形而改变。</w:t>
      </w:r>
    </w:p>
    <w:p>
      <w:pPr>
        <w:spacing w:line="460" w:lineRule="exact"/>
        <w:ind w:left="420" w:left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（三）评标入围</w:t>
      </w:r>
    </w:p>
    <w:p>
      <w:pPr>
        <w:bidi w:val="0"/>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投标文件存在以下情况之一的，以及开</w:t>
      </w:r>
      <w:r>
        <w:rPr>
          <w:rFonts w:hint="eastAsia" w:ascii="宋体" w:hAnsi="宋体" w:eastAsia="宋体" w:cs="宋体"/>
          <w:b/>
          <w:color w:val="auto"/>
          <w:kern w:val="0"/>
          <w:sz w:val="24"/>
          <w:szCs w:val="24"/>
          <w:highlight w:val="none"/>
          <w:lang w:val="en-US" w:eastAsia="zh-CN"/>
        </w:rPr>
        <w:t>标</w:t>
      </w:r>
      <w:r>
        <w:rPr>
          <w:rFonts w:hint="eastAsia" w:ascii="宋体" w:hAnsi="宋体" w:eastAsia="宋体" w:cs="宋体"/>
          <w:b/>
          <w:color w:val="auto"/>
          <w:kern w:val="0"/>
          <w:sz w:val="24"/>
          <w:szCs w:val="24"/>
          <w:highlight w:val="none"/>
        </w:rPr>
        <w:t>、招标人评标准备、清标过程发现的其他</w:t>
      </w:r>
      <w:r>
        <w:rPr>
          <w:rFonts w:hint="eastAsia" w:ascii="宋体" w:hAnsi="宋体" w:eastAsia="宋体" w:cs="宋体"/>
          <w:b/>
          <w:bCs/>
          <w:color w:val="auto"/>
          <w:sz w:val="24"/>
          <w:szCs w:val="24"/>
          <w:highlight w:val="none"/>
          <w:lang w:val="en-US" w:eastAsia="zh-CN"/>
        </w:rPr>
        <w:t>否决投标</w:t>
      </w:r>
      <w:r>
        <w:rPr>
          <w:rFonts w:hint="eastAsia" w:ascii="宋体" w:hAnsi="宋体" w:eastAsia="宋体" w:cs="宋体"/>
          <w:b/>
          <w:color w:val="auto"/>
          <w:kern w:val="0"/>
          <w:sz w:val="24"/>
          <w:szCs w:val="24"/>
          <w:highlight w:val="none"/>
        </w:rPr>
        <w:t>情形，不再进行后续评标：</w:t>
      </w:r>
    </w:p>
    <w:p>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（1）至投标截止时间止，未足额递交投标保证金；</w:t>
      </w:r>
    </w:p>
    <w:p>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（2）投标函中载明的招标项目完成期限超过招标文件规定的期限；</w:t>
      </w:r>
    </w:p>
    <w:p>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（3）投标函中载明的投标质量标准未响应招标文件实质性要求和条件；</w:t>
      </w:r>
    </w:p>
    <w:p>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（4）投标函中载明的投标报价高于招标人最高投标限价的。</w:t>
      </w:r>
    </w:p>
    <w:p>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（5）招标文件约定的出席开标会议的人员未到场的；</w:t>
      </w:r>
    </w:p>
    <w:p>
      <w:pPr>
        <w:spacing w:line="460" w:lineRule="exact"/>
        <w:ind w:left="420" w:left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评标入围方法和数量</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1.评标入围方法：</w:t>
      </w:r>
    </w:p>
    <w:p>
      <w:pPr>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当满足评标入围条件投标文件＜20家时，采用全部入围；</w:t>
      </w:r>
    </w:p>
    <w:p>
      <w:pPr>
        <w:spacing w:line="400" w:lineRule="exact"/>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当满足评标入围条件投标文件≥20家时，采用以下评标入围方法</w:t>
      </w:r>
      <w:r>
        <w:rPr>
          <w:rFonts w:hint="eastAsia" w:ascii="宋体" w:hAnsi="宋体" w:eastAsia="宋体" w:cs="宋体"/>
          <w:color w:val="auto"/>
          <w:sz w:val="24"/>
          <w:szCs w:val="24"/>
          <w:highlight w:val="none"/>
          <w:lang w:eastAsia="zh-CN"/>
        </w:rPr>
        <w:t>：</w:t>
      </w:r>
    </w:p>
    <w:p>
      <w:pPr>
        <w:spacing w:line="4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直接确定：方法一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全部入围。</w:t>
      </w:r>
    </w:p>
    <w:p>
      <w:pPr>
        <w:spacing w:line="400" w:lineRule="exact"/>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进入评标入围环节的投标人全部进入后续评标程序</w:t>
      </w:r>
      <w:r>
        <w:rPr>
          <w:rFonts w:hint="eastAsia" w:ascii="宋体" w:hAnsi="宋体" w:eastAsia="宋体" w:cs="宋体"/>
          <w:color w:val="auto"/>
          <w:sz w:val="24"/>
          <w:szCs w:val="24"/>
          <w:highlight w:val="none"/>
          <w:lang w:eastAsia="zh-CN"/>
        </w:rPr>
        <w:t>。</w:t>
      </w:r>
    </w:p>
    <w:p>
      <w:pPr>
        <w:numPr>
          <w:ilvl w:val="0"/>
          <w:numId w:val="1"/>
        </w:numPr>
        <w:spacing w:line="500" w:lineRule="exact"/>
        <w:ind w:left="0" w:leftChars="0"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资格审查</w:t>
      </w:r>
    </w:p>
    <w:p>
      <w:pPr>
        <w:spacing w:line="46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评标委员会对评标入围的投标文件评审按以下顺序进行，上一阶段未通过的不进入下一阶段评审：</w:t>
      </w:r>
    </w:p>
    <w:p>
      <w:pPr>
        <w:spacing w:line="500" w:lineRule="exact"/>
        <w:ind w:left="-1"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1、初步评审</w:t>
      </w:r>
    </w:p>
    <w:p>
      <w:pPr>
        <w:spacing w:line="500" w:lineRule="exact"/>
        <w:ind w:left="-1"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1.1形式评审标准</w:t>
      </w:r>
    </w:p>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对投标文件的有效性、完整性进行评审。</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6"/>
        <w:gridCol w:w="52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评审因素</w:t>
            </w:r>
          </w:p>
        </w:tc>
        <w:tc>
          <w:tcPr>
            <w:tcW w:w="5257"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5257" w:type="dxa"/>
            <w:tcBorders>
              <w:top w:val="single" w:color="auto" w:sz="4" w:space="0"/>
              <w:left w:val="single" w:color="auto" w:sz="4" w:space="0"/>
              <w:bottom w:val="single" w:color="auto" w:sz="4" w:space="0"/>
              <w:right w:val="single" w:color="auto" w:sz="4" w:space="0"/>
            </w:tcBorders>
            <w:noWrap/>
          </w:tcPr>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656"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投标文件格式</w:t>
            </w:r>
          </w:p>
        </w:tc>
        <w:tc>
          <w:tcPr>
            <w:tcW w:w="5257"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符合投标文件格式要求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2656" w:type="dxa"/>
            <w:tcBorders>
              <w:top w:val="single" w:color="auto" w:sz="4" w:space="0"/>
              <w:left w:val="single" w:color="auto" w:sz="4" w:space="0"/>
              <w:bottom w:val="single" w:color="auto" w:sz="4" w:space="0"/>
              <w:right w:val="single" w:color="auto" w:sz="4" w:space="0"/>
            </w:tcBorders>
            <w:noWrap/>
            <w:vAlign w:val="center"/>
          </w:tcPr>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投标承诺函</w:t>
            </w:r>
          </w:p>
        </w:tc>
        <w:tc>
          <w:tcPr>
            <w:tcW w:w="5257"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有法定代表人或其委托代理人签字（或盖章）并加盖投标单位公章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656"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tc>
        <w:tc>
          <w:tcPr>
            <w:tcW w:w="5257" w:type="dxa"/>
            <w:tcBorders>
              <w:top w:val="single" w:color="auto" w:sz="4" w:space="0"/>
              <w:left w:val="single" w:color="auto" w:sz="4" w:space="0"/>
              <w:bottom w:val="single" w:color="auto" w:sz="4" w:space="0"/>
              <w:right w:val="single" w:color="auto" w:sz="4" w:space="0"/>
            </w:tcBorders>
            <w:noWrap/>
          </w:tcPr>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有法定代表人签字（或盖章）并加盖投标单位公章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56" w:type="dxa"/>
            <w:tcBorders>
              <w:top w:val="single" w:color="auto" w:sz="4" w:space="0"/>
              <w:left w:val="single" w:color="auto" w:sz="4" w:space="0"/>
              <w:bottom w:val="single" w:color="auto" w:sz="4" w:space="0"/>
              <w:right w:val="single" w:color="auto" w:sz="4" w:space="0"/>
            </w:tcBorders>
            <w:noWrap/>
            <w:vAlign w:val="center"/>
          </w:tcPr>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257" w:type="dxa"/>
            <w:tcBorders>
              <w:top w:val="single" w:color="auto" w:sz="4" w:space="0"/>
              <w:left w:val="single" w:color="auto" w:sz="4" w:space="0"/>
              <w:bottom w:val="single" w:color="auto" w:sz="4" w:space="0"/>
              <w:right w:val="single" w:color="auto" w:sz="4" w:space="0"/>
            </w:tcBorders>
            <w:noWrap/>
            <w:vAlign w:val="center"/>
          </w:tcPr>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w:t>
            </w:r>
          </w:p>
        </w:tc>
      </w:tr>
    </w:tbl>
    <w:p>
      <w:pPr>
        <w:spacing w:line="500" w:lineRule="exact"/>
        <w:ind w:left="-1"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1.2资格审查（资格后审）</w:t>
      </w:r>
    </w:p>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评标委员会对通过上一阶段评审的投标人资格对照招标文件中</w:t>
      </w:r>
      <w:r>
        <w:rPr>
          <w:rFonts w:hint="eastAsia" w:ascii="宋体" w:hAnsi="宋体" w:eastAsia="宋体" w:cs="宋体"/>
          <w:b/>
          <w:bCs/>
          <w:color w:val="auto"/>
          <w:sz w:val="24"/>
          <w:szCs w:val="24"/>
          <w:highlight w:val="none"/>
        </w:rPr>
        <w:t>投标人资格要求</w:t>
      </w:r>
      <w:r>
        <w:rPr>
          <w:rFonts w:hint="eastAsia" w:ascii="宋体" w:hAnsi="宋体" w:eastAsia="宋体" w:cs="宋体"/>
          <w:color w:val="auto"/>
          <w:sz w:val="24"/>
          <w:szCs w:val="24"/>
          <w:highlight w:val="none"/>
        </w:rPr>
        <w:t>的规定要求进行审查，只有通过资格审查的投标人方可进行下一阶段的评审。</w:t>
      </w:r>
    </w:p>
    <w:tbl>
      <w:tblPr>
        <w:tblStyle w:val="21"/>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00"/>
        <w:gridCol w:w="52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5253"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5253"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提供有效的营业执照原件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安全生产许可证</w:t>
            </w:r>
          </w:p>
        </w:tc>
        <w:tc>
          <w:tcPr>
            <w:tcW w:w="5253"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提供有效的安全生产许可证原件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ign w:val="center"/>
          </w:tcPr>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资质等级</w:t>
            </w:r>
          </w:p>
        </w:tc>
        <w:tc>
          <w:tcPr>
            <w:tcW w:w="5253"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提供有效的建筑工程施工总承包三级及以上资质或建筑装修装饰工程专业承包二级及以上</w:t>
            </w:r>
            <w:r>
              <w:rPr>
                <w:rFonts w:hint="eastAsia" w:ascii="宋体" w:hAnsi="宋体" w:eastAsia="宋体" w:cs="宋体"/>
                <w:bCs/>
                <w:color w:val="auto"/>
                <w:sz w:val="24"/>
                <w:szCs w:val="24"/>
                <w:highlight w:val="none"/>
              </w:rPr>
              <w:t>资质</w:t>
            </w:r>
            <w:r>
              <w:rPr>
                <w:rFonts w:hint="eastAsia" w:ascii="宋体" w:hAnsi="宋体" w:eastAsia="宋体" w:cs="宋体"/>
                <w:color w:val="auto"/>
                <w:sz w:val="24"/>
                <w:szCs w:val="24"/>
                <w:highlight w:val="none"/>
              </w:rPr>
              <w:t>且取得</w:t>
            </w:r>
            <w:r>
              <w:rPr>
                <w:rFonts w:hint="eastAsia" w:ascii="宋体" w:hAnsi="宋体" w:eastAsia="宋体" w:cs="宋体"/>
                <w:color w:val="auto"/>
                <w:sz w:val="24"/>
                <w:szCs w:val="24"/>
                <w:highlight w:val="none"/>
                <w:lang w:val="en-US" w:eastAsia="zh-CN"/>
              </w:rPr>
              <w:t>有效的</w:t>
            </w:r>
            <w:r>
              <w:rPr>
                <w:rFonts w:hint="eastAsia" w:ascii="宋体" w:hAnsi="宋体" w:eastAsia="宋体" w:cs="宋体"/>
                <w:color w:val="auto"/>
                <w:sz w:val="24"/>
                <w:szCs w:val="24"/>
                <w:highlight w:val="none"/>
              </w:rPr>
              <w:t>安全生产许可证原件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ign w:val="center"/>
          </w:tcPr>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5253"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提供有效的</w:t>
            </w:r>
            <w:r>
              <w:rPr>
                <w:rFonts w:hint="eastAsia" w:ascii="宋体" w:hAnsi="宋体" w:eastAsia="宋体" w:cs="宋体"/>
                <w:color w:val="auto"/>
                <w:sz w:val="24"/>
                <w:szCs w:val="24"/>
                <w:highlight w:val="none"/>
                <w:lang w:val="en-US" w:eastAsia="zh-CN"/>
              </w:rPr>
              <w:t>建筑工程专业二级及以上建造师注册证书原件以及安全生产考核合格证（B类）原件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700"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5253"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符合投标人资格要求规定</w:t>
            </w:r>
          </w:p>
        </w:tc>
      </w:tr>
    </w:tbl>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注：能有效识别二维码的复印件加盖证书持有单位公章和能有效识别二维码的电子证书加盖证书持有单位公章可视为原件。</w:t>
      </w:r>
    </w:p>
    <w:p>
      <w:pPr>
        <w:spacing w:line="500" w:lineRule="exact"/>
        <w:ind w:left="-1"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1.3响应性审查</w:t>
      </w:r>
    </w:p>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对招标文件要求的工期、质量标准、投标保证金、投标有效期、已标价工程量清单、暂定价、不可竞争费用、技术标准和要求等实质性要求的响应性进行评审。</w:t>
      </w:r>
    </w:p>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（五）评标基准价及投标报价得分确定</w:t>
      </w:r>
    </w:p>
    <w:p>
      <w:pPr>
        <w:autoSpaceDE w:val="0"/>
        <w:autoSpaceDN w:val="0"/>
        <w:adjustRightInd w:val="0"/>
        <w:spacing w:before="73" w:line="40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1、评标基准值计算方法的确定</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 xml:space="preserve"> ABC合成法</w:t>
      </w:r>
    </w:p>
    <w:p>
      <w:pPr>
        <w:tabs>
          <w:tab w:val="left" w:pos="0"/>
        </w:tabs>
        <w:spacing w:line="540" w:lineRule="exact"/>
        <w:ind w:right="-36"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评标基准价=(A×50%＋B×30%＋C×20%)×K</w:t>
      </w:r>
    </w:p>
    <w:p>
      <w:pPr>
        <w:autoSpaceDE w:val="0"/>
        <w:autoSpaceDN w:val="0"/>
        <w:adjustRightInd w:val="0"/>
        <w:spacing w:before="73"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2、评标基准值计算具体细则见（附表一），参数设置如下：</w:t>
      </w:r>
    </w:p>
    <w:p>
      <w:pPr>
        <w:autoSpaceDE w:val="0"/>
        <w:autoSpaceDN w:val="0"/>
        <w:adjustRightInd w:val="0"/>
        <w:spacing w:before="73" w:line="400" w:lineRule="exact"/>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K值取值范围：</w:t>
      </w:r>
      <w:r>
        <w:rPr>
          <w:rFonts w:hint="eastAsia" w:ascii="宋体" w:hAnsi="宋体" w:eastAsia="宋体" w:cs="宋体"/>
          <w:color w:val="auto"/>
          <w:kern w:val="0"/>
          <w:sz w:val="24"/>
          <w:szCs w:val="24"/>
          <w:highlight w:val="none"/>
          <w:u w:val="single"/>
        </w:rPr>
        <w:t xml:space="preserve">95%、95.5%、96%、96.5%、97%、97.5%、98% </w:t>
      </w:r>
      <w:r>
        <w:rPr>
          <w:rFonts w:hint="eastAsia" w:ascii="宋体" w:hAnsi="宋体" w:eastAsia="宋体" w:cs="宋体"/>
          <w:color w:val="auto"/>
          <w:kern w:val="0"/>
          <w:sz w:val="24"/>
          <w:szCs w:val="24"/>
          <w:highlight w:val="none"/>
        </w:rPr>
        <w:t>，开标时由招标人代表随机抽取确定；</w:t>
      </w:r>
    </w:p>
    <w:p>
      <w:pPr>
        <w:spacing w:line="40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Δ</w:t>
      </w:r>
      <w:r>
        <w:rPr>
          <w:rFonts w:hint="eastAsia" w:ascii="宋体" w:hAnsi="宋体" w:eastAsia="宋体" w:cs="宋体"/>
          <w:color w:val="auto"/>
          <w:kern w:val="0"/>
          <w:sz w:val="24"/>
          <w:szCs w:val="24"/>
          <w:highlight w:val="none"/>
        </w:rPr>
        <w:t>值取值范围：</w:t>
      </w:r>
      <w:r>
        <w:rPr>
          <w:rFonts w:hint="eastAsia" w:ascii="宋体" w:hAnsi="宋体" w:eastAsia="宋体" w:cs="宋体"/>
          <w:color w:val="auto"/>
          <w:kern w:val="0"/>
          <w:sz w:val="24"/>
          <w:szCs w:val="24"/>
          <w:highlight w:val="none"/>
          <w:u w:val="single"/>
        </w:rPr>
        <w:t xml:space="preserve">8%、9%、10%、11%、12%、13%、14%、15% </w:t>
      </w:r>
      <w:r>
        <w:rPr>
          <w:rFonts w:hint="eastAsia" w:ascii="宋体" w:hAnsi="宋体" w:eastAsia="宋体" w:cs="宋体"/>
          <w:color w:val="auto"/>
          <w:kern w:val="0"/>
          <w:sz w:val="24"/>
          <w:szCs w:val="24"/>
          <w:highlight w:val="none"/>
        </w:rPr>
        <w:t>，开标时由招标人代表随机抽取确定；</w:t>
      </w:r>
    </w:p>
    <w:p>
      <w:pPr>
        <w:spacing w:line="4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b w:val="0"/>
          <w:color w:val="auto"/>
          <w:kern w:val="0"/>
          <w:sz w:val="24"/>
          <w:szCs w:val="24"/>
          <w:highlight w:val="none"/>
          <w:lang w:val="en-US" w:eastAsia="zh-CN" w:bidi="ar-SA"/>
        </w:rPr>
        <w:t>评标基准值如果大于最高投标限价,应将最高投标限价作为评标基准值。</w:t>
      </w:r>
    </w:p>
    <w:p>
      <w:pPr>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3、特殊情形下，评标基准价调整方式：</w:t>
      </w:r>
    </w:p>
    <w:p>
      <w:pPr>
        <w:spacing w:line="460" w:lineRule="exact"/>
        <w:ind w:left="555" w:leftChars="150" w:hanging="240" w:hanging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除确认存在计算错误外，评标基准价、A、B、C值一经确定，不因后续资格审查</w:t>
      </w:r>
      <w:r>
        <w:rPr>
          <w:rFonts w:hint="eastAsia" w:ascii="宋体" w:hAnsi="宋体" w:eastAsia="宋体" w:cs="宋体"/>
          <w:b/>
          <w:bCs/>
          <w:color w:val="auto"/>
          <w:sz w:val="24"/>
          <w:szCs w:val="24"/>
          <w:highlight w:val="none"/>
          <w:lang w:val="en-US" w:eastAsia="zh-CN"/>
        </w:rPr>
        <w:t>否决投标</w:t>
      </w:r>
      <w:r>
        <w:rPr>
          <w:rFonts w:hint="eastAsia" w:ascii="宋体" w:hAnsi="宋体" w:eastAsia="宋体" w:cs="宋体"/>
          <w:color w:val="auto"/>
          <w:kern w:val="0"/>
          <w:sz w:val="24"/>
          <w:szCs w:val="24"/>
          <w:highlight w:val="none"/>
        </w:rPr>
        <w:t>、招投标当事人质疑、投诉、复议以及其它任何情形而改变；</w:t>
      </w:r>
    </w:p>
    <w:p>
      <w:pPr>
        <w:tabs>
          <w:tab w:val="left" w:pos="0"/>
        </w:tabs>
        <w:spacing w:line="540" w:lineRule="exact"/>
        <w:ind w:right="-36"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b/>
          <w:bCs/>
          <w:color w:val="auto"/>
          <w:sz w:val="24"/>
          <w:szCs w:val="24"/>
          <w:highlight w:val="none"/>
        </w:rPr>
        <w:t>预算价</w:t>
      </w:r>
      <w:r>
        <w:rPr>
          <w:rFonts w:hint="eastAsia" w:ascii="宋体" w:hAnsi="宋体" w:eastAsia="宋体" w:cs="宋体"/>
          <w:color w:val="auto"/>
          <w:sz w:val="24"/>
          <w:szCs w:val="24"/>
          <w:highlight w:val="none"/>
        </w:rPr>
        <w:t>(剔除不可竞争部分)×(100%－下浮率Δ)；</w:t>
      </w:r>
    </w:p>
    <w:p>
      <w:pPr>
        <w:tabs>
          <w:tab w:val="left" w:pos="0"/>
        </w:tabs>
        <w:spacing w:line="540" w:lineRule="exact"/>
        <w:ind w:right="-36"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B=在规定范围内的评标价(剔除不可竞争部分)除C值外的任意一个评标价，以评标入围的通过资格审查的评标价中随机抽取确定</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kern w:val="0"/>
          <w:sz w:val="24"/>
          <w:szCs w:val="24"/>
          <w:highlight w:val="none"/>
        </w:rPr>
        <w:t>由招标人代表随机抽取</w:t>
      </w: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抽取方式：若评标价(剔除不可竞争部分)在A值的95%(及以上)范围内，则该类评标价(剔除不可竞争部分)不纳入B值抽取范围；若在A值的95%-92%（含）、92%-89%(含)范围内，则在两个区间内各抽取一个评标价(剔除不可竞争部分)，与在A值的89%以下至规定范围内的其他评标价合并后作为B值抽取范围。若按上述办法未能抽取B值，则在规定范围内的任意一个评标价(剔除不可竞争部分)（除C值外）中随机抽取B值；</w:t>
      </w:r>
    </w:p>
    <w:p>
      <w:pPr>
        <w:tabs>
          <w:tab w:val="left" w:pos="0"/>
        </w:tabs>
        <w:spacing w:line="540" w:lineRule="exact"/>
        <w:ind w:right="-36"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C=在规定范围内的最低评标价(剔除不可竞争部分)；</w:t>
      </w:r>
    </w:p>
    <w:p>
      <w:pPr>
        <w:tabs>
          <w:tab w:val="left" w:pos="0"/>
        </w:tabs>
        <w:spacing w:line="540" w:lineRule="exact"/>
        <w:ind w:right="-36" w:firstLine="484" w:firstLineChars="20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规定范围内指:</w:t>
      </w:r>
      <w:r>
        <w:rPr>
          <w:rFonts w:hint="eastAsia" w:ascii="宋体" w:hAnsi="宋体" w:eastAsia="宋体" w:cs="宋体"/>
          <w:color w:val="auto"/>
          <w:sz w:val="24"/>
          <w:szCs w:val="24"/>
          <w:highlight w:val="none"/>
        </w:rPr>
        <w:t>评标入围的通过资格审查的评标价(剔除不可竞争部分)算术平均值×70%与</w:t>
      </w:r>
      <w:r>
        <w:rPr>
          <w:rFonts w:hint="eastAsia" w:ascii="宋体" w:hAnsi="宋体" w:eastAsia="宋体" w:cs="宋体"/>
          <w:b/>
          <w:bCs/>
          <w:color w:val="auto"/>
          <w:sz w:val="24"/>
          <w:szCs w:val="24"/>
          <w:highlight w:val="none"/>
        </w:rPr>
        <w:t>预算价</w:t>
      </w:r>
      <w:r>
        <w:rPr>
          <w:rFonts w:hint="eastAsia" w:ascii="宋体" w:hAnsi="宋体" w:eastAsia="宋体" w:cs="宋体"/>
          <w:color w:val="auto"/>
          <w:sz w:val="24"/>
          <w:szCs w:val="24"/>
          <w:highlight w:val="none"/>
        </w:rPr>
        <w:t>(剔除不可竞争部分)×30%之和下浮25%以内的所有评标价(剔除不可竞争部分)；</w:t>
      </w:r>
    </w:p>
    <w:p>
      <w:pPr>
        <w:tabs>
          <w:tab w:val="left" w:pos="0"/>
        </w:tabs>
        <w:spacing w:line="540" w:lineRule="exact"/>
        <w:ind w:right="-36"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w:t>
      </w:r>
      <w:r>
        <w:rPr>
          <w:rFonts w:hint="eastAsia" w:ascii="宋体" w:hAnsi="宋体" w:eastAsia="宋体" w:cs="宋体"/>
          <w:b/>
          <w:bCs/>
          <w:color w:val="auto"/>
          <w:sz w:val="24"/>
          <w:szCs w:val="24"/>
          <w:highlight w:val="none"/>
        </w:rPr>
        <w:t>预算价</w:t>
      </w:r>
      <w:r>
        <w:rPr>
          <w:rFonts w:hint="eastAsia" w:ascii="宋体" w:hAnsi="宋体" w:eastAsia="宋体" w:cs="宋体"/>
          <w:color w:val="auto"/>
          <w:sz w:val="24"/>
          <w:szCs w:val="24"/>
          <w:highlight w:val="none"/>
        </w:rPr>
        <w:t>和评标价均应剔除不可竞争部分后参与计算和抽取；应剔除不可竞争的部分须在招标文件中予以明确，开标时不再另行计算。</w:t>
      </w:r>
    </w:p>
    <w:p>
      <w:pPr>
        <w:spacing w:line="460" w:lineRule="exact"/>
        <w:ind w:firstLine="480" w:firstLineChars="200"/>
        <w:jc w:val="left"/>
        <w:rPr>
          <w:rFonts w:hint="eastAsia" w:ascii="宋体" w:hAnsi="宋体" w:eastAsia="宋体" w:cs="宋体"/>
          <w:vanish/>
          <w:color w:val="auto"/>
          <w:sz w:val="24"/>
          <w:szCs w:val="24"/>
          <w:highlight w:val="none"/>
        </w:rPr>
      </w:pPr>
    </w:p>
    <w:p>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扣分标准：</w:t>
      </w:r>
    </w:p>
    <w:p>
      <w:pPr>
        <w:tabs>
          <w:tab w:val="left" w:pos="0"/>
        </w:tabs>
        <w:spacing w:line="540" w:lineRule="exact"/>
        <w:ind w:right="-36" w:firstLine="604" w:firstLineChars="2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以评标入围的通过资格审查的投标报价(剔除不可竞争部分)等于评标基准价的得满分，投标报价(剔除不可竞争部分)相对评标基准价每低1%扣</w:t>
      </w:r>
      <w:r>
        <w:rPr>
          <w:rFonts w:hint="eastAsia" w:ascii="宋体" w:hAnsi="宋体" w:eastAsia="宋体" w:cs="宋体"/>
          <w:color w:val="auto"/>
          <w:sz w:val="24"/>
          <w:szCs w:val="24"/>
          <w:highlight w:val="none"/>
          <w:u w:val="single"/>
        </w:rPr>
        <w:t>0</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6</w:t>
      </w:r>
      <w:r>
        <w:rPr>
          <w:rFonts w:hint="eastAsia" w:ascii="宋体" w:hAnsi="宋体" w:eastAsia="宋体" w:cs="宋体"/>
          <w:color w:val="auto"/>
          <w:sz w:val="24"/>
          <w:szCs w:val="24"/>
          <w:highlight w:val="none"/>
        </w:rPr>
        <w:t>分，每高1%扣</w:t>
      </w:r>
      <w:r>
        <w:rPr>
          <w:rFonts w:hint="eastAsia" w:ascii="宋体" w:hAnsi="宋体" w:eastAsia="宋体" w:cs="宋体"/>
          <w:color w:val="auto"/>
          <w:sz w:val="24"/>
          <w:szCs w:val="24"/>
          <w:highlight w:val="none"/>
          <w:u w:val="single"/>
        </w:rPr>
        <w:t>0.9</w:t>
      </w:r>
      <w:r>
        <w:rPr>
          <w:rFonts w:hint="eastAsia" w:ascii="宋体" w:hAnsi="宋体" w:eastAsia="宋体" w:cs="宋体"/>
          <w:color w:val="auto"/>
          <w:sz w:val="24"/>
          <w:szCs w:val="24"/>
          <w:highlight w:val="none"/>
        </w:rPr>
        <w:t>分；偏离不足1%的，按照插入法计算得分。</w:t>
      </w:r>
    </w:p>
    <w:p>
      <w:pPr>
        <w:spacing w:line="500" w:lineRule="exact"/>
        <w:ind w:left="-1"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）投标人得分</w:t>
      </w:r>
    </w:p>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1、评标委员会按本章“</w:t>
      </w:r>
      <w:r>
        <w:rPr>
          <w:rFonts w:hint="eastAsia" w:ascii="宋体" w:hAnsi="宋体" w:eastAsia="宋体" w:cs="宋体"/>
          <w:color w:val="auto"/>
          <w:sz w:val="24"/>
          <w:szCs w:val="24"/>
          <w:highlight w:val="none"/>
          <w:lang w:val="en-US" w:eastAsia="zh-CN"/>
        </w:rPr>
        <w:t>合理低价法</w:t>
      </w:r>
      <w:r>
        <w:rPr>
          <w:rFonts w:hint="eastAsia" w:ascii="宋体" w:hAnsi="宋体" w:eastAsia="宋体" w:cs="宋体"/>
          <w:color w:val="auto"/>
          <w:sz w:val="24"/>
          <w:szCs w:val="24"/>
          <w:highlight w:val="none"/>
        </w:rPr>
        <w:t>”对各项的量化因素和分值进行打分，并计算出综合评估得分。</w:t>
      </w:r>
    </w:p>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）项评标基准价及投标报价得分，规定的评审因素和分值对投标报价计算出得分a；</w:t>
      </w:r>
    </w:p>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2、评分分值计算过程中保留小数点后三位，小数点后第四位“四舍五入”。最终得分保留小数点后两位，第三位“四舍五入” 。</w:t>
      </w:r>
    </w:p>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3、投标人得分=a。</w:t>
      </w:r>
    </w:p>
    <w:p>
      <w:pPr>
        <w:spacing w:line="500" w:lineRule="exact"/>
        <w:ind w:left="-1"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（七）定标补充规定</w:t>
      </w:r>
    </w:p>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上述各项得分相加即为投标人评标总分，按评标总分由高到低推荐1名中标候选人，若最终累计评标得分并列的，须明确中标候选人或需对中标候选人排序的，比较小数点后第三位值大小，得分高的排名靠前，若第三位仍相同的，由评标委员会按投标报价由低到高进行排序；如投标报价仍相同的，由招标人确定排序。</w:t>
      </w:r>
    </w:p>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招标人根据评标委员会推荐的中标候选人，确定排名第一的中标候选人为最终中标人。</w:t>
      </w:r>
    </w:p>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对不中标的投标人，招标人有权不作任何解释。</w:t>
      </w:r>
    </w:p>
    <w:p>
      <w:pPr>
        <w:spacing w:line="500" w:lineRule="exact"/>
        <w:ind w:left="-1"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三、其它</w:t>
      </w:r>
    </w:p>
    <w:p>
      <w:pPr>
        <w:spacing w:line="5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1、本办法未述及的事宜，由评标委员会依据法律法规处置。</w:t>
      </w:r>
    </w:p>
    <w:p>
      <w:pPr>
        <w:spacing w:line="500" w:lineRule="exact"/>
        <w:ind w:left="-1" w:firstLine="480" w:firstLineChars="200"/>
        <w:rPr>
          <w:rFonts w:hint="eastAsia" w:ascii="宋体" w:hAnsi="宋体" w:eastAsia="宋体" w:cs="宋体"/>
          <w:color w:val="auto"/>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hint="eastAsia" w:ascii="宋体" w:hAnsi="宋体" w:eastAsia="宋体" w:cs="宋体"/>
          <w:color w:val="auto"/>
          <w:sz w:val="24"/>
          <w:szCs w:val="24"/>
          <w:highlight w:val="none"/>
        </w:rPr>
      </w:pPr>
    </w:p>
    <w:p>
      <w:pPr>
        <w:pStyle w:val="61"/>
        <w:ind w:firstLine="422"/>
        <w:rPr>
          <w:rFonts w:ascii="宋体" w:hAnsi="宋体" w:eastAsia="宋体" w:cs="宋体"/>
          <w:color w:val="auto"/>
          <w:highlight w:val="none"/>
        </w:rPr>
      </w:pPr>
    </w:p>
    <w:p>
      <w:pPr>
        <w:pStyle w:val="2"/>
        <w:ind w:firstLine="422"/>
        <w:rPr>
          <w:rFonts w:ascii="宋体" w:hAnsi="宋体" w:eastAsia="宋体" w:cs="宋体"/>
          <w:color w:val="auto"/>
          <w:highlight w:val="none"/>
        </w:rPr>
      </w:pPr>
    </w:p>
    <w:p>
      <w:pPr>
        <w:pStyle w:val="2"/>
        <w:ind w:firstLine="422"/>
        <w:rPr>
          <w:rFonts w:ascii="宋体" w:hAnsi="宋体" w:eastAsia="宋体" w:cs="宋体"/>
          <w:color w:val="auto"/>
          <w:highlight w:val="none"/>
        </w:rPr>
      </w:pPr>
    </w:p>
    <w:p>
      <w:pPr>
        <w:pStyle w:val="2"/>
        <w:ind w:firstLine="422"/>
        <w:rPr>
          <w:rFonts w:ascii="宋体" w:hAnsi="宋体" w:eastAsia="宋体" w:cs="宋体"/>
          <w:color w:val="auto"/>
          <w:highlight w:val="none"/>
        </w:rPr>
      </w:pPr>
    </w:p>
    <w:p>
      <w:pPr>
        <w:pStyle w:val="2"/>
        <w:ind w:firstLine="422"/>
        <w:rPr>
          <w:rFonts w:ascii="宋体" w:hAnsi="宋体" w:eastAsia="宋体" w:cs="宋体"/>
          <w:color w:val="auto"/>
          <w:highlight w:val="none"/>
        </w:rPr>
      </w:pPr>
    </w:p>
    <w:p>
      <w:pPr>
        <w:pStyle w:val="20"/>
        <w:spacing w:before="0" w:beforeAutospacing="0" w:after="0" w:afterAutospacing="0" w:line="420" w:lineRule="exact"/>
        <w:jc w:val="both"/>
        <w:textAlignment w:val="baseline"/>
        <w:rPr>
          <w:b/>
          <w:bCs/>
          <w:color w:val="auto"/>
          <w:sz w:val="32"/>
          <w:szCs w:val="32"/>
          <w:highlight w:val="none"/>
        </w:rPr>
      </w:pPr>
    </w:p>
    <w:p>
      <w:pPr>
        <w:pStyle w:val="20"/>
        <w:spacing w:before="0" w:beforeAutospacing="0" w:after="0" w:afterAutospacing="0" w:line="420" w:lineRule="exact"/>
        <w:jc w:val="both"/>
        <w:textAlignment w:val="baseline"/>
        <w:rPr>
          <w:b/>
          <w:bCs/>
          <w:color w:val="auto"/>
          <w:sz w:val="32"/>
          <w:szCs w:val="32"/>
          <w:highlight w:val="none"/>
        </w:rPr>
      </w:pPr>
    </w:p>
    <w:p>
      <w:pPr>
        <w:pStyle w:val="20"/>
        <w:spacing w:before="0" w:beforeAutospacing="0" w:after="0" w:afterAutospacing="0" w:line="420" w:lineRule="exact"/>
        <w:jc w:val="both"/>
        <w:textAlignment w:val="baseline"/>
        <w:rPr>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pStyle w:val="20"/>
        <w:spacing w:before="0" w:beforeAutospacing="0" w:after="0" w:afterAutospacing="0" w:line="420" w:lineRule="exact"/>
        <w:jc w:val="both"/>
        <w:textAlignment w:val="baseline"/>
        <w:rPr>
          <w:b/>
          <w:bCs/>
          <w:color w:val="auto"/>
          <w:sz w:val="44"/>
          <w:szCs w:val="44"/>
          <w:highlight w:val="none"/>
        </w:rPr>
      </w:pPr>
      <w:r>
        <w:rPr>
          <w:rFonts w:hint="eastAsia"/>
          <w:b/>
          <w:bCs/>
          <w:color w:val="auto"/>
          <w:sz w:val="32"/>
          <w:szCs w:val="32"/>
          <w:highlight w:val="none"/>
        </w:rPr>
        <w:t>附件1</w:t>
      </w:r>
    </w:p>
    <w:p>
      <w:pPr>
        <w:pStyle w:val="20"/>
        <w:spacing w:before="0" w:beforeAutospacing="0" w:after="0" w:afterAutospacing="0" w:line="700" w:lineRule="exact"/>
        <w:jc w:val="center"/>
        <w:textAlignment w:val="baseline"/>
        <w:rPr>
          <w:b/>
          <w:bCs/>
          <w:color w:val="auto"/>
          <w:sz w:val="48"/>
          <w:szCs w:val="48"/>
          <w:highlight w:val="none"/>
        </w:rPr>
      </w:pPr>
      <w:r>
        <w:rPr>
          <w:rFonts w:hint="eastAsia"/>
          <w:b/>
          <w:bCs/>
          <w:color w:val="auto"/>
          <w:sz w:val="48"/>
          <w:szCs w:val="48"/>
          <w:highlight w:val="none"/>
        </w:rPr>
        <w:t>诚信承诺书</w:t>
      </w:r>
    </w:p>
    <w:p>
      <w:pPr>
        <w:pStyle w:val="20"/>
        <w:spacing w:before="0" w:beforeAutospacing="0" w:after="0" w:afterAutospacing="0" w:line="400" w:lineRule="exact"/>
        <w:jc w:val="both"/>
        <w:textAlignment w:val="baseline"/>
        <w:rPr>
          <w:bCs/>
          <w:color w:val="auto"/>
          <w:highlight w:val="none"/>
        </w:rPr>
      </w:pPr>
    </w:p>
    <w:p>
      <w:pPr>
        <w:pStyle w:val="20"/>
        <w:spacing w:before="0" w:beforeAutospacing="0" w:after="0" w:afterAutospacing="0" w:line="400" w:lineRule="exact"/>
        <w:ind w:firstLine="470" w:firstLineChars="196"/>
        <w:textAlignment w:val="baseline"/>
        <w:rPr>
          <w:bCs/>
          <w:color w:val="auto"/>
          <w:highlight w:val="none"/>
        </w:rPr>
      </w:pPr>
      <w:r>
        <w:rPr>
          <w:rFonts w:hint="eastAsia"/>
          <w:bCs/>
          <w:color w:val="auto"/>
          <w:highlight w:val="none"/>
        </w:rPr>
        <w:t>本人__________（法定代表人全名）系（公司名）法定代表人，现对</w:t>
      </w:r>
      <w:r>
        <w:rPr>
          <w:rFonts w:hint="eastAsia"/>
          <w:bCs/>
          <w:color w:val="auto"/>
          <w:highlight w:val="none"/>
          <w:u w:val="single"/>
        </w:rPr>
        <w:t>盐城工业职业技术学院</w:t>
      </w:r>
      <w:r>
        <w:rPr>
          <w:rFonts w:hint="eastAsia"/>
          <w:bCs/>
          <w:color w:val="auto"/>
          <w:highlight w:val="none"/>
          <w:u w:val="single"/>
          <w:lang w:eastAsia="zh-CN"/>
        </w:rPr>
        <w:t>非遗学院教室改造项目</w:t>
      </w:r>
      <w:r>
        <w:rPr>
          <w:rFonts w:hint="eastAsia"/>
          <w:bCs/>
          <w:color w:val="auto"/>
          <w:highlight w:val="none"/>
        </w:rPr>
        <w:t>做出如下诚信承诺：</w:t>
      </w:r>
    </w:p>
    <w:p>
      <w:pPr>
        <w:pStyle w:val="20"/>
        <w:spacing w:before="0" w:beforeAutospacing="0" w:after="0" w:afterAutospacing="0" w:line="400" w:lineRule="exact"/>
        <w:ind w:firstLine="480" w:firstLineChars="200"/>
        <w:textAlignment w:val="baseline"/>
        <w:rPr>
          <w:bCs/>
          <w:color w:val="auto"/>
          <w:highlight w:val="none"/>
        </w:rPr>
      </w:pPr>
      <w:r>
        <w:rPr>
          <w:rFonts w:hint="eastAsia"/>
          <w:bCs/>
          <w:color w:val="auto"/>
          <w:highlight w:val="none"/>
        </w:rPr>
        <w:t>① 我方申报的所有资料都是真实、有效的;</w:t>
      </w:r>
    </w:p>
    <w:p>
      <w:pPr>
        <w:pStyle w:val="20"/>
        <w:spacing w:before="0" w:beforeAutospacing="0" w:after="0" w:afterAutospacing="0" w:line="400" w:lineRule="exact"/>
        <w:ind w:firstLine="480" w:firstLineChars="200"/>
        <w:textAlignment w:val="baseline"/>
        <w:rPr>
          <w:bCs/>
          <w:color w:val="auto"/>
          <w:highlight w:val="none"/>
        </w:rPr>
      </w:pPr>
      <w:r>
        <w:rPr>
          <w:rFonts w:hint="eastAsia"/>
          <w:bCs/>
          <w:color w:val="auto"/>
          <w:highlight w:val="none"/>
        </w:rPr>
        <w:t>② 我方不存在资质挂靠或参与串标、围标情形;</w:t>
      </w:r>
    </w:p>
    <w:p>
      <w:pPr>
        <w:pStyle w:val="20"/>
        <w:spacing w:before="0" w:beforeAutospacing="0" w:after="0" w:afterAutospacing="0" w:line="400" w:lineRule="exact"/>
        <w:ind w:firstLine="480" w:firstLineChars="200"/>
        <w:textAlignment w:val="baseline"/>
        <w:rPr>
          <w:bCs/>
          <w:color w:val="auto"/>
          <w:highlight w:val="none"/>
        </w:rPr>
      </w:pPr>
      <w:r>
        <w:rPr>
          <w:rFonts w:hint="eastAsia"/>
          <w:bCs/>
          <w:color w:val="auto"/>
          <w:highlight w:val="none"/>
        </w:rPr>
        <w:t>③ 我方投标项目负责人无在建工程；</w:t>
      </w:r>
    </w:p>
    <w:p>
      <w:pPr>
        <w:pStyle w:val="20"/>
        <w:spacing w:before="0" w:beforeAutospacing="0" w:after="0" w:afterAutospacing="0" w:line="400" w:lineRule="exact"/>
        <w:ind w:firstLine="480" w:firstLineChars="200"/>
        <w:textAlignment w:val="baseline"/>
        <w:rPr>
          <w:bCs/>
          <w:color w:val="auto"/>
          <w:highlight w:val="none"/>
        </w:rPr>
      </w:pPr>
      <w:r>
        <w:rPr>
          <w:rFonts w:hint="eastAsia"/>
          <w:bCs/>
          <w:color w:val="auto"/>
          <w:highlight w:val="none"/>
        </w:rPr>
        <w:t>④ 我方未被各级行政主管部门做出停止市场行为的处罚;</w:t>
      </w:r>
    </w:p>
    <w:p>
      <w:pPr>
        <w:pStyle w:val="20"/>
        <w:spacing w:before="0" w:beforeAutospacing="0" w:after="0" w:afterAutospacing="0" w:line="400" w:lineRule="exact"/>
        <w:ind w:firstLine="480" w:firstLineChars="200"/>
        <w:textAlignment w:val="baseline"/>
        <w:rPr>
          <w:bCs/>
          <w:color w:val="auto"/>
          <w:highlight w:val="none"/>
        </w:rPr>
      </w:pPr>
      <w:r>
        <w:rPr>
          <w:rFonts w:hint="eastAsia"/>
          <w:bCs/>
          <w:color w:val="auto"/>
          <w:highlight w:val="none"/>
        </w:rPr>
        <w:t>⑤ 若我方中标，将严格按照规定及时与招标单位按照招标文件签订合同;</w:t>
      </w:r>
    </w:p>
    <w:p>
      <w:pPr>
        <w:pStyle w:val="20"/>
        <w:spacing w:before="0" w:beforeAutospacing="0" w:after="0" w:afterAutospacing="0" w:line="400" w:lineRule="exact"/>
        <w:ind w:firstLine="480" w:firstLineChars="200"/>
        <w:textAlignment w:val="baseline"/>
        <w:rPr>
          <w:bCs/>
          <w:color w:val="auto"/>
          <w:highlight w:val="none"/>
        </w:rPr>
      </w:pPr>
      <w:r>
        <w:rPr>
          <w:rFonts w:hint="eastAsia"/>
          <w:bCs/>
          <w:color w:val="auto"/>
          <w:highlight w:val="none"/>
        </w:rPr>
        <w:t>⑥ 我方未与其他投标人串通投标，采取不正当手段诋毁、排挤其他投标人的公平竞争，损害招标人或其他投标人的合法权益；</w:t>
      </w:r>
    </w:p>
    <w:p>
      <w:pPr>
        <w:pStyle w:val="20"/>
        <w:spacing w:before="0" w:beforeAutospacing="0" w:after="0" w:afterAutospacing="0" w:line="400" w:lineRule="exact"/>
        <w:ind w:firstLine="480" w:firstLineChars="200"/>
        <w:textAlignment w:val="baseline"/>
        <w:rPr>
          <w:bCs/>
          <w:color w:val="auto"/>
          <w:highlight w:val="none"/>
        </w:rPr>
      </w:pPr>
      <w:r>
        <w:rPr>
          <w:rFonts w:hint="eastAsia"/>
          <w:bCs/>
          <w:color w:val="auto"/>
          <w:highlight w:val="none"/>
        </w:rPr>
        <w:fldChar w:fldCharType="begin"/>
      </w:r>
      <w:r>
        <w:rPr>
          <w:rFonts w:hint="eastAsia"/>
          <w:bCs/>
          <w:color w:val="auto"/>
          <w:highlight w:val="none"/>
        </w:rPr>
        <w:instrText xml:space="preserve">= 7 \* GB3</w:instrText>
      </w:r>
      <w:r>
        <w:rPr>
          <w:rFonts w:hint="eastAsia"/>
          <w:bCs/>
          <w:color w:val="auto"/>
          <w:highlight w:val="none"/>
        </w:rPr>
        <w:fldChar w:fldCharType="separate"/>
      </w:r>
      <w:r>
        <w:rPr>
          <w:rFonts w:hint="eastAsia"/>
          <w:bCs/>
          <w:color w:val="auto"/>
          <w:highlight w:val="none"/>
        </w:rPr>
        <w:t>⑦</w:t>
      </w:r>
      <w:r>
        <w:rPr>
          <w:rFonts w:hint="eastAsia"/>
          <w:bCs/>
          <w:color w:val="auto"/>
          <w:highlight w:val="none"/>
        </w:rPr>
        <w:fldChar w:fldCharType="end"/>
      </w:r>
      <w:r>
        <w:rPr>
          <w:rFonts w:hint="eastAsia"/>
          <w:bCs/>
          <w:color w:val="auto"/>
          <w:highlight w:val="none"/>
        </w:rPr>
        <w:t>我方杜绝捏造、虚构事实等方式进行恶意投诉的行为；</w:t>
      </w:r>
    </w:p>
    <w:p>
      <w:pPr>
        <w:pStyle w:val="20"/>
        <w:spacing w:before="0" w:beforeAutospacing="0" w:after="0" w:afterAutospacing="0" w:line="400" w:lineRule="exact"/>
        <w:ind w:firstLine="480" w:firstLineChars="200"/>
        <w:textAlignment w:val="baseline"/>
        <w:rPr>
          <w:bCs/>
          <w:color w:val="auto"/>
          <w:highlight w:val="none"/>
        </w:rPr>
      </w:pPr>
      <w:r>
        <w:rPr>
          <w:rFonts w:hint="eastAsia"/>
          <w:bCs/>
          <w:color w:val="auto"/>
          <w:highlight w:val="none"/>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20"/>
        <w:spacing w:before="0" w:beforeAutospacing="0" w:after="0" w:afterAutospacing="0" w:line="400" w:lineRule="exact"/>
        <w:ind w:firstLine="480" w:firstLineChars="200"/>
        <w:textAlignment w:val="baseline"/>
        <w:rPr>
          <w:bCs/>
          <w:color w:val="auto"/>
          <w:highlight w:val="none"/>
        </w:rPr>
      </w:pPr>
      <w:r>
        <w:rPr>
          <w:rFonts w:hint="eastAsia"/>
          <w:bCs/>
          <w:color w:val="auto"/>
          <w:highlight w:val="none"/>
        </w:rPr>
        <w:t>⑨若对本次投标有投诉（异议），我保证由我投标时授权的代理人全权处理投诉（异议）事项，不再另行委托他人处理，如若违背，招标人或监管机构有权拒绝受理我公司投诉（异议）事项。</w:t>
      </w:r>
    </w:p>
    <w:p>
      <w:pPr>
        <w:pStyle w:val="20"/>
        <w:spacing w:before="0" w:beforeAutospacing="0" w:after="0" w:afterAutospacing="0" w:line="400" w:lineRule="exact"/>
        <w:ind w:firstLine="480" w:firstLineChars="200"/>
        <w:textAlignment w:val="baseline"/>
        <w:rPr>
          <w:bCs/>
          <w:color w:val="auto"/>
          <w:highlight w:val="none"/>
        </w:rPr>
      </w:pPr>
      <w:r>
        <w:rPr>
          <w:rFonts w:hint="eastAsia"/>
          <w:bCs/>
          <w:color w:val="auto"/>
          <w:highlight w:val="none"/>
        </w:rPr>
        <w:t>我方在本次招投标活动过程中如有违背上述承诺诚实行为的：</w:t>
      </w:r>
    </w:p>
    <w:p>
      <w:pPr>
        <w:pStyle w:val="20"/>
        <w:spacing w:before="0" w:beforeAutospacing="0" w:after="0" w:afterAutospacing="0" w:line="400" w:lineRule="exact"/>
        <w:ind w:firstLine="480" w:firstLineChars="200"/>
        <w:textAlignment w:val="baseline"/>
        <w:rPr>
          <w:bCs/>
          <w:color w:val="auto"/>
          <w:highlight w:val="none"/>
        </w:rPr>
      </w:pPr>
      <w:r>
        <w:rPr>
          <w:rFonts w:hint="eastAsia"/>
          <w:bCs/>
          <w:color w:val="auto"/>
          <w:highlight w:val="none"/>
        </w:rPr>
        <w:t>① 自愿扣除本项目投标保证金。</w:t>
      </w:r>
    </w:p>
    <w:p>
      <w:pPr>
        <w:pStyle w:val="20"/>
        <w:spacing w:before="0" w:beforeAutospacing="0" w:after="0" w:afterAutospacing="0" w:line="400" w:lineRule="exact"/>
        <w:ind w:firstLine="480" w:firstLineChars="200"/>
        <w:textAlignment w:val="baseline"/>
        <w:rPr>
          <w:bCs/>
          <w:color w:val="auto"/>
          <w:highlight w:val="none"/>
        </w:rPr>
      </w:pPr>
      <w:r>
        <w:rPr>
          <w:rFonts w:hint="eastAsia"/>
          <w:bCs/>
          <w:color w:val="auto"/>
          <w:highlight w:val="none"/>
        </w:rPr>
        <w:t>②处罚公示期内，不得参与盐城市国有资金投资项目的投标。</w:t>
      </w:r>
    </w:p>
    <w:p>
      <w:pPr>
        <w:pStyle w:val="20"/>
        <w:spacing w:before="0" w:beforeAutospacing="0" w:after="0" w:afterAutospacing="0" w:line="400" w:lineRule="exact"/>
        <w:ind w:firstLine="480" w:firstLineChars="200"/>
        <w:textAlignment w:val="baseline"/>
        <w:rPr>
          <w:bCs/>
          <w:color w:val="auto"/>
          <w:highlight w:val="none"/>
        </w:rPr>
      </w:pPr>
      <w:r>
        <w:rPr>
          <w:rFonts w:hint="eastAsia"/>
          <w:bCs/>
          <w:color w:val="auto"/>
          <w:highlight w:val="none"/>
        </w:rPr>
        <w:t>③对造成的损失，任何法律和经济责任完全由我方负责。</w:t>
      </w:r>
    </w:p>
    <w:p>
      <w:pPr>
        <w:pStyle w:val="20"/>
        <w:spacing w:before="0" w:beforeAutospacing="0" w:after="0" w:afterAutospacing="0" w:line="400" w:lineRule="exact"/>
        <w:ind w:firstLine="480" w:firstLineChars="200"/>
        <w:textAlignment w:val="baseline"/>
        <w:rPr>
          <w:b/>
          <w:color w:val="auto"/>
          <w:highlight w:val="none"/>
        </w:rPr>
      </w:pPr>
      <w:r>
        <w:rPr>
          <w:rFonts w:hint="eastAsia"/>
          <w:b/>
          <w:color w:val="auto"/>
          <w:highlight w:val="none"/>
        </w:rPr>
        <w:t>投标人的法定代表人必须本人签署诚信承诺书，否则招标人将拒收（退回）其投标文件。</w:t>
      </w:r>
    </w:p>
    <w:p>
      <w:pPr>
        <w:pStyle w:val="3"/>
        <w:ind w:firstLine="0"/>
        <w:rPr>
          <w:rFonts w:ascii="宋体" w:hAnsi="宋体" w:eastAsia="宋体" w:cs="宋体"/>
          <w:b w:val="0"/>
          <w:color w:val="auto"/>
          <w:highlight w:val="none"/>
        </w:rPr>
      </w:pPr>
    </w:p>
    <w:p>
      <w:pPr>
        <w:pStyle w:val="3"/>
        <w:ind w:firstLine="1200" w:firstLineChars="500"/>
        <w:jc w:val="left"/>
        <w:rPr>
          <w:rFonts w:ascii="宋体" w:hAnsi="宋体" w:eastAsia="宋体" w:cs="宋体"/>
          <w:b w:val="0"/>
          <w:color w:val="auto"/>
          <w:highlight w:val="none"/>
        </w:rPr>
      </w:pPr>
      <w:r>
        <w:rPr>
          <w:rFonts w:hint="eastAsia" w:ascii="宋体" w:hAnsi="宋体" w:eastAsia="宋体" w:cs="宋体"/>
          <w:b w:val="0"/>
          <w:color w:val="auto"/>
          <w:highlight w:val="none"/>
        </w:rPr>
        <w:t>投标人（盖章）：</w:t>
      </w:r>
    </w:p>
    <w:p>
      <w:pPr>
        <w:pStyle w:val="3"/>
        <w:ind w:firstLine="1200" w:firstLineChars="500"/>
        <w:jc w:val="left"/>
        <w:rPr>
          <w:rFonts w:ascii="宋体" w:hAnsi="宋体" w:eastAsia="宋体" w:cs="宋体"/>
          <w:b w:val="0"/>
          <w:color w:val="auto"/>
          <w:highlight w:val="none"/>
        </w:rPr>
      </w:pPr>
      <w:r>
        <w:rPr>
          <w:rFonts w:hint="eastAsia" w:ascii="宋体" w:hAnsi="宋体" w:eastAsia="宋体" w:cs="宋体"/>
          <w:b w:val="0"/>
          <w:color w:val="auto"/>
          <w:highlight w:val="none"/>
        </w:rPr>
        <w:t>法定代表人（签字）：</w:t>
      </w:r>
    </w:p>
    <w:p>
      <w:pPr>
        <w:pStyle w:val="3"/>
        <w:ind w:firstLine="1200" w:firstLineChars="500"/>
        <w:jc w:val="left"/>
        <w:rPr>
          <w:rFonts w:ascii="宋体" w:hAnsi="宋体" w:eastAsia="宋体" w:cs="宋体"/>
          <w:b w:val="0"/>
          <w:bCs w:val="0"/>
          <w:color w:val="auto"/>
          <w:highlight w:val="none"/>
        </w:rPr>
      </w:pPr>
      <w:r>
        <w:rPr>
          <w:rFonts w:hint="eastAsia" w:ascii="宋体" w:hAnsi="宋体" w:eastAsia="宋体" w:cs="宋体"/>
          <w:b w:val="0"/>
          <w:bCs w:val="0"/>
          <w:color w:val="auto"/>
          <w:highlight w:val="none"/>
        </w:rPr>
        <w:t>日期：　 年　  月　　日</w:t>
      </w:r>
    </w:p>
    <w:p>
      <w:pPr>
        <w:spacing w:line="500" w:lineRule="exact"/>
        <w:jc w:val="left"/>
        <w:rPr>
          <w:rFonts w:ascii="宋体" w:hAnsi="宋体" w:cs="宋体"/>
          <w:b/>
          <w:color w:val="auto"/>
          <w:sz w:val="32"/>
          <w:szCs w:val="32"/>
          <w:highlight w:val="none"/>
        </w:rPr>
      </w:pPr>
    </w:p>
    <w:p>
      <w:pPr>
        <w:spacing w:line="5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附件2</w:t>
      </w:r>
    </w:p>
    <w:p>
      <w:pPr>
        <w:spacing w:line="500" w:lineRule="exact"/>
        <w:jc w:val="center"/>
        <w:rPr>
          <w:rFonts w:ascii="宋体" w:hAnsi="宋体" w:cs="宋体"/>
          <w:b/>
          <w:color w:val="auto"/>
          <w:sz w:val="32"/>
          <w:szCs w:val="32"/>
          <w:highlight w:val="none"/>
        </w:rPr>
      </w:pPr>
    </w:p>
    <w:p>
      <w:pPr>
        <w:spacing w:line="50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法定代表人身份证明书</w:t>
      </w:r>
    </w:p>
    <w:p>
      <w:pPr>
        <w:spacing w:line="500" w:lineRule="exact"/>
        <w:rPr>
          <w:rFonts w:ascii="宋体" w:hAnsi="宋体" w:cs="宋体"/>
          <w:color w:val="auto"/>
          <w:sz w:val="28"/>
          <w:highlight w:val="none"/>
        </w:rPr>
      </w:pPr>
    </w:p>
    <w:p>
      <w:pPr>
        <w:spacing w:line="5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单位名称：</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单位性质：</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    址：</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成立时间：年月日</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经营期限：</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姓名： 性别： 年龄： 职务：</w:t>
      </w:r>
    </w:p>
    <w:p>
      <w:pPr>
        <w:spacing w:line="500" w:lineRule="exact"/>
        <w:rPr>
          <w:rFonts w:ascii="宋体" w:hAnsi="宋体" w:cs="宋体"/>
          <w:color w:val="auto"/>
          <w:sz w:val="24"/>
          <w:highlight w:val="none"/>
        </w:rPr>
      </w:pPr>
      <w:r>
        <w:rPr>
          <w:rFonts w:hint="eastAsia" w:ascii="宋体" w:hAnsi="宋体" w:cs="宋体"/>
          <w:color w:val="auto"/>
          <w:sz w:val="24"/>
          <w:highlight w:val="none"/>
        </w:rPr>
        <w:t>系（投标人）的法定代表人。</w:t>
      </w:r>
    </w:p>
    <w:p>
      <w:pPr>
        <w:spacing w:line="500" w:lineRule="exact"/>
        <w:ind w:firstLine="480" w:firstLineChars="200"/>
        <w:rPr>
          <w:rFonts w:ascii="宋体" w:hAnsi="宋体" w:cs="宋体"/>
          <w:color w:val="auto"/>
          <w:sz w:val="24"/>
          <w:highlight w:val="none"/>
        </w:rPr>
      </w:pPr>
    </w:p>
    <w:p>
      <w:pPr>
        <w:spacing w:line="500" w:lineRule="exact"/>
        <w:ind w:firstLine="480" w:firstLineChars="200"/>
        <w:rPr>
          <w:rFonts w:ascii="宋体" w:hAnsi="宋体" w:cs="宋体"/>
          <w:color w:val="auto"/>
          <w:sz w:val="24"/>
          <w:highlight w:val="none"/>
        </w:rPr>
      </w:pPr>
    </w:p>
    <w:p>
      <w:pPr>
        <w:spacing w:line="500" w:lineRule="exact"/>
        <w:ind w:firstLine="480" w:firstLineChars="200"/>
        <w:rPr>
          <w:rFonts w:ascii="宋体" w:hAnsi="宋体" w:cs="宋体"/>
          <w:color w:val="auto"/>
          <w:sz w:val="24"/>
          <w:highlight w:val="none"/>
        </w:rPr>
      </w:pP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pPr>
        <w:spacing w:line="500" w:lineRule="exact"/>
        <w:ind w:firstLine="480" w:firstLineChars="200"/>
        <w:rPr>
          <w:rFonts w:ascii="宋体" w:hAnsi="宋体" w:cs="宋体"/>
          <w:color w:val="auto"/>
          <w:sz w:val="24"/>
          <w:highlight w:val="none"/>
        </w:rPr>
      </w:pPr>
    </w:p>
    <w:p>
      <w:pPr>
        <w:spacing w:line="520" w:lineRule="atLeast"/>
        <w:ind w:firstLine="480" w:firstLineChars="200"/>
        <w:rPr>
          <w:rFonts w:ascii="宋体" w:hAnsi="宋体" w:cs="宋体"/>
          <w:b/>
          <w:color w:val="auto"/>
          <w:sz w:val="24"/>
          <w:highlight w:val="none"/>
        </w:rPr>
      </w:pPr>
      <w:r>
        <w:rPr>
          <w:rFonts w:hint="eastAsia" w:ascii="宋体" w:hAnsi="宋体" w:cs="宋体"/>
          <w:b/>
          <w:color w:val="auto"/>
          <w:sz w:val="24"/>
          <w:highlight w:val="none"/>
        </w:rPr>
        <w:t>身份证复印件粘贴处：</w:t>
      </w:r>
    </w:p>
    <w:p>
      <w:pPr>
        <w:spacing w:line="500" w:lineRule="exact"/>
        <w:ind w:firstLine="480" w:firstLineChars="200"/>
        <w:rPr>
          <w:rFonts w:ascii="宋体" w:hAnsi="宋体" w:cs="宋体"/>
          <w:color w:val="auto"/>
          <w:sz w:val="24"/>
          <w:highlight w:val="none"/>
        </w:rPr>
      </w:pPr>
    </w:p>
    <w:p>
      <w:pPr>
        <w:spacing w:line="500" w:lineRule="exact"/>
        <w:ind w:firstLine="480" w:firstLineChars="200"/>
        <w:rPr>
          <w:rFonts w:ascii="宋体" w:hAnsi="宋体" w:cs="宋体"/>
          <w:color w:val="auto"/>
          <w:sz w:val="24"/>
          <w:highlight w:val="none"/>
        </w:rPr>
      </w:pPr>
    </w:p>
    <w:p>
      <w:pPr>
        <w:spacing w:line="500" w:lineRule="exact"/>
        <w:ind w:firstLine="480" w:firstLineChars="200"/>
        <w:rPr>
          <w:rFonts w:ascii="宋体" w:hAnsi="宋体" w:cs="宋体"/>
          <w:color w:val="auto"/>
          <w:sz w:val="24"/>
          <w:highlight w:val="none"/>
        </w:rPr>
      </w:pPr>
    </w:p>
    <w:p>
      <w:pPr>
        <w:spacing w:line="500" w:lineRule="exact"/>
        <w:ind w:firstLine="480" w:firstLineChars="200"/>
        <w:rPr>
          <w:rFonts w:ascii="宋体" w:hAnsi="宋体" w:cs="宋体"/>
          <w:color w:val="auto"/>
          <w:sz w:val="24"/>
          <w:highlight w:val="none"/>
        </w:rPr>
      </w:pPr>
    </w:p>
    <w:p>
      <w:pPr>
        <w:spacing w:line="500" w:lineRule="exact"/>
        <w:rPr>
          <w:rFonts w:ascii="宋体" w:hAnsi="宋体" w:cs="宋体"/>
          <w:color w:val="auto"/>
          <w:sz w:val="24"/>
          <w:highlight w:val="none"/>
        </w:rPr>
      </w:pPr>
    </w:p>
    <w:p>
      <w:pPr>
        <w:spacing w:line="500" w:lineRule="exact"/>
        <w:ind w:firstLine="6240" w:firstLineChars="2600"/>
        <w:rPr>
          <w:rFonts w:ascii="宋体" w:hAnsi="宋体" w:cs="宋体"/>
          <w:color w:val="auto"/>
          <w:sz w:val="24"/>
          <w:highlight w:val="none"/>
        </w:rPr>
      </w:pPr>
      <w:r>
        <w:rPr>
          <w:rFonts w:hint="eastAsia" w:ascii="宋体" w:hAnsi="宋体" w:cs="宋体"/>
          <w:color w:val="auto"/>
          <w:sz w:val="24"/>
          <w:highlight w:val="none"/>
        </w:rPr>
        <w:t>投标人（盖章）：</w:t>
      </w:r>
    </w:p>
    <w:p>
      <w:pPr>
        <w:spacing w:line="500" w:lineRule="exact"/>
        <w:ind w:firstLine="3840" w:firstLineChars="1600"/>
        <w:rPr>
          <w:rFonts w:ascii="宋体" w:hAnsi="宋体" w:cs="宋体"/>
          <w:color w:val="auto"/>
          <w:sz w:val="24"/>
          <w:highlight w:val="none"/>
        </w:rPr>
      </w:pPr>
    </w:p>
    <w:p>
      <w:pPr>
        <w:spacing w:line="500" w:lineRule="exact"/>
        <w:jc w:val="right"/>
        <w:rPr>
          <w:rFonts w:ascii="宋体" w:hAnsi="宋体" w:cs="宋体"/>
          <w:color w:val="auto"/>
          <w:sz w:val="24"/>
          <w:highlight w:val="none"/>
        </w:rPr>
      </w:pPr>
      <w:r>
        <w:rPr>
          <w:rFonts w:hint="eastAsia" w:ascii="宋体" w:hAnsi="宋体" w:cs="宋体"/>
          <w:color w:val="auto"/>
          <w:sz w:val="24"/>
          <w:highlight w:val="none"/>
        </w:rPr>
        <w:t>日期：    年   月   日</w:t>
      </w:r>
    </w:p>
    <w:p>
      <w:pPr>
        <w:spacing w:line="500" w:lineRule="exact"/>
        <w:jc w:val="left"/>
        <w:rPr>
          <w:rFonts w:ascii="宋体" w:hAnsi="宋体" w:cs="宋体"/>
          <w:color w:val="auto"/>
          <w:sz w:val="24"/>
          <w:highlight w:val="none"/>
        </w:rPr>
      </w:pPr>
    </w:p>
    <w:p>
      <w:pPr>
        <w:spacing w:line="500" w:lineRule="exact"/>
        <w:jc w:val="left"/>
        <w:rPr>
          <w:rFonts w:ascii="宋体" w:hAnsi="宋体" w:cs="宋体"/>
          <w:b/>
          <w:color w:val="auto"/>
          <w:sz w:val="32"/>
          <w:szCs w:val="32"/>
          <w:highlight w:val="none"/>
        </w:rPr>
      </w:pPr>
    </w:p>
    <w:p>
      <w:pPr>
        <w:spacing w:line="5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附件3</w:t>
      </w:r>
    </w:p>
    <w:p>
      <w:pPr>
        <w:spacing w:line="50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授 权 委 托 书</w:t>
      </w:r>
    </w:p>
    <w:p>
      <w:pPr>
        <w:spacing w:line="520" w:lineRule="atLeast"/>
        <w:jc w:val="center"/>
        <w:rPr>
          <w:rFonts w:ascii="宋体" w:hAnsi="宋体" w:cs="宋体"/>
          <w:color w:val="auto"/>
          <w:sz w:val="44"/>
          <w:highlight w:val="none"/>
        </w:rPr>
      </w:pPr>
    </w:p>
    <w:p>
      <w:pPr>
        <w:spacing w:line="52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本授权委托书声明：我（姓名）系（投标人名称）的法定代表人，现授权委托（单位名称）的（姓名）为我单位的代理人，以本单位的名义参加</w:t>
      </w:r>
      <w:r>
        <w:rPr>
          <w:rFonts w:hint="eastAsia" w:ascii="宋体" w:hAnsi="宋体" w:cs="宋体"/>
          <w:color w:val="auto"/>
          <w:sz w:val="24"/>
          <w:highlight w:val="none"/>
          <w:u w:val="single"/>
        </w:rPr>
        <w:t>盐城工业职业技术学院</w:t>
      </w:r>
      <w:r>
        <w:rPr>
          <w:rFonts w:hint="eastAsia" w:ascii="宋体" w:hAnsi="宋体" w:cs="宋体"/>
          <w:color w:val="auto"/>
          <w:sz w:val="24"/>
          <w:highlight w:val="none"/>
        </w:rPr>
        <w:t>（招标人名称）的</w:t>
      </w:r>
      <w:r>
        <w:rPr>
          <w:rFonts w:hint="eastAsia" w:ascii="宋体" w:hAnsi="宋体" w:cs="宋体"/>
          <w:color w:val="auto"/>
          <w:sz w:val="24"/>
          <w:highlight w:val="none"/>
          <w:u w:val="single"/>
        </w:rPr>
        <w:t>盐城工业职业技术学院</w:t>
      </w:r>
      <w:r>
        <w:rPr>
          <w:rFonts w:hint="eastAsia" w:ascii="宋体" w:hAnsi="宋体" w:cs="宋体"/>
          <w:color w:val="auto"/>
          <w:sz w:val="24"/>
          <w:highlight w:val="none"/>
          <w:u w:val="single"/>
          <w:lang w:eastAsia="zh-CN"/>
        </w:rPr>
        <w:t>非遗学院教室改造项目</w:t>
      </w:r>
      <w:r>
        <w:rPr>
          <w:rFonts w:hint="eastAsia" w:ascii="宋体" w:hAnsi="宋体" w:cs="宋体"/>
          <w:color w:val="auto"/>
          <w:sz w:val="24"/>
          <w:highlight w:val="none"/>
        </w:rPr>
        <w:t>的投标活动。代理人在开标、评标、合同谈判过程中所签署的一切文件和处理与之有关的一切事务，我均予以承认。代理人无转委托权。</w:t>
      </w:r>
    </w:p>
    <w:p>
      <w:pPr>
        <w:spacing w:line="52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特此委托。</w:t>
      </w:r>
    </w:p>
    <w:p>
      <w:pPr>
        <w:spacing w:line="520" w:lineRule="atLeast"/>
        <w:rPr>
          <w:rFonts w:ascii="宋体" w:hAnsi="宋体" w:cs="宋体"/>
          <w:color w:val="auto"/>
          <w:sz w:val="24"/>
          <w:highlight w:val="none"/>
        </w:rPr>
      </w:pPr>
    </w:p>
    <w:p>
      <w:pPr>
        <w:spacing w:line="52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代理人姓名：              性别：          身份证号码：</w:t>
      </w:r>
    </w:p>
    <w:p>
      <w:pPr>
        <w:spacing w:line="52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电话：                    传真：          手机：</w:t>
      </w:r>
    </w:p>
    <w:p>
      <w:pPr>
        <w:spacing w:line="520" w:lineRule="atLeast"/>
        <w:rPr>
          <w:rFonts w:ascii="宋体" w:hAnsi="宋体" w:cs="宋体"/>
          <w:color w:val="auto"/>
          <w:sz w:val="24"/>
          <w:highlight w:val="none"/>
        </w:rPr>
      </w:pPr>
    </w:p>
    <w:p>
      <w:pPr>
        <w:spacing w:line="520" w:lineRule="atLeast"/>
        <w:jc w:val="center"/>
        <w:rPr>
          <w:rFonts w:ascii="宋体" w:hAnsi="宋体" w:cs="宋体"/>
          <w:color w:val="auto"/>
          <w:sz w:val="24"/>
          <w:highlight w:val="none"/>
        </w:rPr>
      </w:pPr>
      <w:r>
        <w:rPr>
          <w:rFonts w:hint="eastAsia" w:ascii="宋体" w:hAnsi="宋体" w:cs="宋体"/>
          <w:color w:val="auto"/>
          <w:sz w:val="24"/>
          <w:highlight w:val="none"/>
        </w:rPr>
        <w:t xml:space="preserve">        投标人（盖章）： </w:t>
      </w:r>
    </w:p>
    <w:p>
      <w:pPr>
        <w:spacing w:line="520" w:lineRule="atLeast"/>
        <w:jc w:val="center"/>
        <w:rPr>
          <w:rFonts w:ascii="宋体" w:hAnsi="宋体" w:cs="宋体"/>
          <w:color w:val="auto"/>
          <w:sz w:val="24"/>
          <w:highlight w:val="none"/>
        </w:rPr>
      </w:pPr>
    </w:p>
    <w:p>
      <w:pPr>
        <w:spacing w:line="520" w:lineRule="atLeast"/>
        <w:jc w:val="center"/>
        <w:rPr>
          <w:rFonts w:ascii="宋体" w:hAnsi="宋体" w:cs="宋体"/>
          <w:color w:val="auto"/>
          <w:sz w:val="24"/>
          <w:highlight w:val="none"/>
        </w:rPr>
      </w:pPr>
      <w:r>
        <w:rPr>
          <w:rFonts w:hint="eastAsia" w:ascii="宋体" w:hAnsi="宋体" w:cs="宋体"/>
          <w:color w:val="auto"/>
          <w:sz w:val="24"/>
          <w:highlight w:val="none"/>
        </w:rPr>
        <w:t xml:space="preserve">                  法定代表人（签字或盖章）：</w:t>
      </w:r>
    </w:p>
    <w:p>
      <w:pPr>
        <w:spacing w:line="520" w:lineRule="atLeast"/>
        <w:rPr>
          <w:rFonts w:ascii="宋体" w:hAnsi="宋体" w:cs="宋体"/>
          <w:color w:val="auto"/>
          <w:sz w:val="24"/>
          <w:highlight w:val="none"/>
        </w:rPr>
      </w:pPr>
    </w:p>
    <w:p>
      <w:pPr>
        <w:spacing w:line="520" w:lineRule="atLeast"/>
        <w:rPr>
          <w:rFonts w:ascii="宋体" w:hAnsi="宋体" w:cs="宋体"/>
          <w:color w:val="auto"/>
          <w:sz w:val="24"/>
          <w:highlight w:val="none"/>
        </w:rPr>
      </w:pPr>
    </w:p>
    <w:p>
      <w:pPr>
        <w:spacing w:line="520" w:lineRule="atLeast"/>
        <w:ind w:firstLine="480" w:firstLineChars="200"/>
        <w:rPr>
          <w:rFonts w:ascii="宋体" w:hAnsi="宋体" w:cs="宋体"/>
          <w:b/>
          <w:color w:val="auto"/>
          <w:sz w:val="24"/>
          <w:highlight w:val="none"/>
        </w:rPr>
      </w:pPr>
      <w:r>
        <w:rPr>
          <w:rFonts w:hint="eastAsia" w:ascii="宋体" w:hAnsi="宋体" w:cs="宋体"/>
          <w:b/>
          <w:color w:val="auto"/>
          <w:sz w:val="24"/>
          <w:highlight w:val="none"/>
        </w:rPr>
        <w:t>身份证复印件粘贴处：</w:t>
      </w:r>
    </w:p>
    <w:p>
      <w:pPr>
        <w:spacing w:line="500" w:lineRule="exact"/>
        <w:jc w:val="left"/>
        <w:rPr>
          <w:rFonts w:ascii="宋体" w:hAnsi="宋体" w:cs="宋体"/>
          <w:color w:val="auto"/>
          <w:sz w:val="24"/>
          <w:highlight w:val="none"/>
        </w:rPr>
      </w:pPr>
      <w:r>
        <w:rPr>
          <w:rFonts w:hint="eastAsia" w:ascii="宋体" w:hAnsi="宋体" w:cs="宋体"/>
          <w:color w:val="auto"/>
          <w:sz w:val="24"/>
          <w:highlight w:val="none"/>
        </w:rPr>
        <w:br w:type="page"/>
      </w:r>
    </w:p>
    <w:p>
      <w:pPr>
        <w:pStyle w:val="3"/>
        <w:tabs>
          <w:tab w:val="left" w:pos="840"/>
        </w:tabs>
        <w:spacing w:afterLines="50" w:line="320" w:lineRule="exact"/>
        <w:ind w:firstLine="0"/>
        <w:rPr>
          <w:rFonts w:ascii="宋体" w:hAnsi="宋体" w:eastAsia="宋体" w:cs="宋体"/>
          <w:color w:val="auto"/>
          <w:highlight w:val="none"/>
        </w:rPr>
      </w:pPr>
      <w:r>
        <w:rPr>
          <w:rFonts w:hint="eastAsia" w:ascii="宋体" w:hAnsi="宋体" w:eastAsia="宋体" w:cs="宋体"/>
          <w:bCs w:val="0"/>
          <w:color w:val="auto"/>
          <w:sz w:val="32"/>
          <w:szCs w:val="32"/>
          <w:highlight w:val="none"/>
        </w:rPr>
        <w:t>附件4</w:t>
      </w:r>
    </w:p>
    <w:p>
      <w:pPr>
        <w:pStyle w:val="3"/>
        <w:spacing w:afterLines="50" w:line="240" w:lineRule="auto"/>
        <w:ind w:firstLine="516"/>
        <w:jc w:val="center"/>
        <w:rPr>
          <w:rFonts w:ascii="宋体" w:hAnsi="宋体" w:eastAsia="宋体" w:cs="宋体"/>
          <w:bCs w:val="0"/>
          <w:color w:val="auto"/>
          <w:sz w:val="32"/>
          <w:szCs w:val="32"/>
          <w:highlight w:val="none"/>
        </w:rPr>
      </w:pPr>
      <w:r>
        <w:rPr>
          <w:rFonts w:hint="eastAsia" w:ascii="宋体" w:hAnsi="宋体" w:eastAsia="宋体" w:cs="宋体"/>
          <w:bCs w:val="0"/>
          <w:color w:val="auto"/>
          <w:sz w:val="44"/>
          <w:szCs w:val="44"/>
          <w:highlight w:val="none"/>
        </w:rPr>
        <w:t>投标承诺书</w:t>
      </w:r>
    </w:p>
    <w:p>
      <w:pPr>
        <w:pStyle w:val="3"/>
        <w:spacing w:line="380" w:lineRule="exact"/>
        <w:ind w:firstLine="0"/>
        <w:rPr>
          <w:rFonts w:ascii="宋体" w:hAnsi="宋体" w:eastAsia="宋体" w:cs="宋体"/>
          <w:b w:val="0"/>
          <w:color w:val="auto"/>
          <w:highlight w:val="none"/>
          <w:u w:val="single"/>
        </w:rPr>
      </w:pPr>
      <w:r>
        <w:rPr>
          <w:rFonts w:hint="eastAsia" w:ascii="宋体" w:hAnsi="宋体" w:eastAsia="宋体" w:cs="宋体"/>
          <w:b w:val="0"/>
          <w:color w:val="auto"/>
          <w:highlight w:val="none"/>
        </w:rPr>
        <w:t>致：</w:t>
      </w:r>
      <w:r>
        <w:rPr>
          <w:rFonts w:hint="eastAsia" w:ascii="宋体" w:hAnsi="宋体" w:eastAsia="宋体" w:cs="宋体"/>
          <w:b w:val="0"/>
          <w:bCs w:val="0"/>
          <w:color w:val="auto"/>
          <w:highlight w:val="none"/>
          <w:u w:val="single"/>
        </w:rPr>
        <w:t>盐城工业职业技术学院</w:t>
      </w:r>
    </w:p>
    <w:p>
      <w:pPr>
        <w:pStyle w:val="3"/>
        <w:spacing w:line="420" w:lineRule="exact"/>
        <w:ind w:firstLine="520" w:firstLineChars="200"/>
        <w:rPr>
          <w:rFonts w:ascii="宋体" w:hAnsi="宋体" w:eastAsia="宋体" w:cs="宋体"/>
          <w:b w:val="0"/>
          <w:color w:val="auto"/>
          <w:highlight w:val="none"/>
        </w:rPr>
      </w:pPr>
      <w:r>
        <w:rPr>
          <w:rFonts w:hint="eastAsia" w:ascii="宋体" w:hAnsi="宋体" w:eastAsia="宋体" w:cs="宋体"/>
          <w:b w:val="0"/>
          <w:color w:val="auto"/>
          <w:spacing w:val="10"/>
          <w:highlight w:val="none"/>
        </w:rPr>
        <w:t>1.根据你方招标项目</w:t>
      </w:r>
      <w:r>
        <w:rPr>
          <w:rFonts w:hint="eastAsia" w:ascii="宋体" w:hAnsi="宋体" w:eastAsia="宋体" w:cs="宋体"/>
          <w:b w:val="0"/>
          <w:bCs w:val="0"/>
          <w:color w:val="auto"/>
          <w:highlight w:val="none"/>
          <w:u w:val="single"/>
        </w:rPr>
        <w:t>盐城工业职业技术学院</w:t>
      </w:r>
      <w:r>
        <w:rPr>
          <w:rFonts w:hint="eastAsia" w:ascii="宋体" w:hAnsi="宋体" w:eastAsia="宋体" w:cs="宋体"/>
          <w:b w:val="0"/>
          <w:bCs w:val="0"/>
          <w:color w:val="auto"/>
          <w:highlight w:val="none"/>
          <w:u w:val="single"/>
          <w:lang w:eastAsia="zh-CN"/>
        </w:rPr>
        <w:t>非遗学院教室改造项目</w:t>
      </w:r>
      <w:r>
        <w:rPr>
          <w:rFonts w:hint="eastAsia" w:ascii="宋体" w:hAnsi="宋体" w:eastAsia="宋体" w:cs="宋体"/>
          <w:b w:val="0"/>
          <w:color w:val="auto"/>
          <w:spacing w:val="10"/>
          <w:highlight w:val="none"/>
        </w:rPr>
        <w:t>的招标文件、遵照《中华人民共和国招标投标法》等有关规定，经踏勘项目现场和研究上述招标文件的投标须知、合同条</w:t>
      </w:r>
      <w:r>
        <w:rPr>
          <w:rFonts w:hint="eastAsia" w:ascii="宋体" w:hAnsi="宋体" w:eastAsia="宋体" w:cs="宋体"/>
          <w:b w:val="0"/>
          <w:color w:val="auto"/>
          <w:spacing w:val="10"/>
          <w:kern w:val="24"/>
          <w:highlight w:val="none"/>
        </w:rPr>
        <w:t>款、图</w:t>
      </w:r>
      <w:r>
        <w:rPr>
          <w:rFonts w:hint="eastAsia" w:ascii="宋体" w:hAnsi="宋体" w:eastAsia="宋体" w:cs="宋体"/>
          <w:b w:val="0"/>
          <w:color w:val="auto"/>
          <w:spacing w:val="10"/>
          <w:highlight w:val="none"/>
        </w:rPr>
        <w:t>纸</w:t>
      </w:r>
      <w:r>
        <w:rPr>
          <w:rFonts w:hint="eastAsia" w:ascii="宋体" w:hAnsi="宋体" w:eastAsia="宋体" w:cs="宋体"/>
          <w:b w:val="0"/>
          <w:color w:val="auto"/>
          <w:spacing w:val="10"/>
          <w:kern w:val="24"/>
          <w:highlight w:val="none"/>
        </w:rPr>
        <w:t>、建设标准和工程量清单及其他有关文件后，我方愿以人民币</w:t>
      </w:r>
      <w:r>
        <w:rPr>
          <w:rFonts w:hint="eastAsia" w:ascii="宋体" w:hAnsi="宋体" w:eastAsia="宋体" w:cs="宋体"/>
          <w:b w:val="0"/>
          <w:color w:val="auto"/>
          <w:spacing w:val="10"/>
          <w:kern w:val="24"/>
          <w:highlight w:val="none"/>
          <w:u w:val="single"/>
        </w:rPr>
        <w:t>（大写）   　　（小写：　 　元）</w:t>
      </w:r>
      <w:r>
        <w:rPr>
          <w:rFonts w:hint="eastAsia" w:ascii="宋体" w:hAnsi="宋体" w:eastAsia="宋体" w:cs="宋体"/>
          <w:b w:val="0"/>
          <w:color w:val="auto"/>
          <w:spacing w:val="10"/>
          <w:highlight w:val="none"/>
        </w:rPr>
        <w:t>的投标报价并按上述图</w:t>
      </w:r>
      <w:r>
        <w:rPr>
          <w:rFonts w:hint="eastAsia" w:ascii="宋体" w:hAnsi="宋体" w:eastAsia="宋体" w:cs="宋体"/>
          <w:b w:val="0"/>
          <w:color w:val="auto"/>
          <w:highlight w:val="none"/>
        </w:rPr>
        <w:t>纸、</w:t>
      </w:r>
      <w:r>
        <w:rPr>
          <w:rFonts w:hint="eastAsia" w:ascii="宋体" w:hAnsi="宋体" w:eastAsia="宋体" w:cs="宋体"/>
          <w:b w:val="0"/>
          <w:color w:val="auto"/>
          <w:spacing w:val="10"/>
          <w:highlight w:val="none"/>
        </w:rPr>
        <w:t>合同条款、工程建设标准和工程</w:t>
      </w:r>
      <w:r>
        <w:rPr>
          <w:rFonts w:hint="eastAsia" w:ascii="宋体" w:hAnsi="宋体" w:eastAsia="宋体" w:cs="宋体"/>
          <w:b w:val="0"/>
          <w:color w:val="auto"/>
          <w:highlight w:val="none"/>
        </w:rPr>
        <w:t>量清单的条件要求承包上述工程对应标段的施工、竣工，并承担任何质量缺陷保修责任。</w:t>
      </w:r>
    </w:p>
    <w:p>
      <w:pPr>
        <w:pStyle w:val="3"/>
        <w:spacing w:line="380" w:lineRule="exact"/>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2.我方派出</w:t>
      </w:r>
      <w:r>
        <w:rPr>
          <w:rFonts w:hint="eastAsia" w:ascii="宋体" w:hAnsi="宋体" w:eastAsia="宋体" w:cs="宋体"/>
          <w:b w:val="0"/>
          <w:color w:val="auto"/>
          <w:highlight w:val="none"/>
          <w:u w:val="single"/>
        </w:rPr>
        <w:t>　　　</w:t>
      </w:r>
      <w:r>
        <w:rPr>
          <w:rFonts w:hint="eastAsia" w:ascii="宋体" w:hAnsi="宋体" w:eastAsia="宋体" w:cs="宋体"/>
          <w:b w:val="0"/>
          <w:color w:val="auto"/>
          <w:highlight w:val="none"/>
        </w:rPr>
        <w:t>（项目负责人姓名）作为本次招标项目的项目负责人，项目负责人的联系电话为。</w:t>
      </w:r>
    </w:p>
    <w:p>
      <w:pPr>
        <w:pStyle w:val="3"/>
        <w:spacing w:line="380" w:lineRule="exact"/>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3.我方已详细阅读全部招标文件，包括修改文件、答疑及有关附件，我方承诺完全响应并认可上述文件的所有内容。</w:t>
      </w:r>
    </w:p>
    <w:p>
      <w:pPr>
        <w:pStyle w:val="3"/>
        <w:spacing w:line="380" w:lineRule="exact"/>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4.我方承认投标函附件是我方投标函的组成部分。</w:t>
      </w:r>
    </w:p>
    <w:p>
      <w:pPr>
        <w:pStyle w:val="3"/>
        <w:spacing w:line="380" w:lineRule="exact"/>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5.一旦我方中标，我方保证在</w:t>
      </w:r>
      <w:r>
        <w:rPr>
          <w:rFonts w:hint="eastAsia" w:ascii="宋体" w:hAnsi="宋体" w:eastAsia="宋体" w:cs="宋体"/>
          <w:bCs w:val="0"/>
          <w:color w:val="auto"/>
          <w:highlight w:val="none"/>
          <w:u w:val="single"/>
        </w:rPr>
        <w:t>招标人要求的工期内通过竣工验收合格并交付使用</w:t>
      </w:r>
      <w:r>
        <w:rPr>
          <w:rFonts w:hint="eastAsia" w:ascii="宋体" w:hAnsi="宋体" w:eastAsia="宋体" w:cs="宋体"/>
          <w:b w:val="0"/>
          <w:color w:val="auto"/>
          <w:highlight w:val="none"/>
        </w:rPr>
        <w:t>；并确保工程质量达到</w:t>
      </w:r>
      <w:r>
        <w:rPr>
          <w:rFonts w:hint="eastAsia" w:ascii="宋体" w:hAnsi="宋体" w:eastAsia="宋体" w:cs="宋体"/>
          <w:bCs w:val="0"/>
          <w:color w:val="auto"/>
          <w:highlight w:val="none"/>
          <w:u w:val="single"/>
        </w:rPr>
        <w:t>国家合格标准</w:t>
      </w:r>
      <w:r>
        <w:rPr>
          <w:rFonts w:hint="eastAsia" w:ascii="宋体" w:hAnsi="宋体" w:eastAsia="宋体" w:cs="宋体"/>
          <w:b w:val="0"/>
          <w:color w:val="auto"/>
          <w:highlight w:val="none"/>
        </w:rPr>
        <w:t>，同时严格执行《建设工程质量管理条例》中有关工程保修条款。</w:t>
      </w:r>
    </w:p>
    <w:p>
      <w:pPr>
        <w:pStyle w:val="3"/>
        <w:spacing w:line="380" w:lineRule="exact"/>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6、如果我方在投标有效期内撤回投标、无故放弃中标资格，或违反招标文件、法律、法规规定的其他事项，我方的投标保证金贵方不予退还。</w:t>
      </w:r>
    </w:p>
    <w:p>
      <w:pPr>
        <w:pStyle w:val="3"/>
        <w:spacing w:line="380" w:lineRule="exact"/>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7.  我方同意所提交的投标文件在招标文件规定的投标有效期内有效，在此期间内如果中标，我方将受此约束。</w:t>
      </w:r>
    </w:p>
    <w:p>
      <w:pPr>
        <w:pStyle w:val="3"/>
        <w:spacing w:line="380" w:lineRule="exact"/>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8. 除非另外达成协议生效，你方的《中标通知书》和本投标文件将成为约束双方的合同文件的组成部分。</w:t>
      </w:r>
    </w:p>
    <w:p>
      <w:pPr>
        <w:pStyle w:val="3"/>
        <w:spacing w:line="380" w:lineRule="exact"/>
        <w:ind w:firstLine="1473" w:firstLineChars="614"/>
        <w:rPr>
          <w:rFonts w:ascii="宋体" w:hAnsi="宋体" w:eastAsia="宋体" w:cs="宋体"/>
          <w:b w:val="0"/>
          <w:color w:val="auto"/>
          <w:highlight w:val="none"/>
        </w:rPr>
      </w:pPr>
    </w:p>
    <w:p>
      <w:pPr>
        <w:pStyle w:val="3"/>
        <w:spacing w:line="380" w:lineRule="exact"/>
        <w:ind w:firstLine="1305" w:firstLineChars="544"/>
        <w:rPr>
          <w:rFonts w:ascii="宋体" w:hAnsi="宋体" w:eastAsia="宋体" w:cs="宋体"/>
          <w:b w:val="0"/>
          <w:color w:val="auto"/>
          <w:highlight w:val="none"/>
        </w:rPr>
      </w:pPr>
      <w:r>
        <w:rPr>
          <w:rFonts w:hint="eastAsia" w:ascii="宋体" w:hAnsi="宋体" w:eastAsia="宋体" w:cs="宋体"/>
          <w:b w:val="0"/>
          <w:color w:val="auto"/>
          <w:highlight w:val="none"/>
        </w:rPr>
        <w:t>投标人（盖章）：</w:t>
      </w:r>
      <w:r>
        <w:rPr>
          <w:rFonts w:hint="eastAsia" w:ascii="宋体" w:hAnsi="宋体" w:eastAsia="宋体" w:cs="宋体"/>
          <w:b w:val="0"/>
          <w:color w:val="auto"/>
          <w:highlight w:val="none"/>
          <w:u w:val="single"/>
        </w:rPr>
        <w:t>　　　　　　　　　　　　　　　   　　　　</w:t>
      </w:r>
    </w:p>
    <w:p>
      <w:pPr>
        <w:pStyle w:val="3"/>
        <w:spacing w:line="380" w:lineRule="exact"/>
        <w:ind w:firstLine="1200" w:firstLineChars="500"/>
        <w:rPr>
          <w:rFonts w:ascii="宋体" w:hAnsi="宋体" w:eastAsia="宋体" w:cs="宋体"/>
          <w:b w:val="0"/>
          <w:color w:val="auto"/>
          <w:highlight w:val="none"/>
          <w:u w:val="single"/>
        </w:rPr>
      </w:pPr>
      <w:r>
        <w:rPr>
          <w:rFonts w:hint="eastAsia" w:ascii="宋体" w:hAnsi="宋体" w:eastAsia="宋体" w:cs="宋体"/>
          <w:b w:val="0"/>
          <w:color w:val="auto"/>
          <w:highlight w:val="none"/>
        </w:rPr>
        <w:t>地址：</w:t>
      </w:r>
      <w:r>
        <w:rPr>
          <w:rFonts w:hint="eastAsia" w:ascii="宋体" w:hAnsi="宋体" w:eastAsia="宋体" w:cs="宋体"/>
          <w:b w:val="0"/>
          <w:color w:val="auto"/>
          <w:highlight w:val="none"/>
          <w:u w:val="single"/>
        </w:rPr>
        <w:t>　　　　　　　　　   　　　　　　　　　　 　　　　</w:t>
      </w:r>
    </w:p>
    <w:p>
      <w:pPr>
        <w:pStyle w:val="3"/>
        <w:spacing w:line="380" w:lineRule="exact"/>
        <w:ind w:firstLine="1200" w:firstLineChars="500"/>
        <w:rPr>
          <w:rFonts w:ascii="宋体" w:hAnsi="宋体" w:eastAsia="宋体" w:cs="宋体"/>
          <w:b w:val="0"/>
          <w:color w:val="auto"/>
          <w:highlight w:val="none"/>
          <w:u w:val="single"/>
        </w:rPr>
      </w:pPr>
      <w:r>
        <w:rPr>
          <w:rFonts w:hint="eastAsia" w:ascii="宋体" w:hAnsi="宋体" w:eastAsia="宋体" w:cs="宋体"/>
          <w:b w:val="0"/>
          <w:color w:val="auto"/>
          <w:highlight w:val="none"/>
        </w:rPr>
        <w:t>法定代表人或其委托代理人（签字或盖章）：</w:t>
      </w:r>
      <w:r>
        <w:rPr>
          <w:rFonts w:hint="eastAsia" w:ascii="宋体" w:hAnsi="宋体" w:eastAsia="宋体" w:cs="宋体"/>
          <w:b w:val="0"/>
          <w:color w:val="auto"/>
          <w:highlight w:val="none"/>
          <w:u w:val="single"/>
        </w:rPr>
        <w:t>　　　　　　 　　</w:t>
      </w:r>
    </w:p>
    <w:p>
      <w:pPr>
        <w:pStyle w:val="3"/>
        <w:spacing w:line="380" w:lineRule="exact"/>
        <w:ind w:firstLine="1200" w:firstLineChars="500"/>
        <w:rPr>
          <w:rFonts w:ascii="宋体" w:hAnsi="宋体" w:eastAsia="宋体" w:cs="宋体"/>
          <w:b w:val="0"/>
          <w:color w:val="auto"/>
          <w:highlight w:val="none"/>
        </w:rPr>
      </w:pPr>
      <w:r>
        <w:rPr>
          <w:rFonts w:hint="eastAsia" w:ascii="宋体" w:hAnsi="宋体" w:eastAsia="宋体" w:cs="宋体"/>
          <w:b w:val="0"/>
          <w:color w:val="auto"/>
          <w:highlight w:val="none"/>
        </w:rPr>
        <w:t>邮政编码：</w:t>
      </w:r>
      <w:r>
        <w:rPr>
          <w:rFonts w:hint="eastAsia" w:ascii="宋体" w:hAnsi="宋体" w:eastAsia="宋体" w:cs="宋体"/>
          <w:b w:val="0"/>
          <w:color w:val="auto"/>
          <w:highlight w:val="none"/>
          <w:u w:val="single"/>
        </w:rPr>
        <w:t>　　　　</w:t>
      </w:r>
      <w:r>
        <w:rPr>
          <w:rFonts w:hint="eastAsia" w:ascii="宋体" w:hAnsi="宋体" w:eastAsia="宋体" w:cs="宋体"/>
          <w:b w:val="0"/>
          <w:color w:val="auto"/>
          <w:highlight w:val="none"/>
        </w:rPr>
        <w:t>电话：</w:t>
      </w:r>
      <w:r>
        <w:rPr>
          <w:rFonts w:hint="eastAsia" w:ascii="宋体" w:hAnsi="宋体" w:eastAsia="宋体" w:cs="宋体"/>
          <w:b w:val="0"/>
          <w:color w:val="auto"/>
          <w:highlight w:val="none"/>
          <w:u w:val="single"/>
        </w:rPr>
        <w:t>　　　　</w:t>
      </w:r>
      <w:r>
        <w:rPr>
          <w:rFonts w:hint="eastAsia" w:ascii="宋体" w:hAnsi="宋体" w:eastAsia="宋体" w:cs="宋体"/>
          <w:b w:val="0"/>
          <w:color w:val="auto"/>
          <w:highlight w:val="none"/>
        </w:rPr>
        <w:t>传真：</w:t>
      </w:r>
      <w:r>
        <w:rPr>
          <w:rFonts w:hint="eastAsia" w:ascii="宋体" w:hAnsi="宋体" w:eastAsia="宋体" w:cs="宋体"/>
          <w:b w:val="0"/>
          <w:color w:val="auto"/>
          <w:highlight w:val="none"/>
          <w:u w:val="single"/>
        </w:rPr>
        <w:t>　　　　　</w:t>
      </w:r>
      <w:r>
        <w:rPr>
          <w:rFonts w:hint="eastAsia" w:ascii="宋体" w:hAnsi="宋体" w:eastAsia="宋体" w:cs="宋体"/>
          <w:b w:val="0"/>
          <w:color w:val="auto"/>
          <w:highlight w:val="none"/>
        </w:rPr>
        <w:t>邮箱：</w:t>
      </w:r>
      <w:r>
        <w:rPr>
          <w:rFonts w:hint="eastAsia" w:ascii="宋体" w:hAnsi="宋体" w:eastAsia="宋体" w:cs="宋体"/>
          <w:b w:val="0"/>
          <w:color w:val="auto"/>
          <w:highlight w:val="none"/>
          <w:u w:val="single"/>
        </w:rPr>
        <w:t>　　</w:t>
      </w:r>
    </w:p>
    <w:p>
      <w:pPr>
        <w:spacing w:line="380" w:lineRule="exact"/>
        <w:ind w:firstLine="5145" w:firstLineChars="2450"/>
        <w:jc w:val="lef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年　  月　　日</w:t>
      </w:r>
    </w:p>
    <w:p>
      <w:pPr>
        <w:spacing w:line="500" w:lineRule="exact"/>
        <w:jc w:val="left"/>
        <w:rPr>
          <w:rFonts w:ascii="宋体" w:hAnsi="宋体" w:cs="宋体"/>
          <w:color w:val="auto"/>
          <w:highlight w:val="none"/>
        </w:rPr>
      </w:pPr>
    </w:p>
    <w:p>
      <w:pPr>
        <w:widowControl/>
        <w:jc w:val="left"/>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pPr>
        <w:spacing w:line="5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附件5</w:t>
      </w:r>
    </w:p>
    <w:p>
      <w:pPr>
        <w:spacing w:line="500" w:lineRule="exact"/>
        <w:rPr>
          <w:rFonts w:ascii="宋体" w:hAnsi="宋体" w:cs="宋体"/>
          <w:color w:val="auto"/>
          <w:sz w:val="24"/>
          <w:highlight w:val="none"/>
        </w:rPr>
      </w:pPr>
      <w:r>
        <w:rPr>
          <w:rFonts w:hint="eastAsia" w:ascii="宋体" w:hAnsi="宋体" w:cs="宋体"/>
          <w:color w:val="auto"/>
          <w:sz w:val="24"/>
          <w:highlight w:val="none"/>
        </w:rPr>
        <w:t>一号标书封面样式：</w:t>
      </w:r>
    </w:p>
    <w:p>
      <w:pPr>
        <w:spacing w:line="520" w:lineRule="atLeast"/>
        <w:jc w:val="right"/>
        <w:rPr>
          <w:rFonts w:ascii="宋体" w:hAnsi="宋体" w:cs="宋体"/>
          <w:color w:val="auto"/>
          <w:sz w:val="28"/>
          <w:highlight w:val="none"/>
        </w:rPr>
      </w:pPr>
      <w:r>
        <w:rPr>
          <w:rFonts w:hint="eastAsia" w:ascii="宋体" w:hAnsi="宋体" w:cs="宋体"/>
          <w:color w:val="auto"/>
          <w:sz w:val="28"/>
          <w:highlight w:val="none"/>
        </w:rPr>
        <w:t>本</w:t>
      </w:r>
    </w:p>
    <w:p>
      <w:pPr>
        <w:pStyle w:val="11"/>
        <w:adjustRightInd w:val="0"/>
        <w:snapToGrid w:val="0"/>
        <w:spacing w:line="300" w:lineRule="exact"/>
        <w:ind w:left="109" w:leftChars="52"/>
        <w:rPr>
          <w:rFonts w:hAnsi="宋体" w:cs="宋体"/>
          <w:b/>
          <w:bCs/>
          <w:color w:val="auto"/>
          <w:sz w:val="32"/>
          <w:szCs w:val="32"/>
          <w:highlight w:val="none"/>
        </w:rPr>
      </w:pPr>
    </w:p>
    <w:p>
      <w:pPr>
        <w:pStyle w:val="11"/>
        <w:adjustRightInd w:val="0"/>
        <w:snapToGrid w:val="0"/>
        <w:spacing w:line="300" w:lineRule="exact"/>
        <w:rPr>
          <w:rFonts w:hAnsi="宋体" w:cs="宋体"/>
          <w:b/>
          <w:bCs/>
          <w:color w:val="auto"/>
          <w:sz w:val="32"/>
          <w:szCs w:val="32"/>
          <w:highlight w:val="none"/>
        </w:rPr>
      </w:pPr>
    </w:p>
    <w:p>
      <w:pPr>
        <w:pStyle w:val="11"/>
        <w:adjustRightInd w:val="0"/>
        <w:snapToGrid w:val="0"/>
        <w:spacing w:line="300" w:lineRule="exact"/>
        <w:ind w:left="109" w:leftChars="52"/>
        <w:rPr>
          <w:rFonts w:hAnsi="宋体" w:cs="宋体"/>
          <w:b/>
          <w:bCs/>
          <w:color w:val="auto"/>
          <w:sz w:val="32"/>
          <w:szCs w:val="32"/>
          <w:highlight w:val="none"/>
        </w:rPr>
      </w:pPr>
    </w:p>
    <w:p>
      <w:pPr>
        <w:pStyle w:val="11"/>
        <w:adjustRightInd w:val="0"/>
        <w:snapToGrid w:val="0"/>
        <w:jc w:val="center"/>
        <w:rPr>
          <w:rFonts w:hint="eastAsia" w:hAnsi="宋体" w:eastAsia="宋体" w:cs="宋体"/>
          <w:b/>
          <w:bCs/>
          <w:color w:val="auto"/>
          <w:sz w:val="44"/>
          <w:szCs w:val="44"/>
          <w:highlight w:val="none"/>
          <w:lang w:eastAsia="zh-CN"/>
        </w:rPr>
      </w:pPr>
      <w:r>
        <w:rPr>
          <w:rFonts w:hint="eastAsia" w:hAnsi="宋体" w:cs="宋体"/>
          <w:b/>
          <w:color w:val="auto"/>
          <w:kern w:val="2"/>
          <w:sz w:val="44"/>
          <w:szCs w:val="44"/>
          <w:highlight w:val="none"/>
        </w:rPr>
        <w:t>盐城工业职业技术学院</w:t>
      </w:r>
      <w:r>
        <w:rPr>
          <w:rFonts w:hint="eastAsia" w:hAnsi="宋体" w:cs="宋体"/>
          <w:b/>
          <w:color w:val="auto"/>
          <w:kern w:val="2"/>
          <w:sz w:val="44"/>
          <w:szCs w:val="44"/>
          <w:highlight w:val="none"/>
          <w:lang w:eastAsia="zh-CN"/>
        </w:rPr>
        <w:t>非遗学院教室</w:t>
      </w:r>
      <w:bookmarkStart w:id="8" w:name="_GoBack"/>
      <w:bookmarkEnd w:id="8"/>
      <w:r>
        <w:rPr>
          <w:rFonts w:hint="eastAsia" w:hAnsi="宋体" w:cs="宋体"/>
          <w:b/>
          <w:color w:val="auto"/>
          <w:kern w:val="2"/>
          <w:sz w:val="44"/>
          <w:szCs w:val="44"/>
          <w:highlight w:val="none"/>
          <w:lang w:eastAsia="zh-CN"/>
        </w:rPr>
        <w:t>改造项目</w:t>
      </w:r>
    </w:p>
    <w:p>
      <w:pPr>
        <w:spacing w:line="520" w:lineRule="atLeast"/>
        <w:rPr>
          <w:rFonts w:ascii="宋体" w:hAnsi="宋体" w:cs="宋体"/>
          <w:color w:val="auto"/>
          <w:sz w:val="48"/>
          <w:highlight w:val="none"/>
        </w:rPr>
      </w:pPr>
    </w:p>
    <w:p>
      <w:pPr>
        <w:pStyle w:val="2"/>
        <w:ind w:firstLine="422"/>
        <w:rPr>
          <w:rFonts w:ascii="宋体" w:hAnsi="宋体" w:eastAsia="宋体" w:cs="宋体"/>
          <w:color w:val="auto"/>
          <w:highlight w:val="none"/>
        </w:rPr>
      </w:pPr>
    </w:p>
    <w:p>
      <w:pPr>
        <w:spacing w:line="520" w:lineRule="atLeast"/>
        <w:jc w:val="center"/>
        <w:rPr>
          <w:rFonts w:ascii="宋体" w:hAnsi="宋体" w:cs="宋体"/>
          <w:b/>
          <w:bCs/>
          <w:color w:val="auto"/>
          <w:sz w:val="72"/>
          <w:highlight w:val="none"/>
        </w:rPr>
      </w:pPr>
      <w:r>
        <w:rPr>
          <w:rFonts w:hint="eastAsia" w:ascii="宋体" w:hAnsi="宋体" w:cs="宋体"/>
          <w:b/>
          <w:bCs/>
          <w:color w:val="auto"/>
          <w:sz w:val="72"/>
          <w:highlight w:val="none"/>
        </w:rPr>
        <w:t>投 标 文 件</w:t>
      </w:r>
    </w:p>
    <w:p>
      <w:pPr>
        <w:spacing w:line="520" w:lineRule="atLeast"/>
        <w:jc w:val="center"/>
        <w:rPr>
          <w:rFonts w:ascii="宋体" w:hAnsi="宋体" w:cs="宋体"/>
          <w:b/>
          <w:bCs/>
          <w:color w:val="auto"/>
          <w:sz w:val="36"/>
          <w:highlight w:val="none"/>
        </w:rPr>
      </w:pPr>
    </w:p>
    <w:p>
      <w:pPr>
        <w:spacing w:line="520" w:lineRule="atLeast"/>
        <w:jc w:val="center"/>
        <w:rPr>
          <w:rFonts w:ascii="宋体" w:hAnsi="宋体" w:cs="宋体"/>
          <w:b/>
          <w:bCs/>
          <w:color w:val="auto"/>
          <w:sz w:val="36"/>
          <w:highlight w:val="none"/>
        </w:rPr>
      </w:pPr>
      <w:r>
        <w:rPr>
          <w:rFonts w:hint="eastAsia" w:ascii="宋体" w:hAnsi="宋体" w:cs="宋体"/>
          <w:b/>
          <w:bCs/>
          <w:color w:val="auto"/>
          <w:sz w:val="36"/>
          <w:highlight w:val="none"/>
        </w:rPr>
        <w:t>（一号标书）</w:t>
      </w:r>
    </w:p>
    <w:p>
      <w:pPr>
        <w:spacing w:line="520" w:lineRule="atLeast"/>
        <w:rPr>
          <w:rFonts w:ascii="宋体" w:hAnsi="宋体" w:cs="宋体"/>
          <w:b/>
          <w:bCs/>
          <w:color w:val="auto"/>
          <w:sz w:val="48"/>
          <w:highlight w:val="none"/>
        </w:rPr>
      </w:pPr>
    </w:p>
    <w:p>
      <w:pPr>
        <w:spacing w:line="520" w:lineRule="atLeast"/>
        <w:rPr>
          <w:rFonts w:ascii="宋体" w:hAnsi="宋体" w:cs="宋体"/>
          <w:color w:val="auto"/>
          <w:sz w:val="28"/>
          <w:highlight w:val="none"/>
        </w:rPr>
      </w:pPr>
    </w:p>
    <w:p>
      <w:pPr>
        <w:spacing w:line="520" w:lineRule="atLeast"/>
        <w:rPr>
          <w:rFonts w:ascii="宋体" w:hAnsi="宋体" w:cs="宋体"/>
          <w:color w:val="auto"/>
          <w:sz w:val="28"/>
          <w:highlight w:val="none"/>
        </w:rPr>
      </w:pPr>
    </w:p>
    <w:p>
      <w:pPr>
        <w:spacing w:line="520" w:lineRule="atLeast"/>
        <w:rPr>
          <w:rFonts w:ascii="宋体" w:hAnsi="宋体" w:cs="宋体"/>
          <w:color w:val="auto"/>
          <w:sz w:val="28"/>
          <w:highlight w:val="none"/>
        </w:rPr>
      </w:pPr>
    </w:p>
    <w:p>
      <w:pPr>
        <w:spacing w:line="5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投标人（盖章）：</w:t>
      </w:r>
    </w:p>
    <w:p>
      <w:pPr>
        <w:spacing w:line="500" w:lineRule="exact"/>
        <w:ind w:firstLine="480" w:firstLineChars="200"/>
        <w:rPr>
          <w:rFonts w:ascii="宋体" w:hAnsi="宋体" w:cs="宋体"/>
          <w:color w:val="auto"/>
          <w:sz w:val="24"/>
          <w:highlight w:val="none"/>
        </w:rPr>
      </w:pPr>
    </w:p>
    <w:p>
      <w:pPr>
        <w:spacing w:line="5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法定代表人或授权委托人（签字或盖章）：</w:t>
      </w:r>
    </w:p>
    <w:p>
      <w:pPr>
        <w:spacing w:line="500" w:lineRule="exact"/>
        <w:ind w:firstLine="480" w:firstLineChars="200"/>
        <w:rPr>
          <w:rFonts w:ascii="宋体" w:hAnsi="宋体" w:cs="宋体"/>
          <w:color w:val="auto"/>
          <w:sz w:val="24"/>
          <w:highlight w:val="none"/>
        </w:rPr>
      </w:pPr>
    </w:p>
    <w:p>
      <w:pPr>
        <w:spacing w:line="500" w:lineRule="exact"/>
        <w:ind w:firstLine="480" w:firstLineChars="200"/>
        <w:rPr>
          <w:rFonts w:ascii="宋体" w:hAnsi="宋体" w:cs="宋体"/>
          <w:color w:val="auto"/>
          <w:sz w:val="24"/>
          <w:highlight w:val="none"/>
        </w:rPr>
      </w:pPr>
    </w:p>
    <w:p>
      <w:pPr>
        <w:spacing w:line="500" w:lineRule="exact"/>
        <w:ind w:firstLine="480" w:firstLineChars="200"/>
        <w:jc w:val="center"/>
        <w:rPr>
          <w:rFonts w:ascii="宋体" w:hAnsi="宋体" w:cs="宋体"/>
          <w:b/>
          <w:color w:val="auto"/>
          <w:sz w:val="32"/>
          <w:szCs w:val="32"/>
          <w:highlight w:val="none"/>
        </w:rPr>
      </w:pPr>
      <w:r>
        <w:rPr>
          <w:rFonts w:hint="eastAsia" w:ascii="宋体" w:hAnsi="宋体" w:cs="宋体"/>
          <w:color w:val="auto"/>
          <w:sz w:val="24"/>
          <w:highlight w:val="none"/>
        </w:rPr>
        <w:t>年     月     日</w:t>
      </w:r>
    </w:p>
    <w:p>
      <w:pPr>
        <w:pStyle w:val="2"/>
        <w:ind w:left="0" w:leftChars="0" w:firstLine="0" w:firstLineChars="0"/>
        <w:rPr>
          <w:rFonts w:ascii="宋体" w:hAnsi="宋体" w:eastAsia="宋体" w:cs="宋体"/>
          <w:color w:val="auto"/>
          <w:highlight w:val="none"/>
        </w:rPr>
      </w:pPr>
    </w:p>
    <w:p>
      <w:pPr>
        <w:spacing w:line="500" w:lineRule="exact"/>
        <w:rPr>
          <w:rFonts w:ascii="宋体" w:hAnsi="宋体" w:cs="宋体"/>
          <w:b/>
          <w:color w:val="auto"/>
          <w:sz w:val="32"/>
          <w:szCs w:val="32"/>
          <w:highlight w:val="none"/>
        </w:rPr>
      </w:pPr>
    </w:p>
    <w:p>
      <w:pPr>
        <w:spacing w:line="500" w:lineRule="exact"/>
        <w:rPr>
          <w:rFonts w:hint="eastAsia" w:ascii="宋体" w:hAnsi="宋体" w:cs="宋体"/>
          <w:b/>
          <w:color w:val="auto"/>
          <w:sz w:val="32"/>
          <w:szCs w:val="32"/>
          <w:highlight w:val="none"/>
        </w:rPr>
      </w:pPr>
    </w:p>
    <w:p>
      <w:pPr>
        <w:spacing w:line="500" w:lineRule="exact"/>
        <w:rPr>
          <w:rFonts w:ascii="宋体" w:hAnsi="宋体" w:cs="宋体"/>
          <w:b/>
          <w:color w:val="auto"/>
          <w:sz w:val="32"/>
          <w:szCs w:val="32"/>
          <w:highlight w:val="none"/>
        </w:rPr>
      </w:pPr>
      <w:r>
        <w:rPr>
          <w:rFonts w:hint="eastAsia" w:ascii="宋体" w:hAnsi="宋体" w:cs="宋体"/>
          <w:b/>
          <w:color w:val="auto"/>
          <w:sz w:val="32"/>
          <w:szCs w:val="32"/>
          <w:highlight w:val="none"/>
        </w:rPr>
        <w:t>附件6</w:t>
      </w:r>
    </w:p>
    <w:tbl>
      <w:tblPr>
        <w:tblStyle w:val="21"/>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宋体" w:hAnsi="宋体" w:cs="宋体"/>
                <w:b/>
                <w:bCs/>
                <w:color w:val="auto"/>
                <w:kern w:val="0"/>
                <w:sz w:val="44"/>
                <w:szCs w:val="44"/>
                <w:highlight w:val="none"/>
              </w:rPr>
            </w:pPr>
            <w:r>
              <w:rPr>
                <w:rFonts w:hint="eastAsia" w:ascii="宋体" w:hAnsi="宋体" w:cs="宋体"/>
                <w:b/>
                <w:bCs/>
                <w:color w:val="auto"/>
                <w:kern w:val="0"/>
                <w:sz w:val="44"/>
                <w:szCs w:val="44"/>
                <w:highlight w:val="none"/>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投标人名称：</w:t>
            </w:r>
          </w:p>
        </w:tc>
        <w:tc>
          <w:tcPr>
            <w:tcW w:w="3113" w:type="dxa"/>
            <w:tcBorders>
              <w:top w:val="nil"/>
              <w:left w:val="nil"/>
              <w:bottom w:val="single" w:color="auto" w:sz="4" w:space="0"/>
              <w:right w:val="nil"/>
            </w:tcBorders>
            <w:vAlign w:val="center"/>
          </w:tcPr>
          <w:p>
            <w:pPr>
              <w:widowControl/>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　</w:t>
            </w:r>
          </w:p>
        </w:tc>
        <w:tc>
          <w:tcPr>
            <w:tcW w:w="3420" w:type="dxa"/>
            <w:tcBorders>
              <w:top w:val="nil"/>
              <w:left w:val="nil"/>
              <w:bottom w:val="single" w:color="auto" w:sz="4" w:space="0"/>
              <w:right w:val="nil"/>
            </w:tcBorders>
            <w:vAlign w:val="center"/>
          </w:tcPr>
          <w:p>
            <w:pPr>
              <w:widowControl/>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rPr>
              <w:t>序</w:t>
            </w:r>
          </w:p>
          <w:p>
            <w:pPr>
              <w:widowControl/>
              <w:jc w:val="center"/>
              <w:rPr>
                <w:rFonts w:ascii="宋体" w:hAnsi="宋体" w:cs="宋体"/>
                <w:color w:val="auto"/>
                <w:kern w:val="0"/>
                <w:sz w:val="20"/>
                <w:szCs w:val="20"/>
                <w:highlight w:val="none"/>
              </w:rPr>
            </w:pPr>
            <w:r>
              <w:rPr>
                <w:rFonts w:hint="eastAsia" w:ascii="宋体" w:hAnsi="宋体" w:cs="宋体"/>
                <w:b/>
                <w:bCs/>
                <w:color w:val="auto"/>
                <w:kern w:val="0"/>
                <w:sz w:val="24"/>
                <w:highlight w:val="none"/>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原件名称</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b/>
                <w:bCs/>
                <w:color w:val="auto"/>
                <w:kern w:val="0"/>
                <w:sz w:val="24"/>
                <w:highlight w:val="none"/>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pPr>
              <w:widowControl/>
              <w:spacing w:line="440" w:lineRule="exact"/>
              <w:ind w:firstLine="480" w:firstLineChars="20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1、本表仅为核对投标人提供的证书等招标项目评标所需材料原件之用，如本表填写不下可按相同格式进行扩展；</w:t>
            </w:r>
          </w:p>
          <w:p>
            <w:pPr>
              <w:widowControl/>
              <w:spacing w:line="440" w:lineRule="exact"/>
              <w:ind w:firstLine="480" w:firstLineChars="200"/>
              <w:jc w:val="left"/>
              <w:rPr>
                <w:rFonts w:ascii="宋体" w:hAnsi="宋体" w:cs="宋体"/>
                <w:color w:val="auto"/>
                <w:kern w:val="0"/>
                <w:sz w:val="20"/>
                <w:szCs w:val="20"/>
                <w:highlight w:val="none"/>
              </w:rPr>
            </w:pPr>
            <w:r>
              <w:rPr>
                <w:rFonts w:hint="eastAsia" w:ascii="宋体" w:hAnsi="宋体" w:cs="宋体"/>
                <w:color w:val="auto"/>
                <w:kern w:val="0"/>
                <w:sz w:val="24"/>
                <w:highlight w:val="none"/>
              </w:rPr>
              <w:t>　　2、如因投标人未按要求填写本表或填写内容表述不清造成原件材料缺失或无法核对，后果由投标人自负。</w:t>
            </w:r>
          </w:p>
        </w:tc>
      </w:tr>
    </w:tbl>
    <w:p>
      <w:pPr>
        <w:spacing w:line="300" w:lineRule="auto"/>
        <w:rPr>
          <w:rFonts w:ascii="宋体" w:hAnsi="宋体" w:cs="宋体"/>
          <w:color w:val="auto"/>
          <w:highlight w:val="none"/>
        </w:rPr>
      </w:pPr>
    </w:p>
    <w:p>
      <w:pPr>
        <w:pStyle w:val="2"/>
        <w:ind w:firstLine="422"/>
        <w:rPr>
          <w:rFonts w:ascii="宋体" w:hAnsi="宋体" w:eastAsia="宋体" w:cs="宋体"/>
          <w:color w:val="auto"/>
          <w:highlight w:val="none"/>
        </w:rPr>
      </w:pPr>
    </w:p>
    <w:p>
      <w:pPr>
        <w:pStyle w:val="2"/>
        <w:ind w:firstLine="422"/>
        <w:rPr>
          <w:rFonts w:ascii="宋体" w:hAnsi="宋体" w:eastAsia="宋体" w:cs="宋体"/>
          <w:color w:val="auto"/>
          <w:highlight w:val="none"/>
        </w:rPr>
      </w:pPr>
    </w:p>
    <w:p>
      <w:pPr>
        <w:rPr>
          <w:rFonts w:ascii="宋体" w:hAnsi="宋体" w:cs="宋体"/>
          <w:color w:val="auto"/>
          <w:highlight w:val="none"/>
        </w:rPr>
      </w:pPr>
    </w:p>
    <w:p>
      <w:pPr>
        <w:rPr>
          <w:rFonts w:ascii="宋体" w:hAnsi="宋体" w:cs="宋体"/>
          <w:b/>
          <w:color w:val="auto"/>
          <w:sz w:val="32"/>
          <w:szCs w:val="32"/>
          <w:highlight w:val="none"/>
        </w:rPr>
      </w:pPr>
      <w:r>
        <w:rPr>
          <w:rFonts w:hint="eastAsia" w:ascii="宋体" w:hAnsi="宋体" w:cs="宋体"/>
          <w:b/>
          <w:color w:val="auto"/>
          <w:sz w:val="32"/>
          <w:szCs w:val="32"/>
          <w:highlight w:val="none"/>
        </w:rPr>
        <w:t>附件7</w:t>
      </w:r>
    </w:p>
    <w:p>
      <w:pPr>
        <w:jc w:val="center"/>
        <w:rPr>
          <w:rFonts w:ascii="宋体" w:hAnsi="宋体" w:cs="宋体"/>
          <w:b/>
          <w:color w:val="auto"/>
          <w:sz w:val="44"/>
          <w:szCs w:val="44"/>
          <w:highlight w:val="none"/>
        </w:rPr>
      </w:pPr>
      <w:r>
        <w:rPr>
          <w:rFonts w:hint="eastAsia" w:ascii="宋体" w:hAnsi="宋体" w:cs="宋体"/>
          <w:b/>
          <w:color w:val="auto"/>
          <w:sz w:val="44"/>
          <w:szCs w:val="44"/>
          <w:highlight w:val="none"/>
        </w:rPr>
        <w:t>异议书（格式）</w:t>
      </w:r>
    </w:p>
    <w:p>
      <w:pPr>
        <w:jc w:val="center"/>
        <w:rPr>
          <w:rFonts w:ascii="宋体" w:hAnsi="宋体" w:cs="宋体"/>
          <w:color w:val="auto"/>
          <w:sz w:val="36"/>
          <w:szCs w:val="36"/>
          <w:highlight w:val="none"/>
        </w:rPr>
      </w:pP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项目名称：</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异议人：</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住所地：                  邮编：</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             联系电话</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异议人授权代表：        性别：        年龄：</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住址：                    联系电话：</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提起异议事项的基本事实：</w:t>
      </w: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相关请求及主张：</w:t>
      </w: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有效线索和相关证明材料：</w:t>
      </w: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异议人与提起项目有利害关系的证明材料：</w:t>
      </w: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异议人（公章）：</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法定代表人或授权代表（签字）</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pPr>
        <w:spacing w:line="360" w:lineRule="auto"/>
        <w:jc w:val="center"/>
        <w:rPr>
          <w:rFonts w:ascii="宋体" w:hAnsi="宋体" w:cs="宋体"/>
          <w:color w:val="auto"/>
          <w:sz w:val="24"/>
          <w:highlight w:val="none"/>
        </w:rPr>
      </w:pP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说明：</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1.异议人是法人的，异议书必须由其法定代表人或者授权代表签字并盖章。</w:t>
      </w:r>
    </w:p>
    <w:p>
      <w:pPr>
        <w:spacing w:line="360" w:lineRule="auto"/>
        <w:jc w:val="left"/>
        <w:rPr>
          <w:rFonts w:hint="eastAsia" w:ascii="宋体" w:hAnsi="宋体" w:cs="宋体"/>
          <w:color w:val="auto"/>
          <w:sz w:val="24"/>
          <w:highlight w:val="none"/>
        </w:rPr>
        <w:sectPr>
          <w:headerReference r:id="rId3" w:type="default"/>
          <w:footerReference r:id="rId4" w:type="default"/>
          <w:pgSz w:w="11906" w:h="16838"/>
          <w:pgMar w:top="1701" w:right="1418" w:bottom="1440" w:left="1418" w:header="851" w:footer="992" w:gutter="0"/>
          <w:pgBorders>
            <w:top w:val="none" w:sz="0" w:space="0"/>
            <w:left w:val="none" w:sz="0" w:space="0"/>
            <w:bottom w:val="none" w:sz="0" w:space="0"/>
            <w:right w:val="none" w:sz="0" w:space="0"/>
          </w:pgBorders>
          <w:cols w:space="425" w:num="1"/>
          <w:docGrid w:type="linesAndChars" w:linePitch="312" w:charSpace="0"/>
        </w:sectPr>
      </w:pPr>
      <w:r>
        <w:rPr>
          <w:rFonts w:hint="eastAsia" w:ascii="宋体" w:hAnsi="宋体" w:cs="宋体"/>
          <w:color w:val="auto"/>
          <w:sz w:val="24"/>
          <w:highlight w:val="none"/>
        </w:rPr>
        <w:t>2.异议书有关材料是外文的，异议人应当同时提供其中文译本。</w:t>
      </w:r>
    </w:p>
    <w:p>
      <w:pPr>
        <w:rPr>
          <w:rFonts w:ascii="宋体" w:hAnsi="宋体" w:cs="宋体"/>
          <w:b/>
          <w:color w:val="auto"/>
          <w:sz w:val="32"/>
          <w:szCs w:val="32"/>
          <w:highlight w:val="none"/>
        </w:rPr>
      </w:pPr>
      <w:r>
        <w:rPr>
          <w:rFonts w:hint="eastAsia" w:ascii="宋体" w:hAnsi="宋体" w:cs="宋体"/>
          <w:b/>
          <w:color w:val="auto"/>
          <w:sz w:val="32"/>
          <w:szCs w:val="32"/>
          <w:highlight w:val="none"/>
        </w:rPr>
        <w:t>附件8</w:t>
      </w: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工程量清单计价成果文件（投标报价明细表）</w:t>
      </w:r>
    </w:p>
    <w:p>
      <w:pPr>
        <w:spacing w:line="280" w:lineRule="atLeast"/>
        <w:ind w:firstLine="210" w:firstLineChars="100"/>
        <w:jc w:val="left"/>
        <w:rPr>
          <w:rFonts w:ascii="宋体" w:hAnsi="宋体" w:cs="宋体"/>
          <w:color w:val="auto"/>
          <w:kern w:val="0"/>
          <w:szCs w:val="21"/>
          <w:highlight w:val="none"/>
        </w:rPr>
      </w:pPr>
    </w:p>
    <w:tbl>
      <w:tblPr>
        <w:tblStyle w:val="21"/>
        <w:tblW w:w="13371"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82"/>
        <w:gridCol w:w="2963"/>
        <w:gridCol w:w="3956"/>
        <w:gridCol w:w="1071"/>
        <w:gridCol w:w="1321"/>
        <w:gridCol w:w="1444"/>
        <w:gridCol w:w="1834"/>
      </w:tblGrid>
      <w:tr>
        <w:tblPrEx>
          <w:tblCellMar>
            <w:top w:w="0" w:type="dxa"/>
            <w:left w:w="108" w:type="dxa"/>
            <w:bottom w:w="0" w:type="dxa"/>
            <w:right w:w="108" w:type="dxa"/>
          </w:tblCellMar>
        </w:tblPrEx>
        <w:trPr>
          <w:trHeight w:val="400" w:hRule="atLeast"/>
        </w:trPr>
        <w:tc>
          <w:tcPr>
            <w:tcW w:w="782"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963"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3956"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项目特征描述</w:t>
            </w:r>
          </w:p>
        </w:tc>
        <w:tc>
          <w:tcPr>
            <w:tcW w:w="1071"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计量</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单位</w:t>
            </w:r>
          </w:p>
        </w:tc>
        <w:tc>
          <w:tcPr>
            <w:tcW w:w="1321"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工程量</w:t>
            </w:r>
          </w:p>
        </w:tc>
        <w:tc>
          <w:tcPr>
            <w:tcW w:w="3278" w:type="dxa"/>
            <w:gridSpan w:val="2"/>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0" w:hRule="atLeast"/>
        </w:trPr>
        <w:tc>
          <w:tcPr>
            <w:tcW w:w="782" w:type="dxa"/>
            <w:vMerge w:val="continue"/>
            <w:tcBorders>
              <w:tl2br w:val="nil"/>
              <w:tr2bl w:val="nil"/>
            </w:tcBorders>
            <w:shd w:val="clear" w:color="FFFFFF" w:fill="FFFFFF"/>
            <w:vAlign w:val="center"/>
          </w:tcPr>
          <w:p>
            <w:pPr>
              <w:jc w:val="center"/>
              <w:rPr>
                <w:rFonts w:hint="eastAsia" w:ascii="宋体" w:hAnsi="宋体" w:eastAsia="宋体" w:cs="宋体"/>
                <w:b/>
                <w:bCs/>
                <w:i w:val="0"/>
                <w:iCs w:val="0"/>
                <w:color w:val="auto"/>
                <w:sz w:val="24"/>
                <w:szCs w:val="24"/>
                <w:highlight w:val="none"/>
                <w:u w:val="none"/>
              </w:rPr>
            </w:pPr>
          </w:p>
        </w:tc>
        <w:tc>
          <w:tcPr>
            <w:tcW w:w="2963" w:type="dxa"/>
            <w:vMerge w:val="continue"/>
            <w:tcBorders>
              <w:tl2br w:val="nil"/>
              <w:tr2bl w:val="nil"/>
            </w:tcBorders>
            <w:shd w:val="clear" w:color="FFFFFF" w:fill="FFFFFF"/>
            <w:vAlign w:val="center"/>
          </w:tcPr>
          <w:p>
            <w:pPr>
              <w:jc w:val="center"/>
              <w:rPr>
                <w:rFonts w:hint="eastAsia" w:ascii="宋体" w:hAnsi="宋体" w:eastAsia="宋体" w:cs="宋体"/>
                <w:b/>
                <w:bCs/>
                <w:i w:val="0"/>
                <w:iCs w:val="0"/>
                <w:color w:val="auto"/>
                <w:sz w:val="24"/>
                <w:szCs w:val="24"/>
                <w:highlight w:val="none"/>
                <w:u w:val="none"/>
              </w:rPr>
            </w:pPr>
          </w:p>
        </w:tc>
        <w:tc>
          <w:tcPr>
            <w:tcW w:w="3956" w:type="dxa"/>
            <w:vMerge w:val="continue"/>
            <w:tcBorders>
              <w:tl2br w:val="nil"/>
              <w:tr2bl w:val="nil"/>
            </w:tcBorders>
            <w:shd w:val="clear" w:color="FFFFFF" w:fill="FFFFFF"/>
            <w:vAlign w:val="center"/>
          </w:tcPr>
          <w:p>
            <w:pPr>
              <w:jc w:val="center"/>
              <w:rPr>
                <w:rFonts w:hint="eastAsia" w:ascii="宋体" w:hAnsi="宋体" w:eastAsia="宋体" w:cs="宋体"/>
                <w:b/>
                <w:bCs/>
                <w:i w:val="0"/>
                <w:iCs w:val="0"/>
                <w:color w:val="auto"/>
                <w:sz w:val="24"/>
                <w:szCs w:val="24"/>
                <w:highlight w:val="none"/>
                <w:u w:val="none"/>
              </w:rPr>
            </w:pPr>
          </w:p>
        </w:tc>
        <w:tc>
          <w:tcPr>
            <w:tcW w:w="1071" w:type="dxa"/>
            <w:vMerge w:val="continue"/>
            <w:tcBorders>
              <w:tl2br w:val="nil"/>
              <w:tr2bl w:val="nil"/>
            </w:tcBorders>
            <w:shd w:val="clear" w:color="FFFFFF" w:fill="FFFFFF"/>
            <w:vAlign w:val="center"/>
          </w:tcPr>
          <w:p>
            <w:pPr>
              <w:jc w:val="center"/>
              <w:rPr>
                <w:rFonts w:hint="eastAsia" w:ascii="宋体" w:hAnsi="宋体" w:eastAsia="宋体" w:cs="宋体"/>
                <w:b/>
                <w:bCs/>
                <w:i w:val="0"/>
                <w:iCs w:val="0"/>
                <w:color w:val="auto"/>
                <w:sz w:val="24"/>
                <w:szCs w:val="24"/>
                <w:highlight w:val="none"/>
                <w:u w:val="none"/>
              </w:rPr>
            </w:pPr>
          </w:p>
        </w:tc>
        <w:tc>
          <w:tcPr>
            <w:tcW w:w="1321" w:type="dxa"/>
            <w:vMerge w:val="continue"/>
            <w:tcBorders>
              <w:tl2br w:val="nil"/>
              <w:tr2bl w:val="nil"/>
            </w:tcBorders>
            <w:shd w:val="clear" w:color="FFFFFF" w:fill="FFFFFF"/>
            <w:vAlign w:val="center"/>
          </w:tcPr>
          <w:p>
            <w:pPr>
              <w:jc w:val="center"/>
              <w:rPr>
                <w:rFonts w:hint="eastAsia" w:ascii="宋体" w:hAnsi="宋体" w:eastAsia="宋体" w:cs="宋体"/>
                <w:b/>
                <w:bCs/>
                <w:i w:val="0"/>
                <w:iCs w:val="0"/>
                <w:color w:val="auto"/>
                <w:sz w:val="24"/>
                <w:szCs w:val="24"/>
                <w:highlight w:val="none"/>
                <w:u w:val="none"/>
              </w:rPr>
            </w:pPr>
          </w:p>
        </w:tc>
        <w:tc>
          <w:tcPr>
            <w:tcW w:w="1444"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综合单价</w:t>
            </w:r>
          </w:p>
        </w:tc>
        <w:tc>
          <w:tcPr>
            <w:tcW w:w="1834"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0" w:hRule="atLeast"/>
        </w:trPr>
        <w:tc>
          <w:tcPr>
            <w:tcW w:w="782" w:type="dxa"/>
            <w:vMerge w:val="continue"/>
            <w:tcBorders>
              <w:tl2br w:val="nil"/>
              <w:tr2bl w:val="nil"/>
            </w:tcBorders>
            <w:shd w:val="clear" w:color="FFFFFF" w:fill="FFFFFF"/>
            <w:vAlign w:val="center"/>
          </w:tcPr>
          <w:p>
            <w:pPr>
              <w:jc w:val="center"/>
              <w:rPr>
                <w:rFonts w:hint="eastAsia" w:ascii="宋体" w:hAnsi="宋体" w:eastAsia="宋体" w:cs="宋体"/>
                <w:b/>
                <w:bCs/>
                <w:i w:val="0"/>
                <w:iCs w:val="0"/>
                <w:color w:val="auto"/>
                <w:sz w:val="24"/>
                <w:szCs w:val="24"/>
                <w:highlight w:val="none"/>
                <w:u w:val="none"/>
              </w:rPr>
            </w:pPr>
          </w:p>
        </w:tc>
        <w:tc>
          <w:tcPr>
            <w:tcW w:w="2963" w:type="dxa"/>
            <w:vMerge w:val="continue"/>
            <w:tcBorders>
              <w:tl2br w:val="nil"/>
              <w:tr2bl w:val="nil"/>
            </w:tcBorders>
            <w:shd w:val="clear" w:color="FFFFFF" w:fill="FFFFFF"/>
            <w:vAlign w:val="center"/>
          </w:tcPr>
          <w:p>
            <w:pPr>
              <w:jc w:val="center"/>
              <w:rPr>
                <w:rFonts w:hint="eastAsia" w:ascii="宋体" w:hAnsi="宋体" w:eastAsia="宋体" w:cs="宋体"/>
                <w:b/>
                <w:bCs/>
                <w:i w:val="0"/>
                <w:iCs w:val="0"/>
                <w:color w:val="auto"/>
                <w:sz w:val="24"/>
                <w:szCs w:val="24"/>
                <w:highlight w:val="none"/>
                <w:u w:val="none"/>
              </w:rPr>
            </w:pPr>
          </w:p>
        </w:tc>
        <w:tc>
          <w:tcPr>
            <w:tcW w:w="3956" w:type="dxa"/>
            <w:vMerge w:val="continue"/>
            <w:tcBorders>
              <w:tl2br w:val="nil"/>
              <w:tr2bl w:val="nil"/>
            </w:tcBorders>
            <w:shd w:val="clear" w:color="FFFFFF" w:fill="FFFFFF"/>
            <w:vAlign w:val="center"/>
          </w:tcPr>
          <w:p>
            <w:pPr>
              <w:jc w:val="center"/>
              <w:rPr>
                <w:rFonts w:hint="eastAsia" w:ascii="宋体" w:hAnsi="宋体" w:eastAsia="宋体" w:cs="宋体"/>
                <w:b/>
                <w:bCs/>
                <w:i w:val="0"/>
                <w:iCs w:val="0"/>
                <w:color w:val="auto"/>
                <w:sz w:val="24"/>
                <w:szCs w:val="24"/>
                <w:highlight w:val="none"/>
                <w:u w:val="none"/>
              </w:rPr>
            </w:pPr>
          </w:p>
        </w:tc>
        <w:tc>
          <w:tcPr>
            <w:tcW w:w="1071" w:type="dxa"/>
            <w:vMerge w:val="continue"/>
            <w:tcBorders>
              <w:tl2br w:val="nil"/>
              <w:tr2bl w:val="nil"/>
            </w:tcBorders>
            <w:shd w:val="clear" w:color="FFFFFF" w:fill="FFFFFF"/>
            <w:vAlign w:val="center"/>
          </w:tcPr>
          <w:p>
            <w:pPr>
              <w:jc w:val="center"/>
              <w:rPr>
                <w:rFonts w:hint="eastAsia" w:ascii="宋体" w:hAnsi="宋体" w:eastAsia="宋体" w:cs="宋体"/>
                <w:b/>
                <w:bCs/>
                <w:i w:val="0"/>
                <w:iCs w:val="0"/>
                <w:color w:val="auto"/>
                <w:sz w:val="24"/>
                <w:szCs w:val="24"/>
                <w:highlight w:val="none"/>
                <w:u w:val="none"/>
              </w:rPr>
            </w:pPr>
          </w:p>
        </w:tc>
        <w:tc>
          <w:tcPr>
            <w:tcW w:w="1321" w:type="dxa"/>
            <w:vMerge w:val="continue"/>
            <w:tcBorders>
              <w:tl2br w:val="nil"/>
              <w:tr2bl w:val="nil"/>
            </w:tcBorders>
            <w:shd w:val="clear" w:color="FFFFFF" w:fill="FFFFFF"/>
            <w:vAlign w:val="center"/>
          </w:tcPr>
          <w:p>
            <w:pPr>
              <w:jc w:val="center"/>
              <w:rPr>
                <w:rFonts w:hint="eastAsia" w:ascii="宋体" w:hAnsi="宋体" w:eastAsia="宋体" w:cs="宋体"/>
                <w:b/>
                <w:bCs/>
                <w:i w:val="0"/>
                <w:iCs w:val="0"/>
                <w:color w:val="auto"/>
                <w:sz w:val="24"/>
                <w:szCs w:val="24"/>
                <w:highlight w:val="none"/>
                <w:u w:val="none"/>
              </w:rPr>
            </w:pPr>
          </w:p>
        </w:tc>
        <w:tc>
          <w:tcPr>
            <w:tcW w:w="1444" w:type="dxa"/>
            <w:vMerge w:val="continue"/>
            <w:tcBorders>
              <w:tl2br w:val="nil"/>
              <w:tr2bl w:val="nil"/>
            </w:tcBorders>
            <w:shd w:val="clear" w:color="FFFFFF" w:fill="FFFFFF"/>
            <w:vAlign w:val="center"/>
          </w:tcPr>
          <w:p>
            <w:pPr>
              <w:jc w:val="center"/>
              <w:rPr>
                <w:rFonts w:hint="eastAsia" w:ascii="宋体" w:hAnsi="宋体" w:eastAsia="宋体" w:cs="宋体"/>
                <w:b/>
                <w:bCs/>
                <w:i w:val="0"/>
                <w:iCs w:val="0"/>
                <w:color w:val="auto"/>
                <w:sz w:val="24"/>
                <w:szCs w:val="24"/>
                <w:highlight w:val="none"/>
                <w:u w:val="none"/>
              </w:rPr>
            </w:pPr>
          </w:p>
        </w:tc>
        <w:tc>
          <w:tcPr>
            <w:tcW w:w="1834" w:type="dxa"/>
            <w:vMerge w:val="continue"/>
            <w:tcBorders>
              <w:tl2br w:val="nil"/>
              <w:tr2bl w:val="nil"/>
            </w:tcBorders>
            <w:shd w:val="clear" w:color="FFFFFF" w:fill="FFFFFF"/>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E7E6E6"/>
            <w:vAlign w:val="center"/>
          </w:tcPr>
          <w:p>
            <w:pPr>
              <w:keepNext w:val="0"/>
              <w:keepLines w:val="0"/>
              <w:widowControl/>
              <w:suppressLineNumbers w:val="0"/>
              <w:jc w:val="center"/>
              <w:textAlignment w:val="center"/>
              <w:rPr>
                <w:rFonts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一</w:t>
            </w:r>
          </w:p>
        </w:tc>
        <w:tc>
          <w:tcPr>
            <w:tcW w:w="6919" w:type="dxa"/>
            <w:gridSpan w:val="2"/>
            <w:tcBorders>
              <w:tl2br w:val="nil"/>
              <w:tr2bl w:val="nil"/>
            </w:tcBorders>
            <w:shd w:val="clear" w:color="auto" w:fill="E7E6E6"/>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color w:val="auto"/>
                <w:kern w:val="0"/>
                <w:sz w:val="24"/>
                <w:highlight w:val="none"/>
                <w:lang w:bidi="ar"/>
              </w:rPr>
              <w:t>教室+走廊（西侧教室）装饰部分</w:t>
            </w:r>
          </w:p>
        </w:tc>
        <w:tc>
          <w:tcPr>
            <w:tcW w:w="1071" w:type="dxa"/>
            <w:tcBorders>
              <w:tl2br w:val="nil"/>
              <w:tr2bl w:val="nil"/>
            </w:tcBorders>
            <w:shd w:val="clear" w:color="auto" w:fill="E7E6E6"/>
            <w:vAlign w:val="center"/>
          </w:tcPr>
          <w:p>
            <w:pPr>
              <w:jc w:val="center"/>
              <w:rPr>
                <w:rFonts w:hint="eastAsia" w:ascii="宋体" w:hAnsi="宋体" w:eastAsia="宋体" w:cs="宋体"/>
                <w:b/>
                <w:bCs/>
                <w:i w:val="0"/>
                <w:iCs w:val="0"/>
                <w:color w:val="auto"/>
                <w:sz w:val="24"/>
                <w:szCs w:val="24"/>
                <w:highlight w:val="none"/>
                <w:u w:val="none"/>
              </w:rPr>
            </w:pPr>
          </w:p>
        </w:tc>
        <w:tc>
          <w:tcPr>
            <w:tcW w:w="1321" w:type="dxa"/>
            <w:tcBorders>
              <w:tl2br w:val="nil"/>
              <w:tr2bl w:val="nil"/>
            </w:tcBorders>
            <w:shd w:val="clear" w:color="auto" w:fill="E7E6E6"/>
            <w:vAlign w:val="center"/>
          </w:tcPr>
          <w:p>
            <w:pPr>
              <w:jc w:val="center"/>
              <w:rPr>
                <w:rFonts w:hint="eastAsia" w:ascii="宋体" w:hAnsi="宋体" w:eastAsia="宋体" w:cs="宋体"/>
                <w:b/>
                <w:bCs/>
                <w:i w:val="0"/>
                <w:iCs w:val="0"/>
                <w:color w:val="auto"/>
                <w:sz w:val="24"/>
                <w:szCs w:val="24"/>
                <w:highlight w:val="none"/>
                <w:u w:val="none"/>
              </w:rPr>
            </w:pPr>
          </w:p>
        </w:tc>
        <w:tc>
          <w:tcPr>
            <w:tcW w:w="1444" w:type="dxa"/>
            <w:tcBorders>
              <w:tl2br w:val="nil"/>
              <w:tr2bl w:val="nil"/>
            </w:tcBorders>
            <w:shd w:val="clear" w:color="auto" w:fill="E7E6E6"/>
            <w:vAlign w:val="center"/>
          </w:tcPr>
          <w:p>
            <w:pPr>
              <w:jc w:val="center"/>
              <w:rPr>
                <w:rFonts w:hint="eastAsia" w:ascii="宋体" w:hAnsi="宋体" w:eastAsia="宋体" w:cs="宋体"/>
                <w:b/>
                <w:bCs/>
                <w:i w:val="0"/>
                <w:iCs w:val="0"/>
                <w:color w:val="auto"/>
                <w:sz w:val="24"/>
                <w:szCs w:val="24"/>
                <w:highlight w:val="none"/>
                <w:u w:val="none"/>
              </w:rPr>
            </w:pPr>
          </w:p>
        </w:tc>
        <w:tc>
          <w:tcPr>
            <w:tcW w:w="1834" w:type="dxa"/>
            <w:tcBorders>
              <w:tl2br w:val="nil"/>
              <w:tr2bl w:val="nil"/>
            </w:tcBorders>
            <w:shd w:val="clear" w:color="auto" w:fill="E7E6E6"/>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2"/>
                <w:szCs w:val="22"/>
                <w:highlight w:val="none"/>
                <w:lang w:bidi="ar"/>
              </w:rPr>
              <w:t>1</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块料踢脚线</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1、高度:110mm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2、20厚1：3水泥砂浆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3、800*800黑色地砖加工而成，含磨边</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m2</w:t>
            </w:r>
          </w:p>
        </w:tc>
        <w:tc>
          <w:tcPr>
            <w:tcW w:w="132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27</w:t>
            </w:r>
          </w:p>
        </w:tc>
        <w:tc>
          <w:tcPr>
            <w:tcW w:w="1444" w:type="dxa"/>
            <w:tcBorders>
              <w:tl2br w:val="nil"/>
              <w:tr2bl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00" w:hRule="atLeast"/>
        </w:trPr>
        <w:tc>
          <w:tcPr>
            <w:tcW w:w="782"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2"/>
                <w:szCs w:val="22"/>
                <w:highlight w:val="none"/>
                <w:lang w:bidi="ar"/>
              </w:rPr>
              <w:t>2</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木地台</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8"/>
                <w:szCs w:val="18"/>
                <w:highlight w:val="none"/>
                <w:lang w:bidi="ar"/>
              </w:rPr>
              <w:t>1、尺寸:3200*2000*150mm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2、40*40*1.5镀锌方管，10厚镀锌钢反</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3、12厚阻燃板基层</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4、8厚复合木地反铺设，暗槽灯槽</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5、1.0厚304不锈钢贴面</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6、清单工程量按水平投影面积计算</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7、具体做法详见图纸</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m2</w:t>
            </w:r>
          </w:p>
        </w:tc>
        <w:tc>
          <w:tcPr>
            <w:tcW w:w="132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6"/>
                <w:szCs w:val="16"/>
                <w:highlight w:val="none"/>
                <w:lang w:bidi="ar"/>
              </w:rPr>
              <w:t>9.5</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2"/>
                <w:szCs w:val="22"/>
                <w:highlight w:val="none"/>
                <w:lang w:bidi="ar"/>
              </w:rPr>
              <w:t>3</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墙面喷刷涂料</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8"/>
                <w:szCs w:val="18"/>
                <w:highlight w:val="none"/>
                <w:lang w:bidi="ar"/>
              </w:rPr>
              <w:t>1、满批腻子2遍</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2、白色无机涂料3遍</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m2</w:t>
            </w:r>
          </w:p>
        </w:tc>
        <w:tc>
          <w:tcPr>
            <w:tcW w:w="132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6"/>
                <w:szCs w:val="16"/>
                <w:highlight w:val="none"/>
                <w:lang w:bidi="ar"/>
              </w:rPr>
              <w:t>46</w:t>
            </w:r>
          </w:p>
        </w:tc>
        <w:tc>
          <w:tcPr>
            <w:tcW w:w="1444" w:type="dxa"/>
            <w:tcBorders>
              <w:tl2br w:val="nil"/>
              <w:tr2bl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2"/>
                <w:szCs w:val="22"/>
                <w:highlight w:val="none"/>
                <w:lang w:bidi="ar"/>
              </w:rPr>
              <w:t>4</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墙面喷刷涂料</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1、满批腻子2遍</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2、非遗红无机涂料3遍</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m2</w:t>
            </w:r>
          </w:p>
        </w:tc>
        <w:tc>
          <w:tcPr>
            <w:tcW w:w="132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6"/>
                <w:szCs w:val="16"/>
                <w:highlight w:val="none"/>
                <w:lang w:bidi="ar"/>
              </w:rPr>
              <w:t>46</w:t>
            </w:r>
          </w:p>
        </w:tc>
        <w:tc>
          <w:tcPr>
            <w:tcW w:w="1444" w:type="dxa"/>
            <w:tcBorders>
              <w:tl2br w:val="nil"/>
              <w:tr2bl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2"/>
                <w:szCs w:val="22"/>
                <w:highlight w:val="none"/>
                <w:lang w:bidi="ar"/>
              </w:rPr>
              <w:t>5</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墙面喷刷涂料（出新）</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1、原墙面砂纸打磨，局部腻子修补平整</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2、白色乳胶漆2遍</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m2</w:t>
            </w:r>
          </w:p>
        </w:tc>
        <w:tc>
          <w:tcPr>
            <w:tcW w:w="132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6"/>
                <w:szCs w:val="16"/>
                <w:highlight w:val="none"/>
                <w:lang w:bidi="ar"/>
              </w:rPr>
              <w:t>107</w:t>
            </w:r>
          </w:p>
        </w:tc>
        <w:tc>
          <w:tcPr>
            <w:tcW w:w="1444" w:type="dxa"/>
            <w:tcBorders>
              <w:tl2br w:val="nil"/>
              <w:tr2bl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2"/>
                <w:szCs w:val="22"/>
                <w:highlight w:val="none"/>
                <w:lang w:bidi="ar"/>
              </w:rPr>
              <w:t>6</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吊顶天棚</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1、简单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2、Φ8全牙热镀锌吊杆，50系列轻钢龙骨，副龙骨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3、9.5mm厚双层纸面石膏板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4、石膏板缝贴自粘胶，钉眼封点防锈漆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5、满批腻子2遍，白色无机涂料3遍</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m2</w:t>
            </w:r>
          </w:p>
        </w:tc>
        <w:tc>
          <w:tcPr>
            <w:tcW w:w="132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31</w:t>
            </w:r>
          </w:p>
        </w:tc>
        <w:tc>
          <w:tcPr>
            <w:tcW w:w="1444" w:type="dxa"/>
            <w:tcBorders>
              <w:tl2br w:val="nil"/>
              <w:tr2bl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2"/>
                <w:szCs w:val="22"/>
                <w:highlight w:val="none"/>
                <w:lang w:bidi="ar"/>
              </w:rPr>
              <w:t>7</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天棚喷刷涂料(出新)</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1、原墙面砂纸打磨，局部腻子修补平整</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2、白色乳胶漆2遍</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m2</w:t>
            </w:r>
          </w:p>
        </w:tc>
        <w:tc>
          <w:tcPr>
            <w:tcW w:w="132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59</w:t>
            </w:r>
          </w:p>
        </w:tc>
        <w:tc>
          <w:tcPr>
            <w:tcW w:w="1444" w:type="dxa"/>
            <w:tcBorders>
              <w:tl2br w:val="nil"/>
              <w:tr2bl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2"/>
                <w:szCs w:val="22"/>
                <w:highlight w:val="none"/>
                <w:lang w:bidi="ar"/>
              </w:rPr>
              <w:t>8</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玻璃门</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1、洞口尺寸:1100*2100</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2、12厚钢化玻璃</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3、不锈钢地弹簧、门夹、拉手</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m2</w:t>
            </w:r>
          </w:p>
        </w:tc>
        <w:tc>
          <w:tcPr>
            <w:tcW w:w="132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3.8</w:t>
            </w:r>
          </w:p>
        </w:tc>
        <w:tc>
          <w:tcPr>
            <w:tcW w:w="1444" w:type="dxa"/>
            <w:tcBorders>
              <w:tl2br w:val="nil"/>
              <w:tr2bl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2"/>
                <w:szCs w:val="22"/>
                <w:highlight w:val="none"/>
                <w:lang w:bidi="ar"/>
              </w:rPr>
              <w:t>9</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固定玻璃窗</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1、洞口尺寸:1100*6800mm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2、12厚钢化玻璃</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m2</w:t>
            </w:r>
          </w:p>
        </w:tc>
        <w:tc>
          <w:tcPr>
            <w:tcW w:w="132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1.36</w:t>
            </w:r>
          </w:p>
        </w:tc>
        <w:tc>
          <w:tcPr>
            <w:tcW w:w="1444" w:type="dxa"/>
            <w:tcBorders>
              <w:tl2br w:val="nil"/>
              <w:tr2bl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2"/>
                <w:szCs w:val="22"/>
                <w:highlight w:val="none"/>
                <w:lang w:bidi="ar"/>
              </w:rPr>
              <w:t>10</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金属门套</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1、基层:18厚阻燃板</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2、面层:1.0厚304拉丝不锈钢板</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m2</w:t>
            </w:r>
          </w:p>
        </w:tc>
        <w:tc>
          <w:tcPr>
            <w:tcW w:w="132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5</w:t>
            </w:r>
          </w:p>
        </w:tc>
        <w:tc>
          <w:tcPr>
            <w:tcW w:w="1444" w:type="dxa"/>
            <w:tcBorders>
              <w:tl2br w:val="nil"/>
              <w:tr2bl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2963" w:type="dxa"/>
            <w:tcBorders>
              <w:tl2br w:val="nil"/>
              <w:tr2bl w:val="nil"/>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合计</w:t>
            </w:r>
          </w:p>
        </w:tc>
        <w:tc>
          <w:tcPr>
            <w:tcW w:w="3956" w:type="dxa"/>
            <w:tcBorders>
              <w:tl2br w:val="nil"/>
              <w:tr2bl w:val="nil"/>
            </w:tcBorders>
            <w:shd w:val="clear" w:color="auto" w:fill="FCE4D6"/>
            <w:noWrap/>
            <w:vAlign w:val="center"/>
          </w:tcPr>
          <w:p>
            <w:pPr>
              <w:jc w:val="center"/>
              <w:rPr>
                <w:rFonts w:hint="eastAsia" w:ascii="宋体" w:hAnsi="宋体" w:eastAsia="宋体" w:cs="宋体"/>
                <w:b/>
                <w:bCs/>
                <w:i w:val="0"/>
                <w:iCs w:val="0"/>
                <w:color w:val="auto"/>
                <w:sz w:val="24"/>
                <w:szCs w:val="24"/>
                <w:highlight w:val="none"/>
                <w:u w:val="none"/>
              </w:rPr>
            </w:pPr>
          </w:p>
        </w:tc>
        <w:tc>
          <w:tcPr>
            <w:tcW w:w="1071" w:type="dxa"/>
            <w:tcBorders>
              <w:tl2br w:val="nil"/>
              <w:tr2bl w:val="nil"/>
            </w:tcBorders>
            <w:shd w:val="clear" w:color="auto" w:fill="FCE4D6"/>
            <w:noWrap/>
            <w:vAlign w:val="center"/>
          </w:tcPr>
          <w:p>
            <w:pPr>
              <w:jc w:val="center"/>
              <w:rPr>
                <w:rFonts w:hint="eastAsia" w:ascii="宋体" w:hAnsi="宋体" w:eastAsia="宋体" w:cs="宋体"/>
                <w:b/>
                <w:bCs/>
                <w:i w:val="0"/>
                <w:iCs w:val="0"/>
                <w:color w:val="auto"/>
                <w:sz w:val="24"/>
                <w:szCs w:val="24"/>
                <w:highlight w:val="none"/>
                <w:u w:val="none"/>
              </w:rPr>
            </w:pPr>
          </w:p>
        </w:tc>
        <w:tc>
          <w:tcPr>
            <w:tcW w:w="0" w:type="auto"/>
            <w:tcBorders>
              <w:tl2br w:val="nil"/>
              <w:tr2bl w:val="nil"/>
            </w:tcBorders>
            <w:shd w:val="clear" w:color="auto" w:fill="FCE4D6"/>
            <w:noWrap/>
            <w:vAlign w:val="center"/>
          </w:tcPr>
          <w:p>
            <w:pPr>
              <w:jc w:val="center"/>
              <w:rPr>
                <w:rFonts w:hint="eastAsia" w:ascii="宋体" w:hAnsi="宋体" w:eastAsia="宋体" w:cs="宋体"/>
                <w:b/>
                <w:bCs/>
                <w:i w:val="0"/>
                <w:iCs w:val="0"/>
                <w:color w:val="auto"/>
                <w:sz w:val="24"/>
                <w:szCs w:val="24"/>
                <w:highlight w:val="none"/>
                <w:u w:val="none"/>
              </w:rPr>
            </w:pPr>
          </w:p>
        </w:tc>
        <w:tc>
          <w:tcPr>
            <w:tcW w:w="0" w:type="auto"/>
            <w:tcBorders>
              <w:tl2br w:val="nil"/>
              <w:tr2bl w:val="nil"/>
            </w:tcBorders>
            <w:shd w:val="clear" w:color="auto" w:fill="FCE4D6"/>
            <w:noWrap/>
            <w:vAlign w:val="center"/>
          </w:tcPr>
          <w:p>
            <w:pPr>
              <w:jc w:val="center"/>
              <w:rPr>
                <w:rFonts w:hint="eastAsia" w:ascii="宋体" w:hAnsi="宋体" w:eastAsia="宋体" w:cs="宋体"/>
                <w:b/>
                <w:bCs/>
                <w:i w:val="0"/>
                <w:iCs w:val="0"/>
                <w:color w:val="auto"/>
                <w:sz w:val="24"/>
                <w:szCs w:val="24"/>
                <w:highlight w:val="none"/>
                <w:u w:val="none"/>
              </w:rPr>
            </w:pPr>
          </w:p>
        </w:tc>
        <w:tc>
          <w:tcPr>
            <w:tcW w:w="1834" w:type="dxa"/>
            <w:tcBorders>
              <w:tl2br w:val="nil"/>
              <w:tr2bl w:val="nil"/>
            </w:tcBorders>
            <w:shd w:val="clear" w:color="auto" w:fill="FCE4D6"/>
            <w:noWrap/>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E7E6E6"/>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二</w:t>
            </w:r>
          </w:p>
        </w:tc>
        <w:tc>
          <w:tcPr>
            <w:tcW w:w="6919" w:type="dxa"/>
            <w:gridSpan w:val="2"/>
            <w:tcBorders>
              <w:tl2br w:val="nil"/>
              <w:tr2bl w:val="nil"/>
            </w:tcBorders>
            <w:shd w:val="clear" w:color="auto" w:fill="E7E6E6"/>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color w:val="auto"/>
                <w:kern w:val="0"/>
                <w:sz w:val="24"/>
                <w:highlight w:val="none"/>
                <w:lang w:bidi="ar"/>
              </w:rPr>
              <w:t xml:space="preserve">教室+走廊（西侧教室）拆砌墙部分 </w:t>
            </w:r>
          </w:p>
        </w:tc>
        <w:tc>
          <w:tcPr>
            <w:tcW w:w="1071" w:type="dxa"/>
            <w:tcBorders>
              <w:tl2br w:val="nil"/>
              <w:tr2bl w:val="nil"/>
            </w:tcBorders>
            <w:shd w:val="clear" w:color="auto" w:fill="E7E6E6"/>
            <w:vAlign w:val="center"/>
          </w:tcPr>
          <w:p>
            <w:pPr>
              <w:jc w:val="center"/>
              <w:rPr>
                <w:rFonts w:hint="eastAsia" w:ascii="宋体" w:hAnsi="宋体" w:eastAsia="宋体" w:cs="宋体"/>
                <w:i w:val="0"/>
                <w:iCs w:val="0"/>
                <w:color w:val="auto"/>
                <w:sz w:val="24"/>
                <w:szCs w:val="24"/>
                <w:highlight w:val="none"/>
                <w:u w:val="none"/>
              </w:rPr>
            </w:pPr>
          </w:p>
        </w:tc>
        <w:tc>
          <w:tcPr>
            <w:tcW w:w="1321" w:type="dxa"/>
            <w:tcBorders>
              <w:tl2br w:val="nil"/>
              <w:tr2bl w:val="nil"/>
            </w:tcBorders>
            <w:shd w:val="clear" w:color="auto" w:fill="E7E6E6"/>
            <w:vAlign w:val="center"/>
          </w:tcPr>
          <w:p>
            <w:pPr>
              <w:jc w:val="center"/>
              <w:rPr>
                <w:rFonts w:hint="eastAsia" w:ascii="宋体" w:hAnsi="宋体" w:eastAsia="宋体" w:cs="宋体"/>
                <w:i w:val="0"/>
                <w:iCs w:val="0"/>
                <w:color w:val="auto"/>
                <w:sz w:val="24"/>
                <w:szCs w:val="24"/>
                <w:highlight w:val="none"/>
                <w:u w:val="none"/>
              </w:rPr>
            </w:pPr>
          </w:p>
        </w:tc>
        <w:tc>
          <w:tcPr>
            <w:tcW w:w="1444" w:type="dxa"/>
            <w:tcBorders>
              <w:tl2br w:val="nil"/>
              <w:tr2bl w:val="nil"/>
            </w:tcBorders>
            <w:shd w:val="clear" w:color="auto" w:fill="E7E6E6"/>
            <w:vAlign w:val="center"/>
          </w:tcPr>
          <w:p>
            <w:pPr>
              <w:jc w:val="center"/>
              <w:rPr>
                <w:rFonts w:hint="eastAsia" w:ascii="宋体" w:hAnsi="宋体" w:eastAsia="宋体" w:cs="宋体"/>
                <w:i w:val="0"/>
                <w:iCs w:val="0"/>
                <w:color w:val="auto"/>
                <w:sz w:val="24"/>
                <w:szCs w:val="24"/>
                <w:highlight w:val="none"/>
                <w:u w:val="none"/>
              </w:rPr>
            </w:pPr>
          </w:p>
        </w:tc>
        <w:tc>
          <w:tcPr>
            <w:tcW w:w="1834" w:type="dxa"/>
            <w:tcBorders>
              <w:tl2br w:val="nil"/>
              <w:tr2bl w:val="nil"/>
            </w:tcBorders>
            <w:shd w:val="clear" w:color="auto" w:fill="E7E6E6"/>
            <w:vAlign w:val="center"/>
          </w:tcPr>
          <w:p>
            <w:pPr>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2"/>
                <w:szCs w:val="22"/>
                <w:highlight w:val="none"/>
                <w:lang w:bidi="ar"/>
              </w:rPr>
              <w:t>1</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隔墙</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1、75系列轻钢龙骨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2、12mm厚双层双面纸面石膏板，内置50mm厚防火隔音岩棉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3、石膏板缝贴自粘胶，钉眼封点防锈漆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4、批腻子、乳胶漆另计</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m2</w:t>
            </w:r>
          </w:p>
        </w:tc>
        <w:tc>
          <w:tcPr>
            <w:tcW w:w="132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30</w:t>
            </w:r>
          </w:p>
        </w:tc>
        <w:tc>
          <w:tcPr>
            <w:tcW w:w="144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2"/>
                <w:szCs w:val="22"/>
                <w:highlight w:val="none"/>
                <w:lang w:bidi="ar"/>
              </w:rPr>
              <w:t>2</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8"/>
                <w:szCs w:val="18"/>
                <w:highlight w:val="none"/>
                <w:lang w:bidi="ar"/>
              </w:rPr>
              <w:t>天棚面龙骨及饰面拆除</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8"/>
                <w:szCs w:val="18"/>
                <w:highlight w:val="none"/>
                <w:lang w:bidi="ar"/>
              </w:rPr>
              <w:t>1、拆除原吊顶吊筋、龙骨及面层</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2、清理基层，满足下道工序要求</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8"/>
                <w:szCs w:val="18"/>
                <w:highlight w:val="none"/>
                <w:lang w:bidi="ar"/>
              </w:rPr>
              <w:t>m2</w:t>
            </w:r>
          </w:p>
        </w:tc>
        <w:tc>
          <w:tcPr>
            <w:tcW w:w="132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8"/>
                <w:szCs w:val="18"/>
                <w:highlight w:val="none"/>
                <w:lang w:bidi="ar"/>
              </w:rPr>
              <w:t>59</w:t>
            </w:r>
          </w:p>
        </w:tc>
        <w:tc>
          <w:tcPr>
            <w:tcW w:w="144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2"/>
                <w:szCs w:val="22"/>
                <w:highlight w:val="none"/>
                <w:lang w:bidi="ar"/>
              </w:rPr>
              <w:t>3</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8"/>
                <w:szCs w:val="18"/>
                <w:highlight w:val="none"/>
                <w:lang w:bidi="ar"/>
              </w:rPr>
              <w:t>垃圾清运</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8"/>
                <w:szCs w:val="18"/>
                <w:highlight w:val="none"/>
                <w:lang w:bidi="ar"/>
              </w:rPr>
              <w:t>1、现场垃圾清理及外运</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2、建筑垃圾清运到指定地点</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3、拆除物品残值投标人自行处理</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8"/>
                <w:szCs w:val="18"/>
                <w:highlight w:val="none"/>
                <w:lang w:bidi="ar"/>
              </w:rPr>
              <w:t>项</w:t>
            </w:r>
          </w:p>
        </w:tc>
        <w:tc>
          <w:tcPr>
            <w:tcW w:w="132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8"/>
                <w:szCs w:val="18"/>
                <w:highlight w:val="none"/>
                <w:lang w:bidi="ar"/>
              </w:rPr>
              <w:t>1</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2"/>
                <w:szCs w:val="22"/>
                <w:highlight w:val="none"/>
                <w:lang w:bidi="ar"/>
              </w:rPr>
              <w:t>4</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6"/>
                <w:szCs w:val="16"/>
                <w:highlight w:val="none"/>
                <w:lang w:bidi="ar"/>
              </w:rPr>
              <w:t>脚手架费用</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sz w:val="21"/>
                <w:szCs w:val="21"/>
                <w:highlight w:val="none"/>
                <w:u w:val="none"/>
              </w:rPr>
            </w:pPr>
          </w:p>
        </w:tc>
        <w:tc>
          <w:tcPr>
            <w:tcW w:w="107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6"/>
                <w:szCs w:val="16"/>
                <w:highlight w:val="none"/>
                <w:lang w:bidi="ar"/>
              </w:rPr>
              <w:t>项</w:t>
            </w:r>
          </w:p>
        </w:tc>
        <w:tc>
          <w:tcPr>
            <w:tcW w:w="132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6"/>
                <w:szCs w:val="16"/>
                <w:highlight w:val="none"/>
                <w:lang w:bidi="ar"/>
              </w:rPr>
              <w:t>1</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2"/>
                <w:szCs w:val="22"/>
                <w:highlight w:val="none"/>
                <w:lang w:bidi="ar"/>
              </w:rPr>
              <w:t>5</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8"/>
                <w:szCs w:val="18"/>
                <w:highlight w:val="none"/>
                <w:lang w:bidi="ar"/>
              </w:rPr>
              <w:t>保洁费用</w:t>
            </w:r>
          </w:p>
        </w:tc>
        <w:tc>
          <w:tcPr>
            <w:tcW w:w="39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8"/>
                <w:szCs w:val="18"/>
                <w:highlight w:val="none"/>
                <w:lang w:bidi="ar"/>
              </w:rPr>
              <w:t>项</w:t>
            </w:r>
          </w:p>
        </w:tc>
        <w:tc>
          <w:tcPr>
            <w:tcW w:w="1321" w:type="dxa"/>
            <w:tcBorders>
              <w:tl2br w:val="nil"/>
              <w:tr2bl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8"/>
                <w:szCs w:val="18"/>
                <w:highlight w:val="none"/>
                <w:lang w:bidi="ar"/>
              </w:rPr>
              <w:t>1</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2"/>
                <w:szCs w:val="22"/>
                <w:highlight w:val="none"/>
                <w:lang w:bidi="ar"/>
              </w:rPr>
              <w:t>6</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地面桥架拆除</w:t>
            </w:r>
          </w:p>
        </w:tc>
        <w:tc>
          <w:tcPr>
            <w:tcW w:w="39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项</w:t>
            </w:r>
          </w:p>
        </w:tc>
        <w:tc>
          <w:tcPr>
            <w:tcW w:w="1321" w:type="dxa"/>
            <w:tcBorders>
              <w:tl2br w:val="nil"/>
              <w:tr2bl w:val="nil"/>
            </w:tcBorders>
            <w:shd w:val="clear" w:color="auto" w:fill="auto"/>
            <w:noWrap/>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1</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2"/>
                <w:szCs w:val="22"/>
                <w:highlight w:val="none"/>
                <w:lang w:bidi="ar"/>
              </w:rPr>
              <w:t>7</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临时保护费</w:t>
            </w:r>
          </w:p>
        </w:tc>
        <w:tc>
          <w:tcPr>
            <w:tcW w:w="39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项</w:t>
            </w:r>
          </w:p>
        </w:tc>
        <w:tc>
          <w:tcPr>
            <w:tcW w:w="1321" w:type="dxa"/>
            <w:tcBorders>
              <w:tl2br w:val="nil"/>
              <w:tr2bl w:val="nil"/>
            </w:tcBorders>
            <w:shd w:val="clear" w:color="auto" w:fill="auto"/>
            <w:noWrap/>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1</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2"/>
                <w:szCs w:val="22"/>
                <w:highlight w:val="none"/>
                <w:lang w:bidi="ar"/>
              </w:rPr>
              <w:t>8</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材料上楼费</w:t>
            </w:r>
          </w:p>
        </w:tc>
        <w:tc>
          <w:tcPr>
            <w:tcW w:w="39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项</w:t>
            </w:r>
          </w:p>
        </w:tc>
        <w:tc>
          <w:tcPr>
            <w:tcW w:w="1321" w:type="dxa"/>
            <w:tcBorders>
              <w:tl2br w:val="nil"/>
              <w:tr2bl w:val="nil"/>
            </w:tcBorders>
            <w:shd w:val="clear" w:color="auto" w:fill="auto"/>
            <w:noWrap/>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1</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963" w:type="dxa"/>
            <w:tcBorders>
              <w:tl2br w:val="nil"/>
              <w:tr2bl w:val="nil"/>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合计</w:t>
            </w:r>
          </w:p>
        </w:tc>
        <w:tc>
          <w:tcPr>
            <w:tcW w:w="3956" w:type="dxa"/>
            <w:tcBorders>
              <w:tl2br w:val="nil"/>
              <w:tr2bl w:val="nil"/>
            </w:tcBorders>
            <w:shd w:val="clear" w:color="auto" w:fill="FCE4D6"/>
            <w:noWrap/>
            <w:vAlign w:val="center"/>
          </w:tcPr>
          <w:p>
            <w:pPr>
              <w:jc w:val="center"/>
              <w:rPr>
                <w:rFonts w:hint="eastAsia" w:ascii="宋体" w:hAnsi="宋体" w:eastAsia="宋体" w:cs="宋体"/>
                <w:b/>
                <w:bCs/>
                <w:i w:val="0"/>
                <w:iCs w:val="0"/>
                <w:color w:val="auto"/>
                <w:sz w:val="24"/>
                <w:szCs w:val="24"/>
                <w:highlight w:val="none"/>
                <w:u w:val="none"/>
              </w:rPr>
            </w:pPr>
          </w:p>
        </w:tc>
        <w:tc>
          <w:tcPr>
            <w:tcW w:w="1071" w:type="dxa"/>
            <w:tcBorders>
              <w:tl2br w:val="nil"/>
              <w:tr2bl w:val="nil"/>
            </w:tcBorders>
            <w:shd w:val="clear" w:color="auto" w:fill="FCE4D6"/>
            <w:noWrap/>
            <w:vAlign w:val="center"/>
          </w:tcPr>
          <w:p>
            <w:pPr>
              <w:jc w:val="center"/>
              <w:rPr>
                <w:rFonts w:hint="eastAsia" w:ascii="宋体" w:hAnsi="宋体" w:eastAsia="宋体" w:cs="宋体"/>
                <w:b/>
                <w:bCs/>
                <w:i w:val="0"/>
                <w:iCs w:val="0"/>
                <w:color w:val="auto"/>
                <w:sz w:val="24"/>
                <w:szCs w:val="24"/>
                <w:highlight w:val="none"/>
                <w:u w:val="none"/>
              </w:rPr>
            </w:pPr>
          </w:p>
        </w:tc>
        <w:tc>
          <w:tcPr>
            <w:tcW w:w="0" w:type="auto"/>
            <w:tcBorders>
              <w:tl2br w:val="nil"/>
              <w:tr2bl w:val="nil"/>
            </w:tcBorders>
            <w:shd w:val="clear" w:color="auto" w:fill="FCE4D6"/>
            <w:noWrap/>
            <w:vAlign w:val="center"/>
          </w:tcPr>
          <w:p>
            <w:pPr>
              <w:jc w:val="center"/>
              <w:rPr>
                <w:rFonts w:hint="eastAsia" w:ascii="宋体" w:hAnsi="宋体" w:eastAsia="宋体" w:cs="宋体"/>
                <w:b/>
                <w:bCs/>
                <w:i w:val="0"/>
                <w:iCs w:val="0"/>
                <w:color w:val="auto"/>
                <w:sz w:val="24"/>
                <w:szCs w:val="24"/>
                <w:highlight w:val="none"/>
                <w:u w:val="none"/>
              </w:rPr>
            </w:pPr>
          </w:p>
        </w:tc>
        <w:tc>
          <w:tcPr>
            <w:tcW w:w="0" w:type="auto"/>
            <w:tcBorders>
              <w:tl2br w:val="nil"/>
              <w:tr2bl w:val="nil"/>
            </w:tcBorders>
            <w:shd w:val="clear" w:color="auto" w:fill="FCE4D6"/>
            <w:noWrap/>
            <w:vAlign w:val="center"/>
          </w:tcPr>
          <w:p>
            <w:pPr>
              <w:jc w:val="center"/>
              <w:rPr>
                <w:rFonts w:hint="eastAsia" w:ascii="宋体" w:hAnsi="宋体" w:eastAsia="宋体" w:cs="宋体"/>
                <w:b/>
                <w:bCs/>
                <w:i w:val="0"/>
                <w:iCs w:val="0"/>
                <w:color w:val="auto"/>
                <w:sz w:val="24"/>
                <w:szCs w:val="24"/>
                <w:highlight w:val="none"/>
                <w:u w:val="none"/>
              </w:rPr>
            </w:pPr>
          </w:p>
        </w:tc>
        <w:tc>
          <w:tcPr>
            <w:tcW w:w="1834" w:type="dxa"/>
            <w:tcBorders>
              <w:tl2br w:val="nil"/>
              <w:tr2bl w:val="nil"/>
            </w:tcBorders>
            <w:shd w:val="clear" w:color="auto" w:fill="FCE4D6"/>
            <w:noWrap/>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E7E6E6"/>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三</w:t>
            </w:r>
          </w:p>
        </w:tc>
        <w:tc>
          <w:tcPr>
            <w:tcW w:w="6919" w:type="dxa"/>
            <w:gridSpan w:val="2"/>
            <w:tcBorders>
              <w:tl2br w:val="nil"/>
              <w:tr2bl w:val="nil"/>
            </w:tcBorders>
            <w:shd w:val="clear" w:color="auto" w:fill="E7E6E6"/>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color w:val="auto"/>
                <w:kern w:val="0"/>
                <w:sz w:val="24"/>
                <w:highlight w:val="none"/>
                <w:lang w:bidi="ar"/>
              </w:rPr>
              <w:t>教室+走廊（西侧教室）电路部分</w:t>
            </w:r>
          </w:p>
        </w:tc>
        <w:tc>
          <w:tcPr>
            <w:tcW w:w="1071" w:type="dxa"/>
            <w:tcBorders>
              <w:tl2br w:val="nil"/>
              <w:tr2bl w:val="nil"/>
            </w:tcBorders>
            <w:shd w:val="clear" w:color="auto" w:fill="E7E6E6"/>
            <w:vAlign w:val="center"/>
          </w:tcPr>
          <w:p>
            <w:pPr>
              <w:jc w:val="center"/>
              <w:rPr>
                <w:rFonts w:hint="eastAsia" w:ascii="宋体" w:hAnsi="宋体" w:eastAsia="宋体" w:cs="宋体"/>
                <w:i w:val="0"/>
                <w:iCs w:val="0"/>
                <w:color w:val="auto"/>
                <w:sz w:val="21"/>
                <w:szCs w:val="21"/>
                <w:highlight w:val="none"/>
                <w:u w:val="none"/>
              </w:rPr>
            </w:pPr>
          </w:p>
        </w:tc>
        <w:tc>
          <w:tcPr>
            <w:tcW w:w="1321" w:type="dxa"/>
            <w:tcBorders>
              <w:tl2br w:val="nil"/>
              <w:tr2bl w:val="nil"/>
            </w:tcBorders>
            <w:shd w:val="clear" w:color="auto" w:fill="E7E6E6"/>
            <w:vAlign w:val="center"/>
          </w:tcPr>
          <w:p>
            <w:pPr>
              <w:jc w:val="center"/>
              <w:rPr>
                <w:rFonts w:hint="eastAsia" w:ascii="宋体" w:hAnsi="宋体" w:eastAsia="宋体" w:cs="宋体"/>
                <w:i w:val="0"/>
                <w:iCs w:val="0"/>
                <w:color w:val="auto"/>
                <w:sz w:val="21"/>
                <w:szCs w:val="21"/>
                <w:highlight w:val="none"/>
                <w:u w:val="none"/>
              </w:rPr>
            </w:pPr>
          </w:p>
        </w:tc>
        <w:tc>
          <w:tcPr>
            <w:tcW w:w="1444" w:type="dxa"/>
            <w:tcBorders>
              <w:tl2br w:val="nil"/>
              <w:tr2bl w:val="nil"/>
            </w:tcBorders>
            <w:shd w:val="clear" w:color="auto" w:fill="E7E6E6"/>
            <w:vAlign w:val="center"/>
          </w:tcPr>
          <w:p>
            <w:pPr>
              <w:jc w:val="center"/>
              <w:rPr>
                <w:rFonts w:hint="eastAsia" w:ascii="宋体" w:hAnsi="宋体" w:eastAsia="宋体" w:cs="宋体"/>
                <w:i w:val="0"/>
                <w:iCs w:val="0"/>
                <w:color w:val="auto"/>
                <w:sz w:val="21"/>
                <w:szCs w:val="21"/>
                <w:highlight w:val="none"/>
                <w:u w:val="none"/>
              </w:rPr>
            </w:pPr>
          </w:p>
        </w:tc>
        <w:tc>
          <w:tcPr>
            <w:tcW w:w="1834" w:type="dxa"/>
            <w:tcBorders>
              <w:tl2br w:val="nil"/>
              <w:tr2bl w:val="nil"/>
            </w:tcBorders>
            <w:shd w:val="clear" w:color="auto" w:fill="E7E6E6"/>
            <w:vAlign w:val="center"/>
          </w:tcPr>
          <w:p>
            <w:pPr>
              <w:jc w:val="center"/>
              <w:rPr>
                <w:rFonts w:hint="eastAsia" w:ascii="宋体" w:hAnsi="宋体" w:eastAsia="宋体" w:cs="宋体"/>
                <w:i w:val="0"/>
                <w:iCs w:val="0"/>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2"/>
                <w:szCs w:val="22"/>
                <w:highlight w:val="none"/>
                <w:lang w:bidi="ar"/>
              </w:rPr>
              <w:t>1</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强弱电改造</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强弱电电路工资 （</w:t>
            </w:r>
            <w:r>
              <w:rPr>
                <w:rFonts w:hint="eastAsia" w:ascii="宋体" w:hAnsi="宋体" w:cs="宋体"/>
                <w:color w:val="auto"/>
                <w:kern w:val="0"/>
                <w:sz w:val="20"/>
                <w:szCs w:val="20"/>
                <w:highlight w:val="none"/>
                <w:lang w:bidi="ar"/>
              </w:rPr>
              <w:t>按</w:t>
            </w:r>
            <w:r>
              <w:rPr>
                <w:rFonts w:hint="eastAsia" w:ascii="宋体" w:hAnsi="宋体" w:eastAsia="宋体" w:cs="宋体"/>
                <w:color w:val="auto"/>
                <w:kern w:val="0"/>
                <w:sz w:val="20"/>
                <w:szCs w:val="20"/>
                <w:highlight w:val="none"/>
                <w:lang w:bidi="ar"/>
              </w:rPr>
              <w:t xml:space="preserve">套内面积计价）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1、名称: 配管、配线、上下水管、排水管、开关、灯具、桥架、电缆等所有工序（结合现场实际需要结合图纸施工）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2、备注:满足校方使用要求，符合验收规范的相关规定</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m2</w:t>
            </w:r>
          </w:p>
        </w:tc>
        <w:tc>
          <w:tcPr>
            <w:tcW w:w="132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79</w:t>
            </w:r>
          </w:p>
        </w:tc>
        <w:tc>
          <w:tcPr>
            <w:tcW w:w="144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782"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2"/>
                <w:szCs w:val="22"/>
                <w:highlight w:val="none"/>
                <w:lang w:bidi="ar"/>
              </w:rPr>
              <w:t>2</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电线辅材</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1、电路配套辅材</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项</w:t>
            </w:r>
          </w:p>
        </w:tc>
        <w:tc>
          <w:tcPr>
            <w:tcW w:w="132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1</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2"/>
                <w:szCs w:val="22"/>
                <w:highlight w:val="none"/>
                <w:lang w:bidi="ar"/>
              </w:rPr>
              <w:t>3</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筒灯</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1、规格:3000K 15W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工作内容：1、本体安装</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个</w:t>
            </w:r>
          </w:p>
        </w:tc>
        <w:tc>
          <w:tcPr>
            <w:tcW w:w="132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18</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2"/>
                <w:szCs w:val="22"/>
                <w:highlight w:val="none"/>
                <w:lang w:bidi="ar"/>
              </w:rPr>
              <w:t>4</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平板灯</w:t>
            </w:r>
          </w:p>
        </w:tc>
        <w:tc>
          <w:tcPr>
            <w:tcW w:w="3956" w:type="dxa"/>
            <w:tcBorders>
              <w:tl2br w:val="nil"/>
              <w:tr2bl w:val="nil"/>
            </w:tcBorders>
            <w:shd w:val="clear" w:color="auto" w:fill="auto"/>
            <w:noWrap/>
            <w:vAlign w:val="center"/>
          </w:tcPr>
          <w:p>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清单特征：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1、名称:600*1200mmLED平板灯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2、规格:LED光源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工作内容：1、本体安装</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个</w:t>
            </w:r>
          </w:p>
        </w:tc>
        <w:tc>
          <w:tcPr>
            <w:tcW w:w="132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4</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auto"/>
            <w:noWrap/>
            <w:vAlign w:val="center"/>
          </w:tcPr>
          <w:p>
            <w:pPr>
              <w:widowControl/>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2"/>
                <w:szCs w:val="22"/>
                <w:highlight w:val="none"/>
                <w:lang w:bidi="ar"/>
              </w:rPr>
              <w:t>5</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射灯</w:t>
            </w:r>
          </w:p>
        </w:tc>
        <w:tc>
          <w:tcPr>
            <w:tcW w:w="3956" w:type="dxa"/>
            <w:tcBorders>
              <w:tl2br w:val="nil"/>
              <w:tr2bl w:val="nil"/>
            </w:tcBorders>
            <w:shd w:val="clear" w:color="auto" w:fill="auto"/>
            <w:noWrap/>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清单特征：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1、名称:嵌入式可调角度射灯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2、规格:3000K 15W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工作内容：1、本体安装</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个</w:t>
            </w:r>
          </w:p>
        </w:tc>
        <w:tc>
          <w:tcPr>
            <w:tcW w:w="132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9</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auto"/>
            <w:noWrap/>
            <w:vAlign w:val="center"/>
          </w:tcPr>
          <w:p>
            <w:pPr>
              <w:widowControl/>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2"/>
                <w:szCs w:val="22"/>
                <w:highlight w:val="none"/>
                <w:lang w:bidi="ar"/>
              </w:rPr>
              <w:t>6</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插座开关</w:t>
            </w:r>
          </w:p>
        </w:tc>
        <w:tc>
          <w:tcPr>
            <w:tcW w:w="3956" w:type="dxa"/>
            <w:tcBorders>
              <w:tl2br w:val="nil"/>
              <w:tr2bl w:val="nil"/>
            </w:tcBorders>
            <w:shd w:val="clear" w:color="auto" w:fill="auto"/>
            <w:noWrap/>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清单特征：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1、名称:五孔插座 双联单控开关</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工作内容：1、本体安装2、接线</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个</w:t>
            </w:r>
          </w:p>
        </w:tc>
        <w:tc>
          <w:tcPr>
            <w:tcW w:w="132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11</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auto"/>
            <w:noWrap/>
            <w:vAlign w:val="center"/>
          </w:tcPr>
          <w:p>
            <w:pPr>
              <w:widowControl/>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2"/>
                <w:szCs w:val="22"/>
                <w:highlight w:val="none"/>
                <w:lang w:bidi="ar"/>
              </w:rPr>
              <w:t>7</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地插</w:t>
            </w:r>
          </w:p>
        </w:tc>
        <w:tc>
          <w:tcPr>
            <w:tcW w:w="3956" w:type="dxa"/>
            <w:tcBorders>
              <w:tl2br w:val="nil"/>
              <w:tr2bl w:val="nil"/>
            </w:tcBorders>
            <w:shd w:val="clear" w:color="auto" w:fill="auto"/>
            <w:noWrap/>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清单特征：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1、名称:地面插座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工作内容：1、本体安装2、接线</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个</w:t>
            </w:r>
          </w:p>
        </w:tc>
        <w:tc>
          <w:tcPr>
            <w:tcW w:w="132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2</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auto"/>
            <w:noWrap/>
            <w:vAlign w:val="center"/>
          </w:tcPr>
          <w:p>
            <w:pPr>
              <w:widowControl/>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2"/>
                <w:szCs w:val="22"/>
                <w:highlight w:val="none"/>
                <w:lang w:bidi="ar"/>
              </w:rPr>
              <w:t>8</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桌插</w:t>
            </w:r>
          </w:p>
        </w:tc>
        <w:tc>
          <w:tcPr>
            <w:tcW w:w="3956" w:type="dxa"/>
            <w:tcBorders>
              <w:tl2br w:val="nil"/>
              <w:tr2bl w:val="nil"/>
            </w:tcBorders>
            <w:shd w:val="clear" w:color="auto" w:fill="auto"/>
            <w:noWrap/>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清单特征：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1、名称:桌插（2个五孔+2个USB插口）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工作内容：1、本体安装2、接线</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个</w:t>
            </w:r>
          </w:p>
        </w:tc>
        <w:tc>
          <w:tcPr>
            <w:tcW w:w="132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16</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82" w:type="dxa"/>
            <w:tcBorders>
              <w:tl2br w:val="nil"/>
              <w:tr2bl w:val="nil"/>
            </w:tcBorders>
            <w:shd w:val="clear" w:color="auto" w:fill="auto"/>
            <w:noWrap/>
            <w:vAlign w:val="center"/>
          </w:tcPr>
          <w:p>
            <w:pPr>
              <w:widowControl/>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2"/>
                <w:szCs w:val="22"/>
                <w:highlight w:val="none"/>
                <w:lang w:bidi="ar"/>
              </w:rPr>
              <w:t>9</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网络地插</w:t>
            </w:r>
          </w:p>
        </w:tc>
        <w:tc>
          <w:tcPr>
            <w:tcW w:w="3956" w:type="dxa"/>
            <w:tcBorders>
              <w:tl2br w:val="nil"/>
              <w:tr2bl w:val="nil"/>
            </w:tcBorders>
            <w:shd w:val="clear" w:color="auto" w:fill="auto"/>
            <w:noWrap/>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清单特征：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1、名称:网络地插</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工作内容：1、本体安装2、接线</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个</w:t>
            </w:r>
          </w:p>
        </w:tc>
        <w:tc>
          <w:tcPr>
            <w:tcW w:w="132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1</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82" w:type="dxa"/>
            <w:tcBorders>
              <w:tl2br w:val="nil"/>
              <w:tr2bl w:val="nil"/>
            </w:tcBorders>
            <w:shd w:val="clear" w:color="auto" w:fill="auto"/>
            <w:noWrap/>
            <w:vAlign w:val="center"/>
          </w:tcPr>
          <w:p>
            <w:pPr>
              <w:jc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10</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无线ap</w:t>
            </w:r>
          </w:p>
        </w:tc>
        <w:tc>
          <w:tcPr>
            <w:tcW w:w="3956" w:type="dxa"/>
            <w:tcBorders>
              <w:tl2br w:val="nil"/>
              <w:tr2bl w:val="nil"/>
            </w:tcBorders>
            <w:shd w:val="clear" w:color="auto" w:fill="auto"/>
            <w:noWrap/>
            <w:vAlign w:val="center"/>
          </w:tcPr>
          <w:p>
            <w:pPr>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清单特征：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1、名称:顶吸ap</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工作内容：1、本体安装2、接线</w:t>
            </w:r>
          </w:p>
        </w:tc>
        <w:tc>
          <w:tcPr>
            <w:tcW w:w="1071" w:type="dxa"/>
            <w:tcBorders>
              <w:tl2br w:val="nil"/>
              <w:tr2bl w:val="nil"/>
            </w:tcBorders>
            <w:shd w:val="clear" w:color="auto" w:fill="auto"/>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个</w:t>
            </w:r>
          </w:p>
        </w:tc>
        <w:tc>
          <w:tcPr>
            <w:tcW w:w="1321" w:type="dxa"/>
            <w:tcBorders>
              <w:tl2br w:val="nil"/>
              <w:tr2bl w:val="nil"/>
            </w:tcBorders>
            <w:shd w:val="clear" w:color="auto" w:fill="auto"/>
            <w:noWrap/>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1</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2963" w:type="dxa"/>
            <w:tcBorders>
              <w:tl2br w:val="nil"/>
              <w:tr2bl w:val="nil"/>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合计</w:t>
            </w:r>
          </w:p>
        </w:tc>
        <w:tc>
          <w:tcPr>
            <w:tcW w:w="3956" w:type="dxa"/>
            <w:tcBorders>
              <w:tl2br w:val="nil"/>
              <w:tr2bl w:val="nil"/>
            </w:tcBorders>
            <w:shd w:val="clear" w:color="auto" w:fill="FCE4D6"/>
            <w:noWrap/>
            <w:vAlign w:val="center"/>
          </w:tcPr>
          <w:p>
            <w:pPr>
              <w:jc w:val="left"/>
              <w:rPr>
                <w:rFonts w:hint="eastAsia" w:ascii="宋体" w:hAnsi="宋体" w:eastAsia="宋体" w:cs="宋体"/>
                <w:b/>
                <w:bCs/>
                <w:i w:val="0"/>
                <w:iCs w:val="0"/>
                <w:color w:val="auto"/>
                <w:sz w:val="24"/>
                <w:szCs w:val="24"/>
                <w:highlight w:val="none"/>
                <w:u w:val="none"/>
              </w:rPr>
            </w:pPr>
          </w:p>
        </w:tc>
        <w:tc>
          <w:tcPr>
            <w:tcW w:w="1071" w:type="dxa"/>
            <w:tcBorders>
              <w:tl2br w:val="nil"/>
              <w:tr2bl w:val="nil"/>
            </w:tcBorders>
            <w:shd w:val="clear" w:color="auto" w:fill="FCE4D6"/>
            <w:noWrap/>
            <w:vAlign w:val="center"/>
          </w:tcPr>
          <w:p>
            <w:pPr>
              <w:jc w:val="center"/>
              <w:rPr>
                <w:rFonts w:hint="eastAsia" w:ascii="宋体" w:hAnsi="宋体" w:eastAsia="宋体" w:cs="宋体"/>
                <w:b/>
                <w:bCs/>
                <w:i w:val="0"/>
                <w:iCs w:val="0"/>
                <w:color w:val="auto"/>
                <w:sz w:val="24"/>
                <w:szCs w:val="24"/>
                <w:highlight w:val="none"/>
                <w:u w:val="none"/>
              </w:rPr>
            </w:pPr>
          </w:p>
        </w:tc>
        <w:tc>
          <w:tcPr>
            <w:tcW w:w="0" w:type="auto"/>
            <w:tcBorders>
              <w:tl2br w:val="nil"/>
              <w:tr2bl w:val="nil"/>
            </w:tcBorders>
            <w:shd w:val="clear" w:color="auto" w:fill="FCE4D6"/>
            <w:noWrap/>
            <w:vAlign w:val="center"/>
          </w:tcPr>
          <w:p>
            <w:pPr>
              <w:jc w:val="center"/>
              <w:rPr>
                <w:rFonts w:hint="eastAsia" w:ascii="宋体" w:hAnsi="宋体" w:eastAsia="宋体" w:cs="宋体"/>
                <w:b/>
                <w:bCs/>
                <w:i w:val="0"/>
                <w:iCs w:val="0"/>
                <w:color w:val="auto"/>
                <w:sz w:val="24"/>
                <w:szCs w:val="24"/>
                <w:highlight w:val="none"/>
                <w:u w:val="none"/>
              </w:rPr>
            </w:pPr>
          </w:p>
        </w:tc>
        <w:tc>
          <w:tcPr>
            <w:tcW w:w="0" w:type="auto"/>
            <w:tcBorders>
              <w:tl2br w:val="nil"/>
              <w:tr2bl w:val="nil"/>
            </w:tcBorders>
            <w:shd w:val="clear" w:color="auto" w:fill="FCE4D6"/>
            <w:noWrap/>
            <w:vAlign w:val="center"/>
          </w:tcPr>
          <w:p>
            <w:pPr>
              <w:jc w:val="center"/>
              <w:rPr>
                <w:rFonts w:hint="eastAsia" w:ascii="宋体" w:hAnsi="宋体" w:eastAsia="宋体" w:cs="宋体"/>
                <w:b/>
                <w:bCs/>
                <w:i w:val="0"/>
                <w:iCs w:val="0"/>
                <w:color w:val="auto"/>
                <w:sz w:val="24"/>
                <w:szCs w:val="24"/>
                <w:highlight w:val="none"/>
                <w:u w:val="none"/>
              </w:rPr>
            </w:pPr>
          </w:p>
        </w:tc>
        <w:tc>
          <w:tcPr>
            <w:tcW w:w="1834" w:type="dxa"/>
            <w:tcBorders>
              <w:tl2br w:val="nil"/>
              <w:tr2bl w:val="nil"/>
            </w:tcBorders>
            <w:shd w:val="clear" w:color="auto" w:fill="FCE4D6"/>
            <w:noWrap/>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E7E6E6"/>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四</w:t>
            </w:r>
          </w:p>
        </w:tc>
        <w:tc>
          <w:tcPr>
            <w:tcW w:w="6919" w:type="dxa"/>
            <w:gridSpan w:val="2"/>
            <w:tcBorders>
              <w:tl2br w:val="nil"/>
              <w:tr2bl w:val="nil"/>
            </w:tcBorders>
            <w:shd w:val="clear" w:color="auto" w:fill="E7E6E6"/>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color w:val="auto"/>
                <w:kern w:val="0"/>
                <w:sz w:val="24"/>
                <w:highlight w:val="none"/>
                <w:lang w:bidi="ar"/>
              </w:rPr>
              <w:t>东侧两个教室 装饰部分</w:t>
            </w:r>
          </w:p>
        </w:tc>
        <w:tc>
          <w:tcPr>
            <w:tcW w:w="1071" w:type="dxa"/>
            <w:tcBorders>
              <w:tl2br w:val="nil"/>
              <w:tr2bl w:val="nil"/>
            </w:tcBorders>
            <w:shd w:val="clear" w:color="auto" w:fill="E7E6E6"/>
            <w:vAlign w:val="center"/>
          </w:tcPr>
          <w:p>
            <w:pPr>
              <w:jc w:val="center"/>
              <w:rPr>
                <w:rFonts w:hint="eastAsia" w:ascii="宋体" w:hAnsi="宋体" w:eastAsia="宋体" w:cs="宋体"/>
                <w:i w:val="0"/>
                <w:iCs w:val="0"/>
                <w:color w:val="auto"/>
                <w:sz w:val="24"/>
                <w:szCs w:val="24"/>
                <w:highlight w:val="none"/>
                <w:u w:val="none"/>
              </w:rPr>
            </w:pPr>
          </w:p>
        </w:tc>
        <w:tc>
          <w:tcPr>
            <w:tcW w:w="1321" w:type="dxa"/>
            <w:tcBorders>
              <w:tl2br w:val="nil"/>
              <w:tr2bl w:val="nil"/>
            </w:tcBorders>
            <w:shd w:val="clear" w:color="auto" w:fill="E7E6E6"/>
            <w:vAlign w:val="center"/>
          </w:tcPr>
          <w:p>
            <w:pPr>
              <w:jc w:val="center"/>
              <w:rPr>
                <w:rFonts w:hint="eastAsia" w:ascii="宋体" w:hAnsi="宋体" w:eastAsia="宋体" w:cs="宋体"/>
                <w:i w:val="0"/>
                <w:iCs w:val="0"/>
                <w:color w:val="auto"/>
                <w:sz w:val="24"/>
                <w:szCs w:val="24"/>
                <w:highlight w:val="none"/>
                <w:u w:val="none"/>
              </w:rPr>
            </w:pPr>
          </w:p>
        </w:tc>
        <w:tc>
          <w:tcPr>
            <w:tcW w:w="1444" w:type="dxa"/>
            <w:tcBorders>
              <w:tl2br w:val="nil"/>
              <w:tr2bl w:val="nil"/>
            </w:tcBorders>
            <w:shd w:val="clear" w:color="auto" w:fill="E7E6E6"/>
            <w:vAlign w:val="center"/>
          </w:tcPr>
          <w:p>
            <w:pPr>
              <w:jc w:val="center"/>
              <w:rPr>
                <w:rFonts w:hint="eastAsia" w:ascii="宋体" w:hAnsi="宋体" w:eastAsia="宋体" w:cs="宋体"/>
                <w:i w:val="0"/>
                <w:iCs w:val="0"/>
                <w:color w:val="auto"/>
                <w:sz w:val="24"/>
                <w:szCs w:val="24"/>
                <w:highlight w:val="none"/>
                <w:u w:val="none"/>
              </w:rPr>
            </w:pPr>
          </w:p>
        </w:tc>
        <w:tc>
          <w:tcPr>
            <w:tcW w:w="1834" w:type="dxa"/>
            <w:tcBorders>
              <w:tl2br w:val="nil"/>
              <w:tr2bl w:val="nil"/>
            </w:tcBorders>
            <w:shd w:val="clear" w:color="auto" w:fill="E7E6E6"/>
            <w:vAlign w:val="center"/>
          </w:tcPr>
          <w:p>
            <w:pPr>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kern w:val="0"/>
                <w:sz w:val="22"/>
                <w:szCs w:val="22"/>
                <w:highlight w:val="none"/>
                <w:lang w:bidi="ar"/>
              </w:rPr>
              <w:t>1</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块料踢脚线</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1、高度:110mm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2、20厚1：3水泥砂浆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3、800*800黑色地砖加工而成，含磨边</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m2</w:t>
            </w:r>
          </w:p>
        </w:tc>
        <w:tc>
          <w:tcPr>
            <w:tcW w:w="132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42</w:t>
            </w:r>
          </w:p>
        </w:tc>
        <w:tc>
          <w:tcPr>
            <w:tcW w:w="144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kern w:val="0"/>
                <w:sz w:val="22"/>
                <w:szCs w:val="22"/>
                <w:highlight w:val="none"/>
                <w:lang w:bidi="ar"/>
              </w:rPr>
              <w:t>2</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墙面喷刷涂料</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6"/>
                <w:szCs w:val="16"/>
                <w:highlight w:val="none"/>
                <w:lang w:bidi="ar"/>
              </w:rPr>
              <w:t>1、满批腻子2遍</w:t>
            </w:r>
            <w:r>
              <w:rPr>
                <w:rFonts w:hint="eastAsia" w:ascii="宋体" w:hAnsi="宋体" w:eastAsia="宋体" w:cs="宋体"/>
                <w:color w:val="auto"/>
                <w:kern w:val="0"/>
                <w:sz w:val="16"/>
                <w:szCs w:val="16"/>
                <w:highlight w:val="none"/>
                <w:lang w:bidi="ar"/>
              </w:rPr>
              <w:br w:type="textWrapping"/>
            </w:r>
            <w:r>
              <w:rPr>
                <w:rFonts w:hint="eastAsia" w:ascii="宋体" w:hAnsi="宋体" w:eastAsia="宋体" w:cs="宋体"/>
                <w:color w:val="auto"/>
                <w:kern w:val="0"/>
                <w:sz w:val="16"/>
                <w:szCs w:val="16"/>
                <w:highlight w:val="none"/>
                <w:lang w:bidi="ar"/>
              </w:rPr>
              <w:t>2、白色无机涂料3遍</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m2</w:t>
            </w:r>
          </w:p>
        </w:tc>
        <w:tc>
          <w:tcPr>
            <w:tcW w:w="132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6"/>
                <w:szCs w:val="16"/>
                <w:highlight w:val="none"/>
                <w:lang w:bidi="ar"/>
              </w:rPr>
              <w:t>159</w:t>
            </w:r>
          </w:p>
        </w:tc>
        <w:tc>
          <w:tcPr>
            <w:tcW w:w="144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kern w:val="0"/>
                <w:sz w:val="22"/>
                <w:szCs w:val="22"/>
                <w:highlight w:val="none"/>
                <w:lang w:bidi="ar"/>
              </w:rPr>
              <w:t>3</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墙面喷刷涂料</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6"/>
                <w:szCs w:val="16"/>
                <w:highlight w:val="none"/>
                <w:lang w:bidi="ar"/>
              </w:rPr>
              <w:t>1、满批腻子2遍</w:t>
            </w:r>
            <w:r>
              <w:rPr>
                <w:rFonts w:hint="eastAsia" w:ascii="宋体" w:hAnsi="宋体" w:eastAsia="宋体" w:cs="宋体"/>
                <w:color w:val="auto"/>
                <w:kern w:val="0"/>
                <w:sz w:val="16"/>
                <w:szCs w:val="16"/>
                <w:highlight w:val="none"/>
                <w:lang w:bidi="ar"/>
              </w:rPr>
              <w:br w:type="textWrapping"/>
            </w:r>
            <w:r>
              <w:rPr>
                <w:rFonts w:hint="eastAsia" w:ascii="宋体" w:hAnsi="宋体" w:eastAsia="宋体" w:cs="宋体"/>
                <w:color w:val="auto"/>
                <w:kern w:val="0"/>
                <w:sz w:val="16"/>
                <w:szCs w:val="16"/>
                <w:highlight w:val="none"/>
                <w:lang w:bidi="ar"/>
              </w:rPr>
              <w:t>2、非遗红无机涂料3遍</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m2</w:t>
            </w:r>
          </w:p>
        </w:tc>
        <w:tc>
          <w:tcPr>
            <w:tcW w:w="132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6"/>
                <w:szCs w:val="16"/>
                <w:highlight w:val="none"/>
                <w:lang w:bidi="ar"/>
              </w:rPr>
              <w:t>86</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color w:val="auto"/>
                <w:kern w:val="0"/>
                <w:sz w:val="22"/>
                <w:szCs w:val="22"/>
                <w:highlight w:val="none"/>
                <w:lang w:bidi="ar"/>
              </w:rPr>
              <w:t>4</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墙面喷刷涂料（出新）</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6"/>
                <w:szCs w:val="16"/>
                <w:highlight w:val="none"/>
                <w:lang w:bidi="ar"/>
              </w:rPr>
              <w:t>1、原墙面砂纸打磨，局部腻子修补平整</w:t>
            </w:r>
            <w:r>
              <w:rPr>
                <w:rFonts w:hint="eastAsia" w:ascii="宋体" w:hAnsi="宋体" w:eastAsia="宋体" w:cs="宋体"/>
                <w:color w:val="auto"/>
                <w:kern w:val="0"/>
                <w:sz w:val="16"/>
                <w:szCs w:val="16"/>
                <w:highlight w:val="none"/>
                <w:lang w:bidi="ar"/>
              </w:rPr>
              <w:br w:type="textWrapping"/>
            </w:r>
            <w:r>
              <w:rPr>
                <w:rFonts w:hint="eastAsia" w:ascii="宋体" w:hAnsi="宋体" w:eastAsia="宋体" w:cs="宋体"/>
                <w:color w:val="auto"/>
                <w:kern w:val="0"/>
                <w:sz w:val="16"/>
                <w:szCs w:val="16"/>
                <w:highlight w:val="none"/>
                <w:lang w:bidi="ar"/>
              </w:rPr>
              <w:t>2、白色乳胶漆2遍</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m2</w:t>
            </w:r>
          </w:p>
        </w:tc>
        <w:tc>
          <w:tcPr>
            <w:tcW w:w="132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6"/>
                <w:szCs w:val="16"/>
                <w:highlight w:val="none"/>
                <w:lang w:bidi="ar"/>
              </w:rPr>
              <w:t>96</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color w:val="auto"/>
                <w:kern w:val="0"/>
                <w:sz w:val="22"/>
                <w:szCs w:val="22"/>
                <w:highlight w:val="none"/>
                <w:lang w:bidi="ar"/>
              </w:rPr>
              <w:t>5</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吊顶天棚</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1、简单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2、Φ8全牙热镀锌吊杆，50系列轻钢龙骨，副龙骨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3、9.5mm厚双层纸面石膏板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4、石膏板缝贴自粘胶，钉眼封点防锈漆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5、满批腻子2遍，白色无机涂料3遍</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m2</w:t>
            </w:r>
          </w:p>
        </w:tc>
        <w:tc>
          <w:tcPr>
            <w:tcW w:w="132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35</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color w:val="auto"/>
                <w:kern w:val="0"/>
                <w:sz w:val="22"/>
                <w:szCs w:val="22"/>
                <w:highlight w:val="none"/>
                <w:lang w:bidi="ar"/>
              </w:rPr>
              <w:t>6</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天棚喷刷涂料(出新)</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1、原墙面砂纸打磨，局部腻子修补平整</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2、白色乳胶漆2遍</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m2</w:t>
            </w:r>
          </w:p>
        </w:tc>
        <w:tc>
          <w:tcPr>
            <w:tcW w:w="132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96</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color w:val="auto"/>
                <w:kern w:val="0"/>
                <w:sz w:val="22"/>
                <w:szCs w:val="22"/>
                <w:highlight w:val="none"/>
                <w:lang w:bidi="ar"/>
              </w:rPr>
              <w:t>7</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玻璃门</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1、洞口尺寸:1100*2100</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2、12厚钢化玻璃</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3、不锈钢地弹簧、门夹、拉手</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m2</w:t>
            </w:r>
          </w:p>
        </w:tc>
        <w:tc>
          <w:tcPr>
            <w:tcW w:w="132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7.6</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color w:val="auto"/>
                <w:kern w:val="0"/>
                <w:sz w:val="22"/>
                <w:szCs w:val="22"/>
                <w:highlight w:val="none"/>
                <w:lang w:bidi="ar"/>
              </w:rPr>
              <w:t>8</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固定玻璃窗</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1、洞口尺寸:1100*6800mm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2、12厚钢化玻璃</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m2</w:t>
            </w:r>
          </w:p>
        </w:tc>
        <w:tc>
          <w:tcPr>
            <w:tcW w:w="132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3</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color w:val="auto"/>
                <w:kern w:val="0"/>
                <w:sz w:val="22"/>
                <w:szCs w:val="22"/>
                <w:highlight w:val="none"/>
                <w:lang w:bidi="ar"/>
              </w:rPr>
              <w:t>9</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金属门套</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1、基层:18厚阻燃板</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2、面层:1.0厚304拉丝不锈钢板</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m2</w:t>
            </w:r>
          </w:p>
        </w:tc>
        <w:tc>
          <w:tcPr>
            <w:tcW w:w="132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10</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FCE4D6"/>
            <w:vAlign w:val="center"/>
          </w:tcPr>
          <w:p>
            <w:pPr>
              <w:jc w:val="center"/>
              <w:rPr>
                <w:rFonts w:hint="eastAsia" w:ascii="宋体" w:hAnsi="宋体" w:eastAsia="宋体" w:cs="宋体"/>
                <w:b/>
                <w:bCs/>
                <w:i w:val="0"/>
                <w:iCs w:val="0"/>
                <w:color w:val="auto"/>
                <w:sz w:val="24"/>
                <w:szCs w:val="24"/>
                <w:highlight w:val="none"/>
                <w:u w:val="none"/>
              </w:rPr>
            </w:pPr>
          </w:p>
        </w:tc>
        <w:tc>
          <w:tcPr>
            <w:tcW w:w="2963" w:type="dxa"/>
            <w:tcBorders>
              <w:tl2br w:val="nil"/>
              <w:tr2bl w:val="nil"/>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合计</w:t>
            </w:r>
          </w:p>
        </w:tc>
        <w:tc>
          <w:tcPr>
            <w:tcW w:w="3956" w:type="dxa"/>
            <w:tcBorders>
              <w:tl2br w:val="nil"/>
              <w:tr2bl w:val="nil"/>
            </w:tcBorders>
            <w:shd w:val="clear" w:color="auto" w:fill="FCE4D6"/>
            <w:noWrap/>
            <w:vAlign w:val="center"/>
          </w:tcPr>
          <w:p>
            <w:pPr>
              <w:jc w:val="left"/>
              <w:rPr>
                <w:rFonts w:hint="eastAsia" w:ascii="宋体" w:hAnsi="宋体" w:eastAsia="宋体" w:cs="宋体"/>
                <w:b/>
                <w:bCs/>
                <w:i w:val="0"/>
                <w:iCs w:val="0"/>
                <w:color w:val="auto"/>
                <w:sz w:val="24"/>
                <w:szCs w:val="24"/>
                <w:highlight w:val="none"/>
                <w:u w:val="none"/>
              </w:rPr>
            </w:pPr>
          </w:p>
        </w:tc>
        <w:tc>
          <w:tcPr>
            <w:tcW w:w="1071" w:type="dxa"/>
            <w:tcBorders>
              <w:tl2br w:val="nil"/>
              <w:tr2bl w:val="nil"/>
            </w:tcBorders>
            <w:shd w:val="clear" w:color="auto" w:fill="FCE4D6"/>
            <w:noWrap/>
            <w:vAlign w:val="center"/>
          </w:tcPr>
          <w:p>
            <w:pPr>
              <w:jc w:val="center"/>
              <w:rPr>
                <w:rFonts w:hint="eastAsia" w:ascii="宋体" w:hAnsi="宋体" w:eastAsia="宋体" w:cs="宋体"/>
                <w:b/>
                <w:bCs/>
                <w:i w:val="0"/>
                <w:iCs w:val="0"/>
                <w:color w:val="auto"/>
                <w:sz w:val="24"/>
                <w:szCs w:val="24"/>
                <w:highlight w:val="none"/>
                <w:u w:val="none"/>
              </w:rPr>
            </w:pPr>
          </w:p>
        </w:tc>
        <w:tc>
          <w:tcPr>
            <w:tcW w:w="0" w:type="auto"/>
            <w:tcBorders>
              <w:tl2br w:val="nil"/>
              <w:tr2bl w:val="nil"/>
            </w:tcBorders>
            <w:shd w:val="clear" w:color="auto" w:fill="FCE4D6"/>
            <w:noWrap/>
            <w:vAlign w:val="center"/>
          </w:tcPr>
          <w:p>
            <w:pPr>
              <w:jc w:val="center"/>
              <w:rPr>
                <w:rFonts w:hint="eastAsia" w:ascii="宋体" w:hAnsi="宋体" w:eastAsia="宋体" w:cs="宋体"/>
                <w:b/>
                <w:bCs/>
                <w:i w:val="0"/>
                <w:iCs w:val="0"/>
                <w:color w:val="auto"/>
                <w:sz w:val="24"/>
                <w:szCs w:val="24"/>
                <w:highlight w:val="none"/>
                <w:u w:val="none"/>
              </w:rPr>
            </w:pPr>
          </w:p>
        </w:tc>
        <w:tc>
          <w:tcPr>
            <w:tcW w:w="0" w:type="auto"/>
            <w:tcBorders>
              <w:tl2br w:val="nil"/>
              <w:tr2bl w:val="nil"/>
            </w:tcBorders>
            <w:shd w:val="clear" w:color="auto" w:fill="FCE4D6"/>
            <w:noWrap/>
            <w:vAlign w:val="center"/>
          </w:tcPr>
          <w:p>
            <w:pPr>
              <w:jc w:val="center"/>
              <w:rPr>
                <w:rFonts w:hint="eastAsia" w:ascii="宋体" w:hAnsi="宋体" w:eastAsia="宋体" w:cs="宋体"/>
                <w:b/>
                <w:bCs/>
                <w:i w:val="0"/>
                <w:iCs w:val="0"/>
                <w:color w:val="auto"/>
                <w:sz w:val="24"/>
                <w:szCs w:val="24"/>
                <w:highlight w:val="none"/>
                <w:u w:val="none"/>
              </w:rPr>
            </w:pPr>
          </w:p>
        </w:tc>
        <w:tc>
          <w:tcPr>
            <w:tcW w:w="1834" w:type="dxa"/>
            <w:tcBorders>
              <w:tl2br w:val="nil"/>
              <w:tr2bl w:val="nil"/>
            </w:tcBorders>
            <w:shd w:val="clear" w:color="auto" w:fill="FCE4D6"/>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82" w:type="dxa"/>
            <w:tcBorders>
              <w:tl2br w:val="nil"/>
              <w:tr2bl w:val="nil"/>
            </w:tcBorders>
            <w:shd w:val="clear" w:color="auto" w:fill="E7E6E6"/>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五</w:t>
            </w:r>
          </w:p>
        </w:tc>
        <w:tc>
          <w:tcPr>
            <w:tcW w:w="6919" w:type="dxa"/>
            <w:gridSpan w:val="2"/>
            <w:tcBorders>
              <w:tl2br w:val="nil"/>
              <w:tr2bl w:val="nil"/>
            </w:tcBorders>
            <w:shd w:val="clear" w:color="auto" w:fill="E7E6E6"/>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color w:val="auto"/>
                <w:kern w:val="0"/>
                <w:sz w:val="24"/>
                <w:highlight w:val="none"/>
                <w:lang w:bidi="ar"/>
              </w:rPr>
              <w:t>东侧两个教室 拆砌墙部分</w:t>
            </w:r>
          </w:p>
        </w:tc>
        <w:tc>
          <w:tcPr>
            <w:tcW w:w="1071" w:type="dxa"/>
            <w:tcBorders>
              <w:tl2br w:val="nil"/>
              <w:tr2bl w:val="nil"/>
            </w:tcBorders>
            <w:shd w:val="clear" w:color="auto" w:fill="E7E6E6"/>
            <w:vAlign w:val="center"/>
          </w:tcPr>
          <w:p>
            <w:pPr>
              <w:jc w:val="center"/>
              <w:rPr>
                <w:rFonts w:hint="eastAsia" w:ascii="宋体" w:hAnsi="宋体" w:eastAsia="宋体" w:cs="宋体"/>
                <w:i w:val="0"/>
                <w:iCs w:val="0"/>
                <w:color w:val="auto"/>
                <w:sz w:val="21"/>
                <w:szCs w:val="21"/>
                <w:highlight w:val="none"/>
                <w:u w:val="none"/>
              </w:rPr>
            </w:pPr>
          </w:p>
        </w:tc>
        <w:tc>
          <w:tcPr>
            <w:tcW w:w="1321" w:type="dxa"/>
            <w:tcBorders>
              <w:tl2br w:val="nil"/>
              <w:tr2bl w:val="nil"/>
            </w:tcBorders>
            <w:shd w:val="clear" w:color="auto" w:fill="E7E6E6"/>
            <w:vAlign w:val="center"/>
          </w:tcPr>
          <w:p>
            <w:pPr>
              <w:jc w:val="center"/>
              <w:rPr>
                <w:rFonts w:hint="eastAsia" w:ascii="宋体" w:hAnsi="宋体" w:eastAsia="宋体" w:cs="宋体"/>
                <w:i w:val="0"/>
                <w:iCs w:val="0"/>
                <w:color w:val="auto"/>
                <w:sz w:val="21"/>
                <w:szCs w:val="21"/>
                <w:highlight w:val="none"/>
                <w:u w:val="none"/>
              </w:rPr>
            </w:pPr>
          </w:p>
        </w:tc>
        <w:tc>
          <w:tcPr>
            <w:tcW w:w="1444" w:type="dxa"/>
            <w:tcBorders>
              <w:tl2br w:val="nil"/>
              <w:tr2bl w:val="nil"/>
            </w:tcBorders>
            <w:shd w:val="clear" w:color="auto" w:fill="E7E6E6"/>
            <w:vAlign w:val="center"/>
          </w:tcPr>
          <w:p>
            <w:pPr>
              <w:jc w:val="center"/>
              <w:rPr>
                <w:rFonts w:hint="eastAsia" w:ascii="宋体" w:hAnsi="宋体" w:eastAsia="宋体" w:cs="宋体"/>
                <w:i w:val="0"/>
                <w:iCs w:val="0"/>
                <w:color w:val="auto"/>
                <w:sz w:val="21"/>
                <w:szCs w:val="21"/>
                <w:highlight w:val="none"/>
                <w:u w:val="none"/>
              </w:rPr>
            </w:pPr>
          </w:p>
        </w:tc>
        <w:tc>
          <w:tcPr>
            <w:tcW w:w="1834" w:type="dxa"/>
            <w:tcBorders>
              <w:tl2br w:val="nil"/>
              <w:tr2bl w:val="nil"/>
            </w:tcBorders>
            <w:shd w:val="clear" w:color="auto" w:fill="E7E6E6"/>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trPr>
        <w:tc>
          <w:tcPr>
            <w:tcW w:w="782"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2"/>
                <w:szCs w:val="22"/>
                <w:highlight w:val="none"/>
                <w:lang w:bidi="ar"/>
              </w:rPr>
              <w:t>1</w:t>
            </w:r>
          </w:p>
        </w:tc>
        <w:tc>
          <w:tcPr>
            <w:tcW w:w="2963"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隔墙</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1、75系列轻钢龙骨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2、12mm厚双层双面纸面石膏板，内置50mm厚防火隔音岩棉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3、石膏板缝贴自粘胶，钉眼封点防锈漆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4、批腻子、乳胶漆另计</w:t>
            </w:r>
          </w:p>
        </w:tc>
        <w:tc>
          <w:tcPr>
            <w:tcW w:w="107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m2</w:t>
            </w:r>
          </w:p>
        </w:tc>
        <w:tc>
          <w:tcPr>
            <w:tcW w:w="132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136</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1" w:hRule="atLeast"/>
        </w:trPr>
        <w:tc>
          <w:tcPr>
            <w:tcW w:w="782"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2"/>
                <w:szCs w:val="22"/>
                <w:highlight w:val="none"/>
                <w:lang w:bidi="ar"/>
              </w:rPr>
              <w:t>2</w:t>
            </w:r>
          </w:p>
        </w:tc>
        <w:tc>
          <w:tcPr>
            <w:tcW w:w="2963"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8"/>
                <w:szCs w:val="18"/>
                <w:highlight w:val="none"/>
                <w:lang w:bidi="ar"/>
              </w:rPr>
              <w:t>垃圾清运</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8"/>
                <w:szCs w:val="18"/>
                <w:highlight w:val="none"/>
                <w:lang w:bidi="ar"/>
              </w:rPr>
              <w:t>1、现场垃圾清理及外运</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2、建筑垃圾清运到指定地点</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3、拆除物品残值投标人自行处理</w:t>
            </w:r>
          </w:p>
        </w:tc>
        <w:tc>
          <w:tcPr>
            <w:tcW w:w="107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8"/>
                <w:szCs w:val="18"/>
                <w:highlight w:val="none"/>
                <w:lang w:bidi="ar"/>
              </w:rPr>
              <w:t>项</w:t>
            </w:r>
          </w:p>
        </w:tc>
        <w:tc>
          <w:tcPr>
            <w:tcW w:w="132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18"/>
                <w:szCs w:val="18"/>
                <w:highlight w:val="none"/>
                <w:lang w:bidi="ar"/>
              </w:rPr>
              <w:t>1</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trPr>
        <w:tc>
          <w:tcPr>
            <w:tcW w:w="782"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2"/>
                <w:szCs w:val="22"/>
                <w:highlight w:val="none"/>
                <w:lang w:bidi="ar"/>
              </w:rPr>
              <w:t>3</w:t>
            </w:r>
          </w:p>
        </w:tc>
        <w:tc>
          <w:tcPr>
            <w:tcW w:w="2963"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6"/>
                <w:szCs w:val="16"/>
                <w:highlight w:val="none"/>
                <w:lang w:bidi="ar"/>
              </w:rPr>
              <w:t>脚手架费用</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6"/>
                <w:szCs w:val="16"/>
                <w:highlight w:val="none"/>
                <w:lang w:bidi="ar"/>
              </w:rPr>
              <w:t>项</w:t>
            </w:r>
          </w:p>
        </w:tc>
        <w:tc>
          <w:tcPr>
            <w:tcW w:w="132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6"/>
                <w:szCs w:val="16"/>
                <w:highlight w:val="none"/>
                <w:lang w:bidi="ar"/>
              </w:rPr>
              <w:t>1</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5" w:hRule="atLeast"/>
        </w:trPr>
        <w:tc>
          <w:tcPr>
            <w:tcW w:w="782"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2"/>
                <w:szCs w:val="22"/>
                <w:highlight w:val="none"/>
                <w:lang w:bidi="ar"/>
              </w:rPr>
              <w:t>4</w:t>
            </w:r>
          </w:p>
        </w:tc>
        <w:tc>
          <w:tcPr>
            <w:tcW w:w="2963"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保洁费用</w:t>
            </w:r>
          </w:p>
        </w:tc>
        <w:tc>
          <w:tcPr>
            <w:tcW w:w="395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项</w:t>
            </w:r>
          </w:p>
        </w:tc>
        <w:tc>
          <w:tcPr>
            <w:tcW w:w="1321" w:type="dxa"/>
            <w:tcBorders>
              <w:tl2br w:val="nil"/>
              <w:tr2bl w:val="nil"/>
            </w:tcBorders>
            <w:shd w:val="clear" w:color="auto" w:fill="auto"/>
            <w:noWrap/>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1</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4" w:hRule="atLeast"/>
        </w:trPr>
        <w:tc>
          <w:tcPr>
            <w:tcW w:w="782" w:type="dxa"/>
            <w:tcBorders>
              <w:tl2br w:val="nil"/>
              <w:tr2bl w:val="nil"/>
            </w:tcBorders>
            <w:shd w:val="clear" w:color="auto" w:fill="auto"/>
            <w:noWrap/>
            <w:vAlign w:val="center"/>
          </w:tcPr>
          <w:p>
            <w:pPr>
              <w:widowControl/>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2"/>
                <w:szCs w:val="22"/>
                <w:highlight w:val="none"/>
                <w:lang w:bidi="ar"/>
              </w:rPr>
              <w:t>5</w:t>
            </w:r>
          </w:p>
        </w:tc>
        <w:tc>
          <w:tcPr>
            <w:tcW w:w="2963"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临时保护费</w:t>
            </w:r>
          </w:p>
        </w:tc>
        <w:tc>
          <w:tcPr>
            <w:tcW w:w="395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项</w:t>
            </w:r>
          </w:p>
        </w:tc>
        <w:tc>
          <w:tcPr>
            <w:tcW w:w="1321" w:type="dxa"/>
            <w:tcBorders>
              <w:tl2br w:val="nil"/>
              <w:tr2bl w:val="nil"/>
            </w:tcBorders>
            <w:shd w:val="clear" w:color="auto" w:fill="auto"/>
            <w:noWrap/>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1</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782" w:type="dxa"/>
            <w:tcBorders>
              <w:tl2br w:val="nil"/>
              <w:tr2bl w:val="nil"/>
            </w:tcBorders>
            <w:shd w:val="clear" w:color="auto" w:fill="auto"/>
            <w:noWrap/>
            <w:vAlign w:val="center"/>
          </w:tcPr>
          <w:p>
            <w:pPr>
              <w:widowControl/>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2"/>
                <w:szCs w:val="22"/>
                <w:highlight w:val="none"/>
                <w:lang w:bidi="ar"/>
              </w:rPr>
              <w:t>6</w:t>
            </w:r>
          </w:p>
        </w:tc>
        <w:tc>
          <w:tcPr>
            <w:tcW w:w="2963"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材料上楼费</w:t>
            </w:r>
          </w:p>
        </w:tc>
        <w:tc>
          <w:tcPr>
            <w:tcW w:w="395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1"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项</w:t>
            </w:r>
          </w:p>
        </w:tc>
        <w:tc>
          <w:tcPr>
            <w:tcW w:w="1321" w:type="dxa"/>
            <w:tcBorders>
              <w:tl2br w:val="nil"/>
              <w:tr2bl w:val="nil"/>
            </w:tcBorders>
            <w:shd w:val="clear" w:color="auto" w:fill="auto"/>
            <w:noWrap/>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18"/>
                <w:szCs w:val="18"/>
                <w:highlight w:val="none"/>
                <w:lang w:bidi="ar"/>
              </w:rPr>
              <w:t>1</w:t>
            </w:r>
          </w:p>
        </w:tc>
        <w:tc>
          <w:tcPr>
            <w:tcW w:w="0" w:type="auto"/>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0" w:type="auto"/>
            <w:tcBorders>
              <w:tl2br w:val="nil"/>
              <w:tr2bl w:val="nil"/>
            </w:tcBorders>
            <w:shd w:val="clear" w:color="auto" w:fill="FCE4D6"/>
            <w:noWrap/>
            <w:vAlign w:val="center"/>
          </w:tcPr>
          <w:p>
            <w:pPr>
              <w:jc w:val="center"/>
              <w:rPr>
                <w:rFonts w:hint="eastAsia" w:ascii="宋体" w:hAnsi="宋体" w:eastAsia="宋体" w:cs="宋体"/>
                <w:b/>
                <w:bCs/>
                <w:i w:val="0"/>
                <w:iCs w:val="0"/>
                <w:color w:val="auto"/>
                <w:sz w:val="24"/>
                <w:szCs w:val="24"/>
                <w:highlight w:val="none"/>
                <w:u w:val="none"/>
              </w:rPr>
            </w:pPr>
          </w:p>
        </w:tc>
        <w:tc>
          <w:tcPr>
            <w:tcW w:w="2963" w:type="dxa"/>
            <w:tcBorders>
              <w:tl2br w:val="nil"/>
              <w:tr2bl w:val="nil"/>
            </w:tcBorders>
            <w:shd w:val="clear" w:color="auto" w:fill="FCE4D6"/>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合计</w:t>
            </w:r>
          </w:p>
        </w:tc>
        <w:tc>
          <w:tcPr>
            <w:tcW w:w="3956" w:type="dxa"/>
            <w:tcBorders>
              <w:tl2br w:val="nil"/>
              <w:tr2bl w:val="nil"/>
            </w:tcBorders>
            <w:shd w:val="clear" w:color="auto" w:fill="FCE4D6"/>
            <w:vAlign w:val="center"/>
          </w:tcPr>
          <w:p>
            <w:pPr>
              <w:jc w:val="center"/>
              <w:rPr>
                <w:rFonts w:hint="eastAsia" w:ascii="宋体" w:hAnsi="宋体" w:eastAsia="宋体" w:cs="宋体"/>
                <w:b/>
                <w:bCs/>
                <w:i w:val="0"/>
                <w:iCs w:val="0"/>
                <w:color w:val="auto"/>
                <w:sz w:val="24"/>
                <w:szCs w:val="24"/>
                <w:highlight w:val="none"/>
                <w:u w:val="none"/>
              </w:rPr>
            </w:pPr>
          </w:p>
        </w:tc>
        <w:tc>
          <w:tcPr>
            <w:tcW w:w="1071" w:type="dxa"/>
            <w:tcBorders>
              <w:tl2br w:val="nil"/>
              <w:tr2bl w:val="nil"/>
            </w:tcBorders>
            <w:shd w:val="clear" w:color="auto" w:fill="FCE4D6"/>
            <w:vAlign w:val="center"/>
          </w:tcPr>
          <w:p>
            <w:pPr>
              <w:jc w:val="center"/>
              <w:rPr>
                <w:rFonts w:hint="eastAsia" w:ascii="宋体" w:hAnsi="宋体" w:eastAsia="宋体" w:cs="宋体"/>
                <w:b/>
                <w:bCs/>
                <w:i w:val="0"/>
                <w:iCs w:val="0"/>
                <w:color w:val="auto"/>
                <w:sz w:val="24"/>
                <w:szCs w:val="24"/>
                <w:highlight w:val="none"/>
                <w:u w:val="none"/>
              </w:rPr>
            </w:pPr>
          </w:p>
        </w:tc>
        <w:tc>
          <w:tcPr>
            <w:tcW w:w="1321" w:type="dxa"/>
            <w:tcBorders>
              <w:tl2br w:val="nil"/>
              <w:tr2bl w:val="nil"/>
            </w:tcBorders>
            <w:shd w:val="clear" w:color="auto" w:fill="FCE4D6"/>
            <w:vAlign w:val="center"/>
          </w:tcPr>
          <w:p>
            <w:pPr>
              <w:jc w:val="center"/>
              <w:rPr>
                <w:rFonts w:hint="eastAsia" w:ascii="宋体" w:hAnsi="宋体" w:eastAsia="宋体" w:cs="宋体"/>
                <w:b/>
                <w:bCs/>
                <w:i w:val="0"/>
                <w:iCs w:val="0"/>
                <w:color w:val="auto"/>
                <w:sz w:val="24"/>
                <w:szCs w:val="24"/>
                <w:highlight w:val="none"/>
                <w:u w:val="none"/>
              </w:rPr>
            </w:pPr>
          </w:p>
        </w:tc>
        <w:tc>
          <w:tcPr>
            <w:tcW w:w="1444" w:type="dxa"/>
            <w:tcBorders>
              <w:tl2br w:val="nil"/>
              <w:tr2bl w:val="nil"/>
            </w:tcBorders>
            <w:shd w:val="clear" w:color="auto" w:fill="FCE4D6"/>
            <w:vAlign w:val="center"/>
          </w:tcPr>
          <w:p>
            <w:pPr>
              <w:jc w:val="center"/>
              <w:rPr>
                <w:rFonts w:hint="eastAsia" w:ascii="宋体" w:hAnsi="宋体" w:eastAsia="宋体" w:cs="宋体"/>
                <w:b/>
                <w:bCs/>
                <w:i w:val="0"/>
                <w:iCs w:val="0"/>
                <w:color w:val="auto"/>
                <w:sz w:val="24"/>
                <w:szCs w:val="24"/>
                <w:highlight w:val="none"/>
                <w:u w:val="none"/>
              </w:rPr>
            </w:pPr>
          </w:p>
        </w:tc>
        <w:tc>
          <w:tcPr>
            <w:tcW w:w="1834" w:type="dxa"/>
            <w:tcBorders>
              <w:tl2br w:val="nil"/>
              <w:tr2bl w:val="nil"/>
            </w:tcBorders>
            <w:shd w:val="clear" w:color="auto" w:fill="FCE4D6"/>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E7E6E6"/>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六</w:t>
            </w:r>
          </w:p>
        </w:tc>
        <w:tc>
          <w:tcPr>
            <w:tcW w:w="6919" w:type="dxa"/>
            <w:gridSpan w:val="2"/>
            <w:tcBorders>
              <w:tl2br w:val="nil"/>
              <w:tr2bl w:val="nil"/>
            </w:tcBorders>
            <w:shd w:val="clear" w:color="auto" w:fill="E7E6E6"/>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color w:val="auto"/>
                <w:kern w:val="0"/>
                <w:sz w:val="24"/>
                <w:highlight w:val="none"/>
                <w:lang w:bidi="ar"/>
              </w:rPr>
              <w:t>东侧两个教室 电路部分</w:t>
            </w:r>
          </w:p>
        </w:tc>
        <w:tc>
          <w:tcPr>
            <w:tcW w:w="1071" w:type="dxa"/>
            <w:tcBorders>
              <w:tl2br w:val="nil"/>
              <w:tr2bl w:val="nil"/>
            </w:tcBorders>
            <w:shd w:val="clear" w:color="auto" w:fill="E7E6E6"/>
            <w:vAlign w:val="center"/>
          </w:tcPr>
          <w:p>
            <w:pPr>
              <w:jc w:val="center"/>
              <w:rPr>
                <w:rFonts w:hint="eastAsia" w:ascii="微软雅黑" w:hAnsi="微软雅黑" w:eastAsia="微软雅黑" w:cs="微软雅黑"/>
                <w:b/>
                <w:bCs/>
                <w:i w:val="0"/>
                <w:iCs w:val="0"/>
                <w:color w:val="auto"/>
                <w:sz w:val="21"/>
                <w:szCs w:val="21"/>
                <w:highlight w:val="none"/>
                <w:u w:val="none"/>
              </w:rPr>
            </w:pPr>
          </w:p>
        </w:tc>
        <w:tc>
          <w:tcPr>
            <w:tcW w:w="1321" w:type="dxa"/>
            <w:tcBorders>
              <w:tl2br w:val="nil"/>
              <w:tr2bl w:val="nil"/>
            </w:tcBorders>
            <w:shd w:val="clear" w:color="auto" w:fill="E7E6E6"/>
            <w:vAlign w:val="center"/>
          </w:tcPr>
          <w:p>
            <w:pPr>
              <w:jc w:val="center"/>
              <w:rPr>
                <w:rFonts w:hint="eastAsia" w:ascii="微软雅黑" w:hAnsi="微软雅黑" w:eastAsia="微软雅黑" w:cs="微软雅黑"/>
                <w:b/>
                <w:bCs/>
                <w:i w:val="0"/>
                <w:iCs w:val="0"/>
                <w:color w:val="auto"/>
                <w:sz w:val="21"/>
                <w:szCs w:val="21"/>
                <w:highlight w:val="none"/>
                <w:u w:val="none"/>
              </w:rPr>
            </w:pPr>
          </w:p>
        </w:tc>
        <w:tc>
          <w:tcPr>
            <w:tcW w:w="1444" w:type="dxa"/>
            <w:tcBorders>
              <w:tl2br w:val="nil"/>
              <w:tr2bl w:val="nil"/>
            </w:tcBorders>
            <w:shd w:val="clear" w:color="auto" w:fill="E7E6E6"/>
            <w:vAlign w:val="center"/>
          </w:tcPr>
          <w:p>
            <w:pPr>
              <w:jc w:val="center"/>
              <w:rPr>
                <w:rFonts w:hint="eastAsia" w:ascii="微软雅黑" w:hAnsi="微软雅黑" w:eastAsia="微软雅黑" w:cs="微软雅黑"/>
                <w:b/>
                <w:bCs/>
                <w:i w:val="0"/>
                <w:iCs w:val="0"/>
                <w:color w:val="auto"/>
                <w:sz w:val="21"/>
                <w:szCs w:val="21"/>
                <w:highlight w:val="none"/>
                <w:u w:val="none"/>
              </w:rPr>
            </w:pPr>
          </w:p>
        </w:tc>
        <w:tc>
          <w:tcPr>
            <w:tcW w:w="1834" w:type="dxa"/>
            <w:tcBorders>
              <w:tl2br w:val="nil"/>
              <w:tr2bl w:val="nil"/>
            </w:tcBorders>
            <w:shd w:val="clear" w:color="auto" w:fill="E7E6E6"/>
            <w:vAlign w:val="center"/>
          </w:tcPr>
          <w:p>
            <w:pPr>
              <w:jc w:val="center"/>
              <w:rPr>
                <w:rFonts w:hint="eastAsia" w:ascii="微软雅黑" w:hAnsi="微软雅黑" w:eastAsia="微软雅黑" w:cs="微软雅黑"/>
                <w:b/>
                <w:bCs/>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782"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1</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强弱电改造</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强弱电电路工资 （</w:t>
            </w:r>
            <w:r>
              <w:rPr>
                <w:rFonts w:hint="eastAsia" w:ascii="宋体" w:hAnsi="宋体" w:cs="宋体"/>
                <w:color w:val="auto"/>
                <w:kern w:val="0"/>
                <w:sz w:val="20"/>
                <w:szCs w:val="20"/>
                <w:highlight w:val="none"/>
                <w:lang w:bidi="ar"/>
              </w:rPr>
              <w:t>按</w:t>
            </w:r>
            <w:r>
              <w:rPr>
                <w:rFonts w:hint="eastAsia" w:ascii="宋体" w:hAnsi="宋体" w:eastAsia="宋体" w:cs="宋体"/>
                <w:color w:val="auto"/>
                <w:kern w:val="0"/>
                <w:sz w:val="20"/>
                <w:szCs w:val="20"/>
                <w:highlight w:val="none"/>
                <w:lang w:bidi="ar"/>
              </w:rPr>
              <w:t xml:space="preserve">套内面积计价）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1、名称: 配管、配线、上下水管、排水管、开关、灯具、桥架、电缆等所有工序</w:t>
            </w:r>
            <w:r>
              <w:rPr>
                <w:rFonts w:hint="eastAsia" w:ascii="宋体" w:hAnsi="宋体" w:cs="宋体"/>
                <w:color w:val="auto"/>
                <w:kern w:val="0"/>
                <w:sz w:val="20"/>
                <w:szCs w:val="20"/>
                <w:highlight w:val="none"/>
                <w:lang w:bidi="ar"/>
              </w:rPr>
              <w:t>，配电箱改造费用也含在此清单中报价</w:t>
            </w:r>
            <w:r>
              <w:rPr>
                <w:rFonts w:hint="eastAsia" w:ascii="宋体" w:hAnsi="宋体" w:eastAsia="宋体" w:cs="宋体"/>
                <w:color w:val="auto"/>
                <w:kern w:val="0"/>
                <w:sz w:val="20"/>
                <w:szCs w:val="20"/>
                <w:highlight w:val="none"/>
                <w:lang w:bidi="ar"/>
              </w:rPr>
              <w:t>（结合现场实际需要结合图纸施工）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2、备注:满足校方使用要求，符合验收规范的相关规定</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m2</w:t>
            </w:r>
          </w:p>
        </w:tc>
        <w:tc>
          <w:tcPr>
            <w:tcW w:w="132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130</w:t>
            </w:r>
          </w:p>
        </w:tc>
        <w:tc>
          <w:tcPr>
            <w:tcW w:w="144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2" w:hRule="atLeast"/>
        </w:trPr>
        <w:tc>
          <w:tcPr>
            <w:tcW w:w="782"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2</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电线辅材</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1、电路配套辅材</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项</w:t>
            </w:r>
          </w:p>
        </w:tc>
        <w:tc>
          <w:tcPr>
            <w:tcW w:w="132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1</w:t>
            </w:r>
          </w:p>
        </w:tc>
        <w:tc>
          <w:tcPr>
            <w:tcW w:w="144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782"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3</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供电系统调试</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清单特征：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1、名称:送配电调试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2、电压（KV）:1KV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工作内容：1、系统调试</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项</w:t>
            </w:r>
          </w:p>
        </w:tc>
        <w:tc>
          <w:tcPr>
            <w:tcW w:w="132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1</w:t>
            </w:r>
          </w:p>
        </w:tc>
        <w:tc>
          <w:tcPr>
            <w:tcW w:w="144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782" w:type="dxa"/>
            <w:tcBorders>
              <w:tl2br w:val="nil"/>
              <w:tr2bl w:val="nil"/>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4</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平板灯</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清单特征：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1、名称:600*1200mmLED平板灯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2、规格:LED光源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工作内容：1、本体安装</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个</w:t>
            </w:r>
          </w:p>
        </w:tc>
        <w:tc>
          <w:tcPr>
            <w:tcW w:w="132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0"/>
                <w:szCs w:val="20"/>
                <w:highlight w:val="none"/>
                <w:lang w:bidi="ar"/>
              </w:rPr>
              <w:t>12</w:t>
            </w:r>
          </w:p>
        </w:tc>
        <w:tc>
          <w:tcPr>
            <w:tcW w:w="144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60" w:hRule="atLeast"/>
        </w:trPr>
        <w:tc>
          <w:tcPr>
            <w:tcW w:w="782" w:type="dxa"/>
            <w:tcBorders>
              <w:tl2br w:val="nil"/>
              <w:tr2bl w:val="nil"/>
            </w:tcBorders>
            <w:shd w:val="clear" w:color="auto" w:fill="auto"/>
            <w:noWrap/>
            <w:vAlign w:val="center"/>
          </w:tcPr>
          <w:p>
            <w:pPr>
              <w:widowControl/>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5</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射灯</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清单特征：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1、名称:嵌入式可调角度射灯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2、规格:3000K 15W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工作内容：1、本体安装</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个</w:t>
            </w:r>
          </w:p>
        </w:tc>
        <w:tc>
          <w:tcPr>
            <w:tcW w:w="132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8</w:t>
            </w:r>
          </w:p>
        </w:tc>
        <w:tc>
          <w:tcPr>
            <w:tcW w:w="144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trPr>
        <w:tc>
          <w:tcPr>
            <w:tcW w:w="782" w:type="dxa"/>
            <w:tcBorders>
              <w:tl2br w:val="nil"/>
              <w:tr2bl w:val="nil"/>
            </w:tcBorders>
            <w:shd w:val="clear" w:color="auto" w:fill="auto"/>
            <w:noWrap/>
            <w:vAlign w:val="center"/>
          </w:tcPr>
          <w:p>
            <w:pPr>
              <w:widowControl/>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6</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插座开关</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清单特征：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1、名称:五孔插座 双联单控开关</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工作内容：1、本体安装2、接线</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个</w:t>
            </w:r>
          </w:p>
        </w:tc>
        <w:tc>
          <w:tcPr>
            <w:tcW w:w="132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50</w:t>
            </w:r>
          </w:p>
        </w:tc>
        <w:tc>
          <w:tcPr>
            <w:tcW w:w="144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90" w:hRule="atLeast"/>
        </w:trPr>
        <w:tc>
          <w:tcPr>
            <w:tcW w:w="782" w:type="dxa"/>
            <w:tcBorders>
              <w:tl2br w:val="nil"/>
              <w:tr2bl w:val="nil"/>
            </w:tcBorders>
            <w:shd w:val="clear" w:color="auto" w:fill="auto"/>
            <w:noWrap/>
            <w:vAlign w:val="center"/>
          </w:tcPr>
          <w:p>
            <w:pPr>
              <w:widowControl/>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7</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地插</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清单特征：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1、名称:地面插座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工作内容：1、本体安装2、接线</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个</w:t>
            </w:r>
          </w:p>
        </w:tc>
        <w:tc>
          <w:tcPr>
            <w:tcW w:w="132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4</w:t>
            </w:r>
          </w:p>
        </w:tc>
        <w:tc>
          <w:tcPr>
            <w:tcW w:w="144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47" w:hRule="atLeast"/>
        </w:trPr>
        <w:tc>
          <w:tcPr>
            <w:tcW w:w="782" w:type="dxa"/>
            <w:tcBorders>
              <w:tl2br w:val="nil"/>
              <w:tr2bl w:val="nil"/>
            </w:tcBorders>
            <w:shd w:val="clear" w:color="auto" w:fill="auto"/>
            <w:noWrap/>
            <w:vAlign w:val="center"/>
          </w:tcPr>
          <w:p>
            <w:pPr>
              <w:widowControl/>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8</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桌插</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清单特征：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1、名称:桌插（2个五孔+2个USB插口）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工作内容：1、本体安装2、接线</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个</w:t>
            </w:r>
          </w:p>
        </w:tc>
        <w:tc>
          <w:tcPr>
            <w:tcW w:w="132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15</w:t>
            </w:r>
          </w:p>
        </w:tc>
        <w:tc>
          <w:tcPr>
            <w:tcW w:w="144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trPr>
        <w:tc>
          <w:tcPr>
            <w:tcW w:w="782" w:type="dxa"/>
            <w:tcBorders>
              <w:tl2br w:val="nil"/>
              <w:tr2bl w:val="nil"/>
            </w:tcBorders>
            <w:shd w:val="clear" w:color="auto" w:fill="auto"/>
            <w:noWrap/>
            <w:vAlign w:val="center"/>
          </w:tcPr>
          <w:p>
            <w:pPr>
              <w:widowControl/>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9</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网络地插</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清单特征：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1、名称:网络地插</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工作内容：1、本体安装2、接线</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个</w:t>
            </w:r>
          </w:p>
        </w:tc>
        <w:tc>
          <w:tcPr>
            <w:tcW w:w="132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2</w:t>
            </w:r>
          </w:p>
        </w:tc>
        <w:tc>
          <w:tcPr>
            <w:tcW w:w="144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84" w:hRule="atLeast"/>
        </w:trPr>
        <w:tc>
          <w:tcPr>
            <w:tcW w:w="782" w:type="dxa"/>
            <w:tcBorders>
              <w:tl2br w:val="nil"/>
              <w:tr2bl w:val="nil"/>
            </w:tcBorders>
            <w:shd w:val="clear" w:color="auto" w:fill="auto"/>
            <w:noWrap/>
            <w:vAlign w:val="center"/>
          </w:tcPr>
          <w:p>
            <w:pPr>
              <w:widowControl/>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10</w:t>
            </w:r>
          </w:p>
        </w:tc>
        <w:tc>
          <w:tcPr>
            <w:tcW w:w="2963"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无线ap</w:t>
            </w:r>
          </w:p>
        </w:tc>
        <w:tc>
          <w:tcPr>
            <w:tcW w:w="3956" w:type="dxa"/>
            <w:tcBorders>
              <w:tl2br w:val="nil"/>
              <w:tr2bl w:val="nil"/>
            </w:tcBorders>
            <w:shd w:val="clear" w:color="auto" w:fill="auto"/>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清单特征：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1、名称:顶吸ap</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工作内容：1、本体安装2、接线</w:t>
            </w:r>
          </w:p>
        </w:tc>
        <w:tc>
          <w:tcPr>
            <w:tcW w:w="107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个</w:t>
            </w:r>
          </w:p>
        </w:tc>
        <w:tc>
          <w:tcPr>
            <w:tcW w:w="1321" w:type="dxa"/>
            <w:tcBorders>
              <w:tl2br w:val="nil"/>
              <w:tr2bl w:val="nil"/>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bidi="ar"/>
              </w:rPr>
              <w:t>2</w:t>
            </w:r>
          </w:p>
        </w:tc>
        <w:tc>
          <w:tcPr>
            <w:tcW w:w="144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834" w:type="dxa"/>
            <w:tcBorders>
              <w:tl2br w:val="nil"/>
              <w:tr2bl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0" w:type="auto"/>
            <w:tcBorders>
              <w:tl2br w:val="nil"/>
              <w:tr2bl w:val="nil"/>
            </w:tcBorders>
            <w:shd w:val="clear" w:color="auto" w:fill="FCE4D6"/>
            <w:noWrap/>
            <w:vAlign w:val="center"/>
          </w:tcPr>
          <w:p>
            <w:pPr>
              <w:jc w:val="center"/>
              <w:rPr>
                <w:rFonts w:hint="eastAsia" w:ascii="宋体" w:hAnsi="宋体" w:eastAsia="宋体" w:cs="宋体"/>
                <w:b/>
                <w:bCs/>
                <w:i w:val="0"/>
                <w:iCs w:val="0"/>
                <w:color w:val="auto"/>
                <w:sz w:val="24"/>
                <w:szCs w:val="24"/>
                <w:highlight w:val="none"/>
                <w:u w:val="none"/>
              </w:rPr>
            </w:pPr>
          </w:p>
        </w:tc>
        <w:tc>
          <w:tcPr>
            <w:tcW w:w="2963" w:type="dxa"/>
            <w:tcBorders>
              <w:tl2br w:val="nil"/>
              <w:tr2bl w:val="nil"/>
            </w:tcBorders>
            <w:shd w:val="clear" w:color="auto" w:fill="FCE4D6"/>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合计</w:t>
            </w:r>
          </w:p>
        </w:tc>
        <w:tc>
          <w:tcPr>
            <w:tcW w:w="3956" w:type="dxa"/>
            <w:tcBorders>
              <w:tl2br w:val="nil"/>
              <w:tr2bl w:val="nil"/>
            </w:tcBorders>
            <w:shd w:val="clear" w:color="auto" w:fill="FCE4D6"/>
            <w:vAlign w:val="center"/>
          </w:tcPr>
          <w:p>
            <w:pPr>
              <w:jc w:val="center"/>
              <w:rPr>
                <w:rFonts w:hint="eastAsia" w:ascii="宋体" w:hAnsi="宋体" w:eastAsia="宋体" w:cs="宋体"/>
                <w:b/>
                <w:bCs/>
                <w:i w:val="0"/>
                <w:iCs w:val="0"/>
                <w:color w:val="auto"/>
                <w:sz w:val="24"/>
                <w:szCs w:val="24"/>
                <w:highlight w:val="none"/>
                <w:u w:val="none"/>
              </w:rPr>
            </w:pPr>
          </w:p>
        </w:tc>
        <w:tc>
          <w:tcPr>
            <w:tcW w:w="1071" w:type="dxa"/>
            <w:tcBorders>
              <w:tl2br w:val="nil"/>
              <w:tr2bl w:val="nil"/>
            </w:tcBorders>
            <w:shd w:val="clear" w:color="auto" w:fill="FCE4D6"/>
            <w:vAlign w:val="center"/>
          </w:tcPr>
          <w:p>
            <w:pPr>
              <w:jc w:val="center"/>
              <w:rPr>
                <w:rFonts w:hint="eastAsia" w:ascii="宋体" w:hAnsi="宋体" w:eastAsia="宋体" w:cs="宋体"/>
                <w:b/>
                <w:bCs/>
                <w:i w:val="0"/>
                <w:iCs w:val="0"/>
                <w:color w:val="auto"/>
                <w:sz w:val="24"/>
                <w:szCs w:val="24"/>
                <w:highlight w:val="none"/>
                <w:u w:val="none"/>
              </w:rPr>
            </w:pPr>
          </w:p>
        </w:tc>
        <w:tc>
          <w:tcPr>
            <w:tcW w:w="1321" w:type="dxa"/>
            <w:tcBorders>
              <w:tl2br w:val="nil"/>
              <w:tr2bl w:val="nil"/>
            </w:tcBorders>
            <w:shd w:val="clear" w:color="auto" w:fill="FCE4D6"/>
            <w:vAlign w:val="center"/>
          </w:tcPr>
          <w:p>
            <w:pPr>
              <w:jc w:val="center"/>
              <w:rPr>
                <w:rFonts w:hint="eastAsia" w:ascii="宋体" w:hAnsi="宋体" w:eastAsia="宋体" w:cs="宋体"/>
                <w:b/>
                <w:bCs/>
                <w:i w:val="0"/>
                <w:iCs w:val="0"/>
                <w:color w:val="auto"/>
                <w:sz w:val="24"/>
                <w:szCs w:val="24"/>
                <w:highlight w:val="none"/>
                <w:u w:val="none"/>
              </w:rPr>
            </w:pPr>
          </w:p>
        </w:tc>
        <w:tc>
          <w:tcPr>
            <w:tcW w:w="1444" w:type="dxa"/>
            <w:tcBorders>
              <w:tl2br w:val="nil"/>
              <w:tr2bl w:val="nil"/>
            </w:tcBorders>
            <w:shd w:val="clear" w:color="auto" w:fill="FCE4D6"/>
            <w:vAlign w:val="center"/>
          </w:tcPr>
          <w:p>
            <w:pPr>
              <w:jc w:val="center"/>
              <w:rPr>
                <w:rFonts w:hint="eastAsia" w:ascii="宋体" w:hAnsi="宋体" w:eastAsia="宋体" w:cs="宋体"/>
                <w:b/>
                <w:bCs/>
                <w:i w:val="0"/>
                <w:iCs w:val="0"/>
                <w:color w:val="auto"/>
                <w:sz w:val="24"/>
                <w:szCs w:val="24"/>
                <w:highlight w:val="none"/>
                <w:u w:val="none"/>
              </w:rPr>
            </w:pPr>
          </w:p>
        </w:tc>
        <w:tc>
          <w:tcPr>
            <w:tcW w:w="1834" w:type="dxa"/>
            <w:tcBorders>
              <w:tl2br w:val="nil"/>
              <w:tr2bl w:val="nil"/>
            </w:tcBorders>
            <w:shd w:val="clear" w:color="auto" w:fill="FCE4D6"/>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82" w:type="dxa"/>
            <w:tcBorders>
              <w:tl2br w:val="nil"/>
              <w:tr2bl w:val="nil"/>
            </w:tcBorders>
            <w:shd w:val="clear" w:color="auto" w:fill="E7E6E6"/>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highlight w:val="none"/>
                <w:u w:val="none"/>
                <w:lang w:val="en-US" w:eastAsia="zh-CN"/>
              </w:rPr>
            </w:pPr>
            <w:r>
              <w:rPr>
                <w:rFonts w:hint="eastAsia" w:ascii="微软雅黑" w:hAnsi="微软雅黑" w:eastAsia="微软雅黑" w:cs="微软雅黑"/>
                <w:b/>
                <w:bCs/>
                <w:i w:val="0"/>
                <w:iCs w:val="0"/>
                <w:color w:val="auto"/>
                <w:sz w:val="24"/>
                <w:szCs w:val="24"/>
                <w:highlight w:val="none"/>
                <w:u w:val="none"/>
                <w:lang w:val="en-US" w:eastAsia="zh-CN"/>
              </w:rPr>
              <w:t>七</w:t>
            </w:r>
          </w:p>
        </w:tc>
        <w:tc>
          <w:tcPr>
            <w:tcW w:w="6919" w:type="dxa"/>
            <w:gridSpan w:val="2"/>
            <w:tcBorders>
              <w:tl2br w:val="nil"/>
              <w:tr2bl w:val="nil"/>
            </w:tcBorders>
            <w:shd w:val="clear" w:color="auto" w:fill="E7E6E6"/>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设计费用</w:t>
            </w:r>
          </w:p>
        </w:tc>
        <w:tc>
          <w:tcPr>
            <w:tcW w:w="1071" w:type="dxa"/>
            <w:tcBorders>
              <w:tl2br w:val="nil"/>
              <w:tr2bl w:val="nil"/>
            </w:tcBorders>
            <w:shd w:val="clear" w:color="auto" w:fill="E7E6E6"/>
            <w:vAlign w:val="center"/>
          </w:tcPr>
          <w:p>
            <w:pPr>
              <w:jc w:val="center"/>
              <w:rPr>
                <w:rFonts w:hint="eastAsia" w:ascii="微软雅黑" w:hAnsi="微软雅黑" w:eastAsia="微软雅黑" w:cs="微软雅黑"/>
                <w:b/>
                <w:bCs/>
                <w:i w:val="0"/>
                <w:iCs w:val="0"/>
                <w:color w:val="auto"/>
                <w:sz w:val="21"/>
                <w:szCs w:val="21"/>
                <w:highlight w:val="none"/>
                <w:u w:val="none"/>
              </w:rPr>
            </w:pPr>
          </w:p>
        </w:tc>
        <w:tc>
          <w:tcPr>
            <w:tcW w:w="1321" w:type="dxa"/>
            <w:tcBorders>
              <w:tl2br w:val="nil"/>
              <w:tr2bl w:val="nil"/>
            </w:tcBorders>
            <w:shd w:val="clear" w:color="auto" w:fill="E7E6E6"/>
            <w:vAlign w:val="center"/>
          </w:tcPr>
          <w:p>
            <w:pPr>
              <w:jc w:val="center"/>
              <w:rPr>
                <w:rFonts w:hint="eastAsia" w:ascii="微软雅黑" w:hAnsi="微软雅黑" w:eastAsia="微软雅黑" w:cs="微软雅黑"/>
                <w:b/>
                <w:bCs/>
                <w:i w:val="0"/>
                <w:iCs w:val="0"/>
                <w:color w:val="auto"/>
                <w:sz w:val="21"/>
                <w:szCs w:val="21"/>
                <w:highlight w:val="none"/>
                <w:u w:val="none"/>
              </w:rPr>
            </w:pPr>
          </w:p>
        </w:tc>
        <w:tc>
          <w:tcPr>
            <w:tcW w:w="1444" w:type="dxa"/>
            <w:tcBorders>
              <w:tl2br w:val="nil"/>
              <w:tr2bl w:val="nil"/>
            </w:tcBorders>
            <w:shd w:val="clear" w:color="auto" w:fill="E7E6E6"/>
            <w:vAlign w:val="center"/>
          </w:tcPr>
          <w:p>
            <w:pPr>
              <w:jc w:val="center"/>
              <w:rPr>
                <w:rFonts w:hint="eastAsia" w:ascii="微软雅黑" w:hAnsi="微软雅黑" w:eastAsia="微软雅黑" w:cs="微软雅黑"/>
                <w:b/>
                <w:bCs/>
                <w:i w:val="0"/>
                <w:iCs w:val="0"/>
                <w:color w:val="auto"/>
                <w:sz w:val="21"/>
                <w:szCs w:val="21"/>
                <w:highlight w:val="none"/>
                <w:u w:val="none"/>
              </w:rPr>
            </w:pPr>
          </w:p>
        </w:tc>
        <w:tc>
          <w:tcPr>
            <w:tcW w:w="1834" w:type="dxa"/>
            <w:tcBorders>
              <w:tl2br w:val="nil"/>
              <w:tr2bl w:val="nil"/>
            </w:tcBorders>
            <w:shd w:val="clear" w:color="auto" w:fill="E7E6E6"/>
            <w:vAlign w:val="center"/>
          </w:tcPr>
          <w:p>
            <w:pPr>
              <w:jc w:val="center"/>
              <w:rPr>
                <w:rFonts w:hint="eastAsia" w:ascii="微软雅黑" w:hAnsi="微软雅黑" w:eastAsia="微软雅黑" w:cs="微软雅黑"/>
                <w:b/>
                <w:bCs/>
                <w:i w:val="0"/>
                <w:iCs w:val="0"/>
                <w:color w:val="auto"/>
                <w:sz w:val="22"/>
                <w:szCs w:val="22"/>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7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9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设计费</w:t>
            </w:r>
          </w:p>
        </w:tc>
        <w:tc>
          <w:tcPr>
            <w:tcW w:w="395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kern w:val="0"/>
                <w:sz w:val="22"/>
                <w:szCs w:val="22"/>
                <w:highlight w:val="none"/>
                <w:lang w:bidi="ar"/>
              </w:rPr>
              <w:t>提供施工图、清单、跟踪服务、该项作为不可竞争费（不可调整），由中标单位工程验收合格后支付给设计单位。</w:t>
            </w:r>
          </w:p>
        </w:tc>
        <w:tc>
          <w:tcPr>
            <w:tcW w:w="10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13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44" w:type="dxa"/>
            <w:tcBorders>
              <w:tl2br w:val="nil"/>
              <w:tr2bl w:val="nil"/>
            </w:tcBorders>
            <w:shd w:val="clear" w:color="auto" w:fill="auto"/>
            <w:vAlign w:val="center"/>
          </w:tcPr>
          <w:p>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color w:val="auto"/>
                <w:sz w:val="22"/>
                <w:szCs w:val="22"/>
                <w:highlight w:val="none"/>
                <w:lang w:val="en-US" w:eastAsia="zh-CN"/>
              </w:rPr>
              <w:t>4800</w:t>
            </w:r>
          </w:p>
        </w:tc>
        <w:tc>
          <w:tcPr>
            <w:tcW w:w="1834" w:type="dxa"/>
            <w:tcBorders>
              <w:tl2br w:val="nil"/>
              <w:tr2bl w:val="nil"/>
            </w:tcBorders>
            <w:shd w:val="clear" w:color="auto" w:fill="auto"/>
            <w:vAlign w:val="center"/>
          </w:tcPr>
          <w:p>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color w:val="auto"/>
                <w:sz w:val="22"/>
                <w:szCs w:val="22"/>
                <w:highlight w:val="none"/>
                <w:lang w:val="en-US" w:eastAsia="zh-CN"/>
              </w:rPr>
              <w:t>4800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0" w:type="auto"/>
            <w:tcBorders>
              <w:tl2br w:val="nil"/>
              <w:tr2bl w:val="nil"/>
            </w:tcBorders>
            <w:shd w:val="clear" w:color="auto" w:fill="FFFFFF" w:themeFill="background1"/>
            <w:noWrap/>
            <w:vAlign w:val="center"/>
          </w:tcPr>
          <w:p>
            <w:pPr>
              <w:jc w:val="center"/>
              <w:rPr>
                <w:rFonts w:hint="eastAsia" w:ascii="宋体" w:hAnsi="宋体" w:eastAsia="宋体" w:cs="宋体"/>
                <w:b/>
                <w:bCs/>
                <w:i w:val="0"/>
                <w:iCs w:val="0"/>
                <w:color w:val="auto"/>
                <w:sz w:val="32"/>
                <w:szCs w:val="32"/>
                <w:highlight w:val="none"/>
                <w:u w:val="none"/>
              </w:rPr>
            </w:pPr>
          </w:p>
        </w:tc>
        <w:tc>
          <w:tcPr>
            <w:tcW w:w="2963"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总计</w:t>
            </w:r>
          </w:p>
        </w:tc>
        <w:tc>
          <w:tcPr>
            <w:tcW w:w="9626" w:type="dxa"/>
            <w:gridSpan w:val="5"/>
            <w:tcBorders>
              <w:tl2br w:val="nil"/>
              <w:tr2bl w:val="nil"/>
            </w:tcBorders>
            <w:shd w:val="clear" w:color="auto" w:fill="FFFFFF" w:themeFill="background1"/>
            <w:vAlign w:val="center"/>
          </w:tcPr>
          <w:p>
            <w:pPr>
              <w:jc w:val="both"/>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大写：</w:t>
            </w:r>
          </w:p>
          <w:p>
            <w:pPr>
              <w:pStyle w:val="2"/>
              <w:ind w:left="0" w:leftChars="0" w:firstLine="0" w:firstLineChars="0"/>
              <w:rPr>
                <w:rFonts w:hint="default"/>
                <w:color w:val="auto"/>
                <w:sz w:val="24"/>
                <w:szCs w:val="24"/>
                <w:highlight w:val="none"/>
                <w:lang w:val="en-US" w:eastAsia="zh-CN"/>
              </w:rPr>
            </w:pPr>
            <w:r>
              <w:rPr>
                <w:rFonts w:hint="eastAsia" w:ascii="宋体" w:hAnsi="宋体" w:eastAsia="宋体" w:cs="宋体"/>
                <w:b/>
                <w:bCs/>
                <w:i w:val="0"/>
                <w:iCs w:val="0"/>
                <w:color w:val="auto"/>
                <w:sz w:val="24"/>
                <w:szCs w:val="24"/>
                <w:highlight w:val="none"/>
                <w:u w:val="none"/>
                <w:lang w:val="en-US" w:eastAsia="zh-CN"/>
              </w:rPr>
              <w:t>小写：</w:t>
            </w:r>
          </w:p>
        </w:tc>
      </w:tr>
    </w:tbl>
    <w:p>
      <w:pPr>
        <w:spacing w:line="280" w:lineRule="atLeast"/>
        <w:ind w:firstLine="210" w:firstLineChars="100"/>
        <w:jc w:val="left"/>
        <w:rPr>
          <w:rFonts w:hint="eastAsia" w:ascii="宋体" w:hAnsi="宋体" w:cs="宋体"/>
          <w:color w:val="auto"/>
          <w:kern w:val="0"/>
          <w:szCs w:val="21"/>
          <w:highlight w:val="none"/>
        </w:rPr>
      </w:pPr>
    </w:p>
    <w:p>
      <w:pPr>
        <w:spacing w:line="280" w:lineRule="atLeast"/>
        <w:ind w:firstLine="210" w:firstLineChars="100"/>
        <w:jc w:val="left"/>
        <w:rPr>
          <w:rFonts w:hint="eastAsia" w:ascii="宋体" w:hAnsi="宋体" w:cs="宋体"/>
          <w:color w:val="auto"/>
          <w:kern w:val="0"/>
          <w:szCs w:val="21"/>
          <w:highlight w:val="none"/>
        </w:rPr>
      </w:pPr>
    </w:p>
    <w:p>
      <w:pPr>
        <w:spacing w:line="280" w:lineRule="atLeast"/>
        <w:ind w:firstLine="210" w:firstLineChars="100"/>
        <w:jc w:val="left"/>
        <w:rPr>
          <w:rFonts w:ascii="宋体" w:hAnsi="宋体" w:cs="宋体"/>
          <w:b/>
          <w:bCs/>
          <w:color w:val="auto"/>
          <w:kern w:val="0"/>
          <w:szCs w:val="21"/>
          <w:highlight w:val="none"/>
        </w:rPr>
      </w:pPr>
      <w:r>
        <w:rPr>
          <w:rFonts w:hint="eastAsia" w:ascii="宋体" w:hAnsi="宋体" w:cs="宋体"/>
          <w:color w:val="auto"/>
          <w:kern w:val="0"/>
          <w:szCs w:val="21"/>
          <w:highlight w:val="none"/>
        </w:rPr>
        <w:t>注：1、全费用综合单价为完成整个招标范围内的全部工程总费用（包括承包工程的</w:t>
      </w:r>
      <w:r>
        <w:rPr>
          <w:rFonts w:hint="eastAsia" w:ascii="宋体" w:hAnsi="宋体" w:cs="宋体"/>
          <w:color w:val="auto"/>
          <w:kern w:val="0"/>
          <w:szCs w:val="21"/>
          <w:highlight w:val="none"/>
          <w:lang w:val="en-US" w:eastAsia="zh-CN"/>
        </w:rPr>
        <w:t>采购费（含辅材）及损耗</w:t>
      </w:r>
      <w:r>
        <w:rPr>
          <w:rFonts w:hint="eastAsia" w:ascii="宋体" w:hAnsi="宋体" w:cs="宋体"/>
          <w:color w:val="auto"/>
          <w:kern w:val="0"/>
          <w:szCs w:val="21"/>
          <w:highlight w:val="none"/>
        </w:rPr>
        <w:t>、人工、</w:t>
      </w:r>
      <w:r>
        <w:rPr>
          <w:rFonts w:hint="eastAsia" w:ascii="宋体" w:hAnsi="宋体" w:cs="宋体"/>
          <w:color w:val="auto"/>
          <w:kern w:val="0"/>
          <w:szCs w:val="21"/>
          <w:highlight w:val="none"/>
          <w:lang w:val="en-US" w:eastAsia="zh-CN"/>
        </w:rPr>
        <w:t>机械、材料、运输、装卸、现场保管、安装调试、</w:t>
      </w:r>
      <w:r>
        <w:rPr>
          <w:rFonts w:hint="eastAsia" w:ascii="宋体" w:hAnsi="宋体" w:cs="宋体"/>
          <w:color w:val="auto"/>
          <w:kern w:val="0"/>
          <w:szCs w:val="21"/>
          <w:highlight w:val="none"/>
        </w:rPr>
        <w:t>措施费、管理费、劳务配合、水、电、税费、利润、规费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矛盾协调、总承包服务费、机械进退场、赶工措施费、保洁</w:t>
      </w:r>
      <w:r>
        <w:rPr>
          <w:rFonts w:hint="eastAsia" w:ascii="宋体" w:hAnsi="宋体" w:cs="宋体"/>
          <w:color w:val="auto"/>
          <w:kern w:val="0"/>
          <w:szCs w:val="21"/>
          <w:highlight w:val="none"/>
        </w:rPr>
        <w:t>等一切相关费用）。国家政策性调价、市场价格变动均不作调整。中标后竣工结算时全费用综合单价不予调整。安全文明措施费包含在所有措施费中，施工单位需按规定参加安全文明施工措施考核，</w:t>
      </w:r>
      <w:r>
        <w:rPr>
          <w:rFonts w:hint="eastAsia" w:ascii="宋体" w:hAnsi="宋体" w:cs="宋体"/>
          <w:color w:val="auto"/>
          <w:szCs w:val="21"/>
          <w:highlight w:val="none"/>
        </w:rPr>
        <w:t>投标</w:t>
      </w:r>
      <w:r>
        <w:rPr>
          <w:rFonts w:hint="eastAsia" w:ascii="宋体" w:hAnsi="宋体" w:cs="宋体"/>
          <w:color w:val="auto"/>
          <w:kern w:val="0"/>
          <w:szCs w:val="21"/>
          <w:highlight w:val="none"/>
        </w:rPr>
        <w:t>人投标全费用综合单价中必须包含现行有关规定的费率计取现场安全文明施工措施费基本费1.5%、扬尘污染防治增加费0.21%，为完成本项目发生的所有措施项目费、管理费、利润、规费（包括环境保护税0.1%、社会保险费3.8%、住房公积金0.67%、和税金9%），文明施工措施费需经盐城市工程造价管理处核定，以核定费率计算，结算时其差价部分予以扣回。投标人自行现场勘察，确保本项目满足设计及规范要求，上述清单中如有描述不全的，投标人报价时需充分考虑入上述全费用单价中，中标后竣工结算时全费用单价不予调整，各投标人要充分考虑，结算时数量按实结算。</w:t>
      </w:r>
      <w:r>
        <w:rPr>
          <w:rFonts w:hint="eastAsia" w:ascii="宋体" w:hAnsi="宋体" w:cs="宋体"/>
          <w:b/>
          <w:bCs/>
          <w:color w:val="auto"/>
          <w:kern w:val="0"/>
          <w:szCs w:val="21"/>
          <w:highlight w:val="none"/>
          <w:lang w:val="en-US" w:eastAsia="zh-CN"/>
        </w:rPr>
        <w:t>投标人在投标前须进行现场踏勘，详细了解所有服务费用，中标后，不得以招标文件对设施的描述漏项为由要求签证和更改投标报价。</w:t>
      </w:r>
    </w:p>
    <w:p>
      <w:pPr>
        <w:spacing w:line="280" w:lineRule="atLeas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eastAsia="宋体" w:cs="宋体"/>
          <w:color w:val="auto"/>
          <w:kern w:val="0"/>
          <w:szCs w:val="21"/>
          <w:highlight w:val="none"/>
        </w:rPr>
        <w:t>各投标人</w:t>
      </w:r>
      <w:r>
        <w:rPr>
          <w:rFonts w:hint="eastAsia" w:ascii="宋体" w:hAnsi="宋体" w:eastAsia="宋体" w:cs="宋体"/>
          <w:color w:val="auto"/>
          <w:kern w:val="0"/>
          <w:szCs w:val="21"/>
          <w:highlight w:val="none"/>
          <w:lang w:eastAsia="zh-CN"/>
        </w:rPr>
        <w:t>项目负责人</w:t>
      </w:r>
      <w:r>
        <w:rPr>
          <w:rFonts w:hint="eastAsia" w:ascii="宋体" w:hAnsi="宋体" w:eastAsia="宋体" w:cs="宋体"/>
          <w:color w:val="auto"/>
          <w:kern w:val="0"/>
          <w:szCs w:val="21"/>
          <w:highlight w:val="none"/>
        </w:rPr>
        <w:t>在投标前必须对施工现场进行详细踏勘，如有疑问及时向招标人提出，否则由此引起的一切风险均由投标人自行承担。为完成本项目而必须发生的、但清单中未列明的相关费用也由各投标人自行综合考虑分摊含进投标报价中，结算时不再另增任何费用</w:t>
      </w:r>
      <w:r>
        <w:rPr>
          <w:rFonts w:hint="eastAsia" w:ascii="宋体" w:hAnsi="宋体" w:cs="宋体"/>
          <w:color w:val="auto"/>
          <w:kern w:val="0"/>
          <w:szCs w:val="21"/>
          <w:highlight w:val="none"/>
        </w:rPr>
        <w:t>。</w:t>
      </w:r>
    </w:p>
    <w:p>
      <w:pPr>
        <w:spacing w:line="280" w:lineRule="atLeas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3、施工方必须按规定工期完工，保证施工人员充足到位，如建设方发现施工方人员不足，无法完成预定工期，建设方可自行安排人员进场协助施工方施工，所需费用由施工方支付，并对施工方予以处罚。</w:t>
      </w:r>
    </w:p>
    <w:p>
      <w:pPr>
        <w:spacing w:line="280" w:lineRule="atLeas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4、工程竣工验收前，中标人必须将工程施工所产生的垃圾及时清运出校园，否则将向招标人承担违约金人民币5000元，直接在到期工程款中扣除。</w:t>
      </w:r>
    </w:p>
    <w:p>
      <w:pPr>
        <w:spacing w:line="280" w:lineRule="atLeas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pStyle w:val="2"/>
        <w:ind w:left="0" w:leftChars="0" w:firstLine="0" w:firstLineChars="0"/>
        <w:jc w:val="right"/>
        <w:rPr>
          <w:rFonts w:ascii="宋体" w:hAnsi="宋体" w:eastAsia="宋体" w:cs="宋体"/>
          <w:color w:val="auto"/>
          <w:highlight w:val="none"/>
        </w:rPr>
      </w:pPr>
    </w:p>
    <w:p>
      <w:pPr>
        <w:pStyle w:val="2"/>
        <w:ind w:left="0" w:leftChars="0" w:firstLine="0" w:firstLineChars="0"/>
        <w:rPr>
          <w:rFonts w:ascii="宋体" w:hAnsi="宋体" w:eastAsia="宋体" w:cs="宋体"/>
          <w:color w:val="auto"/>
          <w:highlight w:val="none"/>
        </w:rPr>
      </w:pPr>
    </w:p>
    <w:p>
      <w:pPr>
        <w:ind w:firstLine="5040" w:firstLineChars="2400"/>
        <w:jc w:val="left"/>
        <w:rPr>
          <w:rFonts w:ascii="宋体" w:hAnsi="宋体" w:cs="宋体"/>
          <w:color w:val="auto"/>
          <w:szCs w:val="21"/>
          <w:highlight w:val="none"/>
        </w:rPr>
      </w:pPr>
      <w:r>
        <w:rPr>
          <w:rFonts w:hint="eastAsia" w:ascii="宋体" w:hAnsi="宋体" w:cs="宋体"/>
          <w:color w:val="auto"/>
          <w:szCs w:val="21"/>
          <w:highlight w:val="none"/>
        </w:rPr>
        <w:t xml:space="preserve">投标人全称（加盖公章）：               </w:t>
      </w:r>
    </w:p>
    <w:p>
      <w:pPr>
        <w:ind w:firstLine="5040" w:firstLineChars="2400"/>
        <w:jc w:val="left"/>
        <w:rPr>
          <w:rFonts w:ascii="宋体" w:hAnsi="宋体" w:cs="宋体"/>
          <w:color w:val="auto"/>
          <w:szCs w:val="21"/>
          <w:highlight w:val="none"/>
        </w:rPr>
      </w:pPr>
      <w:r>
        <w:rPr>
          <w:rFonts w:hint="eastAsia" w:ascii="宋体" w:hAnsi="宋体" w:cs="宋体"/>
          <w:color w:val="auto"/>
          <w:szCs w:val="21"/>
          <w:highlight w:val="none"/>
        </w:rPr>
        <w:t xml:space="preserve">法定代表人或授权代表（签字）：              </w:t>
      </w:r>
    </w:p>
    <w:p>
      <w:pPr>
        <w:ind w:firstLine="5250" w:firstLineChars="2500"/>
        <w:jc w:val="left"/>
        <w:rPr>
          <w:color w:val="auto"/>
          <w:sz w:val="30"/>
          <w:szCs w:val="30"/>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     月     日</w:t>
      </w:r>
    </w:p>
    <w:p>
      <w:pPr>
        <w:rPr>
          <w:color w:val="auto"/>
          <w:sz w:val="30"/>
          <w:szCs w:val="30"/>
          <w:highlight w:val="none"/>
        </w:rPr>
      </w:pPr>
    </w:p>
    <w:p>
      <w:pPr>
        <w:rPr>
          <w:color w:val="auto"/>
          <w:sz w:val="30"/>
          <w:szCs w:val="30"/>
          <w:highlight w:val="none"/>
        </w:rPr>
      </w:pPr>
    </w:p>
    <w:sectPr>
      <w:pgSz w:w="16838" w:h="11906" w:orient="landscape"/>
      <w:pgMar w:top="1417" w:right="1701" w:bottom="1417" w:left="1440" w:header="851" w:footer="992" w:gutter="0"/>
      <w:pgBorders>
        <w:top w:val="none" w:sz="0" w:space="0"/>
        <w:left w:val="none" w:sz="0" w:space="0"/>
        <w:bottom w:val="none" w:sz="0" w:space="0"/>
        <w:right w:val="none" w:sz="0" w:space="0"/>
      </w:pgBorders>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5"/>
          <w:jc w:val="center"/>
        </w:pPr>
        <w:r>
          <w:fldChar w:fldCharType="begin"/>
        </w:r>
        <w:r>
          <w:instrText xml:space="preserve"> PAGE   \* MERGEFORMAT </w:instrText>
        </w:r>
        <w:r>
          <w:fldChar w:fldCharType="separate"/>
        </w:r>
        <w:r>
          <w:rPr>
            <w:lang w:val="zh-CN"/>
          </w:rPr>
          <w:t>40</w:t>
        </w:r>
        <w:r>
          <w:rPr>
            <w:lang w:val="zh-CN"/>
          </w:rPr>
          <w:fldChar w:fldCharType="end"/>
        </w:r>
      </w:p>
    </w:sdtContent>
  </w:sdt>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pPr>
    <w:r>
      <w:rPr>
        <w:rFonts w:hint="eastAsia" w:eastAsia="隶书"/>
        <w:color w:val="000000"/>
        <w:spacing w:val="40"/>
        <w:sz w:val="21"/>
        <w:szCs w:val="21"/>
        <w:lang w:eastAsia="zh-CN"/>
      </w:rPr>
      <w:t xml:space="preserve">2024-026J </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662B5"/>
    <w:multiLevelType w:val="singleLevel"/>
    <w:tmpl w:val="B4F662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NjlhNDUwYmY4Yzk5NTExM2UwMzQ4MzAyNTdmZDYifQ=="/>
  </w:docVars>
  <w:rsids>
    <w:rsidRoot w:val="0055087D"/>
    <w:rsid w:val="0000757E"/>
    <w:rsid w:val="0001164C"/>
    <w:rsid w:val="00011AE2"/>
    <w:rsid w:val="00013E51"/>
    <w:rsid w:val="000153D1"/>
    <w:rsid w:val="000168EF"/>
    <w:rsid w:val="0002247A"/>
    <w:rsid w:val="0002673F"/>
    <w:rsid w:val="000318DC"/>
    <w:rsid w:val="00031EAE"/>
    <w:rsid w:val="000376BA"/>
    <w:rsid w:val="0003797F"/>
    <w:rsid w:val="00044B92"/>
    <w:rsid w:val="000461E2"/>
    <w:rsid w:val="00047565"/>
    <w:rsid w:val="000500FB"/>
    <w:rsid w:val="00050C8A"/>
    <w:rsid w:val="000513D7"/>
    <w:rsid w:val="00052B02"/>
    <w:rsid w:val="00054067"/>
    <w:rsid w:val="00061576"/>
    <w:rsid w:val="0006674D"/>
    <w:rsid w:val="000675E0"/>
    <w:rsid w:val="000737B2"/>
    <w:rsid w:val="000738A3"/>
    <w:rsid w:val="00074832"/>
    <w:rsid w:val="0007613F"/>
    <w:rsid w:val="000804DE"/>
    <w:rsid w:val="00080B8A"/>
    <w:rsid w:val="00080C74"/>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C0F75"/>
    <w:rsid w:val="000C3A0B"/>
    <w:rsid w:val="000D14E7"/>
    <w:rsid w:val="000D1A2C"/>
    <w:rsid w:val="000D1CBD"/>
    <w:rsid w:val="000D41B8"/>
    <w:rsid w:val="000D4424"/>
    <w:rsid w:val="000E7051"/>
    <w:rsid w:val="000F03B8"/>
    <w:rsid w:val="000F3684"/>
    <w:rsid w:val="000F5044"/>
    <w:rsid w:val="001050DA"/>
    <w:rsid w:val="00105FDE"/>
    <w:rsid w:val="001135E1"/>
    <w:rsid w:val="00113950"/>
    <w:rsid w:val="00114568"/>
    <w:rsid w:val="00122C5E"/>
    <w:rsid w:val="001319D8"/>
    <w:rsid w:val="00131AC1"/>
    <w:rsid w:val="00132713"/>
    <w:rsid w:val="00133497"/>
    <w:rsid w:val="0014051D"/>
    <w:rsid w:val="001407DC"/>
    <w:rsid w:val="0014286D"/>
    <w:rsid w:val="00142AA3"/>
    <w:rsid w:val="001434AA"/>
    <w:rsid w:val="00144D54"/>
    <w:rsid w:val="0014684E"/>
    <w:rsid w:val="001505DC"/>
    <w:rsid w:val="00153DBB"/>
    <w:rsid w:val="0015495A"/>
    <w:rsid w:val="00154E48"/>
    <w:rsid w:val="001550FC"/>
    <w:rsid w:val="00157A8D"/>
    <w:rsid w:val="00161C33"/>
    <w:rsid w:val="00165312"/>
    <w:rsid w:val="00165C49"/>
    <w:rsid w:val="001661BD"/>
    <w:rsid w:val="0017083D"/>
    <w:rsid w:val="0017134C"/>
    <w:rsid w:val="001725D1"/>
    <w:rsid w:val="001810C4"/>
    <w:rsid w:val="00181C4C"/>
    <w:rsid w:val="0018483C"/>
    <w:rsid w:val="00185854"/>
    <w:rsid w:val="001873B0"/>
    <w:rsid w:val="00187E68"/>
    <w:rsid w:val="001915AE"/>
    <w:rsid w:val="001925D8"/>
    <w:rsid w:val="00195827"/>
    <w:rsid w:val="001A01B1"/>
    <w:rsid w:val="001A1A55"/>
    <w:rsid w:val="001A1B05"/>
    <w:rsid w:val="001A31F3"/>
    <w:rsid w:val="001A6958"/>
    <w:rsid w:val="001A6D0C"/>
    <w:rsid w:val="001B139E"/>
    <w:rsid w:val="001B32B5"/>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17F79"/>
    <w:rsid w:val="00224A89"/>
    <w:rsid w:val="00226851"/>
    <w:rsid w:val="002278A4"/>
    <w:rsid w:val="00231F9D"/>
    <w:rsid w:val="00232888"/>
    <w:rsid w:val="00237706"/>
    <w:rsid w:val="00242CC1"/>
    <w:rsid w:val="00250A52"/>
    <w:rsid w:val="00250C94"/>
    <w:rsid w:val="002512AD"/>
    <w:rsid w:val="002555C3"/>
    <w:rsid w:val="00255D7A"/>
    <w:rsid w:val="0025705C"/>
    <w:rsid w:val="002628E6"/>
    <w:rsid w:val="00262F96"/>
    <w:rsid w:val="00264FC2"/>
    <w:rsid w:val="002653AA"/>
    <w:rsid w:val="002666F2"/>
    <w:rsid w:val="00266834"/>
    <w:rsid w:val="00267E3C"/>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36ED"/>
    <w:rsid w:val="003062FC"/>
    <w:rsid w:val="00314BA6"/>
    <w:rsid w:val="003208EC"/>
    <w:rsid w:val="003226E4"/>
    <w:rsid w:val="00324DCE"/>
    <w:rsid w:val="00330BF0"/>
    <w:rsid w:val="003340DF"/>
    <w:rsid w:val="003431B7"/>
    <w:rsid w:val="0034434B"/>
    <w:rsid w:val="003446D1"/>
    <w:rsid w:val="00344ACC"/>
    <w:rsid w:val="00346867"/>
    <w:rsid w:val="00346C72"/>
    <w:rsid w:val="003510A9"/>
    <w:rsid w:val="00351FC9"/>
    <w:rsid w:val="00353AF1"/>
    <w:rsid w:val="00353F05"/>
    <w:rsid w:val="00354A4A"/>
    <w:rsid w:val="00355A6B"/>
    <w:rsid w:val="003613A1"/>
    <w:rsid w:val="003618BC"/>
    <w:rsid w:val="00363057"/>
    <w:rsid w:val="00363C5B"/>
    <w:rsid w:val="003652D9"/>
    <w:rsid w:val="0036698E"/>
    <w:rsid w:val="003714F3"/>
    <w:rsid w:val="00372EA1"/>
    <w:rsid w:val="00380B48"/>
    <w:rsid w:val="003815FD"/>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0F99"/>
    <w:rsid w:val="003E26F6"/>
    <w:rsid w:val="003E2B82"/>
    <w:rsid w:val="003E5E3A"/>
    <w:rsid w:val="003E6FBF"/>
    <w:rsid w:val="003F50C5"/>
    <w:rsid w:val="003F6B2A"/>
    <w:rsid w:val="00402716"/>
    <w:rsid w:val="0040479B"/>
    <w:rsid w:val="00407A9B"/>
    <w:rsid w:val="00413018"/>
    <w:rsid w:val="00415905"/>
    <w:rsid w:val="0042209E"/>
    <w:rsid w:val="00425678"/>
    <w:rsid w:val="00426D83"/>
    <w:rsid w:val="00430024"/>
    <w:rsid w:val="00430B4E"/>
    <w:rsid w:val="0043131B"/>
    <w:rsid w:val="00432A5A"/>
    <w:rsid w:val="0044201E"/>
    <w:rsid w:val="00445171"/>
    <w:rsid w:val="00445196"/>
    <w:rsid w:val="004472D0"/>
    <w:rsid w:val="00451DA0"/>
    <w:rsid w:val="004558AA"/>
    <w:rsid w:val="00461F62"/>
    <w:rsid w:val="004643FC"/>
    <w:rsid w:val="00464F85"/>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0B4C"/>
    <w:rsid w:val="004A2405"/>
    <w:rsid w:val="004A3E2E"/>
    <w:rsid w:val="004A50D9"/>
    <w:rsid w:val="004B0390"/>
    <w:rsid w:val="004B16D2"/>
    <w:rsid w:val="004B52AD"/>
    <w:rsid w:val="004C5C6D"/>
    <w:rsid w:val="004C7035"/>
    <w:rsid w:val="004D2A12"/>
    <w:rsid w:val="004D608D"/>
    <w:rsid w:val="004E5477"/>
    <w:rsid w:val="004E62A5"/>
    <w:rsid w:val="004F4733"/>
    <w:rsid w:val="004F6AB1"/>
    <w:rsid w:val="0050204E"/>
    <w:rsid w:val="00504B8E"/>
    <w:rsid w:val="005055CC"/>
    <w:rsid w:val="005069BE"/>
    <w:rsid w:val="00507821"/>
    <w:rsid w:val="00514D32"/>
    <w:rsid w:val="0052086C"/>
    <w:rsid w:val="005217B5"/>
    <w:rsid w:val="005240E4"/>
    <w:rsid w:val="005279FF"/>
    <w:rsid w:val="00531CEB"/>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6CCE"/>
    <w:rsid w:val="005973C4"/>
    <w:rsid w:val="005A070B"/>
    <w:rsid w:val="005A087C"/>
    <w:rsid w:val="005A121D"/>
    <w:rsid w:val="005A2EBD"/>
    <w:rsid w:val="005A3B6F"/>
    <w:rsid w:val="005A50C1"/>
    <w:rsid w:val="005B0716"/>
    <w:rsid w:val="005B2BD4"/>
    <w:rsid w:val="005C1A87"/>
    <w:rsid w:val="005C4DF1"/>
    <w:rsid w:val="005D0FD9"/>
    <w:rsid w:val="005D1684"/>
    <w:rsid w:val="005D21D9"/>
    <w:rsid w:val="005E1ECD"/>
    <w:rsid w:val="005F391B"/>
    <w:rsid w:val="005F7330"/>
    <w:rsid w:val="0060483D"/>
    <w:rsid w:val="00604E73"/>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896"/>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D6C96"/>
    <w:rsid w:val="006E38B4"/>
    <w:rsid w:val="006F055F"/>
    <w:rsid w:val="006F1BED"/>
    <w:rsid w:val="006F3B96"/>
    <w:rsid w:val="006F6673"/>
    <w:rsid w:val="00701270"/>
    <w:rsid w:val="00704CF8"/>
    <w:rsid w:val="007104D3"/>
    <w:rsid w:val="0071468C"/>
    <w:rsid w:val="00720465"/>
    <w:rsid w:val="00723F9E"/>
    <w:rsid w:val="0072557F"/>
    <w:rsid w:val="00726FB5"/>
    <w:rsid w:val="00731481"/>
    <w:rsid w:val="00735652"/>
    <w:rsid w:val="007371A7"/>
    <w:rsid w:val="007376A4"/>
    <w:rsid w:val="00737E12"/>
    <w:rsid w:val="00740799"/>
    <w:rsid w:val="00740E3D"/>
    <w:rsid w:val="00740E87"/>
    <w:rsid w:val="00742866"/>
    <w:rsid w:val="00750C93"/>
    <w:rsid w:val="00753C19"/>
    <w:rsid w:val="00755535"/>
    <w:rsid w:val="00756DC7"/>
    <w:rsid w:val="007601F3"/>
    <w:rsid w:val="0076522C"/>
    <w:rsid w:val="007656DA"/>
    <w:rsid w:val="00765A4B"/>
    <w:rsid w:val="00766765"/>
    <w:rsid w:val="007670A4"/>
    <w:rsid w:val="00771791"/>
    <w:rsid w:val="007768FC"/>
    <w:rsid w:val="007776D6"/>
    <w:rsid w:val="00782B44"/>
    <w:rsid w:val="00782FDB"/>
    <w:rsid w:val="00785D3E"/>
    <w:rsid w:val="007925D3"/>
    <w:rsid w:val="00792A7B"/>
    <w:rsid w:val="007937D8"/>
    <w:rsid w:val="007A33B5"/>
    <w:rsid w:val="007A6D2D"/>
    <w:rsid w:val="007B74DA"/>
    <w:rsid w:val="007C017E"/>
    <w:rsid w:val="007C0E98"/>
    <w:rsid w:val="007C187F"/>
    <w:rsid w:val="007C3C7D"/>
    <w:rsid w:val="007C41C6"/>
    <w:rsid w:val="007C5574"/>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0D4D"/>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4BA7"/>
    <w:rsid w:val="00845215"/>
    <w:rsid w:val="00845DB7"/>
    <w:rsid w:val="008461D5"/>
    <w:rsid w:val="00847D06"/>
    <w:rsid w:val="00850FDF"/>
    <w:rsid w:val="00852ADE"/>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3F37"/>
    <w:rsid w:val="00945FE0"/>
    <w:rsid w:val="00947917"/>
    <w:rsid w:val="00950616"/>
    <w:rsid w:val="00951BF5"/>
    <w:rsid w:val="009527F8"/>
    <w:rsid w:val="009530D3"/>
    <w:rsid w:val="009533CD"/>
    <w:rsid w:val="00960919"/>
    <w:rsid w:val="00960D05"/>
    <w:rsid w:val="009652B0"/>
    <w:rsid w:val="009664F6"/>
    <w:rsid w:val="00967C66"/>
    <w:rsid w:val="0097088C"/>
    <w:rsid w:val="009748D5"/>
    <w:rsid w:val="0097527C"/>
    <w:rsid w:val="00977C5D"/>
    <w:rsid w:val="00982628"/>
    <w:rsid w:val="009828D1"/>
    <w:rsid w:val="009832FC"/>
    <w:rsid w:val="00983D86"/>
    <w:rsid w:val="0098429F"/>
    <w:rsid w:val="00993BC9"/>
    <w:rsid w:val="00994CFA"/>
    <w:rsid w:val="00994D82"/>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03DB"/>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475DF"/>
    <w:rsid w:val="00B54246"/>
    <w:rsid w:val="00B56285"/>
    <w:rsid w:val="00B57D6D"/>
    <w:rsid w:val="00B57D72"/>
    <w:rsid w:val="00B6097B"/>
    <w:rsid w:val="00B624FF"/>
    <w:rsid w:val="00B65A2F"/>
    <w:rsid w:val="00B7199A"/>
    <w:rsid w:val="00B73572"/>
    <w:rsid w:val="00B75CA9"/>
    <w:rsid w:val="00B7677E"/>
    <w:rsid w:val="00B82419"/>
    <w:rsid w:val="00B83151"/>
    <w:rsid w:val="00B8372E"/>
    <w:rsid w:val="00B85746"/>
    <w:rsid w:val="00B91F58"/>
    <w:rsid w:val="00B926C5"/>
    <w:rsid w:val="00B933D3"/>
    <w:rsid w:val="00B97487"/>
    <w:rsid w:val="00B97E00"/>
    <w:rsid w:val="00BA2A3C"/>
    <w:rsid w:val="00BA38EB"/>
    <w:rsid w:val="00BA64E3"/>
    <w:rsid w:val="00BB071A"/>
    <w:rsid w:val="00BB303B"/>
    <w:rsid w:val="00BB55D5"/>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6C68"/>
    <w:rsid w:val="00C47676"/>
    <w:rsid w:val="00C5062D"/>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2F92"/>
    <w:rsid w:val="00C9458F"/>
    <w:rsid w:val="00C965C0"/>
    <w:rsid w:val="00C976A9"/>
    <w:rsid w:val="00CA0D26"/>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0CC"/>
    <w:rsid w:val="00D12C22"/>
    <w:rsid w:val="00D13B95"/>
    <w:rsid w:val="00D1407B"/>
    <w:rsid w:val="00D161E5"/>
    <w:rsid w:val="00D212D1"/>
    <w:rsid w:val="00D213BE"/>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39C"/>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F0C0B"/>
    <w:rsid w:val="00DF24B6"/>
    <w:rsid w:val="00DF45B2"/>
    <w:rsid w:val="00DF4BAC"/>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A775B"/>
    <w:rsid w:val="00EB4C40"/>
    <w:rsid w:val="00EB4DD9"/>
    <w:rsid w:val="00EB624C"/>
    <w:rsid w:val="00EC1164"/>
    <w:rsid w:val="00EC5F5E"/>
    <w:rsid w:val="00EC627E"/>
    <w:rsid w:val="00EE0EDD"/>
    <w:rsid w:val="00EE36B7"/>
    <w:rsid w:val="00EE44EF"/>
    <w:rsid w:val="00EF1422"/>
    <w:rsid w:val="00EF3002"/>
    <w:rsid w:val="00EF3913"/>
    <w:rsid w:val="00EF560F"/>
    <w:rsid w:val="00EF65B0"/>
    <w:rsid w:val="00EF7E75"/>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0649"/>
    <w:rsid w:val="00F41D93"/>
    <w:rsid w:val="00F46870"/>
    <w:rsid w:val="00F46B70"/>
    <w:rsid w:val="00F520A9"/>
    <w:rsid w:val="00F52CFF"/>
    <w:rsid w:val="00F536BE"/>
    <w:rsid w:val="00F5528F"/>
    <w:rsid w:val="00F56943"/>
    <w:rsid w:val="00F61BF6"/>
    <w:rsid w:val="00F620AB"/>
    <w:rsid w:val="00F625ED"/>
    <w:rsid w:val="00F64545"/>
    <w:rsid w:val="00F67102"/>
    <w:rsid w:val="00F709AA"/>
    <w:rsid w:val="00F71E96"/>
    <w:rsid w:val="00F72BF4"/>
    <w:rsid w:val="00F734B7"/>
    <w:rsid w:val="00F7590C"/>
    <w:rsid w:val="00F81777"/>
    <w:rsid w:val="00F84D65"/>
    <w:rsid w:val="00F87172"/>
    <w:rsid w:val="00F90D7D"/>
    <w:rsid w:val="00F91E47"/>
    <w:rsid w:val="00F92507"/>
    <w:rsid w:val="00F9428D"/>
    <w:rsid w:val="00F958B9"/>
    <w:rsid w:val="00FA4284"/>
    <w:rsid w:val="00FA5E2E"/>
    <w:rsid w:val="00FB03C5"/>
    <w:rsid w:val="00FB03D3"/>
    <w:rsid w:val="00FB229C"/>
    <w:rsid w:val="00FB2E48"/>
    <w:rsid w:val="00FB428A"/>
    <w:rsid w:val="00FB489B"/>
    <w:rsid w:val="00FB5CE0"/>
    <w:rsid w:val="00FB65E1"/>
    <w:rsid w:val="00FB6BB0"/>
    <w:rsid w:val="00FB6EBE"/>
    <w:rsid w:val="00FC219D"/>
    <w:rsid w:val="00FC2A91"/>
    <w:rsid w:val="00FC314E"/>
    <w:rsid w:val="00FC441D"/>
    <w:rsid w:val="00FC4E73"/>
    <w:rsid w:val="00FD65F4"/>
    <w:rsid w:val="00FD71C8"/>
    <w:rsid w:val="00FD74CC"/>
    <w:rsid w:val="00FE2044"/>
    <w:rsid w:val="00FE368A"/>
    <w:rsid w:val="00FF0698"/>
    <w:rsid w:val="00FF2C3D"/>
    <w:rsid w:val="011E15F8"/>
    <w:rsid w:val="0124391B"/>
    <w:rsid w:val="01340364"/>
    <w:rsid w:val="016B2576"/>
    <w:rsid w:val="017079F6"/>
    <w:rsid w:val="017A73A7"/>
    <w:rsid w:val="01836ADE"/>
    <w:rsid w:val="018C05B2"/>
    <w:rsid w:val="018D62E5"/>
    <w:rsid w:val="01922DAC"/>
    <w:rsid w:val="01A10813"/>
    <w:rsid w:val="01AA5DCF"/>
    <w:rsid w:val="02040FB7"/>
    <w:rsid w:val="02086DD1"/>
    <w:rsid w:val="02096875"/>
    <w:rsid w:val="023005A9"/>
    <w:rsid w:val="023F4004"/>
    <w:rsid w:val="025C6ABD"/>
    <w:rsid w:val="026011A7"/>
    <w:rsid w:val="029D05EB"/>
    <w:rsid w:val="02E6056C"/>
    <w:rsid w:val="02E66489"/>
    <w:rsid w:val="02EA366D"/>
    <w:rsid w:val="02F076F8"/>
    <w:rsid w:val="02FC0890"/>
    <w:rsid w:val="03213326"/>
    <w:rsid w:val="03554DFB"/>
    <w:rsid w:val="035F1C34"/>
    <w:rsid w:val="03B33244"/>
    <w:rsid w:val="03BB03F0"/>
    <w:rsid w:val="03C2338C"/>
    <w:rsid w:val="03C44BB5"/>
    <w:rsid w:val="03CA2475"/>
    <w:rsid w:val="03D41206"/>
    <w:rsid w:val="040F0A03"/>
    <w:rsid w:val="043041D3"/>
    <w:rsid w:val="044A451F"/>
    <w:rsid w:val="046926C7"/>
    <w:rsid w:val="04930524"/>
    <w:rsid w:val="049A6BC0"/>
    <w:rsid w:val="049F746B"/>
    <w:rsid w:val="04C161C2"/>
    <w:rsid w:val="04FB7CC1"/>
    <w:rsid w:val="05131A7C"/>
    <w:rsid w:val="052D09F6"/>
    <w:rsid w:val="052D7AAA"/>
    <w:rsid w:val="0541155C"/>
    <w:rsid w:val="05431A26"/>
    <w:rsid w:val="054F3468"/>
    <w:rsid w:val="056036A4"/>
    <w:rsid w:val="05721669"/>
    <w:rsid w:val="05767FB8"/>
    <w:rsid w:val="05804C64"/>
    <w:rsid w:val="058500B4"/>
    <w:rsid w:val="05870BF9"/>
    <w:rsid w:val="059E0356"/>
    <w:rsid w:val="05AC7BF4"/>
    <w:rsid w:val="05B72265"/>
    <w:rsid w:val="05CC57C4"/>
    <w:rsid w:val="05F833A7"/>
    <w:rsid w:val="05FB25B9"/>
    <w:rsid w:val="0603174A"/>
    <w:rsid w:val="060A31CC"/>
    <w:rsid w:val="0614624B"/>
    <w:rsid w:val="064D2EC4"/>
    <w:rsid w:val="06675EC6"/>
    <w:rsid w:val="0678078D"/>
    <w:rsid w:val="06821EEF"/>
    <w:rsid w:val="0685590D"/>
    <w:rsid w:val="068911C8"/>
    <w:rsid w:val="069809AC"/>
    <w:rsid w:val="069D7ED4"/>
    <w:rsid w:val="06C43E75"/>
    <w:rsid w:val="07183066"/>
    <w:rsid w:val="0747226A"/>
    <w:rsid w:val="076D0B83"/>
    <w:rsid w:val="077B0190"/>
    <w:rsid w:val="07932911"/>
    <w:rsid w:val="07C35286"/>
    <w:rsid w:val="07C631E6"/>
    <w:rsid w:val="07CB41A4"/>
    <w:rsid w:val="07E266B9"/>
    <w:rsid w:val="08124875"/>
    <w:rsid w:val="08154D08"/>
    <w:rsid w:val="08171156"/>
    <w:rsid w:val="08211256"/>
    <w:rsid w:val="082F75FC"/>
    <w:rsid w:val="083A4B98"/>
    <w:rsid w:val="084349F8"/>
    <w:rsid w:val="08625508"/>
    <w:rsid w:val="08870E86"/>
    <w:rsid w:val="089326E0"/>
    <w:rsid w:val="08AC08E6"/>
    <w:rsid w:val="08AD5056"/>
    <w:rsid w:val="08D90728"/>
    <w:rsid w:val="08E10201"/>
    <w:rsid w:val="08E3343B"/>
    <w:rsid w:val="08FF4C96"/>
    <w:rsid w:val="092154C7"/>
    <w:rsid w:val="09554073"/>
    <w:rsid w:val="09855E02"/>
    <w:rsid w:val="09B15222"/>
    <w:rsid w:val="09BE1F73"/>
    <w:rsid w:val="09C742E1"/>
    <w:rsid w:val="09DD0CF5"/>
    <w:rsid w:val="09E1421F"/>
    <w:rsid w:val="09F930EA"/>
    <w:rsid w:val="09FF54DC"/>
    <w:rsid w:val="0A1603C1"/>
    <w:rsid w:val="0A245448"/>
    <w:rsid w:val="0A523182"/>
    <w:rsid w:val="0A602EEC"/>
    <w:rsid w:val="0A7C3F6D"/>
    <w:rsid w:val="0A7D3AE6"/>
    <w:rsid w:val="0A9868F9"/>
    <w:rsid w:val="0AC172E9"/>
    <w:rsid w:val="0ACA060F"/>
    <w:rsid w:val="0AD71E9B"/>
    <w:rsid w:val="0AE628CD"/>
    <w:rsid w:val="0B0B5F07"/>
    <w:rsid w:val="0B1A0FE3"/>
    <w:rsid w:val="0B2E38E6"/>
    <w:rsid w:val="0B3365C9"/>
    <w:rsid w:val="0B516F03"/>
    <w:rsid w:val="0B674F8E"/>
    <w:rsid w:val="0B7D3EDE"/>
    <w:rsid w:val="0B89775E"/>
    <w:rsid w:val="0BA448CF"/>
    <w:rsid w:val="0BCE7EA7"/>
    <w:rsid w:val="0BF26547"/>
    <w:rsid w:val="0C1506AD"/>
    <w:rsid w:val="0C3928C9"/>
    <w:rsid w:val="0C4718F6"/>
    <w:rsid w:val="0C73626A"/>
    <w:rsid w:val="0C7B7D5B"/>
    <w:rsid w:val="0C973EF3"/>
    <w:rsid w:val="0C9C36D5"/>
    <w:rsid w:val="0CAA301E"/>
    <w:rsid w:val="0CAB7249"/>
    <w:rsid w:val="0CE034C0"/>
    <w:rsid w:val="0CE37539"/>
    <w:rsid w:val="0CF63F41"/>
    <w:rsid w:val="0CFE0FC0"/>
    <w:rsid w:val="0D0374E3"/>
    <w:rsid w:val="0D0A572F"/>
    <w:rsid w:val="0D0A6306"/>
    <w:rsid w:val="0D16312A"/>
    <w:rsid w:val="0D1B1479"/>
    <w:rsid w:val="0D1B1559"/>
    <w:rsid w:val="0D1C1711"/>
    <w:rsid w:val="0D555176"/>
    <w:rsid w:val="0D6F0E5D"/>
    <w:rsid w:val="0D7B2231"/>
    <w:rsid w:val="0D887BC6"/>
    <w:rsid w:val="0D954B0D"/>
    <w:rsid w:val="0D973F39"/>
    <w:rsid w:val="0DB02FB3"/>
    <w:rsid w:val="0DB1060F"/>
    <w:rsid w:val="0DCD14DB"/>
    <w:rsid w:val="0DCE04EC"/>
    <w:rsid w:val="0DE4178F"/>
    <w:rsid w:val="0E1C064B"/>
    <w:rsid w:val="0E3026E5"/>
    <w:rsid w:val="0E336A16"/>
    <w:rsid w:val="0E64092D"/>
    <w:rsid w:val="0E7D0AB3"/>
    <w:rsid w:val="0E7D5C8D"/>
    <w:rsid w:val="0E963CAB"/>
    <w:rsid w:val="0EA476E4"/>
    <w:rsid w:val="0EA51F74"/>
    <w:rsid w:val="0EAC005C"/>
    <w:rsid w:val="0EAF1251"/>
    <w:rsid w:val="0EBE36CA"/>
    <w:rsid w:val="0ED36ED3"/>
    <w:rsid w:val="0ED77E61"/>
    <w:rsid w:val="0EDB7766"/>
    <w:rsid w:val="0EE6002D"/>
    <w:rsid w:val="0EEE1E26"/>
    <w:rsid w:val="0F00375C"/>
    <w:rsid w:val="0F560D8D"/>
    <w:rsid w:val="0F5764BB"/>
    <w:rsid w:val="0F6257C5"/>
    <w:rsid w:val="0F6717B6"/>
    <w:rsid w:val="0FB42DAE"/>
    <w:rsid w:val="0FBB1C4A"/>
    <w:rsid w:val="0FC41391"/>
    <w:rsid w:val="0FC43940"/>
    <w:rsid w:val="0FDE036F"/>
    <w:rsid w:val="0FEA11FB"/>
    <w:rsid w:val="0FF72380"/>
    <w:rsid w:val="10227FC7"/>
    <w:rsid w:val="1029166D"/>
    <w:rsid w:val="102F5022"/>
    <w:rsid w:val="104E5C33"/>
    <w:rsid w:val="10637F11"/>
    <w:rsid w:val="1082792F"/>
    <w:rsid w:val="108C1B09"/>
    <w:rsid w:val="108D1787"/>
    <w:rsid w:val="10B210E3"/>
    <w:rsid w:val="10D41DDF"/>
    <w:rsid w:val="10DC1574"/>
    <w:rsid w:val="10F3457C"/>
    <w:rsid w:val="10FE2ED7"/>
    <w:rsid w:val="11160C7D"/>
    <w:rsid w:val="112B3BA0"/>
    <w:rsid w:val="113C7F45"/>
    <w:rsid w:val="1155348D"/>
    <w:rsid w:val="116105A8"/>
    <w:rsid w:val="11672670"/>
    <w:rsid w:val="11746A5F"/>
    <w:rsid w:val="11867395"/>
    <w:rsid w:val="11AA42B6"/>
    <w:rsid w:val="11CB3F36"/>
    <w:rsid w:val="11E15BC9"/>
    <w:rsid w:val="11F15383"/>
    <w:rsid w:val="12065192"/>
    <w:rsid w:val="12125307"/>
    <w:rsid w:val="125F51F7"/>
    <w:rsid w:val="12607E18"/>
    <w:rsid w:val="12BC7EF5"/>
    <w:rsid w:val="12D45BF3"/>
    <w:rsid w:val="12DE0824"/>
    <w:rsid w:val="12E61DF9"/>
    <w:rsid w:val="131C5CA8"/>
    <w:rsid w:val="132C0FC9"/>
    <w:rsid w:val="136E0354"/>
    <w:rsid w:val="13766846"/>
    <w:rsid w:val="13796E85"/>
    <w:rsid w:val="13DC1C7A"/>
    <w:rsid w:val="13DF6617"/>
    <w:rsid w:val="13E615E4"/>
    <w:rsid w:val="14127E02"/>
    <w:rsid w:val="14423676"/>
    <w:rsid w:val="146E32E4"/>
    <w:rsid w:val="14AF10BA"/>
    <w:rsid w:val="14D75725"/>
    <w:rsid w:val="14E43DD7"/>
    <w:rsid w:val="151732B6"/>
    <w:rsid w:val="152A4FA3"/>
    <w:rsid w:val="156845D9"/>
    <w:rsid w:val="156A2131"/>
    <w:rsid w:val="15A23E67"/>
    <w:rsid w:val="15B74989"/>
    <w:rsid w:val="15DC1076"/>
    <w:rsid w:val="15F54513"/>
    <w:rsid w:val="15F54AE8"/>
    <w:rsid w:val="16333FFD"/>
    <w:rsid w:val="165F5F88"/>
    <w:rsid w:val="16742C11"/>
    <w:rsid w:val="167D64C8"/>
    <w:rsid w:val="16B243CF"/>
    <w:rsid w:val="16C53D0A"/>
    <w:rsid w:val="16D62715"/>
    <w:rsid w:val="16DA7D67"/>
    <w:rsid w:val="16DB7598"/>
    <w:rsid w:val="16E057F3"/>
    <w:rsid w:val="16F90A69"/>
    <w:rsid w:val="173B3423"/>
    <w:rsid w:val="174E1EC3"/>
    <w:rsid w:val="174F614E"/>
    <w:rsid w:val="17593F7C"/>
    <w:rsid w:val="17901AEB"/>
    <w:rsid w:val="1795795A"/>
    <w:rsid w:val="179B63A8"/>
    <w:rsid w:val="179C6BA6"/>
    <w:rsid w:val="17B9383D"/>
    <w:rsid w:val="17C75809"/>
    <w:rsid w:val="17CC40F0"/>
    <w:rsid w:val="17E165CB"/>
    <w:rsid w:val="17EB74E7"/>
    <w:rsid w:val="17EC2D57"/>
    <w:rsid w:val="180D7E99"/>
    <w:rsid w:val="185C66AE"/>
    <w:rsid w:val="186B2AA6"/>
    <w:rsid w:val="1876710A"/>
    <w:rsid w:val="187C3036"/>
    <w:rsid w:val="188D3123"/>
    <w:rsid w:val="18DC4043"/>
    <w:rsid w:val="18DD0937"/>
    <w:rsid w:val="190D6C99"/>
    <w:rsid w:val="191B528A"/>
    <w:rsid w:val="191D0E57"/>
    <w:rsid w:val="19223429"/>
    <w:rsid w:val="19245762"/>
    <w:rsid w:val="194F4FD8"/>
    <w:rsid w:val="19601987"/>
    <w:rsid w:val="19690B66"/>
    <w:rsid w:val="197403CC"/>
    <w:rsid w:val="19B429F8"/>
    <w:rsid w:val="19B72F86"/>
    <w:rsid w:val="19B85E10"/>
    <w:rsid w:val="19BC22D6"/>
    <w:rsid w:val="19C15F21"/>
    <w:rsid w:val="19E020B8"/>
    <w:rsid w:val="19E8568F"/>
    <w:rsid w:val="1A0265AC"/>
    <w:rsid w:val="1A0D36FE"/>
    <w:rsid w:val="1A230D00"/>
    <w:rsid w:val="1A3106BF"/>
    <w:rsid w:val="1A3145EF"/>
    <w:rsid w:val="1A4C49A0"/>
    <w:rsid w:val="1A5B6C23"/>
    <w:rsid w:val="1A7A3013"/>
    <w:rsid w:val="1A8717B9"/>
    <w:rsid w:val="1AA47177"/>
    <w:rsid w:val="1AC6787B"/>
    <w:rsid w:val="1ACB0AE0"/>
    <w:rsid w:val="1ADC0156"/>
    <w:rsid w:val="1AED2EFC"/>
    <w:rsid w:val="1B0D313F"/>
    <w:rsid w:val="1B320224"/>
    <w:rsid w:val="1B830DA9"/>
    <w:rsid w:val="1B86733B"/>
    <w:rsid w:val="1B873668"/>
    <w:rsid w:val="1BC3044B"/>
    <w:rsid w:val="1BD23808"/>
    <w:rsid w:val="1C1007DD"/>
    <w:rsid w:val="1C3076E1"/>
    <w:rsid w:val="1C3938AC"/>
    <w:rsid w:val="1C3B2B44"/>
    <w:rsid w:val="1C3E68C5"/>
    <w:rsid w:val="1C401C64"/>
    <w:rsid w:val="1C551678"/>
    <w:rsid w:val="1C9B0A8D"/>
    <w:rsid w:val="1CA677B8"/>
    <w:rsid w:val="1CD6295C"/>
    <w:rsid w:val="1CDF2B62"/>
    <w:rsid w:val="1CF20859"/>
    <w:rsid w:val="1D393F6D"/>
    <w:rsid w:val="1D3C017E"/>
    <w:rsid w:val="1D664BF1"/>
    <w:rsid w:val="1D66642C"/>
    <w:rsid w:val="1D817FD4"/>
    <w:rsid w:val="1D97493F"/>
    <w:rsid w:val="1DA958AD"/>
    <w:rsid w:val="1DB6394E"/>
    <w:rsid w:val="1DB84D0E"/>
    <w:rsid w:val="1DDB774B"/>
    <w:rsid w:val="1DE101CE"/>
    <w:rsid w:val="1DF06B0A"/>
    <w:rsid w:val="1E1A291F"/>
    <w:rsid w:val="1E480074"/>
    <w:rsid w:val="1E6854BC"/>
    <w:rsid w:val="1E6C1F65"/>
    <w:rsid w:val="1E6C471C"/>
    <w:rsid w:val="1E723A55"/>
    <w:rsid w:val="1E784143"/>
    <w:rsid w:val="1E7F010E"/>
    <w:rsid w:val="1E815BA1"/>
    <w:rsid w:val="1E8B3D11"/>
    <w:rsid w:val="1E9D2721"/>
    <w:rsid w:val="1EBD353A"/>
    <w:rsid w:val="1EC27F75"/>
    <w:rsid w:val="1EC865D8"/>
    <w:rsid w:val="1EDB10BF"/>
    <w:rsid w:val="1EF208C3"/>
    <w:rsid w:val="1EFC4767"/>
    <w:rsid w:val="1F0A1B74"/>
    <w:rsid w:val="1F0C32F6"/>
    <w:rsid w:val="1F0D4C5B"/>
    <w:rsid w:val="1F2018E1"/>
    <w:rsid w:val="1F49440C"/>
    <w:rsid w:val="1F583425"/>
    <w:rsid w:val="1F7478B7"/>
    <w:rsid w:val="1F833C2E"/>
    <w:rsid w:val="1FB85399"/>
    <w:rsid w:val="1FCB7610"/>
    <w:rsid w:val="200158E4"/>
    <w:rsid w:val="201F614A"/>
    <w:rsid w:val="2036061A"/>
    <w:rsid w:val="20390284"/>
    <w:rsid w:val="204474F4"/>
    <w:rsid w:val="20553E2F"/>
    <w:rsid w:val="206308DD"/>
    <w:rsid w:val="206B7CFB"/>
    <w:rsid w:val="20782FE0"/>
    <w:rsid w:val="20956654"/>
    <w:rsid w:val="20B65BA9"/>
    <w:rsid w:val="20BF6B4D"/>
    <w:rsid w:val="20CE164F"/>
    <w:rsid w:val="20CE49E5"/>
    <w:rsid w:val="20EB177E"/>
    <w:rsid w:val="20EB702F"/>
    <w:rsid w:val="20EC2AB3"/>
    <w:rsid w:val="20EF5DD2"/>
    <w:rsid w:val="20F052F3"/>
    <w:rsid w:val="21075EAE"/>
    <w:rsid w:val="212E3725"/>
    <w:rsid w:val="21422FC3"/>
    <w:rsid w:val="21446D64"/>
    <w:rsid w:val="218E227A"/>
    <w:rsid w:val="219B0E35"/>
    <w:rsid w:val="21B262B5"/>
    <w:rsid w:val="21B97618"/>
    <w:rsid w:val="21BD656F"/>
    <w:rsid w:val="21C46F29"/>
    <w:rsid w:val="21F82CE7"/>
    <w:rsid w:val="220732D0"/>
    <w:rsid w:val="221B1AA1"/>
    <w:rsid w:val="22251EA5"/>
    <w:rsid w:val="22493602"/>
    <w:rsid w:val="22871F41"/>
    <w:rsid w:val="22A66E3A"/>
    <w:rsid w:val="22B71BF0"/>
    <w:rsid w:val="22D85F9B"/>
    <w:rsid w:val="22E76720"/>
    <w:rsid w:val="22EF5777"/>
    <w:rsid w:val="232744C8"/>
    <w:rsid w:val="232B1E40"/>
    <w:rsid w:val="23351427"/>
    <w:rsid w:val="233D075D"/>
    <w:rsid w:val="234A48FA"/>
    <w:rsid w:val="235A2118"/>
    <w:rsid w:val="239A5E8E"/>
    <w:rsid w:val="23A302C8"/>
    <w:rsid w:val="23AB3DCA"/>
    <w:rsid w:val="23AE428F"/>
    <w:rsid w:val="23CA04FD"/>
    <w:rsid w:val="23D66121"/>
    <w:rsid w:val="23DF4664"/>
    <w:rsid w:val="23EF4F44"/>
    <w:rsid w:val="24017C3E"/>
    <w:rsid w:val="242F4DFC"/>
    <w:rsid w:val="24693041"/>
    <w:rsid w:val="2478400A"/>
    <w:rsid w:val="24A977D4"/>
    <w:rsid w:val="24FB7B5E"/>
    <w:rsid w:val="24FD1BE4"/>
    <w:rsid w:val="25070E5D"/>
    <w:rsid w:val="251055D0"/>
    <w:rsid w:val="25162D83"/>
    <w:rsid w:val="253F3273"/>
    <w:rsid w:val="25482D76"/>
    <w:rsid w:val="256956B8"/>
    <w:rsid w:val="256B16A4"/>
    <w:rsid w:val="257F457A"/>
    <w:rsid w:val="25830BDD"/>
    <w:rsid w:val="2595447B"/>
    <w:rsid w:val="25AB53AA"/>
    <w:rsid w:val="25BC0A52"/>
    <w:rsid w:val="25CA6E03"/>
    <w:rsid w:val="25D90F8B"/>
    <w:rsid w:val="25ED5630"/>
    <w:rsid w:val="261F7052"/>
    <w:rsid w:val="26205CFD"/>
    <w:rsid w:val="263B1339"/>
    <w:rsid w:val="263D681D"/>
    <w:rsid w:val="2644389F"/>
    <w:rsid w:val="26495861"/>
    <w:rsid w:val="26546279"/>
    <w:rsid w:val="26637BAC"/>
    <w:rsid w:val="266807FF"/>
    <w:rsid w:val="26911AED"/>
    <w:rsid w:val="26AA28DA"/>
    <w:rsid w:val="26AC098C"/>
    <w:rsid w:val="26AF4030"/>
    <w:rsid w:val="26BE361E"/>
    <w:rsid w:val="26F02FAB"/>
    <w:rsid w:val="272145E0"/>
    <w:rsid w:val="274A7D75"/>
    <w:rsid w:val="275D1CBB"/>
    <w:rsid w:val="275E3610"/>
    <w:rsid w:val="276158EF"/>
    <w:rsid w:val="276A51E0"/>
    <w:rsid w:val="277B3338"/>
    <w:rsid w:val="277E33C0"/>
    <w:rsid w:val="27BD3A55"/>
    <w:rsid w:val="27ED72B6"/>
    <w:rsid w:val="27F52CFD"/>
    <w:rsid w:val="280C0039"/>
    <w:rsid w:val="282D258B"/>
    <w:rsid w:val="285E0683"/>
    <w:rsid w:val="287E0D2C"/>
    <w:rsid w:val="28854F72"/>
    <w:rsid w:val="289B1D1F"/>
    <w:rsid w:val="28BA186B"/>
    <w:rsid w:val="28D864E0"/>
    <w:rsid w:val="28E32ED5"/>
    <w:rsid w:val="290D5247"/>
    <w:rsid w:val="293E7B47"/>
    <w:rsid w:val="294F1A4F"/>
    <w:rsid w:val="29814F03"/>
    <w:rsid w:val="29840174"/>
    <w:rsid w:val="298D119C"/>
    <w:rsid w:val="29A0418D"/>
    <w:rsid w:val="29AE7AF9"/>
    <w:rsid w:val="29B81621"/>
    <w:rsid w:val="29DB323E"/>
    <w:rsid w:val="29DD2601"/>
    <w:rsid w:val="29E91BC9"/>
    <w:rsid w:val="29E97234"/>
    <w:rsid w:val="29ED3EB9"/>
    <w:rsid w:val="29F9264C"/>
    <w:rsid w:val="29FA3540"/>
    <w:rsid w:val="29FD268B"/>
    <w:rsid w:val="2A135BAE"/>
    <w:rsid w:val="2A157464"/>
    <w:rsid w:val="2A4337B1"/>
    <w:rsid w:val="2A546A20"/>
    <w:rsid w:val="2A5471DE"/>
    <w:rsid w:val="2A7218D1"/>
    <w:rsid w:val="2A824BDA"/>
    <w:rsid w:val="2A933706"/>
    <w:rsid w:val="2A9F19FC"/>
    <w:rsid w:val="2ABB4BDE"/>
    <w:rsid w:val="2AC453E9"/>
    <w:rsid w:val="2AD95212"/>
    <w:rsid w:val="2ADE530A"/>
    <w:rsid w:val="2AEC38E2"/>
    <w:rsid w:val="2B1C0BDC"/>
    <w:rsid w:val="2B4C4665"/>
    <w:rsid w:val="2B857D3F"/>
    <w:rsid w:val="2BB2438C"/>
    <w:rsid w:val="2BC22C7B"/>
    <w:rsid w:val="2BCA32A1"/>
    <w:rsid w:val="2C055696"/>
    <w:rsid w:val="2C070392"/>
    <w:rsid w:val="2C2D2F9C"/>
    <w:rsid w:val="2C304F71"/>
    <w:rsid w:val="2C551389"/>
    <w:rsid w:val="2C832291"/>
    <w:rsid w:val="2C863751"/>
    <w:rsid w:val="2CB2362F"/>
    <w:rsid w:val="2CC05081"/>
    <w:rsid w:val="2CC35888"/>
    <w:rsid w:val="2CDC700C"/>
    <w:rsid w:val="2CEB1449"/>
    <w:rsid w:val="2D3C659B"/>
    <w:rsid w:val="2D4D5DA6"/>
    <w:rsid w:val="2D5A6233"/>
    <w:rsid w:val="2D6531C4"/>
    <w:rsid w:val="2D883B0E"/>
    <w:rsid w:val="2D8B3A56"/>
    <w:rsid w:val="2D95761B"/>
    <w:rsid w:val="2D9655B5"/>
    <w:rsid w:val="2D9B4C43"/>
    <w:rsid w:val="2DB60C0D"/>
    <w:rsid w:val="2DB66DAF"/>
    <w:rsid w:val="2DBF1738"/>
    <w:rsid w:val="2DED7AC1"/>
    <w:rsid w:val="2DF55C0B"/>
    <w:rsid w:val="2E007F3F"/>
    <w:rsid w:val="2E034032"/>
    <w:rsid w:val="2E110ADE"/>
    <w:rsid w:val="2E29498D"/>
    <w:rsid w:val="2E2E141D"/>
    <w:rsid w:val="2E360B90"/>
    <w:rsid w:val="2E521653"/>
    <w:rsid w:val="2E6D15F0"/>
    <w:rsid w:val="2E7B7104"/>
    <w:rsid w:val="2E7C7DB1"/>
    <w:rsid w:val="2E926146"/>
    <w:rsid w:val="2E9E2680"/>
    <w:rsid w:val="2EB7183E"/>
    <w:rsid w:val="2EBF5D80"/>
    <w:rsid w:val="2EC67B81"/>
    <w:rsid w:val="2EDC0239"/>
    <w:rsid w:val="2EED184C"/>
    <w:rsid w:val="2F547BA5"/>
    <w:rsid w:val="2F5D0C70"/>
    <w:rsid w:val="2F946053"/>
    <w:rsid w:val="2FB111C0"/>
    <w:rsid w:val="2FB250EE"/>
    <w:rsid w:val="2FBE1727"/>
    <w:rsid w:val="2FDC2796"/>
    <w:rsid w:val="300A04DE"/>
    <w:rsid w:val="301139A4"/>
    <w:rsid w:val="302A58D2"/>
    <w:rsid w:val="3034564F"/>
    <w:rsid w:val="3039561B"/>
    <w:rsid w:val="30581F1C"/>
    <w:rsid w:val="306A6F2E"/>
    <w:rsid w:val="306B6815"/>
    <w:rsid w:val="307811E2"/>
    <w:rsid w:val="308B7EDE"/>
    <w:rsid w:val="308C1105"/>
    <w:rsid w:val="308D292D"/>
    <w:rsid w:val="30996E7C"/>
    <w:rsid w:val="30AB43A0"/>
    <w:rsid w:val="30BB7024"/>
    <w:rsid w:val="30BC1158"/>
    <w:rsid w:val="30C16723"/>
    <w:rsid w:val="30E363D4"/>
    <w:rsid w:val="30E72B9B"/>
    <w:rsid w:val="31386DF1"/>
    <w:rsid w:val="31461845"/>
    <w:rsid w:val="31817BF1"/>
    <w:rsid w:val="318332DA"/>
    <w:rsid w:val="319B49F2"/>
    <w:rsid w:val="31D10FEE"/>
    <w:rsid w:val="31DA1919"/>
    <w:rsid w:val="31DB702A"/>
    <w:rsid w:val="31ED18E3"/>
    <w:rsid w:val="31EE3D4C"/>
    <w:rsid w:val="31F342AD"/>
    <w:rsid w:val="321B7125"/>
    <w:rsid w:val="322B69F3"/>
    <w:rsid w:val="32997C5C"/>
    <w:rsid w:val="329F5D83"/>
    <w:rsid w:val="32A962C5"/>
    <w:rsid w:val="32AE67FE"/>
    <w:rsid w:val="32BF1974"/>
    <w:rsid w:val="32C40656"/>
    <w:rsid w:val="32E74C9D"/>
    <w:rsid w:val="32EF63BD"/>
    <w:rsid w:val="3300581E"/>
    <w:rsid w:val="33092EC2"/>
    <w:rsid w:val="331204DD"/>
    <w:rsid w:val="331234A3"/>
    <w:rsid w:val="332D317D"/>
    <w:rsid w:val="3371460F"/>
    <w:rsid w:val="338623B5"/>
    <w:rsid w:val="33897800"/>
    <w:rsid w:val="33A54EF6"/>
    <w:rsid w:val="33C12B14"/>
    <w:rsid w:val="33C77CE4"/>
    <w:rsid w:val="33EB4BFC"/>
    <w:rsid w:val="341B0E39"/>
    <w:rsid w:val="3431171C"/>
    <w:rsid w:val="347608AD"/>
    <w:rsid w:val="34B071CB"/>
    <w:rsid w:val="34B45F97"/>
    <w:rsid w:val="34BE4ACD"/>
    <w:rsid w:val="34C533CE"/>
    <w:rsid w:val="34D44618"/>
    <w:rsid w:val="34DE1476"/>
    <w:rsid w:val="34E7797D"/>
    <w:rsid w:val="34F63FD9"/>
    <w:rsid w:val="350100F6"/>
    <w:rsid w:val="35081CE0"/>
    <w:rsid w:val="353225AF"/>
    <w:rsid w:val="35330164"/>
    <w:rsid w:val="35372BEB"/>
    <w:rsid w:val="354E62B7"/>
    <w:rsid w:val="357D18D4"/>
    <w:rsid w:val="3583106D"/>
    <w:rsid w:val="358D6E27"/>
    <w:rsid w:val="35AB1587"/>
    <w:rsid w:val="35DD7083"/>
    <w:rsid w:val="35F37613"/>
    <w:rsid w:val="35FB01E4"/>
    <w:rsid w:val="35FC2475"/>
    <w:rsid w:val="36000DEE"/>
    <w:rsid w:val="361075AA"/>
    <w:rsid w:val="3619247E"/>
    <w:rsid w:val="361C32E3"/>
    <w:rsid w:val="362D1EA8"/>
    <w:rsid w:val="363B4F21"/>
    <w:rsid w:val="36452244"/>
    <w:rsid w:val="365325D3"/>
    <w:rsid w:val="36604074"/>
    <w:rsid w:val="367A4AE9"/>
    <w:rsid w:val="36C733A6"/>
    <w:rsid w:val="36CF0F85"/>
    <w:rsid w:val="36F24313"/>
    <w:rsid w:val="37096D47"/>
    <w:rsid w:val="370A6DDC"/>
    <w:rsid w:val="37176A8D"/>
    <w:rsid w:val="371C4C0A"/>
    <w:rsid w:val="372F0C76"/>
    <w:rsid w:val="37332780"/>
    <w:rsid w:val="37461637"/>
    <w:rsid w:val="37906037"/>
    <w:rsid w:val="37B107DF"/>
    <w:rsid w:val="37EC2340"/>
    <w:rsid w:val="37F80541"/>
    <w:rsid w:val="38241723"/>
    <w:rsid w:val="383306CA"/>
    <w:rsid w:val="3848046A"/>
    <w:rsid w:val="3861044F"/>
    <w:rsid w:val="388C4B4A"/>
    <w:rsid w:val="388F3360"/>
    <w:rsid w:val="38A1487A"/>
    <w:rsid w:val="38B60CED"/>
    <w:rsid w:val="38C66435"/>
    <w:rsid w:val="38C72C82"/>
    <w:rsid w:val="38D0712F"/>
    <w:rsid w:val="38DB3934"/>
    <w:rsid w:val="390147D5"/>
    <w:rsid w:val="39155E83"/>
    <w:rsid w:val="391E4543"/>
    <w:rsid w:val="39213D6C"/>
    <w:rsid w:val="39297CD8"/>
    <w:rsid w:val="39555064"/>
    <w:rsid w:val="39DB0183"/>
    <w:rsid w:val="39E16FE0"/>
    <w:rsid w:val="39EB376D"/>
    <w:rsid w:val="3A00291E"/>
    <w:rsid w:val="3A024347"/>
    <w:rsid w:val="3A084041"/>
    <w:rsid w:val="3A0C5A88"/>
    <w:rsid w:val="3A1C4A68"/>
    <w:rsid w:val="3A22197C"/>
    <w:rsid w:val="3A3E0FB0"/>
    <w:rsid w:val="3A9A2DB6"/>
    <w:rsid w:val="3AC6747A"/>
    <w:rsid w:val="3AC8207F"/>
    <w:rsid w:val="3AF172AC"/>
    <w:rsid w:val="3B22543A"/>
    <w:rsid w:val="3B311067"/>
    <w:rsid w:val="3B6C3AF0"/>
    <w:rsid w:val="3B8C10A4"/>
    <w:rsid w:val="3BA5009C"/>
    <w:rsid w:val="3BCF1D4D"/>
    <w:rsid w:val="3BE00A47"/>
    <w:rsid w:val="3C0E4B8A"/>
    <w:rsid w:val="3C1E52CF"/>
    <w:rsid w:val="3C237ED3"/>
    <w:rsid w:val="3C3057C7"/>
    <w:rsid w:val="3C8056A3"/>
    <w:rsid w:val="3CA95D3D"/>
    <w:rsid w:val="3CC83A56"/>
    <w:rsid w:val="3CCC31AE"/>
    <w:rsid w:val="3CF30D75"/>
    <w:rsid w:val="3D133CC9"/>
    <w:rsid w:val="3D1F4448"/>
    <w:rsid w:val="3D3B7D83"/>
    <w:rsid w:val="3D680945"/>
    <w:rsid w:val="3DA151C8"/>
    <w:rsid w:val="3DC00F9C"/>
    <w:rsid w:val="3DCF21E6"/>
    <w:rsid w:val="3DCF76E3"/>
    <w:rsid w:val="3DDC080E"/>
    <w:rsid w:val="3E0301DA"/>
    <w:rsid w:val="3E1B096F"/>
    <w:rsid w:val="3E2B66F1"/>
    <w:rsid w:val="3E2F3297"/>
    <w:rsid w:val="3E432B3C"/>
    <w:rsid w:val="3E440CAA"/>
    <w:rsid w:val="3E6C6867"/>
    <w:rsid w:val="3ECB2D64"/>
    <w:rsid w:val="3EDC70DA"/>
    <w:rsid w:val="3EEA6653"/>
    <w:rsid w:val="3F0C1704"/>
    <w:rsid w:val="3F1F063F"/>
    <w:rsid w:val="3F344A27"/>
    <w:rsid w:val="3F395DA7"/>
    <w:rsid w:val="3F3D1A00"/>
    <w:rsid w:val="3F693D1E"/>
    <w:rsid w:val="3F7C08BE"/>
    <w:rsid w:val="3F8C4BB5"/>
    <w:rsid w:val="3FA928D2"/>
    <w:rsid w:val="3FAF1BDB"/>
    <w:rsid w:val="3FAF36F8"/>
    <w:rsid w:val="3FBF1DBF"/>
    <w:rsid w:val="4006412F"/>
    <w:rsid w:val="40164482"/>
    <w:rsid w:val="402079F7"/>
    <w:rsid w:val="402F10B7"/>
    <w:rsid w:val="40503E44"/>
    <w:rsid w:val="40687975"/>
    <w:rsid w:val="40BE135F"/>
    <w:rsid w:val="40C84DC0"/>
    <w:rsid w:val="40E63087"/>
    <w:rsid w:val="40EE74C4"/>
    <w:rsid w:val="41021FF2"/>
    <w:rsid w:val="4105404B"/>
    <w:rsid w:val="412253B5"/>
    <w:rsid w:val="412325C1"/>
    <w:rsid w:val="413B7C4F"/>
    <w:rsid w:val="41476EF0"/>
    <w:rsid w:val="417047AC"/>
    <w:rsid w:val="417D2BF0"/>
    <w:rsid w:val="41900C67"/>
    <w:rsid w:val="41D74163"/>
    <w:rsid w:val="41E536EA"/>
    <w:rsid w:val="41EC7D00"/>
    <w:rsid w:val="41F31C71"/>
    <w:rsid w:val="420402E9"/>
    <w:rsid w:val="42040900"/>
    <w:rsid w:val="42213106"/>
    <w:rsid w:val="42531840"/>
    <w:rsid w:val="425D57EC"/>
    <w:rsid w:val="42666D6B"/>
    <w:rsid w:val="42856D8B"/>
    <w:rsid w:val="429814D9"/>
    <w:rsid w:val="42A677C5"/>
    <w:rsid w:val="42B67B2F"/>
    <w:rsid w:val="42B73177"/>
    <w:rsid w:val="42C1330E"/>
    <w:rsid w:val="42D66CA8"/>
    <w:rsid w:val="42FA6838"/>
    <w:rsid w:val="42FE679E"/>
    <w:rsid w:val="43131DC9"/>
    <w:rsid w:val="431A1904"/>
    <w:rsid w:val="43315492"/>
    <w:rsid w:val="43552B21"/>
    <w:rsid w:val="4363130B"/>
    <w:rsid w:val="43C42B2A"/>
    <w:rsid w:val="43D80BD9"/>
    <w:rsid w:val="43DD39C4"/>
    <w:rsid w:val="43E1472A"/>
    <w:rsid w:val="43E6427C"/>
    <w:rsid w:val="44070D31"/>
    <w:rsid w:val="440C341E"/>
    <w:rsid w:val="44401C4C"/>
    <w:rsid w:val="44452278"/>
    <w:rsid w:val="44557BD9"/>
    <w:rsid w:val="445A5731"/>
    <w:rsid w:val="446620DC"/>
    <w:rsid w:val="448E1330"/>
    <w:rsid w:val="44994749"/>
    <w:rsid w:val="44B17375"/>
    <w:rsid w:val="44CA5C96"/>
    <w:rsid w:val="44CB06C6"/>
    <w:rsid w:val="44D96A59"/>
    <w:rsid w:val="45053EB9"/>
    <w:rsid w:val="45115B17"/>
    <w:rsid w:val="451413DC"/>
    <w:rsid w:val="455F04A3"/>
    <w:rsid w:val="45656FCA"/>
    <w:rsid w:val="458A0E9B"/>
    <w:rsid w:val="45AA21AA"/>
    <w:rsid w:val="45B03354"/>
    <w:rsid w:val="45BE3AA1"/>
    <w:rsid w:val="45C102CA"/>
    <w:rsid w:val="45D77AC2"/>
    <w:rsid w:val="45ED4D64"/>
    <w:rsid w:val="45FB585D"/>
    <w:rsid w:val="460D03A3"/>
    <w:rsid w:val="46170337"/>
    <w:rsid w:val="461F33C6"/>
    <w:rsid w:val="466F718C"/>
    <w:rsid w:val="467E6CBC"/>
    <w:rsid w:val="468C2AF7"/>
    <w:rsid w:val="469F3795"/>
    <w:rsid w:val="46C4056F"/>
    <w:rsid w:val="4709536A"/>
    <w:rsid w:val="47130987"/>
    <w:rsid w:val="472D3102"/>
    <w:rsid w:val="47346345"/>
    <w:rsid w:val="474C22E0"/>
    <w:rsid w:val="475F108B"/>
    <w:rsid w:val="476201ED"/>
    <w:rsid w:val="47832239"/>
    <w:rsid w:val="479E0BF9"/>
    <w:rsid w:val="47CC2CBF"/>
    <w:rsid w:val="47E859E5"/>
    <w:rsid w:val="48015AC2"/>
    <w:rsid w:val="48026040"/>
    <w:rsid w:val="4806597B"/>
    <w:rsid w:val="4818686D"/>
    <w:rsid w:val="48290EA1"/>
    <w:rsid w:val="482F00F2"/>
    <w:rsid w:val="485D3FFB"/>
    <w:rsid w:val="485E3463"/>
    <w:rsid w:val="488126FE"/>
    <w:rsid w:val="48985421"/>
    <w:rsid w:val="48A90E72"/>
    <w:rsid w:val="48B66A37"/>
    <w:rsid w:val="48C45806"/>
    <w:rsid w:val="48D90BAA"/>
    <w:rsid w:val="48F60966"/>
    <w:rsid w:val="48F71B49"/>
    <w:rsid w:val="49003E15"/>
    <w:rsid w:val="49022E3C"/>
    <w:rsid w:val="490A5D06"/>
    <w:rsid w:val="493A64D3"/>
    <w:rsid w:val="49563556"/>
    <w:rsid w:val="495B46CC"/>
    <w:rsid w:val="49791ED9"/>
    <w:rsid w:val="4994738B"/>
    <w:rsid w:val="49AE1848"/>
    <w:rsid w:val="49BA4E94"/>
    <w:rsid w:val="49C47816"/>
    <w:rsid w:val="49D96ACF"/>
    <w:rsid w:val="49FA32DA"/>
    <w:rsid w:val="49FF6276"/>
    <w:rsid w:val="4A051234"/>
    <w:rsid w:val="4A106B86"/>
    <w:rsid w:val="4A4354C2"/>
    <w:rsid w:val="4A474308"/>
    <w:rsid w:val="4A5934BB"/>
    <w:rsid w:val="4A5B46C0"/>
    <w:rsid w:val="4A5F1F0B"/>
    <w:rsid w:val="4A6855C7"/>
    <w:rsid w:val="4A720EEF"/>
    <w:rsid w:val="4A75772A"/>
    <w:rsid w:val="4A8926F4"/>
    <w:rsid w:val="4AA91B97"/>
    <w:rsid w:val="4AAF31B1"/>
    <w:rsid w:val="4AD706A1"/>
    <w:rsid w:val="4B434E7D"/>
    <w:rsid w:val="4B637E36"/>
    <w:rsid w:val="4B6433FA"/>
    <w:rsid w:val="4B6603D5"/>
    <w:rsid w:val="4B7E054D"/>
    <w:rsid w:val="4B8E5A73"/>
    <w:rsid w:val="4B9716E8"/>
    <w:rsid w:val="4B981AFB"/>
    <w:rsid w:val="4BFB0D39"/>
    <w:rsid w:val="4C051483"/>
    <w:rsid w:val="4C165BC1"/>
    <w:rsid w:val="4C2E05AB"/>
    <w:rsid w:val="4C3460DC"/>
    <w:rsid w:val="4C647AC2"/>
    <w:rsid w:val="4C751E30"/>
    <w:rsid w:val="4C7B2918"/>
    <w:rsid w:val="4C93465E"/>
    <w:rsid w:val="4C934DD8"/>
    <w:rsid w:val="4C940FE0"/>
    <w:rsid w:val="4CA1734D"/>
    <w:rsid w:val="4CC56D84"/>
    <w:rsid w:val="4CCF28A7"/>
    <w:rsid w:val="4CEE7232"/>
    <w:rsid w:val="4D1D334B"/>
    <w:rsid w:val="4D1F5259"/>
    <w:rsid w:val="4D310CE0"/>
    <w:rsid w:val="4D390510"/>
    <w:rsid w:val="4D3E10B1"/>
    <w:rsid w:val="4D496C1B"/>
    <w:rsid w:val="4D6B61CD"/>
    <w:rsid w:val="4D7609DC"/>
    <w:rsid w:val="4D764358"/>
    <w:rsid w:val="4DA274F8"/>
    <w:rsid w:val="4DCB4C25"/>
    <w:rsid w:val="4DCD485F"/>
    <w:rsid w:val="4DD62D90"/>
    <w:rsid w:val="4DEC7F03"/>
    <w:rsid w:val="4DF9198D"/>
    <w:rsid w:val="4E19786B"/>
    <w:rsid w:val="4E3C460A"/>
    <w:rsid w:val="4E3E69BC"/>
    <w:rsid w:val="4E3F10A8"/>
    <w:rsid w:val="4E4B26D4"/>
    <w:rsid w:val="4E547C4C"/>
    <w:rsid w:val="4E6B3D76"/>
    <w:rsid w:val="4E751922"/>
    <w:rsid w:val="4E7F48DD"/>
    <w:rsid w:val="4E846489"/>
    <w:rsid w:val="4E874D01"/>
    <w:rsid w:val="4E931ECD"/>
    <w:rsid w:val="4EB34DD0"/>
    <w:rsid w:val="4ECE788B"/>
    <w:rsid w:val="4EF15C0F"/>
    <w:rsid w:val="4EF505C2"/>
    <w:rsid w:val="4F0F4324"/>
    <w:rsid w:val="4F1E5F93"/>
    <w:rsid w:val="4F5416EE"/>
    <w:rsid w:val="4F573C87"/>
    <w:rsid w:val="4F5802AB"/>
    <w:rsid w:val="4F604D99"/>
    <w:rsid w:val="4F6F1C9B"/>
    <w:rsid w:val="4F966B1F"/>
    <w:rsid w:val="4F9B3E73"/>
    <w:rsid w:val="4FAF1E86"/>
    <w:rsid w:val="4FC709B6"/>
    <w:rsid w:val="50181D1A"/>
    <w:rsid w:val="502E4BEA"/>
    <w:rsid w:val="505A2966"/>
    <w:rsid w:val="507B2640"/>
    <w:rsid w:val="508B5174"/>
    <w:rsid w:val="50A8231C"/>
    <w:rsid w:val="50B05815"/>
    <w:rsid w:val="50BB0FB2"/>
    <w:rsid w:val="50ED07EA"/>
    <w:rsid w:val="50FE62A2"/>
    <w:rsid w:val="51032870"/>
    <w:rsid w:val="51062C7C"/>
    <w:rsid w:val="510A1923"/>
    <w:rsid w:val="5120599C"/>
    <w:rsid w:val="51205C57"/>
    <w:rsid w:val="5145465F"/>
    <w:rsid w:val="515E708D"/>
    <w:rsid w:val="5169663D"/>
    <w:rsid w:val="51C80F05"/>
    <w:rsid w:val="51CF5E24"/>
    <w:rsid w:val="51E03A19"/>
    <w:rsid w:val="51E7477B"/>
    <w:rsid w:val="51FC415A"/>
    <w:rsid w:val="52563E44"/>
    <w:rsid w:val="527F2428"/>
    <w:rsid w:val="52870E84"/>
    <w:rsid w:val="52BC1638"/>
    <w:rsid w:val="52D070F5"/>
    <w:rsid w:val="52D723B0"/>
    <w:rsid w:val="52E91D07"/>
    <w:rsid w:val="52FF75B0"/>
    <w:rsid w:val="53230164"/>
    <w:rsid w:val="534E0590"/>
    <w:rsid w:val="538700B3"/>
    <w:rsid w:val="53AD4E07"/>
    <w:rsid w:val="53CF4D8A"/>
    <w:rsid w:val="540727CA"/>
    <w:rsid w:val="5415503F"/>
    <w:rsid w:val="543E07CB"/>
    <w:rsid w:val="54485492"/>
    <w:rsid w:val="54546A52"/>
    <w:rsid w:val="548B557A"/>
    <w:rsid w:val="549A0E14"/>
    <w:rsid w:val="54B61333"/>
    <w:rsid w:val="54CD13A5"/>
    <w:rsid w:val="54CE60A9"/>
    <w:rsid w:val="54D71C0F"/>
    <w:rsid w:val="54ED7CD0"/>
    <w:rsid w:val="5503669C"/>
    <w:rsid w:val="552134EF"/>
    <w:rsid w:val="55346F44"/>
    <w:rsid w:val="556548A8"/>
    <w:rsid w:val="556B26A8"/>
    <w:rsid w:val="556E70B3"/>
    <w:rsid w:val="55780BB3"/>
    <w:rsid w:val="557E5388"/>
    <w:rsid w:val="558420D1"/>
    <w:rsid w:val="559D25E7"/>
    <w:rsid w:val="55B8599C"/>
    <w:rsid w:val="55C44E8A"/>
    <w:rsid w:val="55C51D6D"/>
    <w:rsid w:val="55EC16DE"/>
    <w:rsid w:val="55FB7AE9"/>
    <w:rsid w:val="560260CC"/>
    <w:rsid w:val="560E2042"/>
    <w:rsid w:val="56285CD2"/>
    <w:rsid w:val="564C3BAF"/>
    <w:rsid w:val="565D20AB"/>
    <w:rsid w:val="567C73D4"/>
    <w:rsid w:val="56971C9D"/>
    <w:rsid w:val="56A13FD5"/>
    <w:rsid w:val="56AF212C"/>
    <w:rsid w:val="56B22FD9"/>
    <w:rsid w:val="56CD35B6"/>
    <w:rsid w:val="56CD5DF2"/>
    <w:rsid w:val="56CF5CFB"/>
    <w:rsid w:val="56EF0E1E"/>
    <w:rsid w:val="56F55E75"/>
    <w:rsid w:val="57085025"/>
    <w:rsid w:val="570925BD"/>
    <w:rsid w:val="570B2FE8"/>
    <w:rsid w:val="573A366B"/>
    <w:rsid w:val="5743412D"/>
    <w:rsid w:val="574A01C9"/>
    <w:rsid w:val="576443A8"/>
    <w:rsid w:val="57683EB8"/>
    <w:rsid w:val="57693DDD"/>
    <w:rsid w:val="57C91126"/>
    <w:rsid w:val="57C970C0"/>
    <w:rsid w:val="57CD20EB"/>
    <w:rsid w:val="57F13229"/>
    <w:rsid w:val="57F8518C"/>
    <w:rsid w:val="58055912"/>
    <w:rsid w:val="580F5F80"/>
    <w:rsid w:val="5841016D"/>
    <w:rsid w:val="5846331E"/>
    <w:rsid w:val="587161E6"/>
    <w:rsid w:val="58776A76"/>
    <w:rsid w:val="588F79F3"/>
    <w:rsid w:val="58B06C41"/>
    <w:rsid w:val="58BC2BEA"/>
    <w:rsid w:val="58C37E45"/>
    <w:rsid w:val="58DD4BC6"/>
    <w:rsid w:val="58E50E83"/>
    <w:rsid w:val="58EC47E3"/>
    <w:rsid w:val="58F637C8"/>
    <w:rsid w:val="58FA1C78"/>
    <w:rsid w:val="59031FEF"/>
    <w:rsid w:val="59114924"/>
    <w:rsid w:val="591B5DC0"/>
    <w:rsid w:val="591E35A8"/>
    <w:rsid w:val="59351969"/>
    <w:rsid w:val="594A0D9A"/>
    <w:rsid w:val="59530AC8"/>
    <w:rsid w:val="596140D0"/>
    <w:rsid w:val="59625C13"/>
    <w:rsid w:val="596F395C"/>
    <w:rsid w:val="5976348A"/>
    <w:rsid w:val="59835F75"/>
    <w:rsid w:val="598A1B97"/>
    <w:rsid w:val="59A8766A"/>
    <w:rsid w:val="59BB5DF4"/>
    <w:rsid w:val="59C70C07"/>
    <w:rsid w:val="59E747F4"/>
    <w:rsid w:val="59F438C7"/>
    <w:rsid w:val="59FB7D2C"/>
    <w:rsid w:val="5A326BBE"/>
    <w:rsid w:val="5A35296A"/>
    <w:rsid w:val="5AAF4577"/>
    <w:rsid w:val="5ABF7889"/>
    <w:rsid w:val="5ACA0880"/>
    <w:rsid w:val="5AEC5D6B"/>
    <w:rsid w:val="5AEE6F3F"/>
    <w:rsid w:val="5B17524C"/>
    <w:rsid w:val="5B3C24AE"/>
    <w:rsid w:val="5B530B81"/>
    <w:rsid w:val="5B5A43D2"/>
    <w:rsid w:val="5B6202AD"/>
    <w:rsid w:val="5B6A0214"/>
    <w:rsid w:val="5B6A078A"/>
    <w:rsid w:val="5B725AC7"/>
    <w:rsid w:val="5B7D66A9"/>
    <w:rsid w:val="5B7F6419"/>
    <w:rsid w:val="5B827C48"/>
    <w:rsid w:val="5B8B15FE"/>
    <w:rsid w:val="5BAC00C5"/>
    <w:rsid w:val="5BB03FDE"/>
    <w:rsid w:val="5BEC6454"/>
    <w:rsid w:val="5BF36CFF"/>
    <w:rsid w:val="5C003D71"/>
    <w:rsid w:val="5C417470"/>
    <w:rsid w:val="5C4D757B"/>
    <w:rsid w:val="5C62594C"/>
    <w:rsid w:val="5C814268"/>
    <w:rsid w:val="5C86422F"/>
    <w:rsid w:val="5C996AC3"/>
    <w:rsid w:val="5CBC34EF"/>
    <w:rsid w:val="5CBD6243"/>
    <w:rsid w:val="5CBE65F9"/>
    <w:rsid w:val="5CEB1947"/>
    <w:rsid w:val="5CFB35C0"/>
    <w:rsid w:val="5CFE0B84"/>
    <w:rsid w:val="5D107DC0"/>
    <w:rsid w:val="5D2A2F13"/>
    <w:rsid w:val="5D2D4F79"/>
    <w:rsid w:val="5D626994"/>
    <w:rsid w:val="5DA455A5"/>
    <w:rsid w:val="5DAC00DF"/>
    <w:rsid w:val="5DAF1081"/>
    <w:rsid w:val="5DB07439"/>
    <w:rsid w:val="5DC4160C"/>
    <w:rsid w:val="5DCE69CD"/>
    <w:rsid w:val="5DCF2EB6"/>
    <w:rsid w:val="5DDF34F5"/>
    <w:rsid w:val="5DF5356B"/>
    <w:rsid w:val="5E0B0FBC"/>
    <w:rsid w:val="5E0B226E"/>
    <w:rsid w:val="5E4B0CBE"/>
    <w:rsid w:val="5E772514"/>
    <w:rsid w:val="5E773F6F"/>
    <w:rsid w:val="5E7D14CB"/>
    <w:rsid w:val="5E84241E"/>
    <w:rsid w:val="5E9616E7"/>
    <w:rsid w:val="5E982EE0"/>
    <w:rsid w:val="5EB714AD"/>
    <w:rsid w:val="5EDE105F"/>
    <w:rsid w:val="5EE711B4"/>
    <w:rsid w:val="5F10230A"/>
    <w:rsid w:val="5F132775"/>
    <w:rsid w:val="5F37360D"/>
    <w:rsid w:val="5F49229E"/>
    <w:rsid w:val="5F684F25"/>
    <w:rsid w:val="5F6E48EF"/>
    <w:rsid w:val="5F7073BF"/>
    <w:rsid w:val="5F760A23"/>
    <w:rsid w:val="5F817211"/>
    <w:rsid w:val="5F914557"/>
    <w:rsid w:val="5F93326D"/>
    <w:rsid w:val="5FA66240"/>
    <w:rsid w:val="5FC22F48"/>
    <w:rsid w:val="5FC52C53"/>
    <w:rsid w:val="5FC554F9"/>
    <w:rsid w:val="5FC6028B"/>
    <w:rsid w:val="5FC91C09"/>
    <w:rsid w:val="5FCB6C9D"/>
    <w:rsid w:val="5FD95375"/>
    <w:rsid w:val="5FDF438C"/>
    <w:rsid w:val="5FED4422"/>
    <w:rsid w:val="600F3C6C"/>
    <w:rsid w:val="603431AE"/>
    <w:rsid w:val="604A6D49"/>
    <w:rsid w:val="60AB0DF5"/>
    <w:rsid w:val="60C61CEC"/>
    <w:rsid w:val="60CC3C96"/>
    <w:rsid w:val="60D7093C"/>
    <w:rsid w:val="60EC2501"/>
    <w:rsid w:val="60EF79BC"/>
    <w:rsid w:val="60F87F31"/>
    <w:rsid w:val="61104A26"/>
    <w:rsid w:val="61240A21"/>
    <w:rsid w:val="612B5987"/>
    <w:rsid w:val="613500C5"/>
    <w:rsid w:val="61443029"/>
    <w:rsid w:val="61471A2E"/>
    <w:rsid w:val="6148017D"/>
    <w:rsid w:val="614A0AA6"/>
    <w:rsid w:val="61582FC8"/>
    <w:rsid w:val="616022A7"/>
    <w:rsid w:val="616E25AD"/>
    <w:rsid w:val="6170586C"/>
    <w:rsid w:val="61807D53"/>
    <w:rsid w:val="6199549E"/>
    <w:rsid w:val="61DD4B30"/>
    <w:rsid w:val="61E26EDC"/>
    <w:rsid w:val="61F82FFA"/>
    <w:rsid w:val="62405901"/>
    <w:rsid w:val="626A0712"/>
    <w:rsid w:val="62990AE3"/>
    <w:rsid w:val="62DA3D9A"/>
    <w:rsid w:val="62E658D4"/>
    <w:rsid w:val="630F6D7A"/>
    <w:rsid w:val="63586784"/>
    <w:rsid w:val="6371469D"/>
    <w:rsid w:val="63750C45"/>
    <w:rsid w:val="63916F28"/>
    <w:rsid w:val="639A6ED2"/>
    <w:rsid w:val="63A139AD"/>
    <w:rsid w:val="63AB46BD"/>
    <w:rsid w:val="63EB1878"/>
    <w:rsid w:val="63F033C2"/>
    <w:rsid w:val="642549B8"/>
    <w:rsid w:val="642678DA"/>
    <w:rsid w:val="643B0262"/>
    <w:rsid w:val="6443661D"/>
    <w:rsid w:val="64632CB3"/>
    <w:rsid w:val="64814DC1"/>
    <w:rsid w:val="64B25D2F"/>
    <w:rsid w:val="64B42EB5"/>
    <w:rsid w:val="64BF4BCA"/>
    <w:rsid w:val="64C31559"/>
    <w:rsid w:val="651064EF"/>
    <w:rsid w:val="651B5E29"/>
    <w:rsid w:val="65220114"/>
    <w:rsid w:val="652D0934"/>
    <w:rsid w:val="652F3D17"/>
    <w:rsid w:val="653063AB"/>
    <w:rsid w:val="6536207A"/>
    <w:rsid w:val="655C17E5"/>
    <w:rsid w:val="65B473BF"/>
    <w:rsid w:val="65C45EC7"/>
    <w:rsid w:val="65EF0909"/>
    <w:rsid w:val="65FE13CB"/>
    <w:rsid w:val="660E569F"/>
    <w:rsid w:val="66107137"/>
    <w:rsid w:val="66130CF9"/>
    <w:rsid w:val="66135AE1"/>
    <w:rsid w:val="66340F54"/>
    <w:rsid w:val="66345BE8"/>
    <w:rsid w:val="66365C97"/>
    <w:rsid w:val="663B0F44"/>
    <w:rsid w:val="66411FBE"/>
    <w:rsid w:val="66720A3B"/>
    <w:rsid w:val="6678610B"/>
    <w:rsid w:val="668226A1"/>
    <w:rsid w:val="668460E0"/>
    <w:rsid w:val="669E44D1"/>
    <w:rsid w:val="66BC5967"/>
    <w:rsid w:val="66CD7E07"/>
    <w:rsid w:val="66CE14BB"/>
    <w:rsid w:val="66DF223F"/>
    <w:rsid w:val="66F138A8"/>
    <w:rsid w:val="670E0CB6"/>
    <w:rsid w:val="67113266"/>
    <w:rsid w:val="673E7B95"/>
    <w:rsid w:val="67517A37"/>
    <w:rsid w:val="675E17FD"/>
    <w:rsid w:val="676E458A"/>
    <w:rsid w:val="67B27289"/>
    <w:rsid w:val="67DE5F73"/>
    <w:rsid w:val="68026E74"/>
    <w:rsid w:val="680B110A"/>
    <w:rsid w:val="68194A4D"/>
    <w:rsid w:val="6826276A"/>
    <w:rsid w:val="68283843"/>
    <w:rsid w:val="683D512D"/>
    <w:rsid w:val="684B76AA"/>
    <w:rsid w:val="684D472B"/>
    <w:rsid w:val="686E5BB4"/>
    <w:rsid w:val="688C78F3"/>
    <w:rsid w:val="68A214CE"/>
    <w:rsid w:val="68A62B31"/>
    <w:rsid w:val="68BE5593"/>
    <w:rsid w:val="68D071B5"/>
    <w:rsid w:val="68F631D5"/>
    <w:rsid w:val="69030390"/>
    <w:rsid w:val="691124A6"/>
    <w:rsid w:val="691565A2"/>
    <w:rsid w:val="692D4180"/>
    <w:rsid w:val="693071D1"/>
    <w:rsid w:val="694C5544"/>
    <w:rsid w:val="696A7D45"/>
    <w:rsid w:val="69711094"/>
    <w:rsid w:val="698B1EAA"/>
    <w:rsid w:val="698D0215"/>
    <w:rsid w:val="6991300A"/>
    <w:rsid w:val="69B11567"/>
    <w:rsid w:val="69E63DA5"/>
    <w:rsid w:val="6A0B6164"/>
    <w:rsid w:val="6A0B7CAC"/>
    <w:rsid w:val="6A2530CD"/>
    <w:rsid w:val="6A3F4B44"/>
    <w:rsid w:val="6A767940"/>
    <w:rsid w:val="6A8702CE"/>
    <w:rsid w:val="6A885221"/>
    <w:rsid w:val="6A96278C"/>
    <w:rsid w:val="6AAB6638"/>
    <w:rsid w:val="6AC64E3A"/>
    <w:rsid w:val="6ACA3B53"/>
    <w:rsid w:val="6AD80A57"/>
    <w:rsid w:val="6ADF30D7"/>
    <w:rsid w:val="6AEC7FA6"/>
    <w:rsid w:val="6B015D49"/>
    <w:rsid w:val="6B1F3981"/>
    <w:rsid w:val="6B386F3D"/>
    <w:rsid w:val="6B3F7A6C"/>
    <w:rsid w:val="6B4A06B0"/>
    <w:rsid w:val="6B526AFF"/>
    <w:rsid w:val="6B547775"/>
    <w:rsid w:val="6B8C5DC0"/>
    <w:rsid w:val="6B926804"/>
    <w:rsid w:val="6BAF5D18"/>
    <w:rsid w:val="6BD65C9E"/>
    <w:rsid w:val="6BD85211"/>
    <w:rsid w:val="6BE1256C"/>
    <w:rsid w:val="6BEA4587"/>
    <w:rsid w:val="6BF17577"/>
    <w:rsid w:val="6BF302FF"/>
    <w:rsid w:val="6BF62E0C"/>
    <w:rsid w:val="6BFC7753"/>
    <w:rsid w:val="6BFF58F6"/>
    <w:rsid w:val="6C1A0D74"/>
    <w:rsid w:val="6C22550C"/>
    <w:rsid w:val="6C334082"/>
    <w:rsid w:val="6C6626E3"/>
    <w:rsid w:val="6C662C4E"/>
    <w:rsid w:val="6C6B6D88"/>
    <w:rsid w:val="6C6E2AEC"/>
    <w:rsid w:val="6C762D8F"/>
    <w:rsid w:val="6C782A69"/>
    <w:rsid w:val="6C8E114B"/>
    <w:rsid w:val="6CA312CD"/>
    <w:rsid w:val="6CBA10CF"/>
    <w:rsid w:val="6CDB2174"/>
    <w:rsid w:val="6CE20B7D"/>
    <w:rsid w:val="6CEF77DA"/>
    <w:rsid w:val="6CF62758"/>
    <w:rsid w:val="6D3163D3"/>
    <w:rsid w:val="6D34441D"/>
    <w:rsid w:val="6D3B47A6"/>
    <w:rsid w:val="6D483DE7"/>
    <w:rsid w:val="6D5B5F2B"/>
    <w:rsid w:val="6D7664AF"/>
    <w:rsid w:val="6D8C5F9F"/>
    <w:rsid w:val="6D8F609F"/>
    <w:rsid w:val="6DCE79C6"/>
    <w:rsid w:val="6DD51CD2"/>
    <w:rsid w:val="6DF47F72"/>
    <w:rsid w:val="6E03169E"/>
    <w:rsid w:val="6E093526"/>
    <w:rsid w:val="6E0B43ED"/>
    <w:rsid w:val="6E0F0FDE"/>
    <w:rsid w:val="6E1B3F67"/>
    <w:rsid w:val="6E202BC7"/>
    <w:rsid w:val="6E2223C1"/>
    <w:rsid w:val="6E690C17"/>
    <w:rsid w:val="6E783EED"/>
    <w:rsid w:val="6E7D56A3"/>
    <w:rsid w:val="6E9E6DE2"/>
    <w:rsid w:val="6EAD44BB"/>
    <w:rsid w:val="6EB47DBF"/>
    <w:rsid w:val="6ECC2F07"/>
    <w:rsid w:val="6EE06106"/>
    <w:rsid w:val="6EF729AB"/>
    <w:rsid w:val="6F0E2317"/>
    <w:rsid w:val="6F105BA0"/>
    <w:rsid w:val="6F321767"/>
    <w:rsid w:val="6F655E08"/>
    <w:rsid w:val="6F9E422F"/>
    <w:rsid w:val="6F9F02B2"/>
    <w:rsid w:val="6FC27461"/>
    <w:rsid w:val="6FC71D13"/>
    <w:rsid w:val="6FDB5ED8"/>
    <w:rsid w:val="6FDF692D"/>
    <w:rsid w:val="70004EC4"/>
    <w:rsid w:val="70054296"/>
    <w:rsid w:val="702F6F1D"/>
    <w:rsid w:val="708176D1"/>
    <w:rsid w:val="70A40561"/>
    <w:rsid w:val="70D03517"/>
    <w:rsid w:val="70D46B74"/>
    <w:rsid w:val="70E43CE1"/>
    <w:rsid w:val="710F1327"/>
    <w:rsid w:val="71273FA1"/>
    <w:rsid w:val="714F6A24"/>
    <w:rsid w:val="7152183E"/>
    <w:rsid w:val="715F3DE9"/>
    <w:rsid w:val="71A34F9A"/>
    <w:rsid w:val="71CB289A"/>
    <w:rsid w:val="72245008"/>
    <w:rsid w:val="7224755A"/>
    <w:rsid w:val="722F3BEC"/>
    <w:rsid w:val="72346A12"/>
    <w:rsid w:val="72537A2C"/>
    <w:rsid w:val="727123A3"/>
    <w:rsid w:val="727644F9"/>
    <w:rsid w:val="727A5785"/>
    <w:rsid w:val="72A539E6"/>
    <w:rsid w:val="72E6405E"/>
    <w:rsid w:val="730048C9"/>
    <w:rsid w:val="731A55B0"/>
    <w:rsid w:val="73511E13"/>
    <w:rsid w:val="738E738B"/>
    <w:rsid w:val="73A159D5"/>
    <w:rsid w:val="73EB2712"/>
    <w:rsid w:val="73FD4900"/>
    <w:rsid w:val="740013BE"/>
    <w:rsid w:val="744317E0"/>
    <w:rsid w:val="74450F3F"/>
    <w:rsid w:val="745665A3"/>
    <w:rsid w:val="746F221E"/>
    <w:rsid w:val="746F4466"/>
    <w:rsid w:val="74711172"/>
    <w:rsid w:val="74800DE0"/>
    <w:rsid w:val="74850FA3"/>
    <w:rsid w:val="74BE27A9"/>
    <w:rsid w:val="74C306D0"/>
    <w:rsid w:val="74E1117E"/>
    <w:rsid w:val="74E73999"/>
    <w:rsid w:val="75000F70"/>
    <w:rsid w:val="752141B2"/>
    <w:rsid w:val="75307DA8"/>
    <w:rsid w:val="75337673"/>
    <w:rsid w:val="756273A8"/>
    <w:rsid w:val="756375D4"/>
    <w:rsid w:val="7578061A"/>
    <w:rsid w:val="75800318"/>
    <w:rsid w:val="758B51E5"/>
    <w:rsid w:val="7594786A"/>
    <w:rsid w:val="75952B4B"/>
    <w:rsid w:val="75A91B7B"/>
    <w:rsid w:val="75C41747"/>
    <w:rsid w:val="75F3613A"/>
    <w:rsid w:val="75F46F2C"/>
    <w:rsid w:val="76087A16"/>
    <w:rsid w:val="763F7892"/>
    <w:rsid w:val="7674730B"/>
    <w:rsid w:val="76804280"/>
    <w:rsid w:val="7683775D"/>
    <w:rsid w:val="769210FB"/>
    <w:rsid w:val="769C3384"/>
    <w:rsid w:val="76B61368"/>
    <w:rsid w:val="76C30678"/>
    <w:rsid w:val="76F06858"/>
    <w:rsid w:val="7713302C"/>
    <w:rsid w:val="77136A2D"/>
    <w:rsid w:val="773F00B5"/>
    <w:rsid w:val="77445D1A"/>
    <w:rsid w:val="776F655D"/>
    <w:rsid w:val="778911F3"/>
    <w:rsid w:val="778F6DA7"/>
    <w:rsid w:val="77944D4C"/>
    <w:rsid w:val="77991202"/>
    <w:rsid w:val="77A271B3"/>
    <w:rsid w:val="77AD1753"/>
    <w:rsid w:val="77AF5682"/>
    <w:rsid w:val="77CB5AC9"/>
    <w:rsid w:val="77FF023F"/>
    <w:rsid w:val="78194131"/>
    <w:rsid w:val="782112B1"/>
    <w:rsid w:val="782C408D"/>
    <w:rsid w:val="7879346A"/>
    <w:rsid w:val="78C651E8"/>
    <w:rsid w:val="78C718E2"/>
    <w:rsid w:val="78DB0A49"/>
    <w:rsid w:val="78DC57A0"/>
    <w:rsid w:val="78F2466F"/>
    <w:rsid w:val="79132357"/>
    <w:rsid w:val="792B1401"/>
    <w:rsid w:val="793C03C5"/>
    <w:rsid w:val="79474056"/>
    <w:rsid w:val="79650D4B"/>
    <w:rsid w:val="79BB424A"/>
    <w:rsid w:val="79C40F42"/>
    <w:rsid w:val="79C91C92"/>
    <w:rsid w:val="79CE6679"/>
    <w:rsid w:val="79E716F6"/>
    <w:rsid w:val="7A0A576D"/>
    <w:rsid w:val="7A0B5E51"/>
    <w:rsid w:val="7A110017"/>
    <w:rsid w:val="7A343FE5"/>
    <w:rsid w:val="7A557FF1"/>
    <w:rsid w:val="7A5D0C82"/>
    <w:rsid w:val="7A715F12"/>
    <w:rsid w:val="7AA349F6"/>
    <w:rsid w:val="7AA900A0"/>
    <w:rsid w:val="7ACD61FF"/>
    <w:rsid w:val="7B007056"/>
    <w:rsid w:val="7B266055"/>
    <w:rsid w:val="7B2F5EA3"/>
    <w:rsid w:val="7B4F0952"/>
    <w:rsid w:val="7B5A473A"/>
    <w:rsid w:val="7B5C4060"/>
    <w:rsid w:val="7B616243"/>
    <w:rsid w:val="7B963FEE"/>
    <w:rsid w:val="7BA851CF"/>
    <w:rsid w:val="7BB54910"/>
    <w:rsid w:val="7BB61BF2"/>
    <w:rsid w:val="7BCC7612"/>
    <w:rsid w:val="7BD5542D"/>
    <w:rsid w:val="7BD63BC4"/>
    <w:rsid w:val="7BE01F2B"/>
    <w:rsid w:val="7BF13B58"/>
    <w:rsid w:val="7C1C212F"/>
    <w:rsid w:val="7C2A1290"/>
    <w:rsid w:val="7C5108ED"/>
    <w:rsid w:val="7C630007"/>
    <w:rsid w:val="7C637794"/>
    <w:rsid w:val="7C6B2BEC"/>
    <w:rsid w:val="7C7E0507"/>
    <w:rsid w:val="7C872DCE"/>
    <w:rsid w:val="7C8D4593"/>
    <w:rsid w:val="7C9C6253"/>
    <w:rsid w:val="7CA22103"/>
    <w:rsid w:val="7CB264CD"/>
    <w:rsid w:val="7CC54136"/>
    <w:rsid w:val="7CCC3AF7"/>
    <w:rsid w:val="7CFF4D5A"/>
    <w:rsid w:val="7D142945"/>
    <w:rsid w:val="7D1F324E"/>
    <w:rsid w:val="7D300344"/>
    <w:rsid w:val="7D5C1D3A"/>
    <w:rsid w:val="7D812EA1"/>
    <w:rsid w:val="7D8D0E31"/>
    <w:rsid w:val="7D90016A"/>
    <w:rsid w:val="7D9508F0"/>
    <w:rsid w:val="7DA80BC8"/>
    <w:rsid w:val="7DAC507A"/>
    <w:rsid w:val="7DBE0AFF"/>
    <w:rsid w:val="7DC01F88"/>
    <w:rsid w:val="7DD16438"/>
    <w:rsid w:val="7DE35A22"/>
    <w:rsid w:val="7DEB0C97"/>
    <w:rsid w:val="7DFE49EC"/>
    <w:rsid w:val="7E05110C"/>
    <w:rsid w:val="7E102E1B"/>
    <w:rsid w:val="7E2B7079"/>
    <w:rsid w:val="7E306B12"/>
    <w:rsid w:val="7E3C241E"/>
    <w:rsid w:val="7E5019F3"/>
    <w:rsid w:val="7E6C1950"/>
    <w:rsid w:val="7E8A5090"/>
    <w:rsid w:val="7EA05EF0"/>
    <w:rsid w:val="7F0238CB"/>
    <w:rsid w:val="7F083A85"/>
    <w:rsid w:val="7F09056F"/>
    <w:rsid w:val="7F100237"/>
    <w:rsid w:val="7F4740EE"/>
    <w:rsid w:val="7F4805E0"/>
    <w:rsid w:val="7FA45A43"/>
    <w:rsid w:val="7FA93127"/>
    <w:rsid w:val="7FB02405"/>
    <w:rsid w:val="7FB165F7"/>
    <w:rsid w:val="7FB47FBA"/>
    <w:rsid w:val="7FC84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next w:val="4"/>
    <w:link w:val="49"/>
    <w:qFormat/>
    <w:uiPriority w:val="0"/>
    <w:pPr>
      <w:spacing w:line="400" w:lineRule="exact"/>
      <w:ind w:firstLine="515"/>
    </w:pPr>
    <w:rPr>
      <w:rFonts w:ascii="楷体_GB2312" w:eastAsia="楷体_GB2312"/>
      <w:b/>
      <w:bCs/>
      <w:kern w:val="0"/>
      <w:sz w:val="24"/>
    </w:rPr>
  </w:style>
  <w:style w:type="paragraph" w:styleId="4">
    <w:name w:val="envelope return"/>
    <w:basedOn w:val="1"/>
    <w:qFormat/>
    <w:uiPriority w:val="0"/>
    <w:pPr>
      <w:snapToGrid w:val="0"/>
    </w:pPr>
    <w:rPr>
      <w:rFonts w:ascii="Arial" w:hAnsi="Arial"/>
    </w:rPr>
  </w:style>
  <w:style w:type="paragraph" w:styleId="7">
    <w:name w:val="Document Map"/>
    <w:basedOn w:val="1"/>
    <w:link w:val="47"/>
    <w:qFormat/>
    <w:uiPriority w:val="0"/>
    <w:pPr>
      <w:shd w:val="clear" w:color="auto" w:fill="000080"/>
    </w:pPr>
    <w:rPr>
      <w:kern w:val="0"/>
      <w:sz w:val="20"/>
    </w:rPr>
  </w:style>
  <w:style w:type="paragraph" w:styleId="8">
    <w:name w:val="annotation text"/>
    <w:basedOn w:val="1"/>
    <w:qFormat/>
    <w:uiPriority w:val="0"/>
    <w:pPr>
      <w:jc w:val="left"/>
    </w:pPr>
  </w:style>
  <w:style w:type="paragraph" w:styleId="9">
    <w:name w:val="Body Text"/>
    <w:basedOn w:val="1"/>
    <w:link w:val="42"/>
    <w:qFormat/>
    <w:uiPriority w:val="0"/>
    <w:pPr>
      <w:spacing w:after="120"/>
    </w:pPr>
    <w:rPr>
      <w:rFonts w:asciiTheme="minorHAnsi" w:hAnsiTheme="minorHAnsi" w:eastAsiaTheme="minorEastAsia" w:cstheme="minorBidi"/>
    </w:rPr>
  </w:style>
  <w:style w:type="paragraph" w:styleId="10">
    <w:name w:val="Block Text"/>
    <w:basedOn w:val="1"/>
    <w:qFormat/>
    <w:uiPriority w:val="99"/>
    <w:pPr>
      <w:spacing w:after="120"/>
      <w:ind w:left="1440" w:leftChars="700" w:right="1440" w:rightChars="700"/>
    </w:pPr>
  </w:style>
  <w:style w:type="paragraph" w:styleId="11">
    <w:name w:val="Plain Text"/>
    <w:basedOn w:val="1"/>
    <w:link w:val="48"/>
    <w:qFormat/>
    <w:uiPriority w:val="0"/>
    <w:rPr>
      <w:rFonts w:ascii="宋体" w:hAnsi="Courier New"/>
      <w:kern w:val="0"/>
      <w:sz w:val="20"/>
      <w:szCs w:val="21"/>
    </w:rPr>
  </w:style>
  <w:style w:type="paragraph" w:styleId="12">
    <w:name w:val="Date"/>
    <w:basedOn w:val="1"/>
    <w:next w:val="1"/>
    <w:link w:val="43"/>
    <w:qFormat/>
    <w:uiPriority w:val="0"/>
    <w:pPr>
      <w:ind w:left="100" w:leftChars="2500"/>
    </w:pPr>
    <w:rPr>
      <w:kern w:val="0"/>
      <w:sz w:val="28"/>
    </w:rPr>
  </w:style>
  <w:style w:type="paragraph" w:styleId="13">
    <w:name w:val="Body Text Indent 2"/>
    <w:basedOn w:val="1"/>
    <w:link w:val="46"/>
    <w:qFormat/>
    <w:uiPriority w:val="0"/>
    <w:pPr>
      <w:spacing w:line="400" w:lineRule="exact"/>
      <w:ind w:left="-1" w:firstLine="480" w:firstLineChars="200"/>
    </w:pPr>
    <w:rPr>
      <w:rFonts w:ascii="楷体_GB2312" w:eastAsia="楷体_GB2312"/>
      <w:kern w:val="0"/>
      <w:sz w:val="24"/>
    </w:rPr>
  </w:style>
  <w:style w:type="paragraph" w:styleId="14">
    <w:name w:val="Balloon Text"/>
    <w:basedOn w:val="1"/>
    <w:link w:val="44"/>
    <w:qFormat/>
    <w:uiPriority w:val="0"/>
    <w:rPr>
      <w:kern w:val="0"/>
      <w:sz w:val="18"/>
      <w:szCs w:val="18"/>
    </w:rPr>
  </w:style>
  <w:style w:type="paragraph" w:styleId="15">
    <w:name w:val="footer"/>
    <w:basedOn w:val="1"/>
    <w:link w:val="39"/>
    <w:unhideWhenUsed/>
    <w:qFormat/>
    <w:uiPriority w:val="99"/>
    <w:pPr>
      <w:tabs>
        <w:tab w:val="center" w:pos="4153"/>
        <w:tab w:val="right" w:pos="8306"/>
      </w:tabs>
      <w:snapToGrid w:val="0"/>
      <w:jc w:val="left"/>
    </w:pPr>
    <w:rPr>
      <w:sz w:val="18"/>
      <w:szCs w:val="18"/>
    </w:rPr>
  </w:style>
  <w:style w:type="paragraph" w:styleId="16">
    <w:name w:val="header"/>
    <w:basedOn w:val="1"/>
    <w:link w:val="38"/>
    <w:unhideWhenUsed/>
    <w:qFormat/>
    <w:uiPriority w:val="99"/>
    <w:pPr>
      <w:tabs>
        <w:tab w:val="center" w:pos="4153"/>
        <w:tab w:val="right" w:pos="8306"/>
      </w:tabs>
      <w:snapToGrid w:val="0"/>
      <w:jc w:val="center"/>
    </w:pPr>
    <w:rPr>
      <w:sz w:val="18"/>
      <w:szCs w:val="18"/>
    </w:rPr>
  </w:style>
  <w:style w:type="paragraph" w:styleId="17">
    <w:name w:val="Body Text Indent 3"/>
    <w:basedOn w:val="1"/>
    <w:link w:val="50"/>
    <w:qFormat/>
    <w:uiPriority w:val="0"/>
    <w:pPr>
      <w:spacing w:line="440" w:lineRule="exact"/>
      <w:ind w:firstLine="540"/>
    </w:pPr>
    <w:rPr>
      <w:rFonts w:ascii="楷体_GB2312" w:eastAsia="楷体_GB2312"/>
      <w:bCs/>
      <w:kern w:val="0"/>
      <w:sz w:val="24"/>
    </w:rPr>
  </w:style>
  <w:style w:type="paragraph" w:styleId="18">
    <w:name w:val="toc 2"/>
    <w:basedOn w:val="1"/>
    <w:next w:val="1"/>
    <w:qFormat/>
    <w:uiPriority w:val="0"/>
    <w:pPr>
      <w:ind w:left="420" w:leftChars="200"/>
    </w:pPr>
    <w:rPr>
      <w:rFonts w:ascii="宋体"/>
      <w:b/>
      <w:sz w:val="28"/>
      <w:szCs w:val="20"/>
    </w:rPr>
  </w:style>
  <w:style w:type="paragraph" w:styleId="19">
    <w:name w:val="HTML Preformatted"/>
    <w:basedOn w:val="1"/>
    <w:link w:val="5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basedOn w:val="23"/>
    <w:qFormat/>
    <w:uiPriority w:val="22"/>
  </w:style>
  <w:style w:type="character" w:styleId="25">
    <w:name w:val="page number"/>
    <w:basedOn w:val="23"/>
    <w:qFormat/>
    <w:uiPriority w:val="0"/>
  </w:style>
  <w:style w:type="character" w:styleId="26">
    <w:name w:val="FollowedHyperlink"/>
    <w:basedOn w:val="23"/>
    <w:qFormat/>
    <w:uiPriority w:val="0"/>
    <w:rPr>
      <w:color w:val="555555"/>
      <w:u w:val="none"/>
    </w:rPr>
  </w:style>
  <w:style w:type="character" w:styleId="27">
    <w:name w:val="Emphasis"/>
    <w:basedOn w:val="23"/>
    <w:qFormat/>
    <w:uiPriority w:val="20"/>
  </w:style>
  <w:style w:type="character" w:styleId="28">
    <w:name w:val="HTML Definition"/>
    <w:basedOn w:val="23"/>
    <w:semiHidden/>
    <w:unhideWhenUsed/>
    <w:qFormat/>
    <w:uiPriority w:val="99"/>
  </w:style>
  <w:style w:type="character" w:styleId="29">
    <w:name w:val="HTML Typewriter"/>
    <w:basedOn w:val="23"/>
    <w:semiHidden/>
    <w:unhideWhenUsed/>
    <w:qFormat/>
    <w:uiPriority w:val="99"/>
    <w:rPr>
      <w:rFonts w:hint="default" w:ascii="monospace" w:hAnsi="monospace" w:eastAsia="monospace" w:cs="monospace"/>
      <w:sz w:val="20"/>
    </w:rPr>
  </w:style>
  <w:style w:type="character" w:styleId="30">
    <w:name w:val="HTML Acronym"/>
    <w:basedOn w:val="23"/>
    <w:semiHidden/>
    <w:unhideWhenUsed/>
    <w:qFormat/>
    <w:uiPriority w:val="99"/>
  </w:style>
  <w:style w:type="character" w:styleId="31">
    <w:name w:val="HTML Variable"/>
    <w:basedOn w:val="23"/>
    <w:semiHidden/>
    <w:unhideWhenUsed/>
    <w:qFormat/>
    <w:uiPriority w:val="99"/>
  </w:style>
  <w:style w:type="character" w:styleId="32">
    <w:name w:val="Hyperlink"/>
    <w:basedOn w:val="23"/>
    <w:qFormat/>
    <w:uiPriority w:val="0"/>
    <w:rPr>
      <w:color w:val="555555"/>
      <w:u w:val="none"/>
    </w:rPr>
  </w:style>
  <w:style w:type="character" w:styleId="33">
    <w:name w:val="HTML Code"/>
    <w:basedOn w:val="23"/>
    <w:semiHidden/>
    <w:unhideWhenUsed/>
    <w:qFormat/>
    <w:uiPriority w:val="99"/>
    <w:rPr>
      <w:rFonts w:hint="default" w:ascii="monospace" w:hAnsi="monospace" w:eastAsia="monospace" w:cs="monospace"/>
      <w:sz w:val="20"/>
    </w:rPr>
  </w:style>
  <w:style w:type="character" w:styleId="34">
    <w:name w:val="annotation reference"/>
    <w:qFormat/>
    <w:uiPriority w:val="0"/>
    <w:rPr>
      <w:sz w:val="21"/>
      <w:szCs w:val="21"/>
    </w:rPr>
  </w:style>
  <w:style w:type="character" w:styleId="35">
    <w:name w:val="HTML Cite"/>
    <w:basedOn w:val="23"/>
    <w:semiHidden/>
    <w:unhideWhenUsed/>
    <w:qFormat/>
    <w:uiPriority w:val="99"/>
  </w:style>
  <w:style w:type="character" w:styleId="36">
    <w:name w:val="HTML Keyboard"/>
    <w:basedOn w:val="23"/>
    <w:semiHidden/>
    <w:unhideWhenUsed/>
    <w:qFormat/>
    <w:uiPriority w:val="99"/>
    <w:rPr>
      <w:rFonts w:hint="default" w:ascii="monospace" w:hAnsi="monospace" w:eastAsia="monospace" w:cs="monospace"/>
      <w:sz w:val="20"/>
    </w:rPr>
  </w:style>
  <w:style w:type="character" w:styleId="37">
    <w:name w:val="HTML Sample"/>
    <w:basedOn w:val="23"/>
    <w:semiHidden/>
    <w:unhideWhenUsed/>
    <w:qFormat/>
    <w:uiPriority w:val="99"/>
    <w:rPr>
      <w:rFonts w:ascii="monospace" w:hAnsi="monospace" w:eastAsia="monospace" w:cs="monospace"/>
    </w:rPr>
  </w:style>
  <w:style w:type="character" w:customStyle="1" w:styleId="38">
    <w:name w:val="页眉 Char"/>
    <w:basedOn w:val="23"/>
    <w:link w:val="16"/>
    <w:qFormat/>
    <w:uiPriority w:val="99"/>
    <w:rPr>
      <w:rFonts w:ascii="Times New Roman" w:hAnsi="Times New Roman" w:eastAsia="宋体" w:cs="Times New Roman"/>
      <w:sz w:val="18"/>
      <w:szCs w:val="18"/>
    </w:rPr>
  </w:style>
  <w:style w:type="character" w:customStyle="1" w:styleId="39">
    <w:name w:val="页脚 Char"/>
    <w:basedOn w:val="23"/>
    <w:link w:val="15"/>
    <w:qFormat/>
    <w:uiPriority w:val="99"/>
    <w:rPr>
      <w:sz w:val="18"/>
      <w:szCs w:val="18"/>
    </w:rPr>
  </w:style>
  <w:style w:type="character" w:customStyle="1" w:styleId="40">
    <w:name w:val="正文文本 Char"/>
    <w:qFormat/>
    <w:uiPriority w:val="0"/>
    <w:rPr>
      <w:szCs w:val="24"/>
    </w:rPr>
  </w:style>
  <w:style w:type="paragraph" w:styleId="41">
    <w:name w:val="List Paragraph"/>
    <w:basedOn w:val="1"/>
    <w:qFormat/>
    <w:uiPriority w:val="34"/>
    <w:pPr>
      <w:ind w:firstLine="420" w:firstLineChars="200"/>
    </w:pPr>
  </w:style>
  <w:style w:type="character" w:customStyle="1" w:styleId="42">
    <w:name w:val="正文文本 Char1"/>
    <w:basedOn w:val="23"/>
    <w:link w:val="9"/>
    <w:semiHidden/>
    <w:qFormat/>
    <w:uiPriority w:val="99"/>
    <w:rPr>
      <w:rFonts w:ascii="Times New Roman" w:hAnsi="Times New Roman" w:eastAsia="宋体" w:cs="Times New Roman"/>
      <w:szCs w:val="24"/>
    </w:rPr>
  </w:style>
  <w:style w:type="character" w:customStyle="1" w:styleId="43">
    <w:name w:val="日期 Char"/>
    <w:basedOn w:val="23"/>
    <w:link w:val="12"/>
    <w:qFormat/>
    <w:uiPriority w:val="0"/>
    <w:rPr>
      <w:rFonts w:ascii="Times New Roman" w:hAnsi="Times New Roman" w:eastAsia="宋体" w:cs="Times New Roman"/>
      <w:kern w:val="0"/>
      <w:sz w:val="28"/>
      <w:szCs w:val="24"/>
    </w:rPr>
  </w:style>
  <w:style w:type="character" w:customStyle="1" w:styleId="44">
    <w:name w:val="批注框文本 Char"/>
    <w:basedOn w:val="23"/>
    <w:link w:val="14"/>
    <w:qFormat/>
    <w:uiPriority w:val="0"/>
    <w:rPr>
      <w:rFonts w:ascii="Times New Roman" w:hAnsi="Times New Roman" w:eastAsia="宋体" w:cs="Times New Roman"/>
      <w:kern w:val="0"/>
      <w:sz w:val="18"/>
      <w:szCs w:val="18"/>
    </w:rPr>
  </w:style>
  <w:style w:type="paragraph" w:customStyle="1" w:styleId="45">
    <w:name w:val="_Style 9"/>
    <w:basedOn w:val="1"/>
    <w:next w:val="11"/>
    <w:qFormat/>
    <w:uiPriority w:val="0"/>
    <w:rPr>
      <w:rFonts w:ascii="宋体" w:hAnsi="Courier New"/>
      <w:szCs w:val="21"/>
    </w:rPr>
  </w:style>
  <w:style w:type="character" w:customStyle="1" w:styleId="46">
    <w:name w:val="正文文本缩进 2 Char"/>
    <w:basedOn w:val="23"/>
    <w:link w:val="13"/>
    <w:qFormat/>
    <w:uiPriority w:val="0"/>
    <w:rPr>
      <w:rFonts w:ascii="楷体_GB2312" w:hAnsi="Times New Roman" w:eastAsia="楷体_GB2312" w:cs="Times New Roman"/>
      <w:kern w:val="0"/>
      <w:sz w:val="24"/>
      <w:szCs w:val="24"/>
    </w:rPr>
  </w:style>
  <w:style w:type="character" w:customStyle="1" w:styleId="47">
    <w:name w:val="文档结构图 Char"/>
    <w:basedOn w:val="23"/>
    <w:link w:val="7"/>
    <w:qFormat/>
    <w:uiPriority w:val="0"/>
    <w:rPr>
      <w:rFonts w:ascii="Times New Roman" w:hAnsi="Times New Roman" w:eastAsia="宋体" w:cs="Times New Roman"/>
      <w:kern w:val="0"/>
      <w:sz w:val="20"/>
      <w:szCs w:val="24"/>
      <w:shd w:val="clear" w:color="auto" w:fill="000080"/>
    </w:rPr>
  </w:style>
  <w:style w:type="character" w:customStyle="1" w:styleId="48">
    <w:name w:val="纯文本 Char"/>
    <w:basedOn w:val="23"/>
    <w:link w:val="11"/>
    <w:qFormat/>
    <w:uiPriority w:val="0"/>
    <w:rPr>
      <w:rFonts w:ascii="宋体" w:hAnsi="Courier New" w:eastAsia="宋体" w:cs="Times New Roman"/>
      <w:kern w:val="0"/>
      <w:sz w:val="20"/>
      <w:szCs w:val="21"/>
    </w:rPr>
  </w:style>
  <w:style w:type="character" w:customStyle="1" w:styleId="49">
    <w:name w:val="正文文本缩进 Char"/>
    <w:basedOn w:val="23"/>
    <w:link w:val="3"/>
    <w:qFormat/>
    <w:uiPriority w:val="0"/>
    <w:rPr>
      <w:rFonts w:ascii="楷体_GB2312" w:hAnsi="Times New Roman" w:eastAsia="楷体_GB2312" w:cs="Times New Roman"/>
      <w:b/>
      <w:bCs/>
      <w:kern w:val="0"/>
      <w:sz w:val="24"/>
      <w:szCs w:val="24"/>
    </w:rPr>
  </w:style>
  <w:style w:type="character" w:customStyle="1" w:styleId="50">
    <w:name w:val="正文文本缩进 3 Char"/>
    <w:basedOn w:val="23"/>
    <w:link w:val="17"/>
    <w:qFormat/>
    <w:uiPriority w:val="0"/>
    <w:rPr>
      <w:rFonts w:ascii="楷体_GB2312" w:hAnsi="Times New Roman" w:eastAsia="楷体_GB2312" w:cs="Times New Roman"/>
      <w:bCs/>
      <w:kern w:val="0"/>
      <w:sz w:val="24"/>
      <w:szCs w:val="24"/>
    </w:rPr>
  </w:style>
  <w:style w:type="character" w:customStyle="1" w:styleId="51">
    <w:name w:val="HTML 预设格式 Char"/>
    <w:basedOn w:val="23"/>
    <w:link w:val="19"/>
    <w:qFormat/>
    <w:uiPriority w:val="0"/>
    <w:rPr>
      <w:rFonts w:ascii="黑体" w:hAnsi="Courier New" w:eastAsia="黑体" w:cs="Times New Roman"/>
      <w:kern w:val="0"/>
      <w:sz w:val="20"/>
      <w:szCs w:val="20"/>
    </w:rPr>
  </w:style>
  <w:style w:type="paragraph" w:customStyle="1" w:styleId="52">
    <w:name w:val="Char Char Char7"/>
    <w:basedOn w:val="1"/>
    <w:qFormat/>
    <w:uiPriority w:val="0"/>
    <w:rPr>
      <w:rFonts w:ascii="仿宋_GB2312" w:eastAsia="仿宋_GB2312" w:cs="仿宋_GB2312"/>
      <w:b/>
      <w:bCs/>
      <w:sz w:val="32"/>
      <w:szCs w:val="32"/>
    </w:rPr>
  </w:style>
  <w:style w:type="paragraph" w:customStyle="1" w:styleId="5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54">
    <w:name w:val="font11"/>
    <w:basedOn w:val="23"/>
    <w:qFormat/>
    <w:uiPriority w:val="0"/>
    <w:rPr>
      <w:rFonts w:hint="eastAsia" w:ascii="宋体" w:hAnsi="宋体" w:eastAsia="宋体" w:cs="宋体"/>
      <w:color w:val="000000"/>
      <w:sz w:val="20"/>
      <w:szCs w:val="20"/>
      <w:u w:val="none"/>
    </w:rPr>
  </w:style>
  <w:style w:type="character" w:customStyle="1" w:styleId="55">
    <w:name w:val="font01"/>
    <w:basedOn w:val="23"/>
    <w:qFormat/>
    <w:uiPriority w:val="0"/>
    <w:rPr>
      <w:rFonts w:hint="eastAsia" w:ascii="宋体" w:hAnsi="宋体" w:eastAsia="宋体" w:cs="宋体"/>
      <w:color w:val="000000"/>
      <w:sz w:val="22"/>
      <w:szCs w:val="22"/>
      <w:u w:val="none"/>
    </w:rPr>
  </w:style>
  <w:style w:type="paragraph" w:customStyle="1" w:styleId="56">
    <w:name w:val="正文文本首行缩进 21"/>
    <w:basedOn w:val="57"/>
    <w:qFormat/>
    <w:uiPriority w:val="0"/>
    <w:pPr>
      <w:spacing w:after="120" w:line="240" w:lineRule="auto"/>
      <w:ind w:left="420" w:leftChars="200" w:firstLine="420" w:firstLineChars="200"/>
    </w:pPr>
    <w:rPr>
      <w:sz w:val="21"/>
    </w:rPr>
  </w:style>
  <w:style w:type="paragraph" w:customStyle="1" w:styleId="57">
    <w:name w:val="正文文本缩进1"/>
    <w:basedOn w:val="1"/>
    <w:next w:val="58"/>
    <w:qFormat/>
    <w:uiPriority w:val="0"/>
    <w:pPr>
      <w:spacing w:line="400" w:lineRule="exact"/>
      <w:ind w:firstLine="515"/>
    </w:pPr>
    <w:rPr>
      <w:rFonts w:ascii="楷体_GB2312" w:eastAsia="楷体_GB2312"/>
      <w:b/>
      <w:bCs/>
      <w:kern w:val="0"/>
      <w:sz w:val="24"/>
    </w:rPr>
  </w:style>
  <w:style w:type="paragraph" w:customStyle="1" w:styleId="58">
    <w:name w:val="寄信人地址1"/>
    <w:basedOn w:val="1"/>
    <w:qFormat/>
    <w:uiPriority w:val="0"/>
    <w:pPr>
      <w:snapToGrid w:val="0"/>
    </w:pPr>
    <w:rPr>
      <w:rFonts w:ascii="Arial" w:hAnsi="Arial"/>
    </w:rPr>
  </w:style>
  <w:style w:type="character" w:customStyle="1" w:styleId="59">
    <w:name w:val="font31"/>
    <w:basedOn w:val="23"/>
    <w:qFormat/>
    <w:uiPriority w:val="0"/>
    <w:rPr>
      <w:rFonts w:hint="eastAsia" w:ascii="宋体" w:hAnsi="宋体" w:eastAsia="宋体" w:cs="宋体"/>
      <w:color w:val="000000"/>
      <w:sz w:val="22"/>
      <w:szCs w:val="22"/>
      <w:u w:val="none"/>
    </w:rPr>
  </w:style>
  <w:style w:type="character" w:customStyle="1" w:styleId="60">
    <w:name w:val="未处理的提及1"/>
    <w:basedOn w:val="23"/>
    <w:semiHidden/>
    <w:unhideWhenUsed/>
    <w:qFormat/>
    <w:uiPriority w:val="99"/>
    <w:rPr>
      <w:color w:val="605E5C"/>
      <w:shd w:val="clear" w:color="auto" w:fill="E1DFDD"/>
    </w:rPr>
  </w:style>
  <w:style w:type="paragraph" w:customStyle="1" w:styleId="61">
    <w:name w:val="Body Text First Indent 21"/>
    <w:basedOn w:val="62"/>
    <w:qFormat/>
    <w:uiPriority w:val="0"/>
    <w:pPr>
      <w:spacing w:line="240" w:lineRule="auto"/>
      <w:ind w:left="420" w:leftChars="200" w:firstLine="420" w:firstLineChars="200"/>
    </w:pPr>
    <w:rPr>
      <w:sz w:val="21"/>
    </w:rPr>
  </w:style>
  <w:style w:type="paragraph" w:customStyle="1" w:styleId="62">
    <w:name w:val="Body Text Indent1"/>
    <w:basedOn w:val="1"/>
    <w:next w:val="63"/>
    <w:qFormat/>
    <w:uiPriority w:val="0"/>
    <w:pPr>
      <w:spacing w:line="400" w:lineRule="exact"/>
      <w:ind w:firstLine="515"/>
    </w:pPr>
    <w:rPr>
      <w:rFonts w:ascii="楷体_GB2312" w:eastAsia="楷体_GB2312"/>
      <w:b/>
      <w:bCs/>
      <w:kern w:val="0"/>
      <w:sz w:val="24"/>
    </w:rPr>
  </w:style>
  <w:style w:type="paragraph" w:customStyle="1" w:styleId="63">
    <w:name w:val="envelope return1"/>
    <w:basedOn w:val="1"/>
    <w:qFormat/>
    <w:uiPriority w:val="0"/>
    <w:pPr>
      <w:snapToGrid w:val="0"/>
    </w:pPr>
    <w:rPr>
      <w:rFonts w:ascii="Arial" w:hAnsi="Arial"/>
    </w:rPr>
  </w:style>
  <w:style w:type="character" w:customStyle="1" w:styleId="64">
    <w:name w:val="NormalCharacter"/>
    <w:qFormat/>
    <w:uiPriority w:val="0"/>
  </w:style>
  <w:style w:type="character" w:customStyle="1" w:styleId="65">
    <w:name w:val="hover"/>
    <w:basedOn w:val="23"/>
    <w:qFormat/>
    <w:uiPriority w:val="0"/>
    <w:rPr>
      <w:shd w:val="clear" w:fill="EEEEEE"/>
    </w:rPr>
  </w:style>
  <w:style w:type="character" w:customStyle="1" w:styleId="66">
    <w:name w:val="old"/>
    <w:basedOn w:val="23"/>
    <w:qFormat/>
    <w:uiPriority w:val="0"/>
    <w:rPr>
      <w:color w:val="999999"/>
    </w:rPr>
  </w:style>
  <w:style w:type="character" w:customStyle="1" w:styleId="67">
    <w:name w:val="glyphicon"/>
    <w:basedOn w:val="23"/>
    <w:qFormat/>
    <w:uiPriority w:val="0"/>
  </w:style>
  <w:style w:type="character" w:customStyle="1" w:styleId="68">
    <w:name w:val="hour_am"/>
    <w:basedOn w:val="23"/>
    <w:qFormat/>
    <w:uiPriority w:val="0"/>
  </w:style>
  <w:style w:type="character" w:customStyle="1" w:styleId="69">
    <w:name w:val="hour_pm"/>
    <w:basedOn w:val="23"/>
    <w:qFormat/>
    <w:uiPriority w:val="0"/>
  </w:style>
  <w:style w:type="character" w:customStyle="1" w:styleId="70">
    <w:name w:val="font81"/>
    <w:basedOn w:val="23"/>
    <w:qFormat/>
    <w:uiPriority w:val="0"/>
    <w:rPr>
      <w:rFonts w:hint="eastAsia" w:ascii="宋体" w:hAnsi="宋体" w:eastAsia="宋体" w:cs="宋体"/>
      <w:b/>
      <w:color w:val="000000"/>
      <w:sz w:val="24"/>
      <w:szCs w:val="24"/>
      <w:u w:val="single"/>
    </w:rPr>
  </w:style>
  <w:style w:type="character" w:customStyle="1" w:styleId="71">
    <w:name w:val="font21"/>
    <w:qFormat/>
    <w:uiPriority w:val="0"/>
    <w:rPr>
      <w:rFonts w:hint="eastAsia" w:ascii="宋体" w:hAnsi="宋体" w:eastAsia="宋体" w:cs="宋体"/>
      <w:b/>
      <w:color w:val="000000"/>
      <w:sz w:val="24"/>
      <w:szCs w:val="24"/>
      <w:u w:val="none"/>
    </w:rPr>
  </w:style>
  <w:style w:type="character" w:customStyle="1" w:styleId="72">
    <w:name w:val="font61"/>
    <w:basedOn w:val="23"/>
    <w:qFormat/>
    <w:uiPriority w:val="0"/>
    <w:rPr>
      <w:rFonts w:hint="eastAsia" w:ascii="宋体" w:hAnsi="宋体" w:eastAsia="宋体" w:cs="宋体"/>
      <w:b/>
      <w:bCs/>
      <w:color w:val="000000"/>
      <w:sz w:val="16"/>
      <w:szCs w:val="16"/>
      <w:u w:val="none"/>
    </w:rPr>
  </w:style>
  <w:style w:type="character" w:customStyle="1" w:styleId="73">
    <w:name w:val="font71"/>
    <w:basedOn w:val="23"/>
    <w:qFormat/>
    <w:uiPriority w:val="0"/>
    <w:rPr>
      <w:rFonts w:hint="eastAsia" w:ascii="宋体" w:hAnsi="宋体" w:eastAsia="宋体" w:cs="宋体"/>
      <w:color w:val="000000"/>
      <w:sz w:val="16"/>
      <w:szCs w:val="16"/>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0BF1EA1-8AE8-41C1-AA44-1E10AD6E3B7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26007</Words>
  <Characters>27372</Characters>
  <Lines>194</Lines>
  <Paragraphs>54</Paragraphs>
  <TotalTime>14</TotalTime>
  <ScaleCrop>false</ScaleCrop>
  <LinksUpToDate>false</LinksUpToDate>
  <CharactersWithSpaces>28117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Samsung</cp:lastModifiedBy>
  <cp:lastPrinted>2022-03-30T01:06:00Z</cp:lastPrinted>
  <dcterms:modified xsi:type="dcterms:W3CDTF">2024-07-22T11:20:39Z</dcterms:modified>
  <cp:revision>441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A636508D31FB4F10BCD16AAF684EBEF8_13</vt:lpwstr>
  </property>
</Properties>
</file>