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1"/>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ascii="宋体" w:hAnsi="宋体" w:cs="宋体"/>
          <w:b/>
          <w:sz w:val="36"/>
        </w:rPr>
      </w:pPr>
      <w:r>
        <w:rPr>
          <w:rStyle w:val="47"/>
          <w:rFonts w:hint="eastAsia" w:ascii="宋体" w:hAnsi="宋体" w:cs="宋体"/>
          <w:b/>
          <w:sz w:val="36"/>
        </w:rPr>
        <w:t>项目编号：2023-024W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hint="eastAsia" w:ascii="宋体" w:hAnsi="宋体" w:eastAsia="宋体" w:cs="宋体"/>
          <w:b/>
          <w:sz w:val="30"/>
          <w:szCs w:val="30"/>
          <w:lang w:eastAsia="zh-CN"/>
        </w:rPr>
      </w:pPr>
      <w:r>
        <w:rPr>
          <w:rStyle w:val="47"/>
          <w:rFonts w:hint="eastAsia" w:ascii="宋体" w:hAnsi="宋体" w:cs="宋体"/>
          <w:b/>
          <w:sz w:val="36"/>
          <w:szCs w:val="36"/>
        </w:rPr>
        <w:t>项目名称：盐城工业职业技术学院WEB应用防火墙</w:t>
      </w:r>
    </w:p>
    <w:p>
      <w:pPr>
        <w:pStyle w:val="21"/>
        <w:ind w:firstLine="0" w:firstLineChars="0"/>
        <w:rPr>
          <w:rStyle w:val="47"/>
          <w:rFonts w:cs="宋体"/>
          <w:b/>
          <w:sz w:val="32"/>
          <w:szCs w:val="21"/>
        </w:rPr>
      </w:pPr>
    </w:p>
    <w:p>
      <w:pPr>
        <w:pStyle w:val="21"/>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2"/>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2023年</w:t>
      </w:r>
      <w:r>
        <w:rPr>
          <w:rStyle w:val="47"/>
          <w:rFonts w:hint="eastAsia" w:ascii="宋体" w:hAnsi="宋体" w:cs="宋体"/>
          <w:sz w:val="36"/>
          <w:szCs w:val="36"/>
          <w:lang w:val="en-US" w:eastAsia="zh-CN"/>
        </w:rPr>
        <w:t>9</w:t>
      </w:r>
      <w:r>
        <w:rPr>
          <w:rStyle w:val="47"/>
          <w:rFonts w:hint="eastAsia" w:ascii="宋体" w:hAnsi="宋体" w:cs="宋体"/>
          <w:sz w:val="36"/>
          <w:szCs w:val="36"/>
        </w:rPr>
        <w:t>月</w:t>
      </w:r>
      <w:r>
        <w:rPr>
          <w:rStyle w:val="47"/>
          <w:rFonts w:hint="eastAsia" w:ascii="宋体" w:hAnsi="宋体" w:cs="宋体"/>
          <w:sz w:val="36"/>
          <w:szCs w:val="36"/>
          <w:lang w:val="en-US" w:eastAsia="zh-CN"/>
        </w:rPr>
        <w:t>15</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8"/>
      </w:pPr>
    </w:p>
    <w:p>
      <w:pPr>
        <w:pStyle w:val="21"/>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t>5</w:t>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t>1</w:t>
          </w:r>
          <w:r>
            <w:rPr>
              <w:rFonts w:hint="eastAsia" w:ascii="宋体" w:hAnsi="宋体" w:cs="宋体"/>
              <w:sz w:val="36"/>
              <w:szCs w:val="36"/>
            </w:rPr>
            <w:fldChar w:fldCharType="end"/>
          </w:r>
          <w:r>
            <w:rPr>
              <w:rFonts w:hint="eastAsia" w:ascii="宋体" w:hAnsi="宋体" w:cs="宋体"/>
              <w:sz w:val="36"/>
              <w:szCs w:val="36"/>
            </w:rPr>
            <w:t>7</w:t>
          </w:r>
        </w:p>
        <w:p>
          <w:pPr>
            <w:pStyle w:val="162"/>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1</w:t>
          </w:r>
        </w:p>
        <w:p>
          <w:pPr>
            <w:pStyle w:val="162"/>
            <w:tabs>
              <w:tab w:val="right" w:leader="dot" w:pos="8953"/>
            </w:tabs>
            <w:rPr>
              <w:rFonts w:ascii="宋体" w:hAnsi="宋体" w:cs="宋体"/>
              <w:sz w:val="36"/>
              <w:szCs w:val="36"/>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5</w:t>
          </w:r>
        </w:p>
        <w:p>
          <w:pPr>
            <w:pStyle w:val="162"/>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8</w:t>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rPr>
        <w:t>盐城工业职业技术学院WEB应用防火墙</w:t>
      </w:r>
      <w:r>
        <w:rPr>
          <w:rStyle w:val="47"/>
          <w:rFonts w:hint="eastAsia" w:ascii="宋体" w:hAnsi="宋体" w:eastAsia="宋体" w:cs="宋体"/>
          <w:b/>
          <w:bCs/>
          <w:sz w:val="32"/>
          <w:szCs w:val="32"/>
          <w:lang w:eastAsia="zh-CN"/>
        </w:rPr>
        <w:t>（</w:t>
      </w:r>
      <w:r>
        <w:rPr>
          <w:rStyle w:val="47"/>
          <w:rFonts w:hint="eastAsia" w:ascii="宋体" w:hAnsi="宋体" w:eastAsia="宋体" w:cs="宋体"/>
          <w:b/>
          <w:bCs/>
          <w:sz w:val="32"/>
          <w:szCs w:val="32"/>
          <w:lang w:val="en-US" w:eastAsia="zh-CN"/>
        </w:rPr>
        <w:t>二次</w:t>
      </w:r>
      <w:r>
        <w:rPr>
          <w:rStyle w:val="47"/>
          <w:rFonts w:hint="eastAsia" w:ascii="宋体" w:hAnsi="宋体" w:eastAsia="宋体" w:cs="宋体"/>
          <w:b/>
          <w:bCs/>
          <w:sz w:val="32"/>
          <w:szCs w:val="32"/>
          <w:lang w:eastAsia="zh-CN"/>
        </w:rPr>
        <w:t>）</w:t>
      </w:r>
      <w:r>
        <w:rPr>
          <w:rStyle w:val="47"/>
          <w:rFonts w:hint="eastAsia" w:ascii="宋体" w:hAnsi="宋体" w:eastAsia="宋体" w:cs="宋体"/>
          <w:b/>
          <w:bCs/>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rPr>
        <w:t>盐城工业职业技术学院WEB应用防火墙</w:t>
      </w:r>
      <w:r>
        <w:rPr>
          <w:rStyle w:val="47"/>
          <w:rFonts w:hint="eastAsia" w:ascii="宋体" w:hAnsi="宋体" w:cs="宋体"/>
          <w:bCs/>
          <w:sz w:val="24"/>
          <w:szCs w:val="24"/>
        </w:rPr>
        <w:t>招标项目的潜在投标人应在“</w:t>
      </w:r>
      <w:r>
        <w:rPr>
          <w:rStyle w:val="47"/>
          <w:rFonts w:hint="eastAsia" w:ascii="宋体" w:hAnsi="宋体"/>
          <w:bCs/>
          <w:sz w:val="24"/>
          <w:szCs w:val="24"/>
          <w:u w:val="single"/>
        </w:rPr>
        <w:t>盐城工业职业技术学院招标采购网</w:t>
      </w:r>
      <w:r>
        <w:rPr>
          <w:rStyle w:val="47"/>
          <w:rFonts w:hint="eastAsia" w:ascii="宋体" w:hAnsi="宋体" w:cs="宋体"/>
          <w:bCs/>
          <w:sz w:val="24"/>
          <w:szCs w:val="24"/>
          <w:u w:val="single"/>
        </w:rPr>
        <w:t>”</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2023</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10</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8</w:t>
      </w:r>
      <w:r>
        <w:rPr>
          <w:rStyle w:val="47"/>
          <w:rFonts w:hint="eastAsia" w:ascii="宋体" w:hAnsi="宋体" w:cs="宋体"/>
          <w:bCs/>
          <w:sz w:val="24"/>
          <w:szCs w:val="24"/>
          <w:u w:val="single" w:color="000000"/>
        </w:rPr>
        <w:t>日9点00分（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项目编号：</w:t>
      </w:r>
      <w:r>
        <w:rPr>
          <w:rStyle w:val="47"/>
          <w:rFonts w:hint="eastAsia" w:ascii="宋体" w:hAnsi="宋体" w:cs="宋体"/>
          <w:sz w:val="24"/>
          <w:szCs w:val="24"/>
          <w:u w:val="single"/>
        </w:rPr>
        <w:t>2023-024W</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项目名称：</w:t>
      </w:r>
      <w:r>
        <w:rPr>
          <w:rStyle w:val="47"/>
          <w:rFonts w:hint="eastAsia" w:ascii="宋体" w:hAnsi="宋体" w:cs="宋体"/>
          <w:sz w:val="24"/>
          <w:szCs w:val="24"/>
          <w:u w:val="single"/>
        </w:rPr>
        <w:t>盐城工业职业技术学院WEB应用防火墙</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eastAsia="zh-CN"/>
        </w:rPr>
        <w:t>29.5万元。</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rPr>
        <w:t>盐城工业职业技术学院WEB应用防火墙的</w:t>
      </w:r>
      <w:r>
        <w:rPr>
          <w:rStyle w:val="47"/>
          <w:rFonts w:hint="eastAsia" w:ascii="宋体" w:hAnsi="宋体" w:cs="宋体"/>
          <w:color w:val="000000" w:themeColor="text1"/>
          <w:sz w:val="24"/>
          <w:szCs w:val="24"/>
          <w:u w:val="single"/>
          <w14:textFill>
            <w14:solidFill>
              <w14:schemeClr w14:val="tx1"/>
            </w14:solidFill>
          </w14:textFill>
        </w:rPr>
        <w:t>采购、安装及就位、调试、维保、售前、售后等相关伴随服务，具体产品名称、数量、规格及技术参数等以招标文件为准，采购人保留对上述采购规模进行调整的权利。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w:t>
      </w:r>
      <w:r>
        <w:rPr>
          <w:rStyle w:val="47"/>
          <w:rFonts w:ascii="宋体" w:hAnsi="宋体" w:cs="宋体"/>
          <w:sz w:val="24"/>
          <w:szCs w:val="24"/>
          <w:u w:val="single"/>
        </w:rPr>
        <w:t>30</w:t>
      </w:r>
      <w:r>
        <w:rPr>
          <w:rStyle w:val="47"/>
          <w:rFonts w:hint="eastAsia" w:ascii="宋体" w:hAnsi="宋体" w:cs="宋体"/>
          <w:sz w:val="24"/>
          <w:szCs w:val="24"/>
          <w:u w:val="single"/>
        </w:rPr>
        <w:t>个日历天内完成全部内容的服务工作（如甲方需要延时交付，可另行约定时间）。</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3.本项目的特定资格要求：</w:t>
      </w:r>
    </w:p>
    <w:p>
      <w:pPr>
        <w:spacing w:line="460" w:lineRule="exact"/>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w:t>
      </w:r>
      <w:r>
        <w:rPr>
          <w:rStyle w:val="47"/>
          <w:rFonts w:hint="eastAsia" w:ascii="宋体" w:hAnsi="宋体"/>
          <w:sz w:val="24"/>
          <w:szCs w:val="24"/>
        </w:rPr>
        <w:t>2</w:t>
      </w:r>
      <w:r>
        <w:rPr>
          <w:rStyle w:val="47"/>
          <w:rFonts w:ascii="宋体" w:hAnsi="宋体"/>
          <w:sz w:val="24"/>
          <w:szCs w:val="24"/>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三、获取招标文件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报名时间及地点：本公告发布后凡具备上述资格条件，并自愿参加本项目投标的投标人应于2023年</w:t>
      </w:r>
      <w:r>
        <w:rPr>
          <w:rFonts w:hint="eastAsia" w:ascii="宋体" w:hAnsi="宋体" w:cs="宋体"/>
          <w:bCs/>
          <w:sz w:val="24"/>
          <w:szCs w:val="24"/>
          <w:lang w:val="en-US" w:eastAsia="zh-CN"/>
        </w:rPr>
        <w:t>9</w:t>
      </w:r>
      <w:r>
        <w:rPr>
          <w:rFonts w:hint="eastAsia" w:ascii="宋体" w:hAnsi="宋体" w:cs="宋体"/>
          <w:bCs/>
          <w:sz w:val="24"/>
          <w:szCs w:val="24"/>
        </w:rPr>
        <w:t>月</w:t>
      </w:r>
      <w:r>
        <w:rPr>
          <w:rFonts w:hint="eastAsia" w:ascii="宋体" w:hAnsi="宋体" w:cs="宋体"/>
          <w:bCs/>
          <w:sz w:val="24"/>
          <w:szCs w:val="24"/>
          <w:lang w:val="en-US" w:eastAsia="zh-CN"/>
        </w:rPr>
        <w:t>15</w:t>
      </w:r>
      <w:r>
        <w:rPr>
          <w:rFonts w:hint="eastAsia" w:ascii="宋体" w:hAnsi="宋体" w:cs="宋体"/>
          <w:bCs/>
          <w:sz w:val="24"/>
          <w:szCs w:val="24"/>
        </w:rPr>
        <w:t>日至2023年9月</w:t>
      </w:r>
      <w:r>
        <w:rPr>
          <w:rFonts w:hint="eastAsia" w:ascii="宋体" w:hAnsi="宋体" w:cs="宋体"/>
          <w:bCs/>
          <w:sz w:val="24"/>
          <w:szCs w:val="24"/>
          <w:lang w:val="en-US" w:eastAsia="zh-CN"/>
        </w:rPr>
        <w:t>27</w:t>
      </w:r>
      <w:r>
        <w:rPr>
          <w:rFonts w:hint="eastAsia" w:ascii="宋体" w:hAnsi="宋体" w:cs="宋体"/>
          <w:bCs/>
          <w:sz w:val="24"/>
          <w:szCs w:val="24"/>
        </w:rPr>
        <w:t>日委派本单位正式人员携带单位介绍信或授权委托书扫描件至我单位或添加微信（微信号:13305104722）购买招标文件，逾期的不予接收。</w:t>
      </w:r>
      <w:bookmarkStart w:id="63" w:name="_GoBack"/>
      <w:bookmarkEnd w:id="63"/>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时间：2023</w:t>
      </w:r>
      <w:r>
        <w:rPr>
          <w:rStyle w:val="47"/>
          <w:rFonts w:hint="eastAsia" w:ascii="宋体" w:hAnsi="宋体" w:cs="宋体"/>
          <w:bCs/>
          <w:sz w:val="24"/>
          <w:szCs w:val="24"/>
        </w:rPr>
        <w:t>年</w:t>
      </w:r>
      <w:r>
        <w:rPr>
          <w:rStyle w:val="47"/>
          <w:rFonts w:hint="eastAsia" w:ascii="宋体" w:hAnsi="宋体" w:cs="宋体"/>
          <w:bCs/>
          <w:sz w:val="24"/>
          <w:szCs w:val="24"/>
          <w:lang w:val="en-US" w:eastAsia="zh-CN"/>
        </w:rPr>
        <w:t>10</w:t>
      </w:r>
      <w:r>
        <w:rPr>
          <w:rStyle w:val="47"/>
          <w:rFonts w:hint="eastAsia" w:ascii="宋体" w:hAnsi="宋体" w:cs="宋体"/>
          <w:bCs/>
          <w:sz w:val="24"/>
          <w:szCs w:val="24"/>
        </w:rPr>
        <w:t>月</w:t>
      </w:r>
      <w:r>
        <w:rPr>
          <w:rStyle w:val="47"/>
          <w:rFonts w:hint="eastAsia" w:ascii="宋体" w:hAnsi="宋体" w:cs="宋体"/>
          <w:bCs/>
          <w:sz w:val="24"/>
          <w:szCs w:val="24"/>
          <w:lang w:val="en-US" w:eastAsia="zh-CN"/>
        </w:rPr>
        <w:t>8</w:t>
      </w:r>
      <w:r>
        <w:rPr>
          <w:rStyle w:val="47"/>
          <w:rFonts w:hint="eastAsia" w:ascii="宋体" w:hAnsi="宋体" w:cs="宋体"/>
          <w:bCs/>
          <w:sz w:val="24"/>
          <w:szCs w:val="24"/>
        </w:rPr>
        <w:t>日9点00分</w:t>
      </w:r>
      <w:r>
        <w:rPr>
          <w:rStyle w:val="47"/>
          <w:rFonts w:hint="eastAsia" w:ascii="宋体" w:hAnsi="宋体" w:cs="宋体"/>
          <w:sz w:val="24"/>
          <w:szCs w:val="24"/>
        </w:rPr>
        <w:t>（北京时间）</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w:t>
      </w:r>
      <w:r>
        <w:rPr>
          <w:rStyle w:val="4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地址：盐城市华邦国际东厦16楼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联系人：陈先生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w:t>
      </w:r>
      <w:r>
        <w:rPr>
          <w:rFonts w:hint="eastAsia" w:ascii="宋体" w:hAnsi="宋体" w:cs="宋体"/>
          <w:bCs/>
          <w:sz w:val="24"/>
        </w:rPr>
        <w:t>13305104722</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项目联系人：李老师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联系电话：13921815951</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2"/>
        <w:ind w:left="1470" w:right="1470"/>
        <w:rPr>
          <w:rStyle w:val="47"/>
          <w:rFonts w:ascii="宋体" w:hAnsi="宋体" w:cs="宋体"/>
          <w:sz w:val="24"/>
          <w:szCs w:val="24"/>
        </w:rPr>
      </w:pPr>
    </w:p>
    <w:p>
      <w:pPr>
        <w:pStyle w:val="38"/>
        <w:spacing w:before="0" w:after="0" w:line="240" w:lineRule="auto"/>
        <w:jc w:val="both"/>
        <w:outlineLvl w:val="0"/>
        <w:rPr>
          <w:rStyle w:val="47"/>
          <w:rFonts w:ascii="宋体" w:hAnsi="宋体" w:eastAsia="宋体" w:cs="宋体"/>
        </w:rPr>
      </w:pPr>
      <w:bookmarkStart w:id="1" w:name="_Toc21663"/>
    </w:p>
    <w:p>
      <w:pPr>
        <w:pStyle w:val="39"/>
        <w:rPr>
          <w:rStyle w:val="47"/>
          <w:rFonts w:ascii="宋体" w:hAnsi="宋体" w:cs="宋体"/>
        </w:rPr>
      </w:pPr>
    </w:p>
    <w:p>
      <w:pPr>
        <w:pStyle w:val="39"/>
        <w:rPr>
          <w:rStyle w:val="47"/>
          <w:rFonts w:ascii="宋体" w:hAnsi="宋体" w:cs="宋体"/>
        </w:rPr>
      </w:pPr>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7"/>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
      <w:pPr>
        <w:pStyle w:val="37"/>
        <w:outlineLvl w:val="0"/>
        <w:rPr>
          <w:rStyle w:val="47"/>
          <w:rFonts w:ascii="宋体" w:hAnsi="宋体" w:eastAsia="宋体" w:cs="宋体"/>
          <w:b/>
          <w:sz w:val="44"/>
        </w:rPr>
      </w:pPr>
    </w:p>
    <w:p>
      <w:pPr>
        <w:pStyle w:val="37"/>
        <w:jc w:val="both"/>
        <w:outlineLvl w:val="0"/>
        <w:rPr>
          <w:rStyle w:val="47"/>
          <w:rFonts w:ascii="宋体" w:hAnsi="宋体" w:eastAsia="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rPr>
          <w:rStyle w:val="47"/>
          <w:rFonts w:ascii="宋体" w:hAnsi="宋体" w:cs="宋体"/>
          <w:b/>
          <w:sz w:val="44"/>
        </w:rPr>
      </w:pPr>
    </w:p>
    <w:p>
      <w:pPr>
        <w:rPr>
          <w:rStyle w:val="47"/>
          <w:rFonts w:ascii="宋体" w:hAnsi="宋体" w:cs="宋体"/>
          <w:b/>
          <w:sz w:val="44"/>
        </w:rPr>
      </w:pPr>
    </w:p>
    <w:p>
      <w:pPr>
        <w:pStyle w:val="8"/>
      </w:pPr>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采购合同（货物格式）</w:t>
      </w:r>
    </w:p>
    <w:p>
      <w:pPr>
        <w:pStyle w:val="73"/>
        <w:snapToGrid w:val="0"/>
        <w:spacing w:line="420" w:lineRule="exact"/>
        <w:ind w:firstLine="480" w:firstLineChars="200"/>
        <w:jc w:val="left"/>
        <w:rPr>
          <w:rStyle w:val="47"/>
          <w:rFonts w:hAnsi="宋体"/>
          <w:sz w:val="24"/>
          <w:szCs w:val="24"/>
          <w:u w:val="single" w:color="000000"/>
        </w:rPr>
      </w:pPr>
      <w:r>
        <w:rPr>
          <w:rStyle w:val="47"/>
          <w:rFonts w:hAnsi="宋体"/>
          <w:sz w:val="24"/>
          <w:szCs w:val="24"/>
        </w:rPr>
        <w:t>项目名称：</w:t>
      </w:r>
      <w:r>
        <w:rPr>
          <w:rStyle w:val="47"/>
          <w:rFonts w:hint="eastAsia" w:hAnsi="宋体"/>
          <w:sz w:val="24"/>
          <w:szCs w:val="24"/>
          <w:u w:val="single" w:color="000000"/>
        </w:rPr>
        <w:t>盐城工业职业技术学院WEB应用防火墙</w:t>
      </w:r>
    </w:p>
    <w:p>
      <w:pPr>
        <w:pStyle w:val="73"/>
        <w:snapToGrid w:val="0"/>
        <w:spacing w:line="420" w:lineRule="exact"/>
        <w:ind w:firstLine="480" w:firstLineChars="200"/>
        <w:jc w:val="left"/>
        <w:rPr>
          <w:rStyle w:val="47"/>
          <w:rFonts w:hAnsi="宋体"/>
          <w:sz w:val="24"/>
          <w:szCs w:val="24"/>
        </w:rPr>
      </w:pPr>
      <w:r>
        <w:rPr>
          <w:rStyle w:val="47"/>
          <w:rFonts w:hAnsi="宋体"/>
          <w:sz w:val="24"/>
          <w:szCs w:val="24"/>
        </w:rPr>
        <w:t>项目编号：</w:t>
      </w:r>
      <w:r>
        <w:rPr>
          <w:rStyle w:val="47"/>
          <w:rFonts w:hint="eastAsia" w:hAnsi="宋体"/>
          <w:sz w:val="24"/>
          <w:szCs w:val="24"/>
          <w:u w:val="single"/>
        </w:rPr>
        <w:t>2023-024W</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rPr>
        <w:t>盐城工业职业技术学院WEB应用防火墙</w:t>
      </w:r>
      <w:r>
        <w:rPr>
          <w:rStyle w:val="47"/>
          <w:rFonts w:ascii="宋体" w:hAnsi="宋体"/>
          <w:sz w:val="24"/>
          <w:szCs w:val="24"/>
        </w:rPr>
        <w:t>公开招标的结果，签署本合同。</w:t>
      </w:r>
    </w:p>
    <w:p>
      <w:pPr>
        <w:pStyle w:val="19"/>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19"/>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19"/>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19"/>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19"/>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质保期：提供</w:t>
      </w:r>
      <w:r>
        <w:rPr>
          <w:rFonts w:hint="eastAsia"/>
          <w:color w:val="000000" w:themeColor="text1"/>
          <w:kern w:val="2"/>
          <w:u w:val="single"/>
          <w14:textFill>
            <w14:solidFill>
              <w14:schemeClr w14:val="tx1"/>
            </w14:solidFill>
          </w14:textFill>
        </w:rPr>
        <w:t xml:space="preserve"> 五 </w:t>
      </w:r>
      <w:r>
        <w:rPr>
          <w:rFonts w:hint="eastAsia"/>
          <w:color w:val="000000" w:themeColor="text1"/>
          <w:kern w:val="2"/>
          <w14:textFill>
            <w14:solidFill>
              <w14:schemeClr w14:val="tx1"/>
            </w14:solidFill>
          </w14:textFill>
        </w:rPr>
        <w:t>年免费质保及免费升级（具体以投标时承诺为准）。（自交货验收合格之日起计）</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质保期内设备内置系统不限版本不限次数免费升级和维护。</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8.3、中标人须设有维修服务电话，负责解答用户在设备使用中遇到的问题，及时提出解决问题的建议和操作方法。</w:t>
      </w:r>
    </w:p>
    <w:p>
      <w:pPr>
        <w:pStyle w:val="19"/>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8.4、售后服务响应时间：如设备出现故障，电话响应无法解决，中标人必须在接报修电话24 小时到现场并解决问题。</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9.1交货期:在签订合同后30个日历天内完成全部内容的服务工作（如甲方需要延时交付，可另行约定时间）。</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10.1付款方式:招招标范围内容全部完成并经安装调试、培训结束，验收合格后首次付款总价的30%；一年后支付总价的65%，质保期满后根据售后服务情况付总价的5%。</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19"/>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12.3如在使用过程中发生质量问题，乙方在接到甲方通知后在24小时内到达甲方现场。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19"/>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19"/>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19"/>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adjustRightInd w:val="0"/>
        <w:snapToGrid w:val="0"/>
        <w:spacing w:line="360" w:lineRule="auto"/>
        <w:ind w:firstLine="482" w:firstLineChars="200"/>
        <w:rPr>
          <w:rFonts w:ascii="宋体" w:hAnsi="宋体" w:cs="宋体"/>
          <w:b/>
          <w:bCs/>
          <w:color w:val="000000" w:themeColor="text1"/>
          <w:sz w:val="24"/>
          <w:szCs w:val="24"/>
          <w14:textFill>
            <w14:solidFill>
              <w14:schemeClr w14:val="tx1"/>
            </w14:solidFill>
          </w14:textFill>
        </w:rPr>
      </w:pPr>
      <w:bookmarkStart w:id="6" w:name="_Toc32259"/>
    </w:p>
    <w:p>
      <w:pPr>
        <w:pStyle w:val="19"/>
        <w:spacing w:before="0" w:beforeAutospacing="0" w:after="0" w:afterAutospacing="0"/>
        <w:rPr>
          <w:b/>
          <w:bCs/>
          <w:sz w:val="28"/>
          <w:szCs w:val="28"/>
        </w:rPr>
      </w:pPr>
      <w:r>
        <w:rPr>
          <w:rFonts w:hint="eastAsia"/>
          <w:b/>
          <w:bCs/>
          <w:sz w:val="28"/>
          <w:szCs w:val="28"/>
        </w:rPr>
        <w:t>一、采购清单</w:t>
      </w:r>
    </w:p>
    <w:tbl>
      <w:tblPr>
        <w:tblStyle w:val="2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793"/>
        <w:gridCol w:w="6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52" w:type="dxa"/>
            <w:vAlign w:val="center"/>
          </w:tcPr>
          <w:p>
            <w:pPr>
              <w:jc w:val="center"/>
              <w:rPr>
                <w:rFonts w:ascii="宋体" w:hAnsi="宋体"/>
                <w:b/>
                <w:sz w:val="24"/>
              </w:rPr>
            </w:pPr>
            <w:r>
              <w:rPr>
                <w:rFonts w:hint="eastAsia" w:ascii="宋体" w:hAnsi="宋体"/>
                <w:b/>
                <w:sz w:val="24"/>
              </w:rPr>
              <w:t>名称</w:t>
            </w:r>
          </w:p>
        </w:tc>
        <w:tc>
          <w:tcPr>
            <w:tcW w:w="793" w:type="dxa"/>
            <w:vAlign w:val="center"/>
          </w:tcPr>
          <w:p>
            <w:pPr>
              <w:jc w:val="center"/>
              <w:rPr>
                <w:rFonts w:ascii="宋体" w:hAnsi="宋体"/>
                <w:b/>
                <w:sz w:val="24"/>
              </w:rPr>
            </w:pPr>
            <w:r>
              <w:rPr>
                <w:rFonts w:hint="eastAsia" w:ascii="宋体" w:hAnsi="宋体"/>
                <w:b/>
                <w:sz w:val="24"/>
              </w:rPr>
              <w:t>数量</w:t>
            </w:r>
          </w:p>
        </w:tc>
        <w:tc>
          <w:tcPr>
            <w:tcW w:w="6739" w:type="dxa"/>
            <w:vAlign w:val="center"/>
          </w:tcPr>
          <w:p>
            <w:pPr>
              <w:jc w:val="center"/>
              <w:rPr>
                <w:rFonts w:ascii="宋体" w:hAnsi="宋体"/>
                <w:b/>
                <w:sz w:val="24"/>
              </w:rPr>
            </w:pPr>
            <w:r>
              <w:rPr>
                <w:rFonts w:hint="eastAsia" w:ascii="宋体" w:hAnsi="宋体"/>
                <w:b/>
                <w:sz w:val="24"/>
              </w:rPr>
              <w:t>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jc w:val="center"/>
        </w:trPr>
        <w:tc>
          <w:tcPr>
            <w:tcW w:w="1452" w:type="dxa"/>
            <w:vAlign w:val="center"/>
          </w:tcPr>
          <w:p>
            <w:pPr>
              <w:jc w:val="center"/>
              <w:rPr>
                <w:sz w:val="24"/>
                <w:szCs w:val="24"/>
              </w:rPr>
            </w:pPr>
            <w:r>
              <w:rPr>
                <w:rFonts w:hint="eastAsia"/>
                <w:sz w:val="24"/>
                <w:szCs w:val="24"/>
              </w:rPr>
              <w:t>Web应用防火墙</w:t>
            </w:r>
          </w:p>
          <w:p>
            <w:pPr>
              <w:jc w:val="center"/>
              <w:rPr>
                <w:sz w:val="24"/>
                <w:szCs w:val="24"/>
              </w:rPr>
            </w:pPr>
          </w:p>
        </w:tc>
        <w:tc>
          <w:tcPr>
            <w:tcW w:w="793" w:type="dxa"/>
            <w:vAlign w:val="center"/>
          </w:tcPr>
          <w:p>
            <w:pPr>
              <w:pStyle w:val="30"/>
              <w:jc w:val="center"/>
            </w:pPr>
            <w:r>
              <w:rPr>
                <w:rFonts w:hint="eastAsia"/>
              </w:rPr>
              <w:t>1台</w:t>
            </w:r>
          </w:p>
        </w:tc>
        <w:tc>
          <w:tcPr>
            <w:tcW w:w="6739" w:type="dxa"/>
            <w:vAlign w:val="center"/>
          </w:tcPr>
          <w:p>
            <w:pPr>
              <w:ind w:firstLine="480" w:firstLineChars="200"/>
              <w:jc w:val="left"/>
              <w:rPr>
                <w:rFonts w:ascii="宋体" w:hAnsi="宋体"/>
                <w:color w:val="FF0000"/>
                <w:sz w:val="24"/>
                <w:szCs w:val="24"/>
              </w:rPr>
            </w:pPr>
            <w:r>
              <w:rPr>
                <w:rFonts w:hint="eastAsia" w:ascii="宋体" w:hAnsi="宋体"/>
                <w:sz w:val="24"/>
                <w:szCs w:val="24"/>
              </w:rPr>
              <w:t>所投设备为国内知名品牌，自主研发，产品为专业的</w:t>
            </w:r>
            <w:r>
              <w:rPr>
                <w:rFonts w:ascii="宋体" w:hAnsi="宋体"/>
                <w:sz w:val="24"/>
                <w:szCs w:val="24"/>
              </w:rPr>
              <w:t>WEB应用防护系统产品，非防火墙、UTM、NGAF等另加WAF模块的产品</w:t>
            </w:r>
            <w:r>
              <w:rPr>
                <w:rFonts w:hint="eastAsia" w:ascii="宋体" w:hAnsi="宋体"/>
                <w:sz w:val="24"/>
                <w:szCs w:val="24"/>
              </w:rPr>
              <w:t>,全内置封闭式结构，具有完全自主知识产权的专用安全操作系统，提供软件著作</w:t>
            </w:r>
            <w:r>
              <w:rPr>
                <w:rFonts w:ascii="宋体" w:hAnsi="宋体"/>
                <w:sz w:val="24"/>
                <w:szCs w:val="24"/>
              </w:rPr>
              <w:t>权</w:t>
            </w:r>
            <w:r>
              <w:rPr>
                <w:rFonts w:hint="eastAsia" w:ascii="宋体" w:hAnsi="宋体"/>
                <w:sz w:val="24"/>
                <w:szCs w:val="24"/>
              </w:rPr>
              <w:t>并</w:t>
            </w:r>
            <w:r>
              <w:rPr>
                <w:rFonts w:ascii="宋体" w:hAnsi="宋体"/>
                <w:sz w:val="24"/>
                <w:szCs w:val="24"/>
              </w:rPr>
              <w:t>加盖</w:t>
            </w:r>
            <w:r>
              <w:rPr>
                <w:rFonts w:hint="eastAsia" w:ascii="宋体" w:hAnsi="宋体"/>
                <w:sz w:val="24"/>
                <w:szCs w:val="24"/>
              </w:rPr>
              <w:t>投</w:t>
            </w:r>
            <w:r>
              <w:rPr>
                <w:rFonts w:ascii="宋体" w:hAnsi="宋体"/>
                <w:sz w:val="24"/>
                <w:szCs w:val="24"/>
              </w:rPr>
              <w:t>标单位公章</w:t>
            </w:r>
            <w:r>
              <w:rPr>
                <w:rFonts w:hint="eastAsia" w:ascii="宋体" w:hAnsi="宋体"/>
                <w:sz w:val="24"/>
                <w:szCs w:val="24"/>
              </w:rPr>
              <w:t>。</w:t>
            </w:r>
          </w:p>
          <w:p>
            <w:pPr>
              <w:rPr>
                <w:rFonts w:ascii="宋体" w:hAnsi="宋体"/>
                <w:sz w:val="24"/>
                <w:szCs w:val="24"/>
              </w:rPr>
            </w:pPr>
            <w:r>
              <w:rPr>
                <w:rFonts w:hint="eastAsia" w:ascii="宋体" w:hAnsi="宋体"/>
                <w:sz w:val="24"/>
                <w:szCs w:val="24"/>
              </w:rPr>
              <w:t>推荐品牌：</w:t>
            </w:r>
            <w:r>
              <w:rPr>
                <w:rFonts w:hint="eastAsia" w:ascii="宋体" w:hAnsi="宋体"/>
                <w:color w:val="000000"/>
                <w:kern w:val="0"/>
                <w:sz w:val="24"/>
                <w:szCs w:val="24"/>
              </w:rPr>
              <w:t>绿盟，启明星辰，奇安信、亚信安全。注：投标产品可以采用推荐品牌以外的其它品牌产品，但其性能参数必须等于或者优于推荐品牌产品。</w:t>
            </w:r>
          </w:p>
        </w:tc>
      </w:tr>
    </w:tbl>
    <w:p>
      <w:pPr>
        <w:spacing w:line="320" w:lineRule="exact"/>
        <w:rPr>
          <w:rFonts w:ascii="宋体" w:hAnsi="宋体" w:cs="宋体"/>
          <w:b/>
          <w:bCs/>
          <w:kern w:val="0"/>
          <w:sz w:val="28"/>
          <w:szCs w:val="28"/>
        </w:rPr>
      </w:pPr>
    </w:p>
    <w:p>
      <w:pPr>
        <w:spacing w:line="320" w:lineRule="exact"/>
        <w:rPr>
          <w:rFonts w:ascii="宋体" w:hAnsi="宋体" w:cs="宋体"/>
          <w:b/>
          <w:bCs/>
          <w:kern w:val="0"/>
          <w:sz w:val="28"/>
          <w:szCs w:val="28"/>
        </w:rPr>
      </w:pPr>
      <w:r>
        <w:rPr>
          <w:rFonts w:hint="eastAsia" w:ascii="宋体" w:hAnsi="宋体" w:cs="宋体"/>
          <w:b/>
          <w:bCs/>
          <w:kern w:val="0"/>
          <w:sz w:val="28"/>
          <w:szCs w:val="28"/>
        </w:rPr>
        <w:t>二、技术参数规格</w:t>
      </w:r>
    </w:p>
    <w:p>
      <w:pPr>
        <w:pStyle w:val="2"/>
        <w:ind w:left="1470" w:right="1470"/>
      </w:pPr>
    </w:p>
    <w:tbl>
      <w:tblPr>
        <w:tblStyle w:val="22"/>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7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Align w:val="center"/>
          </w:tcPr>
          <w:p>
            <w:pPr>
              <w:jc w:val="center"/>
              <w:rPr>
                <w:rFonts w:ascii="宋体" w:hAnsi="宋体" w:cs="Arial"/>
                <w:b/>
                <w:color w:val="000000"/>
                <w:kern w:val="0"/>
                <w:sz w:val="24"/>
                <w:szCs w:val="24"/>
              </w:rPr>
            </w:pPr>
            <w:bookmarkStart w:id="7" w:name="_Hlk140618407"/>
            <w:r>
              <w:rPr>
                <w:rFonts w:hint="eastAsia" w:ascii="宋体" w:hAnsi="宋体" w:cs="Arial"/>
                <w:b/>
                <w:color w:val="000000"/>
                <w:kern w:val="0"/>
                <w:sz w:val="24"/>
                <w:szCs w:val="24"/>
              </w:rPr>
              <w:t>类别</w:t>
            </w:r>
          </w:p>
        </w:tc>
        <w:tc>
          <w:tcPr>
            <w:tcW w:w="7684" w:type="dxa"/>
            <w:vAlign w:val="center"/>
          </w:tcPr>
          <w:p>
            <w:pPr>
              <w:jc w:val="center"/>
              <w:rPr>
                <w:rFonts w:ascii="宋体" w:hAnsi="宋体" w:cs="Arial"/>
                <w:b/>
                <w:color w:val="000000"/>
                <w:kern w:val="0"/>
                <w:sz w:val="24"/>
                <w:szCs w:val="24"/>
              </w:rPr>
            </w:pPr>
            <w:r>
              <w:rPr>
                <w:rFonts w:hint="eastAsia" w:ascii="宋体" w:hAnsi="宋体" w:cs="Arial"/>
                <w:b/>
                <w:color w:val="000000"/>
                <w:kern w:val="0"/>
                <w:sz w:val="24"/>
                <w:szCs w:val="24"/>
              </w:rPr>
              <w:t>详细描述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Align w:val="center"/>
          </w:tcPr>
          <w:p>
            <w:pPr>
              <w:jc w:val="center"/>
              <w:rPr>
                <w:rFonts w:ascii="宋体" w:hAnsi="宋体" w:cs="Arial"/>
                <w:b/>
                <w:color w:val="000000"/>
                <w:kern w:val="0"/>
                <w:sz w:val="24"/>
                <w:szCs w:val="24"/>
              </w:rPr>
            </w:pPr>
            <w:r>
              <w:rPr>
                <w:rFonts w:hint="eastAsia" w:ascii="宋体" w:hAnsi="宋体" w:cs="Arial"/>
                <w:b/>
                <w:color w:val="000000"/>
                <w:kern w:val="0"/>
                <w:sz w:val="24"/>
                <w:szCs w:val="24"/>
              </w:rPr>
              <w:t>设备配置</w:t>
            </w: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★2U,产品必须为标准版机架式W</w:t>
            </w:r>
            <w:r>
              <w:rPr>
                <w:rFonts w:ascii="宋体" w:hAnsi="宋体"/>
                <w:color w:val="000000"/>
                <w:kern w:val="0"/>
                <w:sz w:val="24"/>
                <w:szCs w:val="24"/>
              </w:rPr>
              <w:t>AF</w:t>
            </w:r>
            <w:r>
              <w:rPr>
                <w:rFonts w:hint="eastAsia" w:ascii="宋体" w:hAnsi="宋体"/>
                <w:color w:val="000000"/>
                <w:kern w:val="0"/>
                <w:sz w:val="24"/>
                <w:szCs w:val="24"/>
              </w:rPr>
              <w:t>硬件设备而非软件W</w:t>
            </w:r>
            <w:r>
              <w:rPr>
                <w:rFonts w:ascii="宋体" w:hAnsi="宋体"/>
                <w:color w:val="000000"/>
                <w:kern w:val="0"/>
                <w:sz w:val="24"/>
                <w:szCs w:val="24"/>
              </w:rPr>
              <w:t>AF</w:t>
            </w:r>
            <w:r>
              <w:rPr>
                <w:rFonts w:hint="eastAsia" w:ascii="宋体" w:hAnsi="宋体"/>
                <w:color w:val="000000"/>
                <w:kern w:val="0"/>
                <w:sz w:val="24"/>
                <w:szCs w:val="24"/>
              </w:rPr>
              <w:t>，含交流冗余电源</w:t>
            </w:r>
            <w:r>
              <w:rPr>
                <w:rFonts w:ascii="宋体" w:hAnsi="宋体"/>
                <w:color w:val="000000"/>
                <w:kern w:val="0"/>
                <w:sz w:val="24"/>
                <w:szCs w:val="24"/>
              </w:rPr>
              <w:t>;</w:t>
            </w:r>
            <w:r>
              <w:rPr>
                <w:rFonts w:hint="eastAsia" w:ascii="宋体" w:hAnsi="宋体"/>
                <w:color w:val="000000"/>
                <w:kern w:val="0"/>
                <w:sz w:val="24"/>
                <w:szCs w:val="24"/>
              </w:rPr>
              <w:t>≥2*GE管理口;≥4个千兆光口;≥4个万兆光口; ≥4个万兆单模光模块；≥2个扩展插槽位</w:t>
            </w:r>
            <w:r>
              <w:rPr>
                <w:rFonts w:hint="eastAsia" w:ascii="宋体" w:hAnsi="宋体"/>
                <w:sz w:val="24"/>
                <w:szCs w:val="24"/>
              </w:rPr>
              <w:t>；</w:t>
            </w:r>
            <w:r>
              <w:rPr>
                <w:rFonts w:hint="eastAsia" w:ascii="宋体" w:hAnsi="宋体"/>
                <w:color w:val="000000"/>
                <w:kern w:val="0"/>
                <w:sz w:val="24"/>
                <w:szCs w:val="24"/>
              </w:rPr>
              <w:t>网络层吞吐量≥12Gps;应用层吞吐量≥5Gbps;事务处理能力（TPS）≥80000;</w:t>
            </w:r>
            <w:r>
              <w:rPr>
                <w:rFonts w:hint="eastAsia" w:ascii="宋体" w:hAnsi="宋体"/>
                <w:b/>
                <w:bCs/>
                <w:color w:val="000000" w:themeColor="text1"/>
                <w:kern w:val="0"/>
                <w:sz w:val="24"/>
                <w:szCs w:val="24"/>
                <w14:textFill>
                  <w14:solidFill>
                    <w14:schemeClr w14:val="tx1"/>
                  </w14:solidFill>
                </w14:textFill>
              </w:rPr>
              <w:t>含五年软硬件质保和规则库升级服务。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restart"/>
            <w:vAlign w:val="center"/>
          </w:tcPr>
          <w:p>
            <w:pPr>
              <w:jc w:val="center"/>
              <w:rPr>
                <w:rFonts w:ascii="宋体" w:hAnsi="宋体"/>
                <w:b/>
                <w:color w:val="000000"/>
                <w:kern w:val="0"/>
                <w:sz w:val="24"/>
                <w:szCs w:val="24"/>
              </w:rPr>
            </w:pPr>
            <w:r>
              <w:rPr>
                <w:rFonts w:hint="eastAsia" w:ascii="宋体" w:hAnsi="宋体" w:cs="Arial"/>
                <w:b/>
                <w:color w:val="000000"/>
                <w:kern w:val="0"/>
                <w:sz w:val="24"/>
                <w:szCs w:val="24"/>
              </w:rPr>
              <w:t>部署要求</w:t>
            </w: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支持透明部署，旁路部署，反向代理模式部署模式。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cs="Arial"/>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w:t>
            </w:r>
            <w:r>
              <w:rPr>
                <w:rFonts w:hint="eastAsia" w:ascii="宋体" w:hAnsi="宋体" w:cs="微软雅黑"/>
                <w:color w:val="000000" w:themeColor="text1"/>
                <w:kern w:val="0"/>
                <w:sz w:val="24"/>
                <w:szCs w:val="24"/>
                <w:lang w:bidi="ar"/>
                <w14:textFill>
                  <w14:solidFill>
                    <w14:schemeClr w14:val="tx1"/>
                  </w14:solidFill>
                </w14:textFill>
              </w:rPr>
              <w:t>支持SSL卸载及加载，支持对SSL（HTTPS）加密会话进行分析，SSLv2, SSLv2/v3, SSLv3、TLS1.0\1.1\1.2。</w:t>
            </w:r>
            <w:r>
              <w:rPr>
                <w:rFonts w:hint="eastAsia" w:ascii="宋体" w:hAnsi="宋体"/>
                <w:b/>
                <w:bCs/>
                <w:color w:val="000000" w:themeColor="text1"/>
                <w:kern w:val="0"/>
                <w:sz w:val="24"/>
                <w:szCs w:val="24"/>
                <w14:textFill>
                  <w14:solidFill>
                    <w14:schemeClr w14:val="tx1"/>
                  </w14:solidFill>
                </w14:textFill>
              </w:rPr>
              <w:t>提供截图证明</w:t>
            </w:r>
            <w:r>
              <w:rPr>
                <w:rFonts w:hint="eastAsia" w:ascii="宋体" w:hAnsi="宋体"/>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restart"/>
            <w:vAlign w:val="center"/>
          </w:tcPr>
          <w:p>
            <w:pPr>
              <w:jc w:val="center"/>
              <w:rPr>
                <w:rFonts w:ascii="宋体" w:hAnsi="宋体"/>
                <w:b/>
                <w:color w:val="000000"/>
                <w:kern w:val="0"/>
                <w:sz w:val="24"/>
                <w:szCs w:val="24"/>
              </w:rPr>
            </w:pPr>
            <w:r>
              <w:rPr>
                <w:rFonts w:hint="eastAsia" w:ascii="宋体" w:hAnsi="宋体"/>
                <w:b/>
                <w:color w:val="000000"/>
                <w:kern w:val="0"/>
                <w:sz w:val="24"/>
                <w:szCs w:val="24"/>
              </w:rPr>
              <w:t>防护要求</w:t>
            </w: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支持基于规则和语义分析的检测引擎，提升检测精度。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支持针对主流Web服务器及插件的已知漏洞防护。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s="微软雅黑"/>
                <w:color w:val="000000" w:themeColor="text1"/>
                <w:kern w:val="0"/>
                <w:sz w:val="24"/>
                <w:szCs w:val="24"/>
                <w:lang w:bidi="ar"/>
                <w14:textFill>
                  <w14:solidFill>
                    <w14:schemeClr w14:val="tx1"/>
                  </w14:solidFill>
                </w14:textFill>
              </w:rPr>
              <w:t>支持</w:t>
            </w:r>
            <w:r>
              <w:rPr>
                <w:rFonts w:ascii="宋体" w:hAnsi="宋体" w:cs="微软雅黑"/>
                <w:color w:val="000000" w:themeColor="text1"/>
                <w:kern w:val="0"/>
                <w:sz w:val="24"/>
                <w:szCs w:val="24"/>
                <w:lang w:bidi="ar"/>
                <w14:textFill>
                  <w14:solidFill>
                    <w14:schemeClr w14:val="tx1"/>
                  </w14:solidFill>
                </w14:textFill>
              </w:rPr>
              <w:t>HTTP访问控制功能，可以提供针对HTTP元素和客户端的组合访问控制策略。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支持对注入（包括SQL注入、LDAP注入、XPATH注入及命令行注入）、XSS、SSI指令、路径穿越、远程文件包含、WebShell防护。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s="Arial"/>
                <w:sz w:val="24"/>
                <w:szCs w:val="24"/>
              </w:rPr>
            </w:pPr>
            <w:r>
              <w:rPr>
                <w:rFonts w:hint="eastAsia" w:ascii="宋体" w:hAnsi="宋体" w:cs="Arial"/>
                <w:sz w:val="24"/>
                <w:szCs w:val="24"/>
              </w:rPr>
              <w:t>支持CSRF（跨站请求伪造）防护，并支持WEB2.0 CSRF防护。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支持非法文件上传防护，有效识别文件上传行为，并对上传行为的内容做安全检测，可以根据需要，禁止上传以下文件类型：PE、ELF、PHP web shell、Linux shell、Power shell、Java shell、Asp shell、Perl shell、Python shell及Ruby shell，同时可支持源IP封禁、Session封禁和UA封禁。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支持非法下载防护，可以根据文件大小、MIME类型及文件扩展名灵活定义下载限制策略，限制用户非法获取网站的关键数据（比如数据库文件，配置文件等）。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支持Cookie安全机制，包括Cookie加密和Cookie签名的防护算法。支持过期兼容时间配置。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bookmarkStart w:id="8" w:name="_Hlk6926441"/>
            <w:r>
              <w:rPr>
                <w:rFonts w:hint="eastAsia" w:ascii="宋体" w:hAnsi="宋体"/>
                <w:color w:val="000000"/>
                <w:kern w:val="0"/>
                <w:sz w:val="24"/>
                <w:szCs w:val="24"/>
              </w:rPr>
              <w:t>▲支持扫描防护，应至少包括阈值告警、请求量统计、应答分布统计等防护手段</w:t>
            </w:r>
            <w:bookmarkEnd w:id="8"/>
            <w:r>
              <w:rPr>
                <w:rFonts w:hint="eastAsia" w:ascii="宋体" w:hAnsi="宋体"/>
                <w:color w:val="000000"/>
                <w:kern w:val="0"/>
                <w:sz w:val="24"/>
                <w:szCs w:val="24"/>
              </w:rPr>
              <w:t>。</w:t>
            </w:r>
            <w:r>
              <w:rPr>
                <w:rFonts w:hint="eastAsia" w:ascii="宋体" w:hAnsi="宋体"/>
                <w:b/>
                <w:bCs/>
                <w:color w:val="000000" w:themeColor="text1"/>
                <w:kern w:val="0"/>
                <w:sz w:val="24"/>
                <w:szCs w:val="24"/>
                <w14:textFill>
                  <w14:solidFill>
                    <w14:schemeClr w14:val="tx1"/>
                  </w14:solidFill>
                </w14:textFill>
              </w:rPr>
              <w:t>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▲支持敏感信息过滤，对用户的个人隐私信息（信用卡卡号、手机号、身份证号码）泄露进行检测、阻断或替换。</w:t>
            </w:r>
            <w:r>
              <w:rPr>
                <w:rFonts w:hint="eastAsia" w:ascii="宋体" w:hAnsi="宋体"/>
                <w:b/>
                <w:bCs/>
                <w:color w:val="000000" w:themeColor="text1"/>
                <w:kern w:val="0"/>
                <w:sz w:val="24"/>
                <w:szCs w:val="24"/>
                <w14:textFill>
                  <w14:solidFill>
                    <w14:schemeClr w14:val="tx1"/>
                  </w14:solidFill>
                </w14:textFill>
              </w:rPr>
              <w:t>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▲支持XML防护，包括XML基础校验、Schema校验以及SOAP校验。</w:t>
            </w:r>
            <w:r>
              <w:rPr>
                <w:rFonts w:hint="eastAsia" w:ascii="宋体" w:hAnsi="宋体"/>
                <w:b/>
                <w:bCs/>
                <w:color w:val="000000" w:themeColor="text1"/>
                <w:kern w:val="0"/>
                <w:sz w:val="24"/>
                <w:szCs w:val="24"/>
                <w14:textFill>
                  <w14:solidFill>
                    <w14:schemeClr w14:val="tx1"/>
                  </w14:solidFill>
                </w14:textFill>
              </w:rPr>
              <w:t>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▲支持暴力破解防护，可针对指定URL进行暴力破解防护，支持多种方式的登陆，支持referer检测，支持阈值和检测周期的设置。</w:t>
            </w:r>
            <w:r>
              <w:rPr>
                <w:rFonts w:hint="eastAsia" w:ascii="宋体" w:hAnsi="宋体"/>
                <w:b/>
                <w:bCs/>
                <w:color w:val="000000" w:themeColor="text1"/>
                <w:kern w:val="0"/>
                <w:sz w:val="24"/>
                <w:szCs w:val="24"/>
                <w14:textFill>
                  <w14:solidFill>
                    <w14:schemeClr w14:val="tx1"/>
                  </w14:solidFill>
                </w14:textFill>
              </w:rPr>
              <w:t>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r>
              <w:rPr>
                <w:rFonts w:hint="eastAsia" w:ascii="宋体" w:hAnsi="宋体"/>
                <w:b/>
                <w:color w:val="000000"/>
                <w:kern w:val="0"/>
                <w:sz w:val="24"/>
                <w:szCs w:val="24"/>
              </w:rPr>
              <w:t>11</w:t>
            </w: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支持不少于七种的防护动作，包括了放过、阻断、接受、重定向、伪装、清除和替换。可针对不同安全风险提供多种可选方案。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s="Arial"/>
                <w:sz w:val="24"/>
                <w:szCs w:val="24"/>
              </w:rPr>
            </w:pPr>
            <w:r>
              <w:rPr>
                <w:rFonts w:hint="eastAsia" w:ascii="宋体" w:hAnsi="宋体" w:cs="Arial"/>
                <w:sz w:val="24"/>
                <w:szCs w:val="24"/>
              </w:rPr>
              <w:t>提供默认策略模板，方便客户快速对站点组及虚拟站点进行web安全防护策略配置。支持严格模板、标准模板及宽松模板。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restart"/>
            <w:vAlign w:val="center"/>
          </w:tcPr>
          <w:p>
            <w:pPr>
              <w:jc w:val="center"/>
              <w:rPr>
                <w:rFonts w:ascii="宋体" w:hAnsi="宋体"/>
                <w:b/>
                <w:color w:val="000000"/>
                <w:kern w:val="0"/>
                <w:sz w:val="24"/>
                <w:szCs w:val="24"/>
              </w:rPr>
            </w:pPr>
            <w:r>
              <w:rPr>
                <w:rFonts w:hint="eastAsia" w:ascii="宋体" w:hAnsi="宋体"/>
                <w:b/>
                <w:color w:val="000000"/>
                <w:kern w:val="0"/>
                <w:sz w:val="24"/>
                <w:szCs w:val="24"/>
              </w:rPr>
              <w:t>日志分析</w:t>
            </w:r>
          </w:p>
        </w:tc>
        <w:tc>
          <w:tcPr>
            <w:tcW w:w="7684" w:type="dxa"/>
            <w:vAlign w:val="center"/>
          </w:tcPr>
          <w:p>
            <w:pPr>
              <w:rPr>
                <w:rFonts w:ascii="宋体" w:hAnsi="宋体" w:cs="Arial"/>
                <w:color w:val="FF0000"/>
                <w:sz w:val="24"/>
                <w:szCs w:val="24"/>
              </w:rPr>
            </w:pPr>
            <w:r>
              <w:rPr>
                <w:rFonts w:hint="eastAsia" w:ascii="宋体" w:hAnsi="宋体" w:cs="Arial"/>
                <w:sz w:val="24"/>
                <w:szCs w:val="24"/>
              </w:rPr>
              <w:t>支持误报分析功能，支持定时自动化分析，提升检测精度，减少告警噪音。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b/>
                <w:color w:val="000000"/>
                <w:kern w:val="0"/>
                <w:sz w:val="24"/>
                <w:szCs w:val="24"/>
              </w:rPr>
            </w:pPr>
          </w:p>
        </w:tc>
        <w:tc>
          <w:tcPr>
            <w:tcW w:w="7684" w:type="dxa"/>
            <w:vAlign w:val="center"/>
          </w:tcPr>
          <w:p>
            <w:pPr>
              <w:rPr>
                <w:rFonts w:ascii="宋体" w:hAnsi="宋体" w:cs="Arial"/>
                <w:sz w:val="24"/>
                <w:szCs w:val="24"/>
              </w:rPr>
            </w:pPr>
            <w:r>
              <w:rPr>
                <w:rFonts w:hint="eastAsia" w:ascii="宋体" w:hAnsi="宋体"/>
                <w:color w:val="000000"/>
                <w:kern w:val="0"/>
                <w:sz w:val="24"/>
                <w:szCs w:val="24"/>
              </w:rPr>
              <w:t>支持记录X-Forwarded-For字段，在日志中展示真实源IP地址，并可对真实源IP地址进行封禁。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Align w:val="center"/>
          </w:tcPr>
          <w:p>
            <w:pPr>
              <w:jc w:val="center"/>
              <w:rPr>
                <w:rFonts w:ascii="宋体" w:hAnsi="宋体" w:cs="Arial"/>
                <w:b/>
                <w:color w:val="000000"/>
                <w:kern w:val="0"/>
                <w:sz w:val="24"/>
                <w:szCs w:val="24"/>
              </w:rPr>
            </w:pPr>
            <w:r>
              <w:rPr>
                <w:rFonts w:hint="eastAsia" w:ascii="宋体" w:hAnsi="宋体" w:cs="Arial"/>
                <w:b/>
                <w:color w:val="000000"/>
                <w:kern w:val="0"/>
                <w:sz w:val="24"/>
                <w:szCs w:val="24"/>
              </w:rPr>
              <w:t>I</w:t>
            </w:r>
            <w:r>
              <w:rPr>
                <w:rFonts w:ascii="宋体" w:hAnsi="宋体" w:cs="Arial"/>
                <w:b/>
                <w:color w:val="000000"/>
                <w:kern w:val="0"/>
                <w:sz w:val="24"/>
                <w:szCs w:val="24"/>
              </w:rPr>
              <w:t>PV6</w:t>
            </w: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★支持IPv6环境部署。</w:t>
            </w:r>
            <w:r>
              <w:rPr>
                <w:rFonts w:hint="eastAsia" w:ascii="宋体" w:hAnsi="宋体"/>
                <w:b/>
                <w:bCs/>
                <w:color w:val="000000" w:themeColor="text1"/>
                <w:kern w:val="0"/>
                <w:sz w:val="24"/>
                <w:szCs w:val="24"/>
                <w14:textFill>
                  <w14:solidFill>
                    <w14:schemeClr w14:val="tx1"/>
                  </w14:solidFill>
                </w14:textFill>
              </w:rPr>
              <w:t>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restart"/>
            <w:vAlign w:val="center"/>
          </w:tcPr>
          <w:p>
            <w:pPr>
              <w:jc w:val="center"/>
              <w:rPr>
                <w:rFonts w:ascii="宋体" w:hAnsi="宋体" w:cs="Arial"/>
                <w:b/>
                <w:color w:val="000000"/>
                <w:kern w:val="0"/>
                <w:sz w:val="24"/>
                <w:szCs w:val="24"/>
              </w:rPr>
            </w:pPr>
            <w:r>
              <w:rPr>
                <w:rFonts w:hint="eastAsia" w:ascii="宋体" w:hAnsi="宋体" w:cs="Arial"/>
                <w:b/>
                <w:color w:val="000000"/>
                <w:kern w:val="0"/>
                <w:sz w:val="24"/>
                <w:szCs w:val="24"/>
              </w:rPr>
              <w:t>高可用性</w:t>
            </w: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系统支持配置并发连接数阈值，当并发连接数超过设置阀值时，WAF自动进入紧急模式，已经代理的连接正常代理，对新增的请求不进行代理，直接转发，防止WAF成为访问瓶颈。当连接数恢复正常时，自动退出紧急模式。</w:t>
            </w:r>
            <w:r>
              <w:rPr>
                <w:rFonts w:hint="eastAsia" w:ascii="宋体" w:hAnsi="宋体"/>
                <w:b/>
                <w:bCs/>
                <w:color w:val="000000" w:themeColor="text1"/>
                <w:kern w:val="0"/>
                <w:sz w:val="24"/>
                <w:szCs w:val="24"/>
                <w14:textFill>
                  <w14:solidFill>
                    <w14:schemeClr w14:val="tx1"/>
                  </w14:solidFill>
                </w14:textFill>
              </w:rPr>
              <w:t>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cs="Arial"/>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支持HA的A/S部署模式，支持VRRP协议，支持配置同步，支持非对称路由下的部署。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restart"/>
            <w:vAlign w:val="center"/>
          </w:tcPr>
          <w:p>
            <w:pPr>
              <w:jc w:val="center"/>
              <w:rPr>
                <w:rFonts w:ascii="宋体" w:hAnsi="宋体" w:cs="Arial"/>
                <w:b/>
                <w:color w:val="000000"/>
                <w:kern w:val="0"/>
                <w:sz w:val="24"/>
                <w:szCs w:val="24"/>
              </w:rPr>
            </w:pPr>
            <w:r>
              <w:rPr>
                <w:rFonts w:hint="eastAsia" w:ascii="宋体" w:hAnsi="宋体" w:cs="Arial"/>
                <w:b/>
                <w:color w:val="000000"/>
                <w:kern w:val="0"/>
                <w:sz w:val="24"/>
                <w:szCs w:val="24"/>
              </w:rPr>
              <w:t>管理功能要求</w:t>
            </w: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支持标准网管接口SNMP trap和日志转发支持Syslog接口。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cs="Arial"/>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支持对账户进行包括口令复杂度和口令生存期配置的安全策略。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Merge w:val="continue"/>
            <w:vAlign w:val="center"/>
          </w:tcPr>
          <w:p>
            <w:pPr>
              <w:jc w:val="center"/>
              <w:rPr>
                <w:rFonts w:ascii="宋体" w:hAnsi="宋体" w:cs="Arial"/>
                <w:b/>
                <w:color w:val="000000"/>
                <w:kern w:val="0"/>
                <w:sz w:val="24"/>
                <w:szCs w:val="24"/>
              </w:rPr>
            </w:pPr>
          </w:p>
        </w:tc>
        <w:tc>
          <w:tcPr>
            <w:tcW w:w="7684" w:type="dxa"/>
            <w:vAlign w:val="center"/>
          </w:tcPr>
          <w:p>
            <w:pPr>
              <w:rPr>
                <w:rFonts w:ascii="宋体" w:hAnsi="宋体"/>
                <w:color w:val="000000"/>
                <w:kern w:val="0"/>
                <w:sz w:val="24"/>
                <w:szCs w:val="24"/>
              </w:rPr>
            </w:pPr>
            <w:r>
              <w:rPr>
                <w:rFonts w:hint="eastAsia" w:ascii="宋体" w:hAnsi="宋体"/>
                <w:color w:val="000000"/>
                <w:kern w:val="0"/>
                <w:sz w:val="24"/>
                <w:szCs w:val="24"/>
              </w:rPr>
              <w:t>支持对用户登录密码错误的次数进行限制，并可建立如封禁异常登录的账号或IP，封禁时间等配置策略。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8" w:type="dxa"/>
            <w:vAlign w:val="center"/>
          </w:tcPr>
          <w:p>
            <w:pPr>
              <w:jc w:val="center"/>
              <w:rPr>
                <w:rFonts w:ascii="宋体" w:hAnsi="宋体" w:cs="Arial"/>
                <w:b/>
                <w:color w:val="000000"/>
                <w:kern w:val="0"/>
                <w:sz w:val="24"/>
                <w:szCs w:val="24"/>
              </w:rPr>
            </w:pPr>
            <w:r>
              <w:rPr>
                <w:rFonts w:hint="eastAsia" w:ascii="宋体" w:hAnsi="宋体" w:cs="Arial"/>
                <w:b/>
                <w:color w:val="000000"/>
                <w:kern w:val="0"/>
                <w:sz w:val="24"/>
                <w:szCs w:val="24"/>
              </w:rPr>
              <w:t>资质</w:t>
            </w:r>
          </w:p>
        </w:tc>
        <w:tc>
          <w:tcPr>
            <w:tcW w:w="7684" w:type="dxa"/>
            <w:vAlign w:val="center"/>
          </w:tcPr>
          <w:p>
            <w:pPr>
              <w:rPr>
                <w:rFonts w:ascii="宋体" w:hAnsi="宋体"/>
                <w:color w:val="000000"/>
                <w:kern w:val="0"/>
                <w:sz w:val="24"/>
                <w:szCs w:val="24"/>
              </w:rPr>
            </w:pPr>
            <w:r>
              <w:rPr>
                <w:rFonts w:hint="eastAsia" w:ascii="宋体" w:hAnsi="宋体"/>
                <w:b/>
                <w:bCs/>
                <w:color w:val="000000" w:themeColor="text1"/>
                <w:kern w:val="0"/>
                <w:sz w:val="24"/>
                <w:szCs w:val="24"/>
                <w14:textFill>
                  <w14:solidFill>
                    <w14:schemeClr w14:val="tx1"/>
                  </w14:solidFill>
                </w14:textFill>
              </w:rPr>
              <w:t>所投产品具有计算机信息系统安全专用产品销售许可证，提供证书复印件并加盖投标单位公章。</w:t>
            </w:r>
          </w:p>
        </w:tc>
      </w:tr>
      <w:bookmarkEnd w:id="7"/>
    </w:tbl>
    <w:p>
      <w:pPr>
        <w:spacing w:line="320" w:lineRule="exact"/>
        <w:rPr>
          <w:rFonts w:ascii="宋体" w:hAnsi="宋体" w:cs="宋体"/>
          <w:b/>
          <w:bCs/>
          <w:kern w:val="0"/>
          <w:sz w:val="28"/>
          <w:szCs w:val="28"/>
        </w:rPr>
      </w:pPr>
    </w:p>
    <w:p>
      <w:pPr>
        <w:spacing w:line="320" w:lineRule="exact"/>
        <w:rPr>
          <w:rFonts w:ascii="宋体" w:hAnsi="宋体" w:cs="宋体"/>
          <w:b/>
          <w:bCs/>
          <w:kern w:val="0"/>
          <w:sz w:val="28"/>
          <w:szCs w:val="28"/>
        </w:rPr>
      </w:pPr>
      <w:r>
        <w:rPr>
          <w:rFonts w:hint="eastAsia" w:ascii="宋体" w:hAnsi="宋体" w:cs="宋体"/>
          <w:b/>
          <w:bCs/>
          <w:kern w:val="0"/>
          <w:sz w:val="28"/>
          <w:szCs w:val="28"/>
        </w:rPr>
        <w:t>三、售后服务及质保要求</w:t>
      </w:r>
    </w:p>
    <w:p>
      <w:pPr>
        <w:spacing w:line="276" w:lineRule="auto"/>
        <w:ind w:firstLine="480" w:firstLineChars="200"/>
        <w:rPr>
          <w:rFonts w:ascii="宋体" w:hAnsi="宋体" w:cs="宋体"/>
          <w:bCs/>
          <w:color w:val="000000"/>
          <w:kern w:val="0"/>
          <w:sz w:val="24"/>
          <w:szCs w:val="28"/>
        </w:rPr>
      </w:pPr>
      <w:r>
        <w:rPr>
          <w:rFonts w:hint="eastAsia" w:ascii="宋体" w:hAnsi="宋体" w:cs="宋体"/>
          <w:bCs/>
          <w:color w:val="000000"/>
          <w:kern w:val="0"/>
          <w:sz w:val="24"/>
          <w:szCs w:val="28"/>
        </w:rPr>
        <w:t>投标商须承诺整机至少五年免费质保（上门服务），质保期内提供24小时免费上门维修服务，质保期后提供维修维护服务。（投标人投标时需提供原厂至少五年质保承诺并加盖投标人企业公章或承诺在收到中标通知书后7个工作日内须提供原厂至少五年质保函原件，否则取消中标资格）</w:t>
      </w:r>
    </w:p>
    <w:p>
      <w:pPr>
        <w:pStyle w:val="19"/>
        <w:spacing w:before="0" w:beforeAutospacing="0" w:after="0" w:afterAutospacing="0"/>
        <w:rPr>
          <w:b/>
          <w:bCs/>
          <w:color w:val="FF0000"/>
          <w:sz w:val="28"/>
          <w:szCs w:val="28"/>
        </w:rPr>
      </w:pPr>
    </w:p>
    <w:p>
      <w:pPr>
        <w:pStyle w:val="19"/>
        <w:spacing w:before="0" w:beforeAutospacing="0" w:after="0" w:afterAutospacing="0"/>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注：以上一、二、三项相关内容需要投标人提供的纸质证明材料，如投标人不满足要求，不作为中标候选人推荐。</w:t>
      </w: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Style w:val="47"/>
          <w:rFonts w:ascii="宋体" w:hAnsi="宋体" w:cs="宋体"/>
          <w:bCs/>
          <w:sz w:val="24"/>
          <w:szCs w:val="24"/>
        </w:rPr>
      </w:pP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fldChar w:fldCharType="begin"/>
      </w:r>
      <w:r>
        <w:instrText xml:space="preserve"> HYPERLINK "https://link.zhihu.com/?target=http://baike.baidu.com/view/89764.htm" \t "https://www.zhihu.com/question/_blank" </w:instrText>
      </w:r>
      <w: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fldChar w:fldCharType="begin"/>
      </w:r>
      <w:r>
        <w:instrText xml:space="preserve"> HYPERLINK "https://link.zhihu.com/?target=http://baike.baidu.com/view/1281780.htm" \t "https://www.zhihu.com/question/_blank" </w:instrText>
      </w:r>
      <w: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pStyle w:val="19"/>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19"/>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（3）企业标准请参照《关于印发中小企业划型标准规定的通知》（工信部联企业[2011]300号）文件规定及国家统计局关于印发《统计上大中小微型企业划分办法（2017）》的通知自行填写。</w:t>
      </w:r>
      <w:r>
        <w:rPr>
          <w:rFonts w:hint="eastAsia"/>
          <w:b/>
          <w:szCs w:val="24"/>
        </w:rPr>
        <w:t>本采购标的的所属行业为软件和信息技术服务业</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b/>
          <w:bCs/>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2"/>
        <w:tblW w:w="930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661"/>
        <w:gridCol w:w="988"/>
        <w:gridCol w:w="6657"/>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trHeight w:val="711" w:hRule="atLeast"/>
          <w:jc w:val="center"/>
        </w:trPr>
        <w:tc>
          <w:tcPr>
            <w:tcW w:w="1661" w:type="dxa"/>
            <w:tcBorders>
              <w:top w:val="single" w:color="000000" w:sz="4" w:space="0"/>
              <w:right w:val="single" w:color="auto" w:sz="4" w:space="0"/>
            </w:tcBorders>
            <w:vAlign w:val="bottom"/>
          </w:tcPr>
          <w:p>
            <w:pPr>
              <w:snapToGrid w:val="0"/>
              <w:spacing w:line="360" w:lineRule="auto"/>
              <w:jc w:val="center"/>
              <w:rPr>
                <w:rFonts w:ascii="宋体" w:hAnsi="宋体" w:cs="宋体"/>
                <w:bCs/>
                <w:sz w:val="24"/>
                <w:szCs w:val="24"/>
              </w:rPr>
            </w:pPr>
            <w:r>
              <w:rPr>
                <w:rFonts w:hint="eastAsia" w:ascii="宋体" w:hAnsi="宋体" w:cs="宋体"/>
                <w:bCs/>
                <w:sz w:val="24"/>
                <w:szCs w:val="24"/>
              </w:rPr>
              <w:t>评分项目</w:t>
            </w:r>
          </w:p>
        </w:tc>
        <w:tc>
          <w:tcPr>
            <w:tcW w:w="988" w:type="dxa"/>
            <w:tcBorders>
              <w:top w:val="single" w:color="000000" w:sz="4" w:space="0"/>
            </w:tcBorders>
            <w:vAlign w:val="bottom"/>
          </w:tcPr>
          <w:p>
            <w:pPr>
              <w:snapToGrid w:val="0"/>
              <w:spacing w:line="360" w:lineRule="auto"/>
              <w:jc w:val="center"/>
              <w:rPr>
                <w:rFonts w:ascii="宋体" w:hAnsi="宋体" w:cs="宋体"/>
                <w:bCs/>
                <w:sz w:val="24"/>
                <w:szCs w:val="24"/>
              </w:rPr>
            </w:pPr>
            <w:r>
              <w:rPr>
                <w:rFonts w:hint="eastAsia" w:ascii="宋体" w:hAnsi="宋体" w:cs="宋体"/>
                <w:bCs/>
                <w:sz w:val="24"/>
                <w:szCs w:val="24"/>
              </w:rPr>
              <w:t>分值</w:t>
            </w:r>
          </w:p>
        </w:tc>
        <w:tc>
          <w:tcPr>
            <w:tcW w:w="6657" w:type="dxa"/>
            <w:tcBorders>
              <w:top w:val="single" w:color="000000" w:sz="4" w:space="0"/>
            </w:tcBorders>
            <w:vAlign w:val="bottom"/>
          </w:tcPr>
          <w:p>
            <w:pPr>
              <w:snapToGrid w:val="0"/>
              <w:spacing w:line="360" w:lineRule="auto"/>
              <w:jc w:val="center"/>
              <w:rPr>
                <w:rFonts w:ascii="宋体" w:hAnsi="宋体" w:cs="宋体"/>
                <w:bCs/>
                <w:sz w:val="24"/>
                <w:szCs w:val="24"/>
              </w:rPr>
            </w:pPr>
            <w:r>
              <w:rPr>
                <w:rFonts w:hint="eastAsia" w:ascii="宋体" w:hAnsi="宋体" w:cs="宋体"/>
                <w:bCs/>
                <w:sz w:val="24"/>
                <w:szCs w:val="24"/>
              </w:rPr>
              <w:t>评分标准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61" w:type="dxa"/>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投标报价</w:t>
            </w:r>
          </w:p>
        </w:tc>
        <w:tc>
          <w:tcPr>
            <w:tcW w:w="988" w:type="dxa"/>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50</w:t>
            </w:r>
          </w:p>
        </w:tc>
        <w:tc>
          <w:tcPr>
            <w:tcW w:w="6657" w:type="dxa"/>
            <w:vAlign w:val="center"/>
          </w:tcPr>
          <w:p>
            <w:pPr>
              <w:snapToGrid w:val="0"/>
              <w:spacing w:line="360" w:lineRule="auto"/>
              <w:jc w:val="left"/>
              <w:rPr>
                <w:rFonts w:ascii="宋体" w:hAnsi="宋体" w:cs="宋体"/>
                <w:bCs/>
                <w:sz w:val="24"/>
                <w:szCs w:val="24"/>
              </w:rPr>
            </w:pPr>
            <w:r>
              <w:rPr>
                <w:rFonts w:hint="eastAsia" w:ascii="宋体" w:hAnsi="宋体" w:cs="宋体"/>
                <w:bCs/>
                <w:sz w:val="24"/>
                <w:szCs w:val="24"/>
              </w:rPr>
              <w:t>以满足招标要求且投标报价最低的有效报价为评标基准价，投标报价等于基准价得50分，投标价格高于基准价的按下列公式计算：</w:t>
            </w:r>
          </w:p>
          <w:p>
            <w:pPr>
              <w:snapToGrid w:val="0"/>
              <w:spacing w:line="360" w:lineRule="auto"/>
              <w:jc w:val="left"/>
              <w:rPr>
                <w:rFonts w:ascii="宋体" w:hAnsi="宋体" w:cs="宋体"/>
                <w:bCs/>
                <w:sz w:val="24"/>
                <w:szCs w:val="24"/>
              </w:rPr>
            </w:pPr>
            <w:r>
              <w:rPr>
                <w:rFonts w:hint="eastAsia" w:ascii="宋体" w:hAnsi="宋体" w:cs="宋体"/>
                <w:bCs/>
                <w:sz w:val="24"/>
                <w:szCs w:val="24"/>
              </w:rPr>
              <w:t>投标报价得分 =（评标基准价/投标报价）*50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61" w:type="dxa"/>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技术规格</w:t>
            </w:r>
          </w:p>
        </w:tc>
        <w:tc>
          <w:tcPr>
            <w:tcW w:w="988" w:type="dxa"/>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30</w:t>
            </w:r>
          </w:p>
        </w:tc>
        <w:tc>
          <w:tcPr>
            <w:tcW w:w="6657" w:type="dxa"/>
            <w:vAlign w:val="center"/>
          </w:tcPr>
          <w:p>
            <w:pPr>
              <w:snapToGrid w:val="0"/>
              <w:spacing w:line="360" w:lineRule="auto"/>
              <w:jc w:val="left"/>
              <w:rPr>
                <w:rFonts w:ascii="宋体" w:hAnsi="宋体" w:cs="宋体"/>
                <w:bCs/>
                <w:sz w:val="24"/>
                <w:szCs w:val="24"/>
              </w:rPr>
            </w:pPr>
            <w:r>
              <w:rPr>
                <w:rFonts w:hint="eastAsia" w:ascii="宋体" w:hAnsi="宋体" w:cs="宋体"/>
                <w:bCs/>
                <w:sz w:val="24"/>
                <w:szCs w:val="24"/>
              </w:rPr>
              <w:t>投标人完全满足招标文件技术要求，可得30分。</w:t>
            </w:r>
          </w:p>
          <w:p>
            <w:pPr>
              <w:snapToGrid w:val="0"/>
              <w:spacing w:line="360" w:lineRule="auto"/>
              <w:jc w:val="left"/>
              <w:rPr>
                <w:rFonts w:ascii="宋体" w:hAnsi="宋体" w:cs="宋体"/>
                <w:bCs/>
                <w:sz w:val="24"/>
                <w:szCs w:val="24"/>
              </w:rPr>
            </w:pPr>
            <w:r>
              <w:rPr>
                <w:rFonts w:hint="eastAsia" w:ascii="宋体" w:hAnsi="宋体" w:cs="宋体"/>
                <w:bCs/>
                <w:sz w:val="24"/>
                <w:szCs w:val="24"/>
              </w:rPr>
              <w:t>标★参数为核心参数必须满足，如负偏离视为无效投标。</w:t>
            </w:r>
          </w:p>
          <w:p>
            <w:pPr>
              <w:snapToGrid w:val="0"/>
              <w:spacing w:line="360" w:lineRule="auto"/>
              <w:jc w:val="left"/>
              <w:rPr>
                <w:rFonts w:ascii="宋体" w:hAnsi="宋体" w:cs="宋体"/>
                <w:bCs/>
                <w:sz w:val="24"/>
                <w:szCs w:val="24"/>
              </w:rPr>
            </w:pPr>
            <w:r>
              <w:rPr>
                <w:rFonts w:hint="eastAsia" w:ascii="宋体" w:hAnsi="宋体" w:cs="宋体"/>
                <w:bCs/>
                <w:sz w:val="24"/>
                <w:szCs w:val="24"/>
              </w:rPr>
              <w:t>标▲参数为重要参数，每一项负偏离扣2分。</w:t>
            </w:r>
          </w:p>
          <w:p>
            <w:pPr>
              <w:snapToGrid w:val="0"/>
              <w:spacing w:line="360" w:lineRule="auto"/>
              <w:jc w:val="left"/>
              <w:rPr>
                <w:rFonts w:ascii="宋体" w:hAnsi="宋体" w:cs="宋体"/>
                <w:bCs/>
                <w:sz w:val="24"/>
                <w:szCs w:val="24"/>
              </w:rPr>
            </w:pPr>
            <w:r>
              <w:rPr>
                <w:rFonts w:hint="eastAsia" w:ascii="宋体" w:hAnsi="宋体" w:cs="宋体"/>
                <w:bCs/>
                <w:sz w:val="24"/>
                <w:szCs w:val="24"/>
              </w:rPr>
              <w:t>其它参数为普通参数，每一项负偏离扣1分。</w:t>
            </w:r>
          </w:p>
          <w:p>
            <w:pPr>
              <w:snapToGrid w:val="0"/>
              <w:spacing w:line="360" w:lineRule="auto"/>
              <w:jc w:val="left"/>
              <w:rPr>
                <w:rFonts w:ascii="宋体" w:hAnsi="宋体" w:cs="宋体"/>
                <w:bCs/>
                <w:sz w:val="24"/>
                <w:szCs w:val="24"/>
              </w:rPr>
            </w:pPr>
            <w:r>
              <w:rPr>
                <w:rFonts w:hint="eastAsia" w:ascii="宋体" w:hAnsi="宋体" w:cs="宋体"/>
                <w:bCs/>
                <w:sz w:val="24"/>
                <w:szCs w:val="24"/>
              </w:rPr>
              <w:t>技术分低于18分的，不作为中标候选人推荐。</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61" w:type="dxa"/>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产品成熟度</w:t>
            </w:r>
          </w:p>
        </w:tc>
        <w:tc>
          <w:tcPr>
            <w:tcW w:w="988" w:type="dxa"/>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10</w:t>
            </w:r>
          </w:p>
        </w:tc>
        <w:tc>
          <w:tcPr>
            <w:tcW w:w="6657" w:type="dxa"/>
          </w:tcPr>
          <w:p>
            <w:pPr>
              <w:snapToGrid w:val="0"/>
              <w:spacing w:line="360" w:lineRule="auto"/>
              <w:jc w:val="left"/>
              <w:rPr>
                <w:rFonts w:ascii="宋体" w:hAnsi="宋体" w:cs="宋体"/>
                <w:bCs/>
                <w:sz w:val="24"/>
                <w:szCs w:val="24"/>
              </w:rPr>
            </w:pPr>
            <w:r>
              <w:rPr>
                <w:rFonts w:hint="eastAsia" w:ascii="宋体" w:hAnsi="宋体" w:cs="宋体"/>
                <w:bCs/>
                <w:sz w:val="24"/>
                <w:szCs w:val="24"/>
              </w:rPr>
              <w:t>投标产品在2022年国内硬件WAF市场份额排名前3名的2分，其它的不得分。提供IDC中国市场排名证明材料</w:t>
            </w:r>
            <w:r>
              <w:rPr>
                <w:rFonts w:hint="eastAsia" w:ascii="宋体" w:hAnsi="宋体"/>
                <w:sz w:val="24"/>
                <w:szCs w:val="24"/>
              </w:rPr>
              <w:t>并</w:t>
            </w:r>
            <w:r>
              <w:rPr>
                <w:rFonts w:ascii="宋体" w:hAnsi="宋体"/>
                <w:sz w:val="24"/>
                <w:szCs w:val="24"/>
              </w:rPr>
              <w:t>加盖</w:t>
            </w:r>
            <w:r>
              <w:rPr>
                <w:rFonts w:hint="eastAsia" w:ascii="宋体" w:hAnsi="宋体"/>
                <w:sz w:val="24"/>
                <w:szCs w:val="24"/>
              </w:rPr>
              <w:t>投</w:t>
            </w:r>
            <w:r>
              <w:rPr>
                <w:rFonts w:ascii="宋体" w:hAnsi="宋体"/>
                <w:sz w:val="24"/>
                <w:szCs w:val="24"/>
              </w:rPr>
              <w:t>标单位公章</w:t>
            </w:r>
            <w:r>
              <w:rPr>
                <w:rFonts w:hint="eastAsia" w:ascii="宋体" w:hAnsi="宋体" w:cs="宋体"/>
                <w:bCs/>
                <w:sz w:val="24"/>
                <w:szCs w:val="24"/>
              </w:rPr>
              <w:t>。（查询链接：https://www.idc.com/cn）</w:t>
            </w:r>
          </w:p>
          <w:p>
            <w:pPr>
              <w:snapToGrid w:val="0"/>
              <w:spacing w:line="360" w:lineRule="auto"/>
              <w:jc w:val="left"/>
              <w:rPr>
                <w:rFonts w:ascii="宋体" w:hAnsi="宋体" w:cs="宋体"/>
                <w:bCs/>
                <w:sz w:val="24"/>
                <w:szCs w:val="24"/>
              </w:rPr>
            </w:pPr>
            <w:r>
              <w:rPr>
                <w:rFonts w:hint="eastAsia" w:ascii="宋体" w:hAnsi="宋体" w:cs="宋体"/>
                <w:bCs/>
                <w:sz w:val="24"/>
                <w:szCs w:val="24"/>
              </w:rPr>
              <w:t>投标产品具有IPv6 Enabled Security Logo认证证书的得2分，没有不得分。提供证书复印件</w:t>
            </w:r>
            <w:r>
              <w:rPr>
                <w:rFonts w:hint="eastAsia" w:ascii="宋体" w:hAnsi="宋体"/>
                <w:sz w:val="24"/>
                <w:szCs w:val="24"/>
              </w:rPr>
              <w:t>并</w:t>
            </w:r>
            <w:r>
              <w:rPr>
                <w:rFonts w:ascii="宋体" w:hAnsi="宋体"/>
                <w:sz w:val="24"/>
                <w:szCs w:val="24"/>
              </w:rPr>
              <w:t>加盖</w:t>
            </w:r>
            <w:r>
              <w:rPr>
                <w:rFonts w:hint="eastAsia" w:ascii="宋体" w:hAnsi="宋体"/>
                <w:sz w:val="24"/>
                <w:szCs w:val="24"/>
              </w:rPr>
              <w:t>投</w:t>
            </w:r>
            <w:r>
              <w:rPr>
                <w:rFonts w:ascii="宋体" w:hAnsi="宋体"/>
                <w:sz w:val="24"/>
                <w:szCs w:val="24"/>
              </w:rPr>
              <w:t>标单位公章</w:t>
            </w:r>
            <w:r>
              <w:rPr>
                <w:rFonts w:hint="eastAsia" w:ascii="宋体" w:hAnsi="宋体" w:cs="宋体"/>
                <w:bCs/>
                <w:sz w:val="24"/>
                <w:szCs w:val="24"/>
              </w:rPr>
              <w:t>。</w:t>
            </w:r>
          </w:p>
          <w:p>
            <w:pPr>
              <w:snapToGrid w:val="0"/>
              <w:spacing w:line="360" w:lineRule="auto"/>
              <w:jc w:val="left"/>
              <w:rPr>
                <w:rFonts w:ascii="宋体" w:hAnsi="宋体" w:cs="宋体"/>
                <w:bCs/>
                <w:sz w:val="24"/>
                <w:szCs w:val="24"/>
              </w:rPr>
            </w:pPr>
            <w:r>
              <w:rPr>
                <w:rFonts w:hint="eastAsia" w:ascii="宋体" w:hAnsi="宋体" w:cs="宋体"/>
                <w:bCs/>
                <w:sz w:val="24"/>
                <w:szCs w:val="24"/>
              </w:rPr>
              <w:t>投标产品具有国家信息安全测评信息技术产品安全测评证书EAL3+证书的得2分，没有不得分。提供证书复印件</w:t>
            </w:r>
            <w:r>
              <w:rPr>
                <w:rFonts w:hint="eastAsia" w:ascii="宋体" w:hAnsi="宋体"/>
                <w:sz w:val="24"/>
                <w:szCs w:val="24"/>
              </w:rPr>
              <w:t>并</w:t>
            </w:r>
            <w:r>
              <w:rPr>
                <w:rFonts w:ascii="宋体" w:hAnsi="宋体"/>
                <w:sz w:val="24"/>
                <w:szCs w:val="24"/>
              </w:rPr>
              <w:t>加盖</w:t>
            </w:r>
            <w:r>
              <w:rPr>
                <w:rFonts w:hint="eastAsia" w:ascii="宋体" w:hAnsi="宋体"/>
                <w:sz w:val="24"/>
                <w:szCs w:val="24"/>
              </w:rPr>
              <w:t>投</w:t>
            </w:r>
            <w:r>
              <w:rPr>
                <w:rFonts w:ascii="宋体" w:hAnsi="宋体"/>
                <w:sz w:val="24"/>
                <w:szCs w:val="24"/>
              </w:rPr>
              <w:t>标单位公章</w:t>
            </w:r>
            <w:r>
              <w:rPr>
                <w:rFonts w:hint="eastAsia" w:ascii="宋体" w:hAnsi="宋体" w:cs="宋体"/>
                <w:bCs/>
                <w:sz w:val="24"/>
                <w:szCs w:val="24"/>
              </w:rPr>
              <w:t>。</w:t>
            </w:r>
          </w:p>
          <w:p>
            <w:pPr>
              <w:snapToGrid w:val="0"/>
              <w:spacing w:line="360" w:lineRule="auto"/>
              <w:jc w:val="left"/>
              <w:rPr>
                <w:rFonts w:hint="eastAsia" w:ascii="宋体" w:hAnsi="宋体" w:cs="宋体"/>
                <w:bCs/>
                <w:sz w:val="24"/>
                <w:szCs w:val="24"/>
              </w:rPr>
            </w:pPr>
            <w:r>
              <w:rPr>
                <w:rFonts w:hint="eastAsia" w:ascii="宋体" w:hAnsi="宋体" w:cs="宋体"/>
                <w:bCs/>
                <w:sz w:val="24"/>
                <w:szCs w:val="24"/>
              </w:rPr>
              <w:t>投标产品具有《网络关键设备和网络安全专用产品安全认证证书》（万兆）的得2分，没有不得分。提供证书复印件</w:t>
            </w:r>
            <w:r>
              <w:rPr>
                <w:rFonts w:hint="eastAsia" w:ascii="宋体" w:hAnsi="宋体"/>
                <w:sz w:val="24"/>
                <w:szCs w:val="24"/>
              </w:rPr>
              <w:t>并</w:t>
            </w:r>
            <w:r>
              <w:rPr>
                <w:rFonts w:ascii="宋体" w:hAnsi="宋体"/>
                <w:sz w:val="24"/>
                <w:szCs w:val="24"/>
              </w:rPr>
              <w:t>加盖</w:t>
            </w:r>
            <w:r>
              <w:rPr>
                <w:rFonts w:hint="eastAsia" w:ascii="宋体" w:hAnsi="宋体"/>
                <w:sz w:val="24"/>
                <w:szCs w:val="24"/>
              </w:rPr>
              <w:t>投</w:t>
            </w:r>
            <w:r>
              <w:rPr>
                <w:rFonts w:ascii="宋体" w:hAnsi="宋体"/>
                <w:sz w:val="24"/>
                <w:szCs w:val="24"/>
              </w:rPr>
              <w:t>标单位公章</w:t>
            </w:r>
            <w:r>
              <w:rPr>
                <w:rFonts w:hint="eastAsia" w:ascii="宋体" w:hAnsi="宋体" w:cs="宋体"/>
                <w:bCs/>
                <w:sz w:val="24"/>
                <w:szCs w:val="24"/>
              </w:rPr>
              <w:t>。</w:t>
            </w:r>
          </w:p>
          <w:p>
            <w:pPr>
              <w:snapToGrid w:val="0"/>
              <w:spacing w:line="360" w:lineRule="auto"/>
              <w:jc w:val="left"/>
              <w:rPr>
                <w:rFonts w:ascii="宋体" w:hAnsi="宋体" w:cs="宋体"/>
                <w:bCs/>
                <w:sz w:val="24"/>
                <w:szCs w:val="24"/>
              </w:rPr>
            </w:pPr>
            <w:r>
              <w:rPr>
                <w:rFonts w:hint="eastAsia" w:ascii="宋体" w:hAnsi="宋体" w:cs="宋体"/>
                <w:bCs/>
                <w:sz w:val="24"/>
                <w:szCs w:val="24"/>
              </w:rPr>
              <w:t>投标产品生产厂商近2年为国家互联网应急中心应急支撑单位，国家级得2分，省级得1分，不是不得分。提供证明材料</w:t>
            </w:r>
            <w:r>
              <w:rPr>
                <w:rFonts w:hint="eastAsia" w:ascii="宋体" w:hAnsi="宋体"/>
                <w:sz w:val="24"/>
                <w:szCs w:val="24"/>
              </w:rPr>
              <w:t>并</w:t>
            </w:r>
            <w:r>
              <w:rPr>
                <w:rFonts w:ascii="宋体" w:hAnsi="宋体"/>
                <w:sz w:val="24"/>
                <w:szCs w:val="24"/>
              </w:rPr>
              <w:t>加盖</w:t>
            </w:r>
            <w:r>
              <w:rPr>
                <w:rFonts w:hint="eastAsia" w:ascii="宋体" w:hAnsi="宋体"/>
                <w:sz w:val="24"/>
                <w:szCs w:val="24"/>
              </w:rPr>
              <w:t>投</w:t>
            </w:r>
            <w:r>
              <w:rPr>
                <w:rFonts w:ascii="宋体" w:hAnsi="宋体"/>
                <w:sz w:val="24"/>
                <w:szCs w:val="24"/>
              </w:rPr>
              <w:t>标单位公章</w:t>
            </w:r>
            <w:r>
              <w:rPr>
                <w:rFonts w:hint="eastAsia" w:ascii="宋体" w:hAnsi="宋体" w:cs="宋体"/>
                <w:bCs/>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61" w:type="dxa"/>
            <w:tcBorders>
              <w:bottom w:val="single" w:color="auto" w:sz="4" w:space="0"/>
            </w:tcBorders>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售后及培训方案</w:t>
            </w:r>
          </w:p>
        </w:tc>
        <w:tc>
          <w:tcPr>
            <w:tcW w:w="988" w:type="dxa"/>
            <w:tcBorders>
              <w:bottom w:val="single" w:color="auto" w:sz="4" w:space="0"/>
            </w:tcBorders>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5</w:t>
            </w:r>
          </w:p>
        </w:tc>
        <w:tc>
          <w:tcPr>
            <w:tcW w:w="6657" w:type="dxa"/>
            <w:tcBorders>
              <w:bottom w:val="single" w:color="auto" w:sz="4" w:space="0"/>
            </w:tcBorders>
            <w:vAlign w:val="center"/>
          </w:tcPr>
          <w:p>
            <w:pPr>
              <w:snapToGrid w:val="0"/>
              <w:spacing w:line="360" w:lineRule="auto"/>
              <w:jc w:val="left"/>
              <w:rPr>
                <w:rFonts w:ascii="宋体" w:hAnsi="宋体" w:cs="宋体"/>
                <w:bCs/>
                <w:sz w:val="24"/>
                <w:szCs w:val="24"/>
              </w:rPr>
            </w:pPr>
            <w:r>
              <w:rPr>
                <w:rFonts w:hint="eastAsia" w:ascii="宋体" w:hAnsi="宋体" w:cs="宋体"/>
                <w:bCs/>
                <w:sz w:val="24"/>
                <w:szCs w:val="24"/>
              </w:rPr>
              <w:t>根据响应供应商提供的售后服务方案及培训方案（包含售后服务体系、服务内容、故障解决方案、响应时间、专业技术人员保障方案、培训方案等）进行评分。方案完整、科学合理得</w:t>
            </w:r>
            <w:r>
              <w:rPr>
                <w:rFonts w:hint="eastAsia" w:ascii="宋体" w:hAnsi="宋体" w:cs="宋体"/>
                <w:bCs/>
                <w:sz w:val="24"/>
                <w:szCs w:val="24"/>
                <w:lang w:val="en-US" w:eastAsia="zh-CN"/>
              </w:rPr>
              <w:t>4（不含）-5</w:t>
            </w:r>
            <w:r>
              <w:rPr>
                <w:rFonts w:hint="eastAsia" w:ascii="宋体" w:hAnsi="宋体" w:cs="宋体"/>
                <w:bCs/>
                <w:sz w:val="24"/>
                <w:szCs w:val="24"/>
              </w:rPr>
              <w:t>分，方案较完整、较科学合理得</w:t>
            </w:r>
            <w:r>
              <w:rPr>
                <w:rFonts w:hint="eastAsia" w:ascii="宋体" w:hAnsi="宋体" w:cs="宋体"/>
                <w:bCs/>
                <w:sz w:val="24"/>
                <w:szCs w:val="24"/>
                <w:lang w:val="en-US" w:eastAsia="zh-CN"/>
              </w:rPr>
              <w:t>2（不含）-4</w:t>
            </w:r>
            <w:r>
              <w:rPr>
                <w:rFonts w:hint="eastAsia" w:ascii="宋体" w:hAnsi="宋体" w:cs="宋体"/>
                <w:bCs/>
                <w:sz w:val="24"/>
                <w:szCs w:val="24"/>
              </w:rPr>
              <w:t>分，方案基本完整、基本科学合理得</w:t>
            </w:r>
            <w:r>
              <w:rPr>
                <w:rFonts w:hint="eastAsia" w:ascii="宋体" w:hAnsi="宋体" w:cs="宋体"/>
                <w:bCs/>
                <w:sz w:val="24"/>
                <w:szCs w:val="24"/>
                <w:lang w:val="en-US" w:eastAsia="zh-CN"/>
              </w:rPr>
              <w:t>1（不含）-2</w:t>
            </w:r>
            <w:r>
              <w:rPr>
                <w:rFonts w:hint="eastAsia" w:ascii="宋体" w:hAnsi="宋体" w:cs="宋体"/>
                <w:bCs/>
                <w:sz w:val="24"/>
                <w:szCs w:val="24"/>
              </w:rPr>
              <w:t>分，未提供的不得分。</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661" w:type="dxa"/>
            <w:tcBorders>
              <w:bottom w:val="single" w:color="auto" w:sz="4" w:space="0"/>
            </w:tcBorders>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增值服务</w:t>
            </w:r>
          </w:p>
        </w:tc>
        <w:tc>
          <w:tcPr>
            <w:tcW w:w="988" w:type="dxa"/>
            <w:tcBorders>
              <w:bottom w:val="single" w:color="auto" w:sz="4" w:space="0"/>
            </w:tcBorders>
            <w:vAlign w:val="center"/>
          </w:tcPr>
          <w:p>
            <w:pPr>
              <w:snapToGrid w:val="0"/>
              <w:spacing w:line="360" w:lineRule="auto"/>
              <w:jc w:val="center"/>
              <w:rPr>
                <w:rFonts w:ascii="宋体" w:hAnsi="宋体" w:cs="宋体"/>
                <w:bCs/>
                <w:sz w:val="24"/>
                <w:szCs w:val="24"/>
              </w:rPr>
            </w:pPr>
            <w:r>
              <w:rPr>
                <w:rFonts w:hint="eastAsia" w:ascii="宋体" w:hAnsi="宋体" w:cs="宋体"/>
                <w:bCs/>
                <w:sz w:val="24"/>
                <w:szCs w:val="24"/>
              </w:rPr>
              <w:t>5</w:t>
            </w:r>
          </w:p>
        </w:tc>
        <w:tc>
          <w:tcPr>
            <w:tcW w:w="6657" w:type="dxa"/>
            <w:tcBorders>
              <w:bottom w:val="single" w:color="auto" w:sz="4" w:space="0"/>
            </w:tcBorders>
            <w:vAlign w:val="center"/>
          </w:tcPr>
          <w:p>
            <w:pPr>
              <w:snapToGrid w:val="0"/>
              <w:spacing w:line="360" w:lineRule="auto"/>
              <w:jc w:val="left"/>
              <w:rPr>
                <w:rFonts w:ascii="宋体" w:hAnsi="宋体" w:cs="宋体"/>
                <w:bCs/>
                <w:sz w:val="24"/>
                <w:szCs w:val="24"/>
              </w:rPr>
            </w:pPr>
            <w:r>
              <w:rPr>
                <w:rFonts w:hint="eastAsia" w:ascii="宋体" w:hAnsi="宋体" w:cs="宋体"/>
                <w:bCs/>
                <w:sz w:val="24"/>
                <w:szCs w:val="24"/>
              </w:rPr>
              <w:t>承诺产品质保期间每季度至少为学校提供一次外网漏洞扫描服务并提供检测报告的得2分，不承诺不得分。</w:t>
            </w:r>
          </w:p>
          <w:p>
            <w:pPr>
              <w:snapToGrid w:val="0"/>
              <w:spacing w:line="360" w:lineRule="auto"/>
              <w:jc w:val="left"/>
              <w:rPr>
                <w:rFonts w:ascii="宋体" w:hAnsi="宋体" w:cs="宋体"/>
                <w:bCs/>
                <w:sz w:val="24"/>
                <w:szCs w:val="24"/>
              </w:rPr>
            </w:pPr>
            <w:r>
              <w:rPr>
                <w:rFonts w:hint="eastAsia" w:ascii="宋体" w:hAnsi="宋体" w:cs="宋体"/>
                <w:bCs/>
                <w:sz w:val="24"/>
                <w:szCs w:val="24"/>
              </w:rPr>
              <w:t>承诺免费提供技术支持，协助学校举行一次安全应急演练并提供完整的安全演练材料（含渗透、提权等攻防实操过程）的得3分，不承诺不得分。</w:t>
            </w:r>
          </w:p>
        </w:tc>
      </w:tr>
    </w:tbl>
    <w:p>
      <w:pPr>
        <w:jc w:val="left"/>
        <w:rPr>
          <w:rStyle w:val="47"/>
          <w:rFonts w:ascii="宋体" w:hAnsi="宋体" w:cs="宋体"/>
        </w:rPr>
      </w:pPr>
    </w:p>
    <w:p/>
    <w:p>
      <w:pPr>
        <w:snapToGrid w:val="0"/>
        <w:rPr>
          <w:rFonts w:ascii="宋体" w:hAnsi="宋体"/>
          <w:bCs/>
          <w:color w:val="000000"/>
          <w:kern w:val="0"/>
          <w:sz w:val="24"/>
          <w:szCs w:val="24"/>
        </w:rPr>
      </w:pPr>
      <w:r>
        <w:rPr>
          <w:rFonts w:hint="eastAsia" w:ascii="宋体" w:hAnsi="宋体"/>
          <w:bCs/>
          <w:color w:val="000000"/>
          <w:kern w:val="0"/>
          <w:sz w:val="24"/>
          <w:szCs w:val="24"/>
        </w:rPr>
        <w:t xml:space="preserve">说明： </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1、要求供应</w:t>
      </w:r>
      <w:r>
        <w:rPr>
          <w:rFonts w:ascii="宋体" w:hAnsi="宋体"/>
          <w:bCs/>
          <w:color w:val="000000"/>
          <w:kern w:val="0"/>
          <w:sz w:val="24"/>
          <w:szCs w:val="24"/>
        </w:rPr>
        <w:t>商提供</w:t>
      </w:r>
      <w:r>
        <w:rPr>
          <w:rFonts w:hint="eastAsia" w:ascii="宋体" w:hAnsi="宋体"/>
          <w:bCs/>
          <w:color w:val="000000"/>
          <w:kern w:val="0"/>
          <w:sz w:val="24"/>
          <w:szCs w:val="24"/>
        </w:rPr>
        <w:t>盖章复印</w:t>
      </w:r>
      <w:r>
        <w:rPr>
          <w:rFonts w:ascii="宋体" w:hAnsi="宋体"/>
          <w:bCs/>
          <w:color w:val="000000"/>
          <w:kern w:val="0"/>
          <w:sz w:val="24"/>
          <w:szCs w:val="24"/>
        </w:rPr>
        <w:t>件和</w:t>
      </w:r>
      <w:r>
        <w:rPr>
          <w:rFonts w:hint="eastAsia" w:ascii="宋体" w:hAnsi="宋体"/>
          <w:bCs/>
          <w:color w:val="000000"/>
          <w:kern w:val="0"/>
          <w:sz w:val="24"/>
          <w:szCs w:val="24"/>
        </w:rPr>
        <w:t>截</w:t>
      </w:r>
      <w:r>
        <w:rPr>
          <w:rFonts w:ascii="宋体" w:hAnsi="宋体"/>
          <w:bCs/>
          <w:color w:val="000000"/>
          <w:kern w:val="0"/>
          <w:sz w:val="24"/>
          <w:szCs w:val="24"/>
        </w:rPr>
        <w:t>图</w:t>
      </w:r>
      <w:r>
        <w:rPr>
          <w:rFonts w:hint="eastAsia" w:ascii="宋体" w:hAnsi="宋体"/>
          <w:bCs/>
          <w:color w:val="000000"/>
          <w:kern w:val="0"/>
          <w:sz w:val="24"/>
          <w:szCs w:val="24"/>
        </w:rPr>
        <w:t>的，则</w:t>
      </w:r>
      <w:r>
        <w:rPr>
          <w:rFonts w:ascii="宋体" w:hAnsi="宋体"/>
          <w:bCs/>
          <w:color w:val="000000"/>
          <w:kern w:val="0"/>
          <w:sz w:val="24"/>
          <w:szCs w:val="24"/>
        </w:rPr>
        <w:t>必须</w:t>
      </w:r>
      <w:r>
        <w:rPr>
          <w:rFonts w:hint="eastAsia" w:ascii="宋体" w:hAnsi="宋体"/>
          <w:bCs/>
          <w:color w:val="000000"/>
          <w:kern w:val="0"/>
          <w:sz w:val="24"/>
          <w:szCs w:val="24"/>
        </w:rPr>
        <w:t>按</w:t>
      </w:r>
      <w:r>
        <w:rPr>
          <w:rFonts w:ascii="宋体" w:hAnsi="宋体"/>
          <w:bCs/>
          <w:color w:val="000000"/>
          <w:kern w:val="0"/>
          <w:sz w:val="24"/>
          <w:szCs w:val="24"/>
        </w:rPr>
        <w:t>要求</w:t>
      </w:r>
      <w:r>
        <w:rPr>
          <w:rFonts w:hint="eastAsia" w:ascii="宋体" w:hAnsi="宋体"/>
          <w:bCs/>
          <w:color w:val="000000"/>
          <w:kern w:val="0"/>
          <w:sz w:val="24"/>
          <w:szCs w:val="24"/>
        </w:rPr>
        <w:t>真实</w:t>
      </w:r>
      <w:r>
        <w:rPr>
          <w:rFonts w:ascii="宋体" w:hAnsi="宋体"/>
          <w:bCs/>
          <w:color w:val="000000"/>
          <w:kern w:val="0"/>
          <w:sz w:val="24"/>
          <w:szCs w:val="24"/>
        </w:rPr>
        <w:t>提供，</w:t>
      </w:r>
      <w:r>
        <w:rPr>
          <w:rFonts w:hint="eastAsia" w:ascii="宋体" w:hAnsi="宋体"/>
          <w:bCs/>
          <w:color w:val="000000"/>
          <w:kern w:val="0"/>
          <w:sz w:val="24"/>
          <w:szCs w:val="24"/>
        </w:rPr>
        <w:t>并且</w:t>
      </w:r>
      <w:r>
        <w:rPr>
          <w:rFonts w:ascii="宋体" w:hAnsi="宋体"/>
          <w:bCs/>
          <w:color w:val="000000"/>
          <w:kern w:val="0"/>
          <w:sz w:val="24"/>
          <w:szCs w:val="24"/>
        </w:rPr>
        <w:t>能够识别，否则</w:t>
      </w:r>
      <w:r>
        <w:rPr>
          <w:rFonts w:hint="eastAsia" w:ascii="宋体" w:hAnsi="宋体"/>
          <w:bCs/>
          <w:color w:val="000000"/>
          <w:kern w:val="0"/>
          <w:sz w:val="24"/>
          <w:szCs w:val="24"/>
        </w:rPr>
        <w:t>不作为中标候选人推荐</w:t>
      </w:r>
      <w:r>
        <w:rPr>
          <w:rFonts w:ascii="宋体" w:hAnsi="宋体"/>
          <w:bCs/>
          <w:color w:val="000000"/>
          <w:kern w:val="0"/>
          <w:sz w:val="24"/>
          <w:szCs w:val="24"/>
        </w:rPr>
        <w:t>。</w:t>
      </w:r>
      <w:r>
        <w:rPr>
          <w:rFonts w:hint="eastAsia" w:ascii="宋体" w:hAnsi="宋体"/>
          <w:bCs/>
          <w:color w:val="000000"/>
          <w:kern w:val="0"/>
          <w:sz w:val="24"/>
          <w:szCs w:val="24"/>
        </w:rPr>
        <w:t>若供应商提供虚假资料，一经查实取消其中标候选人资格，并向相关主管部门汇报。</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2、中标单位不得转包、分包，如果发现有转包、分包情况，则取消其中标候选人资格，并向相关主管部门汇报。</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3、中标公告期内，中标单位有义务按采购单位的</w:t>
      </w:r>
      <w:r>
        <w:rPr>
          <w:rFonts w:ascii="宋体" w:hAnsi="宋体"/>
          <w:bCs/>
          <w:color w:val="000000"/>
          <w:kern w:val="0"/>
          <w:sz w:val="24"/>
          <w:szCs w:val="24"/>
        </w:rPr>
        <w:t>要求</w:t>
      </w:r>
      <w:r>
        <w:rPr>
          <w:rFonts w:hint="eastAsia" w:ascii="宋体" w:hAnsi="宋体"/>
          <w:bCs/>
          <w:color w:val="000000"/>
          <w:kern w:val="0"/>
          <w:sz w:val="24"/>
          <w:szCs w:val="24"/>
        </w:rPr>
        <w:t>提供产品相关证明文件原件以供审核，如有不实采购人有权取消其中标资格。</w:t>
      </w:r>
    </w:p>
    <w:p>
      <w:pPr>
        <w:snapToGrid w:val="0"/>
        <w:ind w:firstLine="480" w:firstLineChars="200"/>
        <w:rPr>
          <w:rFonts w:ascii="宋体" w:hAnsi="宋体"/>
          <w:bCs/>
          <w:color w:val="000000"/>
          <w:kern w:val="0"/>
          <w:sz w:val="24"/>
          <w:szCs w:val="24"/>
        </w:rPr>
      </w:pP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9" w:name="_Toc20541"/>
      <w:r>
        <w:rPr>
          <w:rStyle w:val="47"/>
          <w:rFonts w:hint="eastAsia" w:ascii="宋体" w:hAnsi="宋体" w:eastAsia="宋体" w:cs="宋体"/>
          <w:b/>
          <w:sz w:val="44"/>
        </w:rPr>
        <w:t>第六章  投标文件格式</w:t>
      </w:r>
      <w:bookmarkEnd w:id="9"/>
    </w:p>
    <w:p>
      <w:pPr>
        <w:jc w:val="center"/>
        <w:rPr>
          <w:rStyle w:val="47"/>
          <w:rFonts w:ascii="宋体" w:hAnsi="宋体" w:cs="宋体"/>
          <w:b/>
          <w:sz w:val="72"/>
        </w:rPr>
      </w:pPr>
    </w:p>
    <w:p>
      <w:pPr>
        <w:jc w:val="center"/>
        <w:outlineLvl w:val="0"/>
        <w:rPr>
          <w:rStyle w:val="47"/>
          <w:rFonts w:ascii="宋体" w:hAnsi="宋体" w:cs="宋体"/>
          <w:b/>
          <w:sz w:val="72"/>
        </w:rPr>
      </w:pPr>
      <w:bookmarkStart w:id="10" w:name="_Toc26413"/>
      <w:r>
        <w:rPr>
          <w:rStyle w:val="47"/>
          <w:rFonts w:hint="eastAsia" w:ascii="宋体" w:hAnsi="宋体" w:cs="宋体"/>
          <w:b/>
          <w:sz w:val="72"/>
        </w:rPr>
        <w:t>投  标  文  件</w:t>
      </w:r>
      <w:bookmarkEnd w:id="10"/>
    </w:p>
    <w:p>
      <w:pPr>
        <w:jc w:val="center"/>
        <w:outlineLvl w:val="0"/>
        <w:rPr>
          <w:rStyle w:val="47"/>
          <w:rFonts w:ascii="宋体" w:hAnsi="宋体" w:cs="宋体"/>
          <w:b/>
          <w:sz w:val="72"/>
        </w:rPr>
      </w:pPr>
      <w:bookmarkStart w:id="11" w:name="_Toc17655"/>
      <w:r>
        <w:rPr>
          <w:rStyle w:val="47"/>
          <w:rFonts w:hint="eastAsia" w:ascii="宋体" w:hAnsi="宋体" w:cs="宋体"/>
          <w:b/>
          <w:sz w:val="36"/>
        </w:rPr>
        <w:t>（正或副本）</w:t>
      </w:r>
      <w:bookmarkEnd w:id="11"/>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2" w:name="_Toc8567"/>
      <w:r>
        <w:rPr>
          <w:rStyle w:val="47"/>
          <w:rFonts w:hint="eastAsia" w:ascii="宋体" w:hAnsi="宋体" w:cs="宋体"/>
          <w:b/>
          <w:sz w:val="36"/>
        </w:rPr>
        <w:t>项 目 名 称：</w:t>
      </w:r>
      <w:bookmarkEnd w:id="12"/>
    </w:p>
    <w:p>
      <w:pPr>
        <w:ind w:firstLine="1084" w:firstLineChars="300"/>
        <w:outlineLvl w:val="0"/>
        <w:rPr>
          <w:rStyle w:val="47"/>
          <w:rFonts w:ascii="宋体" w:hAnsi="宋体" w:cs="宋体"/>
          <w:b/>
          <w:sz w:val="36"/>
          <w:u w:val="single" w:color="000000"/>
        </w:rPr>
      </w:pPr>
      <w:bookmarkStart w:id="13" w:name="_Toc20815"/>
      <w:r>
        <w:rPr>
          <w:rStyle w:val="47"/>
          <w:rFonts w:hint="eastAsia" w:ascii="宋体" w:hAnsi="宋体" w:cs="宋体"/>
          <w:b/>
          <w:sz w:val="36"/>
        </w:rPr>
        <w:t>招 标 编 号：</w:t>
      </w:r>
      <w:bookmarkEnd w:id="13"/>
    </w:p>
    <w:p>
      <w:pPr>
        <w:ind w:firstLine="1084" w:firstLineChars="300"/>
        <w:outlineLvl w:val="0"/>
        <w:rPr>
          <w:rStyle w:val="47"/>
          <w:rFonts w:ascii="宋体" w:hAnsi="宋体" w:cs="宋体"/>
          <w:b/>
          <w:sz w:val="36"/>
          <w:u w:val="single" w:color="000000"/>
        </w:rPr>
      </w:pPr>
      <w:bookmarkStart w:id="14" w:name="_Toc15597"/>
      <w:r>
        <w:rPr>
          <w:rStyle w:val="47"/>
          <w:rFonts w:hint="eastAsia" w:ascii="宋体" w:hAnsi="宋体" w:cs="宋体"/>
          <w:b/>
          <w:sz w:val="36"/>
        </w:rPr>
        <w:t>投标人名称 ：</w:t>
      </w:r>
      <w:bookmarkEnd w:id="14"/>
    </w:p>
    <w:p>
      <w:pPr>
        <w:ind w:firstLine="1084" w:firstLineChars="300"/>
        <w:outlineLvl w:val="0"/>
        <w:rPr>
          <w:rStyle w:val="47"/>
          <w:rFonts w:ascii="宋体" w:hAnsi="宋体" w:cs="宋体"/>
          <w:b/>
          <w:sz w:val="36"/>
        </w:rPr>
      </w:pPr>
      <w:bookmarkStart w:id="15" w:name="_Toc26387"/>
      <w:r>
        <w:rPr>
          <w:rStyle w:val="47"/>
          <w:rFonts w:hint="eastAsia" w:ascii="宋体" w:hAnsi="宋体" w:cs="宋体"/>
          <w:b/>
          <w:sz w:val="36"/>
        </w:rPr>
        <w:t>日      期 ：</w:t>
      </w:r>
      <w:bookmarkEnd w:id="15"/>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7"/>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6"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7"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7"/>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8"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8"/>
    </w:p>
    <w:p>
      <w:pPr>
        <w:ind w:firstLine="482" w:firstLineChars="200"/>
        <w:outlineLvl w:val="0"/>
        <w:rPr>
          <w:rFonts w:ascii="宋体" w:hAnsi="宋体" w:cs="宋体"/>
          <w:color w:val="000000" w:themeColor="text1"/>
          <w:sz w:val="24"/>
          <w14:textFill>
            <w14:solidFill>
              <w14:schemeClr w14:val="tx1"/>
            </w14:solidFill>
          </w14:textFill>
        </w:rPr>
      </w:pPr>
      <w:bookmarkStart w:id="19"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9"/>
    </w:p>
    <w:p>
      <w:pPr>
        <w:ind w:firstLine="480" w:firstLineChars="200"/>
        <w:outlineLvl w:val="0"/>
        <w:rPr>
          <w:rFonts w:ascii="宋体" w:hAnsi="宋体" w:cs="宋体"/>
          <w:bCs/>
          <w:color w:val="000000" w:themeColor="text1"/>
          <w:sz w:val="24"/>
          <w14:textFill>
            <w14:solidFill>
              <w14:schemeClr w14:val="tx1"/>
            </w14:solidFill>
          </w14:textFill>
        </w:rPr>
      </w:pPr>
      <w:bookmarkStart w:id="20" w:name="_Toc17993"/>
      <w:r>
        <w:rPr>
          <w:rFonts w:hint="eastAsia" w:ascii="宋体" w:hAnsi="宋体" w:cs="宋体"/>
          <w:color w:val="000000" w:themeColor="text1"/>
          <w:sz w:val="24"/>
          <w14:textFill>
            <w14:solidFill>
              <w14:schemeClr w14:val="tx1"/>
            </w14:solidFill>
          </w14:textFill>
        </w:rPr>
        <w:t>三、符合性检查响应对照表</w:t>
      </w:r>
      <w:bookmarkEnd w:id="20"/>
    </w:p>
    <w:p>
      <w:pPr>
        <w:ind w:firstLine="480" w:firstLineChars="200"/>
        <w:outlineLvl w:val="0"/>
        <w:rPr>
          <w:rFonts w:ascii="宋体" w:hAnsi="宋体" w:cs="宋体"/>
          <w:color w:val="000000" w:themeColor="text1"/>
          <w:sz w:val="24"/>
          <w14:textFill>
            <w14:solidFill>
              <w14:schemeClr w14:val="tx1"/>
            </w14:solidFill>
          </w14:textFill>
        </w:rPr>
      </w:pPr>
      <w:bookmarkStart w:id="21" w:name="_Toc4466"/>
      <w:r>
        <w:rPr>
          <w:rFonts w:hint="eastAsia" w:ascii="宋体" w:hAnsi="宋体" w:cs="宋体"/>
          <w:color w:val="000000" w:themeColor="text1"/>
          <w:sz w:val="24"/>
          <w14:textFill>
            <w14:solidFill>
              <w14:schemeClr w14:val="tx1"/>
            </w14:solidFill>
          </w14:textFill>
        </w:rPr>
        <w:t>四、投标函</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256"/>
      <w:r>
        <w:rPr>
          <w:rFonts w:hint="eastAsia" w:ascii="宋体" w:hAnsi="宋体" w:cs="宋体"/>
          <w:color w:val="000000" w:themeColor="text1"/>
          <w:sz w:val="24"/>
          <w14:textFill>
            <w14:solidFill>
              <w14:schemeClr w14:val="tx1"/>
            </w14:solidFill>
          </w14:textFill>
        </w:rPr>
        <w:t>六、投标配置与分项报价表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4"/>
    </w:p>
    <w:p>
      <w:pPr>
        <w:ind w:firstLine="480" w:firstLineChars="200"/>
        <w:outlineLvl w:val="0"/>
        <w:rPr>
          <w:rFonts w:ascii="宋体" w:hAnsi="宋体" w:cs="宋体"/>
          <w:color w:val="000000" w:themeColor="text1"/>
          <w:sz w:val="24"/>
          <w14:textFill>
            <w14:solidFill>
              <w14:schemeClr w14:val="tx1"/>
            </w14:solidFill>
          </w14:textFill>
        </w:rPr>
      </w:pPr>
      <w:bookmarkStart w:id="25" w:name="_Toc13614"/>
      <w:r>
        <w:rPr>
          <w:rFonts w:hint="eastAsia" w:ascii="宋体" w:hAnsi="宋体" w:cs="宋体"/>
          <w:color w:val="000000" w:themeColor="text1"/>
          <w:sz w:val="24"/>
          <w14:textFill>
            <w14:solidFill>
              <w14:schemeClr w14:val="tx1"/>
            </w14:solidFill>
          </w14:textFill>
        </w:rPr>
        <w:t>八、商务条款响应及偏离表</w:t>
      </w:r>
      <w:bookmarkEnd w:id="25"/>
    </w:p>
    <w:p>
      <w:pPr>
        <w:ind w:firstLine="480" w:firstLineChars="200"/>
        <w:outlineLvl w:val="0"/>
        <w:rPr>
          <w:rFonts w:ascii="宋体" w:hAnsi="宋体" w:cs="宋体"/>
          <w:color w:val="000000" w:themeColor="text1"/>
          <w:sz w:val="24"/>
          <w14:textFill>
            <w14:solidFill>
              <w14:schemeClr w14:val="tx1"/>
            </w14:solidFill>
          </w14:textFill>
        </w:rPr>
      </w:pPr>
      <w:bookmarkStart w:id="26" w:name="_Toc25377"/>
      <w:r>
        <w:rPr>
          <w:rFonts w:hint="eastAsia" w:ascii="宋体" w:hAnsi="宋体" w:cs="宋体"/>
          <w:color w:val="000000" w:themeColor="text1"/>
          <w:sz w:val="24"/>
          <w14:textFill>
            <w14:solidFill>
              <w14:schemeClr w14:val="tx1"/>
            </w14:solidFill>
          </w14:textFill>
        </w:rPr>
        <w:t>九、技术方案、服务承诺、培训承诺等</w:t>
      </w:r>
      <w:bookmarkEnd w:id="26"/>
    </w:p>
    <w:p>
      <w:pPr>
        <w:ind w:firstLine="480" w:firstLineChars="200"/>
        <w:outlineLvl w:val="0"/>
        <w:rPr>
          <w:rFonts w:ascii="宋体" w:hAnsi="宋体" w:cs="宋体"/>
          <w:color w:val="000000" w:themeColor="text1"/>
          <w14:textFill>
            <w14:solidFill>
              <w14:schemeClr w14:val="tx1"/>
            </w14:solidFill>
          </w14:textFill>
        </w:rPr>
      </w:pPr>
      <w:bookmarkStart w:id="27" w:name="_Toc28209"/>
      <w:r>
        <w:rPr>
          <w:rFonts w:hint="eastAsia" w:ascii="宋体" w:hAnsi="宋体" w:cs="宋体"/>
          <w:color w:val="000000" w:themeColor="text1"/>
          <w:sz w:val="24"/>
          <w:szCs w:val="24"/>
          <w14:textFill>
            <w14:solidFill>
              <w14:schemeClr w14:val="tx1"/>
            </w14:solidFill>
          </w14:textFill>
        </w:rPr>
        <w:t>十、中小企业声明函</w:t>
      </w:r>
      <w:bookmarkEnd w:id="27"/>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8" w:name="_Toc13879"/>
      <w:r>
        <w:rPr>
          <w:rFonts w:hint="eastAsia" w:ascii="宋体" w:hAnsi="宋体" w:cs="宋体"/>
          <w:color w:val="000000" w:themeColor="text1"/>
          <w:sz w:val="24"/>
          <w14:textFill>
            <w14:solidFill>
              <w14:schemeClr w14:val="tx1"/>
            </w14:solidFill>
          </w14:textFill>
        </w:rPr>
        <w:t>十一、盐城市政府采购事前信用承诺书</w:t>
      </w:r>
      <w:bookmarkEnd w:id="28"/>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6"/>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9"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9"/>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2、非实质性资信证明文件目录</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格式1 《企业申明函》</w:t>
      </w: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5"/>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p>
    <w:p>
      <w:pPr>
        <w:pStyle w:val="5"/>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5"/>
        <w:rPr>
          <w:rFonts w:ascii="宋体" w:hAnsi="宋体" w:cs="宋体"/>
          <w:color w:val="000000" w:themeColor="text1"/>
          <w:sz w:val="24"/>
          <w:szCs w:val="24"/>
          <w14:textFill>
            <w14:solidFill>
              <w14:schemeClr w14:val="tx1"/>
            </w14:solidFill>
          </w14:textFill>
        </w:rPr>
      </w:pPr>
      <w:bookmarkStart w:id="30" w:name="_Hlt26955070"/>
      <w:bookmarkEnd w:id="30"/>
      <w:bookmarkStart w:id="31" w:name="_格式3__银行出具的资信证明"/>
      <w:bookmarkEnd w:id="31"/>
      <w:bookmarkStart w:id="32" w:name="_Hlt26671380"/>
      <w:bookmarkEnd w:id="32"/>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3"/>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4"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4"/>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8"/>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5" w:name="_Toc13422"/>
      <w:r>
        <w:rPr>
          <w:rFonts w:hint="eastAsia" w:ascii="宋体" w:hAnsi="宋体" w:cs="宋体"/>
          <w:color w:val="000000" w:themeColor="text1"/>
          <w:sz w:val="32"/>
          <w:szCs w:val="32"/>
          <w14:textFill>
            <w14:solidFill>
              <w14:schemeClr w14:val="tx1"/>
            </w14:solidFill>
          </w14:textFill>
        </w:rPr>
        <w:t>四、投标函（格式）</w:t>
      </w:r>
      <w:bookmarkEnd w:id="35"/>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1"/>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6"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6"/>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4"/>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4"/>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1"/>
      </w:pPr>
    </w:p>
    <w:p/>
    <w:p>
      <w:pPr>
        <w:pStyle w:val="7"/>
      </w:pPr>
    </w:p>
    <w:p/>
    <w:p>
      <w:pPr>
        <w:rPr>
          <w:rFonts w:ascii="宋体" w:hAnsi="宋体" w:cs="宋体"/>
          <w:b/>
          <w:sz w:val="24"/>
          <w:szCs w:val="24"/>
        </w:rPr>
      </w:pPr>
      <w:bookmarkStart w:id="37" w:name="_Toc11803"/>
      <w:bookmarkStart w:id="38" w:name="_Toc10977"/>
      <w:bookmarkStart w:id="39" w:name="_Toc515647824"/>
      <w:bookmarkStart w:id="40" w:name="_Toc13776"/>
    </w:p>
    <w:bookmarkEnd w:id="37"/>
    <w:bookmarkEnd w:id="38"/>
    <w:bookmarkEnd w:id="39"/>
    <w:bookmarkEnd w:id="40"/>
    <w:p>
      <w:pPr>
        <w:pStyle w:val="4"/>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软件和信息技术服务业，根据《关于印发中小企业划型标准规定的通知》（工信部联企业[2011]300号）文件规定及国家统计局关于印发《统计上大中小微型企业划分办法（2017）》的通知规定的划分标准填写。</w:t>
      </w: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19"/>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r>
        <w:rPr>
          <w:rFonts w:hint="eastAsia"/>
          <w:b/>
          <w:color w:val="000000" w:themeColor="text1"/>
          <w:shd w:val="clear" w:color="auto" w:fill="FFFFFF"/>
          <w14:textFill>
            <w14:solidFill>
              <w14:schemeClr w14:val="tx1"/>
            </w14:solidFill>
          </w14:textFill>
        </w:rPr>
        <w:t>中小企业声明函（服务）</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本公司（联合体）郑重声明，根据《政府采购促进中小企业发展管理办法》（财库﹝2020﹞46 号）的规定，本公司（联合体）参加</w:t>
      </w:r>
      <w:r>
        <w:rPr>
          <w:rFonts w:hint="eastAsia"/>
          <w:color w:val="000000" w:themeColor="text1"/>
          <w:u w:val="single"/>
          <w:shd w:val="clear" w:color="auto" w:fill="FFFFFF"/>
          <w14:textFill>
            <w14:solidFill>
              <w14:schemeClr w14:val="tx1"/>
            </w14:solidFill>
          </w14:textFill>
        </w:rPr>
        <w:t>（单位名称）</w:t>
      </w:r>
      <w:r>
        <w:rPr>
          <w:rFonts w:hint="eastAsia"/>
          <w:color w:val="000000" w:themeColor="text1"/>
          <w:shd w:val="clear" w:color="auto" w:fill="FFFFFF"/>
          <w14:textFill>
            <w14:solidFill>
              <w14:schemeClr w14:val="tx1"/>
            </w14:solidFill>
          </w14:textFill>
        </w:rPr>
        <w:t>的</w:t>
      </w:r>
      <w:r>
        <w:rPr>
          <w:rFonts w:hint="eastAsia"/>
          <w:color w:val="000000" w:themeColor="text1"/>
          <w:u w:val="single"/>
          <w:shd w:val="clear" w:color="auto" w:fill="FFFFFF"/>
          <w14:textFill>
            <w14:solidFill>
              <w14:schemeClr w14:val="tx1"/>
            </w14:solidFill>
          </w14:textFill>
        </w:rPr>
        <w:t>（项目名称）</w:t>
      </w:r>
      <w:r>
        <w:rPr>
          <w:rFonts w:hint="eastAsia"/>
          <w:color w:val="000000" w:themeColor="text1"/>
          <w:shd w:val="clear" w:color="auto" w:fill="FFFFFF"/>
          <w14:textFill>
            <w14:solidFill>
              <w14:schemeClr w14:val="tx1"/>
            </w14:solidFill>
          </w14:textFill>
        </w:rPr>
        <w:t>采购活动，提供的货物全部由符合政策要求的中小企业制造。相关企业（含联合体中的中小企业、签订分包意向协议的中小企业）的具体情况如下：</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1.</w:t>
      </w: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840"/>
        <w:rPr>
          <w:color w:val="000000" w:themeColor="text1"/>
          <w14:textFill>
            <w14:solidFill>
              <w14:schemeClr w14:val="tx1"/>
            </w14:solidFill>
          </w14:textFill>
        </w:rPr>
      </w:pPr>
      <w:r>
        <w:rPr>
          <w:rFonts w:hint="eastAsia"/>
          <w:color w:val="000000" w:themeColor="text1"/>
          <w:u w:val="single"/>
          <w:shd w:val="clear" w:color="auto" w:fill="FFFFFF"/>
          <w14:textFill>
            <w14:solidFill>
              <w14:schemeClr w14:val="tx1"/>
            </w14:solidFill>
          </w14:textFill>
        </w:rPr>
        <w:t xml:space="preserve">（标的名称） </w:t>
      </w:r>
      <w:r>
        <w:rPr>
          <w:rFonts w:hint="eastAsia"/>
          <w:color w:val="000000" w:themeColor="text1"/>
          <w:shd w:val="clear" w:color="auto" w:fill="FFFFFF"/>
          <w14:textFill>
            <w14:solidFill>
              <w14:schemeClr w14:val="tx1"/>
            </w14:solidFill>
          </w14:textFill>
        </w:rPr>
        <w:t>，属于</w:t>
      </w:r>
      <w:r>
        <w:rPr>
          <w:rFonts w:hint="eastAsia"/>
          <w:color w:val="000000" w:themeColor="text1"/>
          <w:u w:val="single"/>
          <w:shd w:val="clear" w:color="auto" w:fill="FFFFFF"/>
          <w14:textFill>
            <w14:solidFill>
              <w14:schemeClr w14:val="tx1"/>
            </w14:solidFill>
          </w14:textFill>
        </w:rPr>
        <w:t>（采购文件中明确的所属行业）</w:t>
      </w:r>
      <w:r>
        <w:rPr>
          <w:rFonts w:hint="eastAsia"/>
          <w:color w:val="000000" w:themeColor="text1"/>
          <w:shd w:val="clear" w:color="auto" w:fill="FFFFFF"/>
          <w14:textFill>
            <w14:solidFill>
              <w14:schemeClr w14:val="tx1"/>
            </w14:solidFill>
          </w14:textFill>
        </w:rPr>
        <w:t>行业；制造商为</w:t>
      </w:r>
      <w:r>
        <w:rPr>
          <w:rFonts w:hint="eastAsia"/>
          <w:color w:val="000000" w:themeColor="text1"/>
          <w:u w:val="single"/>
          <w:shd w:val="clear" w:color="auto" w:fill="FFFFFF"/>
          <w14:textFill>
            <w14:solidFill>
              <w14:schemeClr w14:val="tx1"/>
            </w14:solidFill>
          </w14:textFill>
        </w:rPr>
        <w:t>（企业名称）</w:t>
      </w:r>
      <w:r>
        <w:rPr>
          <w:rFonts w:hint="eastAsia"/>
          <w:color w:val="000000" w:themeColor="text1"/>
          <w:shd w:val="clear" w:color="auto" w:fill="FFFFFF"/>
          <w14:textFill>
            <w14:solidFill>
              <w14:schemeClr w14:val="tx1"/>
            </w14:solidFill>
          </w14:textFill>
        </w:rPr>
        <w:t>，从业人员人，营业收入为万元，资产总额为万元，属于</w:t>
      </w:r>
      <w:r>
        <w:rPr>
          <w:rFonts w:hint="eastAsia"/>
          <w:color w:val="000000" w:themeColor="text1"/>
          <w:u w:val="single"/>
          <w:shd w:val="clear" w:color="auto" w:fill="FFFFFF"/>
          <w14:textFill>
            <w14:solidFill>
              <w14:schemeClr w14:val="tx1"/>
            </w14:solidFill>
          </w14:textFill>
        </w:rPr>
        <w:t>（中型企业、小型企业、微型企业）</w:t>
      </w: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以上企业，不属于大企业的分支机构，不存在控股股东为大企业的情形，也不存在与大企业的负责人为同一人的情形。</w:t>
      </w:r>
    </w:p>
    <w:p>
      <w:pPr>
        <w:pStyle w:val="19"/>
        <w:shd w:val="clear" w:color="auto" w:fill="FFFFFF"/>
        <w:adjustRightInd w:val="0"/>
        <w:snapToGrid w:val="0"/>
        <w:spacing w:before="0" w:beforeAutospacing="0" w:after="0" w:afterAutospacing="0" w:line="360" w:lineRule="auto"/>
        <w:ind w:firstLine="4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本企业对上述声明内容的真实性负责。如有虚假，将依法承担相应责任。</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企业名称（盖章）：</w:t>
      </w:r>
    </w:p>
    <w:p>
      <w:pPr>
        <w:pStyle w:val="19"/>
        <w:shd w:val="clear" w:color="auto" w:fill="FFFFFF"/>
        <w:adjustRightInd w:val="0"/>
        <w:snapToGrid w:val="0"/>
        <w:spacing w:before="0" w:beforeAutospacing="0" w:after="0" w:afterAutospacing="0" w:line="360" w:lineRule="auto"/>
        <w:ind w:firstLine="4080"/>
        <w:rPr>
          <w:color w:val="000000" w:themeColor="text1"/>
          <w14:textFill>
            <w14:solidFill>
              <w14:schemeClr w14:val="tx1"/>
            </w14:solidFill>
          </w14:textFill>
        </w:rPr>
      </w:pPr>
      <w:r>
        <w:rPr>
          <w:rFonts w:hint="eastAsia"/>
          <w:color w:val="000000" w:themeColor="text1"/>
          <w:shd w:val="clear" w:color="auto" w:fill="FFFFFF"/>
          <w14:textFill>
            <w14:solidFill>
              <w14:schemeClr w14:val="tx1"/>
            </w14:solidFill>
          </w14:textFill>
        </w:rPr>
        <w:t>日期：</w:t>
      </w:r>
    </w:p>
    <w:p>
      <w:pPr>
        <w:pStyle w:val="19"/>
        <w:shd w:val="clear" w:color="auto" w:fill="FFFFFF"/>
        <w:adjustRightInd w:val="0"/>
        <w:snapToGrid w:val="0"/>
        <w:spacing w:before="0" w:beforeAutospacing="0" w:after="0" w:afterAutospacing="0" w:line="360" w:lineRule="auto"/>
        <w:rPr>
          <w:color w:val="000000" w:themeColor="text1"/>
          <w14:textFill>
            <w14:solidFill>
              <w14:schemeClr w14:val="tx1"/>
            </w14:solidFill>
          </w14:textFill>
        </w:rPr>
      </w:pPr>
      <w:r>
        <w:rPr>
          <w:rFonts w:hint="eastAsia"/>
          <w:b/>
          <w:color w:val="000000" w:themeColor="text1"/>
          <w:shd w:val="clear" w:color="auto" w:fill="FFFFFF"/>
          <w14:textFill>
            <w14:solidFill>
              <w14:schemeClr w14:val="tx1"/>
            </w14:solidFill>
          </w14:textFill>
        </w:rPr>
        <w:t>从业人员、营业收入、资产总额填报上一年度数据，无上一年度数据的新成立企业可不填报。</w:t>
      </w: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pStyle w:val="19"/>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41"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41"/>
      <w:r>
        <w:rPr>
          <w:rFonts w:hint="eastAsia" w:ascii="宋体" w:hAnsi="宋体" w:cs="宋体"/>
          <w:color w:val="000000" w:themeColor="text1"/>
          <w:sz w:val="32"/>
          <w:szCs w:val="32"/>
          <w14:textFill>
            <w14:solidFill>
              <w14:schemeClr w14:val="tx1"/>
            </w14:solidFill>
          </w14:textFill>
        </w:rPr>
        <w:t>（如有）</w:t>
      </w:r>
    </w:p>
    <w:p>
      <w:pPr>
        <w:snapToGrid w:val="0"/>
        <w:spacing w:before="50" w:after="50"/>
        <w:jc w:val="center"/>
        <w:rPr>
          <w:rFonts w:ascii="宋体" w:hAnsi="宋体" w:cs="宋体"/>
          <w:color w:val="000000" w:themeColor="text1"/>
          <w:sz w:val="32"/>
          <w:szCs w:val="32"/>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102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902"/>
        <w:gridCol w:w="2421"/>
        <w:gridCol w:w="850"/>
        <w:gridCol w:w="736"/>
        <w:gridCol w:w="1107"/>
        <w:gridCol w:w="108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1902"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p>
        </w:tc>
        <w:tc>
          <w:tcPr>
            <w:tcW w:w="2421"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规格、型号</w:t>
            </w:r>
          </w:p>
        </w:tc>
        <w:tc>
          <w:tcPr>
            <w:tcW w:w="850"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p>
        </w:tc>
        <w:tc>
          <w:tcPr>
            <w:tcW w:w="736"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107"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单价</w:t>
            </w:r>
          </w:p>
        </w:tc>
        <w:tc>
          <w:tcPr>
            <w:tcW w:w="1085"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总价</w:t>
            </w:r>
          </w:p>
        </w:tc>
        <w:tc>
          <w:tcPr>
            <w:tcW w:w="1085"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1059" w:type="dxa"/>
            <w:noWrap/>
            <w:vAlign w:val="center"/>
          </w:tcPr>
          <w:p>
            <w:pPr>
              <w:adjustRightInd w:val="0"/>
              <w:snapToGrid w:val="0"/>
              <w:spacing w:line="360" w:lineRule="auto"/>
              <w:jc w:val="center"/>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w:t>
            </w:r>
          </w:p>
        </w:tc>
        <w:tc>
          <w:tcPr>
            <w:tcW w:w="1902" w:type="dxa"/>
            <w:noWrap/>
            <w:vAlign w:val="center"/>
          </w:tcPr>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tc>
        <w:tc>
          <w:tcPr>
            <w:tcW w:w="2421"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850"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736"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107"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vAlign w:val="center"/>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jc w:val="center"/>
        </w:trPr>
        <w:tc>
          <w:tcPr>
            <w:tcW w:w="1059" w:type="dxa"/>
            <w:noWrap/>
            <w:vAlign w:val="center"/>
          </w:tcPr>
          <w:p>
            <w:pPr>
              <w:adjustRightInd w:val="0"/>
              <w:snapToGrid w:val="0"/>
              <w:spacing w:line="360" w:lineRule="auto"/>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合计</w:t>
            </w:r>
          </w:p>
        </w:tc>
        <w:tc>
          <w:tcPr>
            <w:tcW w:w="8101" w:type="dxa"/>
            <w:gridSpan w:val="6"/>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c>
          <w:tcPr>
            <w:tcW w:w="1085" w:type="dxa"/>
            <w:noWrap/>
          </w:tcPr>
          <w:p>
            <w:pPr>
              <w:adjustRightInd w:val="0"/>
              <w:snapToGrid w:val="0"/>
              <w:spacing w:line="360" w:lineRule="auto"/>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jc w:val="left"/>
        <w:rPr>
          <w:rFonts w:ascii="宋体" w:hAnsi="宋体" w:cs="宋体"/>
          <w:color w:val="000000" w:themeColor="text1"/>
          <w:sz w:val="32"/>
          <w:szCs w:val="32"/>
          <w14:textFill>
            <w14:solidFill>
              <w14:schemeClr w14:val="tx1"/>
            </w14:solidFill>
          </w14:textFill>
        </w:rPr>
      </w:pPr>
      <w:bookmarkStart w:id="42" w:name="_Hlt26955054"/>
      <w:bookmarkEnd w:id="42"/>
      <w:r>
        <w:rPr>
          <w:rFonts w:ascii="宋体" w:hAnsi="宋体" w:cs="宋体"/>
          <w:color w:val="000000" w:themeColor="text1"/>
          <w:sz w:val="32"/>
          <w:szCs w:val="32"/>
          <w14:textFill>
            <w14:solidFill>
              <w14:schemeClr w14:val="tx1"/>
            </w14:solidFill>
          </w14:textFill>
        </w:rPr>
        <w:br w:type="page"/>
      </w: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3" w:name="_Toc17355"/>
      <w:r>
        <w:rPr>
          <w:rFonts w:hint="eastAsia" w:ascii="宋体" w:hAnsi="宋体" w:cs="宋体"/>
          <w:color w:val="000000" w:themeColor="text1"/>
          <w:sz w:val="32"/>
          <w:szCs w:val="32"/>
          <w14:textFill>
            <w14:solidFill>
              <w14:schemeClr w14:val="tx1"/>
            </w14:solidFill>
          </w14:textFill>
        </w:rPr>
        <w:t>七、技术参数响应及偏离表（如有）</w:t>
      </w:r>
      <w:bookmarkEnd w:id="43"/>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5"/>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4"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44"/>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pStyle w:val="6"/>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5" w:name="_Hlt26955056"/>
      <w:bookmarkEnd w:id="45"/>
      <w:bookmarkStart w:id="46" w:name="_Hlt26671372"/>
      <w:bookmarkEnd w:id="46"/>
      <w:bookmarkStart w:id="47" w:name="_Hlt26671343"/>
      <w:bookmarkEnd w:id="47"/>
      <w:bookmarkStart w:id="48" w:name="_Hlt26955066"/>
      <w:bookmarkEnd w:id="48"/>
      <w:bookmarkStart w:id="49" w:name="_Hlt26580838"/>
      <w:bookmarkEnd w:id="49"/>
      <w:bookmarkStart w:id="50" w:name="_Hlt26671374"/>
      <w:bookmarkEnd w:id="50"/>
      <w:bookmarkStart w:id="51" w:name="_Hlt26782999"/>
      <w:bookmarkEnd w:id="51"/>
      <w:bookmarkStart w:id="52" w:name="_Hlt26609391"/>
      <w:bookmarkEnd w:id="52"/>
      <w:bookmarkStart w:id="53" w:name="_Hlt24879081"/>
      <w:bookmarkEnd w:id="53"/>
      <w:bookmarkStart w:id="54" w:name="_Hlt26609389"/>
      <w:bookmarkEnd w:id="54"/>
      <w:bookmarkStart w:id="55" w:name="_Hlt26955064"/>
      <w:bookmarkEnd w:id="55"/>
      <w:bookmarkStart w:id="56" w:name="_Toc462564146"/>
    </w:p>
    <w:p>
      <w:pPr>
        <w:pStyle w:val="6"/>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bookmarkStart w:id="57" w:name="_Toc8363"/>
      <w:r>
        <w:rPr>
          <w:rFonts w:hint="eastAsia" w:ascii="宋体" w:hAnsi="宋体" w:cs="宋体"/>
          <w:color w:val="000000" w:themeColor="text1"/>
          <w:sz w:val="32"/>
          <w:szCs w:val="32"/>
          <w14:textFill>
            <w14:solidFill>
              <w14:schemeClr w14:val="tx1"/>
            </w14:solidFill>
          </w14:textFill>
        </w:rPr>
        <w:t>九、技术方案、服务承诺等</w:t>
      </w:r>
      <w:bookmarkEnd w:id="56"/>
      <w:bookmarkEnd w:id="57"/>
      <w:bookmarkStart w:id="58" w:name="_格式2__法定代表人授权书"/>
      <w:bookmarkEnd w:id="58"/>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pStyle w:val="8"/>
        <w:rPr>
          <w:rFonts w:ascii="宋体" w:hAnsi="宋体" w:cs="宋体"/>
          <w:color w:val="000000" w:themeColor="text1"/>
          <w14:textFill>
            <w14:solidFill>
              <w14:schemeClr w14:val="tx1"/>
            </w14:solidFill>
          </w14:textFill>
        </w:rPr>
      </w:pPr>
    </w:p>
    <w:p>
      <w:pPr>
        <w:numPr>
          <w:ilvl w:val="0"/>
          <w:numId w:val="6"/>
        </w:numPr>
        <w:snapToGrid w:val="0"/>
        <w:spacing w:before="50" w:after="50"/>
        <w:outlineLvl w:val="0"/>
        <w:rPr>
          <w:rFonts w:hAnsi="宋体" w:cs="宋体"/>
          <w:b/>
          <w:bCs/>
          <w:color w:val="000000" w:themeColor="text1"/>
          <w14:textFill>
            <w14:solidFill>
              <w14:schemeClr w14:val="tx1"/>
            </w14:solidFill>
          </w14:textFill>
        </w:rPr>
        <w:sectPr>
          <w:footerReference r:id="rId13" w:type="first"/>
          <w:footerReference r:id="rId12" w:type="default"/>
          <w:pgSz w:w="11906" w:h="16838"/>
          <w:pgMar w:top="1417" w:right="1587" w:bottom="1417" w:left="1366" w:header="851" w:footer="907" w:gutter="0"/>
          <w:cols w:space="0" w:num="1"/>
          <w:titlePg/>
          <w:docGrid w:type="lines" w:linePitch="298" w:charSpace="0"/>
        </w:sectPr>
      </w:pPr>
    </w:p>
    <w:p>
      <w:pPr>
        <w:spacing w:line="460" w:lineRule="exact"/>
        <w:outlineLvl w:val="0"/>
        <w:rPr>
          <w:rFonts w:ascii="宋体" w:hAnsi="宋体" w:cs="宋体"/>
          <w:color w:val="000000" w:themeColor="text1"/>
          <w:sz w:val="32"/>
          <w14:textFill>
            <w14:solidFill>
              <w14:schemeClr w14:val="tx1"/>
            </w14:solidFill>
          </w14:textFill>
        </w:rPr>
      </w:pPr>
      <w:bookmarkStart w:id="59"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14:textFill>
            <w14:solidFill>
              <w14:schemeClr w14:val="tx1"/>
            </w14:solidFill>
          </w14:textFill>
        </w:rPr>
        <w:t>十、盐城市政府采购事前信用承诺书</w:t>
      </w:r>
      <w:bookmarkEnd w:id="59"/>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0" w:name="_Toc1790"/>
      <w:r>
        <w:rPr>
          <w:rFonts w:hint="eastAsia" w:ascii="宋体" w:hAnsi="宋体" w:cs="宋体"/>
          <w:color w:val="000000" w:themeColor="text1"/>
          <w:sz w:val="24"/>
          <w:szCs w:val="24"/>
          <w14:textFill>
            <w14:solidFill>
              <w14:schemeClr w14:val="tx1"/>
            </w14:solidFill>
          </w14:textFill>
        </w:rPr>
        <w:t>法定代表人签名：</w:t>
      </w:r>
      <w:bookmarkEnd w:id="60"/>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1" w:name="_Toc27882"/>
      <w:r>
        <w:rPr>
          <w:rFonts w:hint="eastAsia" w:ascii="宋体" w:hAnsi="宋体" w:cs="宋体"/>
          <w:color w:val="000000" w:themeColor="text1"/>
          <w:sz w:val="24"/>
          <w:szCs w:val="24"/>
          <w14:textFill>
            <w14:solidFill>
              <w14:schemeClr w14:val="tx1"/>
            </w14:solidFill>
          </w14:textFill>
        </w:rPr>
        <w:t>单位名称（盖章）：</w:t>
      </w:r>
      <w:bookmarkEnd w:id="61"/>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62" w:name="_Toc385"/>
      <w:r>
        <w:rPr>
          <w:rFonts w:hint="eastAsia" w:ascii="宋体" w:hAnsi="宋体" w:cs="宋体"/>
          <w:color w:val="000000" w:themeColor="text1"/>
          <w:sz w:val="24"/>
          <w:szCs w:val="24"/>
          <w14:textFill>
            <w14:solidFill>
              <w14:schemeClr w14:val="tx1"/>
            </w14:solidFill>
          </w14:textFill>
        </w:rPr>
        <w:t>年    月    日</w:t>
      </w:r>
      <w:bookmarkEnd w:id="62"/>
    </w:p>
    <w:p>
      <w:pPr>
        <w:pStyle w:val="141"/>
        <w:jc w:val="both"/>
        <w:rPr>
          <w:rStyle w:val="47"/>
          <w:rFonts w:ascii="宋体" w:hAnsi="宋体" w:cs="宋体"/>
          <w:color w:val="auto"/>
        </w:rPr>
      </w:pPr>
    </w:p>
    <w:sectPr>
      <w:headerReference r:id="rId14" w:type="default"/>
      <w:footerReference r:id="rId15"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643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103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46</w:t>
                          </w:r>
                          <w:r>
                            <w:fldChar w:fldCharType="end"/>
                          </w:r>
                        </w:p>
                      </w:txbxContent>
                    </wps:txbx>
                    <wps:bodyPr rot="0" vert="horz" wrap="none" lIns="0" tIns="0" rIns="0" bIns="0" anchor="t" anchorCtr="0" upright="1">
                      <a:spAutoFit/>
                    </wps:bodyPr>
                  </wps:wsp>
                </a:graphicData>
              </a:graphic>
            </wp:anchor>
          </w:drawing>
        </mc:Choice>
        <mc:Fallback>
          <w:pict>
            <v:shape id="Text Box 1034"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yemj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WZFYYa/qTGwD7ByPLlah0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J6aP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2022-024W招标文件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2023-024W招标文件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0"/>
      </w:pBdr>
      <w:rPr>
        <w:rFonts w:ascii="隶书" w:hAnsi="隶书" w:eastAsia="隶书" w:cs="隶书"/>
        <w:sz w:val="24"/>
        <w:szCs w:val="24"/>
      </w:rPr>
    </w:pPr>
    <w:r>
      <w:rPr>
        <w:rFonts w:hint="eastAsia" w:ascii="隶书" w:hAnsi="隶书" w:eastAsia="隶书" w:cs="隶书"/>
        <w:sz w:val="24"/>
        <w:szCs w:val="24"/>
      </w:rPr>
      <w:t>2023-024W招标文件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2023-024W</w:t>
    </w:r>
    <w:r>
      <w:rPr>
        <w:rFonts w:hint="eastAsia" w:ascii="Times New Roman" w:hAnsi="隶书" w:eastAsia="隶书" w:cs="隶书"/>
        <w:color w:val="000000"/>
        <w:spacing w:val="40"/>
        <w:kern w:val="2"/>
        <w:sz w:val="21"/>
      </w:rPr>
      <w:t>招标文件</w:t>
    </w:r>
  </w:p>
  <w:p>
    <w:pPr>
      <w:pStyle w:val="1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2022-024W招标文件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4">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7078B"/>
    <w:rsid w:val="0099206B"/>
    <w:rsid w:val="009C11B1"/>
    <w:rsid w:val="00A1183C"/>
    <w:rsid w:val="00A41EC5"/>
    <w:rsid w:val="00A51F32"/>
    <w:rsid w:val="00A6255B"/>
    <w:rsid w:val="00AA7C70"/>
    <w:rsid w:val="00AE15AF"/>
    <w:rsid w:val="00AE261D"/>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8A02DF"/>
    <w:rsid w:val="05E53B14"/>
    <w:rsid w:val="06AA3A95"/>
    <w:rsid w:val="077C4CBC"/>
    <w:rsid w:val="08677D62"/>
    <w:rsid w:val="08FC324B"/>
    <w:rsid w:val="0AE41970"/>
    <w:rsid w:val="0BA17C72"/>
    <w:rsid w:val="0D7B4325"/>
    <w:rsid w:val="0E261538"/>
    <w:rsid w:val="0F5541A7"/>
    <w:rsid w:val="10837167"/>
    <w:rsid w:val="11195798"/>
    <w:rsid w:val="11C53F90"/>
    <w:rsid w:val="11F94916"/>
    <w:rsid w:val="12082FD7"/>
    <w:rsid w:val="13165211"/>
    <w:rsid w:val="134F427F"/>
    <w:rsid w:val="1394626A"/>
    <w:rsid w:val="15376E13"/>
    <w:rsid w:val="15EB1115"/>
    <w:rsid w:val="18041C24"/>
    <w:rsid w:val="18AE66DE"/>
    <w:rsid w:val="190453A1"/>
    <w:rsid w:val="19B05279"/>
    <w:rsid w:val="19D21F7E"/>
    <w:rsid w:val="1B2A6182"/>
    <w:rsid w:val="1B336F50"/>
    <w:rsid w:val="1B7B3068"/>
    <w:rsid w:val="1BC2228E"/>
    <w:rsid w:val="1BCB2C50"/>
    <w:rsid w:val="1C4A5552"/>
    <w:rsid w:val="1C7D77A6"/>
    <w:rsid w:val="1C9B22E3"/>
    <w:rsid w:val="1DA73FC9"/>
    <w:rsid w:val="1DEF65CF"/>
    <w:rsid w:val="1E9675D8"/>
    <w:rsid w:val="1EBA0E38"/>
    <w:rsid w:val="1F2B6305"/>
    <w:rsid w:val="20D6799C"/>
    <w:rsid w:val="21F8049E"/>
    <w:rsid w:val="230A6FF9"/>
    <w:rsid w:val="23B833C4"/>
    <w:rsid w:val="24313F27"/>
    <w:rsid w:val="24B6415E"/>
    <w:rsid w:val="25593628"/>
    <w:rsid w:val="25795E15"/>
    <w:rsid w:val="2580449D"/>
    <w:rsid w:val="25963607"/>
    <w:rsid w:val="27845BBD"/>
    <w:rsid w:val="27C52CB5"/>
    <w:rsid w:val="27F35805"/>
    <w:rsid w:val="2805529A"/>
    <w:rsid w:val="284E1359"/>
    <w:rsid w:val="28DC1054"/>
    <w:rsid w:val="2C8D1691"/>
    <w:rsid w:val="2D433E79"/>
    <w:rsid w:val="2D65606C"/>
    <w:rsid w:val="2EB102D0"/>
    <w:rsid w:val="2ED17DCD"/>
    <w:rsid w:val="2EFB2475"/>
    <w:rsid w:val="2F1F4980"/>
    <w:rsid w:val="3076600E"/>
    <w:rsid w:val="307F7677"/>
    <w:rsid w:val="31176B77"/>
    <w:rsid w:val="35877A81"/>
    <w:rsid w:val="3744261E"/>
    <w:rsid w:val="3872122D"/>
    <w:rsid w:val="387555EA"/>
    <w:rsid w:val="38CF3E86"/>
    <w:rsid w:val="39755785"/>
    <w:rsid w:val="3A8C4051"/>
    <w:rsid w:val="3B5326F5"/>
    <w:rsid w:val="3BCB58D4"/>
    <w:rsid w:val="3E0024E3"/>
    <w:rsid w:val="3E037FB0"/>
    <w:rsid w:val="3E0554C3"/>
    <w:rsid w:val="3E0702BE"/>
    <w:rsid w:val="3F183ABD"/>
    <w:rsid w:val="4032153F"/>
    <w:rsid w:val="40396E60"/>
    <w:rsid w:val="404E3DFB"/>
    <w:rsid w:val="4142108B"/>
    <w:rsid w:val="41D76922"/>
    <w:rsid w:val="42557B5A"/>
    <w:rsid w:val="461012F9"/>
    <w:rsid w:val="468F36CE"/>
    <w:rsid w:val="472C4FB8"/>
    <w:rsid w:val="477544A9"/>
    <w:rsid w:val="488F2B38"/>
    <w:rsid w:val="4ABE6E0A"/>
    <w:rsid w:val="4AFB3500"/>
    <w:rsid w:val="4CDF4FD7"/>
    <w:rsid w:val="4D2F7C0C"/>
    <w:rsid w:val="4D8959A6"/>
    <w:rsid w:val="4E703810"/>
    <w:rsid w:val="4FC31F86"/>
    <w:rsid w:val="4FEA69E5"/>
    <w:rsid w:val="534665F2"/>
    <w:rsid w:val="53582700"/>
    <w:rsid w:val="53D00760"/>
    <w:rsid w:val="53DB1BAB"/>
    <w:rsid w:val="54C806C5"/>
    <w:rsid w:val="5B570B4A"/>
    <w:rsid w:val="5BE80287"/>
    <w:rsid w:val="5C01420A"/>
    <w:rsid w:val="5C172F4C"/>
    <w:rsid w:val="5C2B17E4"/>
    <w:rsid w:val="5C2B35EA"/>
    <w:rsid w:val="5CAB212A"/>
    <w:rsid w:val="5CCD4DBA"/>
    <w:rsid w:val="5D51151E"/>
    <w:rsid w:val="5E284F41"/>
    <w:rsid w:val="5FE20012"/>
    <w:rsid w:val="60FB0A31"/>
    <w:rsid w:val="61A26709"/>
    <w:rsid w:val="620339A9"/>
    <w:rsid w:val="620E4996"/>
    <w:rsid w:val="622D342E"/>
    <w:rsid w:val="623936FD"/>
    <w:rsid w:val="6303194F"/>
    <w:rsid w:val="63483C8F"/>
    <w:rsid w:val="63E27DDC"/>
    <w:rsid w:val="650125BE"/>
    <w:rsid w:val="67E64767"/>
    <w:rsid w:val="681206DC"/>
    <w:rsid w:val="687674CE"/>
    <w:rsid w:val="689E2536"/>
    <w:rsid w:val="68F024D8"/>
    <w:rsid w:val="68F142E6"/>
    <w:rsid w:val="69142D6C"/>
    <w:rsid w:val="692A771C"/>
    <w:rsid w:val="6A984F03"/>
    <w:rsid w:val="6ADF6879"/>
    <w:rsid w:val="6B08451F"/>
    <w:rsid w:val="6BA77477"/>
    <w:rsid w:val="6BB04F86"/>
    <w:rsid w:val="6D05497A"/>
    <w:rsid w:val="6EB62D31"/>
    <w:rsid w:val="6F370BF8"/>
    <w:rsid w:val="712C0DAB"/>
    <w:rsid w:val="72BA3B44"/>
    <w:rsid w:val="73383726"/>
    <w:rsid w:val="73E906CA"/>
    <w:rsid w:val="74A5063C"/>
    <w:rsid w:val="752F59CE"/>
    <w:rsid w:val="756048F2"/>
    <w:rsid w:val="758F5CF3"/>
    <w:rsid w:val="76BE394D"/>
    <w:rsid w:val="76CB0355"/>
    <w:rsid w:val="76E30B32"/>
    <w:rsid w:val="7710100F"/>
    <w:rsid w:val="797D5EA1"/>
    <w:rsid w:val="7B2D3BB7"/>
    <w:rsid w:val="7B4231CA"/>
    <w:rsid w:val="7B545202"/>
    <w:rsid w:val="7C14555E"/>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6"/>
    <w:qFormat/>
    <w:uiPriority w:val="1"/>
    <w:pPr>
      <w:spacing w:line="357" w:lineRule="exact"/>
      <w:ind w:left="774"/>
      <w:outlineLvl w:val="2"/>
    </w:pPr>
    <w:rPr>
      <w:b/>
      <w:bCs/>
      <w:sz w:val="28"/>
      <w:szCs w:val="28"/>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spacing w:after="120"/>
      <w:ind w:left="1440" w:leftChars="700" w:right="1440" w:rightChars="700"/>
    </w:pPr>
  </w:style>
  <w:style w:type="paragraph" w:styleId="6">
    <w:name w:val="Normal Indent"/>
    <w:basedOn w:val="1"/>
    <w:qFormat/>
    <w:uiPriority w:val="0"/>
    <w:pPr>
      <w:ind w:firstLine="420"/>
    </w:pPr>
  </w:style>
  <w:style w:type="paragraph" w:styleId="8">
    <w:name w:val="Body Text"/>
    <w:basedOn w:val="1"/>
    <w:next w:val="1"/>
    <w:qFormat/>
    <w:uiPriority w:val="1"/>
    <w:rPr>
      <w:sz w:val="28"/>
      <w:szCs w:val="28"/>
    </w:rPr>
  </w:style>
  <w:style w:type="paragraph" w:styleId="9">
    <w:name w:val="Body Text Indent"/>
    <w:basedOn w:val="1"/>
    <w:next w:val="10"/>
    <w:qFormat/>
    <w:uiPriority w:val="0"/>
    <w:pPr>
      <w:ind w:firstLine="645"/>
    </w:pPr>
    <w:rPr>
      <w:rFonts w:ascii="楷体_GB2312" w:eastAsia="楷体_GB2312"/>
      <w:sz w:val="32"/>
      <w:szCs w:val="32"/>
    </w:rPr>
  </w:style>
  <w:style w:type="paragraph" w:styleId="10">
    <w:name w:val="envelope return"/>
    <w:basedOn w:val="1"/>
    <w:qFormat/>
    <w:uiPriority w:val="0"/>
    <w:pPr>
      <w:snapToGrid w:val="0"/>
    </w:pPr>
    <w:rPr>
      <w:rFonts w:ascii="Arial" w:hAnsi="Arial"/>
    </w:r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8"/>
    <w:qFormat/>
    <w:uiPriority w:val="99"/>
    <w:pPr>
      <w:ind w:firstLine="420" w:firstLineChars="100"/>
    </w:pPr>
  </w:style>
  <w:style w:type="paragraph" w:styleId="21">
    <w:name w:val="Body Text First Indent 2"/>
    <w:basedOn w:val="9"/>
    <w:next w:val="8"/>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Char"/>
    <w:link w:val="16"/>
    <w:qFormat/>
    <w:uiPriority w:val="0"/>
    <w:rPr>
      <w:kern w:val="2"/>
      <w:sz w:val="18"/>
      <w:szCs w:val="18"/>
    </w:rPr>
  </w:style>
  <w:style w:type="character" w:customStyle="1" w:styleId="77">
    <w:name w:val="页眉 Char"/>
    <w:link w:val="17"/>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tblPr>
      <w:tblCellMar>
        <w:top w:w="0" w:type="dxa"/>
        <w:left w:w="0" w:type="dxa"/>
        <w:bottom w:w="0" w:type="dxa"/>
        <w:right w:w="0" w:type="dxa"/>
      </w:tblCellMar>
    </w:tblPr>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Char"/>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ycgy</Company>
  <Pages>48</Pages>
  <Words>19082</Words>
  <Characters>20533</Characters>
  <Lines>172</Lines>
  <Paragraphs>48</Paragraphs>
  <TotalTime>3</TotalTime>
  <ScaleCrop>false</ScaleCrop>
  <LinksUpToDate>false</LinksUpToDate>
  <CharactersWithSpaces>22690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2023-08-24T22:38:00Z</dcterms:created>
  <dc:creator>Administrator</dc:creator>
  <cp:lastModifiedBy>赵萌</cp:lastModifiedBy>
  <cp:lastPrinted>2022-11-29T08:36:00Z</cp:lastPrinted>
  <dcterms:modified xsi:type="dcterms:W3CDTF">2023-09-15T02:33:53Z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313F8752C198458288BC04B3E7103567_13</vt:lpwstr>
  </property>
</Properties>
</file>