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pPr>
      <w:r>
        <w:rPr>
          <w:rFonts w:hint="eastAsia" w:ascii="宋体" w:hAnsi="宋体" w:eastAsia="宋体" w:cs="宋体"/>
          <w:b/>
          <w:bCs/>
          <w:color w:val="000000"/>
          <w:kern w:val="0"/>
          <w:szCs w:val="21"/>
          <w:lang w:val="en-US" w:eastAsia="zh-CN"/>
        </w:rPr>
        <w:t>盐城工业职业技术学院</w:t>
      </w:r>
      <w:r>
        <w:rPr>
          <w:rFonts w:hint="eastAsia" w:ascii="宋体" w:hAnsi="宋体" w:eastAsia="宋体" w:cs="宋体"/>
          <w:b/>
          <w:bCs/>
          <w:color w:val="000000"/>
          <w:kern w:val="0"/>
          <w:szCs w:val="21"/>
        </w:rPr>
        <w:t>标准化考场项目清单</w:t>
      </w:r>
    </w:p>
    <w:p/>
    <w:tbl>
      <w:tblPr>
        <w:tblStyle w:val="6"/>
        <w:tblW w:w="14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19"/>
        <w:gridCol w:w="9183"/>
        <w:gridCol w:w="711"/>
        <w:gridCol w:w="43"/>
        <w:gridCol w:w="798"/>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8" w:type="dxa"/>
            <w:shd w:val="clear" w:color="000000" w:fill="FFFFFF" w:themeFill="background1"/>
            <w:vAlign w:val="center"/>
          </w:tcPr>
          <w:p>
            <w:pPr>
              <w:widowControl/>
              <w:spacing w:before="156" w:beforeLines="50" w:after="156" w:afterLines="5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119" w:type="dxa"/>
            <w:shd w:val="clear" w:color="000000" w:fill="FFFFFF" w:themeFill="background1"/>
            <w:vAlign w:val="center"/>
          </w:tcPr>
          <w:p>
            <w:pPr>
              <w:widowControl/>
              <w:spacing w:before="156" w:beforeLines="50" w:after="156" w:afterLines="5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9183" w:type="dxa"/>
            <w:shd w:val="clear" w:color="000000" w:fill="FFFFFF" w:themeFill="background1"/>
            <w:vAlign w:val="center"/>
          </w:tcPr>
          <w:p>
            <w:pPr>
              <w:widowControl/>
              <w:spacing w:before="156" w:beforeLines="50" w:after="156" w:afterLines="5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功能参数</w:t>
            </w:r>
          </w:p>
        </w:tc>
        <w:tc>
          <w:tcPr>
            <w:tcW w:w="754" w:type="dxa"/>
            <w:gridSpan w:val="2"/>
            <w:shd w:val="clear" w:color="000000" w:fill="FFFFFF" w:themeFill="background1"/>
            <w:vAlign w:val="center"/>
          </w:tcPr>
          <w:p>
            <w:pPr>
              <w:widowControl/>
              <w:spacing w:before="156" w:beforeLines="50" w:after="156" w:afterLines="5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798" w:type="dxa"/>
            <w:shd w:val="clear" w:color="000000" w:fill="FFFFFF" w:themeFill="background1"/>
            <w:vAlign w:val="center"/>
          </w:tcPr>
          <w:p>
            <w:pPr>
              <w:widowControl/>
              <w:spacing w:before="156" w:beforeLines="50" w:after="156" w:afterLines="5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954" w:type="dxa"/>
            <w:shd w:val="clear" w:color="000000" w:fill="FFFFFF" w:themeFill="background1"/>
            <w:vAlign w:val="center"/>
          </w:tcPr>
          <w:p>
            <w:pPr>
              <w:widowControl/>
              <w:spacing w:before="156" w:beforeLines="50" w:after="156" w:afterLines="5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一、设备及软件部分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6" w:type="dxa"/>
            <w:gridSpan w:val="7"/>
            <w:shd w:val="clear" w:color="auto" w:fill="auto"/>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1）高清网上巡查系统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红外网络半球摄像机</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1、符合《国家教育考试网上巡查系统视频标准技术规范（2017版）》；</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2、符合《国家标准GB/T28181－2016〈公共安全视频监控联网系统信息传输、交换、控制技术要求〉》；</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3、≥400</w:t>
            </w:r>
            <w:r>
              <w:rPr>
                <w:rFonts w:hint="eastAsia" w:ascii="宋体" w:hAnsi="宋体" w:eastAsia="宋体" w:cs="宋体"/>
                <w:color w:val="000000"/>
                <w:kern w:val="0"/>
                <w:szCs w:val="21"/>
              </w:rPr>
              <w:t>万像素；</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w:t>
            </w:r>
            <w:r>
              <w:rPr>
                <w:rFonts w:ascii="宋体" w:hAnsi="宋体" w:eastAsia="宋体" w:cs="宋体"/>
                <w:color w:val="000000"/>
                <w:kern w:val="0"/>
                <w:szCs w:val="21"/>
              </w:rPr>
              <w:t>帧率：50Hz：25fps (1920 × 1080,1280 × 960,1280 × 720)；</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5、传感器：</w:t>
            </w:r>
            <w:r>
              <w:rPr>
                <w:rFonts w:hint="eastAsia" w:ascii="宋体" w:hAnsi="宋体" w:eastAsia="宋体" w:cs="宋体"/>
                <w:color w:val="000000"/>
                <w:kern w:val="0"/>
                <w:szCs w:val="21"/>
              </w:rPr>
              <w:t>1/</w:t>
            </w:r>
            <w:r>
              <w:rPr>
                <w:rFonts w:ascii="宋体" w:hAnsi="宋体" w:eastAsia="宋体" w:cs="宋体"/>
                <w:color w:val="000000"/>
                <w:kern w:val="0"/>
                <w:szCs w:val="21"/>
              </w:rPr>
              <w:t>3’Progressive Scan CMOS，镜头：2.8mm；</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w:t>
            </w:r>
            <w:r>
              <w:rPr>
                <w:rFonts w:ascii="宋体" w:hAnsi="宋体" w:eastAsia="宋体" w:cs="宋体"/>
                <w:color w:val="000000"/>
                <w:kern w:val="0"/>
                <w:szCs w:val="21"/>
              </w:rPr>
              <w:t>水平视场角≥96°；</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7、信噪比：</w:t>
            </w:r>
            <w:r>
              <w:rPr>
                <w:rFonts w:hint="eastAsia" w:ascii="宋体" w:hAnsi="宋体" w:eastAsia="宋体" w:cs="宋体"/>
                <w:color w:val="000000"/>
                <w:kern w:val="0"/>
                <w:szCs w:val="21"/>
              </w:rPr>
              <w:t>﹥</w:t>
            </w:r>
            <w:r>
              <w:rPr>
                <w:rFonts w:ascii="宋体" w:hAnsi="宋体" w:eastAsia="宋体" w:cs="宋体"/>
                <w:color w:val="000000"/>
                <w:kern w:val="0"/>
                <w:szCs w:val="21"/>
              </w:rPr>
              <w:t>55.dB；（提供法定机构检测报告复印件并加盖制造商公章）</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8、最低照度：补光灯关闭时，彩色：≤0.00021x（AGC ON,RJ45输出，能分辨反射式视频矩阵测试卡中彩色色块）；黑白：≤0.00011x（AGC ON,RJ45输出，能分辨反射式视频分辨率测试卡中圆形轮廓）；（提供法定机构检测报告复印件并加盖制造商公章）</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9、支持H.264、H.265、MJPEG视频压缩标准，支持G.711、MP2L2、AAC音频压缩标准；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10、支持标准SIP2.0，支持SIP地址解析，信令转发，支持SIP URI统一命名规则、分级命名；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1</w:t>
            </w:r>
            <w:r>
              <w:rPr>
                <w:rFonts w:hint="eastAsia" w:ascii="宋体" w:hAnsi="宋体" w:eastAsia="宋体" w:cs="宋体"/>
                <w:color w:val="000000"/>
                <w:kern w:val="0"/>
                <w:szCs w:val="21"/>
              </w:rPr>
              <w:t>、</w:t>
            </w:r>
            <w:r>
              <w:rPr>
                <w:rFonts w:ascii="宋体" w:hAnsi="宋体" w:eastAsia="宋体" w:cs="宋体"/>
                <w:color w:val="000000"/>
                <w:kern w:val="0"/>
                <w:szCs w:val="21"/>
              </w:rPr>
              <w:t>支持Micro SD/SDHC/SDXC卡存储</w:t>
            </w:r>
            <w:r>
              <w:rPr>
                <w:rFonts w:hint="eastAsia" w:ascii="宋体" w:hAnsi="宋体" w:eastAsia="宋体" w:cs="宋体"/>
                <w:color w:val="000000"/>
                <w:kern w:val="0"/>
                <w:szCs w:val="21"/>
              </w:rPr>
              <w:t>，</w:t>
            </w:r>
            <w:r>
              <w:rPr>
                <w:rFonts w:ascii="宋体" w:hAnsi="宋体" w:eastAsia="宋体" w:cs="宋体"/>
                <w:color w:val="000000"/>
                <w:kern w:val="0"/>
                <w:szCs w:val="21"/>
              </w:rPr>
              <w:t>解决由于网络故障引起的视频丢失问题；</w:t>
            </w:r>
            <w:r>
              <w:rPr>
                <w:rFonts w:hint="eastAsia" w:ascii="宋体" w:hAnsi="宋体" w:eastAsia="宋体" w:cs="宋体"/>
                <w:color w:val="000000"/>
                <w:kern w:val="0"/>
                <w:szCs w:val="21"/>
              </w:rPr>
              <w:t>配置1</w:t>
            </w:r>
            <w:r>
              <w:rPr>
                <w:rFonts w:ascii="宋体" w:hAnsi="宋体" w:eastAsia="宋体" w:cs="宋体"/>
                <w:color w:val="000000"/>
                <w:kern w:val="0"/>
                <w:szCs w:val="21"/>
              </w:rPr>
              <w:t>28</w:t>
            </w:r>
            <w:r>
              <w:rPr>
                <w:rFonts w:hint="eastAsia" w:ascii="宋体" w:hAnsi="宋体" w:eastAsia="宋体" w:cs="宋体"/>
                <w:color w:val="000000"/>
                <w:kern w:val="0"/>
                <w:szCs w:val="21"/>
              </w:rPr>
              <w:t>GB</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S</w:t>
            </w:r>
            <w:r>
              <w:rPr>
                <w:rFonts w:ascii="宋体" w:hAnsi="宋体" w:eastAsia="宋体" w:cs="宋体"/>
                <w:color w:val="000000"/>
                <w:kern w:val="0"/>
                <w:szCs w:val="21"/>
              </w:rPr>
              <w:t>D</w:t>
            </w:r>
            <w:r>
              <w:rPr>
                <w:rFonts w:hint="eastAsia" w:ascii="宋体" w:hAnsi="宋体" w:eastAsia="宋体" w:cs="宋体"/>
                <w:color w:val="000000"/>
                <w:kern w:val="0"/>
                <w:szCs w:val="21"/>
              </w:rPr>
              <w:t>卡</w:t>
            </w:r>
            <w:r>
              <w:rPr>
                <w:rFonts w:ascii="宋体" w:hAnsi="宋体" w:eastAsia="宋体" w:cs="宋体"/>
                <w:color w:val="000000"/>
                <w:kern w:val="0"/>
                <w:szCs w:val="21"/>
              </w:rPr>
              <w:t>；</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12、支持≥1路10/100M以太网输出接口，采用RJ45连接，</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13、宽动态范围：≥102dB；</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14、网络适应能力：在丢包率为15%的网络环境下，画面无明显卡顿和画质下降；</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15、支持时钟同步功能，可自动或手动同步系统时间，支持NTP授时；</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16、支持三码流传输功能；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17、可靠性高，外壳防护等级不低于IP67，机械碰撞防护等级不低于IK10；</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8</w:t>
            </w:r>
            <w:r>
              <w:rPr>
                <w:rFonts w:hint="eastAsia" w:ascii="宋体" w:hAnsi="宋体" w:eastAsia="宋体" w:cs="宋体"/>
                <w:color w:val="000000"/>
                <w:kern w:val="0"/>
                <w:szCs w:val="21"/>
              </w:rPr>
              <w:t>、支持国标协议，支持被学校视频监控管理平台纳管。</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9</w:t>
            </w:r>
            <w:r>
              <w:rPr>
                <w:rFonts w:hint="eastAsia" w:ascii="宋体" w:hAnsi="宋体" w:eastAsia="宋体" w:cs="宋体"/>
                <w:color w:val="000000"/>
                <w:kern w:val="0"/>
                <w:szCs w:val="21"/>
              </w:rPr>
              <w:t>、标配PoE供电</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135</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59个60座位考场各1个、28个96~108座位考场各2个、4个284座位阶梯教室各4个，监控室1个，保密室</w:t>
            </w:r>
            <w:r>
              <w:rPr>
                <w:rFonts w:ascii="宋体" w:hAnsi="宋体" w:eastAsia="宋体" w:cs="宋体"/>
                <w:color w:val="000000"/>
                <w:kern w:val="0"/>
                <w:szCs w:val="21"/>
              </w:rPr>
              <w:t>3</w:t>
            </w:r>
            <w:r>
              <w:rPr>
                <w:rFonts w:hint="eastAsia" w:ascii="宋体" w:hAnsi="宋体" w:eastAsia="宋体" w:cs="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拾音器</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w:t>
            </w:r>
            <w:r>
              <w:rPr>
                <w:rFonts w:ascii="宋体" w:hAnsi="宋体" w:eastAsia="宋体" w:cs="宋体"/>
                <w:color w:val="000000"/>
                <w:kern w:val="0"/>
                <w:szCs w:val="21"/>
              </w:rPr>
              <w:t>基本要求：采用高灵敏度低噪声全指向驻极体电容型咪头，防潮设计，全面拾音，保真度高，回放的语音清晰、干净、低噪音；咪头经过防潮技术处理，寿命更长。自适应动态降噪处理，内置高速DSP数字信号处理器，有效防止语音信号失真及衰减。内置自动识别噪声模块，最大限度降低环境噪音。自动抑制高强度声音，可靠保护后端音频监控设备；增强型电源噪声抑制，可消除与IP网络摄像共用DC12V电源引起的噪声。回声消除技术有效减少空旷房间的严重回音。声学及电场环境噪声抑制、话音清晰度增强设计。低噪声高增益放大器，灵敏度调节范围宽，输</w:t>
            </w:r>
            <w:r>
              <w:rPr>
                <w:rFonts w:hint="eastAsia" w:ascii="宋体" w:hAnsi="宋体" w:eastAsia="宋体" w:cs="宋体"/>
                <w:color w:val="000000"/>
                <w:kern w:val="0"/>
                <w:szCs w:val="21"/>
              </w:rPr>
              <w:t>出信号幅度与后端监控设备良好匹配。</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2、输出阻抗：600Ω非平衡。</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3、工作电压：DC 6-15V，工作电流：18mA；</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4、灵敏度：-33dB。</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5、频率范围：20Hz-20kHz。</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6、输出信号幅度：2.5Vpp/-35dB。</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7、信噪比：80dB （1米40 dB音源）40dB （10米40 dB音源）1KHz at 1 Pa。</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8、动态范围：104 dB（1kHz at Max dB SPL），最大输出电平：2.8Vrms/8Vpp(@Vcc=12V,THD＜1%)，驻极体最大承受声压：120dB SPL(f=1KHz,THD 1%)；</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9.其它：采用ABS阻燃环保塑料外壳、特氟龙PTFE高温阻燃引线。传输距离：＞1000m；具有150㎡/7m的拾音面积，有效距离可手动调节。具有雷击保护、电源极性反接保护、ESD静电防护等。</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135</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每个摄像头配一个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存储巡查分发单元</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1、符合《国家教育考试网上巡查系统视频标准技术规范（2017版）》；</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2、符合《国家标准GB/T28181－2016〈公共安全视频监控联网系统信息传输、交换、控制技术要求〉》；</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3、采用Linux操作系统，具有抗病毒和抗攻击能力；</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4、支持≥256路高清视频接入，输入：≥768Mbps，输出≥256 Mbps；（提供法定机构检测报告复印件并加盖制造商公章）</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5、最大支持接入24块SATA硬盘，单块硬盘容量最大支持10T；（提供法定机构检测报告复印件并加盖制造商公章）</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6、</w:t>
            </w:r>
            <w:r>
              <w:rPr>
                <w:rFonts w:hint="eastAsia" w:ascii="宋体" w:hAnsi="宋体" w:eastAsia="宋体" w:cs="宋体"/>
                <w:color w:val="000000"/>
                <w:kern w:val="0"/>
                <w:szCs w:val="21"/>
              </w:rPr>
              <w:t>配置</w:t>
            </w:r>
            <w:r>
              <w:rPr>
                <w:rFonts w:ascii="宋体" w:hAnsi="宋体" w:eastAsia="宋体" w:cs="宋体"/>
                <w:color w:val="000000"/>
                <w:kern w:val="0"/>
                <w:szCs w:val="21"/>
              </w:rPr>
              <w:t>≥16</w:t>
            </w:r>
            <w:r>
              <w:rPr>
                <w:rFonts w:hint="eastAsia" w:ascii="宋体" w:hAnsi="宋体" w:eastAsia="宋体" w:cs="宋体"/>
                <w:color w:val="000000"/>
                <w:kern w:val="0"/>
                <w:szCs w:val="21"/>
              </w:rPr>
              <w:t>块</w:t>
            </w:r>
            <w:r>
              <w:rPr>
                <w:rFonts w:ascii="宋体" w:hAnsi="宋体" w:eastAsia="宋体" w:cs="宋体"/>
                <w:color w:val="000000"/>
                <w:kern w:val="0"/>
                <w:szCs w:val="21"/>
              </w:rPr>
              <w:t>16</w:t>
            </w:r>
            <w:r>
              <w:rPr>
                <w:rFonts w:hint="eastAsia" w:ascii="宋体" w:hAnsi="宋体" w:eastAsia="宋体" w:cs="宋体"/>
                <w:color w:val="000000"/>
                <w:kern w:val="0"/>
                <w:szCs w:val="21"/>
              </w:rPr>
              <w:t>TB</w:t>
            </w:r>
            <w:r>
              <w:rPr>
                <w:rFonts w:ascii="宋体" w:hAnsi="宋体" w:eastAsia="宋体" w:cs="宋体"/>
                <w:color w:val="000000"/>
                <w:kern w:val="0"/>
                <w:szCs w:val="21"/>
              </w:rPr>
              <w:t xml:space="preserve"> 7200</w:t>
            </w:r>
            <w:r>
              <w:rPr>
                <w:rFonts w:hint="eastAsia" w:ascii="宋体" w:hAnsi="宋体" w:eastAsia="宋体" w:cs="宋体"/>
                <w:color w:val="000000"/>
                <w:kern w:val="0"/>
                <w:szCs w:val="21"/>
              </w:rPr>
              <w:t>转 SATA硬盘，存储容量按</w:t>
            </w:r>
            <w:r>
              <w:rPr>
                <w:rFonts w:ascii="宋体" w:hAnsi="宋体" w:eastAsia="宋体" w:cs="宋体"/>
                <w:color w:val="000000"/>
                <w:kern w:val="0"/>
                <w:szCs w:val="21"/>
              </w:rPr>
              <w:t>Raid5+热备，135台摄像头保存30整天计算。</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w:t>
            </w:r>
            <w:r>
              <w:rPr>
                <w:rFonts w:hint="eastAsia" w:ascii="宋体" w:hAnsi="宋体" w:eastAsia="宋体" w:cs="宋体"/>
                <w:color w:val="000000"/>
                <w:kern w:val="0"/>
                <w:szCs w:val="21"/>
              </w:rPr>
              <w:t>、配置</w:t>
            </w:r>
            <w:r>
              <w:rPr>
                <w:rFonts w:ascii="宋体" w:hAnsi="宋体" w:eastAsia="宋体" w:cs="宋体"/>
                <w:color w:val="000000"/>
                <w:kern w:val="0"/>
                <w:szCs w:val="21"/>
              </w:rPr>
              <w:t>4个RJ45、≥2个HDMI、≥1个VGA、≥2个USB、≥24个SATA；</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8、支持2个HDMI同时输出，支持4K高清分辨率输出；</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9、支持本地最大64画面分割预览；</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10、支持对视频质量进行诊断报警功能；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11、应能对用户登录巡查系统进行不同的授权管理，只有通过有效加密手段在平台注册登记后的用户才能登录巡查系统；</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12、支持RAID 0/1/5/6/10；</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13、支持双千兆网卡，支持容错、负载均衡和双网分离，可将两个网口设置不同网段的ip地址，支持 SIP、 RTP、 RTCP 等网络协议；</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14、支持多路同步回放和多路同步倒放，支持智能搜索，支持 IPC集中管理， 包括 IPC 参数配置、信息的导入、语音对讲和升级等；</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5</w:t>
            </w:r>
            <w:r>
              <w:rPr>
                <w:rFonts w:hint="eastAsia" w:ascii="宋体" w:hAnsi="宋体" w:eastAsia="宋体" w:cs="宋体"/>
                <w:color w:val="000000"/>
                <w:kern w:val="0"/>
                <w:szCs w:val="21"/>
              </w:rPr>
              <w:t>、支持国标协议，支持被学校视频监控管理平台纳管。</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1119" w:type="dxa"/>
            <w:shd w:val="clear" w:color="000000" w:fill="FFFFFF"/>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视频拼接解码器</w:t>
            </w:r>
          </w:p>
        </w:tc>
        <w:tc>
          <w:tcPr>
            <w:tcW w:w="9183" w:type="dxa"/>
            <w:shd w:val="clear" w:color="000000" w:fill="FFFFFF"/>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1、符合《国家教育考试网上巡查系统视频标准技术规范（2017版）》技术要求；</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2、符合《国家标准GB/T28181－2016〈公共安全视频监控联网系统信息传输、交换、控制技术要求〉》；</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3、视频编解码应支持H.264、H.265，MPEG4、MJPEG；音频编解码应支持G.722、G.711A、G.726、G.711U、MPEG2-L2、AAC；</w:t>
            </w:r>
          </w:p>
          <w:p>
            <w:pPr>
              <w:widowControl/>
              <w:jc w:val="left"/>
              <w:rPr>
                <w:rFonts w:hint="eastAsia"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、支持音视频同步，流封装应支持TS（Transition Stream）和PS（Program Stream）；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5</w:t>
            </w:r>
            <w:r>
              <w:rPr>
                <w:rFonts w:hint="eastAsia" w:ascii="宋体" w:hAnsi="宋体" w:eastAsia="宋体" w:cs="宋体"/>
                <w:color w:val="000000"/>
                <w:kern w:val="0"/>
                <w:szCs w:val="21"/>
              </w:rPr>
              <w:t>、设备应支持≥8路HDMI输出接口和4路BNC输出接口，分辨率为1080P: 1920 × 1080@50/60 Hz, 720P: 1280 × 720@50/60 Hz；</w:t>
            </w:r>
          </w:p>
          <w:p>
            <w:pPr>
              <w:widowControl/>
              <w:jc w:val="left"/>
              <w:rPr>
                <w:rFonts w:hint="eastAsia" w:ascii="宋体" w:hAnsi="宋体" w:eastAsia="宋体" w:cs="宋体"/>
                <w:color w:val="000000"/>
                <w:kern w:val="0"/>
                <w:szCs w:val="21"/>
              </w:rPr>
            </w:pPr>
            <w:r>
              <w:rPr>
                <w:rFonts w:ascii="宋体" w:hAnsi="宋体" w:eastAsia="宋体" w:cs="宋体"/>
                <w:color w:val="000000"/>
                <w:kern w:val="0"/>
                <w:szCs w:val="21"/>
              </w:rPr>
              <w:t>6</w:t>
            </w:r>
            <w:r>
              <w:rPr>
                <w:rFonts w:hint="eastAsia" w:ascii="宋体" w:hAnsi="宋体" w:eastAsia="宋体" w:cs="宋体"/>
                <w:color w:val="000000"/>
                <w:kern w:val="0"/>
                <w:szCs w:val="21"/>
              </w:rPr>
              <w:t>、输入接口数：≥2路VGA，≥2路HDMI；</w:t>
            </w:r>
          </w:p>
          <w:p>
            <w:pPr>
              <w:widowControl/>
              <w:jc w:val="left"/>
              <w:rPr>
                <w:rFonts w:hint="eastAsia" w:ascii="宋体" w:hAnsi="宋体" w:eastAsia="宋体" w:cs="宋体"/>
                <w:color w:val="000000"/>
                <w:kern w:val="0"/>
                <w:szCs w:val="21"/>
              </w:rPr>
            </w:pPr>
            <w:r>
              <w:rPr>
                <w:rFonts w:ascii="宋体" w:hAnsi="宋体" w:eastAsia="宋体" w:cs="宋体"/>
                <w:color w:val="000000"/>
                <w:kern w:val="0"/>
                <w:szCs w:val="21"/>
              </w:rPr>
              <w:t>7</w:t>
            </w:r>
            <w:r>
              <w:rPr>
                <w:rFonts w:hint="eastAsia" w:ascii="宋体" w:hAnsi="宋体" w:eastAsia="宋体" w:cs="宋体"/>
                <w:color w:val="000000"/>
                <w:kern w:val="0"/>
                <w:szCs w:val="21"/>
              </w:rPr>
              <w:t>、整机解码能力：至少72路1080P分辨率画面；</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8</w:t>
            </w:r>
            <w:r>
              <w:rPr>
                <w:rFonts w:hint="eastAsia" w:ascii="宋体" w:hAnsi="宋体" w:eastAsia="宋体" w:cs="宋体"/>
                <w:color w:val="000000"/>
                <w:kern w:val="0"/>
                <w:szCs w:val="21"/>
              </w:rPr>
              <w:t>、网络接口数≥2个 RJ45  10M/100M/1000Mbps 自适应以太网接口；</w:t>
            </w:r>
          </w:p>
        </w:tc>
        <w:tc>
          <w:tcPr>
            <w:tcW w:w="754" w:type="dxa"/>
            <w:gridSpan w:val="2"/>
            <w:shd w:val="clear" w:color="000000" w:fill="FFFFFF"/>
            <w:vAlign w:val="center"/>
          </w:tcPr>
          <w:p>
            <w:pPr>
              <w:widowControl/>
              <w:jc w:val="center"/>
              <w:rPr>
                <w:rFonts w:hint="eastAsia" w:ascii="宋体" w:hAnsi="宋体" w:eastAsia="宋体" w:cs="宋体"/>
                <w:color w:val="000000"/>
                <w:kern w:val="0"/>
                <w:szCs w:val="21"/>
              </w:rPr>
            </w:pPr>
            <w:r>
              <w:rPr>
                <w:rFonts w:ascii="宋体" w:hAnsi="宋体" w:cs="宋体"/>
                <w:color w:val="000000"/>
                <w:kern w:val="0"/>
                <w:szCs w:val="21"/>
              </w:rPr>
              <w:t>1</w:t>
            </w:r>
          </w:p>
        </w:tc>
        <w:tc>
          <w:tcPr>
            <w:tcW w:w="798" w:type="dxa"/>
            <w:shd w:val="clear" w:color="000000" w:fill="FFFFFF"/>
            <w:vAlign w:val="center"/>
          </w:tcPr>
          <w:p>
            <w:pPr>
              <w:widowControl/>
              <w:jc w:val="center"/>
              <w:rPr>
                <w:rFonts w:hint="eastAsia" w:ascii="宋体" w:hAnsi="宋体" w:eastAsia="宋体" w:cs="宋体"/>
                <w:color w:val="000000"/>
                <w:kern w:val="0"/>
                <w:szCs w:val="21"/>
              </w:rPr>
            </w:pPr>
            <w:r>
              <w:rPr>
                <w:rFonts w:hint="eastAsia" w:ascii="宋体" w:hAnsi="宋体" w:cs="宋体"/>
                <w:color w:val="000000"/>
                <w:kern w:val="0"/>
                <w:szCs w:val="21"/>
                <w:lang w:eastAsia="zh-Hans"/>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高清网上巡查客户端软件</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1、符合《国家教育考试网上巡查系统视频标准技术规范（2017版）》；</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2、支持视频监控管理：提供视频源列表、视频预览、预案播放、轮巡播放等多种方式选择视频源，播放视频；</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3、支持资源管理：统一配置系统资源，如设备、通道、区域等；</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4、支持录像的查询、回放、下载功能；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5、支持多路视频源拼接、1/4/9/16/36多画面输出显示；</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6、支持 MPEG-4 和 H.264 视频编码、支持 MPEG Layer II、G711\AAC 音频编码标准，并支持PS系统流和TS传输流的封装；</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7、支持 IP、UDP、RTP、RTCP、SIP 、TCP/IP、DHCP、PPPOE 等网络协议；</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8、支持网络拥塞控制；</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9、支持视频多路复用；</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视频转发服务：多个用户并发访问同一个音视频资源的情况下，为了减轻视频编码设备的压力和节约网络带宽，应支持通过视频转发模块与视频编码设备建立单路连接，然后采用组播、分发或广播的方式将音视频流转发给用户；</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11、数据库服务：应采用分布式数据库，存储设备和音视频流的索引信息、报警信息、用户资料和权限、系统运行日志，为数据和音视频流检索、身份认证和权限管理提供存储和检索服务；</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12、设备管理：应支持软硬件资源的配置及查询；系统性能的实时监视；系统设备的故障告警监视、故障诊断及定位分析，报警日志的创建及维护；可对摄像头传输的图像进行自动检测并报警等；</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用户和权限管理：应支持设定管辖范围内用户、组、角色的权限。用户管理可包括用户注册、用户查询、用户增加和删除、用户访问权限管理、用户锁定和解锁、用户分组管理、用户访问记录查看等功能；对系统的管理、视频浏览、前端设备控制、历史音视频资料的删除、复制、浏览等操作行为可设定权限，权限可被收回。</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1954"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高清网上巡查计算机</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、CPU：</w:t>
            </w:r>
            <w:r>
              <w:rPr>
                <w:rFonts w:ascii="宋体" w:hAnsi="宋体" w:eastAsia="宋体" w:cs="宋体"/>
                <w:color w:val="000000"/>
                <w:kern w:val="0"/>
                <w:szCs w:val="21"/>
              </w:rPr>
              <w:t>Intel</w:t>
            </w:r>
            <w:r>
              <w:t xml:space="preserve"> </w:t>
            </w:r>
            <w:r>
              <w:rPr>
                <w:rFonts w:ascii="宋体" w:hAnsi="宋体" w:eastAsia="宋体" w:cs="宋体"/>
                <w:color w:val="000000"/>
                <w:kern w:val="0"/>
                <w:szCs w:val="21"/>
              </w:rPr>
              <w:t>i5 12</w:t>
            </w:r>
            <w:r>
              <w:rPr>
                <w:rFonts w:hint="eastAsia" w:ascii="宋体" w:hAnsi="宋体" w:eastAsia="宋体" w:cs="宋体"/>
                <w:color w:val="000000"/>
                <w:kern w:val="0"/>
                <w:szCs w:val="21"/>
              </w:rPr>
              <w:t>代以上</w:t>
            </w:r>
            <w:r>
              <w:rPr>
                <w:rFonts w:ascii="宋体" w:hAnsi="宋体" w:eastAsia="宋体" w:cs="宋体"/>
                <w:color w:val="000000"/>
                <w:kern w:val="0"/>
                <w:szCs w:val="21"/>
              </w:rPr>
              <w:t>处理器</w:t>
            </w:r>
            <w:r>
              <w:rPr>
                <w:rFonts w:hint="eastAsia" w:ascii="宋体" w:hAnsi="宋体" w:eastAsia="宋体" w:cs="宋体"/>
                <w:color w:val="000000"/>
                <w:kern w:val="0"/>
                <w:szCs w:val="21"/>
              </w:rPr>
              <w:t>；</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内存</w:t>
            </w:r>
            <w:r>
              <w:rPr>
                <w:rFonts w:hint="eastAsia" w:ascii="宋体" w:hAnsi="宋体" w:eastAsia="宋体" w:cs="宋体"/>
                <w:color w:val="000000"/>
                <w:kern w:val="0"/>
                <w:szCs w:val="21"/>
              </w:rPr>
              <w:t>：</w:t>
            </w:r>
            <w:r>
              <w:rPr>
                <w:rFonts w:ascii="宋体" w:hAnsi="宋体" w:eastAsia="宋体" w:cs="宋体"/>
                <w:color w:val="000000"/>
                <w:kern w:val="0"/>
                <w:szCs w:val="21"/>
              </w:rPr>
              <w:t>≥16G</w:t>
            </w:r>
            <w:r>
              <w:rPr>
                <w:rFonts w:hint="eastAsia" w:ascii="宋体" w:hAnsi="宋体" w:eastAsia="宋体" w:cs="宋体"/>
                <w:color w:val="000000"/>
                <w:kern w:val="0"/>
                <w:szCs w:val="21"/>
              </w:rPr>
              <w:t>B；</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、硬盘：企业级</w:t>
            </w:r>
            <w:r>
              <w:rPr>
                <w:rFonts w:ascii="宋体" w:hAnsi="宋体" w:eastAsia="宋体" w:cs="宋体"/>
                <w:color w:val="000000"/>
                <w:kern w:val="0"/>
                <w:szCs w:val="21"/>
              </w:rPr>
              <w:t>固态硬盘≥</w:t>
            </w:r>
            <w:r>
              <w:rPr>
                <w:rFonts w:hint="eastAsia" w:ascii="宋体" w:hAnsi="宋体" w:eastAsia="宋体" w:cs="宋体"/>
                <w:color w:val="000000"/>
                <w:kern w:val="0"/>
                <w:szCs w:val="21"/>
              </w:rPr>
              <w:t>5</w:t>
            </w:r>
            <w:r>
              <w:rPr>
                <w:rFonts w:ascii="宋体" w:hAnsi="宋体" w:eastAsia="宋体" w:cs="宋体"/>
                <w:color w:val="000000"/>
                <w:kern w:val="0"/>
                <w:szCs w:val="21"/>
              </w:rPr>
              <w:t>12</w:t>
            </w:r>
            <w:r>
              <w:rPr>
                <w:rFonts w:hint="eastAsia" w:ascii="宋体" w:hAnsi="宋体" w:eastAsia="宋体" w:cs="宋体"/>
                <w:color w:val="000000"/>
                <w:kern w:val="0"/>
                <w:szCs w:val="21"/>
              </w:rPr>
              <w:t>GB，企业级</w:t>
            </w:r>
            <w:r>
              <w:rPr>
                <w:rFonts w:ascii="宋体" w:hAnsi="宋体" w:eastAsia="宋体" w:cs="宋体"/>
                <w:color w:val="000000"/>
                <w:kern w:val="0"/>
                <w:szCs w:val="21"/>
              </w:rPr>
              <w:t>机械</w:t>
            </w:r>
            <w:r>
              <w:rPr>
                <w:rFonts w:hint="eastAsia" w:ascii="宋体" w:hAnsi="宋体" w:eastAsia="宋体" w:cs="宋体"/>
                <w:color w:val="000000"/>
                <w:kern w:val="0"/>
                <w:szCs w:val="21"/>
              </w:rPr>
              <w:t>硬盘</w:t>
            </w:r>
            <w:r>
              <w:rPr>
                <w:rFonts w:ascii="宋体" w:hAnsi="宋体" w:eastAsia="宋体" w:cs="宋体"/>
                <w:color w:val="000000"/>
                <w:kern w:val="0"/>
                <w:szCs w:val="21"/>
              </w:rPr>
              <w:t>≥4T</w:t>
            </w:r>
            <w:r>
              <w:rPr>
                <w:rFonts w:hint="eastAsia" w:ascii="宋体" w:hAnsi="宋体" w:eastAsia="宋体" w:cs="宋体"/>
                <w:color w:val="000000"/>
                <w:kern w:val="0"/>
                <w:szCs w:val="21"/>
              </w:rPr>
              <w:t>；</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4、显卡：独立显卡，</w:t>
            </w:r>
            <w:r>
              <w:rPr>
                <w:rFonts w:ascii="宋体" w:hAnsi="宋体" w:eastAsia="宋体" w:cs="宋体"/>
                <w:color w:val="000000"/>
                <w:kern w:val="0"/>
                <w:szCs w:val="21"/>
              </w:rPr>
              <w:t>≥8G</w:t>
            </w:r>
            <w:r>
              <w:rPr>
                <w:rFonts w:hint="eastAsia" w:ascii="宋体" w:hAnsi="宋体" w:eastAsia="宋体" w:cs="宋体"/>
                <w:color w:val="000000"/>
                <w:kern w:val="0"/>
                <w:szCs w:val="21"/>
              </w:rPr>
              <w:t>显存，</w:t>
            </w:r>
            <w:r>
              <w:rPr>
                <w:rFonts w:ascii="宋体" w:hAnsi="宋体" w:eastAsia="宋体" w:cs="宋体"/>
                <w:color w:val="000000"/>
                <w:kern w:val="0"/>
                <w:szCs w:val="21"/>
              </w:rPr>
              <w:t>≥128</w:t>
            </w:r>
            <w:r>
              <w:rPr>
                <w:rFonts w:hint="eastAsia" w:ascii="宋体" w:hAnsi="宋体" w:eastAsia="宋体" w:cs="宋体"/>
                <w:color w:val="000000"/>
                <w:kern w:val="0"/>
                <w:szCs w:val="21"/>
              </w:rPr>
              <w:t>bit；</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5、网卡：自适应千兆</w:t>
            </w:r>
            <w:r>
              <w:rPr>
                <w:rFonts w:ascii="宋体" w:hAnsi="宋体" w:eastAsia="宋体" w:cs="宋体"/>
                <w:color w:val="000000"/>
                <w:kern w:val="0"/>
                <w:szCs w:val="21"/>
              </w:rPr>
              <w:t>以太网</w:t>
            </w:r>
            <w:r>
              <w:rPr>
                <w:rFonts w:hint="eastAsia" w:ascii="宋体" w:hAnsi="宋体" w:eastAsia="宋体" w:cs="宋体"/>
                <w:color w:val="000000"/>
                <w:kern w:val="0"/>
                <w:szCs w:val="21"/>
              </w:rPr>
              <w:t>接口；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6、显示器：</w:t>
            </w:r>
            <w:r>
              <w:rPr>
                <w:rFonts w:ascii="宋体" w:hAnsi="宋体" w:eastAsia="宋体" w:cs="宋体"/>
                <w:color w:val="000000"/>
                <w:kern w:val="0"/>
                <w:szCs w:val="21"/>
              </w:rPr>
              <w:t>27英寸显示器</w:t>
            </w:r>
            <w:r>
              <w:rPr>
                <w:rFonts w:hint="eastAsia" w:ascii="宋体" w:hAnsi="宋体" w:eastAsia="宋体" w:cs="宋体"/>
                <w:color w:val="000000"/>
                <w:kern w:val="0"/>
                <w:szCs w:val="21"/>
              </w:rPr>
              <w:t>，Type</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c接口</w:t>
            </w:r>
            <w:r>
              <w:rPr>
                <w:rFonts w:ascii="宋体" w:hAnsi="宋体" w:eastAsia="宋体" w:cs="宋体"/>
                <w:color w:val="000000"/>
                <w:kern w:val="0"/>
                <w:szCs w:val="21"/>
              </w:rPr>
              <w:t>≥1</w:t>
            </w:r>
            <w:r>
              <w:rPr>
                <w:rFonts w:hint="eastAsia" w:ascii="宋体" w:hAnsi="宋体" w:eastAsia="宋体" w:cs="宋体"/>
                <w:color w:val="000000"/>
                <w:kern w:val="0"/>
                <w:szCs w:val="21"/>
              </w:rPr>
              <w:t>，外充功率</w:t>
            </w:r>
            <w:r>
              <w:rPr>
                <w:rFonts w:ascii="宋体" w:hAnsi="宋体" w:eastAsia="宋体" w:cs="宋体"/>
                <w:color w:val="000000"/>
                <w:kern w:val="0"/>
                <w:szCs w:val="21"/>
              </w:rPr>
              <w:t>≥65</w:t>
            </w:r>
            <w:r>
              <w:rPr>
                <w:rFonts w:hint="eastAsia" w:ascii="宋体" w:hAnsi="宋体" w:eastAsia="宋体" w:cs="宋体"/>
                <w:color w:val="000000"/>
                <w:kern w:val="0"/>
                <w:szCs w:val="21"/>
              </w:rPr>
              <w:t>瓦；</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w:t>
            </w:r>
            <w:r>
              <w:rPr>
                <w:rFonts w:hint="eastAsia" w:ascii="宋体" w:hAnsi="宋体" w:eastAsia="宋体" w:cs="宋体"/>
                <w:color w:val="000000"/>
                <w:kern w:val="0"/>
                <w:szCs w:val="21"/>
              </w:rPr>
              <w:t>、防水标准键盘鼠标；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8、</w:t>
            </w:r>
            <w:r>
              <w:rPr>
                <w:rFonts w:ascii="宋体" w:hAnsi="宋体" w:eastAsia="宋体" w:cs="宋体"/>
                <w:color w:val="000000"/>
                <w:kern w:val="0"/>
                <w:szCs w:val="21"/>
              </w:rPr>
              <w:t>立式机箱。</w:t>
            </w:r>
          </w:p>
        </w:tc>
        <w:tc>
          <w:tcPr>
            <w:tcW w:w="754" w:type="dxa"/>
            <w:gridSpan w:val="2"/>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SIP转发管理服务器</w:t>
            </w:r>
          </w:p>
        </w:tc>
        <w:tc>
          <w:tcPr>
            <w:tcW w:w="9183"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1、符合《国家教育考试网上巡查系统视频标准技术规范（2017版）》；</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2、符合《国家标准GB/T28181－2016〈公共安全视频监控联网系统信息传输、交换、控制技术要求〉》；</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3、服务器应包含信令转发服务和媒体流转发服务；</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4、采用嵌入式设备，实时操作系统</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 xml:space="preserve">5、支持SIP2.0, SDP协议和其它的SIP关键扩展；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6、支持URI统一命名规则、分级命名、联合定位； SIP URI组、用户、树形列表管理；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7、支持SIP终端的接入认证功能，SIP终端访问呼叫过程控制；</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8、支持设备管理，录像计划、录像导出和设备OSD等功能；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9、支持GPS和北斗授时模块；</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10、符合H.264视频编码标准；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11、支持720P和1080P图像分辨率，并可选；</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12、应能根据需要扩展支持G.711和AAC音频编码标准，并支持Program Stream系统流和Transition Stream传输流的封装。</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13、H264的具体要求符合ISO/EC14496-10高级视频编码AVC标准；G711的具体要求符合ITU-T G711标准；AAC的具体要求符合S14496-3 Audio标准；Program Stream系统流和 Transition Stream传输流的封装标准应遵照ISO/IEC-13818-1(2000版本)的具体规定。</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14、应兼容符合2007规范规定的MPEG4视频编码格式( Advanced Simple Profile不带B帧，不带GMC)， MPEG Layer II音频编码标准。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15、硬件配置至少满足：CPU≥3.0GHz，内存≥8GB，硬盘≥2TB。</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16、应具有≥2 个 10M/100M/1000M 以太网接口, ≥6 个 USB 接口。</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服务器机柜</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、4</w:t>
            </w:r>
            <w:r>
              <w:rPr>
                <w:rFonts w:ascii="宋体" w:hAnsi="宋体" w:eastAsia="宋体" w:cs="宋体"/>
                <w:color w:val="000000"/>
                <w:kern w:val="0"/>
                <w:szCs w:val="21"/>
              </w:rPr>
              <w:t>2</w:t>
            </w:r>
            <w:r>
              <w:rPr>
                <w:rFonts w:hint="eastAsia" w:ascii="宋体" w:hAnsi="宋体" w:eastAsia="宋体" w:cs="宋体"/>
                <w:color w:val="000000"/>
                <w:kern w:val="0"/>
                <w:szCs w:val="21"/>
              </w:rPr>
              <w:t>U服务器机柜；</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2、PDU电源分配器：输入电流</w:t>
            </w:r>
            <w:r>
              <w:rPr>
                <w:rFonts w:ascii="宋体" w:hAnsi="宋体" w:eastAsia="宋体" w:cs="宋体"/>
                <w:color w:val="000000"/>
                <w:kern w:val="0"/>
                <w:szCs w:val="21"/>
              </w:rPr>
              <w:t>≥</w:t>
            </w:r>
            <w:r>
              <w:rPr>
                <w:rFonts w:hint="eastAsia" w:ascii="宋体" w:hAnsi="宋体" w:eastAsia="宋体" w:cs="宋体"/>
                <w:color w:val="000000"/>
                <w:kern w:val="0"/>
                <w:szCs w:val="21"/>
              </w:rPr>
              <w:t>3</w:t>
            </w:r>
            <w:r>
              <w:rPr>
                <w:rFonts w:ascii="宋体" w:hAnsi="宋体" w:eastAsia="宋体" w:cs="宋体"/>
                <w:color w:val="000000"/>
                <w:kern w:val="0"/>
                <w:szCs w:val="21"/>
              </w:rPr>
              <w:t>2</w:t>
            </w:r>
            <w:r>
              <w:rPr>
                <w:rFonts w:hint="eastAsia" w:ascii="宋体" w:hAnsi="宋体" w:eastAsia="宋体" w:cs="宋体"/>
                <w:color w:val="000000"/>
                <w:kern w:val="0"/>
                <w:szCs w:val="21"/>
              </w:rPr>
              <w:t>A，输出电流</w:t>
            </w:r>
            <w:r>
              <w:rPr>
                <w:rFonts w:ascii="宋体" w:hAnsi="宋体" w:eastAsia="宋体" w:cs="宋体"/>
                <w:color w:val="000000"/>
                <w:kern w:val="0"/>
                <w:szCs w:val="21"/>
              </w:rPr>
              <w:t>≥10</w:t>
            </w:r>
            <w:r>
              <w:rPr>
                <w:rFonts w:hint="eastAsia" w:ascii="宋体" w:hAnsi="宋体" w:eastAsia="宋体" w:cs="宋体"/>
                <w:color w:val="000000"/>
                <w:kern w:val="0"/>
                <w:szCs w:val="21"/>
              </w:rPr>
              <w:t>A</w:t>
            </w:r>
            <w:r>
              <w:rPr>
                <w:rFonts w:ascii="宋体" w:hAnsi="宋体" w:eastAsia="宋体" w:cs="宋体"/>
                <w:color w:val="000000"/>
                <w:kern w:val="0"/>
                <w:szCs w:val="21"/>
              </w:rPr>
              <w:t>*16</w:t>
            </w:r>
            <w:r>
              <w:rPr>
                <w:rFonts w:hint="eastAsia" w:ascii="宋体" w:hAnsi="宋体" w:eastAsia="宋体" w:cs="宋体"/>
                <w:color w:val="000000"/>
                <w:kern w:val="0"/>
                <w:szCs w:val="21"/>
              </w:rPr>
              <w:t>，数量</w:t>
            </w:r>
            <w:r>
              <w:rPr>
                <w:rFonts w:ascii="宋体" w:hAnsi="宋体" w:eastAsia="宋体" w:cs="宋体"/>
                <w:color w:val="000000"/>
                <w:kern w:val="0"/>
                <w:szCs w:val="21"/>
              </w:rPr>
              <w:t>≥2</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3、符合</w:t>
            </w:r>
            <w:r>
              <w:rPr>
                <w:rFonts w:ascii="宋体" w:hAnsi="宋体" w:eastAsia="宋体" w:cs="宋体"/>
                <w:color w:val="000000"/>
                <w:kern w:val="0"/>
                <w:szCs w:val="21"/>
              </w:rPr>
              <w:t>ANSI/EIA RS-310-D、DIN41491；PART1、IEC297-2、DIN41494；PART7、GB/T3047.2-92标准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、门及门锁：</w:t>
            </w:r>
            <w:r>
              <w:rPr>
                <w:rFonts w:ascii="宋体" w:hAnsi="宋体" w:eastAsia="宋体" w:cs="宋体"/>
                <w:color w:val="000000"/>
                <w:kern w:val="0"/>
                <w:szCs w:val="21"/>
              </w:rPr>
              <w:t>高密度网孔前门及高密度网孔双开后门；可方便拆卸的左右侧门和前后门，全方位操作，多方位察看；高级旋把机柜门锁</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、材料及工艺：</w:t>
            </w:r>
            <w:r>
              <w:rPr>
                <w:rFonts w:ascii="宋体" w:hAnsi="宋体" w:eastAsia="宋体" w:cs="宋体"/>
                <w:color w:val="000000"/>
                <w:kern w:val="0"/>
                <w:szCs w:val="21"/>
              </w:rPr>
              <w:t>SPCC优质冷扎钢板制作；厚度方孔条≥2.0mm，托盘≥2.0mm，安装梁≥1.5m，其他≥1.2mm，承载≥1000KG（带支脚）；表面处理采用脱脂、酸洗、磷化、静电喷塑</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2）小间距LED大屏</w:t>
            </w:r>
          </w:p>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为了保证显示屏更好的兼容性，</w:t>
            </w:r>
            <w:r>
              <w:rPr>
                <w:rFonts w:ascii="宋体" w:hAnsi="宋体" w:eastAsia="宋体" w:cs="宋体"/>
                <w:color w:val="000000"/>
                <w:kern w:val="0"/>
                <w:szCs w:val="21"/>
              </w:rPr>
              <w:t>LED显示屏单元板和电源</w:t>
            </w:r>
            <w:r>
              <w:rPr>
                <w:rFonts w:hint="eastAsia" w:ascii="宋体" w:hAnsi="宋体" w:eastAsia="宋体" w:cs="宋体"/>
                <w:color w:val="000000"/>
                <w:kern w:val="0"/>
                <w:szCs w:val="21"/>
              </w:rPr>
              <w:t>、</w:t>
            </w:r>
            <w:r>
              <w:rPr>
                <w:rFonts w:ascii="宋体" w:hAnsi="宋体" w:eastAsia="宋体" w:cs="宋体"/>
                <w:color w:val="000000"/>
                <w:kern w:val="0"/>
                <w:szCs w:val="21"/>
              </w:rPr>
              <w:t>视频处理器</w:t>
            </w:r>
            <w:r>
              <w:rPr>
                <w:rFonts w:hint="eastAsia" w:ascii="宋体" w:hAnsi="宋体" w:eastAsia="宋体" w:cs="宋体"/>
                <w:color w:val="000000"/>
                <w:kern w:val="0"/>
                <w:szCs w:val="21"/>
              </w:rPr>
              <w:t>、电源</w:t>
            </w:r>
            <w:r>
              <w:rPr>
                <w:rFonts w:ascii="宋体" w:hAnsi="宋体" w:eastAsia="宋体" w:cs="宋体"/>
                <w:color w:val="000000"/>
                <w:kern w:val="0"/>
                <w:szCs w:val="21"/>
              </w:rPr>
              <w:t>柜必须是同一品牌。（提供相关产品的3C证书复印件，加盖制造商公章）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室内高清全彩LED显示屏</w:t>
            </w:r>
          </w:p>
        </w:tc>
        <w:tc>
          <w:tcPr>
            <w:tcW w:w="9183" w:type="dxa"/>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屏体尺寸：宽度≥5米，高度≥2.8米。</w:t>
            </w:r>
          </w:p>
          <w:p>
            <w:pPr>
              <w:widowControl/>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LED像素间距＜1.6mm，</w:t>
            </w:r>
            <w:r>
              <w:rPr>
                <w:rFonts w:hint="eastAsia" w:ascii="宋体" w:hAnsi="宋体" w:eastAsia="宋体" w:cs="宋体"/>
                <w:kern w:val="0"/>
                <w:szCs w:val="21"/>
              </w:rPr>
              <w:t>像素密度</w:t>
            </w:r>
            <w:r>
              <w:rPr>
                <w:rFonts w:ascii="宋体" w:hAnsi="宋体" w:eastAsia="宋体" w:cs="宋体"/>
                <w:kern w:val="0"/>
                <w:szCs w:val="21"/>
              </w:rPr>
              <w:t>≥422500点/㎡；</w:t>
            </w:r>
            <w:r>
              <w:rPr>
                <w:rFonts w:hint="eastAsia" w:ascii="宋体" w:hAnsi="宋体" w:eastAsia="宋体" w:cs="宋体"/>
                <w:kern w:val="0"/>
                <w:szCs w:val="21"/>
              </w:rPr>
              <w:t>像素构成为表贴三合一1010（1R1G1B）；（提供国家权威机构CNAS检测报告复印件并加盖原厂公章）</w:t>
            </w:r>
          </w:p>
          <w:p>
            <w:pPr>
              <w:widowControl/>
              <w:jc w:val="left"/>
              <w:rPr>
                <w:rFonts w:ascii="宋体" w:hAnsi="宋体" w:eastAsia="宋体" w:cs="宋体"/>
                <w:kern w:val="0"/>
                <w:szCs w:val="21"/>
              </w:rPr>
            </w:pPr>
            <w:r>
              <w:rPr>
                <w:rFonts w:hint="eastAsia" w:ascii="宋体" w:hAnsi="宋体" w:eastAsia="宋体" w:cs="宋体"/>
                <w:kern w:val="0"/>
                <w:szCs w:val="21"/>
              </w:rPr>
              <w:t>3、LED模组：分辨率≥</w:t>
            </w:r>
            <w:r>
              <w:rPr>
                <w:rFonts w:ascii="宋体" w:hAnsi="宋体" w:eastAsia="宋体" w:cs="宋体"/>
                <w:kern w:val="0"/>
                <w:szCs w:val="21"/>
              </w:rPr>
              <w:t>208点*104点</w:t>
            </w:r>
            <w:r>
              <w:rPr>
                <w:rFonts w:hint="eastAsia" w:ascii="宋体" w:hAnsi="宋体" w:eastAsia="宋体" w:cs="宋体"/>
                <w:kern w:val="0"/>
                <w:szCs w:val="21"/>
              </w:rPr>
              <w:t>；尺寸320mm*160mm*15mm；重量≤0.</w:t>
            </w:r>
            <w:r>
              <w:rPr>
                <w:rFonts w:ascii="宋体" w:hAnsi="宋体" w:eastAsia="宋体" w:cs="宋体"/>
                <w:kern w:val="0"/>
                <w:szCs w:val="21"/>
              </w:rPr>
              <w:t>5</w:t>
            </w:r>
            <w:r>
              <w:rPr>
                <w:rFonts w:hint="eastAsia" w:ascii="宋体" w:hAnsi="宋体" w:eastAsia="宋体" w:cs="宋体"/>
                <w:kern w:val="0"/>
                <w:szCs w:val="21"/>
              </w:rPr>
              <w:t>kg；类型为灯驱合一；驱动方式为恒流驱动；（提供国家权威机构CNAS检测报告复印件并加盖原厂公章）</w:t>
            </w:r>
          </w:p>
          <w:p>
            <w:pPr>
              <w:widowControl/>
              <w:jc w:val="left"/>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显示屏箱体显示比例为标准16：9设计，箱体厚度≤40mm</w:t>
            </w:r>
            <w:r>
              <w:rPr>
                <w:rFonts w:hint="eastAsia" w:ascii="宋体" w:hAnsi="宋体" w:eastAsia="宋体" w:cs="宋体"/>
                <w:kern w:val="0"/>
                <w:szCs w:val="21"/>
              </w:rPr>
              <w:t>；</w:t>
            </w:r>
          </w:p>
          <w:p>
            <w:pPr>
              <w:widowControl/>
              <w:jc w:val="left"/>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w:t>
            </w:r>
            <w:r>
              <w:rPr>
                <w:rFonts w:ascii="宋体" w:hAnsi="宋体" w:eastAsia="宋体" w:cs="宋体"/>
                <w:kern w:val="0"/>
                <w:szCs w:val="21"/>
              </w:rPr>
              <w:t>箱体为压铸铝合金材质，一次性整体压铸成型，自然散热结构，无风扇、无孔、防尘、静音设计，箱体背面采用波浪纹设计，提升散热效果</w:t>
            </w:r>
            <w:r>
              <w:rPr>
                <w:rFonts w:hint="eastAsia" w:ascii="宋体" w:hAnsi="宋体" w:eastAsia="宋体" w:cs="宋体"/>
                <w:kern w:val="0"/>
                <w:szCs w:val="21"/>
              </w:rPr>
              <w:t>；</w:t>
            </w:r>
          </w:p>
          <w:p>
            <w:pPr>
              <w:widowControl/>
              <w:jc w:val="left"/>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w:t>
            </w:r>
            <w:r>
              <w:rPr>
                <w:rFonts w:ascii="宋体" w:hAnsi="宋体" w:eastAsia="宋体" w:cs="宋体"/>
                <w:kern w:val="0"/>
                <w:szCs w:val="21"/>
              </w:rPr>
              <w:t>显示屏亮度</w:t>
            </w:r>
            <w:r>
              <w:rPr>
                <w:rFonts w:hint="eastAsia" w:ascii="宋体" w:hAnsi="宋体" w:eastAsia="宋体" w:cs="宋体"/>
                <w:kern w:val="0"/>
                <w:szCs w:val="21"/>
              </w:rPr>
              <w:t>≥550cd/㎡</w:t>
            </w:r>
            <w:r>
              <w:rPr>
                <w:rFonts w:ascii="宋体" w:hAnsi="宋体" w:eastAsia="宋体" w:cs="宋体"/>
                <w:kern w:val="0"/>
                <w:szCs w:val="21"/>
              </w:rPr>
              <w:t>，支持通过配套软件0-100%无极调节，设置亮度定时调节，及通过亮度传感器自动调节（手动/自动/软件任意调节）</w:t>
            </w:r>
            <w:r>
              <w:rPr>
                <w:rFonts w:hint="eastAsia" w:ascii="宋体" w:hAnsi="宋体" w:eastAsia="宋体" w:cs="宋体"/>
                <w:kern w:val="0"/>
                <w:szCs w:val="21"/>
              </w:rPr>
              <w:t>；（提供国家权威机构CNAS检测报告复印件并加盖原厂公章）</w:t>
            </w:r>
          </w:p>
          <w:p>
            <w:pPr>
              <w:widowControl/>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7</w:t>
            </w:r>
            <w:r>
              <w:rPr>
                <w:rFonts w:hint="eastAsia" w:ascii="宋体" w:hAnsi="宋体" w:eastAsia="宋体" w:cs="宋体"/>
                <w:kern w:val="0"/>
                <w:szCs w:val="21"/>
              </w:rPr>
              <w:t>、色温：</w:t>
            </w:r>
            <w:r>
              <w:rPr>
                <w:rFonts w:ascii="宋体" w:hAnsi="宋体" w:eastAsia="宋体" w:cs="宋体"/>
                <w:kern w:val="0"/>
                <w:szCs w:val="21"/>
              </w:rPr>
              <w:t>9000-18000可调；</w:t>
            </w:r>
            <w:r>
              <w:rPr>
                <w:rFonts w:hint="eastAsia" w:ascii="宋体" w:hAnsi="宋体" w:eastAsia="宋体" w:cs="宋体"/>
                <w:kern w:val="0"/>
                <w:szCs w:val="21"/>
              </w:rPr>
              <w:t>（提供国家权威机构</w:t>
            </w:r>
            <w:r>
              <w:rPr>
                <w:rFonts w:ascii="宋体" w:hAnsi="宋体" w:eastAsia="宋体" w:cs="宋体"/>
                <w:kern w:val="0"/>
                <w:szCs w:val="21"/>
              </w:rPr>
              <w:t>CNAS检测报告复印件并加盖原厂公章）</w:t>
            </w:r>
          </w:p>
          <w:p>
            <w:pPr>
              <w:widowControl/>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8</w:t>
            </w:r>
            <w:r>
              <w:rPr>
                <w:rFonts w:hint="eastAsia" w:ascii="宋体" w:hAnsi="宋体" w:eastAsia="宋体" w:cs="宋体"/>
                <w:kern w:val="0"/>
                <w:szCs w:val="21"/>
              </w:rPr>
              <w:t>、换帧频率：60HZ；刷新频率：≥3840Hz；（提供国家权威机构CNAS检测报告复印件并加盖原厂公章）</w:t>
            </w:r>
          </w:p>
          <w:p>
            <w:pPr>
              <w:widowControl/>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9</w:t>
            </w:r>
            <w:r>
              <w:rPr>
                <w:rFonts w:hint="eastAsia" w:ascii="宋体" w:hAnsi="宋体" w:eastAsia="宋体" w:cs="宋体"/>
                <w:kern w:val="0"/>
                <w:szCs w:val="21"/>
              </w:rPr>
              <w:t>、灰度级数：16bit；最大对比度：≥3000:1；（提供国家权威机构CNAS检测报告复印件并加盖原厂公章）</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、平均无故障时间：≥10000小时；寿命：＞100000小时；（提供国家权威机构CNAS检测报告复印件并加盖原厂公章）</w:t>
            </w:r>
          </w:p>
          <w:p>
            <w:pPr>
              <w:widowControl/>
              <w:jc w:val="left"/>
              <w:rPr>
                <w:rFonts w:ascii="宋体" w:hAnsi="宋体" w:eastAsia="宋体" w:cs="宋体"/>
                <w:kern w:val="0"/>
                <w:szCs w:val="21"/>
              </w:rPr>
            </w:pPr>
            <w:r>
              <w:rPr>
                <w:rFonts w:ascii="宋体" w:hAnsi="宋体" w:eastAsia="宋体" w:cs="宋体"/>
                <w:kern w:val="0"/>
                <w:szCs w:val="21"/>
              </w:rPr>
              <w:t>11</w:t>
            </w:r>
            <w:r>
              <w:rPr>
                <w:rFonts w:hint="eastAsia" w:ascii="宋体" w:hAnsi="宋体" w:eastAsia="宋体" w:cs="宋体"/>
                <w:kern w:val="0"/>
                <w:szCs w:val="21"/>
              </w:rPr>
              <w:t>、</w:t>
            </w:r>
            <w:r>
              <w:rPr>
                <w:rFonts w:ascii="宋体" w:hAnsi="宋体" w:eastAsia="宋体" w:cs="宋体"/>
                <w:kern w:val="0"/>
                <w:szCs w:val="21"/>
              </w:rPr>
              <w:t>模组与HUB板采用硬接口设计，板对板设计，无排线，支持直接插拔。接收卡、HUB板二合一全集成设计，接插件镀金＞50u厚度，模组浮动式接插件，模组和驱动板之间采用浮动式接插件，具有嵌合纠偏功能，使连接更稳定。</w:t>
            </w:r>
          </w:p>
          <w:p>
            <w:pPr>
              <w:widowControl/>
              <w:jc w:val="left"/>
              <w:rPr>
                <w:rFonts w:ascii="宋体" w:hAnsi="宋体" w:eastAsia="宋体" w:cs="宋体"/>
                <w:kern w:val="0"/>
                <w:szCs w:val="21"/>
              </w:rPr>
            </w:pPr>
            <w:r>
              <w:rPr>
                <w:rFonts w:ascii="宋体" w:hAnsi="宋体" w:eastAsia="宋体" w:cs="宋体"/>
                <w:kern w:val="0"/>
                <w:szCs w:val="21"/>
              </w:rPr>
              <w:t>12</w:t>
            </w:r>
            <w:r>
              <w:rPr>
                <w:rFonts w:hint="eastAsia" w:ascii="宋体" w:hAnsi="宋体" w:eastAsia="宋体" w:cs="宋体"/>
                <w:kern w:val="0"/>
                <w:szCs w:val="21"/>
              </w:rPr>
              <w:t>、</w:t>
            </w:r>
            <w:r>
              <w:rPr>
                <w:rFonts w:ascii="宋体" w:hAnsi="宋体" w:eastAsia="宋体" w:cs="宋体"/>
                <w:kern w:val="0"/>
                <w:szCs w:val="21"/>
              </w:rPr>
              <w:t>支持前维护，屏体无需后部维护空间，模组、电源/二合一板可全部进行正面维护更换。</w:t>
            </w:r>
          </w:p>
          <w:p>
            <w:pPr>
              <w:widowControl/>
              <w:jc w:val="left"/>
              <w:rPr>
                <w:rFonts w:ascii="宋体" w:hAnsi="宋体" w:eastAsia="宋体" w:cs="宋体"/>
                <w:kern w:val="0"/>
                <w:szCs w:val="21"/>
              </w:rPr>
            </w:pPr>
            <w:r>
              <w:rPr>
                <w:rFonts w:ascii="宋体" w:hAnsi="宋体" w:eastAsia="宋体" w:cs="宋体"/>
                <w:kern w:val="0"/>
                <w:szCs w:val="21"/>
              </w:rPr>
              <w:t>13</w:t>
            </w:r>
            <w:r>
              <w:rPr>
                <w:rFonts w:hint="eastAsia" w:ascii="宋体" w:hAnsi="宋体" w:eastAsia="宋体" w:cs="宋体"/>
                <w:kern w:val="0"/>
                <w:szCs w:val="21"/>
              </w:rPr>
              <w:t>、</w:t>
            </w:r>
            <w:r>
              <w:rPr>
                <w:rFonts w:ascii="宋体" w:hAnsi="宋体" w:eastAsia="宋体" w:cs="宋体"/>
                <w:kern w:val="0"/>
                <w:szCs w:val="21"/>
              </w:rPr>
              <w:t>噪声试验：屏前、屏后、屏左、屏右1m处噪声声压≤4dB。</w:t>
            </w:r>
          </w:p>
          <w:p>
            <w:pPr>
              <w:widowControl/>
              <w:jc w:val="left"/>
              <w:rPr>
                <w:rFonts w:ascii="宋体" w:hAnsi="宋体" w:eastAsia="宋体" w:cs="宋体"/>
                <w:kern w:val="0"/>
                <w:szCs w:val="21"/>
              </w:rPr>
            </w:pPr>
            <w:r>
              <w:rPr>
                <w:rFonts w:ascii="宋体" w:hAnsi="宋体" w:eastAsia="宋体" w:cs="宋体"/>
                <w:kern w:val="0"/>
                <w:szCs w:val="21"/>
              </w:rPr>
              <w:t>14</w:t>
            </w:r>
            <w:r>
              <w:rPr>
                <w:rFonts w:hint="eastAsia" w:ascii="宋体" w:hAnsi="宋体" w:eastAsia="宋体" w:cs="宋体"/>
                <w:kern w:val="0"/>
                <w:szCs w:val="21"/>
              </w:rPr>
              <w:t>、</w:t>
            </w:r>
            <w:r>
              <w:rPr>
                <w:rFonts w:ascii="宋体" w:hAnsi="宋体" w:eastAsia="宋体" w:cs="宋体"/>
                <w:kern w:val="0"/>
                <w:szCs w:val="21"/>
              </w:rPr>
              <w:t>LED显示屏正常使用达到热平衡后，屏体结构金属部分温升不超过45K，绝缘材料温升不超过70K，表面不超过10℃。</w:t>
            </w:r>
          </w:p>
          <w:p>
            <w:pPr>
              <w:widowControl/>
              <w:jc w:val="left"/>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w:t>
            </w:r>
            <w:r>
              <w:rPr>
                <w:rFonts w:ascii="宋体" w:hAnsi="宋体" w:eastAsia="宋体" w:cs="宋体"/>
                <w:kern w:val="0"/>
                <w:szCs w:val="21"/>
              </w:rPr>
              <w:t>支持动态节能及智能黑屏节电功能，开启智能黑屏节能后比没开启节能80%以上。</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4</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平方米</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kern w:val="0"/>
                <w:szCs w:val="21"/>
              </w:rPr>
            </w:pPr>
          </w:p>
        </w:tc>
        <w:tc>
          <w:tcPr>
            <w:tcW w:w="1119" w:type="dxa"/>
            <w:vAlign w:val="center"/>
          </w:tcPr>
          <w:p>
            <w:pPr>
              <w:spacing w:after="120" w:line="277" w:lineRule="auto"/>
              <w:jc w:val="center"/>
              <w:rPr>
                <w:rFonts w:ascii="宋体" w:hAnsi="宋体" w:eastAsia="宋体" w:cs="宋体"/>
                <w:sz w:val="24"/>
              </w:rPr>
            </w:pPr>
            <w:r>
              <w:rPr>
                <w:rFonts w:ascii="宋体" w:hAnsi="宋体" w:eastAsia="宋体" w:cs="宋体"/>
                <w:sz w:val="24"/>
              </w:rPr>
              <w:t>大屏处理器</w:t>
            </w:r>
          </w:p>
        </w:tc>
        <w:tc>
          <w:tcPr>
            <w:tcW w:w="9183" w:type="dxa"/>
          </w:tcPr>
          <w:p>
            <w:pPr>
              <w:widowControl/>
              <w:jc w:val="left"/>
              <w:rPr>
                <w:rFonts w:ascii="宋体" w:hAnsi="宋体" w:eastAsia="宋体" w:cs="宋体"/>
                <w:kern w:val="0"/>
                <w:szCs w:val="21"/>
              </w:rPr>
            </w:pPr>
            <w:r>
              <w:rPr>
                <w:rFonts w:hint="eastAsia" w:ascii="宋体" w:hAnsi="宋体" w:eastAsia="宋体" w:cs="宋体"/>
                <w:kern w:val="0"/>
                <w:szCs w:val="21"/>
              </w:rPr>
              <w:t>1、专业级LED显示屏控制设备；</w:t>
            </w:r>
          </w:p>
          <w:p>
            <w:pPr>
              <w:widowControl/>
              <w:jc w:val="left"/>
              <w:rPr>
                <w:rFonts w:ascii="宋体" w:hAnsi="宋体" w:eastAsia="宋体" w:cs="宋体"/>
                <w:kern w:val="0"/>
                <w:szCs w:val="21"/>
              </w:rPr>
            </w:pPr>
            <w:r>
              <w:rPr>
                <w:rFonts w:hint="eastAsia" w:ascii="宋体" w:hAnsi="宋体" w:eastAsia="宋体" w:cs="宋体"/>
                <w:kern w:val="0"/>
                <w:szCs w:val="21"/>
              </w:rPr>
              <w:t>2、最大可接收4096*2160像素的4K数字信号；</w:t>
            </w:r>
          </w:p>
          <w:p>
            <w:pPr>
              <w:widowControl/>
              <w:jc w:val="left"/>
              <w:rPr>
                <w:rFonts w:ascii="宋体" w:hAnsi="宋体" w:eastAsia="宋体" w:cs="宋体"/>
                <w:kern w:val="0"/>
                <w:szCs w:val="21"/>
              </w:rPr>
            </w:pPr>
            <w:r>
              <w:rPr>
                <w:rFonts w:hint="eastAsia" w:ascii="宋体" w:hAnsi="宋体" w:eastAsia="宋体" w:cs="宋体"/>
                <w:kern w:val="0"/>
                <w:szCs w:val="21"/>
              </w:rPr>
              <w:t>3、支持HDMI、DVI、SDI等数字接口，多路信号间无缝切换；</w:t>
            </w:r>
          </w:p>
          <w:p>
            <w:pPr>
              <w:widowControl/>
              <w:jc w:val="left"/>
              <w:rPr>
                <w:rFonts w:ascii="宋体" w:hAnsi="宋体" w:eastAsia="宋体" w:cs="宋体"/>
                <w:kern w:val="0"/>
                <w:szCs w:val="21"/>
              </w:rPr>
            </w:pPr>
            <w:r>
              <w:rPr>
                <w:rFonts w:hint="eastAsia" w:ascii="宋体" w:hAnsi="宋体" w:eastAsia="宋体" w:cs="宋体"/>
                <w:kern w:val="0"/>
                <w:szCs w:val="21"/>
              </w:rPr>
              <w:t>4、支持拼接、广播级缩放；</w:t>
            </w:r>
          </w:p>
          <w:p>
            <w:pPr>
              <w:pStyle w:val="13"/>
              <w:widowControl/>
              <w:ind w:firstLine="0" w:firstLineChars="0"/>
              <w:jc w:val="left"/>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、支持最宽或最高8192像素的LED显示屏；</w:t>
            </w:r>
          </w:p>
          <w:p>
            <w:pPr>
              <w:pStyle w:val="13"/>
              <w:widowControl/>
              <w:ind w:firstLine="0" w:firstLineChars="0"/>
              <w:jc w:val="left"/>
              <w:rPr>
                <w:rFonts w:ascii="宋体" w:hAnsi="宋体" w:cs="宋体"/>
                <w:kern w:val="0"/>
                <w:szCs w:val="21"/>
              </w:rPr>
            </w:pPr>
            <w:r>
              <w:rPr>
                <w:rFonts w:hint="eastAsia" w:ascii="宋体" w:hAnsi="宋体" w:eastAsia="宋体" w:cs="宋体"/>
                <w:kern w:val="0"/>
                <w:szCs w:val="21"/>
              </w:rPr>
              <w:t>6、最大输入分辨率4096*2160@60Hz，支持分辨率任意设置；</w:t>
            </w:r>
          </w:p>
          <w:p>
            <w:pPr>
              <w:pStyle w:val="14"/>
              <w:widowControl/>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、最大带载888万像素，最宽或最高可达8192像素；</w:t>
            </w:r>
          </w:p>
          <w:p>
            <w:pPr>
              <w:pStyle w:val="14"/>
              <w:widowControl/>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、支持视频源任意切换，可根据显示屏分辨率对输入图像进行拼接、缩放；</w:t>
            </w:r>
          </w:p>
          <w:p>
            <w:pPr>
              <w:pStyle w:val="8"/>
              <w:widowControl/>
              <w:ind w:firstLine="0" w:firstLineChars="0"/>
              <w:jc w:val="left"/>
              <w:rPr>
                <w:rFonts w:ascii="宋体" w:hAnsi="宋体" w:eastAsia="宋体" w:cs="宋体"/>
                <w:kern w:val="0"/>
                <w:szCs w:val="21"/>
              </w:rPr>
            </w:pPr>
            <w:r>
              <w:rPr>
                <w:rFonts w:ascii="宋体" w:hAnsi="宋体" w:eastAsia="宋体" w:cs="宋体"/>
                <w:kern w:val="0"/>
                <w:szCs w:val="21"/>
              </w:rPr>
              <w:t>9</w:t>
            </w:r>
            <w:r>
              <w:rPr>
                <w:rFonts w:hint="eastAsia" w:ascii="宋体" w:hAnsi="宋体" w:eastAsia="宋体" w:cs="宋体"/>
                <w:kern w:val="0"/>
                <w:szCs w:val="21"/>
              </w:rPr>
              <w:t>、支持7画面显示，位置、大小可自由调节；</w:t>
            </w:r>
          </w:p>
          <w:p>
            <w:pPr>
              <w:pStyle w:val="14"/>
              <w:widowControl/>
              <w:jc w:val="left"/>
              <w:rPr>
                <w:rFonts w:ascii="宋体" w:hAnsi="宋体" w:cs="宋体"/>
                <w:kern w:val="0"/>
                <w:szCs w:val="21"/>
              </w:rPr>
            </w:pPr>
            <w:r>
              <w:rPr>
                <w:rFonts w:ascii="宋体" w:hAnsi="宋体" w:cs="宋体"/>
                <w:kern w:val="0"/>
                <w:szCs w:val="21"/>
              </w:rPr>
              <w:t>10</w:t>
            </w:r>
            <w:r>
              <w:rPr>
                <w:rFonts w:hint="eastAsia" w:ascii="宋体" w:hAnsi="宋体" w:cs="宋体"/>
                <w:kern w:val="0"/>
                <w:szCs w:val="21"/>
              </w:rPr>
              <w:t>、支持HDCP 2.2；</w:t>
            </w:r>
          </w:p>
          <w:p>
            <w:pPr>
              <w:pStyle w:val="14"/>
              <w:widowControl/>
              <w:jc w:val="left"/>
              <w:rPr>
                <w:rFonts w:ascii="宋体" w:hAnsi="宋体" w:cs="宋体"/>
                <w:kern w:val="0"/>
                <w:szCs w:val="21"/>
              </w:rPr>
            </w:pPr>
            <w:r>
              <w:rPr>
                <w:rFonts w:ascii="宋体" w:hAnsi="宋体" w:cs="宋体"/>
                <w:kern w:val="0"/>
                <w:szCs w:val="21"/>
              </w:rPr>
              <w:t>11</w:t>
            </w:r>
            <w:r>
              <w:rPr>
                <w:rFonts w:hint="eastAsia" w:ascii="宋体" w:hAnsi="宋体" w:cs="宋体"/>
                <w:kern w:val="0"/>
                <w:szCs w:val="21"/>
              </w:rPr>
              <w:t>、双USB高速通讯接口，用于电脑调试和主控间任意级联；</w:t>
            </w:r>
          </w:p>
          <w:p>
            <w:pPr>
              <w:pStyle w:val="14"/>
              <w:widowControl/>
              <w:jc w:val="left"/>
              <w:rPr>
                <w:rFonts w:ascii="宋体" w:hAnsi="宋体" w:cs="宋体"/>
                <w:kern w:val="0"/>
                <w:szCs w:val="21"/>
              </w:rPr>
            </w:pPr>
            <w:r>
              <w:rPr>
                <w:rFonts w:ascii="宋体" w:hAnsi="宋体" w:cs="宋体"/>
                <w:kern w:val="0"/>
                <w:szCs w:val="21"/>
              </w:rPr>
              <w:t>12</w:t>
            </w:r>
            <w:r>
              <w:rPr>
                <w:rFonts w:hint="eastAsia" w:ascii="宋体" w:hAnsi="宋体" w:cs="宋体"/>
                <w:kern w:val="0"/>
                <w:szCs w:val="21"/>
              </w:rPr>
              <w:t>、支持亮度和色温调节；</w:t>
            </w:r>
          </w:p>
          <w:p>
            <w:pPr>
              <w:pStyle w:val="14"/>
              <w:widowControl/>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、支持低亮高灰；</w:t>
            </w:r>
          </w:p>
          <w:p>
            <w:pPr>
              <w:widowControl/>
              <w:spacing w:line="277" w:lineRule="auto"/>
              <w:ind w:left="2"/>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4</w:t>
            </w:r>
            <w:r>
              <w:rPr>
                <w:rFonts w:hint="eastAsia" w:ascii="宋体" w:hAnsi="宋体" w:eastAsia="宋体" w:cs="宋体"/>
                <w:kern w:val="0"/>
                <w:szCs w:val="21"/>
              </w:rPr>
              <w:t>、支持卡莱特全系列接收卡、多功能卡、光纤收发器。</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w:t>
            </w:r>
            <w:r>
              <w:rPr>
                <w:rFonts w:ascii="宋体" w:hAnsi="宋体" w:eastAsia="宋体" w:cs="宋体"/>
                <w:kern w:val="0"/>
                <w:szCs w:val="21"/>
              </w:rPr>
              <w:t>支持滚动字幕功能，无需添加第三方设备，即可实现滚动字幕的添加，字体的大小、格式均可修改。</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16</w:t>
            </w:r>
            <w:r>
              <w:rPr>
                <w:rFonts w:hint="eastAsia" w:ascii="宋体" w:hAnsi="宋体" w:eastAsia="宋体" w:cs="宋体"/>
                <w:kern w:val="0"/>
                <w:szCs w:val="21"/>
              </w:rPr>
              <w:t>、</w:t>
            </w:r>
            <w:r>
              <w:rPr>
                <w:rFonts w:ascii="宋体" w:hAnsi="宋体" w:eastAsia="宋体" w:cs="宋体"/>
                <w:kern w:val="0"/>
                <w:szCs w:val="21"/>
              </w:rPr>
              <w:t>支持设置拼接屏的拼缝补偿，可精确至1像素。</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17</w:t>
            </w:r>
            <w:r>
              <w:rPr>
                <w:rFonts w:hint="eastAsia" w:ascii="宋体" w:hAnsi="宋体" w:eastAsia="宋体" w:cs="宋体"/>
                <w:kern w:val="0"/>
                <w:szCs w:val="21"/>
              </w:rPr>
              <w:t>、</w:t>
            </w:r>
            <w:r>
              <w:rPr>
                <w:rFonts w:ascii="宋体" w:hAnsi="宋体" w:eastAsia="宋体" w:cs="宋体"/>
                <w:kern w:val="0"/>
                <w:szCs w:val="21"/>
              </w:rPr>
              <w:t>支持视频网络运维管理协议，实时监测设备的运行状态，对设备异常情况进行报警。</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18</w:t>
            </w:r>
            <w:r>
              <w:rPr>
                <w:rFonts w:hint="eastAsia" w:ascii="宋体" w:hAnsi="宋体" w:eastAsia="宋体" w:cs="宋体"/>
                <w:kern w:val="0"/>
                <w:szCs w:val="21"/>
              </w:rPr>
              <w:t>、</w:t>
            </w:r>
            <w:r>
              <w:rPr>
                <w:rFonts w:ascii="宋体" w:hAnsi="宋体" w:eastAsia="宋体" w:cs="宋体"/>
                <w:kern w:val="0"/>
                <w:szCs w:val="21"/>
              </w:rPr>
              <w:t>支持拼接单元控制协议，实现对大屏幕的开关控制。</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19</w:t>
            </w:r>
            <w:r>
              <w:rPr>
                <w:rFonts w:hint="eastAsia" w:ascii="宋体" w:hAnsi="宋体" w:eastAsia="宋体" w:cs="宋体"/>
                <w:kern w:val="0"/>
                <w:szCs w:val="21"/>
              </w:rPr>
              <w:t>、</w:t>
            </w:r>
            <w:r>
              <w:rPr>
                <w:rFonts w:ascii="宋体" w:hAnsi="宋体" w:eastAsia="宋体" w:cs="宋体"/>
                <w:kern w:val="0"/>
                <w:szCs w:val="21"/>
              </w:rPr>
              <w:t>软件支持Windows操作系统和国产操作系统，支持多种移动终端软件控制（需提供操作系统兼容性证书）。</w:t>
            </w:r>
          </w:p>
        </w:tc>
        <w:tc>
          <w:tcPr>
            <w:tcW w:w="754" w:type="dxa"/>
            <w:gridSpan w:val="2"/>
            <w:vAlign w:val="center"/>
          </w:tcPr>
          <w:p>
            <w:pPr>
              <w:widowControl/>
              <w:ind w:right="107"/>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798" w:type="dxa"/>
            <w:vAlign w:val="center"/>
          </w:tcPr>
          <w:p>
            <w:pPr>
              <w:widowControl/>
              <w:ind w:left="6"/>
              <w:jc w:val="center"/>
              <w:rPr>
                <w:rFonts w:ascii="宋体" w:hAnsi="宋体" w:eastAsia="宋体" w:cs="宋体"/>
                <w:color w:val="000000"/>
                <w:kern w:val="0"/>
                <w:szCs w:val="21"/>
              </w:rPr>
            </w:pPr>
            <w:r>
              <w:rPr>
                <w:rFonts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ind w:right="108"/>
              <w:jc w:val="center"/>
              <w:rPr>
                <w:rFonts w:ascii="宋体" w:hAnsi="宋体" w:eastAsia="宋体" w:cs="宋体"/>
                <w:sz w:val="24"/>
              </w:rPr>
            </w:pPr>
            <w:r>
              <w:rPr>
                <w:rFonts w:ascii="宋体" w:hAnsi="宋体" w:eastAsia="宋体" w:cs="宋体"/>
                <w:sz w:val="24"/>
              </w:rPr>
              <w:t>2</w:t>
            </w:r>
          </w:p>
        </w:tc>
        <w:tc>
          <w:tcPr>
            <w:tcW w:w="1119" w:type="dxa"/>
            <w:vAlign w:val="center"/>
          </w:tcPr>
          <w:p>
            <w:pPr>
              <w:spacing w:after="120" w:line="277" w:lineRule="auto"/>
              <w:jc w:val="center"/>
              <w:rPr>
                <w:rFonts w:ascii="宋体" w:hAnsi="宋体" w:eastAsia="宋体" w:cs="宋体"/>
                <w:sz w:val="24"/>
              </w:rPr>
            </w:pPr>
            <w:r>
              <w:rPr>
                <w:rFonts w:ascii="宋体" w:hAnsi="宋体" w:eastAsia="宋体" w:cs="宋体"/>
                <w:sz w:val="24"/>
              </w:rPr>
              <w:t>配电柜</w:t>
            </w:r>
          </w:p>
        </w:tc>
        <w:tc>
          <w:tcPr>
            <w:tcW w:w="9183" w:type="dxa"/>
          </w:tcPr>
          <w:p>
            <w:pPr>
              <w:widowControl/>
              <w:jc w:val="left"/>
              <w:rPr>
                <w:rFonts w:ascii="宋体" w:hAnsi="宋体" w:eastAsia="宋体" w:cs="宋体"/>
                <w:kern w:val="0"/>
                <w:szCs w:val="21"/>
              </w:rPr>
            </w:pPr>
            <w:r>
              <w:rPr>
                <w:rFonts w:ascii="宋体" w:hAnsi="宋体" w:eastAsia="宋体" w:cs="宋体"/>
                <w:kern w:val="0"/>
                <w:szCs w:val="21"/>
              </w:rPr>
              <w:t>1.三相五线制供电，AC220V。</w:t>
            </w:r>
          </w:p>
          <w:p>
            <w:pPr>
              <w:widowControl/>
              <w:jc w:val="left"/>
              <w:rPr>
                <w:rFonts w:ascii="宋体" w:hAnsi="宋体" w:eastAsia="宋体" w:cs="宋体"/>
                <w:kern w:val="0"/>
                <w:szCs w:val="21"/>
              </w:rPr>
            </w:pPr>
            <w:r>
              <w:rPr>
                <w:rFonts w:ascii="宋体" w:hAnsi="宋体" w:eastAsia="宋体" w:cs="宋体"/>
                <w:kern w:val="0"/>
                <w:szCs w:val="21"/>
              </w:rPr>
              <w:t>2.功率:≥15KW。</w:t>
            </w:r>
          </w:p>
          <w:p>
            <w:pPr>
              <w:widowControl/>
              <w:jc w:val="left"/>
              <w:rPr>
                <w:rFonts w:ascii="宋体" w:hAnsi="宋体" w:eastAsia="宋体" w:cs="宋体"/>
                <w:kern w:val="0"/>
                <w:szCs w:val="21"/>
              </w:rPr>
            </w:pPr>
            <w:r>
              <w:rPr>
                <w:rFonts w:ascii="宋体" w:hAnsi="宋体" w:eastAsia="宋体" w:cs="宋体"/>
                <w:kern w:val="0"/>
                <w:szCs w:val="21"/>
              </w:rPr>
              <w:t>3.具有短路、过流、过压、过载、欠压保护。</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4.通过软件可以实现对小间距显示屏的远程有线控制上电，实现定时开关屏体。</w:t>
            </w:r>
          </w:p>
          <w:p>
            <w:pPr>
              <w:widowControl/>
              <w:spacing w:line="277" w:lineRule="auto"/>
              <w:ind w:left="2"/>
              <w:jc w:val="left"/>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为保证系统稳定性，配电柜与</w:t>
            </w:r>
            <w:r>
              <w:rPr>
                <w:rFonts w:ascii="宋体" w:hAnsi="宋体" w:eastAsia="宋体" w:cs="宋体"/>
                <w:kern w:val="0"/>
                <w:szCs w:val="21"/>
              </w:rPr>
              <w:t>LED</w:t>
            </w:r>
            <w:r>
              <w:rPr>
                <w:rFonts w:hint="eastAsia" w:ascii="宋体" w:hAnsi="宋体" w:eastAsia="宋体" w:cs="宋体"/>
                <w:kern w:val="0"/>
                <w:szCs w:val="21"/>
              </w:rPr>
              <w:t>显示屏需为同一厂家，具有国家强制性产品</w:t>
            </w:r>
            <w:r>
              <w:rPr>
                <w:rFonts w:ascii="宋体" w:hAnsi="宋体" w:eastAsia="宋体" w:cs="宋体"/>
                <w:kern w:val="0"/>
                <w:szCs w:val="21"/>
              </w:rPr>
              <w:t>3C</w:t>
            </w:r>
            <w:r>
              <w:rPr>
                <w:rFonts w:hint="eastAsia" w:ascii="宋体" w:hAnsi="宋体" w:eastAsia="宋体" w:cs="宋体"/>
                <w:kern w:val="0"/>
                <w:szCs w:val="21"/>
              </w:rPr>
              <w:t>认证证书。</w:t>
            </w:r>
          </w:p>
        </w:tc>
        <w:tc>
          <w:tcPr>
            <w:tcW w:w="754" w:type="dxa"/>
            <w:gridSpan w:val="2"/>
            <w:vAlign w:val="center"/>
          </w:tcPr>
          <w:p>
            <w:pPr>
              <w:widowControl/>
              <w:ind w:right="107"/>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798" w:type="dxa"/>
            <w:vAlign w:val="center"/>
          </w:tcPr>
          <w:p>
            <w:pPr>
              <w:widowControl/>
              <w:ind w:left="6"/>
              <w:jc w:val="center"/>
              <w:rPr>
                <w:rFonts w:ascii="宋体" w:hAnsi="宋体" w:eastAsia="宋体" w:cs="宋体"/>
                <w:color w:val="000000"/>
                <w:kern w:val="0"/>
                <w:szCs w:val="21"/>
              </w:rPr>
            </w:pPr>
            <w:r>
              <w:rPr>
                <w:rFonts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ind w:right="108"/>
              <w:jc w:val="center"/>
              <w:rPr>
                <w:rFonts w:ascii="宋体" w:hAnsi="宋体" w:eastAsia="宋体" w:cs="宋体"/>
                <w:sz w:val="24"/>
              </w:rPr>
            </w:pPr>
            <w:r>
              <w:rPr>
                <w:rFonts w:ascii="宋体" w:hAnsi="宋体" w:eastAsia="宋体" w:cs="宋体"/>
                <w:sz w:val="24"/>
              </w:rPr>
              <w:t>3</w:t>
            </w:r>
          </w:p>
        </w:tc>
        <w:tc>
          <w:tcPr>
            <w:tcW w:w="1119" w:type="dxa"/>
            <w:vAlign w:val="center"/>
          </w:tcPr>
          <w:p>
            <w:pPr>
              <w:spacing w:after="120" w:line="277" w:lineRule="auto"/>
              <w:jc w:val="center"/>
              <w:rPr>
                <w:rFonts w:ascii="宋体" w:hAnsi="宋体" w:eastAsia="宋体" w:cs="宋体"/>
                <w:sz w:val="24"/>
              </w:rPr>
            </w:pPr>
            <w:r>
              <w:rPr>
                <w:rFonts w:ascii="宋体" w:hAnsi="宋体" w:eastAsia="宋体" w:cs="宋体"/>
                <w:sz w:val="24"/>
              </w:rPr>
              <w:t>LED产品配件</w:t>
            </w:r>
          </w:p>
        </w:tc>
        <w:tc>
          <w:tcPr>
            <w:tcW w:w="9183" w:type="dxa"/>
          </w:tcPr>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配套成品支架</w:t>
            </w:r>
          </w:p>
          <w:p>
            <w:pPr>
              <w:widowControl/>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用于箱体产品</w:t>
            </w:r>
          </w:p>
          <w:p>
            <w:pPr>
              <w:widowControl/>
              <w:jc w:val="left"/>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w:t>
            </w:r>
            <w:r>
              <w:rPr>
                <w:rFonts w:ascii="宋体" w:hAnsi="宋体" w:eastAsia="宋体" w:cs="宋体"/>
                <w:kern w:val="0"/>
                <w:szCs w:val="21"/>
              </w:rPr>
              <w:t>落地安装</w:t>
            </w:r>
          </w:p>
          <w:p>
            <w:pPr>
              <w:widowControl/>
              <w:jc w:val="left"/>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配套线缆</w:t>
            </w:r>
          </w:p>
        </w:tc>
        <w:tc>
          <w:tcPr>
            <w:tcW w:w="754"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13.96</w:t>
            </w:r>
          </w:p>
        </w:tc>
        <w:tc>
          <w:tcPr>
            <w:tcW w:w="798"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平米</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2）网络时钟系统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网络时钟</w:t>
            </w:r>
          </w:p>
        </w:tc>
        <w:tc>
          <w:tcPr>
            <w:tcW w:w="9183"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1、采用全面屏设计，可显示时分秒，≥4英寸“时-分”数码管，≥0.8英寸“秒”数码管；（提供法定机构检测报告复印件并加盖制造商公章）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2、网络接口：RJ45，传输协议：标准NTP协议；</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3、具有主动同步功能</w:t>
            </w:r>
            <w:r>
              <w:rPr>
                <w:rFonts w:hint="eastAsia" w:ascii="宋体" w:hAnsi="宋体" w:eastAsia="宋体" w:cs="宋体"/>
                <w:color w:val="000000"/>
                <w:kern w:val="0"/>
                <w:szCs w:val="21"/>
              </w:rPr>
              <w:t>，在外部时码驱动下，子钟间同步时差应不超过</w:t>
            </w:r>
            <w:r>
              <w:rPr>
                <w:rFonts w:ascii="宋体" w:hAnsi="宋体" w:eastAsia="宋体" w:cs="宋体"/>
                <w:color w:val="000000"/>
                <w:kern w:val="0"/>
                <w:szCs w:val="21"/>
              </w:rPr>
              <w:t>40ns；</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4、自动消除累积误差，连续运行无累积误差，无校时信号应能自动切换到内部时钟状态；</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5、支持网管功能，故障主动上报，并将运行情况通过TCP/IP协议传输到网络集中监控平台实时监控，以确保稳定可靠运行，与服务器时间同步；</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6、网络时钟支持主动上报功能，具备时间不同步报警功能、具备网络离线报警功能、具备断电报警功能； （提供法定机构检测报告复印件并加盖制造商公章）</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7、断电记忆功能，支持断电后时钟内部继续计时至少24小时，恢复供电时，钟面继续显示内部计时的时间；</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 xml:space="preserve">8、为保证长期运行的稳定性，网络时钟的数码管驱动电流应采用恒流源驱动；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9、为防止电磁干扰影响设备正常运行，网络时钟外壳主体应采用金属材质；（提供法定机构检测报告复印件并加盖制造商公章）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10、设备支持开机自动进行全部数码管检测；（提供法定机构检测报告复印件并加盖制造商公章）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11、为方便运维及售后，红外网络摄像机、网络时钟、屏蔽终端、身份验证终端应为为同一品牌。</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12、网络时钟可靠性指标：平均故障间隔时间(MTBF)≤30000h；</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13、具备考场时钟监管系统卫星定位模块管理软件</w:t>
            </w:r>
            <w:r>
              <w:rPr>
                <w:rFonts w:hint="eastAsia" w:ascii="宋体" w:hAnsi="宋体" w:eastAsia="宋体" w:cs="宋体"/>
                <w:color w:val="000000"/>
                <w:kern w:val="0"/>
                <w:szCs w:val="21"/>
              </w:rPr>
              <w:t>软件著作权</w:t>
            </w:r>
            <w:r>
              <w:rPr>
                <w:rFonts w:ascii="宋体" w:hAnsi="宋体" w:eastAsia="宋体" w:cs="宋体"/>
                <w:color w:val="000000"/>
                <w:kern w:val="0"/>
                <w:szCs w:val="21"/>
              </w:rPr>
              <w:t>；</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94个考场、考务室、监控室分别配置1台，保密室配置1台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网络时钟管理系统</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1、采用LINUX系统，支持内置GPS和北斗双模，供电方式为内部供电</w:t>
            </w:r>
            <w:r>
              <w:rPr>
                <w:rFonts w:hint="eastAsia" w:ascii="宋体" w:hAnsi="宋体" w:eastAsia="宋体" w:cs="宋体"/>
                <w:color w:val="000000"/>
                <w:kern w:val="0"/>
                <w:szCs w:val="21"/>
              </w:rPr>
              <w:t>，</w:t>
            </w:r>
            <w:r>
              <w:rPr>
                <w:rFonts w:ascii="宋体" w:hAnsi="宋体" w:eastAsia="宋体" w:cs="宋体"/>
                <w:color w:val="000000"/>
                <w:kern w:val="0"/>
                <w:szCs w:val="21"/>
              </w:rPr>
              <w:t>能监测到多个GPS和北斗卫星的卫星信号，以及能观察到卫星信号的卫星编号、信噪比、是否可用的状态、方位角、仰角；（提供法定机构检测报告复印件并加盖制造商公章）</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2、为保证网络时钟</w:t>
            </w:r>
            <w:r>
              <w:rPr>
                <w:rFonts w:hint="eastAsia" w:ascii="宋体" w:hAnsi="宋体" w:eastAsia="宋体" w:cs="宋体"/>
                <w:color w:val="000000"/>
                <w:kern w:val="0"/>
                <w:szCs w:val="21"/>
              </w:rPr>
              <w:t>系统</w:t>
            </w:r>
            <w:r>
              <w:rPr>
                <w:rFonts w:ascii="宋体" w:hAnsi="宋体" w:eastAsia="宋体" w:cs="宋体"/>
                <w:color w:val="000000"/>
                <w:kern w:val="0"/>
                <w:szCs w:val="21"/>
              </w:rPr>
              <w:t>的精细化管理，平台上应能够统一显示时钟的实际时间</w:t>
            </w:r>
            <w:r>
              <w:rPr>
                <w:rFonts w:hint="eastAsia" w:ascii="宋体" w:hAnsi="宋体" w:eastAsia="宋体" w:cs="宋体"/>
                <w:color w:val="000000"/>
                <w:kern w:val="0"/>
                <w:szCs w:val="21"/>
              </w:rPr>
              <w:t>，所有考场内的时钟应同步到标准的</w:t>
            </w:r>
            <w:r>
              <w:rPr>
                <w:rFonts w:ascii="宋体" w:hAnsi="宋体" w:eastAsia="宋体" w:cs="宋体"/>
                <w:color w:val="000000"/>
                <w:kern w:val="0"/>
                <w:szCs w:val="21"/>
              </w:rPr>
              <w:t>UTC时间，并且能进行实时同步，同步周期不超过5s；</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3、考场能和时钟IP绑定：考场图标上应能看到逻辑考场编号、物理考场编号、已绑定时钟的显示时间和工作状态；</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4、管理平台支持对所有时钟数码管进行检测，实现数码管故障报警，精确定位故障数码管；（提供法定机构检测报告复印件并加盖制造商公章）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5、管理平台支持对网络时钟屏幕远程开启和关闭；</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6、支持网络管理功能，包括设备巡查、时间检测、故障主动上报功能；远程开启和关闭网络时钟的秒位；（提供法定机构检测报告复印件并加盖制造商公章）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7、上级平台（省、市、县区）应能够实时查看下级各考点网络时钟的数量、在线情况、离线情况、异常情况统计及GPS北斗信号统计；</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8、管理平台应能够通过大屏展示可视化数据（包括考点数量、时钟数量、异常情况报警等）；</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9、管理平台支持多机构管理及考点级时钟场所定位管理；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设备巡查：应能够在线管理接入系统的设备，具体功能包括查看每级机构下设备的数量，并将会将各设备的运行情况通过TCP/IP协议传输到网络集中监控平台实时监控，以确保稳定可靠运行，实现与服务器的时间同步；</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w:t>
            </w:r>
            <w:r>
              <w:rPr>
                <w:rFonts w:hint="eastAsia" w:ascii="宋体" w:hAnsi="宋体" w:eastAsia="宋体" w:cs="宋体"/>
                <w:color w:val="000000"/>
                <w:kern w:val="0"/>
                <w:szCs w:val="21"/>
              </w:rPr>
              <w:t>、</w:t>
            </w:r>
            <w:r>
              <w:rPr>
                <w:rFonts w:ascii="宋体" w:hAnsi="宋体" w:eastAsia="宋体" w:cs="宋体"/>
                <w:color w:val="000000"/>
                <w:kern w:val="0"/>
                <w:szCs w:val="21"/>
              </w:rPr>
              <w:t>故障主动上报：当出现同步时钟离线、时间不同步的故障时，系统应会将故障主动上报给管理平台；</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w:t>
            </w:r>
            <w:r>
              <w:rPr>
                <w:rFonts w:hint="eastAsia" w:ascii="宋体" w:hAnsi="宋体" w:eastAsia="宋体" w:cs="宋体"/>
                <w:color w:val="000000"/>
                <w:kern w:val="0"/>
                <w:szCs w:val="21"/>
              </w:rPr>
              <w:t>、</w:t>
            </w:r>
            <w:r>
              <w:rPr>
                <w:rFonts w:ascii="宋体" w:hAnsi="宋体" w:eastAsia="宋体" w:cs="宋体"/>
                <w:color w:val="000000"/>
                <w:kern w:val="0"/>
                <w:szCs w:val="21"/>
              </w:rPr>
              <w:t xml:space="preserve">CPU≥2.8GHz，内存≥8GB，硬盘≥500GB </w:t>
            </w:r>
            <w:r>
              <w:rPr>
                <w:rFonts w:hint="eastAsia" w:ascii="宋体" w:hAnsi="宋体" w:eastAsia="宋体" w:cs="宋体"/>
                <w:color w:val="000000"/>
                <w:kern w:val="0"/>
                <w:szCs w:val="21"/>
              </w:rPr>
              <w:t>SSD</w:t>
            </w:r>
            <w:r>
              <w:rPr>
                <w:rFonts w:ascii="宋体" w:hAnsi="宋体" w:eastAsia="宋体" w:cs="宋体"/>
                <w:color w:val="000000"/>
                <w:kern w:val="0"/>
                <w:szCs w:val="21"/>
              </w:rPr>
              <w:t>。</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3）侦测引导阻断作弊防控系统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室内屏蔽终端</w:t>
            </w:r>
          </w:p>
        </w:tc>
        <w:tc>
          <w:tcPr>
            <w:tcW w:w="9183"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1、阻断工作频率：30MHz~5850MHz；（提供法定机构检测报告复印件并加盖制造商公章）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2、屏蔽功能：应可以屏蔽教室内（-50dBm、室内通透环境下，视周边基站远近）全频段信号。包括运营商的全部2G、3G、4G、5G 手机信号，以及对讲机 U 段、V 段、WIFI（2400MHz-2483.5MHz，5150MHz-5850MHz）、蓝牙、无线隐形耳机、骨传导耳机、Lora、无线数字传输接收工具信号；5G信号全网屏蔽2515-2675MHz，3300MHz-3600MHz,4800MHz-5000MHz,广电频段（702-798MHz），并可根据最终5G商用频谱调整；（提供法定机构检测</w:t>
            </w:r>
            <w:r>
              <w:rPr>
                <w:rFonts w:hint="eastAsia" w:ascii="宋体" w:hAnsi="宋体" w:eastAsia="宋体" w:cs="宋体"/>
                <w:color w:val="000000"/>
                <w:kern w:val="0"/>
                <w:szCs w:val="21"/>
              </w:rPr>
              <w:t>报告复印件并加盖制造商公章）</w:t>
            </w:r>
            <w:r>
              <w:rPr>
                <w:rFonts w:ascii="宋体" w:hAnsi="宋体" w:eastAsia="宋体" w:cs="宋体"/>
                <w:color w:val="000000"/>
                <w:kern w:val="0"/>
                <w:szCs w:val="21"/>
              </w:rPr>
              <w:t xml:space="preserve">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预设频点模式：无需侦测引导，可预设置至少</w:t>
            </w:r>
            <w:r>
              <w:rPr>
                <w:rFonts w:ascii="宋体" w:hAnsi="宋体" w:eastAsia="宋体" w:cs="宋体"/>
                <w:color w:val="000000"/>
                <w:kern w:val="0"/>
                <w:szCs w:val="21"/>
              </w:rPr>
              <w:t>22路专业作弊干扰频点（手机信号/WIFI/蓝牙信号除外）进行实时阻断；</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4、支持7*24小时连续工作；</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5、设备侧面板应具有状态显示灯，可直观显示设备上电、模块开关、网络连通等正常/异常状态；</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6、阻断方式：采用侦测引导阻断方式，支持平台远程集中控制管理，针对不同区域可实现远程开启与关闭。</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7、侦测引导阻断频率范围应为：50MHz-3000MHz，且可扩展；</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8、数据接口RJ45，10M/100M，支持TCP/IP协议和UDP广播/组播协议，具备联网能力；</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9、瞄准式阻断：对专业作弊信号采用瞄准式点频精准阻断方式，阻断信号3db带宽≤200KHz；</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10、阻断信号带宽：0.7 倍作弊信号带宽≤ 阻断信号带宽≤5 倍作弊信号带宽；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11、隐蔽式接口设计：设备开关、电源接口、网络接口均采用隐蔽式设计，设备安装完成后可视表面无任何接口、开关；</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12、一体化设计：设备采用一体化设计，天线内置，无风扇，无散热金属外露；</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13、支持对所辖系统内阻断设备软件进行集中批量升级；</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14、设备应拥有硬件复位按钮，支持硬件复位；（提供法定机构检测报告复印件并加盖制造商公章）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15、应具有智能控制系统平台，可多级、远程联网统一集中控制；</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16、设备应采用符合国家标准阻燃材料，需符合GB 4943.1-2011《信息技术设备 安全 第1部分：通用要求》；</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17、辐射标准：符合GB8702-2014《电磁环境控制限值》；</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18、设备工作时的噪声≤GB 3096-2008 表1中0类声环境功能区昼间（或夜间）要求的上限值-5dB。</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r>
              <w:rPr>
                <w:rFonts w:ascii="宋体" w:hAnsi="宋体" w:eastAsia="宋体" w:cs="宋体"/>
                <w:color w:val="000000"/>
                <w:kern w:val="0"/>
                <w:szCs w:val="21"/>
              </w:rPr>
              <w:t>3</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9</w:t>
            </w:r>
            <w:r>
              <w:rPr>
                <w:rFonts w:ascii="宋体" w:hAnsi="宋体" w:eastAsia="宋体" w:cs="宋体"/>
                <w:color w:val="000000"/>
                <w:kern w:val="0"/>
                <w:szCs w:val="21"/>
              </w:rPr>
              <w:t>1</w:t>
            </w:r>
            <w:r>
              <w:rPr>
                <w:rFonts w:hint="eastAsia" w:ascii="宋体" w:hAnsi="宋体" w:eastAsia="宋体" w:cs="宋体"/>
                <w:color w:val="000000"/>
                <w:kern w:val="0"/>
                <w:szCs w:val="21"/>
              </w:rPr>
              <w:t>个考场、考务室、监控室分别配置1台，保密室配置2台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侦测服务器</w:t>
            </w:r>
          </w:p>
        </w:tc>
        <w:tc>
          <w:tcPr>
            <w:tcW w:w="9183"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1、侦测频率范围应覆盖30MHz~3600MHz，且可扩展；（提供法定机构检测报告复印件并加盖制造商公章）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2、侦测引导阻断频率范围应覆盖50MHz~3000MHz，且可扩展；</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3、信号采集还原：支持对语音和数传类作弊作弊设备发射的作弊信号进行采集还原，语音作弊设备包括：对讲机、TK3等，数传作弊设备包括A2、TC TOP（LORA扩频信号）、FSK、AM、FM；支持自动保存捕获信号文件和还原内容生成；</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4、考试计划：能够设置考试计划、支持无人值守式侦测引导阻断工作模式；</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5、信号侦测：能够完成无线电信号实时侦测、可疑信号自动采集和自动引导阻断；</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6、多通道设计：采用多通道设计，支持信号实时侦测和对可疑作弊信号进行采集并进行还原，信号还原对侦测和阻断无影响；</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7、实时监听：可进行采集并进行还原，信号还原对侦测和阻断无影响</w:t>
            </w:r>
            <w:r>
              <w:rPr>
                <w:rFonts w:hint="eastAsia" w:ascii="宋体" w:hAnsi="宋体" w:eastAsia="宋体" w:cs="宋体"/>
                <w:color w:val="000000"/>
                <w:kern w:val="0"/>
                <w:szCs w:val="21"/>
              </w:rPr>
              <w:t>，在持续开展频谱扫描和侦测引导阻断的同时能够对语音作弊信号进行实时监听；</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8、黑白名单：能够设置黑白名单：设置黑名单时对应黑名单信号一旦出现即优先引导阻断器进行阻断。用户可根据考务等工作需要自定义白名单频点（频段），其通信不受系统影响；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9、安全加密：作弊信号答案文件存储和传输时均应经过加密处理，文件脱离本系统后采用通用播放工具无法正确播放，保证涉密数据安全；（提供法定机构检测报告复印件并加盖制造商公章）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r>
              <w:rPr>
                <w:rFonts w:hint="eastAsia" w:ascii="宋体" w:hAnsi="宋体" w:eastAsia="宋体" w:cs="宋体"/>
                <w:color w:val="000000"/>
                <w:kern w:val="0"/>
                <w:szCs w:val="21"/>
              </w:rPr>
              <w:t>、频谱显示：应能够实时显示侦测频率范围内的频谱图，支持频谱显示放大缩小、测量频率与强度等操作；</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11、支持平台远程管理，支持对可疑作弊信号频点信息的平台上传及管理；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12、数据接口 RJ45，支持TCP/IP协议和UDP广播/组播协议，具备联网能力；</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13、侦测主机自带液晶显示屏，用于直观显示系统信息；（提供法定机构检测报告复印件并加盖制造商公章）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14、侦测天线采用密闭玻璃钢外罩，防雨、防水，防盐雾，防湿热、防腐蚀；侦测天线采用多天线组阵，频率更宽，支持从20M-8G，扩展性强；（提供法定机构检测报告复印件并加盖制造商公章）</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5</w:t>
            </w:r>
            <w:r>
              <w:rPr>
                <w:rFonts w:hint="eastAsia" w:ascii="宋体" w:hAnsi="宋体" w:eastAsia="宋体" w:cs="宋体"/>
                <w:color w:val="000000"/>
                <w:kern w:val="0"/>
                <w:szCs w:val="21"/>
              </w:rPr>
              <w:t>、响应时间：侦测响应时间应≤</w:t>
            </w:r>
            <w:r>
              <w:rPr>
                <w:rFonts w:ascii="宋体" w:hAnsi="宋体" w:eastAsia="宋体" w:cs="宋体"/>
                <w:color w:val="000000"/>
                <w:kern w:val="0"/>
                <w:szCs w:val="21"/>
              </w:rPr>
              <w:t>500ms，实现对驻留时间≤500ms的可疑信号进行有效侦测；</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16、侦测频率误差：侦测模块对可疑信号的侦测频率误差应≤25kHz；</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17、自动调整：应能够根据作弊信号带宽、调制方式及功率等特征自动调整阻断信号带宽和功率，确保对作弊信号的有效阻断，并根据作弊信号持续时间，自动调整屏蔽时长，减少非必要辐射，符合节能环保要求；</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18、数据接口 RJ45，支持TCP/IP协议和UDP广播/组播协议，具备联网能力；</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作弊防控系统管理平台</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1、可以监控终端设备进行集中管理，包括远程授权控制、远程开关、批量升级、检测设备在线离线</w:t>
            </w:r>
            <w:r>
              <w:rPr>
                <w:rFonts w:hint="eastAsia" w:ascii="宋体" w:hAnsi="宋体" w:eastAsia="宋体" w:cs="宋体"/>
                <w:color w:val="000000"/>
                <w:kern w:val="0"/>
                <w:szCs w:val="21"/>
              </w:rPr>
              <w:t>状态</w:t>
            </w:r>
            <w:r>
              <w:rPr>
                <w:rFonts w:ascii="宋体" w:hAnsi="宋体" w:eastAsia="宋体" w:cs="宋体"/>
                <w:color w:val="000000"/>
                <w:kern w:val="0"/>
                <w:szCs w:val="21"/>
              </w:rPr>
              <w:t>；</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2、能够支持对单台设备或多台设备一键屏蔽/开启专业作弊，电话，上网信号；</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3、可以对系统设备的运行状态、开关状态、网络情况的信息进行查看；</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4、支持平台远程开/关屏蔽器的任一信号通道，且具有远程调节各个通道的输出功率大小功能；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5、无线电作弊防控系统软件同时应可实现阻断设备及设备中各天线模块在线离线状态，可实现阻断终端远程电源开关；</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6、应具备温度监测功能，应能够随时监测屏蔽设备内部温度，便于在设备过热时及时保护设备。</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支持考前、考中及考后自动工作模式，考试计划开始时系统自动进入工作状态，考试计划结束时系统自动停止工作并关闭相关设备，可以根据考试计划实现无人值守式管理，各级平台之间应可以进行考试计划同步；</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8、设备应可以与场所进行绑定管理；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9、支持WebService接口，应可以通过浏览器进行自动化考试模式管理；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10、可以与上级平台级联，自动下载考试计划，上传作弊信号信息结果，上级平台可以汇总查看下级系统相关信息；</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11、系统具备密码登录、用户权限设置功能；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12、具备管理员操作日志记录、查询功能；</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13、软件通过信息安全性测试，经过安全漏洞扫描应未发现高、中级漏洞</w:t>
            </w:r>
            <w:r>
              <w:rPr>
                <w:rFonts w:hint="eastAsia" w:ascii="宋体" w:hAnsi="宋体" w:eastAsia="宋体" w:cs="宋体"/>
                <w:color w:val="000000"/>
                <w:kern w:val="0"/>
                <w:szCs w:val="21"/>
              </w:rPr>
              <w:t>，符合二级等保要求</w:t>
            </w:r>
            <w:r>
              <w:rPr>
                <w:rFonts w:ascii="宋体" w:hAnsi="宋体" w:eastAsia="宋体" w:cs="宋体"/>
                <w:color w:val="000000"/>
                <w:kern w:val="0"/>
                <w:szCs w:val="21"/>
              </w:rPr>
              <w:t>。</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1954" w:type="dxa"/>
            <w:shd w:val="clear" w:color="000000" w:fill="FFFFFF"/>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4）身份验证系统</w:t>
            </w:r>
          </w:p>
          <w:p>
            <w:pPr>
              <w:widowControl/>
              <w:jc w:val="left"/>
              <w:rPr>
                <w:rFonts w:ascii="宋体" w:hAnsi="宋体"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身份验证终端</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1、屏幕尺寸≥8英寸IPS显示屏，分辨率≥1280*800，可触控，文字、图片显示清晰。可视角度≥170°；</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2、CPU≥4核，主频≥1.8GHz；</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3、存储：运行内存≥2GB，存储容量≥32GB；（提供法定机构检测报告复印件并加盖制造商公章）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4、拍照模块：前置≥500w摄像头，具备自动聚焦功能，后置≥800w摄像头，且带有录像功能，能录制考生入场的视频并保存；（提供法定机构检测报告复印件并加盖制造商公章）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5、为实现多种数据传输方式，终端应能够扫描并识别综合管理平台下发的二维码；</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6、扬声器：身份认证设备自带扬声器，能够进行语音提示，声音清晰，音量可调，最大音量≥100分贝，且能播报验证认证姓名；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7、通行指示灯：具有通行颜色光源指示灯，满足在室外环境快速通行的指示要求，至少具有三种颜色指示灯分别表示通过、不通过、需复核；（提供法定机构检测报告复印件并加盖制造商公章）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8、供电：应采用锂聚合物电池,容量6500mAh，采用电池供电模式时可持续使用10小时以上；</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9、联网功能：支持WiFi和以太网；</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10、二代身份证信息采集模块：可读取二代身份证信息，包括姓名、证件照片、指纹信息、证件有效期等。符合公安部《手持式居民身份证阅读器》（GA 1153-2014）或符合公安部《台式居民身份证阅读器通用技术要求》（GA450-2013）；</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 xml:space="preserve">11、人脸识别模块：可在软件界面中检测并采集人脸图像、人脸定位框可跟随人脸移动；（提供法定机构检测报告复印件并加盖制造商公章） </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12、人性化设计：身份证模块位于终端右下方，方便客户刷身份证。符合客户使用习惯；验证提示灯位于终端右上方，提示效果明显；</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13、补光灯：具有双LED光源补光组件，补光灯色温4500K~6500K、显色指数（Ra）不小于90；光源为LED恒定光源；（提供法定机构检测报告复印件并加盖制造商公章）</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14、多种组合模式：支持手持验证方式。支持立式支架验证方式；</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5</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身份验证终端可根据实际情况选择，最少可配置一台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身份验证终端支架</w:t>
            </w:r>
          </w:p>
        </w:tc>
        <w:tc>
          <w:tcPr>
            <w:tcW w:w="9183"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轻巧短小，硅胶脚垫360度旋转</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5</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1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考生身份认证系统软件</w:t>
            </w:r>
          </w:p>
        </w:tc>
        <w:tc>
          <w:tcPr>
            <w:tcW w:w="9183" w:type="dxa"/>
            <w:shd w:val="clear" w:color="000000" w:fill="FFFFFF"/>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1、用户管理：应能够对用户进行增、删、改以及用户的权限和角色划分。统一账户管理,统一授权管理，统一认证管理,统一审计管理；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2、机构管理：应能够对各级机构进行增、删、改，可对用户进行按市、县区、考点等行政划分进行权限控制；考区编号；（提供法定机构检测报告复印件并加盖制造商公章）</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3、角色管理：应能够对系统角色的增、删、改。例如：系统管理员、用户等角色；</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4、终端管理：管理终端应能够批量设置、批量数据下发、批量更新终端版本；</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5、考试计划：应能够根据每年的考试情况，制定各场考试的考试计划，可绑定科目，身份认证终端验证时间。按设定时间计划主动上传验证结果数据；</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6、数据导入：应能够导入考点库、考场库、考生库、图像库、指纹库和删除相关批次等相关数据。提供数据接口供下级服务器按考点编号或考区编号下载本区域内所有考生身份数据库；</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7、数据打包：应能够对导入系统的考生数据进行打包，为身份认证终端下载做准备。平台数据进行加密处理,保证数据安全；</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8、认证结果：应能够查看考生认证数据情况。可导出excel报表，可导出dbf数据库和认证照片。导出报告。支持考务需求的各类报表打印、套打、批量打印等；</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9、违纪管理：应能够管理终端上传上来的违纪数据，应可导出excel报表；</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10、缺考管理：应能够管理终端上传上来的缺考数据，应可导出excel报表；</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11、考生入场情况：大屏总览应能够展示考生入场实时的认证数据以及对认证数据的图形分析。汇总与统计结果以报表和图表形式输出；</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12、性能效率（考试计划制定）：并发2000用户进行考试计划制定的平均响应时间＜2秒；</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13、信息安全性：对系统网站进行安全扫描，应未发现高中风险漏洞；（提供法定机构检测报告复印件并加盖制造商公章）</w:t>
            </w:r>
          </w:p>
        </w:tc>
        <w:tc>
          <w:tcPr>
            <w:tcW w:w="754" w:type="dxa"/>
            <w:gridSpan w:val="2"/>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1954" w:type="dxa"/>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三、网络及综合布线部分</w:t>
            </w:r>
          </w:p>
          <w:p>
            <w:pPr>
              <w:widowControl/>
              <w:jc w:val="left"/>
              <w:rPr>
                <w:rFonts w:ascii="宋体" w:hAnsi="宋体"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1）全光网络设备部分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为了保证全光网络更好的兼容性，交换机、</w:t>
            </w:r>
            <w:r>
              <w:rPr>
                <w:rFonts w:ascii="宋体" w:hAnsi="宋体" w:eastAsia="宋体" w:cs="宋体"/>
                <w:color w:val="000000"/>
                <w:kern w:val="0"/>
                <w:szCs w:val="21"/>
              </w:rPr>
              <w:t>OLT设备</w:t>
            </w:r>
            <w:r>
              <w:rPr>
                <w:rFonts w:hint="eastAsia" w:ascii="宋体" w:hAnsi="宋体" w:eastAsia="宋体" w:cs="宋体"/>
                <w:color w:val="000000"/>
                <w:kern w:val="0"/>
                <w:szCs w:val="21"/>
              </w:rPr>
              <w:t>、分光器、</w:t>
            </w:r>
            <w:r>
              <w:rPr>
                <w:rFonts w:ascii="宋体" w:hAnsi="宋体" w:eastAsia="宋体" w:cs="宋体"/>
                <w:color w:val="000000"/>
                <w:kern w:val="0"/>
                <w:szCs w:val="21"/>
              </w:rPr>
              <w:t>8口ONU</w:t>
            </w:r>
            <w:r>
              <w:rPr>
                <w:rFonts w:hint="eastAsia" w:ascii="宋体" w:hAnsi="宋体" w:eastAsia="宋体" w:cs="宋体"/>
                <w:color w:val="000000"/>
                <w:kern w:val="0"/>
                <w:szCs w:val="21"/>
              </w:rPr>
              <w:t>和</w:t>
            </w:r>
            <w:r>
              <w:rPr>
                <w:rFonts w:ascii="宋体" w:hAnsi="宋体" w:eastAsia="宋体" w:cs="宋体"/>
                <w:color w:val="000000"/>
                <w:kern w:val="0"/>
                <w:szCs w:val="21"/>
              </w:rPr>
              <w:t>4口ONU</w:t>
            </w:r>
            <w:r>
              <w:rPr>
                <w:rFonts w:hint="eastAsia" w:ascii="宋体" w:hAnsi="宋体" w:eastAsia="宋体" w:cs="宋体"/>
                <w:color w:val="000000"/>
                <w:kern w:val="0"/>
                <w:szCs w:val="21"/>
              </w:rPr>
              <w:t>必须为同一品牌。</w:t>
            </w:r>
          </w:p>
          <w:p>
            <w:pPr>
              <w:widowControl/>
              <w:jc w:val="left"/>
              <w:rPr>
                <w:rFonts w:ascii="宋体" w:hAnsi="宋体"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9" w:type="dxa"/>
            <w:shd w:val="clear" w:color="auto" w:fill="auto"/>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交换机</w:t>
            </w:r>
          </w:p>
        </w:tc>
        <w:tc>
          <w:tcPr>
            <w:tcW w:w="9183" w:type="dxa"/>
            <w:shd w:val="clear" w:color="auto" w:fill="auto"/>
            <w:vAlign w:val="center"/>
          </w:tcPr>
          <w:p>
            <w:pPr>
              <w:jc w:val="left"/>
              <w:rPr>
                <w:rFonts w:ascii="宋体" w:hAnsi="宋体" w:eastAsia="宋体" w:cs="宋体"/>
                <w:color w:val="000000"/>
                <w:kern w:val="0"/>
                <w:szCs w:val="21"/>
              </w:rPr>
            </w:pPr>
            <w:r>
              <w:rPr>
                <w:rFonts w:ascii="宋体" w:hAnsi="宋体" w:eastAsia="宋体" w:cs="宋体"/>
                <w:color w:val="000000"/>
                <w:kern w:val="0"/>
                <w:szCs w:val="21"/>
              </w:rPr>
              <w:t>1、盒式交换机，安装于交换机机柜</w:t>
            </w:r>
          </w:p>
          <w:p>
            <w:pPr>
              <w:jc w:val="left"/>
              <w:rPr>
                <w:rFonts w:ascii="宋体" w:hAnsi="宋体" w:eastAsia="宋体" w:cs="宋体"/>
                <w:color w:val="000000"/>
                <w:kern w:val="0"/>
                <w:szCs w:val="21"/>
              </w:rPr>
            </w:pPr>
            <w:r>
              <w:rPr>
                <w:rFonts w:ascii="宋体" w:hAnsi="宋体" w:eastAsia="宋体" w:cs="宋体"/>
                <w:color w:val="000000"/>
                <w:kern w:val="0"/>
                <w:szCs w:val="21"/>
              </w:rPr>
              <w:t>2、万兆SFP+端口≥24</w:t>
            </w:r>
            <w:r>
              <w:rPr>
                <w:rFonts w:hint="eastAsia" w:ascii="宋体" w:hAnsi="宋体" w:eastAsia="宋体" w:cs="宋体"/>
                <w:color w:val="000000"/>
                <w:kern w:val="0"/>
                <w:szCs w:val="21"/>
              </w:rPr>
              <w:t>，配置模块数量</w:t>
            </w:r>
            <w:r>
              <w:rPr>
                <w:rFonts w:ascii="宋体" w:hAnsi="宋体" w:eastAsia="宋体" w:cs="宋体"/>
                <w:color w:val="000000"/>
                <w:kern w:val="0"/>
                <w:szCs w:val="21"/>
              </w:rPr>
              <w:t>≥24</w:t>
            </w:r>
          </w:p>
        </w:tc>
        <w:tc>
          <w:tcPr>
            <w:tcW w:w="754" w:type="dxa"/>
            <w:gridSpan w:val="2"/>
            <w:shd w:val="clear" w:color="auto" w:fill="auto"/>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auto" w:fill="auto"/>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auto" w:fill="auto"/>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pPr>
              <w:widowControl/>
              <w:jc w:val="center"/>
              <w:rPr>
                <w:rFonts w:ascii="宋体" w:hAnsi="宋体" w:eastAsia="宋体" w:cs="宋体"/>
                <w:color w:val="000000"/>
                <w:kern w:val="0"/>
                <w:szCs w:val="21"/>
              </w:rPr>
            </w:pPr>
          </w:p>
        </w:tc>
        <w:tc>
          <w:tcPr>
            <w:tcW w:w="1119" w:type="dxa"/>
            <w:shd w:val="clear" w:color="auto" w:fill="auto"/>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OLT设备</w:t>
            </w:r>
          </w:p>
        </w:tc>
        <w:tc>
          <w:tcPr>
            <w:tcW w:w="9183" w:type="dxa"/>
            <w:shd w:val="clear" w:color="auto" w:fill="auto"/>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1.上行10GE/GE</w:t>
            </w:r>
            <w:r>
              <w:rPr>
                <w:rFonts w:hint="eastAsia" w:ascii="宋体" w:hAnsi="宋体" w:eastAsia="宋体" w:cs="宋体"/>
                <w:color w:val="000000"/>
                <w:kern w:val="0"/>
                <w:szCs w:val="21"/>
              </w:rPr>
              <w:t>端口</w:t>
            </w:r>
            <w:r>
              <w:rPr>
                <w:rFonts w:ascii="宋体" w:hAnsi="宋体" w:eastAsia="宋体" w:cs="宋体"/>
                <w:color w:val="000000"/>
                <w:kern w:val="0"/>
                <w:szCs w:val="21"/>
              </w:rPr>
              <w:t>≥4；下行PON端口</w:t>
            </w:r>
            <w:r>
              <w:rPr>
                <w:rFonts w:hint="eastAsia" w:ascii="宋体" w:hAnsi="宋体" w:eastAsia="宋体" w:cs="宋体"/>
                <w:color w:val="000000"/>
                <w:kern w:val="0"/>
                <w:szCs w:val="21"/>
              </w:rPr>
              <w:t>端口</w:t>
            </w:r>
            <w:r>
              <w:rPr>
                <w:rFonts w:ascii="宋体" w:hAnsi="宋体" w:eastAsia="宋体" w:cs="宋体"/>
                <w:color w:val="000000"/>
                <w:kern w:val="0"/>
                <w:szCs w:val="21"/>
              </w:rPr>
              <w:t>≥16，</w:t>
            </w:r>
            <w:r>
              <w:rPr>
                <w:rFonts w:hint="eastAsia" w:ascii="宋体" w:hAnsi="宋体" w:eastAsia="宋体" w:cs="宋体"/>
                <w:color w:val="000000"/>
                <w:kern w:val="0"/>
                <w:szCs w:val="21"/>
              </w:rPr>
              <w:t>满配所有端口模块；</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2.双电源，支持双路AC及DC电源模块供电，模块及风扇支持插拔,支持时钟模块</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9.可靠性：支持TYPEB/TYPEC保护、ERPS/单板在线检测和修复、双电源冗余备份提供官方彩页证明</w:t>
            </w:r>
            <w:r>
              <w:rPr>
                <w:rFonts w:hint="eastAsia" w:ascii="宋体" w:hAnsi="宋体" w:eastAsia="宋体" w:cs="宋体"/>
                <w:color w:val="000000"/>
                <w:kern w:val="0"/>
                <w:szCs w:val="21"/>
              </w:rPr>
              <w:t>。</w:t>
            </w:r>
          </w:p>
        </w:tc>
        <w:tc>
          <w:tcPr>
            <w:tcW w:w="754" w:type="dxa"/>
            <w:gridSpan w:val="2"/>
            <w:shd w:val="clear" w:color="auto" w:fill="auto"/>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98" w:type="dxa"/>
            <w:shd w:val="clear" w:color="auto" w:fill="auto"/>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auto" w:fill="auto"/>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9" w:type="dxa"/>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分光器</w:t>
            </w:r>
          </w:p>
        </w:tc>
        <w:tc>
          <w:tcPr>
            <w:tcW w:w="9183" w:type="dxa"/>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光分路器-单模-1×8均分-SC/UPC</w:t>
            </w:r>
          </w:p>
        </w:tc>
        <w:tc>
          <w:tcPr>
            <w:tcW w:w="754" w:type="dxa"/>
            <w:gridSpan w:val="2"/>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p>
        </w:tc>
        <w:tc>
          <w:tcPr>
            <w:tcW w:w="798"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auto" w:fill="auto"/>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9" w:type="dxa"/>
            <w:shd w:val="clear" w:color="auto" w:fill="auto"/>
            <w:vAlign w:val="center"/>
          </w:tcPr>
          <w:p>
            <w:pPr>
              <w:widowControl/>
              <w:spacing w:before="100" w:beforeAutospacing="1" w:after="100" w:afterAutospacing="1"/>
              <w:jc w:val="center"/>
              <w:rPr>
                <w:rFonts w:ascii="宋体" w:hAnsi="宋体" w:eastAsia="宋体" w:cs="宋体"/>
                <w:color w:val="000000"/>
                <w:kern w:val="0"/>
                <w:szCs w:val="21"/>
              </w:rPr>
            </w:pPr>
            <w:r>
              <w:rPr>
                <w:rFonts w:hint="eastAsia" w:ascii="宋体" w:hAnsi="宋体" w:eastAsia="宋体" w:cs="宋体"/>
                <w:color w:val="000000"/>
                <w:kern w:val="0"/>
                <w:szCs w:val="21"/>
              </w:rPr>
              <w:t>8口ONU</w:t>
            </w:r>
          </w:p>
        </w:tc>
        <w:tc>
          <w:tcPr>
            <w:tcW w:w="9183" w:type="dxa"/>
            <w:shd w:val="clear" w:color="auto" w:fill="auto"/>
            <w:vAlign w:val="center"/>
          </w:tcPr>
          <w:p>
            <w:pPr>
              <w:pStyle w:val="8"/>
              <w:ind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1、★上行千兆PON接口，下行8个千兆电口，POE供电，单端口及整机功率满足摄像头的供电需求；</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2、指示灯包括电源、系统运行状态、PON和以太网电口接口；</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3、支持ONU注册认证机制,认证方式：MAC地址认证，LOID认证，LOID+PASSWORD认证，混合认证等多种认证方式；</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4、支持动态带宽分配，链路加密，支持设置管理VLAN，支持端口环路检测；</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5、支持Web、Telnet 和CLI管理，支持以太网端口的状态管理、限速和隔离</w:t>
            </w:r>
            <w:r>
              <w:rPr>
                <w:rFonts w:ascii="宋体" w:hAnsi="宋体" w:eastAsia="宋体" w:cs="宋体"/>
                <w:color w:val="000000"/>
                <w:kern w:val="0"/>
                <w:szCs w:val="21"/>
              </w:rPr>
              <w:t> </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6、支持远程批量软件升级，支持升级失败自动回退功能</w:t>
            </w:r>
          </w:p>
        </w:tc>
        <w:tc>
          <w:tcPr>
            <w:tcW w:w="754"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7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54" w:type="dxa"/>
            <w:shd w:val="clear" w:color="auto" w:fill="auto"/>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4个284座位阶梯教室各1个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19" w:type="dxa"/>
            <w:shd w:val="clear" w:color="auto" w:fill="auto"/>
            <w:vAlign w:val="center"/>
          </w:tcPr>
          <w:p>
            <w:pPr>
              <w:widowControl/>
              <w:spacing w:before="100" w:beforeAutospacing="1" w:after="100" w:afterAutospacing="1"/>
              <w:jc w:val="center"/>
              <w:rPr>
                <w:rFonts w:ascii="宋体" w:hAnsi="宋体" w:eastAsia="宋体" w:cs="宋体"/>
                <w:color w:val="000000"/>
                <w:kern w:val="0"/>
                <w:szCs w:val="21"/>
              </w:rPr>
            </w:pPr>
            <w:r>
              <w:rPr>
                <w:rFonts w:hint="eastAsia" w:ascii="宋体" w:hAnsi="宋体" w:eastAsia="宋体" w:cs="宋体"/>
                <w:color w:val="000000"/>
                <w:kern w:val="0"/>
                <w:szCs w:val="21"/>
              </w:rPr>
              <w:t>4口ONU</w:t>
            </w:r>
          </w:p>
        </w:tc>
        <w:tc>
          <w:tcPr>
            <w:tcW w:w="9183" w:type="dxa"/>
            <w:shd w:val="clear" w:color="auto" w:fill="auto"/>
            <w:vAlign w:val="center"/>
          </w:tcPr>
          <w:p>
            <w:pPr>
              <w:pStyle w:val="8"/>
              <w:ind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1、★上行千兆PON接口，下行4个千兆电口，POE供电，单端口及整机功率满足摄像头的供电需求；</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2、指示灯包括电源、系统运行状态、PON和以太网电口接口；</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3、支持ONU注册认证机制,认证方式：MAC地址认证，LOID认证，LOID+PASSWORD认证，混合认证等多种认证方式；</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4、支持动态带宽分配，链路加密，支持设置管理VLAN，支持端口环路检测；</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5、支持Web、Telnet 和CLI管理，支持以太网端口的状态管理、限速和隔离；</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6、支持远程批量软件升级，支持升级失败自动回退功能</w:t>
            </w:r>
          </w:p>
        </w:tc>
        <w:tc>
          <w:tcPr>
            <w:tcW w:w="754"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r>
              <w:rPr>
                <w:rFonts w:ascii="宋体" w:hAnsi="宋体" w:eastAsia="宋体" w:cs="宋体"/>
                <w:color w:val="000000"/>
                <w:kern w:val="0"/>
                <w:szCs w:val="21"/>
              </w:rPr>
              <w:t>9</w:t>
            </w:r>
          </w:p>
        </w:tc>
        <w:tc>
          <w:tcPr>
            <w:tcW w:w="7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54" w:type="dxa"/>
            <w:shd w:val="clear" w:color="auto" w:fill="auto"/>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59个60座位考场各1个、28个96~108座位考场各1个</w:t>
            </w:r>
            <w:r>
              <w:rPr>
                <w:rFonts w:hint="eastAsia" w:ascii="宋体" w:hAnsi="宋体" w:eastAsia="宋体" w:cs="宋体"/>
                <w:color w:val="000000"/>
                <w:kern w:val="0"/>
                <w:szCs w:val="21"/>
              </w:rPr>
              <w:t>、</w:t>
            </w:r>
            <w:r>
              <w:rPr>
                <w:rFonts w:ascii="宋体" w:hAnsi="宋体" w:eastAsia="宋体" w:cs="宋体"/>
                <w:color w:val="000000"/>
                <w:kern w:val="0"/>
                <w:szCs w:val="21"/>
              </w:rPr>
              <w:t>监控室1个</w:t>
            </w:r>
            <w:r>
              <w:rPr>
                <w:rFonts w:hint="eastAsia" w:ascii="宋体" w:hAnsi="宋体" w:eastAsia="宋体" w:cs="宋体"/>
                <w:color w:val="000000"/>
                <w:kern w:val="0"/>
                <w:szCs w:val="21"/>
              </w:rPr>
              <w:t>、</w:t>
            </w:r>
            <w:r>
              <w:rPr>
                <w:rFonts w:ascii="宋体" w:hAnsi="宋体" w:eastAsia="宋体" w:cs="宋体"/>
                <w:color w:val="000000"/>
                <w:kern w:val="0"/>
                <w:szCs w:val="21"/>
              </w:rPr>
              <w:t>保密室1个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19" w:type="dxa"/>
            <w:shd w:val="clear" w:color="auto" w:fill="auto"/>
            <w:vAlign w:val="center"/>
          </w:tcPr>
          <w:p>
            <w:pPr>
              <w:widowControl/>
              <w:spacing w:before="100" w:beforeAutospacing="1" w:after="100" w:afterAutospacing="1"/>
              <w:jc w:val="center"/>
              <w:rPr>
                <w:rFonts w:ascii="宋体" w:hAnsi="宋体" w:eastAsia="宋体"/>
                <w:szCs w:val="21"/>
              </w:rPr>
            </w:pPr>
            <w:r>
              <w:rPr>
                <w:rFonts w:hint="eastAsia" w:ascii="宋体" w:hAnsi="宋体" w:eastAsia="宋体"/>
                <w:szCs w:val="21"/>
              </w:rPr>
              <w:t>安防箱</w:t>
            </w:r>
          </w:p>
        </w:tc>
        <w:tc>
          <w:tcPr>
            <w:tcW w:w="9183" w:type="dxa"/>
            <w:shd w:val="clear" w:color="auto" w:fill="auto"/>
            <w:vAlign w:val="center"/>
          </w:tcPr>
          <w:p>
            <w:pPr>
              <w:spacing w:before="100" w:beforeAutospacing="1" w:after="100" w:afterAutospacing="1"/>
              <w:jc w:val="left"/>
              <w:rPr>
                <w:rFonts w:ascii="宋体" w:hAnsi="宋体" w:eastAsia="宋体"/>
                <w:szCs w:val="21"/>
              </w:rPr>
            </w:pPr>
            <w:r>
              <w:rPr>
                <w:rFonts w:hint="eastAsia" w:ascii="宋体" w:hAnsi="宋体" w:eastAsia="宋体"/>
                <w:szCs w:val="21"/>
              </w:rPr>
              <w:t>定制，室内安防箱</w:t>
            </w:r>
          </w:p>
        </w:tc>
        <w:tc>
          <w:tcPr>
            <w:tcW w:w="754"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r>
              <w:rPr>
                <w:rFonts w:ascii="宋体" w:hAnsi="宋体" w:eastAsia="宋体" w:cs="宋体"/>
                <w:color w:val="000000"/>
                <w:kern w:val="0"/>
                <w:szCs w:val="21"/>
              </w:rPr>
              <w:t>3</w:t>
            </w:r>
          </w:p>
        </w:tc>
        <w:tc>
          <w:tcPr>
            <w:tcW w:w="798" w:type="dxa"/>
            <w:shd w:val="clear" w:color="auto" w:fill="auto"/>
            <w:vAlign w:val="center"/>
          </w:tcPr>
          <w:p>
            <w:pPr>
              <w:widowControl/>
              <w:jc w:val="center"/>
              <w:rPr>
                <w:rFonts w:ascii="宋体" w:hAnsi="宋体" w:eastAsia="宋体" w:cs="宋体"/>
                <w:color w:val="000000"/>
                <w:kern w:val="0"/>
                <w:szCs w:val="21"/>
              </w:rPr>
            </w:pPr>
          </w:p>
        </w:tc>
        <w:tc>
          <w:tcPr>
            <w:tcW w:w="19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每个教室1个，包括</w:t>
            </w:r>
            <w:r>
              <w:rPr>
                <w:rFonts w:ascii="宋体" w:hAnsi="宋体" w:eastAsia="宋体" w:cs="宋体"/>
                <w:color w:val="000000"/>
                <w:kern w:val="0"/>
                <w:szCs w:val="21"/>
              </w:rPr>
              <w:t>监控室</w:t>
            </w:r>
            <w:r>
              <w:rPr>
                <w:rFonts w:hint="eastAsia" w:ascii="宋体" w:hAnsi="宋体" w:eastAsia="宋体" w:cs="宋体"/>
                <w:color w:val="000000"/>
                <w:kern w:val="0"/>
                <w:szCs w:val="21"/>
              </w:rPr>
              <w:t>、</w:t>
            </w:r>
            <w:r>
              <w:rPr>
                <w:rFonts w:ascii="宋体" w:hAnsi="宋体" w:eastAsia="宋体" w:cs="宋体"/>
                <w:color w:val="000000"/>
                <w:kern w:val="0"/>
                <w:szCs w:val="21"/>
              </w:rPr>
              <w:t>保密室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119" w:type="dxa"/>
            <w:shd w:val="clear" w:color="000000" w:fill="FFFFFF"/>
            <w:vAlign w:val="center"/>
          </w:tcPr>
          <w:p>
            <w:pPr>
              <w:widowControl/>
              <w:spacing w:before="100" w:beforeAutospacing="1" w:after="100" w:afterAutospacing="1"/>
              <w:jc w:val="center"/>
              <w:rPr>
                <w:rFonts w:ascii="宋体" w:hAnsi="宋体" w:eastAsia="宋体"/>
                <w:szCs w:val="21"/>
              </w:rPr>
            </w:pPr>
            <w:r>
              <w:rPr>
                <w:rFonts w:hint="eastAsia" w:ascii="宋体" w:hAnsi="宋体" w:eastAsia="宋体"/>
                <w:szCs w:val="21"/>
              </w:rPr>
              <w:t>光纤</w:t>
            </w:r>
          </w:p>
        </w:tc>
        <w:tc>
          <w:tcPr>
            <w:tcW w:w="9183" w:type="dxa"/>
            <w:shd w:val="clear" w:color="auto" w:fill="auto"/>
            <w:vAlign w:val="center"/>
          </w:tcPr>
          <w:p>
            <w:pPr>
              <w:spacing w:before="100" w:beforeAutospacing="1" w:after="100" w:afterAutospacing="1"/>
              <w:jc w:val="left"/>
              <w:rPr>
                <w:rFonts w:ascii="宋体" w:hAnsi="宋体" w:eastAsia="宋体"/>
                <w:szCs w:val="21"/>
              </w:rPr>
            </w:pPr>
          </w:p>
        </w:tc>
        <w:tc>
          <w:tcPr>
            <w:tcW w:w="3506" w:type="dxa"/>
            <w:gridSpan w:val="4"/>
            <w:vMerge w:val="restart"/>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szCs w:val="21"/>
              </w:rPr>
              <w:t>具体数量及规格以现场勘查为准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19" w:type="dxa"/>
            <w:shd w:val="clear" w:color="000000" w:fill="FFFFFF"/>
            <w:vAlign w:val="center"/>
          </w:tcPr>
          <w:p>
            <w:pPr>
              <w:widowControl/>
              <w:spacing w:before="100" w:beforeAutospacing="1" w:after="100" w:afterAutospacing="1"/>
              <w:jc w:val="center"/>
              <w:rPr>
                <w:rFonts w:ascii="宋体" w:hAnsi="宋体" w:eastAsia="宋体"/>
                <w:szCs w:val="21"/>
              </w:rPr>
            </w:pPr>
            <w:r>
              <w:rPr>
                <w:rFonts w:hint="eastAsia" w:ascii="宋体" w:hAnsi="宋体" w:eastAsia="宋体"/>
                <w:szCs w:val="21"/>
              </w:rPr>
              <w:t>网线</w:t>
            </w:r>
          </w:p>
        </w:tc>
        <w:tc>
          <w:tcPr>
            <w:tcW w:w="9183" w:type="dxa"/>
            <w:shd w:val="clear" w:color="auto" w:fill="auto"/>
            <w:vAlign w:val="center"/>
          </w:tcPr>
          <w:p>
            <w:pPr>
              <w:spacing w:before="100" w:beforeAutospacing="1" w:after="100" w:afterAutospacing="1"/>
              <w:jc w:val="left"/>
              <w:rPr>
                <w:rFonts w:ascii="宋体" w:hAnsi="宋体" w:eastAsia="宋体"/>
                <w:szCs w:val="21"/>
              </w:rPr>
            </w:pPr>
            <w:r>
              <w:rPr>
                <w:rFonts w:hint="eastAsia" w:ascii="宋体" w:hAnsi="宋体" w:eastAsia="宋体"/>
                <w:szCs w:val="21"/>
              </w:rPr>
              <w:t>六类，室内网线</w:t>
            </w:r>
          </w:p>
        </w:tc>
        <w:tc>
          <w:tcPr>
            <w:tcW w:w="3506" w:type="dxa"/>
            <w:gridSpan w:val="4"/>
            <w:vMerge w:val="continue"/>
            <w:shd w:val="clear" w:color="auto" w:fill="auto"/>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119" w:type="dxa"/>
            <w:shd w:val="clear" w:color="000000" w:fill="FFFFFF"/>
            <w:vAlign w:val="center"/>
          </w:tcPr>
          <w:p>
            <w:pPr>
              <w:widowControl/>
              <w:spacing w:before="100" w:beforeAutospacing="1" w:after="100" w:afterAutospacing="1"/>
              <w:jc w:val="center"/>
              <w:rPr>
                <w:rFonts w:ascii="宋体" w:hAnsi="宋体" w:eastAsia="宋体"/>
                <w:szCs w:val="21"/>
              </w:rPr>
            </w:pPr>
            <w:r>
              <w:rPr>
                <w:rFonts w:hint="eastAsia" w:ascii="宋体" w:hAnsi="宋体" w:eastAsia="宋体"/>
                <w:szCs w:val="21"/>
              </w:rPr>
              <w:t>电源线</w:t>
            </w:r>
          </w:p>
        </w:tc>
        <w:tc>
          <w:tcPr>
            <w:tcW w:w="9183" w:type="dxa"/>
            <w:shd w:val="clear" w:color="auto" w:fill="auto"/>
            <w:vAlign w:val="center"/>
          </w:tcPr>
          <w:p>
            <w:pPr>
              <w:spacing w:before="100" w:beforeAutospacing="1" w:after="100" w:afterAutospacing="1"/>
              <w:jc w:val="left"/>
              <w:rPr>
                <w:rFonts w:ascii="宋体" w:hAnsi="宋体" w:eastAsia="宋体"/>
                <w:szCs w:val="21"/>
              </w:rPr>
            </w:pPr>
          </w:p>
        </w:tc>
        <w:tc>
          <w:tcPr>
            <w:tcW w:w="3506" w:type="dxa"/>
            <w:gridSpan w:val="4"/>
            <w:vMerge w:val="continue"/>
            <w:shd w:val="clear" w:color="auto" w:fill="auto"/>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119" w:type="dxa"/>
            <w:shd w:val="clear" w:color="000000" w:fill="FFFFFF"/>
            <w:vAlign w:val="center"/>
          </w:tcPr>
          <w:p>
            <w:pPr>
              <w:widowControl/>
              <w:spacing w:before="100" w:beforeAutospacing="1" w:after="100" w:afterAutospacing="1"/>
              <w:jc w:val="center"/>
              <w:rPr>
                <w:rFonts w:ascii="宋体" w:hAnsi="宋体" w:eastAsia="宋体"/>
                <w:szCs w:val="21"/>
              </w:rPr>
            </w:pPr>
            <w:r>
              <w:rPr>
                <w:rFonts w:hint="eastAsia" w:ascii="宋体" w:hAnsi="宋体" w:eastAsia="宋体"/>
                <w:szCs w:val="21"/>
              </w:rPr>
              <w:t>辅材</w:t>
            </w:r>
          </w:p>
        </w:tc>
        <w:tc>
          <w:tcPr>
            <w:tcW w:w="9183" w:type="dxa"/>
            <w:shd w:val="clear" w:color="auto" w:fill="auto"/>
            <w:vAlign w:val="center"/>
          </w:tcPr>
          <w:p>
            <w:pPr>
              <w:spacing w:before="100" w:beforeAutospacing="1" w:after="100" w:afterAutospacing="1"/>
              <w:jc w:val="left"/>
              <w:rPr>
                <w:rFonts w:ascii="宋体" w:hAnsi="宋体" w:eastAsia="宋体"/>
                <w:szCs w:val="21"/>
              </w:rPr>
            </w:pPr>
            <w:r>
              <w:rPr>
                <w:rFonts w:hint="eastAsia" w:ascii="宋体" w:hAnsi="宋体" w:eastAsia="宋体"/>
                <w:szCs w:val="21"/>
              </w:rPr>
              <w:t>管路、接插件、扎带等</w:t>
            </w:r>
          </w:p>
        </w:tc>
        <w:tc>
          <w:tcPr>
            <w:tcW w:w="3506" w:type="dxa"/>
            <w:gridSpan w:val="4"/>
            <w:vMerge w:val="continue"/>
            <w:shd w:val="clear" w:color="auto" w:fill="auto"/>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506" w:type="dxa"/>
            <w:gridSpan w:val="7"/>
            <w:shd w:val="clear" w:color="000000" w:fill="FFFFFF"/>
            <w:vAlign w:val="center"/>
          </w:tcPr>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b/>
                <w:bCs/>
                <w:color w:val="000000"/>
                <w:kern w:val="0"/>
                <w:szCs w:val="21"/>
              </w:rPr>
              <w:t>四、数据存储部分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000000" w:fill="FFFFFF"/>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存储服务器</w:t>
            </w:r>
          </w:p>
        </w:tc>
        <w:tc>
          <w:tcPr>
            <w:tcW w:w="9183" w:type="dxa"/>
            <w:tcBorders>
              <w:top w:val="nil"/>
              <w:left w:val="nil"/>
              <w:bottom w:val="single" w:color="auto" w:sz="4" w:space="0"/>
              <w:right w:val="single" w:color="auto" w:sz="4" w:space="0"/>
            </w:tcBorders>
            <w:shd w:val="clear" w:color="000000" w:fill="FFFFFF"/>
            <w:vAlign w:val="center"/>
          </w:tcPr>
          <w:p>
            <w:pPr>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机架式服务器；</w:t>
            </w:r>
          </w:p>
          <w:p>
            <w:pPr>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、CPU</w:t>
            </w:r>
            <w:r>
              <w:rPr>
                <w:rFonts w:ascii="宋体" w:hAnsi="宋体" w:eastAsia="宋体" w:cs="宋体"/>
                <w:color w:val="000000"/>
                <w:kern w:val="0"/>
                <w:szCs w:val="21"/>
              </w:rPr>
              <w:t>：≥2</w:t>
            </w:r>
            <w:r>
              <w:rPr>
                <w:rFonts w:hint="eastAsia" w:ascii="宋体" w:hAnsi="宋体" w:eastAsia="宋体" w:cs="宋体"/>
                <w:color w:val="000000"/>
                <w:kern w:val="0"/>
                <w:szCs w:val="21"/>
              </w:rPr>
              <w:t>片intel二代或三代金牌处理器，</w:t>
            </w:r>
            <w:r>
              <w:rPr>
                <w:rFonts w:ascii="宋体" w:hAnsi="宋体" w:eastAsia="宋体" w:cs="宋体"/>
                <w:color w:val="000000"/>
                <w:kern w:val="0"/>
                <w:szCs w:val="21"/>
              </w:rPr>
              <w:t>16C,2.3 GHz</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ascii="宋体" w:hAnsi="宋体" w:eastAsia="宋体" w:cs="宋体"/>
                <w:color w:val="000000"/>
                <w:kern w:val="0"/>
                <w:szCs w:val="21"/>
              </w:rPr>
              <w:t>3、内存：</w:t>
            </w:r>
            <w:r>
              <w:rPr>
                <w:rFonts w:hint="eastAsia" w:ascii="宋体" w:hAnsi="宋体" w:eastAsia="宋体" w:cs="宋体"/>
                <w:color w:val="000000"/>
                <w:kern w:val="0"/>
                <w:szCs w:val="21"/>
              </w:rPr>
              <w:t>内存插槽数</w:t>
            </w:r>
            <w:r>
              <w:rPr>
                <w:rFonts w:ascii="宋体" w:hAnsi="宋体" w:eastAsia="宋体" w:cs="宋体"/>
                <w:color w:val="000000"/>
                <w:kern w:val="0"/>
                <w:szCs w:val="21"/>
              </w:rPr>
              <w:t>≥24</w:t>
            </w:r>
            <w:r>
              <w:rPr>
                <w:rFonts w:hint="eastAsia" w:ascii="宋体" w:hAnsi="宋体" w:eastAsia="宋体" w:cs="宋体"/>
                <w:color w:val="000000"/>
                <w:kern w:val="0"/>
                <w:szCs w:val="21"/>
              </w:rPr>
              <w:t>，容量</w:t>
            </w:r>
            <w:r>
              <w:rPr>
                <w:rFonts w:ascii="宋体" w:hAnsi="宋体" w:eastAsia="宋体" w:cs="宋体"/>
                <w:color w:val="000000"/>
                <w:kern w:val="0"/>
                <w:szCs w:val="21"/>
              </w:rPr>
              <w:t>≥512</w:t>
            </w:r>
            <w:r>
              <w:rPr>
                <w:rFonts w:hint="eastAsia" w:ascii="宋体" w:hAnsi="宋体" w:eastAsia="宋体" w:cs="宋体"/>
                <w:color w:val="000000"/>
                <w:kern w:val="0"/>
                <w:szCs w:val="21"/>
              </w:rPr>
              <w:t>GB，</w:t>
            </w:r>
            <w:r>
              <w:rPr>
                <w:rFonts w:ascii="宋体" w:hAnsi="宋体" w:eastAsia="宋体" w:cs="宋体"/>
                <w:color w:val="000000"/>
                <w:kern w:val="0"/>
                <w:szCs w:val="21"/>
              </w:rPr>
              <w:t>DDR4,3200</w:t>
            </w:r>
            <w:r>
              <w:rPr>
                <w:rFonts w:hint="eastAsia" w:ascii="宋体" w:hAnsi="宋体" w:eastAsia="宋体" w:cs="宋体"/>
                <w:color w:val="000000"/>
                <w:kern w:val="0"/>
                <w:szCs w:val="21"/>
              </w:rPr>
              <w:t>MHz，单条容量</w:t>
            </w:r>
            <w:r>
              <w:rPr>
                <w:rFonts w:ascii="宋体" w:hAnsi="宋体" w:eastAsia="宋体" w:cs="宋体"/>
                <w:color w:val="000000"/>
                <w:kern w:val="0"/>
                <w:szCs w:val="21"/>
              </w:rPr>
              <w:t>≥32 GB</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存储：</w:t>
            </w:r>
            <w:r>
              <w:rPr>
                <w:rFonts w:ascii="宋体" w:hAnsi="宋体" w:eastAsia="宋体" w:cs="宋体"/>
                <w:color w:val="000000"/>
                <w:kern w:val="0"/>
                <w:szCs w:val="21"/>
              </w:rPr>
              <w:t xml:space="preserve">≥240 GB SATA SSD * 2 </w:t>
            </w:r>
            <w:r>
              <w:rPr>
                <w:rFonts w:hint="eastAsia" w:ascii="宋体" w:hAnsi="宋体" w:eastAsia="宋体" w:cs="宋体"/>
                <w:color w:val="000000"/>
                <w:kern w:val="0"/>
                <w:szCs w:val="21"/>
              </w:rPr>
              <w:t>Raid</w:t>
            </w:r>
            <w:r>
              <w:rPr>
                <w:rFonts w:ascii="宋体" w:hAnsi="宋体" w:eastAsia="宋体" w:cs="宋体"/>
                <w:color w:val="000000"/>
                <w:kern w:val="0"/>
                <w:szCs w:val="21"/>
              </w:rPr>
              <w:t>1</w:t>
            </w:r>
            <w:r>
              <w:rPr>
                <w:rFonts w:hint="eastAsia" w:ascii="宋体" w:hAnsi="宋体" w:eastAsia="宋体" w:cs="宋体"/>
                <w:color w:val="000000"/>
                <w:kern w:val="0"/>
                <w:szCs w:val="21"/>
              </w:rPr>
              <w:t>，用于安装操作系统，</w:t>
            </w:r>
            <w:r>
              <w:rPr>
                <w:rFonts w:ascii="宋体" w:hAnsi="宋体" w:eastAsia="宋体" w:cs="宋体"/>
                <w:color w:val="000000"/>
                <w:kern w:val="0"/>
                <w:szCs w:val="21"/>
              </w:rPr>
              <w:t>960 GB SATA SSD≥2</w:t>
            </w:r>
            <w:r>
              <w:rPr>
                <w:rFonts w:hint="eastAsia" w:ascii="宋体" w:hAnsi="宋体" w:eastAsia="宋体" w:cs="宋体"/>
                <w:color w:val="000000"/>
                <w:kern w:val="0"/>
                <w:szCs w:val="21"/>
              </w:rPr>
              <w:t>和</w:t>
            </w:r>
            <w:r>
              <w:rPr>
                <w:rFonts w:ascii="宋体" w:hAnsi="宋体" w:eastAsia="宋体" w:cs="宋体"/>
                <w:color w:val="000000"/>
                <w:kern w:val="0"/>
                <w:szCs w:val="21"/>
              </w:rPr>
              <w:t>8 TB SATA HDD≥4</w:t>
            </w:r>
            <w:r>
              <w:rPr>
                <w:rFonts w:hint="eastAsia" w:ascii="宋体" w:hAnsi="宋体" w:eastAsia="宋体" w:cs="宋体"/>
                <w:color w:val="000000"/>
                <w:kern w:val="0"/>
                <w:szCs w:val="21"/>
              </w:rPr>
              <w:t>，用于数据存储；</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、12Gbps SAS RAID卡，Cache≥1G，支持Raid 1/10/5/6</w:t>
            </w:r>
            <w:r>
              <w:rPr>
                <w:rFonts w:hint="eastAsia" w:ascii="宋体" w:hAnsi="宋体" w:eastAsia="宋体" w:cs="宋体"/>
                <w:color w:val="000000"/>
                <w:kern w:val="0"/>
                <w:szCs w:val="21"/>
              </w:rPr>
              <w:t>，支持直通模式和Raid模式；</w:t>
            </w:r>
          </w:p>
          <w:p>
            <w:pPr>
              <w:jc w:val="left"/>
              <w:rPr>
                <w:rFonts w:ascii="宋体" w:hAnsi="宋体" w:eastAsia="宋体" w:cs="宋体"/>
                <w:color w:val="000000"/>
                <w:kern w:val="0"/>
                <w:szCs w:val="21"/>
              </w:rPr>
            </w:pPr>
            <w:r>
              <w:rPr>
                <w:rFonts w:ascii="宋体" w:hAnsi="宋体" w:eastAsia="宋体" w:cs="宋体"/>
                <w:color w:val="000000"/>
                <w:kern w:val="0"/>
                <w:szCs w:val="21"/>
              </w:rPr>
              <w:t>6、冗余热插拔电源(1+1)，100-240V AC输入</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ascii="宋体" w:hAnsi="宋体" w:eastAsia="宋体" w:cs="宋体"/>
                <w:color w:val="000000"/>
                <w:kern w:val="0"/>
                <w:szCs w:val="21"/>
              </w:rPr>
              <w:t>7、双口万兆以太网卡 (</w:t>
            </w:r>
            <w:r>
              <w:rPr>
                <w:rFonts w:hint="eastAsia" w:ascii="宋体" w:hAnsi="宋体" w:eastAsia="宋体" w:cs="宋体"/>
                <w:color w:val="000000"/>
                <w:kern w:val="0"/>
                <w:szCs w:val="21"/>
              </w:rPr>
              <w:t>含光纤模块</w:t>
            </w:r>
            <w:r>
              <w:rPr>
                <w:rFonts w:ascii="宋体" w:hAnsi="宋体" w:eastAsia="宋体" w:cs="宋体"/>
                <w:color w:val="000000"/>
                <w:kern w:val="0"/>
                <w:szCs w:val="21"/>
              </w:rPr>
              <w:t>）≥2，双口千兆以太网卡 (RJ45接口）≥ 2</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ascii="宋体" w:hAnsi="宋体" w:eastAsia="宋体" w:cs="宋体"/>
                <w:color w:val="000000"/>
                <w:kern w:val="0"/>
                <w:szCs w:val="21"/>
              </w:rPr>
              <w:t>8</w:t>
            </w:r>
            <w:r>
              <w:rPr>
                <w:rFonts w:hint="eastAsia" w:ascii="宋体" w:hAnsi="宋体" w:eastAsia="宋体" w:cs="宋体"/>
                <w:color w:val="000000"/>
                <w:kern w:val="0"/>
                <w:szCs w:val="21"/>
              </w:rPr>
              <w:t>、扩展槽数量：PCI-E</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x8</w:t>
            </w:r>
            <w:r>
              <w:rPr>
                <w:rFonts w:ascii="宋体" w:hAnsi="宋体" w:eastAsia="宋体" w:cs="宋体"/>
                <w:color w:val="000000"/>
                <w:kern w:val="0"/>
                <w:szCs w:val="21"/>
              </w:rPr>
              <w:t>≥3</w:t>
            </w:r>
            <w:r>
              <w:rPr>
                <w:rFonts w:hint="eastAsia" w:ascii="宋体" w:hAnsi="宋体" w:eastAsia="宋体" w:cs="宋体"/>
                <w:color w:val="000000"/>
                <w:kern w:val="0"/>
                <w:szCs w:val="21"/>
              </w:rPr>
              <w:t>，PCI-E</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x</w:t>
            </w:r>
            <w:r>
              <w:rPr>
                <w:rFonts w:ascii="宋体" w:hAnsi="宋体" w:eastAsia="宋体" w:cs="宋体"/>
                <w:color w:val="000000"/>
                <w:kern w:val="0"/>
                <w:szCs w:val="21"/>
              </w:rPr>
              <w:t>16≥1</w:t>
            </w:r>
            <w:r>
              <w:rPr>
                <w:rFonts w:hint="eastAsia" w:ascii="宋体" w:hAnsi="宋体" w:eastAsia="宋体" w:cs="宋体"/>
                <w:color w:val="000000"/>
                <w:kern w:val="0"/>
                <w:szCs w:val="21"/>
              </w:rPr>
              <w:t>；</w:t>
            </w:r>
          </w:p>
          <w:p>
            <w:pPr>
              <w:jc w:val="left"/>
              <w:rPr>
                <w:rFonts w:ascii="宋体" w:hAnsi="宋体" w:eastAsia="宋体" w:cs="宋体"/>
                <w:color w:val="000000"/>
                <w:kern w:val="0"/>
                <w:szCs w:val="21"/>
              </w:rPr>
            </w:pPr>
            <w:r>
              <w:rPr>
                <w:rFonts w:ascii="宋体" w:hAnsi="宋体" w:eastAsia="宋体" w:cs="宋体"/>
                <w:color w:val="000000"/>
                <w:kern w:val="0"/>
                <w:szCs w:val="21"/>
              </w:rPr>
              <w:t>9</w:t>
            </w:r>
            <w:r>
              <w:rPr>
                <w:rFonts w:hint="eastAsia" w:ascii="宋体" w:hAnsi="宋体" w:eastAsia="宋体" w:cs="宋体"/>
                <w:color w:val="000000"/>
                <w:kern w:val="0"/>
                <w:szCs w:val="21"/>
              </w:rPr>
              <w:t>、远程可视化管理，包括远程可视化部署操作系统等。</w:t>
            </w:r>
          </w:p>
        </w:tc>
        <w:tc>
          <w:tcPr>
            <w:tcW w:w="711" w:type="dxa"/>
            <w:shd w:val="clear" w:color="auto" w:fill="auto"/>
            <w:vAlign w:val="center"/>
          </w:tcPr>
          <w:p>
            <w:pPr>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841" w:type="dxa"/>
            <w:gridSpan w:val="2"/>
            <w:shd w:val="clear" w:color="auto" w:fill="auto"/>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54" w:type="dxa"/>
            <w:shd w:val="clear" w:color="auto" w:fill="auto"/>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考场相关数据保存5年</w:t>
            </w:r>
          </w:p>
        </w:tc>
      </w:tr>
    </w:tbl>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NzlkMjZkNGUzNTIwNTAzODcyOGRkMmJlYmQ2MTAifQ=="/>
  </w:docVars>
  <w:rsids>
    <w:rsidRoot w:val="005F3285"/>
    <w:rsid w:val="0001768F"/>
    <w:rsid w:val="00074454"/>
    <w:rsid w:val="00091171"/>
    <w:rsid w:val="000B7BFE"/>
    <w:rsid w:val="000C1EAA"/>
    <w:rsid w:val="00110BD3"/>
    <w:rsid w:val="00170169"/>
    <w:rsid w:val="00183968"/>
    <w:rsid w:val="001F21DE"/>
    <w:rsid w:val="00205F5C"/>
    <w:rsid w:val="0021264F"/>
    <w:rsid w:val="00223232"/>
    <w:rsid w:val="002557AA"/>
    <w:rsid w:val="002627B0"/>
    <w:rsid w:val="0026492D"/>
    <w:rsid w:val="002667D3"/>
    <w:rsid w:val="002953AA"/>
    <w:rsid w:val="002A4259"/>
    <w:rsid w:val="002F0B2D"/>
    <w:rsid w:val="00312D7E"/>
    <w:rsid w:val="003B40AF"/>
    <w:rsid w:val="0046138E"/>
    <w:rsid w:val="00497B64"/>
    <w:rsid w:val="005119D1"/>
    <w:rsid w:val="00573928"/>
    <w:rsid w:val="005A1B82"/>
    <w:rsid w:val="005F3285"/>
    <w:rsid w:val="00686409"/>
    <w:rsid w:val="006B4DB9"/>
    <w:rsid w:val="006D1852"/>
    <w:rsid w:val="00733C42"/>
    <w:rsid w:val="00742A90"/>
    <w:rsid w:val="007B3931"/>
    <w:rsid w:val="00810357"/>
    <w:rsid w:val="0084635C"/>
    <w:rsid w:val="00875581"/>
    <w:rsid w:val="008A200F"/>
    <w:rsid w:val="008A5E3C"/>
    <w:rsid w:val="008A7A1F"/>
    <w:rsid w:val="008B6466"/>
    <w:rsid w:val="008D11A9"/>
    <w:rsid w:val="008F0079"/>
    <w:rsid w:val="00900834"/>
    <w:rsid w:val="009D6F18"/>
    <w:rsid w:val="009E29E2"/>
    <w:rsid w:val="00A6299C"/>
    <w:rsid w:val="00AB0C77"/>
    <w:rsid w:val="00B33882"/>
    <w:rsid w:val="00B33BD9"/>
    <w:rsid w:val="00B74272"/>
    <w:rsid w:val="00B96BC0"/>
    <w:rsid w:val="00BA5D01"/>
    <w:rsid w:val="00BB266B"/>
    <w:rsid w:val="00BE783D"/>
    <w:rsid w:val="00BF66FC"/>
    <w:rsid w:val="00C536ED"/>
    <w:rsid w:val="00C8780F"/>
    <w:rsid w:val="00C951C6"/>
    <w:rsid w:val="00CF236C"/>
    <w:rsid w:val="00D35DFC"/>
    <w:rsid w:val="00D469D4"/>
    <w:rsid w:val="00D52189"/>
    <w:rsid w:val="00D768B7"/>
    <w:rsid w:val="00D91BF9"/>
    <w:rsid w:val="00DC4B69"/>
    <w:rsid w:val="00DD243A"/>
    <w:rsid w:val="00DF650E"/>
    <w:rsid w:val="00E2127F"/>
    <w:rsid w:val="00E764CA"/>
    <w:rsid w:val="00E858D2"/>
    <w:rsid w:val="00EA50DA"/>
    <w:rsid w:val="00EA6DA9"/>
    <w:rsid w:val="00F152E6"/>
    <w:rsid w:val="00F4486E"/>
    <w:rsid w:val="00F825F6"/>
    <w:rsid w:val="00FB2D39"/>
    <w:rsid w:val="00FD5C7B"/>
    <w:rsid w:val="00FE3B41"/>
    <w:rsid w:val="2FA63C3F"/>
    <w:rsid w:val="32D05F8F"/>
    <w:rsid w:val="5D7D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0"/>
    <w:unhideWhenUsed/>
    <w:uiPriority w:val="99"/>
    <w:pPr>
      <w:ind w:firstLine="420" w:firstLineChars="100"/>
    </w:pPr>
    <w:rPr>
      <w:rFonts w:ascii="Times New Roman" w:hAnsi="Times New Roman" w:eastAsia="仿宋" w:cs="Times New Roman"/>
      <w:szCs w:val="24"/>
    </w:rPr>
  </w:style>
  <w:style w:type="paragraph" w:styleId="8">
    <w:name w:val="List Paragraph"/>
    <w:basedOn w:val="1"/>
    <w:qFormat/>
    <w:uiPriority w:val="34"/>
    <w:pPr>
      <w:ind w:firstLine="420" w:firstLineChars="200"/>
    </w:pPr>
  </w:style>
  <w:style w:type="character" w:customStyle="1" w:styleId="9">
    <w:name w:val="正文文本 字符"/>
    <w:basedOn w:val="7"/>
    <w:link w:val="2"/>
    <w:semiHidden/>
    <w:uiPriority w:val="99"/>
  </w:style>
  <w:style w:type="character" w:customStyle="1" w:styleId="10">
    <w:name w:val="正文文本首行缩进 字符"/>
    <w:basedOn w:val="9"/>
    <w:link w:val="5"/>
    <w:uiPriority w:val="99"/>
    <w:rPr>
      <w:rFonts w:ascii="Times New Roman" w:hAnsi="Times New Roman" w:eastAsia="仿宋" w:cs="Times New Roman"/>
      <w:szCs w:val="24"/>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 w:type="paragraph" w:customStyle="1" w:styleId="13">
    <w:name w:val="列出段落3"/>
    <w:basedOn w:val="1"/>
    <w:unhideWhenUsed/>
    <w:qFormat/>
    <w:uiPriority w:val="99"/>
    <w:pPr>
      <w:ind w:firstLine="420" w:firstLineChars="200"/>
    </w:p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28CA9-C1E1-4409-A808-5A430EE53D0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10989</Words>
  <Characters>12956</Characters>
  <Lines>96</Lines>
  <Paragraphs>27</Paragraphs>
  <TotalTime>478</TotalTime>
  <ScaleCrop>false</ScaleCrop>
  <LinksUpToDate>false</LinksUpToDate>
  <CharactersWithSpaces>13116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2022-11-09T01:18:00Z</dcterms:created>
  <dc:creator>hvsadmin</dc:creator>
  <cp:lastModifiedBy>李中华</cp:lastModifiedBy>
  <cp:lastPrinted>2022-11-21T00:16:12Z</cp:lastPrinted>
  <dcterms:modified xsi:type="dcterms:W3CDTF">2022-11-21T00:22:31Z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B3E5930D1C394BE5BFDACD6A71F71DEC</vt:lpwstr>
  </property>
</Properties>
</file>