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73B9E">
      <w:pPr>
        <w:pStyle w:val="26"/>
        <w:ind w:firstLine="0" w:firstLineChars="0"/>
        <w:rPr>
          <w:rStyle w:val="54"/>
          <w:rFonts w:cs="宋体"/>
          <w:color w:val="000000" w:themeColor="text1"/>
          <w:sz w:val="36"/>
          <w:szCs w:val="21"/>
          <w:highlight w:val="none"/>
          <w14:textFill>
            <w14:solidFill>
              <w14:schemeClr w14:val="tx1"/>
            </w14:solidFill>
          </w14:textFill>
        </w:rPr>
      </w:pPr>
    </w:p>
    <w:p w14:paraId="502297DC">
      <w:pPr>
        <w:rPr>
          <w:rStyle w:val="54"/>
          <w:rFonts w:ascii="宋体" w:hAnsi="宋体" w:cs="宋体"/>
          <w:color w:val="000000" w:themeColor="text1"/>
          <w:sz w:val="36"/>
          <w:highlight w:val="none"/>
          <w14:textFill>
            <w14:solidFill>
              <w14:schemeClr w14:val="tx1"/>
            </w14:solidFill>
          </w14:textFill>
        </w:rPr>
      </w:pPr>
    </w:p>
    <w:p w14:paraId="45FD93E5">
      <w:pPr>
        <w:jc w:val="center"/>
        <w:rPr>
          <w:rStyle w:val="54"/>
          <w:rFonts w:ascii="宋体" w:hAnsi="宋体" w:cs="宋体"/>
          <w:b/>
          <w:color w:val="000000" w:themeColor="text1"/>
          <w:sz w:val="84"/>
          <w:highlight w:val="none"/>
          <w14:textFill>
            <w14:solidFill>
              <w14:schemeClr w14:val="tx1"/>
            </w14:solidFill>
          </w14:textFill>
        </w:rPr>
      </w:pPr>
      <w:r>
        <w:rPr>
          <w:rStyle w:val="54"/>
          <w:rFonts w:hint="eastAsia" w:ascii="宋体" w:hAnsi="宋体" w:cs="宋体"/>
          <w:b/>
          <w:color w:val="000000" w:themeColor="text1"/>
          <w:sz w:val="84"/>
          <w:highlight w:val="none"/>
          <w14:textFill>
            <w14:solidFill>
              <w14:schemeClr w14:val="tx1"/>
            </w14:solidFill>
          </w14:textFill>
        </w:rPr>
        <w:t>招 标 文 件</w:t>
      </w:r>
    </w:p>
    <w:p w14:paraId="63A38204">
      <w:pPr>
        <w:rPr>
          <w:rStyle w:val="54"/>
          <w:rFonts w:ascii="宋体" w:hAnsi="宋体" w:cs="宋体"/>
          <w:b/>
          <w:color w:val="000000" w:themeColor="text1"/>
          <w:sz w:val="32"/>
          <w:highlight w:val="none"/>
          <w14:textFill>
            <w14:solidFill>
              <w14:schemeClr w14:val="tx1"/>
            </w14:solidFill>
          </w14:textFill>
        </w:rPr>
      </w:pPr>
    </w:p>
    <w:p w14:paraId="6A7EF7EF">
      <w:pPr>
        <w:jc w:val="center"/>
        <w:rPr>
          <w:rStyle w:val="54"/>
          <w:rFonts w:ascii="宋体" w:hAnsi="宋体" w:cs="宋体"/>
          <w:b/>
          <w:color w:val="000000" w:themeColor="text1"/>
          <w:sz w:val="32"/>
          <w:highlight w:val="none"/>
          <w14:textFill>
            <w14:solidFill>
              <w14:schemeClr w14:val="tx1"/>
            </w14:solidFill>
          </w14:textFill>
        </w:rPr>
      </w:pPr>
    </w:p>
    <w:p w14:paraId="0570AB82">
      <w:pPr>
        <w:pStyle w:val="26"/>
        <w:rPr>
          <w:rFonts w:cs="宋体"/>
          <w:color w:val="000000" w:themeColor="text1"/>
          <w:highlight w:val="none"/>
          <w14:textFill>
            <w14:solidFill>
              <w14:schemeClr w14:val="tx1"/>
            </w14:solidFill>
          </w14:textFill>
        </w:rPr>
      </w:pPr>
    </w:p>
    <w:p w14:paraId="5CF92ECD">
      <w:pPr>
        <w:jc w:val="center"/>
        <w:rPr>
          <w:rStyle w:val="54"/>
          <w:rFonts w:ascii="宋体" w:hAnsi="宋体" w:cs="宋体"/>
          <w:b/>
          <w:color w:val="000000" w:themeColor="text1"/>
          <w:sz w:val="32"/>
          <w:highlight w:val="none"/>
          <w14:textFill>
            <w14:solidFill>
              <w14:schemeClr w14:val="tx1"/>
            </w14:solidFill>
          </w14:textFill>
        </w:rPr>
      </w:pPr>
    </w:p>
    <w:p w14:paraId="3AEFF585">
      <w:pPr>
        <w:ind w:firstLine="643" w:firstLineChars="200"/>
        <w:jc w:val="center"/>
        <w:rPr>
          <w:rStyle w:val="54"/>
          <w:rFonts w:ascii="宋体" w:hAnsi="宋体" w:cs="宋体"/>
          <w:b/>
          <w:color w:val="000000" w:themeColor="text1"/>
          <w:sz w:val="32"/>
          <w:highlight w:val="none"/>
          <w14:textFill>
            <w14:solidFill>
              <w14:schemeClr w14:val="tx1"/>
            </w14:solidFill>
          </w14:textFill>
        </w:rPr>
      </w:pPr>
    </w:p>
    <w:p w14:paraId="31C47411">
      <w:pPr>
        <w:ind w:firstLine="361" w:firstLineChars="100"/>
        <w:rPr>
          <w:rStyle w:val="54"/>
          <w:rFonts w:hint="eastAsia" w:ascii="宋体" w:hAnsi="宋体" w:eastAsia="宋体" w:cs="宋体"/>
          <w:b/>
          <w:color w:val="000000" w:themeColor="text1"/>
          <w:sz w:val="36"/>
          <w:highlight w:val="none"/>
          <w:lang w:eastAsia="zh-CN"/>
          <w14:textFill>
            <w14:solidFill>
              <w14:schemeClr w14:val="tx1"/>
            </w14:solidFill>
          </w14:textFill>
        </w:rPr>
      </w:pPr>
      <w:r>
        <w:rPr>
          <w:rStyle w:val="54"/>
          <w:rFonts w:hint="eastAsia" w:ascii="宋体" w:hAnsi="宋体" w:cs="宋体"/>
          <w:b/>
          <w:color w:val="000000" w:themeColor="text1"/>
          <w:sz w:val="36"/>
          <w:highlight w:val="none"/>
          <w14:textFill>
            <w14:solidFill>
              <w14:schemeClr w14:val="tx1"/>
            </w14:solidFill>
          </w14:textFill>
        </w:rPr>
        <w:t>项目编号：</w:t>
      </w:r>
      <w:r>
        <w:rPr>
          <w:rStyle w:val="54"/>
          <w:rFonts w:hint="eastAsia" w:ascii="宋体" w:hAnsi="宋体" w:cs="宋体"/>
          <w:b/>
          <w:color w:val="000000" w:themeColor="text1"/>
          <w:sz w:val="36"/>
          <w:highlight w:val="none"/>
          <w:lang w:eastAsia="zh-CN"/>
          <w14:textFill>
            <w14:solidFill>
              <w14:schemeClr w14:val="tx1"/>
            </w14:solidFill>
          </w14:textFill>
        </w:rPr>
        <w:t xml:space="preserve">2024-033J </w:t>
      </w:r>
    </w:p>
    <w:p w14:paraId="3BBD5F96">
      <w:pPr>
        <w:ind w:firstLine="643" w:firstLineChars="200"/>
        <w:jc w:val="center"/>
        <w:rPr>
          <w:rStyle w:val="54"/>
          <w:rFonts w:ascii="宋体" w:hAnsi="宋体" w:cs="宋体"/>
          <w:b/>
          <w:color w:val="000000" w:themeColor="text1"/>
          <w:sz w:val="32"/>
          <w:highlight w:val="none"/>
          <w14:textFill>
            <w14:solidFill>
              <w14:schemeClr w14:val="tx1"/>
            </w14:solidFill>
          </w14:textFill>
        </w:rPr>
      </w:pPr>
    </w:p>
    <w:p w14:paraId="11F7ED2F">
      <w:pPr>
        <w:ind w:firstLine="643" w:firstLineChars="200"/>
        <w:jc w:val="center"/>
        <w:rPr>
          <w:rStyle w:val="54"/>
          <w:rFonts w:ascii="宋体" w:hAnsi="宋体" w:cs="宋体"/>
          <w:b/>
          <w:color w:val="000000" w:themeColor="text1"/>
          <w:sz w:val="32"/>
          <w:highlight w:val="none"/>
          <w14:textFill>
            <w14:solidFill>
              <w14:schemeClr w14:val="tx1"/>
            </w14:solidFill>
          </w14:textFill>
        </w:rPr>
      </w:pPr>
    </w:p>
    <w:p w14:paraId="01E3F195">
      <w:pPr>
        <w:ind w:left="2166" w:leftChars="171" w:hanging="1807" w:hangingChars="500"/>
        <w:rPr>
          <w:rStyle w:val="54"/>
          <w:rFonts w:ascii="宋体" w:hAnsi="宋体" w:cs="宋体"/>
          <w:b/>
          <w:color w:val="000000" w:themeColor="text1"/>
          <w:sz w:val="30"/>
          <w:szCs w:val="30"/>
          <w:highlight w:val="none"/>
          <w14:textFill>
            <w14:solidFill>
              <w14:schemeClr w14:val="tx1"/>
            </w14:solidFill>
          </w14:textFill>
        </w:rPr>
      </w:pPr>
      <w:r>
        <w:rPr>
          <w:rStyle w:val="54"/>
          <w:rFonts w:hint="eastAsia" w:ascii="宋体" w:hAnsi="宋体" w:cs="宋体"/>
          <w:b/>
          <w:color w:val="000000" w:themeColor="text1"/>
          <w:sz w:val="36"/>
          <w:szCs w:val="36"/>
          <w:highlight w:val="none"/>
          <w14:textFill>
            <w14:solidFill>
              <w14:schemeClr w14:val="tx1"/>
            </w14:solidFill>
          </w14:textFill>
        </w:rPr>
        <w:t>项目名称：</w:t>
      </w:r>
      <w:r>
        <w:rPr>
          <w:rStyle w:val="54"/>
          <w:rFonts w:hint="eastAsia" w:ascii="宋体" w:hAnsi="宋体" w:cs="宋体"/>
          <w:b/>
          <w:color w:val="000000" w:themeColor="text1"/>
          <w:sz w:val="36"/>
          <w:szCs w:val="36"/>
          <w:highlight w:val="none"/>
          <w:lang w:eastAsia="zh-CN"/>
          <w14:textFill>
            <w14:solidFill>
              <w14:schemeClr w14:val="tx1"/>
            </w14:solidFill>
          </w14:textFill>
        </w:rPr>
        <w:t>盐城工业职业技术学院工业中心实训室改造</w:t>
      </w:r>
      <w:bookmarkStart w:id="38" w:name="_GoBack"/>
      <w:bookmarkEnd w:id="38"/>
    </w:p>
    <w:p w14:paraId="5CE62FF8">
      <w:pPr>
        <w:pStyle w:val="26"/>
        <w:ind w:firstLine="0" w:firstLineChars="0"/>
        <w:rPr>
          <w:rStyle w:val="54"/>
          <w:rFonts w:cs="宋体"/>
          <w:b/>
          <w:color w:val="000000" w:themeColor="text1"/>
          <w:sz w:val="32"/>
          <w:szCs w:val="21"/>
          <w:highlight w:val="none"/>
          <w14:textFill>
            <w14:solidFill>
              <w14:schemeClr w14:val="tx1"/>
            </w14:solidFill>
          </w14:textFill>
        </w:rPr>
      </w:pPr>
    </w:p>
    <w:p w14:paraId="01568663">
      <w:pPr>
        <w:pStyle w:val="26"/>
        <w:ind w:firstLine="643"/>
        <w:rPr>
          <w:rStyle w:val="54"/>
          <w:rFonts w:cs="宋体"/>
          <w:b/>
          <w:color w:val="000000" w:themeColor="text1"/>
          <w:sz w:val="32"/>
          <w:szCs w:val="21"/>
          <w:highlight w:val="none"/>
          <w14:textFill>
            <w14:solidFill>
              <w14:schemeClr w14:val="tx1"/>
            </w14:solidFill>
          </w14:textFill>
        </w:rPr>
      </w:pPr>
    </w:p>
    <w:p w14:paraId="1AA8B094">
      <w:pPr>
        <w:pStyle w:val="114"/>
        <w:rPr>
          <w:rStyle w:val="54"/>
          <w:rFonts w:ascii="宋体" w:hAnsi="宋体" w:eastAsia="宋体" w:cs="宋体"/>
          <w:b/>
          <w:color w:val="000000" w:themeColor="text1"/>
          <w:sz w:val="32"/>
          <w:highlight w:val="none"/>
          <w14:textFill>
            <w14:solidFill>
              <w14:schemeClr w14:val="tx1"/>
            </w14:solidFill>
          </w14:textFill>
        </w:rPr>
      </w:pPr>
    </w:p>
    <w:p w14:paraId="18028A00">
      <w:pPr>
        <w:pStyle w:val="114"/>
        <w:rPr>
          <w:rStyle w:val="54"/>
          <w:rFonts w:ascii="宋体" w:hAnsi="宋体" w:eastAsia="宋体" w:cs="宋体"/>
          <w:b/>
          <w:color w:val="000000" w:themeColor="text1"/>
          <w:sz w:val="32"/>
          <w:highlight w:val="none"/>
          <w14:textFill>
            <w14:solidFill>
              <w14:schemeClr w14:val="tx1"/>
            </w14:solidFill>
          </w14:textFill>
        </w:rPr>
      </w:pPr>
    </w:p>
    <w:p w14:paraId="2DD059C6">
      <w:pPr>
        <w:spacing w:afterLines="100" w:line="360" w:lineRule="auto"/>
        <w:jc w:val="center"/>
        <w:rPr>
          <w:rStyle w:val="54"/>
          <w:rFonts w:ascii="宋体" w:hAnsi="宋体" w:cs="宋体"/>
          <w:bCs/>
          <w:color w:val="000000" w:themeColor="text1"/>
          <w:sz w:val="36"/>
          <w:szCs w:val="36"/>
          <w:highlight w:val="none"/>
          <w14:textFill>
            <w14:solidFill>
              <w14:schemeClr w14:val="tx1"/>
            </w14:solidFill>
          </w14:textFill>
        </w:rPr>
      </w:pPr>
      <w:r>
        <w:rPr>
          <w:rStyle w:val="54"/>
          <w:rFonts w:hint="eastAsia" w:ascii="宋体" w:hAnsi="宋体" w:cs="宋体"/>
          <w:bCs/>
          <w:color w:val="000000" w:themeColor="text1"/>
          <w:sz w:val="36"/>
          <w:szCs w:val="36"/>
          <w:highlight w:val="none"/>
          <w14:textFill>
            <w14:solidFill>
              <w14:schemeClr w14:val="tx1"/>
            </w14:solidFill>
          </w14:textFill>
        </w:rPr>
        <w:t>采购人：盐城工业职业技术学院</w:t>
      </w:r>
    </w:p>
    <w:p w14:paraId="18ACE094">
      <w:pPr>
        <w:pStyle w:val="13"/>
        <w:spacing w:line="360" w:lineRule="auto"/>
        <w:ind w:left="0" w:leftChars="0" w:right="0" w:rightChars="0"/>
        <w:jc w:val="center"/>
        <w:rPr>
          <w:rStyle w:val="54"/>
          <w:rFonts w:ascii="宋体" w:hAnsi="宋体" w:cs="宋体"/>
          <w:bCs/>
          <w:color w:val="000000" w:themeColor="text1"/>
          <w:sz w:val="36"/>
          <w:szCs w:val="36"/>
          <w:highlight w:val="none"/>
          <w14:textFill>
            <w14:solidFill>
              <w14:schemeClr w14:val="tx1"/>
            </w14:solidFill>
          </w14:textFill>
        </w:rPr>
      </w:pPr>
      <w:r>
        <w:rPr>
          <w:rStyle w:val="54"/>
          <w:rFonts w:hint="eastAsia" w:ascii="宋体" w:hAnsi="宋体" w:cs="宋体"/>
          <w:bCs/>
          <w:color w:val="000000" w:themeColor="text1"/>
          <w:sz w:val="36"/>
          <w:szCs w:val="36"/>
          <w:highlight w:val="none"/>
          <w14:textFill>
            <w14:solidFill>
              <w14:schemeClr w14:val="tx1"/>
            </w14:solidFill>
          </w14:textFill>
        </w:rPr>
        <w:t>代理人：江苏建博工程管理咨询有限公司</w:t>
      </w:r>
    </w:p>
    <w:p w14:paraId="100306F2">
      <w:pPr>
        <w:jc w:val="center"/>
        <w:rPr>
          <w:rStyle w:val="54"/>
          <w:rFonts w:ascii="宋体" w:hAnsi="宋体" w:cs="宋体"/>
          <w:color w:val="000000" w:themeColor="text1"/>
          <w:sz w:val="36"/>
          <w:szCs w:val="36"/>
          <w:highlight w:val="none"/>
          <w14:textFill>
            <w14:solidFill>
              <w14:schemeClr w14:val="tx1"/>
            </w14:solidFill>
          </w14:textFill>
        </w:rPr>
      </w:pPr>
    </w:p>
    <w:p w14:paraId="451361CF">
      <w:pPr>
        <w:jc w:val="center"/>
        <w:rPr>
          <w:rStyle w:val="54"/>
          <w:rFonts w:ascii="宋体" w:hAnsi="宋体" w:cs="宋体"/>
          <w:color w:val="000000" w:themeColor="text1"/>
          <w:sz w:val="36"/>
          <w:szCs w:val="36"/>
          <w:highlight w:val="none"/>
          <w14:textFill>
            <w14:solidFill>
              <w14:schemeClr w14:val="tx1"/>
            </w14:solidFill>
          </w14:textFill>
        </w:rPr>
      </w:pPr>
      <w:r>
        <w:rPr>
          <w:rStyle w:val="54"/>
          <w:rFonts w:hint="eastAsia" w:ascii="宋体" w:hAnsi="宋体" w:cs="宋体"/>
          <w:color w:val="000000" w:themeColor="text1"/>
          <w:sz w:val="36"/>
          <w:szCs w:val="36"/>
          <w:highlight w:val="none"/>
          <w14:textFill>
            <w14:solidFill>
              <w14:schemeClr w14:val="tx1"/>
            </w14:solidFill>
          </w14:textFill>
        </w:rPr>
        <w:t>2024年</w:t>
      </w:r>
      <w:r>
        <w:rPr>
          <w:rStyle w:val="54"/>
          <w:rFonts w:hint="eastAsia" w:ascii="宋体" w:hAnsi="宋体" w:cs="宋体"/>
          <w:color w:val="000000" w:themeColor="text1"/>
          <w:sz w:val="36"/>
          <w:szCs w:val="36"/>
          <w:highlight w:val="none"/>
          <w:lang w:val="en-US" w:eastAsia="zh-CN"/>
          <w14:textFill>
            <w14:solidFill>
              <w14:schemeClr w14:val="tx1"/>
            </w14:solidFill>
          </w14:textFill>
        </w:rPr>
        <w:t>8</w:t>
      </w:r>
      <w:r>
        <w:rPr>
          <w:rStyle w:val="54"/>
          <w:rFonts w:hint="eastAsia" w:ascii="宋体" w:hAnsi="宋体" w:cs="宋体"/>
          <w:color w:val="000000" w:themeColor="text1"/>
          <w:sz w:val="36"/>
          <w:szCs w:val="36"/>
          <w:highlight w:val="none"/>
          <w14:textFill>
            <w14:solidFill>
              <w14:schemeClr w14:val="tx1"/>
            </w14:solidFill>
          </w14:textFill>
        </w:rPr>
        <w:t>月</w:t>
      </w:r>
      <w:r>
        <w:rPr>
          <w:rStyle w:val="54"/>
          <w:rFonts w:hint="eastAsia" w:ascii="宋体" w:hAnsi="宋体" w:cs="宋体"/>
          <w:color w:val="000000" w:themeColor="text1"/>
          <w:sz w:val="36"/>
          <w:szCs w:val="36"/>
          <w:highlight w:val="none"/>
          <w:lang w:val="en-US" w:eastAsia="zh-CN"/>
          <w14:textFill>
            <w14:solidFill>
              <w14:schemeClr w14:val="tx1"/>
            </w14:solidFill>
          </w14:textFill>
        </w:rPr>
        <w:t>8</w:t>
      </w:r>
      <w:r>
        <w:rPr>
          <w:rStyle w:val="54"/>
          <w:rFonts w:hint="eastAsia" w:ascii="宋体" w:hAnsi="宋体" w:cs="宋体"/>
          <w:color w:val="000000" w:themeColor="text1"/>
          <w:sz w:val="36"/>
          <w:szCs w:val="36"/>
          <w:highlight w:val="none"/>
          <w14:textFill>
            <w14:solidFill>
              <w14:schemeClr w14:val="tx1"/>
            </w14:solidFill>
          </w14:textFill>
        </w:rPr>
        <w:t>日</w:t>
      </w:r>
    </w:p>
    <w:p w14:paraId="06145A69">
      <w:pPr>
        <w:spacing w:line="480" w:lineRule="auto"/>
        <w:rPr>
          <w:rStyle w:val="54"/>
          <w:rFonts w:ascii="宋体" w:hAnsi="宋体" w:cs="宋体"/>
          <w:color w:val="000000" w:themeColor="text1"/>
          <w:highlight w:val="none"/>
          <w14:textFill>
            <w14:solidFill>
              <w14:schemeClr w14:val="tx1"/>
            </w14:solidFill>
          </w14:textFill>
        </w:rPr>
      </w:pPr>
    </w:p>
    <w:p w14:paraId="2766EC3A">
      <w:pPr>
        <w:spacing w:line="480" w:lineRule="auto"/>
        <w:jc w:val="center"/>
        <w:rPr>
          <w:rStyle w:val="54"/>
          <w:rFonts w:ascii="宋体" w:hAnsi="宋体" w:cs="宋体"/>
          <w:color w:val="000000" w:themeColor="text1"/>
          <w:highlight w:val="none"/>
          <w14:textFill>
            <w14:solidFill>
              <w14:schemeClr w14:val="tx1"/>
            </w14:solidFill>
          </w14:textFill>
        </w:rPr>
        <w:sectPr>
          <w:headerReference r:id="rId5" w:type="first"/>
          <w:footerReference r:id="rId7" w:type="first"/>
          <w:headerReference r:id="rId3" w:type="default"/>
          <w:headerReference r:id="rId4" w:type="even"/>
          <w:footerReference r:id="rId6" w:type="even"/>
          <w:pgSz w:w="11906" w:h="16838"/>
          <w:pgMar w:top="1418" w:right="1588" w:bottom="1418" w:left="1365" w:header="851" w:footer="907" w:gutter="0"/>
          <w:pgBorders>
            <w:top w:val="none" w:sz="0" w:space="0"/>
            <w:left w:val="none" w:sz="0" w:space="0"/>
            <w:bottom w:val="none" w:sz="0" w:space="0"/>
            <w:right w:val="none" w:sz="0" w:space="0"/>
          </w:pgBorders>
          <w:pgNumType w:fmt="numberInDash"/>
          <w:cols w:space="720" w:num="1"/>
          <w:titlePg/>
          <w:docGrid w:type="lines" w:linePitch="290" w:charSpace="0"/>
        </w:sectPr>
      </w:pPr>
    </w:p>
    <w:p w14:paraId="225F5C69">
      <w:pPr>
        <w:pStyle w:val="10"/>
        <w:rPr>
          <w:color w:val="000000" w:themeColor="text1"/>
          <w:highlight w:val="none"/>
          <w14:textFill>
            <w14:solidFill>
              <w14:schemeClr w14:val="tx1"/>
            </w14:solidFill>
          </w14:textFill>
        </w:rPr>
      </w:pPr>
    </w:p>
    <w:p w14:paraId="1881F3FB">
      <w:pPr>
        <w:pStyle w:val="26"/>
        <w:rPr>
          <w:rFonts w:cs="宋体"/>
          <w:color w:val="000000" w:themeColor="text1"/>
          <w:highlight w:val="none"/>
          <w14:textFill>
            <w14:solidFill>
              <w14:schemeClr w14:val="tx1"/>
            </w14:solidFill>
          </w14:textFill>
        </w:rPr>
      </w:pPr>
    </w:p>
    <w:p w14:paraId="58F53844">
      <w:pPr>
        <w:spacing w:line="480" w:lineRule="auto"/>
        <w:jc w:val="center"/>
        <w:rPr>
          <w:rStyle w:val="54"/>
          <w:rFonts w:ascii="宋体" w:hAnsi="宋体" w:cs="宋体"/>
          <w:b/>
          <w:color w:val="000000" w:themeColor="text1"/>
          <w:sz w:val="44"/>
          <w:highlight w:val="none"/>
          <w14:textFill>
            <w14:solidFill>
              <w14:schemeClr w14:val="tx1"/>
            </w14:solidFill>
          </w14:textFill>
        </w:rPr>
      </w:pPr>
      <w:r>
        <w:rPr>
          <w:rStyle w:val="54"/>
          <w:rFonts w:hint="eastAsia" w:ascii="宋体" w:hAnsi="宋体" w:cs="宋体"/>
          <w:b/>
          <w:color w:val="000000" w:themeColor="text1"/>
          <w:sz w:val="44"/>
          <w:highlight w:val="none"/>
          <w14:textFill>
            <w14:solidFill>
              <w14:schemeClr w14:val="tx1"/>
            </w14:solidFill>
          </w14:textFill>
        </w:rPr>
        <w:t>总  目  录</w:t>
      </w:r>
    </w:p>
    <w:p w14:paraId="7B2A5F04">
      <w:pPr>
        <w:spacing w:line="480" w:lineRule="auto"/>
        <w:rPr>
          <w:rStyle w:val="54"/>
          <w:rFonts w:ascii="宋体" w:hAnsi="宋体" w:cs="宋体"/>
          <w:b/>
          <w:color w:val="000000" w:themeColor="text1"/>
          <w:sz w:val="28"/>
          <w:highlight w:val="none"/>
          <w14:textFill>
            <w14:solidFill>
              <w14:schemeClr w14:val="tx1"/>
            </w14:solidFill>
          </w14:textFill>
        </w:rPr>
      </w:pPr>
    </w:p>
    <w:sdt>
      <w:sdtPr>
        <w:rPr>
          <w:rFonts w:ascii="宋体" w:hAnsi="宋体" w:eastAsia="楷体_GB2312"/>
          <w:color w:val="000000" w:themeColor="text1"/>
          <w:sz w:val="28"/>
          <w:szCs w:val="28"/>
          <w:highlight w:val="none"/>
          <w14:textFill>
            <w14:solidFill>
              <w14:schemeClr w14:val="tx1"/>
            </w14:solidFill>
          </w14:textFill>
        </w:rPr>
        <w:id w:val="147461321"/>
        <w:docPartObj>
          <w:docPartGallery w:val="Table of Contents"/>
          <w:docPartUnique/>
        </w:docPartObj>
      </w:sdtPr>
      <w:sdtEndPr>
        <w:rPr>
          <w:rFonts w:ascii="宋体" w:hAnsi="宋体" w:eastAsia="楷体_GB2312" w:cs="宋体"/>
          <w:bCs/>
          <w:color w:val="000000" w:themeColor="text1"/>
          <w:sz w:val="28"/>
          <w:szCs w:val="28"/>
          <w:highlight w:val="none"/>
          <w14:textFill>
            <w14:solidFill>
              <w14:schemeClr w14:val="tx1"/>
            </w14:solidFill>
          </w14:textFill>
        </w:rPr>
      </w:sdtEndPr>
      <w:sdtContent>
        <w:p w14:paraId="690155D7">
          <w:pPr>
            <w:jc w:val="center"/>
            <w:rPr>
              <w:color w:val="000000" w:themeColor="text1"/>
              <w:highlight w:val="none"/>
              <w14:textFill>
                <w14:solidFill>
                  <w14:schemeClr w14:val="tx1"/>
                </w14:solidFill>
              </w14:textFill>
            </w:rPr>
          </w:pPr>
        </w:p>
        <w:p w14:paraId="2CB77E71">
          <w:pPr>
            <w:pStyle w:val="169"/>
            <w:tabs>
              <w:tab w:val="right" w:leader="dot" w:pos="8953"/>
            </w:tabs>
            <w:rPr>
              <w:rFonts w:hint="default" w:ascii="宋体" w:hAnsi="宋体" w:eastAsia="宋体" w:cs="宋体"/>
              <w:color w:val="000000" w:themeColor="text1"/>
              <w:sz w:val="36"/>
              <w:szCs w:val="36"/>
              <w:highlight w:val="none"/>
              <w:lang w:val="en-US" w:eastAsia="zh-CN"/>
              <w14:textFill>
                <w14:solidFill>
                  <w14:schemeClr w14:val="tx1"/>
                </w14:solidFill>
              </w14:textFill>
            </w:rPr>
          </w:pPr>
          <w:r>
            <w:rPr>
              <w:rStyle w:val="54"/>
              <w:color w:val="000000" w:themeColor="text1"/>
              <w:sz w:val="44"/>
              <w:highlight w:val="none"/>
              <w14:textFill>
                <w14:solidFill>
                  <w14:schemeClr w14:val="tx1"/>
                </w14:solidFill>
              </w14:textFill>
            </w:rPr>
            <w:fldChar w:fldCharType="begin"/>
          </w:r>
          <w:r>
            <w:rPr>
              <w:rStyle w:val="54"/>
              <w:rFonts w:ascii="宋体" w:hAnsi="宋体" w:cs="宋体"/>
              <w:bCs/>
              <w:color w:val="000000" w:themeColor="text1"/>
              <w:sz w:val="44"/>
              <w:highlight w:val="none"/>
              <w14:textFill>
                <w14:solidFill>
                  <w14:schemeClr w14:val="tx1"/>
                </w14:solidFill>
              </w14:textFill>
            </w:rPr>
            <w:instrText xml:space="preserve">TOC \o "1-1" \h \u </w:instrText>
          </w:r>
          <w:r>
            <w:rPr>
              <w:rStyle w:val="54"/>
              <w:color w:val="000000" w:themeColor="text1"/>
              <w:sz w:val="44"/>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"_Toc18878" </w:instrText>
          </w:r>
          <w:r>
            <w:rPr>
              <w:color w:val="000000" w:themeColor="text1"/>
              <w:highlight w:val="none"/>
              <w14:textFill>
                <w14:solidFill>
                  <w14:schemeClr w14:val="tx1"/>
                </w14:solidFill>
              </w14:textFill>
            </w:rPr>
            <w:fldChar w:fldCharType="separate"/>
          </w:r>
          <w:r>
            <w:rPr>
              <w:rFonts w:hint="eastAsia" w:ascii="宋体" w:hAnsi="宋体" w:cs="宋体"/>
              <w:b/>
              <w:color w:val="000000" w:themeColor="text1"/>
              <w:sz w:val="36"/>
              <w:szCs w:val="36"/>
              <w:highlight w:val="none"/>
              <w14:textFill>
                <w14:solidFill>
                  <w14:schemeClr w14:val="tx1"/>
                </w14:solidFill>
              </w14:textFill>
            </w:rPr>
            <w:t xml:space="preserve">第一章  </w:t>
          </w:r>
          <w:r>
            <w:rPr>
              <w:rFonts w:hint="eastAsia" w:ascii="宋体" w:hAnsi="宋体" w:cs="宋体"/>
              <w:bCs/>
              <w:color w:val="000000" w:themeColor="text1"/>
              <w:sz w:val="36"/>
              <w:szCs w:val="36"/>
              <w:highlight w:val="none"/>
              <w14:textFill>
                <w14:solidFill>
                  <w14:schemeClr w14:val="tx1"/>
                </w14:solidFill>
              </w14:textFill>
            </w:rPr>
            <w:t>招标公告</w:t>
          </w:r>
          <w:r>
            <w:rPr>
              <w:rFonts w:hint="eastAsia" w:ascii="宋体" w:hAnsi="宋体" w:cs="宋体"/>
              <w:bCs/>
              <w:color w:val="000000" w:themeColor="text1"/>
              <w:sz w:val="36"/>
              <w:szCs w:val="36"/>
              <w:highlight w:val="none"/>
              <w14:textFill>
                <w14:solidFill>
                  <w14:schemeClr w14:val="tx1"/>
                </w14:solidFill>
              </w14:textFill>
            </w:rPr>
            <w:tab/>
          </w:r>
          <w:r>
            <w:rPr>
              <w:rFonts w:hint="eastAsia" w:ascii="宋体" w:hAnsi="宋体" w:cs="宋体"/>
              <w:bCs/>
              <w:color w:val="000000" w:themeColor="text1"/>
              <w:sz w:val="36"/>
              <w:szCs w:val="36"/>
              <w:highlight w:val="none"/>
              <w14:textFill>
                <w14:solidFill>
                  <w14:schemeClr w14:val="tx1"/>
                </w14:solidFill>
              </w14:textFill>
            </w:rPr>
            <w:fldChar w:fldCharType="end"/>
          </w:r>
          <w:r>
            <w:rPr>
              <w:rFonts w:hint="eastAsia" w:ascii="宋体" w:hAnsi="宋体" w:cs="宋体"/>
              <w:bCs/>
              <w:color w:val="000000" w:themeColor="text1"/>
              <w:sz w:val="36"/>
              <w:szCs w:val="36"/>
              <w:highlight w:val="none"/>
              <w:lang w:val="en-US" w:eastAsia="zh-CN"/>
              <w14:textFill>
                <w14:solidFill>
                  <w14:schemeClr w14:val="tx1"/>
                </w14:solidFill>
              </w14:textFill>
            </w:rPr>
            <w:t>02</w:t>
          </w:r>
        </w:p>
        <w:p w14:paraId="5153902F">
          <w:pPr>
            <w:pStyle w:val="169"/>
            <w:tabs>
              <w:tab w:val="right" w:leader="dot" w:pos="8953"/>
            </w:tabs>
            <w:rPr>
              <w:rFonts w:hint="default" w:ascii="宋体" w:hAnsi="宋体" w:eastAsia="宋体" w:cs="宋体"/>
              <w:color w:val="000000" w:themeColor="text1"/>
              <w:sz w:val="36"/>
              <w:szCs w:val="36"/>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"_Toc21663"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36"/>
              <w:szCs w:val="36"/>
              <w:highlight w:val="none"/>
              <w14:textFill>
                <w14:solidFill>
                  <w14:schemeClr w14:val="tx1"/>
                </w14:solidFill>
              </w14:textFill>
            </w:rPr>
            <w:t>第二章</w:t>
          </w:r>
          <w:r>
            <w:rPr>
              <w:rFonts w:hint="eastAsia" w:ascii="宋体" w:hAnsi="宋体" w:cs="宋体"/>
              <w:color w:val="000000" w:themeColor="text1"/>
              <w:sz w:val="36"/>
              <w:szCs w:val="36"/>
              <w:highlight w:val="none"/>
              <w14:textFill>
                <w14:solidFill>
                  <w14:schemeClr w14:val="tx1"/>
                </w14:solidFill>
              </w14:textFill>
            </w:rPr>
            <w:t xml:space="preserve">  投标人须知</w:t>
          </w:r>
          <w:r>
            <w:rPr>
              <w:rFonts w:hint="eastAsia" w:ascii="宋体" w:hAnsi="宋体" w:cs="宋体"/>
              <w:color w:val="000000" w:themeColor="text1"/>
              <w:sz w:val="36"/>
              <w:szCs w:val="36"/>
              <w:highlight w:val="none"/>
              <w14:textFill>
                <w14:solidFill>
                  <w14:schemeClr w14:val="tx1"/>
                </w14:solidFill>
              </w14:textFill>
            </w:rPr>
            <w:tab/>
          </w:r>
          <w:r>
            <w:rPr>
              <w:rFonts w:hint="eastAsia" w:ascii="宋体" w:hAnsi="宋体" w:cs="宋体"/>
              <w:color w:val="000000" w:themeColor="text1"/>
              <w:sz w:val="36"/>
              <w:szCs w:val="36"/>
              <w:highlight w:val="none"/>
              <w14:textFill>
                <w14:solidFill>
                  <w14:schemeClr w14:val="tx1"/>
                </w14:solidFill>
              </w14:textFill>
            </w:rPr>
            <w:fldChar w:fldCharType="end"/>
          </w:r>
          <w:r>
            <w:rPr>
              <w:rFonts w:hint="eastAsia" w:ascii="宋体" w:hAnsi="宋体" w:cs="宋体"/>
              <w:color w:val="000000" w:themeColor="text1"/>
              <w:sz w:val="36"/>
              <w:szCs w:val="36"/>
              <w:highlight w:val="none"/>
              <w:lang w:val="en-US" w:eastAsia="zh-CN"/>
              <w14:textFill>
                <w14:solidFill>
                  <w14:schemeClr w14:val="tx1"/>
                </w14:solidFill>
              </w14:textFill>
            </w:rPr>
            <w:t>06</w:t>
          </w:r>
        </w:p>
        <w:p w14:paraId="26B661B7">
          <w:pPr>
            <w:pStyle w:val="169"/>
            <w:tabs>
              <w:tab w:val="right" w:leader="dot" w:pos="8953"/>
            </w:tabs>
            <w:rPr>
              <w:rFonts w:hint="default" w:ascii="宋体" w:hAnsi="宋体" w:eastAsia="宋体" w:cs="宋体"/>
              <w:color w:val="000000" w:themeColor="text1"/>
              <w:sz w:val="36"/>
              <w:szCs w:val="36"/>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"_Toc19468"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36"/>
              <w:szCs w:val="36"/>
              <w:highlight w:val="none"/>
              <w14:textFill>
                <w14:solidFill>
                  <w14:schemeClr w14:val="tx1"/>
                </w14:solidFill>
              </w14:textFill>
            </w:rPr>
            <w:t>第三章</w:t>
          </w:r>
          <w:r>
            <w:rPr>
              <w:rFonts w:hint="eastAsia" w:ascii="宋体" w:hAnsi="宋体" w:cs="宋体"/>
              <w:color w:val="000000" w:themeColor="text1"/>
              <w:sz w:val="36"/>
              <w:szCs w:val="36"/>
              <w:highlight w:val="none"/>
              <w14:textFill>
                <w14:solidFill>
                  <w14:schemeClr w14:val="tx1"/>
                </w14:solidFill>
              </w14:textFill>
            </w:rPr>
            <w:t xml:space="preserve">  合同条款及格式</w:t>
          </w:r>
          <w:r>
            <w:rPr>
              <w:rFonts w:hint="eastAsia" w:ascii="宋体" w:hAnsi="宋体" w:cs="宋体"/>
              <w:color w:val="000000" w:themeColor="text1"/>
              <w:sz w:val="36"/>
              <w:szCs w:val="36"/>
              <w:highlight w:val="none"/>
              <w14:textFill>
                <w14:solidFill>
                  <w14:schemeClr w14:val="tx1"/>
                </w14:solidFill>
              </w14:textFill>
            </w:rPr>
            <w:tab/>
          </w:r>
          <w:r>
            <w:rPr>
              <w:rFonts w:hint="eastAsia" w:ascii="宋体" w:hAnsi="宋体" w:cs="宋体"/>
              <w:color w:val="000000" w:themeColor="text1"/>
              <w:sz w:val="36"/>
              <w:szCs w:val="36"/>
              <w:highlight w:val="none"/>
              <w14:textFill>
                <w14:solidFill>
                  <w14:schemeClr w14:val="tx1"/>
                </w14:solidFill>
              </w14:textFill>
            </w:rPr>
            <w:fldChar w:fldCharType="end"/>
          </w:r>
          <w:r>
            <w:rPr>
              <w:rFonts w:hint="eastAsia" w:ascii="宋体" w:hAnsi="宋体" w:cs="宋体"/>
              <w:color w:val="000000" w:themeColor="text1"/>
              <w:sz w:val="36"/>
              <w:szCs w:val="36"/>
              <w:highlight w:val="none"/>
              <w:lang w:val="en-US" w:eastAsia="zh-CN"/>
              <w14:textFill>
                <w14:solidFill>
                  <w14:schemeClr w14:val="tx1"/>
                </w14:solidFill>
              </w14:textFill>
            </w:rPr>
            <w:t>19</w:t>
          </w:r>
        </w:p>
        <w:p w14:paraId="5B8714C2">
          <w:pPr>
            <w:pStyle w:val="169"/>
            <w:tabs>
              <w:tab w:val="right" w:leader="dot" w:pos="8953"/>
            </w:tabs>
            <w:rPr>
              <w:rFonts w:hint="default" w:ascii="宋体" w:hAnsi="宋体" w:eastAsia="宋体" w:cs="宋体"/>
              <w:color w:val="000000" w:themeColor="text1"/>
              <w:sz w:val="36"/>
              <w:szCs w:val="36"/>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"_Toc17926"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36"/>
              <w:szCs w:val="36"/>
              <w:highlight w:val="none"/>
              <w14:textFill>
                <w14:solidFill>
                  <w14:schemeClr w14:val="tx1"/>
                </w14:solidFill>
              </w14:textFill>
            </w:rPr>
            <w:t xml:space="preserve">第四章 </w:t>
          </w:r>
          <w:r>
            <w:rPr>
              <w:rFonts w:ascii="宋体" w:hAnsi="宋体" w:cs="宋体"/>
              <w:b/>
              <w:bCs/>
              <w:color w:val="000000" w:themeColor="text1"/>
              <w:sz w:val="36"/>
              <w:szCs w:val="36"/>
              <w:highlight w:val="none"/>
              <w14:textFill>
                <w14:solidFill>
                  <w14:schemeClr w14:val="tx1"/>
                </w14:solidFill>
              </w14:textFill>
            </w:rPr>
            <w:t xml:space="preserve"> </w:t>
          </w:r>
          <w:r>
            <w:rPr>
              <w:rFonts w:hint="eastAsia" w:ascii="宋体" w:hAnsi="宋体" w:cs="宋体"/>
              <w:color w:val="000000" w:themeColor="text1"/>
              <w:sz w:val="36"/>
              <w:szCs w:val="36"/>
              <w:highlight w:val="none"/>
              <w14:textFill>
                <w14:solidFill>
                  <w14:schemeClr w14:val="tx1"/>
                </w14:solidFill>
              </w14:textFill>
            </w:rPr>
            <w:t>项目需求</w:t>
          </w:r>
          <w:r>
            <w:rPr>
              <w:rFonts w:hint="eastAsia" w:ascii="宋体" w:hAnsi="宋体" w:cs="宋体"/>
              <w:color w:val="000000" w:themeColor="text1"/>
              <w:sz w:val="36"/>
              <w:szCs w:val="36"/>
              <w:highlight w:val="none"/>
              <w14:textFill>
                <w14:solidFill>
                  <w14:schemeClr w14:val="tx1"/>
                </w14:solidFill>
              </w14:textFill>
            </w:rPr>
            <w:tab/>
          </w:r>
          <w:r>
            <w:rPr>
              <w:rFonts w:hint="eastAsia" w:ascii="宋体" w:hAnsi="宋体" w:cs="宋体"/>
              <w:color w:val="000000" w:themeColor="text1"/>
              <w:sz w:val="36"/>
              <w:szCs w:val="36"/>
              <w:highlight w:val="none"/>
              <w14:textFill>
                <w14:solidFill>
                  <w14:schemeClr w14:val="tx1"/>
                </w14:solidFill>
              </w14:textFill>
            </w:rPr>
            <w:fldChar w:fldCharType="end"/>
          </w:r>
          <w:r>
            <w:rPr>
              <w:rFonts w:hint="eastAsia" w:ascii="宋体" w:hAnsi="宋体" w:cs="宋体"/>
              <w:color w:val="000000" w:themeColor="text1"/>
              <w:sz w:val="36"/>
              <w:szCs w:val="36"/>
              <w:highlight w:val="none"/>
              <w:lang w:val="en-US" w:eastAsia="zh-CN"/>
              <w14:textFill>
                <w14:solidFill>
                  <w14:schemeClr w14:val="tx1"/>
                </w14:solidFill>
              </w14:textFill>
            </w:rPr>
            <w:t>27</w:t>
          </w:r>
        </w:p>
        <w:p w14:paraId="2875BDCA">
          <w:pPr>
            <w:pStyle w:val="169"/>
            <w:tabs>
              <w:tab w:val="right" w:leader="dot" w:pos="8953"/>
            </w:tabs>
            <w:rPr>
              <w:rFonts w:hint="default" w:ascii="宋体" w:hAnsi="宋体" w:eastAsia="宋体" w:cs="宋体"/>
              <w:color w:val="000000" w:themeColor="text1"/>
              <w:sz w:val="36"/>
              <w:szCs w:val="36"/>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"_Toc32259"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36"/>
              <w:szCs w:val="36"/>
              <w:highlight w:val="none"/>
              <w14:textFill>
                <w14:solidFill>
                  <w14:schemeClr w14:val="tx1"/>
                </w14:solidFill>
              </w14:textFill>
            </w:rPr>
            <w:t>第五章</w:t>
          </w:r>
          <w:r>
            <w:rPr>
              <w:rFonts w:hint="eastAsia" w:ascii="宋体" w:hAnsi="宋体" w:cs="宋体"/>
              <w:color w:val="000000" w:themeColor="text1"/>
              <w:sz w:val="36"/>
              <w:szCs w:val="36"/>
              <w:highlight w:val="none"/>
              <w14:textFill>
                <w14:solidFill>
                  <w14:schemeClr w14:val="tx1"/>
                </w14:solidFill>
              </w14:textFill>
            </w:rPr>
            <w:t xml:space="preserve">  评标方法与评标标准</w:t>
          </w:r>
          <w:r>
            <w:rPr>
              <w:rFonts w:hint="eastAsia" w:ascii="宋体" w:hAnsi="宋体" w:cs="宋体"/>
              <w:color w:val="000000" w:themeColor="text1"/>
              <w:sz w:val="36"/>
              <w:szCs w:val="36"/>
              <w:highlight w:val="none"/>
              <w14:textFill>
                <w14:solidFill>
                  <w14:schemeClr w14:val="tx1"/>
                </w14:solidFill>
              </w14:textFill>
            </w:rPr>
            <w:tab/>
          </w:r>
          <w:r>
            <w:rPr>
              <w:rFonts w:hint="eastAsia" w:ascii="宋体" w:hAnsi="宋体" w:cs="宋体"/>
              <w:color w:val="000000" w:themeColor="text1"/>
              <w:sz w:val="36"/>
              <w:szCs w:val="36"/>
              <w:highlight w:val="none"/>
              <w14:textFill>
                <w14:solidFill>
                  <w14:schemeClr w14:val="tx1"/>
                </w14:solidFill>
              </w14:textFill>
            </w:rPr>
            <w:fldChar w:fldCharType="end"/>
          </w:r>
          <w:r>
            <w:rPr>
              <w:rFonts w:hint="eastAsia" w:ascii="宋体" w:hAnsi="宋体" w:cs="宋体"/>
              <w:color w:val="000000" w:themeColor="text1"/>
              <w:sz w:val="36"/>
              <w:szCs w:val="36"/>
              <w:highlight w:val="none"/>
              <w:lang w:val="en-US" w:eastAsia="zh-CN"/>
              <w14:textFill>
                <w14:solidFill>
                  <w14:schemeClr w14:val="tx1"/>
                </w14:solidFill>
              </w14:textFill>
            </w:rPr>
            <w:t>30</w:t>
          </w:r>
        </w:p>
        <w:p w14:paraId="25A937EF">
          <w:pPr>
            <w:pStyle w:val="169"/>
            <w:tabs>
              <w:tab w:val="right" w:leader="dot" w:pos="8953"/>
            </w:tabs>
            <w:rPr>
              <w:rFonts w:hint="default" w:eastAsia="宋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"_Toc20541"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36"/>
              <w:szCs w:val="36"/>
              <w:highlight w:val="none"/>
              <w14:textFill>
                <w14:solidFill>
                  <w14:schemeClr w14:val="tx1"/>
                </w14:solidFill>
              </w14:textFill>
            </w:rPr>
            <w:t>第六章</w:t>
          </w:r>
          <w:r>
            <w:rPr>
              <w:rFonts w:hint="eastAsia" w:ascii="宋体" w:hAnsi="宋体" w:cs="宋体"/>
              <w:color w:val="000000" w:themeColor="text1"/>
              <w:sz w:val="36"/>
              <w:szCs w:val="36"/>
              <w:highlight w:val="none"/>
              <w14:textFill>
                <w14:solidFill>
                  <w14:schemeClr w14:val="tx1"/>
                </w14:solidFill>
              </w14:textFill>
            </w:rPr>
            <w:t xml:space="preserve">  投标文件格式</w:t>
          </w:r>
          <w:r>
            <w:rPr>
              <w:rFonts w:hint="eastAsia" w:ascii="宋体" w:hAnsi="宋体" w:cs="宋体"/>
              <w:color w:val="000000" w:themeColor="text1"/>
              <w:sz w:val="36"/>
              <w:szCs w:val="36"/>
              <w:highlight w:val="none"/>
              <w14:textFill>
                <w14:solidFill>
                  <w14:schemeClr w14:val="tx1"/>
                </w14:solidFill>
              </w14:textFill>
            </w:rPr>
            <w:tab/>
          </w:r>
          <w:r>
            <w:rPr>
              <w:rFonts w:hint="eastAsia" w:ascii="宋体" w:hAnsi="宋体" w:cs="宋体"/>
              <w:color w:val="000000" w:themeColor="text1"/>
              <w:sz w:val="36"/>
              <w:szCs w:val="36"/>
              <w:highlight w:val="none"/>
              <w14:textFill>
                <w14:solidFill>
                  <w14:schemeClr w14:val="tx1"/>
                </w14:solidFill>
              </w14:textFill>
            </w:rPr>
            <w:fldChar w:fldCharType="end"/>
          </w:r>
          <w:r>
            <w:rPr>
              <w:rFonts w:hint="eastAsia" w:ascii="宋体" w:hAnsi="宋体" w:cs="宋体"/>
              <w:color w:val="000000" w:themeColor="text1"/>
              <w:sz w:val="36"/>
              <w:szCs w:val="36"/>
              <w:highlight w:val="none"/>
              <w:lang w:val="en-US" w:eastAsia="zh-CN"/>
              <w14:textFill>
                <w14:solidFill>
                  <w14:schemeClr w14:val="tx1"/>
                </w14:solidFill>
              </w14:textFill>
            </w:rPr>
            <w:t>33</w:t>
          </w:r>
        </w:p>
        <w:p w14:paraId="5315A8C3">
          <w:pPr>
            <w:pStyle w:val="169"/>
            <w:tabs>
              <w:tab w:val="right" w:leader="dot" w:pos="8953"/>
            </w:tabs>
            <w:rPr>
              <w:color w:val="000000" w:themeColor="text1"/>
              <w:highlight w:val="none"/>
              <w14:textFill>
                <w14:solidFill>
                  <w14:schemeClr w14:val="tx1"/>
                </w14:solidFill>
              </w14:textFill>
            </w:rPr>
          </w:pPr>
        </w:p>
        <w:p w14:paraId="703E1C07">
          <w:pPr>
            <w:pStyle w:val="44"/>
            <w:jc w:val="both"/>
            <w:rPr>
              <w:rFonts w:ascii="宋体" w:hAnsi="宋体" w:eastAsia="宋体" w:cs="宋体"/>
              <w:bCs/>
              <w:color w:val="000000" w:themeColor="text1"/>
              <w:highlight w:val="none"/>
              <w14:textFill>
                <w14:solidFill>
                  <w14:schemeClr w14:val="tx1"/>
                </w14:solidFill>
              </w14:textFill>
            </w:rPr>
            <w:sectPr>
              <w:footerReference r:id="rId9" w:type="first"/>
              <w:footerReference r:id="rId8" w:type="default"/>
              <w:pgSz w:w="11906" w:h="16838"/>
              <w:pgMar w:top="1418" w:right="1588" w:bottom="1418" w:left="1365" w:header="851" w:footer="907" w:gutter="0"/>
              <w:pgBorders>
                <w:top w:val="none" w:sz="0" w:space="0"/>
                <w:left w:val="none" w:sz="0" w:space="0"/>
                <w:bottom w:val="none" w:sz="0" w:space="0"/>
                <w:right w:val="none" w:sz="0" w:space="0"/>
              </w:pgBorders>
              <w:pgNumType w:start="1"/>
              <w:cols w:space="720" w:num="1"/>
              <w:titlePg/>
              <w:docGrid w:type="lines" w:linePitch="290" w:charSpace="0"/>
            </w:sectPr>
          </w:pPr>
          <w:r>
            <w:rPr>
              <w:rFonts w:ascii="宋体" w:hAnsi="宋体" w:eastAsia="宋体" w:cs="宋体"/>
              <w:bCs/>
              <w:color w:val="000000" w:themeColor="text1"/>
              <w:highlight w:val="none"/>
              <w14:textFill>
                <w14:solidFill>
                  <w14:schemeClr w14:val="tx1"/>
                </w14:solidFill>
              </w14:textFill>
            </w:rPr>
            <w:fldChar w:fldCharType="end"/>
          </w:r>
        </w:p>
      </w:sdtContent>
    </w:sdt>
    <w:p w14:paraId="1068C012">
      <w:pPr>
        <w:pStyle w:val="44"/>
        <w:outlineLvl w:val="0"/>
        <w:rPr>
          <w:rStyle w:val="54"/>
          <w:rFonts w:ascii="宋体" w:hAnsi="宋体" w:eastAsia="宋体" w:cs="宋体"/>
          <w:b/>
          <w:bCs/>
          <w:color w:val="000000" w:themeColor="text1"/>
          <w:sz w:val="44"/>
          <w:szCs w:val="44"/>
          <w:highlight w:val="none"/>
          <w14:textFill>
            <w14:solidFill>
              <w14:schemeClr w14:val="tx1"/>
            </w14:solidFill>
          </w14:textFill>
        </w:rPr>
      </w:pPr>
      <w:bookmarkStart w:id="0" w:name="_Toc18878"/>
      <w:r>
        <w:rPr>
          <w:rStyle w:val="54"/>
          <w:rFonts w:hint="eastAsia" w:ascii="宋体" w:hAnsi="宋体" w:eastAsia="宋体" w:cs="宋体"/>
          <w:b/>
          <w:bCs/>
          <w:color w:val="000000" w:themeColor="text1"/>
          <w:sz w:val="44"/>
          <w:szCs w:val="44"/>
          <w:highlight w:val="none"/>
          <w14:textFill>
            <w14:solidFill>
              <w14:schemeClr w14:val="tx1"/>
            </w14:solidFill>
          </w14:textFill>
        </w:rPr>
        <w:t>第一章  招标公告</w:t>
      </w:r>
      <w:bookmarkEnd w:id="0"/>
    </w:p>
    <w:p w14:paraId="35AE684C">
      <w:pPr>
        <w:pStyle w:val="44"/>
        <w:tabs>
          <w:tab w:val="left" w:pos="0"/>
          <w:tab w:val="left" w:pos="3165"/>
          <w:tab w:val="center" w:pos="4153"/>
        </w:tabs>
        <w:spacing w:line="360" w:lineRule="auto"/>
        <w:rPr>
          <w:rStyle w:val="54"/>
          <w:rFonts w:ascii="宋体" w:hAnsi="宋体" w:eastAsia="宋体" w:cs="宋体"/>
          <w:b/>
          <w:bCs/>
          <w:color w:val="000000" w:themeColor="text1"/>
          <w:sz w:val="24"/>
          <w:szCs w:val="24"/>
          <w:highlight w:val="none"/>
          <w14:textFill>
            <w14:solidFill>
              <w14:schemeClr w14:val="tx1"/>
            </w14:solidFill>
          </w14:textFill>
        </w:rPr>
      </w:pPr>
      <w:r>
        <w:rPr>
          <w:rStyle w:val="54"/>
          <w:rFonts w:hint="eastAsia" w:ascii="宋体" w:hAnsi="宋体" w:eastAsia="宋体" w:cs="宋体"/>
          <w:b/>
          <w:bCs/>
          <w:color w:val="000000" w:themeColor="text1"/>
          <w:sz w:val="24"/>
          <w:szCs w:val="24"/>
          <w:highlight w:val="none"/>
          <w:lang w:eastAsia="zh-CN"/>
          <w14:textFill>
            <w14:solidFill>
              <w14:schemeClr w14:val="tx1"/>
            </w14:solidFill>
          </w14:textFill>
        </w:rPr>
        <w:t>盐城工业职业技术学院工业中心实训室改造</w:t>
      </w:r>
      <w:r>
        <w:rPr>
          <w:rStyle w:val="54"/>
          <w:rFonts w:hint="eastAsia" w:ascii="宋体" w:hAnsi="宋体" w:eastAsia="宋体" w:cs="宋体"/>
          <w:b/>
          <w:bCs/>
          <w:color w:val="000000" w:themeColor="text1"/>
          <w:sz w:val="24"/>
          <w:szCs w:val="24"/>
          <w:highlight w:val="none"/>
          <w14:textFill>
            <w14:solidFill>
              <w14:schemeClr w14:val="tx1"/>
            </w14:solidFill>
          </w14:textFill>
        </w:rPr>
        <w:t>招标公告</w:t>
      </w:r>
    </w:p>
    <w:p w14:paraId="04658A4A">
      <w:pPr>
        <w:pBdr>
          <w:top w:val="single" w:color="000000" w:sz="4" w:space="1"/>
          <w:left w:val="single" w:color="000000" w:sz="4" w:space="4"/>
          <w:bottom w:val="single" w:color="000000" w:sz="4" w:space="1"/>
          <w:right w:val="single" w:color="000000" w:sz="4" w:space="4"/>
        </w:pBdr>
        <w:spacing w:line="460" w:lineRule="exact"/>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项目概况</w:t>
      </w:r>
    </w:p>
    <w:p w14:paraId="1C976B59">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u w:val="single" w:color="000000"/>
          <w:lang w:eastAsia="zh-CN"/>
          <w14:textFill>
            <w14:solidFill>
              <w14:schemeClr w14:val="tx1"/>
            </w14:solidFill>
          </w14:textFill>
        </w:rPr>
        <w:t>盐城工业职业技术学院工业中心实训室改造</w:t>
      </w:r>
      <w:r>
        <w:rPr>
          <w:rStyle w:val="54"/>
          <w:rFonts w:hint="eastAsia" w:ascii="宋体" w:hAnsi="宋体" w:cs="宋体"/>
          <w:bCs/>
          <w:color w:val="000000" w:themeColor="text1"/>
          <w:sz w:val="24"/>
          <w:szCs w:val="24"/>
          <w:highlight w:val="none"/>
          <w:u w:val="none" w:color="auto"/>
          <w:lang w:val="en-US" w:eastAsia="zh-CN"/>
          <w14:textFill>
            <w14:solidFill>
              <w14:schemeClr w14:val="tx1"/>
            </w14:solidFill>
          </w14:textFill>
        </w:rPr>
        <w:t>项目</w:t>
      </w:r>
      <w:r>
        <w:rPr>
          <w:rStyle w:val="54"/>
          <w:rFonts w:hint="eastAsia" w:ascii="宋体" w:hAnsi="宋体" w:cs="宋体"/>
          <w:bCs/>
          <w:color w:val="000000" w:themeColor="text1"/>
          <w:sz w:val="24"/>
          <w:szCs w:val="24"/>
          <w:highlight w:val="none"/>
          <w14:textFill>
            <w14:solidFill>
              <w14:schemeClr w14:val="tx1"/>
            </w14:solidFill>
          </w14:textFill>
        </w:rPr>
        <w:t>的潜在投标人应在“盐城工业职业技术学院招标采购网”获取招标文件</w:t>
      </w:r>
      <w:r>
        <w:rPr>
          <w:rStyle w:val="54"/>
          <w:rFonts w:hint="eastAsia" w:ascii="宋体" w:hAnsi="宋体" w:cs="宋体"/>
          <w:color w:val="000000" w:themeColor="text1"/>
          <w:sz w:val="24"/>
          <w:szCs w:val="24"/>
          <w:highlight w:val="none"/>
          <w14:textFill>
            <w14:solidFill>
              <w14:schemeClr w14:val="tx1"/>
            </w14:solidFill>
          </w14:textFill>
        </w:rPr>
        <w:t>，并于</w:t>
      </w:r>
      <w:r>
        <w:rPr>
          <w:rStyle w:val="54"/>
          <w:rFonts w:hint="eastAsia" w:ascii="宋体" w:hAnsi="宋体" w:cs="宋体"/>
          <w:color w:val="000000" w:themeColor="text1"/>
          <w:sz w:val="24"/>
          <w:szCs w:val="24"/>
          <w:highlight w:val="none"/>
          <w:u w:val="single" w:color="000000"/>
          <w14:textFill>
            <w14:solidFill>
              <w14:schemeClr w14:val="tx1"/>
            </w14:solidFill>
          </w14:textFill>
        </w:rPr>
        <w:t>2024</w:t>
      </w:r>
      <w:r>
        <w:rPr>
          <w:rStyle w:val="54"/>
          <w:rFonts w:hint="eastAsia" w:ascii="宋体" w:hAnsi="宋体" w:cs="宋体"/>
          <w:bCs/>
          <w:color w:val="000000" w:themeColor="text1"/>
          <w:sz w:val="24"/>
          <w:szCs w:val="24"/>
          <w:highlight w:val="none"/>
          <w:u w:val="single" w:color="000000"/>
          <w14:textFill>
            <w14:solidFill>
              <w14:schemeClr w14:val="tx1"/>
            </w14:solidFill>
          </w14:textFill>
        </w:rPr>
        <w:t>年</w:t>
      </w:r>
      <w:r>
        <w:rPr>
          <w:rStyle w:val="54"/>
          <w:rFonts w:hint="eastAsia" w:ascii="宋体" w:hAnsi="宋体" w:cs="宋体"/>
          <w:bCs/>
          <w:color w:val="000000" w:themeColor="text1"/>
          <w:sz w:val="24"/>
          <w:szCs w:val="24"/>
          <w:highlight w:val="none"/>
          <w:u w:val="single" w:color="000000"/>
          <w:lang w:val="en-US" w:eastAsia="zh-CN"/>
          <w14:textFill>
            <w14:solidFill>
              <w14:schemeClr w14:val="tx1"/>
            </w14:solidFill>
          </w14:textFill>
        </w:rPr>
        <w:t>8</w:t>
      </w:r>
      <w:r>
        <w:rPr>
          <w:rStyle w:val="54"/>
          <w:rFonts w:hint="eastAsia" w:ascii="宋体" w:hAnsi="宋体" w:cs="宋体"/>
          <w:bCs/>
          <w:color w:val="000000" w:themeColor="text1"/>
          <w:sz w:val="24"/>
          <w:szCs w:val="24"/>
          <w:highlight w:val="none"/>
          <w:u w:val="single" w:color="000000"/>
          <w14:textFill>
            <w14:solidFill>
              <w14:schemeClr w14:val="tx1"/>
            </w14:solidFill>
          </w14:textFill>
        </w:rPr>
        <w:t>月</w:t>
      </w:r>
      <w:r>
        <w:rPr>
          <w:rStyle w:val="54"/>
          <w:rFonts w:hint="eastAsia" w:ascii="宋体" w:hAnsi="宋体" w:cs="宋体"/>
          <w:bCs/>
          <w:color w:val="000000" w:themeColor="text1"/>
          <w:sz w:val="24"/>
          <w:szCs w:val="24"/>
          <w:highlight w:val="none"/>
          <w:u w:val="single" w:color="000000"/>
          <w:lang w:val="en-US" w:eastAsia="zh-CN"/>
          <w14:textFill>
            <w14:solidFill>
              <w14:schemeClr w14:val="tx1"/>
            </w14:solidFill>
          </w14:textFill>
        </w:rPr>
        <w:t>29</w:t>
      </w:r>
      <w:r>
        <w:rPr>
          <w:rStyle w:val="54"/>
          <w:rFonts w:hint="eastAsia" w:ascii="宋体" w:hAnsi="宋体" w:cs="宋体"/>
          <w:bCs/>
          <w:color w:val="000000" w:themeColor="text1"/>
          <w:sz w:val="24"/>
          <w:szCs w:val="24"/>
          <w:highlight w:val="none"/>
          <w:u w:val="single" w:color="000000"/>
          <w14:textFill>
            <w14:solidFill>
              <w14:schemeClr w14:val="tx1"/>
            </w14:solidFill>
          </w14:textFill>
        </w:rPr>
        <w:t>日</w:t>
      </w:r>
      <w:r>
        <w:rPr>
          <w:rStyle w:val="54"/>
          <w:rFonts w:hint="eastAsia" w:ascii="宋体" w:hAnsi="宋体" w:cs="宋体"/>
          <w:bCs/>
          <w:color w:val="000000" w:themeColor="text1"/>
          <w:sz w:val="24"/>
          <w:szCs w:val="24"/>
          <w:highlight w:val="none"/>
          <w:u w:val="single" w:color="000000"/>
          <w:lang w:val="en-US" w:eastAsia="zh-CN"/>
          <w14:textFill>
            <w14:solidFill>
              <w14:schemeClr w14:val="tx1"/>
            </w14:solidFill>
          </w14:textFill>
        </w:rPr>
        <w:t xml:space="preserve">9 </w:t>
      </w:r>
      <w:r>
        <w:rPr>
          <w:rStyle w:val="54"/>
          <w:rFonts w:hint="eastAsia" w:ascii="宋体" w:hAnsi="宋体" w:cs="宋体"/>
          <w:bCs/>
          <w:color w:val="000000" w:themeColor="text1"/>
          <w:sz w:val="24"/>
          <w:szCs w:val="24"/>
          <w:highlight w:val="none"/>
          <w:u w:val="single" w:color="000000"/>
          <w14:textFill>
            <w14:solidFill>
              <w14:schemeClr w14:val="tx1"/>
            </w14:solidFill>
          </w14:textFill>
        </w:rPr>
        <w:t>点</w:t>
      </w:r>
      <w:r>
        <w:rPr>
          <w:rStyle w:val="54"/>
          <w:rFonts w:hint="eastAsia" w:ascii="宋体" w:hAnsi="宋体" w:cs="宋体"/>
          <w:bCs/>
          <w:color w:val="000000" w:themeColor="text1"/>
          <w:sz w:val="24"/>
          <w:szCs w:val="24"/>
          <w:highlight w:val="none"/>
          <w:u w:val="single" w:color="000000"/>
          <w:lang w:val="en-US" w:eastAsia="zh-CN"/>
          <w14:textFill>
            <w14:solidFill>
              <w14:schemeClr w14:val="tx1"/>
            </w14:solidFill>
          </w14:textFill>
        </w:rPr>
        <w:t xml:space="preserve"> 00</w:t>
      </w:r>
      <w:r>
        <w:rPr>
          <w:rStyle w:val="54"/>
          <w:rFonts w:hint="eastAsia" w:ascii="宋体" w:hAnsi="宋体" w:cs="宋体"/>
          <w:bCs/>
          <w:color w:val="000000" w:themeColor="text1"/>
          <w:sz w:val="24"/>
          <w:szCs w:val="24"/>
          <w:highlight w:val="none"/>
          <w:u w:val="single" w:color="000000"/>
          <w14:textFill>
            <w14:solidFill>
              <w14:schemeClr w14:val="tx1"/>
            </w14:solidFill>
          </w14:textFill>
        </w:rPr>
        <w:t>分（</w:t>
      </w:r>
      <w:r>
        <w:rPr>
          <w:rStyle w:val="54"/>
          <w:rFonts w:hint="eastAsia" w:ascii="宋体" w:hAnsi="宋体" w:cs="宋体"/>
          <w:bCs/>
          <w:color w:val="000000" w:themeColor="text1"/>
          <w:sz w:val="24"/>
          <w:szCs w:val="24"/>
          <w:highlight w:val="none"/>
          <w14:textFill>
            <w14:solidFill>
              <w14:schemeClr w14:val="tx1"/>
            </w14:solidFill>
          </w14:textFill>
        </w:rPr>
        <w:t>北京时间）前递交投标文件</w:t>
      </w:r>
      <w:r>
        <w:rPr>
          <w:rStyle w:val="54"/>
          <w:rFonts w:hint="eastAsia" w:ascii="宋体" w:hAnsi="宋体" w:cs="宋体"/>
          <w:color w:val="000000" w:themeColor="text1"/>
          <w:sz w:val="24"/>
          <w:szCs w:val="24"/>
          <w:highlight w:val="none"/>
          <w14:textFill>
            <w14:solidFill>
              <w14:schemeClr w14:val="tx1"/>
            </w14:solidFill>
          </w14:textFill>
        </w:rPr>
        <w:t>。</w:t>
      </w:r>
    </w:p>
    <w:p w14:paraId="33BD316E">
      <w:pPr>
        <w:pStyle w:val="44"/>
        <w:tabs>
          <w:tab w:val="left" w:pos="0"/>
          <w:tab w:val="left" w:pos="3165"/>
          <w:tab w:val="center" w:pos="4153"/>
        </w:tabs>
        <w:snapToGrid w:val="0"/>
        <w:spacing w:line="360" w:lineRule="auto"/>
        <w:ind w:firstLine="482" w:firstLineChars="200"/>
        <w:jc w:val="left"/>
        <w:rPr>
          <w:rStyle w:val="54"/>
          <w:rFonts w:ascii="宋体" w:hAnsi="宋体" w:eastAsia="宋体" w:cs="宋体"/>
          <w:b/>
          <w:bCs/>
          <w:color w:val="000000" w:themeColor="text1"/>
          <w:sz w:val="24"/>
          <w:szCs w:val="24"/>
          <w:highlight w:val="none"/>
          <w14:textFill>
            <w14:solidFill>
              <w14:schemeClr w14:val="tx1"/>
            </w14:solidFill>
          </w14:textFill>
        </w:rPr>
      </w:pPr>
      <w:r>
        <w:rPr>
          <w:rStyle w:val="54"/>
          <w:rFonts w:hint="eastAsia" w:ascii="宋体" w:hAnsi="宋体" w:eastAsia="宋体" w:cs="宋体"/>
          <w:b/>
          <w:bCs/>
          <w:color w:val="000000" w:themeColor="text1"/>
          <w:sz w:val="24"/>
          <w:szCs w:val="24"/>
          <w:highlight w:val="none"/>
          <w14:textFill>
            <w14:solidFill>
              <w14:schemeClr w14:val="tx1"/>
            </w14:solidFill>
          </w14:textFill>
        </w:rPr>
        <w:t>一、项目基本情况</w:t>
      </w:r>
    </w:p>
    <w:p w14:paraId="452FAC37">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项目编号：</w:t>
      </w:r>
      <w:r>
        <w:rPr>
          <w:rStyle w:val="54"/>
          <w:rFonts w:hint="eastAsia" w:ascii="宋体" w:hAnsi="宋体" w:cs="宋体"/>
          <w:color w:val="000000" w:themeColor="text1"/>
          <w:sz w:val="24"/>
          <w:szCs w:val="24"/>
          <w:highlight w:val="none"/>
          <w:lang w:eastAsia="zh-CN"/>
          <w14:textFill>
            <w14:solidFill>
              <w14:schemeClr w14:val="tx1"/>
            </w14:solidFill>
          </w14:textFill>
        </w:rPr>
        <w:t>2024-033J</w:t>
      </w:r>
      <w:r>
        <w:rPr>
          <w:rStyle w:val="54"/>
          <w:rFonts w:hint="eastAsia" w:ascii="宋体" w:hAnsi="宋体" w:cs="宋体"/>
          <w:color w:val="000000" w:themeColor="text1"/>
          <w:sz w:val="24"/>
          <w:szCs w:val="24"/>
          <w:highlight w:val="none"/>
          <w:u w:val="single"/>
          <w14:textFill>
            <w14:solidFill>
              <w14:schemeClr w14:val="tx1"/>
            </w14:solidFill>
          </w14:textFill>
        </w:rPr>
        <w:t xml:space="preserve"> </w:t>
      </w:r>
    </w:p>
    <w:p w14:paraId="5296DB15">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项目名称：</w:t>
      </w:r>
      <w:r>
        <w:rPr>
          <w:rStyle w:val="54"/>
          <w:rFonts w:hint="eastAsia" w:ascii="宋体" w:hAnsi="宋体" w:cs="宋体"/>
          <w:color w:val="000000" w:themeColor="text1"/>
          <w:sz w:val="24"/>
          <w:szCs w:val="24"/>
          <w:highlight w:val="none"/>
          <w:u w:val="single"/>
          <w:lang w:eastAsia="zh-CN"/>
          <w14:textFill>
            <w14:solidFill>
              <w14:schemeClr w14:val="tx1"/>
            </w14:solidFill>
          </w14:textFill>
        </w:rPr>
        <w:t>盐城工业职业技术学院工业中心实训室改造</w:t>
      </w:r>
    </w:p>
    <w:p w14:paraId="474E222A">
      <w:pPr>
        <w:pStyle w:val="153"/>
        <w:widowControl w:val="0"/>
        <w:tabs>
          <w:tab w:val="left" w:pos="0"/>
        </w:tabs>
        <w:adjustRightInd w:val="0"/>
        <w:snapToGrid w:val="0"/>
        <w:spacing w:line="360" w:lineRule="auto"/>
        <w:ind w:left="0" w:firstLine="480" w:firstLineChars="200"/>
        <w:rPr>
          <w:rStyle w:val="54"/>
          <w:rFonts w:ascii="宋体" w:hAnsi="宋体" w:cs="宋体"/>
          <w:color w:val="000000" w:themeColor="text1"/>
          <w:szCs w:val="24"/>
          <w:highlight w:val="none"/>
          <w:u w:val="none"/>
          <w:lang w:eastAsia="zh-CN"/>
          <w14:textFill>
            <w14:solidFill>
              <w14:schemeClr w14:val="tx1"/>
            </w14:solidFill>
          </w14:textFill>
        </w:rPr>
      </w:pPr>
      <w:r>
        <w:rPr>
          <w:rStyle w:val="54"/>
          <w:rFonts w:hint="eastAsia" w:ascii="宋体" w:hAnsi="宋体" w:cs="宋体"/>
          <w:color w:val="000000" w:themeColor="text1"/>
          <w:szCs w:val="24"/>
          <w:highlight w:val="none"/>
          <w:lang w:eastAsia="zh-CN"/>
          <w14:textFill>
            <w14:solidFill>
              <w14:schemeClr w14:val="tx1"/>
            </w14:solidFill>
          </w14:textFill>
        </w:rPr>
        <w:t>预算价：</w:t>
      </w:r>
      <w:r>
        <w:rPr>
          <w:rStyle w:val="54"/>
          <w:rFonts w:hint="eastAsia" w:ascii="宋体" w:hAnsi="宋体" w:cs="宋体"/>
          <w:color w:val="000000" w:themeColor="text1"/>
          <w:szCs w:val="24"/>
          <w:highlight w:val="none"/>
          <w:u w:val="none"/>
          <w:lang w:eastAsia="zh-CN"/>
          <w14:textFill>
            <w14:solidFill>
              <w14:schemeClr w14:val="tx1"/>
            </w14:solidFill>
          </w14:textFill>
        </w:rPr>
        <w:t>42.9万元</w:t>
      </w:r>
    </w:p>
    <w:p w14:paraId="36FBE3C9">
      <w:pPr>
        <w:pStyle w:val="153"/>
        <w:widowControl w:val="0"/>
        <w:tabs>
          <w:tab w:val="left" w:pos="0"/>
        </w:tabs>
        <w:adjustRightInd w:val="0"/>
        <w:snapToGrid w:val="0"/>
        <w:spacing w:line="360" w:lineRule="auto"/>
        <w:ind w:left="0" w:firstLine="480" w:firstLineChars="200"/>
        <w:rPr>
          <w:rStyle w:val="54"/>
          <w:rFonts w:ascii="宋体" w:hAnsi="宋体" w:cs="宋体"/>
          <w:color w:val="000000" w:themeColor="text1"/>
          <w:szCs w:val="24"/>
          <w:highlight w:val="none"/>
          <w:u w:val="none"/>
          <w:lang w:eastAsia="zh-CN"/>
          <w14:textFill>
            <w14:solidFill>
              <w14:schemeClr w14:val="tx1"/>
            </w14:solidFill>
          </w14:textFill>
        </w:rPr>
      </w:pPr>
      <w:r>
        <w:rPr>
          <w:rStyle w:val="54"/>
          <w:rFonts w:hint="eastAsia" w:ascii="宋体" w:hAnsi="宋体" w:cs="宋体"/>
          <w:color w:val="000000" w:themeColor="text1"/>
          <w:szCs w:val="24"/>
          <w:highlight w:val="none"/>
          <w:u w:val="none"/>
          <w:lang w:eastAsia="zh-CN"/>
          <w14:textFill>
            <w14:solidFill>
              <w14:schemeClr w14:val="tx1"/>
            </w14:solidFill>
          </w14:textFill>
        </w:rPr>
        <w:t>最高限价：42.9万元</w:t>
      </w:r>
    </w:p>
    <w:p w14:paraId="4B39F35D">
      <w:pPr>
        <w:adjustRightInd w:val="0"/>
        <w:snapToGrid w:val="0"/>
        <w:spacing w:line="336" w:lineRule="auto"/>
        <w:ind w:firstLine="480" w:firstLineChars="200"/>
        <w:rPr>
          <w:rStyle w:val="54"/>
          <w:rFonts w:hint="eastAsia" w:ascii="宋体" w:hAnsi="宋体" w:eastAsia="宋体" w:cs="宋体"/>
          <w:color w:val="000000" w:themeColor="text1"/>
          <w:sz w:val="24"/>
          <w:szCs w:val="24"/>
          <w:highlight w:val="none"/>
          <w:lang w:eastAsia="zh-CN"/>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采购需求：</w:t>
      </w:r>
      <w:r>
        <w:rPr>
          <w:rStyle w:val="54"/>
          <w:rFonts w:hint="eastAsia" w:ascii="宋体" w:hAnsi="宋体" w:cs="宋体"/>
          <w:color w:val="000000" w:themeColor="text1"/>
          <w:sz w:val="24"/>
          <w:szCs w:val="24"/>
          <w:highlight w:val="none"/>
          <w:lang w:val="en-US" w:eastAsia="zh-CN"/>
          <w14:textFill>
            <w14:solidFill>
              <w14:schemeClr w14:val="tx1"/>
            </w14:solidFill>
          </w14:textFill>
        </w:rPr>
        <w:t>本项目包含智能制造学院工业中心103改造以及汽车与交通学院实训室改造</w:t>
      </w:r>
      <w:r>
        <w:rPr>
          <w:rStyle w:val="54"/>
          <w:rFonts w:hint="eastAsia" w:ascii="宋体" w:hAnsi="宋体" w:cs="宋体"/>
          <w:color w:val="000000" w:themeColor="text1"/>
          <w:sz w:val="24"/>
          <w:szCs w:val="24"/>
          <w:highlight w:val="none"/>
          <w14:textFill>
            <w14:solidFill>
              <w14:schemeClr w14:val="tx1"/>
            </w14:solidFill>
          </w14:textFill>
        </w:rPr>
        <w:t>，具体内容详按</w:t>
      </w:r>
      <w:r>
        <w:rPr>
          <w:rStyle w:val="54"/>
          <w:rFonts w:hint="eastAsia" w:ascii="宋体" w:hAnsi="宋体" w:cs="宋体"/>
          <w:color w:val="000000" w:themeColor="text1"/>
          <w:sz w:val="24"/>
          <w:szCs w:val="24"/>
          <w:highlight w:val="none"/>
          <w:lang w:val="en-US" w:eastAsia="zh-CN"/>
          <w14:textFill>
            <w14:solidFill>
              <w14:schemeClr w14:val="tx1"/>
            </w14:solidFill>
          </w14:textFill>
        </w:rPr>
        <w:t>招标文件、</w:t>
      </w:r>
      <w:r>
        <w:rPr>
          <w:rStyle w:val="54"/>
          <w:rFonts w:hint="eastAsia" w:ascii="宋体" w:hAnsi="宋体" w:cs="宋体"/>
          <w:color w:val="000000" w:themeColor="text1"/>
          <w:sz w:val="24"/>
          <w:szCs w:val="24"/>
          <w:highlight w:val="none"/>
          <w14:textFill>
            <w14:solidFill>
              <w14:schemeClr w14:val="tx1"/>
            </w14:solidFill>
          </w14:textFill>
        </w:rPr>
        <w:t>工程量清单及</w:t>
      </w:r>
      <w:r>
        <w:rPr>
          <w:rStyle w:val="54"/>
          <w:rFonts w:hint="eastAsia" w:ascii="宋体" w:hAnsi="宋体" w:cs="宋体"/>
          <w:color w:val="000000" w:themeColor="text1"/>
          <w:sz w:val="24"/>
          <w:szCs w:val="24"/>
          <w:highlight w:val="none"/>
          <w:lang w:val="en-US" w:eastAsia="zh-CN"/>
          <w14:textFill>
            <w14:solidFill>
              <w14:schemeClr w14:val="tx1"/>
            </w14:solidFill>
          </w14:textFill>
        </w:rPr>
        <w:t>采购人</w:t>
      </w:r>
      <w:r>
        <w:rPr>
          <w:rStyle w:val="54"/>
          <w:rFonts w:hint="eastAsia" w:ascii="宋体" w:hAnsi="宋体" w:cs="宋体"/>
          <w:color w:val="000000" w:themeColor="text1"/>
          <w:sz w:val="24"/>
          <w:szCs w:val="24"/>
          <w:highlight w:val="none"/>
          <w14:textFill>
            <w14:solidFill>
              <w14:schemeClr w14:val="tx1"/>
            </w14:solidFill>
          </w14:textFill>
        </w:rPr>
        <w:t>要求执行，</w:t>
      </w:r>
      <w:r>
        <w:rPr>
          <w:rStyle w:val="54"/>
          <w:rFonts w:hint="eastAsia" w:ascii="宋体" w:hAnsi="宋体" w:cs="宋体"/>
          <w:color w:val="000000" w:themeColor="text1"/>
          <w:sz w:val="24"/>
          <w:szCs w:val="24"/>
          <w:highlight w:val="none"/>
          <w:lang w:val="en-US" w:eastAsia="zh-CN"/>
          <w14:textFill>
            <w14:solidFill>
              <w14:schemeClr w14:val="tx1"/>
            </w14:solidFill>
          </w14:textFill>
        </w:rPr>
        <w:t>采购人</w:t>
      </w:r>
      <w:r>
        <w:rPr>
          <w:rStyle w:val="54"/>
          <w:rFonts w:hint="eastAsia" w:ascii="宋体" w:hAnsi="宋体" w:cs="宋体"/>
          <w:color w:val="000000" w:themeColor="text1"/>
          <w:sz w:val="24"/>
          <w:szCs w:val="24"/>
          <w:highlight w:val="none"/>
          <w14:textFill>
            <w14:solidFill>
              <w14:schemeClr w14:val="tx1"/>
            </w14:solidFill>
          </w14:textFill>
        </w:rPr>
        <w:t>保留进行调整的权利</w:t>
      </w:r>
      <w:r>
        <w:rPr>
          <w:rStyle w:val="54"/>
          <w:rFonts w:hint="eastAsia" w:ascii="宋体" w:hAnsi="宋体" w:cs="宋体"/>
          <w:color w:val="000000" w:themeColor="text1"/>
          <w:sz w:val="24"/>
          <w:szCs w:val="24"/>
          <w:highlight w:val="none"/>
          <w:lang w:eastAsia="zh-CN"/>
          <w14:textFill>
            <w14:solidFill>
              <w14:schemeClr w14:val="tx1"/>
            </w14:solidFill>
          </w14:textFill>
        </w:rPr>
        <w:t>。</w:t>
      </w:r>
    </w:p>
    <w:p w14:paraId="3DF1964B">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合同履行期限：自</w:t>
      </w:r>
      <w:r>
        <w:rPr>
          <w:rStyle w:val="54"/>
          <w:rFonts w:hint="eastAsia" w:ascii="宋体" w:hAnsi="宋体" w:cs="宋体"/>
          <w:color w:val="000000" w:themeColor="text1"/>
          <w:sz w:val="24"/>
          <w:szCs w:val="24"/>
          <w:highlight w:val="none"/>
          <w:lang w:val="en-US" w:eastAsia="zh-CN"/>
          <w14:textFill>
            <w14:solidFill>
              <w14:schemeClr w14:val="tx1"/>
            </w14:solidFill>
          </w14:textFill>
        </w:rPr>
        <w:t>采购人</w:t>
      </w:r>
      <w:r>
        <w:rPr>
          <w:rStyle w:val="54"/>
          <w:rFonts w:hint="eastAsia" w:ascii="宋体" w:hAnsi="宋体" w:cs="宋体"/>
          <w:color w:val="000000" w:themeColor="text1"/>
          <w:sz w:val="24"/>
          <w:szCs w:val="24"/>
          <w:highlight w:val="none"/>
          <w14:textFill>
            <w14:solidFill>
              <w14:schemeClr w14:val="tx1"/>
            </w14:solidFill>
          </w14:textFill>
        </w:rPr>
        <w:t>方通知开工之日起</w:t>
      </w:r>
      <w:r>
        <w:rPr>
          <w:rStyle w:val="54"/>
          <w:rFonts w:hint="eastAsia" w:ascii="宋体" w:hAnsi="宋体" w:cs="宋体"/>
          <w:color w:val="000000" w:themeColor="text1"/>
          <w:sz w:val="24"/>
          <w:szCs w:val="24"/>
          <w:highlight w:val="none"/>
          <w:lang w:val="en-US" w:eastAsia="zh-CN"/>
          <w14:textFill>
            <w14:solidFill>
              <w14:schemeClr w14:val="tx1"/>
            </w14:solidFill>
          </w14:textFill>
        </w:rPr>
        <w:t>30</w:t>
      </w:r>
      <w:r>
        <w:rPr>
          <w:rStyle w:val="54"/>
          <w:rFonts w:hint="eastAsia" w:ascii="宋体" w:hAnsi="宋体" w:cs="宋体"/>
          <w:color w:val="000000" w:themeColor="text1"/>
          <w:sz w:val="24"/>
          <w:szCs w:val="24"/>
          <w:highlight w:val="none"/>
          <w14:textFill>
            <w14:solidFill>
              <w14:schemeClr w14:val="tx1"/>
            </w14:solidFill>
          </w14:textFill>
        </w:rPr>
        <w:t>日历天内全部通过竣工验收合格并交付使用</w:t>
      </w:r>
      <w:r>
        <w:rPr>
          <w:rStyle w:val="54"/>
          <w:rFonts w:hint="eastAsia" w:ascii="宋体" w:hAnsi="宋体" w:cs="宋体"/>
          <w:bCs/>
          <w:color w:val="000000" w:themeColor="text1"/>
          <w:sz w:val="24"/>
          <w:szCs w:val="24"/>
          <w:highlight w:val="none"/>
          <w14:textFill>
            <w14:solidFill>
              <w14:schemeClr w14:val="tx1"/>
            </w14:solidFill>
          </w14:textFill>
        </w:rPr>
        <w:t>，达到验收合格标准。</w:t>
      </w:r>
    </w:p>
    <w:p w14:paraId="0E34139C">
      <w:pPr>
        <w:widowControl w:val="0"/>
        <w:adjustRightInd w:val="0"/>
        <w:snapToGrid w:val="0"/>
        <w:spacing w:line="360" w:lineRule="auto"/>
        <w:ind w:firstLine="482" w:firstLineChars="200"/>
        <w:rPr>
          <w:rStyle w:val="54"/>
          <w:rFonts w:ascii="宋体" w:hAnsi="宋体" w:cs="宋体"/>
          <w:b/>
          <w:bCs/>
          <w:color w:val="000000" w:themeColor="text1"/>
          <w:sz w:val="24"/>
          <w:szCs w:val="24"/>
          <w:highlight w:val="none"/>
          <w14:textFill>
            <w14:solidFill>
              <w14:schemeClr w14:val="tx1"/>
            </w14:solidFill>
          </w14:textFill>
        </w:rPr>
      </w:pPr>
      <w:r>
        <w:rPr>
          <w:rStyle w:val="54"/>
          <w:rFonts w:hint="eastAsia" w:ascii="宋体" w:hAnsi="宋体" w:cs="宋体"/>
          <w:b/>
          <w:bCs/>
          <w:color w:val="000000" w:themeColor="text1"/>
          <w:sz w:val="24"/>
          <w:szCs w:val="24"/>
          <w:highlight w:val="none"/>
          <w14:textFill>
            <w14:solidFill>
              <w14:schemeClr w14:val="tx1"/>
            </w14:solidFill>
          </w14:textFill>
        </w:rPr>
        <w:t>本项目（是/否）接受联合体投标：不接受联合体</w:t>
      </w:r>
    </w:p>
    <w:p w14:paraId="3600419E">
      <w:pPr>
        <w:pStyle w:val="44"/>
        <w:widowControl w:val="0"/>
        <w:tabs>
          <w:tab w:val="left" w:pos="0"/>
          <w:tab w:val="left" w:pos="3165"/>
          <w:tab w:val="center" w:pos="4153"/>
        </w:tabs>
        <w:adjustRightInd w:val="0"/>
        <w:snapToGrid w:val="0"/>
        <w:spacing w:line="360" w:lineRule="auto"/>
        <w:ind w:firstLine="482" w:firstLineChars="200"/>
        <w:jc w:val="left"/>
        <w:rPr>
          <w:rStyle w:val="54"/>
          <w:rFonts w:ascii="宋体" w:hAnsi="宋体" w:eastAsia="宋体" w:cs="宋体"/>
          <w:b/>
          <w:bCs/>
          <w:color w:val="000000" w:themeColor="text1"/>
          <w:sz w:val="24"/>
          <w:szCs w:val="24"/>
          <w:highlight w:val="none"/>
          <w14:textFill>
            <w14:solidFill>
              <w14:schemeClr w14:val="tx1"/>
            </w14:solidFill>
          </w14:textFill>
        </w:rPr>
      </w:pPr>
      <w:r>
        <w:rPr>
          <w:rStyle w:val="54"/>
          <w:rFonts w:hint="eastAsia" w:ascii="宋体" w:hAnsi="宋体" w:eastAsia="宋体" w:cs="宋体"/>
          <w:b/>
          <w:bCs/>
          <w:color w:val="000000" w:themeColor="text1"/>
          <w:sz w:val="24"/>
          <w:szCs w:val="24"/>
          <w:highlight w:val="none"/>
          <w14:textFill>
            <w14:solidFill>
              <w14:schemeClr w14:val="tx1"/>
            </w14:solidFill>
          </w14:textFill>
        </w:rPr>
        <w:t>二、申请人的资格要求：</w:t>
      </w:r>
    </w:p>
    <w:p w14:paraId="74A8BE0A">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（一）满足《中华人民共和国政府采购法》第二十二条规定：</w:t>
      </w:r>
    </w:p>
    <w:p w14:paraId="0861BB25">
      <w:pPr>
        <w:widowControl w:val="0"/>
        <w:adjustRightInd w:val="0"/>
        <w:snapToGrid w:val="0"/>
        <w:spacing w:line="360" w:lineRule="auto"/>
        <w:ind w:firstLine="480" w:firstLineChars="200"/>
        <w:rPr>
          <w:rStyle w:val="54"/>
          <w:rFonts w:hint="eastAsia"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（1）法人或者其他组织的营业执照等证明文件，自然人的身份证明；</w:t>
      </w:r>
    </w:p>
    <w:p w14:paraId="5C05BFDE">
      <w:pPr>
        <w:widowControl w:val="0"/>
        <w:adjustRightInd w:val="0"/>
        <w:snapToGrid w:val="0"/>
        <w:spacing w:line="360" w:lineRule="auto"/>
        <w:ind w:firstLine="480" w:firstLineChars="200"/>
        <w:rPr>
          <w:rStyle w:val="54"/>
          <w:rFonts w:hint="eastAsia"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（2）上一年度（2023年）的财务报表（成立不满一年不需提供）；</w:t>
      </w:r>
    </w:p>
    <w:p w14:paraId="69050A93">
      <w:pPr>
        <w:widowControl w:val="0"/>
        <w:adjustRightInd w:val="0"/>
        <w:snapToGrid w:val="0"/>
        <w:spacing w:line="360" w:lineRule="auto"/>
        <w:ind w:firstLine="480" w:firstLineChars="200"/>
        <w:rPr>
          <w:rStyle w:val="54"/>
          <w:rFonts w:hint="eastAsia"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（3）依法缴纳税收和社会保障资金的相关材料，依法免税或不需要缴纳社会保障资金的，应提供相应文件证明材料；</w:t>
      </w:r>
    </w:p>
    <w:p w14:paraId="0C556608">
      <w:pPr>
        <w:widowControl w:val="0"/>
        <w:adjustRightInd w:val="0"/>
        <w:snapToGrid w:val="0"/>
        <w:spacing w:line="360" w:lineRule="auto"/>
        <w:ind w:firstLine="480" w:firstLineChars="200"/>
        <w:rPr>
          <w:rStyle w:val="54"/>
          <w:rFonts w:hint="eastAsia"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（4）具备履行合同所必需的设备和专业技术能力的书面声明；</w:t>
      </w:r>
    </w:p>
    <w:p w14:paraId="4EEE74A3">
      <w:pPr>
        <w:widowControl w:val="0"/>
        <w:adjustRightInd w:val="0"/>
        <w:snapToGrid w:val="0"/>
        <w:spacing w:line="360" w:lineRule="auto"/>
        <w:ind w:firstLine="480" w:firstLineChars="200"/>
        <w:rPr>
          <w:rStyle w:val="54"/>
          <w:rFonts w:hint="eastAsia"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（5）参加政府采购活动前3年内在经营活动中没有重大违法记录的书面声明；</w:t>
      </w:r>
    </w:p>
    <w:p w14:paraId="07E02712">
      <w:pPr>
        <w:widowControl w:val="0"/>
        <w:adjustRightInd w:val="0"/>
        <w:snapToGrid w:val="0"/>
        <w:spacing w:line="360" w:lineRule="auto"/>
        <w:ind w:firstLine="480" w:firstLineChars="200"/>
        <w:rPr>
          <w:rStyle w:val="54"/>
          <w:rFonts w:hint="eastAsia"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（6）法律、行政法规规定的其他条件。</w:t>
      </w:r>
    </w:p>
    <w:p w14:paraId="208A1203">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（二）落实政府采购政策需满足的资格要求：本项目为专门面向中小企业采购的项目,供应商必须为中小微企业，提供中小微企业声明函，不接受非中小微型企业参与本项目投标。</w:t>
      </w:r>
    </w:p>
    <w:p w14:paraId="509C006F">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（三）本项目的特定资格要求：</w:t>
      </w:r>
    </w:p>
    <w:p w14:paraId="23BF8BAB">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1.未被“信用中国”网站（www.creditchina.gov.cn）列入失信被执行人、重大税收违法案件当事人名单、政府采购严重失信行为记录名单。</w:t>
      </w:r>
    </w:p>
    <w:p w14:paraId="16B0F7C1">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2.单位负责人为同一人或者存在直接控股、管理关系的不同供应商，不得参加同一合同项下的政府采购活动。</w:t>
      </w:r>
    </w:p>
    <w:p w14:paraId="3770D6A7">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3.投标人资质等级和要求：</w:t>
      </w:r>
      <w:r>
        <w:rPr>
          <w:rStyle w:val="54"/>
          <w:rFonts w:hint="eastAsia" w:ascii="宋体" w:hAnsi="宋体" w:cs="宋体"/>
          <w:b/>
          <w:bCs/>
          <w:color w:val="000000" w:themeColor="text1"/>
          <w:sz w:val="24"/>
          <w:szCs w:val="24"/>
          <w:highlight w:val="none"/>
          <w14:textFill>
            <w14:solidFill>
              <w14:schemeClr w14:val="tx1"/>
            </w14:solidFill>
          </w14:textFill>
        </w:rPr>
        <w:t>投标人应同时具备建设行政主管部门核发的建筑工程施工总承包三级及以上资质或建筑装修装饰工程专业承包二级及以上资质的独立法人，并取得有效的安全生产许可证</w:t>
      </w:r>
      <w:r>
        <w:rPr>
          <w:rStyle w:val="54"/>
          <w:rFonts w:hint="eastAsia" w:ascii="宋体" w:hAnsi="宋体" w:cs="宋体"/>
          <w:color w:val="000000" w:themeColor="text1"/>
          <w:sz w:val="24"/>
          <w:szCs w:val="24"/>
          <w:highlight w:val="none"/>
          <w14:textFill>
            <w14:solidFill>
              <w14:schemeClr w14:val="tx1"/>
            </w14:solidFill>
          </w14:textFill>
        </w:rPr>
        <w:t>。</w:t>
      </w:r>
    </w:p>
    <w:p w14:paraId="75645F81">
      <w:pPr>
        <w:pStyle w:val="37"/>
        <w:ind w:firstLine="480"/>
        <w:rPr>
          <w:rStyle w:val="54"/>
          <w:rFonts w:ascii="宋体" w:hAnsi="宋体" w:cs="宋体"/>
          <w:color w:val="000000" w:themeColor="text1"/>
          <w:highlight w:val="none"/>
          <w14:textFill>
            <w14:solidFill>
              <w14:schemeClr w14:val="tx1"/>
            </w14:solidFill>
          </w14:textFill>
        </w:rPr>
      </w:pPr>
      <w:r>
        <w:rPr>
          <w:rStyle w:val="54"/>
          <w:rFonts w:hint="eastAsia" w:ascii="宋体" w:hAnsi="宋体" w:cs="宋体"/>
          <w:color w:val="000000" w:themeColor="text1"/>
          <w:highlight w:val="none"/>
          <w14:textFill>
            <w14:solidFill>
              <w14:schemeClr w14:val="tx1"/>
            </w14:solidFill>
          </w14:textFill>
        </w:rPr>
        <w:t>4.投标人的项目负责人资格要求：具有建筑工程专业二级及以上注册建造师资格，同时具有有效的安全生产考核合格证（B类）。</w:t>
      </w:r>
    </w:p>
    <w:p w14:paraId="5D1641A2">
      <w:pPr>
        <w:pStyle w:val="37"/>
        <w:ind w:firstLine="480"/>
        <w:rPr>
          <w:rStyle w:val="54"/>
          <w:rFonts w:ascii="宋体" w:hAnsi="宋体" w:cs="宋体"/>
          <w:color w:val="000000" w:themeColor="text1"/>
          <w:highlight w:val="none"/>
          <w14:textFill>
            <w14:solidFill>
              <w14:schemeClr w14:val="tx1"/>
            </w14:solidFill>
          </w14:textFill>
        </w:rPr>
      </w:pPr>
      <w:r>
        <w:rPr>
          <w:rStyle w:val="54"/>
          <w:rFonts w:hint="eastAsia" w:ascii="宋体" w:hAnsi="宋体" w:cs="宋体"/>
          <w:color w:val="000000" w:themeColor="text1"/>
          <w:highlight w:val="none"/>
          <w14:textFill>
            <w14:solidFill>
              <w14:schemeClr w14:val="tx1"/>
            </w14:solidFill>
          </w14:textFill>
        </w:rPr>
        <w:t>4.1项目负责人从本工程响应文件递交截止之日起必须满足下列条件：</w:t>
      </w:r>
    </w:p>
    <w:p w14:paraId="12B0D48D">
      <w:pPr>
        <w:pStyle w:val="37"/>
        <w:ind w:firstLine="480"/>
        <w:rPr>
          <w:rStyle w:val="54"/>
          <w:rFonts w:ascii="宋体" w:hAnsi="宋体" w:cs="宋体"/>
          <w:color w:val="000000" w:themeColor="text1"/>
          <w:highlight w:val="none"/>
          <w14:textFill>
            <w14:solidFill>
              <w14:schemeClr w14:val="tx1"/>
            </w14:solidFill>
          </w14:textFill>
        </w:rPr>
      </w:pPr>
      <w:r>
        <w:rPr>
          <w:rStyle w:val="54"/>
          <w:rFonts w:hint="eastAsia" w:ascii="宋体" w:hAnsi="宋体" w:cs="宋体"/>
          <w:color w:val="000000" w:themeColor="text1"/>
          <w:highlight w:val="none"/>
          <w14:textFill>
            <w14:solidFill>
              <w14:schemeClr w14:val="tx1"/>
            </w14:solidFill>
          </w14:textFill>
        </w:rPr>
        <w:t>4.1.1项目负责人不得同时在两个或者两个以上单位受聘或者执业；</w:t>
      </w:r>
    </w:p>
    <w:p w14:paraId="42A9A584">
      <w:pPr>
        <w:pStyle w:val="37"/>
        <w:ind w:firstLine="480"/>
        <w:rPr>
          <w:rStyle w:val="54"/>
          <w:rFonts w:ascii="宋体" w:hAnsi="宋体" w:cs="宋体"/>
          <w:color w:val="000000" w:themeColor="text1"/>
          <w:highlight w:val="none"/>
          <w14:textFill>
            <w14:solidFill>
              <w14:schemeClr w14:val="tx1"/>
            </w14:solidFill>
          </w14:textFill>
        </w:rPr>
      </w:pPr>
      <w:r>
        <w:rPr>
          <w:rStyle w:val="54"/>
          <w:rFonts w:hint="eastAsia" w:ascii="宋体" w:hAnsi="宋体" w:cs="宋体"/>
          <w:color w:val="000000" w:themeColor="text1"/>
          <w:highlight w:val="none"/>
          <w14:textFill>
            <w14:solidFill>
              <w14:schemeClr w14:val="tx1"/>
            </w14:solidFill>
          </w14:textFill>
        </w:rPr>
        <w:t>4.1.2项目负责人是非变更后无在建工程，或项目负责人是变更后无在建工程（必须原合同工期已满且变更备案之日已满 6个月），或因非承包人原因致使工程项目停工或因故不能按期开工、且已办理了项目负责人解锁手续，或项目负责人有在建工程，但该在建工程与本次采购的工程属于同一工程项目、同一项目批文、同一施工地点分段发包或分期施工的情况且总的工程规模在项目负责人执业范围之内。</w:t>
      </w:r>
    </w:p>
    <w:p w14:paraId="1D83E912">
      <w:pPr>
        <w:pStyle w:val="37"/>
        <w:ind w:firstLine="480"/>
        <w:rPr>
          <w:rStyle w:val="54"/>
          <w:rFonts w:ascii="宋体" w:hAnsi="宋体" w:cs="宋体"/>
          <w:color w:val="000000" w:themeColor="text1"/>
          <w:highlight w:val="none"/>
          <w14:textFill>
            <w14:solidFill>
              <w14:schemeClr w14:val="tx1"/>
            </w14:solidFill>
          </w14:textFill>
        </w:rPr>
      </w:pPr>
      <w:r>
        <w:rPr>
          <w:rStyle w:val="54"/>
          <w:rFonts w:hint="eastAsia" w:ascii="宋体" w:hAnsi="宋体" w:cs="宋体"/>
          <w:color w:val="000000" w:themeColor="text1"/>
          <w:highlight w:val="none"/>
          <w14:textFill>
            <w14:solidFill>
              <w14:schemeClr w14:val="tx1"/>
            </w14:solidFill>
          </w14:textFill>
        </w:rPr>
        <w:t>项目负责人投标截止时不得同时在其他建设工程项目中担任现场管理人员、不在本项目兼任本项目的其它岗位。</w:t>
      </w:r>
    </w:p>
    <w:p w14:paraId="4A32B65F">
      <w:pPr>
        <w:pStyle w:val="37"/>
        <w:ind w:firstLine="480"/>
        <w:rPr>
          <w:rStyle w:val="54"/>
          <w:rFonts w:ascii="宋体" w:hAnsi="宋体" w:cs="宋体"/>
          <w:color w:val="000000" w:themeColor="text1"/>
          <w:highlight w:val="none"/>
          <w14:textFill>
            <w14:solidFill>
              <w14:schemeClr w14:val="tx1"/>
            </w14:solidFill>
          </w14:textFill>
        </w:rPr>
      </w:pPr>
      <w:r>
        <w:rPr>
          <w:rStyle w:val="54"/>
          <w:rFonts w:hint="eastAsia" w:ascii="宋体" w:hAnsi="宋体" w:cs="宋体"/>
          <w:color w:val="000000" w:themeColor="text1"/>
          <w:highlight w:val="none"/>
          <w14:textFill>
            <w14:solidFill>
              <w14:schemeClr w14:val="tx1"/>
            </w14:solidFill>
          </w14:textFill>
        </w:rPr>
        <w:t>在建工程：处于中标结果公告（直接发包的项目以网上合同备案或归集为准）到合同约定的工程全部完成且竣工验收合格期间的工程。竣工验收证明是指由建设单位（或监理）组织工程建设各方验收合格，并签署相应的单位工程质量竣工验收记录或者分部工程质量验收记录等验收文件。本项目招标文件约定行政主管部门、招标投标交易机构信息系统中项目负责人信息处于在建锁定状态的（绿化养护、市政养护项目除外）也认定为在建工程。</w:t>
      </w:r>
    </w:p>
    <w:p w14:paraId="466D0691">
      <w:pPr>
        <w:pStyle w:val="37"/>
        <w:ind w:firstLine="480"/>
        <w:rPr>
          <w:rStyle w:val="54"/>
          <w:rFonts w:ascii="宋体" w:hAnsi="宋体" w:cs="宋体"/>
          <w:color w:val="000000" w:themeColor="text1"/>
          <w:highlight w:val="none"/>
          <w14:textFill>
            <w14:solidFill>
              <w14:schemeClr w14:val="tx1"/>
            </w14:solidFill>
          </w14:textFill>
        </w:rPr>
      </w:pPr>
      <w:r>
        <w:rPr>
          <w:rStyle w:val="54"/>
          <w:rFonts w:hint="eastAsia" w:ascii="宋体" w:hAnsi="宋体" w:cs="宋体"/>
          <w:color w:val="000000" w:themeColor="text1"/>
          <w:highlight w:val="none"/>
          <w14:textFill>
            <w14:solidFill>
              <w14:schemeClr w14:val="tx1"/>
            </w14:solidFill>
          </w14:textFill>
        </w:rPr>
        <w:t>本项目招标文件项目负责人有在养护期内的绿化养护、市政养护项目的，不属于招标公告及文件规定的有在建工程。</w:t>
      </w:r>
    </w:p>
    <w:p w14:paraId="5A0A7D81">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三、获取招标文件</w:t>
      </w:r>
    </w:p>
    <w:p w14:paraId="361A0503">
      <w:pPr>
        <w:widowControl w:val="0"/>
        <w:adjustRightInd w:val="0"/>
        <w:snapToGrid w:val="0"/>
        <w:spacing w:line="360" w:lineRule="auto"/>
        <w:ind w:firstLine="480" w:firstLineChars="200"/>
        <w:rPr>
          <w:rStyle w:val="54"/>
          <w:rFonts w:hint="eastAsia"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时间：自公告之日起至投标截止时间前1日</w:t>
      </w:r>
    </w:p>
    <w:p w14:paraId="49335B5B">
      <w:pPr>
        <w:widowControl w:val="0"/>
        <w:adjustRightInd w:val="0"/>
        <w:snapToGrid w:val="0"/>
        <w:spacing w:line="360" w:lineRule="auto"/>
        <w:ind w:firstLine="480" w:firstLineChars="200"/>
        <w:rPr>
          <w:rStyle w:val="54"/>
          <w:rFonts w:hint="eastAsia"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地点：盐城工业职业技术学院招标采购网</w:t>
      </w:r>
    </w:p>
    <w:p w14:paraId="378F767F">
      <w:pPr>
        <w:widowControl w:val="0"/>
        <w:adjustRightInd w:val="0"/>
        <w:snapToGrid w:val="0"/>
        <w:spacing w:line="360" w:lineRule="auto"/>
        <w:ind w:firstLine="480" w:firstLineChars="200"/>
        <w:rPr>
          <w:rStyle w:val="54"/>
          <w:rFonts w:hint="eastAsia"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方式：符合资格要求的投标人可自行下载采购文件，采购文件见盐城工业职业技术学院招标采购网本公告附件。</w:t>
      </w:r>
    </w:p>
    <w:p w14:paraId="07564B35">
      <w:pPr>
        <w:widowControl w:val="0"/>
        <w:adjustRightInd w:val="0"/>
        <w:snapToGrid w:val="0"/>
        <w:spacing w:line="360" w:lineRule="auto"/>
        <w:ind w:firstLine="480" w:firstLineChars="200"/>
        <w:rPr>
          <w:rStyle w:val="54"/>
          <w:rFonts w:hint="eastAsia"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报名时间及地点：本公告发布后凡具备上述资格条件，并自愿参加本项目投标的投标人应于2024年</w:t>
      </w:r>
      <w:r>
        <w:rPr>
          <w:rStyle w:val="54"/>
          <w:rFonts w:hint="eastAsia" w:ascii="宋体" w:hAnsi="宋体" w:cs="宋体"/>
          <w:color w:val="000000" w:themeColor="text1"/>
          <w:sz w:val="24"/>
          <w:szCs w:val="24"/>
          <w:highlight w:val="none"/>
          <w:lang w:val="en-US" w:eastAsia="zh-CN"/>
          <w14:textFill>
            <w14:solidFill>
              <w14:schemeClr w14:val="tx1"/>
            </w14:solidFill>
          </w14:textFill>
        </w:rPr>
        <w:t>8</w:t>
      </w:r>
      <w:r>
        <w:rPr>
          <w:rStyle w:val="54"/>
          <w:rFonts w:hint="eastAsia" w:ascii="宋体" w:hAnsi="宋体" w:cs="宋体"/>
          <w:color w:val="000000" w:themeColor="text1"/>
          <w:sz w:val="24"/>
          <w:szCs w:val="24"/>
          <w:highlight w:val="none"/>
          <w14:textFill>
            <w14:solidFill>
              <w14:schemeClr w14:val="tx1"/>
            </w14:solidFill>
          </w14:textFill>
        </w:rPr>
        <w:t>月</w:t>
      </w:r>
      <w:r>
        <w:rPr>
          <w:rStyle w:val="54"/>
          <w:rFonts w:hint="eastAsia" w:ascii="宋体" w:hAnsi="宋体" w:cs="宋体"/>
          <w:color w:val="000000" w:themeColor="text1"/>
          <w:sz w:val="24"/>
          <w:szCs w:val="24"/>
          <w:highlight w:val="none"/>
          <w:lang w:val="en-US" w:eastAsia="zh-CN"/>
          <w14:textFill>
            <w14:solidFill>
              <w14:schemeClr w14:val="tx1"/>
            </w14:solidFill>
          </w14:textFill>
        </w:rPr>
        <w:t>8</w:t>
      </w:r>
      <w:r>
        <w:rPr>
          <w:rStyle w:val="54"/>
          <w:rFonts w:hint="eastAsia" w:ascii="宋体" w:hAnsi="宋体" w:cs="宋体"/>
          <w:color w:val="000000" w:themeColor="text1"/>
          <w:sz w:val="24"/>
          <w:szCs w:val="24"/>
          <w:highlight w:val="none"/>
          <w14:textFill>
            <w14:solidFill>
              <w14:schemeClr w14:val="tx1"/>
            </w14:solidFill>
          </w14:textFill>
        </w:rPr>
        <w:t>日至2024年</w:t>
      </w:r>
      <w:r>
        <w:rPr>
          <w:rStyle w:val="54"/>
          <w:rFonts w:hint="eastAsia" w:ascii="宋体" w:hAnsi="宋体" w:cs="宋体"/>
          <w:color w:val="000000" w:themeColor="text1"/>
          <w:sz w:val="24"/>
          <w:szCs w:val="24"/>
          <w:highlight w:val="none"/>
          <w:lang w:val="en-US" w:eastAsia="zh-CN"/>
          <w14:textFill>
            <w14:solidFill>
              <w14:schemeClr w14:val="tx1"/>
            </w14:solidFill>
          </w14:textFill>
        </w:rPr>
        <w:t>8</w:t>
      </w:r>
      <w:r>
        <w:rPr>
          <w:rStyle w:val="54"/>
          <w:rFonts w:hint="eastAsia" w:ascii="宋体" w:hAnsi="宋体" w:cs="宋体"/>
          <w:color w:val="000000" w:themeColor="text1"/>
          <w:sz w:val="24"/>
          <w:szCs w:val="24"/>
          <w:highlight w:val="none"/>
          <w14:textFill>
            <w14:solidFill>
              <w14:schemeClr w14:val="tx1"/>
            </w14:solidFill>
          </w14:textFill>
        </w:rPr>
        <w:t>月</w:t>
      </w:r>
      <w:r>
        <w:rPr>
          <w:rStyle w:val="54"/>
          <w:rFonts w:hint="eastAsia" w:ascii="宋体" w:hAnsi="宋体" w:cs="宋体"/>
          <w:color w:val="000000" w:themeColor="text1"/>
          <w:sz w:val="24"/>
          <w:szCs w:val="24"/>
          <w:highlight w:val="none"/>
          <w:lang w:val="en-US" w:eastAsia="zh-CN"/>
          <w14:textFill>
            <w14:solidFill>
              <w14:schemeClr w14:val="tx1"/>
            </w14:solidFill>
          </w14:textFill>
        </w:rPr>
        <w:t>19</w:t>
      </w:r>
      <w:r>
        <w:rPr>
          <w:rStyle w:val="54"/>
          <w:rFonts w:hint="eastAsia" w:ascii="宋体" w:hAnsi="宋体" w:cs="宋体"/>
          <w:color w:val="000000" w:themeColor="text1"/>
          <w:sz w:val="24"/>
          <w:szCs w:val="24"/>
          <w:highlight w:val="none"/>
          <w14:textFill>
            <w14:solidFill>
              <w14:schemeClr w14:val="tx1"/>
            </w14:solidFill>
          </w14:textFill>
        </w:rPr>
        <w:t>日委派本单位正式人员携带单位介绍信或授权委托书扫描件至</w:t>
      </w:r>
      <w:r>
        <w:rPr>
          <w:rStyle w:val="54"/>
          <w:rFonts w:hint="eastAsia" w:ascii="宋体" w:hAnsi="宋体" w:cs="宋体"/>
          <w:color w:val="000000" w:themeColor="text1"/>
          <w:sz w:val="24"/>
          <w:szCs w:val="24"/>
          <w:highlight w:val="none"/>
          <w:lang w:val="en-US" w:eastAsia="zh-CN"/>
          <w14:textFill>
            <w14:solidFill>
              <w14:schemeClr w14:val="tx1"/>
            </w14:solidFill>
          </w14:textFill>
        </w:rPr>
        <w:t>代理</w:t>
      </w:r>
      <w:r>
        <w:rPr>
          <w:rStyle w:val="54"/>
          <w:rFonts w:hint="eastAsia" w:ascii="宋体" w:hAnsi="宋体" w:cs="宋体"/>
          <w:color w:val="000000" w:themeColor="text1"/>
          <w:sz w:val="24"/>
          <w:szCs w:val="24"/>
          <w:highlight w:val="none"/>
          <w14:textFill>
            <w14:solidFill>
              <w14:schemeClr w14:val="tx1"/>
            </w14:solidFill>
          </w14:textFill>
        </w:rPr>
        <w:t>单位或添加微信（微信号:15605108891）购买招标文件</w:t>
      </w:r>
      <w:r>
        <w:rPr>
          <w:rStyle w:val="54"/>
          <w:rFonts w:hint="eastAsia" w:ascii="宋体" w:hAnsi="宋体" w:cs="宋体"/>
          <w:color w:val="000000" w:themeColor="text1"/>
          <w:sz w:val="24"/>
          <w:szCs w:val="24"/>
          <w:highlight w:val="none"/>
          <w:lang w:val="en-US" w:eastAsia="zh-CN"/>
          <w14:textFill>
            <w14:solidFill>
              <w14:schemeClr w14:val="tx1"/>
            </w14:solidFill>
          </w14:textFill>
        </w:rPr>
        <w:t>并领取图纸</w:t>
      </w:r>
      <w:r>
        <w:rPr>
          <w:rStyle w:val="54"/>
          <w:rFonts w:hint="eastAsia" w:ascii="宋体" w:hAnsi="宋体" w:cs="宋体"/>
          <w:color w:val="000000" w:themeColor="text1"/>
          <w:sz w:val="24"/>
          <w:szCs w:val="24"/>
          <w:highlight w:val="none"/>
          <w14:textFill>
            <w14:solidFill>
              <w14:schemeClr w14:val="tx1"/>
            </w14:solidFill>
          </w14:textFill>
        </w:rPr>
        <w:t>，逾期的不予接收。</w:t>
      </w:r>
    </w:p>
    <w:p w14:paraId="4EB16088">
      <w:pPr>
        <w:widowControl w:val="0"/>
        <w:adjustRightInd w:val="0"/>
        <w:snapToGrid w:val="0"/>
        <w:spacing w:line="360" w:lineRule="auto"/>
        <w:ind w:firstLine="480" w:firstLineChars="200"/>
        <w:rPr>
          <w:rStyle w:val="54"/>
          <w:rFonts w:hint="eastAsia"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售价：人民币500元，售后不退。</w:t>
      </w:r>
    </w:p>
    <w:p w14:paraId="5ADFF42F">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四、提交投标文件截止时间、开标时间和地点</w:t>
      </w:r>
    </w:p>
    <w:p w14:paraId="51901EDA">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时间：2024年</w:t>
      </w:r>
      <w:r>
        <w:rPr>
          <w:rFonts w:hint="eastAsia" w:ascii="宋体" w:hAnsi="宋体"/>
          <w:color w:val="000000" w:themeColor="text1"/>
          <w:sz w:val="24"/>
          <w:szCs w:val="24"/>
          <w:highlight w:val="none"/>
          <w:lang w:val="en-US" w:eastAsia="zh-CN"/>
          <w14:textFill>
            <w14:solidFill>
              <w14:schemeClr w14:val="tx1"/>
            </w14:solidFill>
          </w14:textFill>
        </w:rPr>
        <w:t>8</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lang w:val="en-US" w:eastAsia="zh-CN"/>
          <w14:textFill>
            <w14:solidFill>
              <w14:schemeClr w14:val="tx1"/>
            </w14:solidFill>
          </w14:textFill>
        </w:rPr>
        <w:t>29</w:t>
      </w:r>
      <w:r>
        <w:rPr>
          <w:rFonts w:hint="eastAsia" w:ascii="宋体" w:hAnsi="宋体"/>
          <w:color w:val="000000" w:themeColor="text1"/>
          <w:sz w:val="24"/>
          <w:szCs w:val="24"/>
          <w:highlight w:val="none"/>
          <w14:textFill>
            <w14:solidFill>
              <w14:schemeClr w14:val="tx1"/>
            </w14:solidFill>
          </w14:textFill>
        </w:rPr>
        <w:t>日</w:t>
      </w:r>
      <w:r>
        <w:rPr>
          <w:rFonts w:hint="eastAsia" w:ascii="宋体" w:hAnsi="宋体"/>
          <w:color w:val="000000" w:themeColor="text1"/>
          <w:sz w:val="24"/>
          <w:szCs w:val="24"/>
          <w:highlight w:val="none"/>
          <w:lang w:val="en-US" w:eastAsia="zh-CN"/>
          <w14:textFill>
            <w14:solidFill>
              <w14:schemeClr w14:val="tx1"/>
            </w14:solidFill>
          </w14:textFill>
        </w:rPr>
        <w:t>9</w:t>
      </w:r>
      <w:r>
        <w:rPr>
          <w:rStyle w:val="54"/>
          <w:rFonts w:hint="eastAsia" w:ascii="宋体" w:hAnsi="宋体" w:cs="宋体"/>
          <w:color w:val="000000" w:themeColor="text1"/>
          <w:sz w:val="24"/>
          <w:szCs w:val="24"/>
          <w:highlight w:val="none"/>
          <w14:textFill>
            <w14:solidFill>
              <w14:schemeClr w14:val="tx1"/>
            </w14:solidFill>
          </w14:textFill>
        </w:rPr>
        <w:t>点</w:t>
      </w:r>
      <w:r>
        <w:rPr>
          <w:rStyle w:val="54"/>
          <w:rFonts w:hint="eastAsia" w:ascii="宋体" w:hAnsi="宋体" w:cs="宋体"/>
          <w:color w:val="000000" w:themeColor="text1"/>
          <w:sz w:val="24"/>
          <w:szCs w:val="24"/>
          <w:highlight w:val="none"/>
          <w:lang w:val="en-US" w:eastAsia="zh-CN"/>
          <w14:textFill>
            <w14:solidFill>
              <w14:schemeClr w14:val="tx1"/>
            </w14:solidFill>
          </w14:textFill>
        </w:rPr>
        <w:t>00</w:t>
      </w:r>
      <w:r>
        <w:rPr>
          <w:rStyle w:val="54"/>
          <w:rFonts w:hint="eastAsia" w:ascii="宋体" w:hAnsi="宋体" w:cs="宋体"/>
          <w:color w:val="000000" w:themeColor="text1"/>
          <w:sz w:val="24"/>
          <w:szCs w:val="24"/>
          <w:highlight w:val="none"/>
          <w14:textFill>
            <w14:solidFill>
              <w14:schemeClr w14:val="tx1"/>
            </w14:solidFill>
          </w14:textFill>
        </w:rPr>
        <w:t>分（北京时间）</w:t>
      </w:r>
    </w:p>
    <w:p w14:paraId="39EA83A4">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地点：盐城工业职业技术学院（盐城市解放南路285号）南食堂四楼402开标室。</w:t>
      </w:r>
    </w:p>
    <w:p w14:paraId="65C71393">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五、公告期限</w:t>
      </w:r>
    </w:p>
    <w:p w14:paraId="5EA524C4">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自本公告发布之日起5个工作日。</w:t>
      </w:r>
    </w:p>
    <w:p w14:paraId="37A606A1">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六、其他补充事宜</w:t>
      </w:r>
    </w:p>
    <w:p w14:paraId="389ABB33">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1.投标文件制作份数要求：正本份数：1份，副本份数：4份。</w:t>
      </w:r>
    </w:p>
    <w:p w14:paraId="7ACF9AF3">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2.根据江苏省财政厅及盐财购〔2020〕11号文件关于取消政府采购投标保证金的规定，本采购项目投标人无需在投标截止时间之前交纳（提交）投标保证金。</w:t>
      </w:r>
    </w:p>
    <w:p w14:paraId="23C12064">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3.对项目需求部分的询问、质疑请向使用部门提出，询问、质疑由项目联系人负责答复。</w:t>
      </w:r>
    </w:p>
    <w:p w14:paraId="2BFAD8E7">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七、对本次招标提出询问，请按以下方式联系。</w:t>
      </w:r>
    </w:p>
    <w:p w14:paraId="6CC27FD5">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1.采购人信息</w:t>
      </w:r>
    </w:p>
    <w:p w14:paraId="65621352">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名称：盐城工业职业技术学院</w:t>
      </w:r>
    </w:p>
    <w:p w14:paraId="64460C78">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地址：盐城市解放南路285号</w:t>
      </w:r>
    </w:p>
    <w:p w14:paraId="125AB2AB">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 xml:space="preserve">联系人：赵老师             </w:t>
      </w:r>
    </w:p>
    <w:p w14:paraId="28C10FE0">
      <w:pPr>
        <w:widowControl w:val="0"/>
        <w:adjustRightInd w:val="0"/>
        <w:snapToGrid w:val="0"/>
        <w:spacing w:line="360" w:lineRule="auto"/>
        <w:ind w:firstLine="480" w:firstLineChars="200"/>
        <w:rPr>
          <w:rStyle w:val="54"/>
          <w:rFonts w:hint="default" w:ascii="宋体" w:hAnsi="宋体" w:eastAsia="宋体" w:cs="宋体"/>
          <w:color w:val="000000" w:themeColor="text1"/>
          <w:sz w:val="24"/>
          <w:szCs w:val="24"/>
          <w:highlight w:val="none"/>
          <w:lang w:val="en-US" w:eastAsia="zh-CN"/>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联系电话：0515-8858</w:t>
      </w:r>
      <w:r>
        <w:rPr>
          <w:rStyle w:val="54"/>
          <w:rFonts w:hint="eastAsia" w:ascii="宋体" w:hAnsi="宋体" w:cs="宋体"/>
          <w:color w:val="000000" w:themeColor="text1"/>
          <w:sz w:val="24"/>
          <w:szCs w:val="24"/>
          <w:highlight w:val="none"/>
          <w:lang w:val="en-US" w:eastAsia="zh-CN"/>
          <w14:textFill>
            <w14:solidFill>
              <w14:schemeClr w14:val="tx1"/>
            </w14:solidFill>
          </w14:textFill>
        </w:rPr>
        <w:t>0406</w:t>
      </w:r>
    </w:p>
    <w:p w14:paraId="321B522C">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2.采购代理机构信息</w:t>
      </w:r>
    </w:p>
    <w:p w14:paraId="565EBA88">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名称：江苏建博工程管理咨询有限公司</w:t>
      </w:r>
    </w:p>
    <w:p w14:paraId="47FE6C71">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地址：盐城市世纪大道619号金太阳装饰城B座六楼</w:t>
      </w:r>
    </w:p>
    <w:p w14:paraId="7471EBE3">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 xml:space="preserve">联系人：孙女士              </w:t>
      </w:r>
    </w:p>
    <w:p w14:paraId="38EE9737">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联系电话：15605108891</w:t>
      </w:r>
    </w:p>
    <w:p w14:paraId="736508FC">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3.项目联系方式</w:t>
      </w:r>
    </w:p>
    <w:p w14:paraId="3663C37F">
      <w:pPr>
        <w:widowControl w:val="0"/>
        <w:adjustRightInd w:val="0"/>
        <w:snapToGrid w:val="0"/>
        <w:spacing w:line="360" w:lineRule="auto"/>
        <w:ind w:firstLine="480" w:firstLineChars="200"/>
        <w:rPr>
          <w:rStyle w:val="54"/>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项目联系人：</w:t>
      </w:r>
      <w:r>
        <w:rPr>
          <w:rFonts w:hint="eastAsia" w:ascii="宋体" w:hAnsi="宋体" w:cs="宋体"/>
          <w:color w:val="000000" w:themeColor="text1"/>
          <w:sz w:val="24"/>
          <w:highlight w:val="none"/>
          <w:lang w:val="en-US" w:eastAsia="zh-CN"/>
          <w14:textFill>
            <w14:solidFill>
              <w14:schemeClr w14:val="tx1"/>
            </w14:solidFill>
          </w14:textFill>
        </w:rPr>
        <w:t>贲老师、惠老师、祁老师</w:t>
      </w:r>
    </w:p>
    <w:p w14:paraId="2B38DD22">
      <w:pPr>
        <w:widowControl w:val="0"/>
        <w:adjustRightInd w:val="0"/>
        <w:snapToGrid w:val="0"/>
        <w:spacing w:line="360" w:lineRule="auto"/>
        <w:ind w:firstLine="480" w:firstLineChars="200"/>
        <w:rPr>
          <w:rStyle w:val="54"/>
          <w:rFonts w:hint="eastAsia"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联系电话：</w:t>
      </w:r>
      <w:r>
        <w:rPr>
          <w:rFonts w:hint="eastAsia" w:ascii="宋体" w:hAnsi="宋体" w:cs="宋体"/>
          <w:color w:val="000000" w:themeColor="text1"/>
          <w:sz w:val="24"/>
          <w:highlight w:val="none"/>
          <w:lang w:val="en-US" w:eastAsia="zh-CN"/>
          <w14:textFill>
            <w14:solidFill>
              <w14:schemeClr w14:val="tx1"/>
            </w14:solidFill>
          </w14:textFill>
        </w:rPr>
        <w:t>15995181608</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18361096367、</w:t>
      </w:r>
      <w:r>
        <w:rPr>
          <w:rFonts w:hint="eastAsia" w:ascii="宋体" w:hAnsi="宋体" w:eastAsia="宋体" w:cs="宋体"/>
          <w:color w:val="000000" w:themeColor="text1"/>
          <w:sz w:val="24"/>
          <w:highlight w:val="none"/>
          <w:lang w:val="en-US" w:eastAsia="zh-CN"/>
          <w14:textFill>
            <w14:solidFill>
              <w14:schemeClr w14:val="tx1"/>
            </w14:solidFill>
          </w14:textFill>
        </w:rPr>
        <w:t>15895184433</w:t>
      </w:r>
    </w:p>
    <w:p w14:paraId="784AA96D">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p>
    <w:p w14:paraId="4A2F463E">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p>
    <w:p w14:paraId="175AA4C0">
      <w:pPr>
        <w:pStyle w:val="13"/>
        <w:ind w:left="1470" w:right="1470"/>
        <w:rPr>
          <w:rStyle w:val="54"/>
          <w:rFonts w:ascii="宋体" w:hAnsi="宋体" w:cs="宋体"/>
          <w:color w:val="000000" w:themeColor="text1"/>
          <w:sz w:val="24"/>
          <w:szCs w:val="24"/>
          <w:highlight w:val="none"/>
          <w14:textFill>
            <w14:solidFill>
              <w14:schemeClr w14:val="tx1"/>
            </w14:solidFill>
          </w14:textFill>
        </w:rPr>
      </w:pPr>
    </w:p>
    <w:p w14:paraId="0810E346">
      <w:pPr>
        <w:pStyle w:val="13"/>
        <w:ind w:left="1470" w:right="1470"/>
        <w:rPr>
          <w:rStyle w:val="54"/>
          <w:rFonts w:ascii="宋体" w:hAnsi="宋体" w:cs="宋体"/>
          <w:color w:val="000000" w:themeColor="text1"/>
          <w:sz w:val="24"/>
          <w:szCs w:val="24"/>
          <w:highlight w:val="none"/>
          <w14:textFill>
            <w14:solidFill>
              <w14:schemeClr w14:val="tx1"/>
            </w14:solidFill>
          </w14:textFill>
        </w:rPr>
      </w:pPr>
    </w:p>
    <w:p w14:paraId="412091C9">
      <w:pPr>
        <w:pStyle w:val="13"/>
        <w:ind w:left="1470" w:right="1470"/>
        <w:rPr>
          <w:rStyle w:val="54"/>
          <w:rFonts w:ascii="宋体" w:hAnsi="宋体" w:cs="宋体"/>
          <w:color w:val="000000" w:themeColor="text1"/>
          <w:sz w:val="24"/>
          <w:szCs w:val="24"/>
          <w:highlight w:val="none"/>
          <w14:textFill>
            <w14:solidFill>
              <w14:schemeClr w14:val="tx1"/>
            </w14:solidFill>
          </w14:textFill>
        </w:rPr>
      </w:pPr>
    </w:p>
    <w:p w14:paraId="172912D9">
      <w:pPr>
        <w:pStyle w:val="13"/>
        <w:ind w:left="1470" w:right="1470"/>
        <w:rPr>
          <w:rStyle w:val="54"/>
          <w:rFonts w:ascii="宋体" w:hAnsi="宋体" w:cs="宋体"/>
          <w:color w:val="000000" w:themeColor="text1"/>
          <w:sz w:val="24"/>
          <w:szCs w:val="24"/>
          <w:highlight w:val="none"/>
          <w14:textFill>
            <w14:solidFill>
              <w14:schemeClr w14:val="tx1"/>
            </w14:solidFill>
          </w14:textFill>
        </w:rPr>
      </w:pPr>
    </w:p>
    <w:p w14:paraId="3FD27DEC">
      <w:pPr>
        <w:pStyle w:val="13"/>
        <w:ind w:left="1470" w:right="1470"/>
        <w:rPr>
          <w:rStyle w:val="54"/>
          <w:rFonts w:ascii="宋体" w:hAnsi="宋体" w:cs="宋体"/>
          <w:color w:val="000000" w:themeColor="text1"/>
          <w:sz w:val="24"/>
          <w:szCs w:val="24"/>
          <w:highlight w:val="none"/>
          <w14:textFill>
            <w14:solidFill>
              <w14:schemeClr w14:val="tx1"/>
            </w14:solidFill>
          </w14:textFill>
        </w:rPr>
      </w:pPr>
    </w:p>
    <w:p w14:paraId="0FDBF20B">
      <w:pPr>
        <w:pStyle w:val="13"/>
        <w:ind w:left="1470" w:right="1470"/>
        <w:rPr>
          <w:rStyle w:val="54"/>
          <w:rFonts w:ascii="宋体" w:hAnsi="宋体" w:cs="宋体"/>
          <w:color w:val="000000" w:themeColor="text1"/>
          <w:sz w:val="24"/>
          <w:szCs w:val="24"/>
          <w:highlight w:val="none"/>
          <w14:textFill>
            <w14:solidFill>
              <w14:schemeClr w14:val="tx1"/>
            </w14:solidFill>
          </w14:textFill>
        </w:rPr>
      </w:pPr>
    </w:p>
    <w:p w14:paraId="3F0C5A44">
      <w:pPr>
        <w:pStyle w:val="13"/>
        <w:ind w:left="1470" w:right="1470"/>
        <w:rPr>
          <w:rStyle w:val="54"/>
          <w:rFonts w:ascii="宋体" w:hAnsi="宋体" w:cs="宋体"/>
          <w:color w:val="000000" w:themeColor="text1"/>
          <w:sz w:val="24"/>
          <w:szCs w:val="24"/>
          <w:highlight w:val="none"/>
          <w14:textFill>
            <w14:solidFill>
              <w14:schemeClr w14:val="tx1"/>
            </w14:solidFill>
          </w14:textFill>
        </w:rPr>
      </w:pPr>
    </w:p>
    <w:p w14:paraId="17FC003A">
      <w:pPr>
        <w:pStyle w:val="13"/>
        <w:ind w:left="1470" w:right="1470"/>
        <w:rPr>
          <w:rStyle w:val="54"/>
          <w:rFonts w:ascii="宋体" w:hAnsi="宋体" w:cs="宋体"/>
          <w:color w:val="000000" w:themeColor="text1"/>
          <w:sz w:val="24"/>
          <w:szCs w:val="24"/>
          <w:highlight w:val="none"/>
          <w14:textFill>
            <w14:solidFill>
              <w14:schemeClr w14:val="tx1"/>
            </w14:solidFill>
          </w14:textFill>
        </w:rPr>
      </w:pPr>
    </w:p>
    <w:p w14:paraId="6E674CB7">
      <w:pPr>
        <w:pStyle w:val="13"/>
        <w:ind w:left="1470" w:right="1470"/>
        <w:rPr>
          <w:rStyle w:val="54"/>
          <w:rFonts w:ascii="宋体" w:hAnsi="宋体" w:cs="宋体"/>
          <w:color w:val="000000" w:themeColor="text1"/>
          <w:sz w:val="24"/>
          <w:szCs w:val="24"/>
          <w:highlight w:val="none"/>
          <w14:textFill>
            <w14:solidFill>
              <w14:schemeClr w14:val="tx1"/>
            </w14:solidFill>
          </w14:textFill>
        </w:rPr>
      </w:pPr>
    </w:p>
    <w:p w14:paraId="39403D09">
      <w:pPr>
        <w:rPr>
          <w:rStyle w:val="54"/>
          <w:rFonts w:ascii="宋体" w:hAnsi="宋体" w:cs="宋体"/>
          <w:color w:val="000000" w:themeColor="text1"/>
          <w:highlight w:val="none"/>
          <w14:textFill>
            <w14:solidFill>
              <w14:schemeClr w14:val="tx1"/>
            </w14:solidFill>
          </w14:textFill>
        </w:rPr>
      </w:pPr>
      <w:bookmarkStart w:id="1" w:name="_Toc21663"/>
      <w:r>
        <w:rPr>
          <w:rStyle w:val="54"/>
          <w:rFonts w:hint="eastAsia" w:ascii="宋体" w:hAnsi="宋体" w:cs="宋体"/>
          <w:color w:val="000000" w:themeColor="text1"/>
          <w:highlight w:val="none"/>
          <w14:textFill>
            <w14:solidFill>
              <w14:schemeClr w14:val="tx1"/>
            </w14:solidFill>
          </w14:textFill>
        </w:rPr>
        <w:br w:type="page"/>
      </w:r>
    </w:p>
    <w:p w14:paraId="3876BB4B">
      <w:pPr>
        <w:pStyle w:val="45"/>
        <w:spacing w:before="0" w:after="0" w:line="240" w:lineRule="auto"/>
        <w:outlineLvl w:val="0"/>
        <w:rPr>
          <w:rStyle w:val="54"/>
          <w:rFonts w:ascii="宋体" w:hAnsi="宋体" w:eastAsia="宋体" w:cs="宋体"/>
          <w:b w:val="0"/>
          <w:bCs w:val="0"/>
          <w:color w:val="000000" w:themeColor="text1"/>
          <w:highlight w:val="none"/>
          <w14:textFill>
            <w14:solidFill>
              <w14:schemeClr w14:val="tx1"/>
            </w14:solidFill>
          </w14:textFill>
        </w:rPr>
      </w:pPr>
      <w:r>
        <w:rPr>
          <w:rStyle w:val="54"/>
          <w:rFonts w:hint="eastAsia" w:ascii="宋体" w:hAnsi="宋体" w:eastAsia="宋体" w:cs="宋体"/>
          <w:color w:val="000000" w:themeColor="text1"/>
          <w:highlight w:val="none"/>
          <w14:textFill>
            <w14:solidFill>
              <w14:schemeClr w14:val="tx1"/>
            </w14:solidFill>
          </w14:textFill>
        </w:rPr>
        <w:t>第二章  投标人须知</w:t>
      </w:r>
      <w:bookmarkEnd w:id="1"/>
    </w:p>
    <w:p w14:paraId="21083E14">
      <w:pPr>
        <w:pStyle w:val="47"/>
        <w:snapToGrid w:val="0"/>
        <w:spacing w:before="0" w:after="0" w:line="360" w:lineRule="auto"/>
        <w:ind w:firstLine="482"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一、总则</w:t>
      </w:r>
    </w:p>
    <w:p w14:paraId="1C09FCBF">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1、招标方式</w:t>
      </w:r>
    </w:p>
    <w:p w14:paraId="34D23BDA">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1.1 本次招标采取公开招标方式，本招标文件仅适用于招标公告中所述项目。</w:t>
      </w:r>
    </w:p>
    <w:p w14:paraId="36FFC0DC">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2、合格的投标人</w:t>
      </w:r>
    </w:p>
    <w:p w14:paraId="788BDED5">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2.1满足招标公告中供应商的资格要求的规定。</w:t>
      </w:r>
    </w:p>
    <w:p w14:paraId="5A79BB17">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2.2 满足本文件实质性条款的规定。</w:t>
      </w:r>
    </w:p>
    <w:p w14:paraId="297F5A02">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3、适用法律</w:t>
      </w:r>
    </w:p>
    <w:p w14:paraId="4E216896">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3.1 本次招标及由此产生的合同受中华人民共和国有关的法律法规制约和保护。</w:t>
      </w:r>
    </w:p>
    <w:p w14:paraId="427FBE71">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4、投标费用</w:t>
      </w:r>
    </w:p>
    <w:p w14:paraId="1E721551">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4.1 投标人应自行承担所有与参加投标有关的费用，无论投标过程中的做法和结果如何，采购人及采购代理机构在任何情况下均无义务和责任承担这些费用。</w:t>
      </w:r>
    </w:p>
    <w:p w14:paraId="3E17D8C0">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4.2本项目中标人与采购人签订合同前领取中标通知书时须向采购代理机构支付招标代理服务费，本项目代理服务费按苏招协〔2022﹞002号规定的收费标准的30%收取；上述费用由各投标人在投标时自行综合考虑分摊含进投标报价中，且不得单列，采购人不再承担上述费用。</w:t>
      </w:r>
    </w:p>
    <w:p w14:paraId="3A762ECC">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5、招标文件的约束力</w:t>
      </w:r>
    </w:p>
    <w:p w14:paraId="24D35F4B">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5.1</w:t>
      </w:r>
      <w:r>
        <w:rPr>
          <w:rStyle w:val="54"/>
          <w:rFonts w:hint="eastAsia" w:ascii="宋体" w:hAnsi="宋体" w:cs="宋体"/>
          <w:color w:val="000000" w:themeColor="text1"/>
          <w:sz w:val="24"/>
          <w:szCs w:val="24"/>
          <w:highlight w:val="none"/>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14:paraId="6D038FA1">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6、招标文件的解释</w:t>
      </w:r>
    </w:p>
    <w:p w14:paraId="046D67F6">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6.1 本招标文件由采购人或采购代理机构负责解释。</w:t>
      </w:r>
    </w:p>
    <w:p w14:paraId="25072B0B">
      <w:pPr>
        <w:pStyle w:val="47"/>
        <w:snapToGrid w:val="0"/>
        <w:spacing w:before="0" w:after="0" w:line="360" w:lineRule="auto"/>
        <w:ind w:firstLine="482"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二、招标文件</w:t>
      </w:r>
    </w:p>
    <w:p w14:paraId="5C4A151B">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7、招标文件构成</w:t>
      </w:r>
    </w:p>
    <w:p w14:paraId="079D3C4A">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7.1</w:t>
      </w:r>
      <w:r>
        <w:rPr>
          <w:rStyle w:val="54"/>
          <w:rFonts w:hint="eastAsia" w:ascii="宋体" w:hAnsi="宋体" w:cs="宋体"/>
          <w:color w:val="000000" w:themeColor="text1"/>
          <w:sz w:val="24"/>
          <w:szCs w:val="24"/>
          <w:highlight w:val="none"/>
          <w14:textFill>
            <w14:solidFill>
              <w14:schemeClr w14:val="tx1"/>
            </w14:solidFill>
          </w14:textFill>
        </w:rPr>
        <w:t xml:space="preserve"> 招标文件有以下部分组成：</w:t>
      </w:r>
    </w:p>
    <w:p w14:paraId="7EEAC820">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（1）招标公告</w:t>
      </w:r>
    </w:p>
    <w:p w14:paraId="3A68357E">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（2）投标人须知</w:t>
      </w:r>
    </w:p>
    <w:p w14:paraId="1045861B">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（3）合同条款及格式</w:t>
      </w:r>
    </w:p>
    <w:p w14:paraId="1DBE781D">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（4）项目需求</w:t>
      </w:r>
    </w:p>
    <w:p w14:paraId="3747AC04">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（5）评标方法与评标标准</w:t>
      </w:r>
    </w:p>
    <w:p w14:paraId="7713F5F8">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（6）投标文件格式</w:t>
      </w:r>
    </w:p>
    <w:p w14:paraId="1854F8B7">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请仔细检查招标文件是否齐全，如有缺漏请立即与采购人或采购代理机构联系解决。</w:t>
      </w:r>
    </w:p>
    <w:p w14:paraId="4A7E8A80">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7.2</w:t>
      </w:r>
      <w:r>
        <w:rPr>
          <w:rStyle w:val="54"/>
          <w:rFonts w:hint="eastAsia" w:ascii="宋体" w:hAnsi="宋体" w:cs="宋体"/>
          <w:color w:val="000000" w:themeColor="text1"/>
          <w:sz w:val="24"/>
          <w:szCs w:val="24"/>
          <w:highlight w:val="none"/>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0AAA550">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8、招标文件的询问</w:t>
      </w:r>
    </w:p>
    <w:p w14:paraId="6A18DCE4">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8.1</w:t>
      </w:r>
      <w:r>
        <w:rPr>
          <w:rStyle w:val="54"/>
          <w:rFonts w:hint="eastAsia" w:ascii="宋体" w:hAnsi="宋体" w:cs="宋体"/>
          <w:color w:val="000000" w:themeColor="text1"/>
          <w:sz w:val="24"/>
          <w:szCs w:val="24"/>
          <w:highlight w:val="none"/>
          <w14:textFill>
            <w14:solidFill>
              <w14:schemeClr w14:val="tx1"/>
            </w14:solidFill>
          </w14:textFill>
        </w:rPr>
        <w:t xml:space="preserve"> 任何要求对招标文件进行询问的投标人，应在投标截止日期</w:t>
      </w:r>
      <w:r>
        <w:rPr>
          <w:rStyle w:val="54"/>
          <w:rFonts w:hint="eastAsia" w:ascii="宋体" w:hAnsi="宋体" w:cs="宋体"/>
          <w:b/>
          <w:color w:val="000000" w:themeColor="text1"/>
          <w:sz w:val="24"/>
          <w:szCs w:val="24"/>
          <w:highlight w:val="none"/>
          <w14:textFill>
            <w14:solidFill>
              <w14:schemeClr w14:val="tx1"/>
            </w14:solidFill>
          </w14:textFill>
        </w:rPr>
        <w:t>十日</w:t>
      </w:r>
      <w:r>
        <w:rPr>
          <w:rStyle w:val="54"/>
          <w:rFonts w:hint="eastAsia" w:ascii="宋体" w:hAnsi="宋体" w:cs="宋体"/>
          <w:color w:val="000000" w:themeColor="text1"/>
          <w:sz w:val="24"/>
          <w:szCs w:val="24"/>
          <w:highlight w:val="none"/>
          <w14:textFill>
            <w14:solidFill>
              <w14:schemeClr w14:val="tx1"/>
            </w14:solidFill>
          </w14:textFill>
        </w:rPr>
        <w:t>前按招标公告中的通讯地址，向采购人或采购代理机构提出。</w:t>
      </w:r>
    </w:p>
    <w:p w14:paraId="226146A7">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9、招标文件的修改</w:t>
      </w:r>
    </w:p>
    <w:p w14:paraId="1B772298">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9.1</w:t>
      </w:r>
      <w:r>
        <w:rPr>
          <w:rStyle w:val="54"/>
          <w:rFonts w:hint="eastAsia" w:ascii="宋体" w:hAnsi="宋体" w:cs="宋体"/>
          <w:color w:val="000000" w:themeColor="text1"/>
          <w:sz w:val="24"/>
          <w:szCs w:val="24"/>
          <w:highlight w:val="none"/>
          <w14:textFill>
            <w14:solidFill>
              <w14:schemeClr w14:val="tx1"/>
            </w14:solidFill>
          </w14:textFill>
        </w:rPr>
        <w:t xml:space="preserve"> 在投标截止时间前，采购人或采购代理机构可以对招标文件进行修改。</w:t>
      </w:r>
    </w:p>
    <w:p w14:paraId="08DFFA3E">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9.2</w:t>
      </w:r>
      <w:r>
        <w:rPr>
          <w:rStyle w:val="54"/>
          <w:rFonts w:hint="eastAsia" w:ascii="宋体" w:hAnsi="宋体" w:cs="宋体"/>
          <w:color w:val="000000" w:themeColor="text1"/>
          <w:sz w:val="24"/>
          <w:szCs w:val="24"/>
          <w:highlight w:val="none"/>
          <w14:textFill>
            <w14:solidFill>
              <w14:schemeClr w14:val="tx1"/>
            </w14:solidFill>
          </w14:textFill>
        </w:rPr>
        <w:t>采购人或采购代理机构有权依法推迟投标截止日期和开标日期。</w:t>
      </w:r>
    </w:p>
    <w:p w14:paraId="72E12BE4">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9.3</w:t>
      </w:r>
      <w:r>
        <w:rPr>
          <w:rStyle w:val="54"/>
          <w:rFonts w:hint="eastAsia" w:ascii="宋体" w:hAnsi="宋体" w:cs="宋体"/>
          <w:color w:val="000000" w:themeColor="text1"/>
          <w:sz w:val="24"/>
          <w:szCs w:val="24"/>
          <w:highlight w:val="none"/>
          <w14:textFill>
            <w14:solidFill>
              <w14:schemeClr w14:val="tx1"/>
            </w14:solidFill>
          </w14:textFill>
        </w:rPr>
        <w:t>招标文件的修改将在“</w:t>
      </w:r>
      <w:r>
        <w:rPr>
          <w:rStyle w:val="54"/>
          <w:rFonts w:hint="eastAsia" w:ascii="宋体" w:hAnsi="宋体" w:cs="宋体"/>
          <w:color w:val="000000" w:themeColor="text1"/>
          <w:sz w:val="24"/>
          <w:szCs w:val="24"/>
          <w:highlight w:val="none"/>
          <w:lang w:eastAsia="zh-CN"/>
          <w14:textFill>
            <w14:solidFill>
              <w14:schemeClr w14:val="tx1"/>
            </w14:solidFill>
          </w14:textFill>
        </w:rPr>
        <w:t>盐城工业职业技术学院招标采购网</w:t>
      </w:r>
      <w:r>
        <w:rPr>
          <w:rStyle w:val="54"/>
          <w:rFonts w:hint="eastAsia" w:ascii="宋体" w:hAnsi="宋体" w:cs="宋体"/>
          <w:color w:val="000000" w:themeColor="text1"/>
          <w:sz w:val="24"/>
          <w:szCs w:val="24"/>
          <w:highlight w:val="none"/>
          <w14:textFill>
            <w14:solidFill>
              <w14:schemeClr w14:val="tx1"/>
            </w14:solidFill>
          </w14:textFill>
        </w:rPr>
        <w:t>”公布，补充文件将作为招标文件的组成部分，并对投标人具有约束力。</w:t>
      </w:r>
    </w:p>
    <w:p w14:paraId="0DD376D1">
      <w:pPr>
        <w:pStyle w:val="47"/>
        <w:snapToGrid w:val="0"/>
        <w:spacing w:before="0" w:after="0" w:line="360" w:lineRule="auto"/>
        <w:ind w:firstLine="482"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三、投标文件的编制</w:t>
      </w:r>
    </w:p>
    <w:p w14:paraId="2F2CA70C">
      <w:pPr>
        <w:pStyle w:val="48"/>
        <w:snapToGrid w:val="0"/>
        <w:spacing w:before="0" w:after="0"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10、投标文件的语言及度量衡单位</w:t>
      </w:r>
    </w:p>
    <w:p w14:paraId="5A51B3EA">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10.1</w:t>
      </w:r>
      <w:r>
        <w:rPr>
          <w:rStyle w:val="54"/>
          <w:rFonts w:hint="eastAsia" w:ascii="宋体" w:hAnsi="宋体" w:cs="宋体"/>
          <w:color w:val="000000" w:themeColor="text1"/>
          <w:sz w:val="24"/>
          <w:szCs w:val="24"/>
          <w:highlight w:val="none"/>
          <w14:textFill>
            <w14:solidFill>
              <w14:schemeClr w14:val="tx1"/>
            </w14:solidFill>
          </w14:textFill>
        </w:rPr>
        <w:t xml:space="preserve"> 投标人提交的投标文件以及投标人与采购人或采购代理机构就有关投标的所有来往通知、函件和文件均应使用</w:t>
      </w:r>
      <w:r>
        <w:rPr>
          <w:rStyle w:val="54"/>
          <w:rFonts w:hint="eastAsia" w:ascii="宋体" w:hAnsi="宋体" w:cs="宋体"/>
          <w:b/>
          <w:bCs/>
          <w:color w:val="000000" w:themeColor="text1"/>
          <w:sz w:val="24"/>
          <w:szCs w:val="24"/>
          <w:highlight w:val="none"/>
          <w14:textFill>
            <w14:solidFill>
              <w14:schemeClr w14:val="tx1"/>
            </w14:solidFill>
          </w14:textFill>
        </w:rPr>
        <w:t>简体中文</w:t>
      </w:r>
      <w:r>
        <w:rPr>
          <w:rStyle w:val="54"/>
          <w:rFonts w:hint="eastAsia" w:ascii="宋体" w:hAnsi="宋体" w:cs="宋体"/>
          <w:color w:val="000000" w:themeColor="text1"/>
          <w:sz w:val="24"/>
          <w:szCs w:val="24"/>
          <w:highlight w:val="none"/>
          <w14:textFill>
            <w14:solidFill>
              <w14:schemeClr w14:val="tx1"/>
            </w14:solidFill>
          </w14:textFill>
        </w:rPr>
        <w:t>。</w:t>
      </w:r>
    </w:p>
    <w:p w14:paraId="65BB4B77">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10.2 除技术性能另有规定外，投标文件所使用的度量衡单位，均须采用国家法定计量单位。</w:t>
      </w:r>
    </w:p>
    <w:p w14:paraId="0860E9FB">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11、投标文件构成</w:t>
      </w:r>
    </w:p>
    <w:p w14:paraId="2A2CB2AD">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11.1投标文件分为一号标书、二号标书，其中：</w:t>
      </w:r>
    </w:p>
    <w:p w14:paraId="22D4F8F0">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11.1.1 一号标书的组成至少应包括：</w:t>
      </w:r>
    </w:p>
    <w:p w14:paraId="42A20233">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（1）一号标书封面；（格式附后）</w:t>
      </w:r>
    </w:p>
    <w:p w14:paraId="70CE578C">
      <w:pPr>
        <w:snapToGrid w:val="0"/>
        <w:spacing w:line="360" w:lineRule="auto"/>
        <w:ind w:firstLine="420" w:firstLineChars="200"/>
        <w:rPr>
          <w:rStyle w:val="54"/>
          <w:rFonts w:ascii="宋体" w:hAnsi="宋体" w:cs="宋体"/>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"_Toc74993343" </w:instrText>
      </w:r>
      <w:r>
        <w:rPr>
          <w:color w:val="000000" w:themeColor="text1"/>
          <w:highlight w:val="none"/>
          <w14:textFill>
            <w14:solidFill>
              <w14:schemeClr w14:val="tx1"/>
            </w14:solidFill>
          </w14:textFill>
        </w:rPr>
        <w:fldChar w:fldCharType="separate"/>
      </w:r>
      <w:r>
        <w:rPr>
          <w:rStyle w:val="54"/>
          <w:rFonts w:hint="eastAsia" w:ascii="宋体" w:hAnsi="宋体" w:cs="宋体"/>
          <w:bCs/>
          <w:color w:val="000000" w:themeColor="text1"/>
          <w:sz w:val="24"/>
          <w:szCs w:val="24"/>
          <w:highlight w:val="none"/>
          <w14:textFill>
            <w14:solidFill>
              <w14:schemeClr w14:val="tx1"/>
            </w14:solidFill>
          </w14:textFill>
        </w:rPr>
        <w:t>（2）评分索引表；（格式附后）</w:t>
      </w:r>
      <w:r>
        <w:rPr>
          <w:rStyle w:val="54"/>
          <w:rFonts w:hint="eastAsia" w:ascii="宋体" w:hAnsi="宋体" w:cs="宋体"/>
          <w:bCs/>
          <w:color w:val="000000" w:themeColor="text1"/>
          <w:sz w:val="24"/>
          <w:szCs w:val="24"/>
          <w:highlight w:val="none"/>
          <w14:textFill>
            <w14:solidFill>
              <w14:schemeClr w14:val="tx1"/>
            </w14:solidFill>
          </w14:textFill>
        </w:rPr>
        <w:fldChar w:fldCharType="end"/>
      </w:r>
    </w:p>
    <w:p w14:paraId="2D4C90A7">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（3）投标函；（格式附后）</w:t>
      </w:r>
    </w:p>
    <w:p w14:paraId="796E6DC7">
      <w:pPr>
        <w:snapToGrid w:val="0"/>
        <w:spacing w:line="360" w:lineRule="auto"/>
        <w:ind w:firstLine="420" w:firstLineChars="200"/>
        <w:rPr>
          <w:rStyle w:val="54"/>
          <w:rFonts w:ascii="宋体" w:hAnsi="宋体" w:cs="宋体"/>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"_Toc74993344" </w:instrText>
      </w:r>
      <w:r>
        <w:rPr>
          <w:color w:val="000000" w:themeColor="text1"/>
          <w:highlight w:val="none"/>
          <w14:textFill>
            <w14:solidFill>
              <w14:schemeClr w14:val="tx1"/>
            </w14:solidFill>
          </w14:textFill>
        </w:rPr>
        <w:fldChar w:fldCharType="separate"/>
      </w:r>
      <w:r>
        <w:rPr>
          <w:rStyle w:val="54"/>
          <w:rFonts w:hint="eastAsia" w:ascii="宋体" w:hAnsi="宋体" w:cs="宋体"/>
          <w:bCs/>
          <w:color w:val="000000" w:themeColor="text1"/>
          <w:sz w:val="24"/>
          <w:szCs w:val="24"/>
          <w:highlight w:val="none"/>
          <w14:textFill>
            <w14:solidFill>
              <w14:schemeClr w14:val="tx1"/>
            </w14:solidFill>
          </w14:textFill>
        </w:rPr>
        <w:t>（4）开标一览表；（格式附后）</w:t>
      </w:r>
      <w:r>
        <w:rPr>
          <w:rStyle w:val="54"/>
          <w:rFonts w:hint="eastAsia" w:ascii="宋体" w:hAnsi="宋体" w:cs="宋体"/>
          <w:bCs/>
          <w:color w:val="000000" w:themeColor="text1"/>
          <w:sz w:val="24"/>
          <w:szCs w:val="24"/>
          <w:highlight w:val="none"/>
          <w14:textFill>
            <w14:solidFill>
              <w14:schemeClr w14:val="tx1"/>
            </w14:solidFill>
          </w14:textFill>
        </w:rPr>
        <w:fldChar w:fldCharType="end"/>
      </w:r>
    </w:p>
    <w:p w14:paraId="592A17CD">
      <w:pPr>
        <w:snapToGrid w:val="0"/>
        <w:spacing w:line="360" w:lineRule="auto"/>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（5）工程量清单计价成果文件（投标报价明细表）</w:t>
      </w:r>
    </w:p>
    <w:p w14:paraId="318621EA">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（6）资格性审查响应对照表（</w:t>
      </w:r>
      <w:r>
        <w:rPr>
          <w:rStyle w:val="54"/>
          <w:rFonts w:hint="eastAsia" w:ascii="宋体" w:hAnsi="宋体" w:cs="宋体"/>
          <w:bCs/>
          <w:color w:val="000000" w:themeColor="text1"/>
          <w:sz w:val="24"/>
          <w:szCs w:val="24"/>
          <w:highlight w:val="none"/>
          <w14:textFill>
            <w14:solidFill>
              <w14:schemeClr w14:val="tx1"/>
            </w14:solidFill>
          </w14:textFill>
        </w:rPr>
        <w:t>格式附后</w:t>
      </w:r>
      <w:r>
        <w:rPr>
          <w:rFonts w:hint="eastAsia" w:ascii="宋体" w:hAnsi="宋体" w:cs="宋体"/>
          <w:color w:val="000000" w:themeColor="text1"/>
          <w:sz w:val="24"/>
          <w:szCs w:val="24"/>
          <w:highlight w:val="none"/>
          <w14:textFill>
            <w14:solidFill>
              <w14:schemeClr w14:val="tx1"/>
            </w14:solidFill>
          </w14:textFill>
        </w:rPr>
        <w:t>）</w:t>
      </w:r>
    </w:p>
    <w:p w14:paraId="2379AD90">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（7）符合性检查响应对照表（</w:t>
      </w:r>
      <w:r>
        <w:rPr>
          <w:rStyle w:val="54"/>
          <w:rFonts w:hint="eastAsia" w:ascii="宋体" w:hAnsi="宋体" w:cs="宋体"/>
          <w:bCs/>
          <w:color w:val="000000" w:themeColor="text1"/>
          <w:sz w:val="24"/>
          <w:szCs w:val="24"/>
          <w:highlight w:val="none"/>
          <w14:textFill>
            <w14:solidFill>
              <w14:schemeClr w14:val="tx1"/>
            </w14:solidFill>
          </w14:textFill>
        </w:rPr>
        <w:t>格式附后</w:t>
      </w:r>
      <w:r>
        <w:rPr>
          <w:rFonts w:hint="eastAsia" w:ascii="宋体" w:hAnsi="宋体" w:cs="宋体"/>
          <w:color w:val="000000" w:themeColor="text1"/>
          <w:sz w:val="24"/>
          <w:szCs w:val="24"/>
          <w:highlight w:val="none"/>
          <w14:textFill>
            <w14:solidFill>
              <w14:schemeClr w14:val="tx1"/>
            </w14:solidFill>
          </w14:textFill>
        </w:rPr>
        <w:t>）</w:t>
      </w:r>
    </w:p>
    <w:p w14:paraId="5AEDFC04">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（8）技术参数响应及偏离表</w:t>
      </w:r>
      <w:r>
        <w:rPr>
          <w:rStyle w:val="54"/>
          <w:rFonts w:hint="eastAsia" w:ascii="宋体" w:hAnsi="宋体" w:cs="宋体"/>
          <w:bCs/>
          <w:color w:val="000000" w:themeColor="text1"/>
          <w:sz w:val="24"/>
          <w:szCs w:val="24"/>
          <w:highlight w:val="none"/>
          <w14:textFill>
            <w14:solidFill>
              <w14:schemeClr w14:val="tx1"/>
            </w14:solidFill>
          </w14:textFill>
        </w:rPr>
        <w:t>（格式附后）</w:t>
      </w:r>
    </w:p>
    <w:p w14:paraId="5B97FFD4">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（9）商务条款响应及偏离表（格式附后）</w:t>
      </w:r>
    </w:p>
    <w:p w14:paraId="4D60E113">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（10）盐城市政府采购事前信用承诺书（格式附后）</w:t>
      </w:r>
    </w:p>
    <w:p w14:paraId="3A1F415C">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（11）法人或者其他组织的营业执照等证明文件，自然人的身份证明（复印件）</w:t>
      </w:r>
    </w:p>
    <w:p w14:paraId="18E20A81">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（12）上一年度财务状况报告（或报表）（复印件，成立不满一年不需提供）</w:t>
      </w:r>
    </w:p>
    <w:p w14:paraId="233CB89A">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（13）依法缴纳税收和社会保障资金的相关材料（复印件）</w:t>
      </w:r>
    </w:p>
    <w:p w14:paraId="582CE025">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（14）具备履行合同所必需的设备和专业技术能力的书面声明</w:t>
      </w:r>
      <w:r>
        <w:rPr>
          <w:rFonts w:hint="eastAsia" w:ascii="宋体" w:hAnsi="宋体" w:cs="宋体"/>
          <w:color w:val="000000" w:themeColor="text1"/>
          <w:sz w:val="24"/>
          <w:szCs w:val="24"/>
          <w:highlight w:val="none"/>
          <w14:textFill>
            <w14:solidFill>
              <w14:schemeClr w14:val="tx1"/>
            </w14:solidFill>
          </w14:textFill>
        </w:rPr>
        <w:t>（格式附后）</w:t>
      </w:r>
    </w:p>
    <w:p w14:paraId="0D3EE5F5">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（15）参加政府采购活动前 3 年内在经营活动中没有重大违法记录的书面声明；（格式附后）</w:t>
      </w:r>
    </w:p>
    <w:p w14:paraId="326BB35E">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（16）法人授权书；（格式附后）</w:t>
      </w:r>
    </w:p>
    <w:p w14:paraId="5F2507A7">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（17）未被“信用中国”网站（www.creditchina.gov.cn）列入失信被执行人、重大税收违法案件当事人名单、政府采购严重失信行为记录名单的网上查询截图（查询日期为采购公告发布之日当天或以后任一时间）。</w:t>
      </w:r>
    </w:p>
    <w:p w14:paraId="21BEFDE1">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（18）中小企业声明函</w:t>
      </w:r>
      <w:r>
        <w:rPr>
          <w:rStyle w:val="54"/>
          <w:rFonts w:hint="eastAsia" w:ascii="宋体" w:hAnsi="宋体" w:cs="宋体"/>
          <w:bCs/>
          <w:color w:val="000000" w:themeColor="text1"/>
          <w:sz w:val="24"/>
          <w:szCs w:val="24"/>
          <w:highlight w:val="none"/>
          <w14:textFill>
            <w14:solidFill>
              <w14:schemeClr w14:val="tx1"/>
            </w14:solidFill>
          </w14:textFill>
        </w:rPr>
        <w:t>（格式附后）</w:t>
      </w:r>
    </w:p>
    <w:p w14:paraId="60AE221C">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（19）投标人有效的施工资质证书（副本）复印件、有效的安全生产许可证（副本）复印件；</w:t>
      </w:r>
    </w:p>
    <w:p w14:paraId="0AEFF5EF">
      <w:pPr>
        <w:pStyle w:val="48"/>
        <w:snapToGrid w:val="0"/>
        <w:spacing w:before="0" w:after="0" w:line="360" w:lineRule="auto"/>
        <w:ind w:firstLine="480" w:firstLineChars="200"/>
        <w:rPr>
          <w:rFonts w:hint="eastAsia" w:eastAsia="宋体"/>
          <w:color w:val="000000" w:themeColor="text1"/>
          <w:highlight w:val="none"/>
          <w:lang w:eastAsia="zh-CN"/>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（20）项目负责人有效的注册建造师证书复印件、有效的安全生产考核合格证（B类）复印件</w:t>
      </w:r>
      <w:r>
        <w:rPr>
          <w:rStyle w:val="54"/>
          <w:rFonts w:hint="eastAsia" w:ascii="宋体" w:hAnsi="宋体" w:cs="宋体"/>
          <w:b w:val="0"/>
          <w:bCs/>
          <w:color w:val="000000" w:themeColor="text1"/>
          <w:sz w:val="24"/>
          <w:szCs w:val="24"/>
          <w:highlight w:val="none"/>
          <w:lang w:eastAsia="zh-CN"/>
          <w14:textFill>
            <w14:solidFill>
              <w14:schemeClr w14:val="tx1"/>
            </w14:solidFill>
          </w14:textFill>
        </w:rPr>
        <w:t>；</w:t>
      </w:r>
    </w:p>
    <w:p w14:paraId="4693EE65">
      <w:pPr>
        <w:snapToGrid w:val="0"/>
        <w:spacing w:line="360" w:lineRule="auto"/>
        <w:ind w:firstLine="420" w:firstLineChars="200"/>
        <w:rPr>
          <w:rStyle w:val="54"/>
          <w:rFonts w:ascii="宋体" w:hAnsi="宋体" w:cs="宋体"/>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"_Toc74993357" </w:instrText>
      </w:r>
      <w:r>
        <w:rPr>
          <w:color w:val="000000" w:themeColor="text1"/>
          <w:highlight w:val="none"/>
          <w14:textFill>
            <w14:solidFill>
              <w14:schemeClr w14:val="tx1"/>
            </w14:solidFill>
          </w14:textFill>
        </w:rPr>
        <w:fldChar w:fldCharType="separate"/>
      </w:r>
      <w:r>
        <w:rPr>
          <w:rStyle w:val="54"/>
          <w:rFonts w:hint="eastAsia" w:ascii="宋体" w:hAnsi="宋体" w:cs="宋体"/>
          <w:bCs/>
          <w:color w:val="000000" w:themeColor="text1"/>
          <w:sz w:val="24"/>
          <w:szCs w:val="24"/>
          <w:highlight w:val="none"/>
          <w14:textFill>
            <w14:solidFill>
              <w14:schemeClr w14:val="tx1"/>
            </w14:solidFill>
          </w14:textFill>
        </w:rPr>
        <w:t>（21）项目业绩汇总表</w:t>
      </w:r>
      <w:r>
        <w:rPr>
          <w:rStyle w:val="54"/>
          <w:rFonts w:hint="eastAsia" w:ascii="宋体" w:hAnsi="宋体" w:cs="宋体"/>
          <w:bCs/>
          <w:color w:val="000000" w:themeColor="text1"/>
          <w:sz w:val="24"/>
          <w:szCs w:val="24"/>
          <w:highlight w:val="none"/>
          <w14:textFill>
            <w14:solidFill>
              <w14:schemeClr w14:val="tx1"/>
            </w14:solidFill>
          </w14:textFill>
        </w:rPr>
        <w:tab/>
      </w:r>
      <w:r>
        <w:rPr>
          <w:rStyle w:val="54"/>
          <w:rFonts w:hint="eastAsia" w:ascii="宋体" w:hAnsi="宋体" w:cs="宋体"/>
          <w:bCs/>
          <w:color w:val="000000" w:themeColor="text1"/>
          <w:sz w:val="24"/>
          <w:szCs w:val="24"/>
          <w:highlight w:val="none"/>
          <w14:textFill>
            <w14:solidFill>
              <w14:schemeClr w14:val="tx1"/>
            </w14:solidFill>
          </w14:textFill>
        </w:rPr>
        <w:t>；（格式附后）</w:t>
      </w:r>
      <w:r>
        <w:rPr>
          <w:rStyle w:val="54"/>
          <w:rFonts w:hint="eastAsia" w:ascii="宋体" w:hAnsi="宋体" w:cs="宋体"/>
          <w:bCs/>
          <w:color w:val="000000" w:themeColor="text1"/>
          <w:sz w:val="24"/>
          <w:szCs w:val="24"/>
          <w:highlight w:val="none"/>
          <w14:textFill>
            <w14:solidFill>
              <w14:schemeClr w14:val="tx1"/>
            </w14:solidFill>
          </w14:textFill>
        </w:rPr>
        <w:fldChar w:fldCharType="end"/>
      </w:r>
    </w:p>
    <w:p w14:paraId="63266D44">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（22）招标文件要求的其他证明资料和评标细则要求提供证明材料复印件。</w:t>
      </w:r>
    </w:p>
    <w:p w14:paraId="1F5C2328">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注：（1）以上材料应当按顺序进行排列；（2）以上材料均需加盖投标人单位公章，有签字要求的必须签字；</w:t>
      </w:r>
    </w:p>
    <w:p w14:paraId="1508C154">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投标人提供的材料如有虚假，视为提供虚假材料谋取中标资格，将被列入不良行为记录名单。</w:t>
      </w:r>
    </w:p>
    <w:p w14:paraId="574AA093">
      <w:pPr>
        <w:spacing w:line="42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11.1.</w:t>
      </w:r>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lang w:val="en-US" w:eastAsia="zh-CN"/>
          <w14:textFill>
            <w14:solidFill>
              <w14:schemeClr w14:val="tx1"/>
            </w14:solidFill>
          </w14:textFill>
        </w:rPr>
        <w:t>二</w:t>
      </w:r>
      <w:r>
        <w:rPr>
          <w:rFonts w:hint="eastAsia" w:ascii="宋体" w:hAnsi="宋体"/>
          <w:color w:val="000000" w:themeColor="text1"/>
          <w:sz w:val="24"/>
          <w:szCs w:val="24"/>
          <w:highlight w:val="none"/>
          <w14:textFill>
            <w14:solidFill>
              <w14:schemeClr w14:val="tx1"/>
            </w14:solidFill>
          </w14:textFill>
        </w:rPr>
        <w:t>号标书（施工方案）</w:t>
      </w:r>
    </w:p>
    <w:p w14:paraId="2C59660E">
      <w:pPr>
        <w:spacing w:line="420" w:lineRule="exact"/>
        <w:ind w:firstLine="480" w:firstLineChars="200"/>
        <w:rPr>
          <w:rFonts w:ascii="宋体" w:hAnsi="宋体"/>
          <w:b/>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具体内容详按项目需求要求和评标办法中评审标准进行针对性编制。</w:t>
      </w:r>
    </w:p>
    <w:p w14:paraId="4E94407F">
      <w:pPr>
        <w:spacing w:line="420" w:lineRule="exact"/>
        <w:ind w:firstLine="482" w:firstLineChars="200"/>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施工方案采用无标志方式，封面统一使用招标人提供的封面样式，统一采用A4白纸软面封装（包括封面及文本正文内容）。不得以任何方式直接或间接泄露投标人身份，且不得加页码</w:t>
      </w:r>
      <w:r>
        <w:rPr>
          <w:rFonts w:ascii="宋体" w:hAnsi="宋体"/>
          <w:b/>
          <w:bCs/>
          <w:color w:val="000000" w:themeColor="text1"/>
          <w:sz w:val="24"/>
          <w:szCs w:val="24"/>
          <w:highlight w:val="none"/>
          <w14:textFill>
            <w14:solidFill>
              <w14:schemeClr w14:val="tx1"/>
            </w14:solidFill>
          </w14:textFill>
        </w:rPr>
        <w:t>，不得含有反映投标人相关内容的信息。对违反规定要求者一律按</w:t>
      </w:r>
      <w:r>
        <w:rPr>
          <w:rFonts w:hint="eastAsia" w:ascii="宋体" w:hAnsi="宋体"/>
          <w:b/>
          <w:bCs/>
          <w:color w:val="000000" w:themeColor="text1"/>
          <w:sz w:val="24"/>
          <w:szCs w:val="24"/>
          <w:highlight w:val="none"/>
          <w14:textFill>
            <w14:solidFill>
              <w14:schemeClr w14:val="tx1"/>
            </w14:solidFill>
          </w14:textFill>
        </w:rPr>
        <w:t>无效标</w:t>
      </w:r>
      <w:r>
        <w:rPr>
          <w:rFonts w:ascii="宋体" w:hAnsi="宋体"/>
          <w:b/>
          <w:bCs/>
          <w:color w:val="000000" w:themeColor="text1"/>
          <w:sz w:val="24"/>
          <w:szCs w:val="24"/>
          <w:highlight w:val="none"/>
          <w14:textFill>
            <w14:solidFill>
              <w14:schemeClr w14:val="tx1"/>
            </w14:solidFill>
          </w14:textFill>
        </w:rPr>
        <w:t>处理。</w:t>
      </w:r>
      <w:r>
        <w:rPr>
          <w:rFonts w:hint="eastAsia" w:ascii="宋体" w:hAnsi="宋体"/>
          <w:b/>
          <w:bCs/>
          <w:color w:val="000000" w:themeColor="text1"/>
          <w:sz w:val="24"/>
          <w:szCs w:val="24"/>
          <w:highlight w:val="none"/>
          <w14:textFill>
            <w14:solidFill>
              <w14:schemeClr w14:val="tx1"/>
            </w14:solidFill>
          </w14:textFill>
        </w:rPr>
        <w:t>装订要求：不得采用活页、压条等明显标志和可能形成区别的其他任何修饰的方式装订。</w:t>
      </w:r>
    </w:p>
    <w:p w14:paraId="5CC36720">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12、证明投标人资格及符合招标文件规定的文件</w:t>
      </w:r>
    </w:p>
    <w:p w14:paraId="6A8F7424">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12.1投标人应按要求提交资格证明文件及符合招标文件规定的文件。</w:t>
      </w:r>
    </w:p>
    <w:p w14:paraId="77959BE5">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12.2投标人应提交证明其有资格参加投标和中标后有能力独立履行合同的文件。</w:t>
      </w:r>
    </w:p>
    <w:p w14:paraId="230A2B66">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12.3投标人除必须具有履行合同所需提供的货物以及服务的能力外，还必须具备相应的财务、技术方面的能力。</w:t>
      </w:r>
    </w:p>
    <w:p w14:paraId="59C6E607">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12.4投标人应提交根据合同要求提供的证明货物以及服务质量合格以及符合招标文件规定的证明文件。</w:t>
      </w:r>
    </w:p>
    <w:p w14:paraId="2FEA789F">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12.5证明投标人所提供货物及服务与招标文件的要求相一致的文件可以是手册、图纸、文字资料和数据</w:t>
      </w:r>
      <w:r>
        <w:rPr>
          <w:rStyle w:val="54"/>
          <w:rFonts w:hint="eastAsia" w:ascii="宋体" w:hAnsi="宋体" w:cs="宋体"/>
          <w:bCs/>
          <w:color w:val="000000" w:themeColor="text1"/>
          <w:sz w:val="24"/>
          <w:szCs w:val="24"/>
          <w:highlight w:val="none"/>
          <w14:textFill>
            <w14:solidFill>
              <w14:schemeClr w14:val="tx1"/>
            </w14:solidFill>
          </w14:textFill>
        </w:rPr>
        <w:t>。</w:t>
      </w:r>
    </w:p>
    <w:p w14:paraId="5EE66E93">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13、工程总承包报价</w:t>
      </w:r>
    </w:p>
    <w:p w14:paraId="4C2D2583">
      <w:pPr>
        <w:adjustRightInd w:val="0"/>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13.1</w:t>
      </w:r>
      <w:r>
        <w:rPr>
          <w:rFonts w:hint="eastAsia" w:ascii="宋体" w:hAnsi="宋体" w:cs="宋体"/>
          <w:color w:val="000000" w:themeColor="text1"/>
          <w:sz w:val="24"/>
          <w:szCs w:val="24"/>
          <w:highlight w:val="none"/>
          <w14:textFill>
            <w14:solidFill>
              <w14:schemeClr w14:val="tx1"/>
            </w14:solidFill>
          </w14:textFill>
        </w:rPr>
        <w:t xml:space="preserve"> 投</w:t>
      </w:r>
      <w:bookmarkStart w:id="2" w:name="_Hlt26954840"/>
      <w:bookmarkEnd w:id="2"/>
      <w:r>
        <w:rPr>
          <w:rFonts w:hint="eastAsia" w:ascii="宋体" w:hAnsi="宋体" w:cs="宋体"/>
          <w:color w:val="000000" w:themeColor="text1"/>
          <w:sz w:val="24"/>
          <w:szCs w:val="24"/>
          <w:highlight w:val="none"/>
          <w14:textFill>
            <w14:solidFill>
              <w14:schemeClr w14:val="tx1"/>
            </w14:solidFill>
          </w14:textFill>
        </w:rPr>
        <w:t>标人应按照招标文件规定格式填报</w:t>
      </w:r>
      <w:bookmarkStart w:id="3" w:name="_Hlt26670399"/>
      <w:bookmarkEnd w:id="3"/>
      <w:r>
        <w:rPr>
          <w:rStyle w:val="54"/>
          <w:rFonts w:hint="eastAsia" w:ascii="宋体" w:hAnsi="宋体" w:cs="宋体"/>
          <w:bCs/>
          <w:color w:val="000000" w:themeColor="text1"/>
          <w:sz w:val="24"/>
          <w:szCs w:val="24"/>
          <w:highlight w:val="none"/>
          <w14:textFill>
            <w14:solidFill>
              <w14:schemeClr w14:val="tx1"/>
            </w14:solidFill>
          </w14:textFill>
        </w:rPr>
        <w:t>工程总承包报价</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每项产品或服务只允许有一个报价，任何有选择的报价将不予接受</w:t>
      </w:r>
      <w:r>
        <w:rPr>
          <w:rFonts w:hint="eastAsia" w:ascii="宋体" w:hAnsi="宋体" w:cs="宋体"/>
          <w:color w:val="000000" w:themeColor="text1"/>
          <w:sz w:val="24"/>
          <w:szCs w:val="24"/>
          <w:highlight w:val="none"/>
          <w14:textFill>
            <w14:solidFill>
              <w14:schemeClr w14:val="tx1"/>
            </w14:solidFill>
          </w14:textFill>
        </w:rPr>
        <w:t>。</w:t>
      </w:r>
    </w:p>
    <w:p w14:paraId="2EFC7D20">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13.2</w:t>
      </w:r>
      <w:r>
        <w:rPr>
          <w:rStyle w:val="54"/>
          <w:rFonts w:hint="eastAsia" w:ascii="宋体" w:hAnsi="宋体" w:cs="宋体"/>
          <w:color w:val="000000" w:themeColor="text1"/>
          <w:sz w:val="24"/>
          <w:szCs w:val="24"/>
          <w:highlight w:val="none"/>
          <w14:textFill>
            <w14:solidFill>
              <w14:schemeClr w14:val="tx1"/>
            </w14:solidFill>
          </w14:textFill>
        </w:rPr>
        <w:t xml:space="preserve"> 标的物</w:t>
      </w:r>
    </w:p>
    <w:p w14:paraId="03A3E9C9">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详见项目需求</w:t>
      </w:r>
      <w:r>
        <w:rPr>
          <w:rStyle w:val="54"/>
          <w:rFonts w:hint="eastAsia" w:ascii="宋体" w:hAnsi="宋体" w:cs="宋体"/>
          <w:color w:val="000000" w:themeColor="text1"/>
          <w:sz w:val="24"/>
          <w:szCs w:val="24"/>
          <w:highlight w:val="none"/>
          <w14:textFill>
            <w14:solidFill>
              <w14:schemeClr w14:val="tx1"/>
            </w14:solidFill>
          </w14:textFill>
        </w:rPr>
        <w:t>。</w:t>
      </w:r>
    </w:p>
    <w:p w14:paraId="3E906C9A">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13.3投标报价</w:t>
      </w:r>
    </w:p>
    <w:p w14:paraId="455CEF54">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lang w:val="en-US" w:eastAsia="zh-CN"/>
          <w14:textFill>
            <w14:solidFill>
              <w14:schemeClr w14:val="tx1"/>
            </w14:solidFill>
          </w14:textFill>
        </w:rPr>
        <w:t>13</w:t>
      </w:r>
      <w:r>
        <w:rPr>
          <w:rStyle w:val="54"/>
          <w:rFonts w:hint="eastAsia" w:ascii="宋体" w:hAnsi="宋体" w:cs="宋体"/>
          <w:bCs/>
          <w:color w:val="000000" w:themeColor="text1"/>
          <w:sz w:val="24"/>
          <w:szCs w:val="24"/>
          <w:highlight w:val="none"/>
          <w14:textFill>
            <w14:solidFill>
              <w14:schemeClr w14:val="tx1"/>
            </w14:solidFill>
          </w14:textFill>
        </w:rPr>
        <w:t>.</w:t>
      </w:r>
      <w:r>
        <w:rPr>
          <w:rStyle w:val="54"/>
          <w:rFonts w:hint="eastAsia" w:ascii="宋体" w:hAnsi="宋体" w:cs="宋体"/>
          <w:bCs/>
          <w:color w:val="000000" w:themeColor="text1"/>
          <w:sz w:val="24"/>
          <w:szCs w:val="24"/>
          <w:highlight w:val="none"/>
          <w:lang w:val="en-US" w:eastAsia="zh-CN"/>
          <w14:textFill>
            <w14:solidFill>
              <w14:schemeClr w14:val="tx1"/>
            </w14:solidFill>
          </w14:textFill>
        </w:rPr>
        <w:t>3.</w:t>
      </w:r>
      <w:r>
        <w:rPr>
          <w:rStyle w:val="54"/>
          <w:rFonts w:hint="eastAsia" w:ascii="宋体" w:hAnsi="宋体" w:cs="宋体"/>
          <w:bCs/>
          <w:color w:val="000000" w:themeColor="text1"/>
          <w:sz w:val="24"/>
          <w:szCs w:val="24"/>
          <w:highlight w:val="none"/>
          <w14:textFill>
            <w14:solidFill>
              <w14:schemeClr w14:val="tx1"/>
            </w14:solidFill>
          </w14:textFill>
        </w:rPr>
        <w:t>1投标报价范围：投标报价为投标人在投标文件中提出的各项支付金额的总和。投标报价应包括投标人在承诺工期内，达到投标人所承诺的质量标准，为完成本工程施工图纸、招标文件及工程量清单所确定的招标范围内的全部内容，所需要支付的一切费用和拟获得的利润、税金，并考虑了应承担的风险。投标人应充分考虑为完成上述内容所必须的</w:t>
      </w:r>
      <w:r>
        <w:rPr>
          <w:rFonts w:hint="eastAsia" w:ascii="宋体" w:hAnsi="宋体" w:cs="宋体"/>
          <w:color w:val="000000" w:themeColor="text1"/>
          <w:sz w:val="24"/>
          <w:highlight w:val="none"/>
          <w14:textFill>
            <w14:solidFill>
              <w14:schemeClr w14:val="tx1"/>
            </w14:solidFill>
          </w14:textFill>
        </w:rPr>
        <w:t>人工费、材料费、机械费、管理费、利润、规费、措施费、税金以及场地整理、附属工程、临时工程、环境保护、特殊条件施工、材料损耗、现场施工围栏、竣工面的清理、垃圾清运、成品保护、各种管线、建筑物、构筑物的加固围护费用、天气变化、不同专业的交叉施工影响、一周内临时停电或停水导致停工累计不超过8小时所发生的费用、施工用水、施工用电、招标综合服务费、设计费、一定范围内的风险因素等其他各项应有的全部费用，并计入投标报价中，凡漏项或少计均视为已包含在本次投标报价的范围以内，采购人不再另行增加费用，竣工结算时不再调整全费用综合单价。</w:t>
      </w:r>
    </w:p>
    <w:p w14:paraId="0FEB0E80">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lang w:val="en-US" w:eastAsia="zh-CN"/>
          <w14:textFill>
            <w14:solidFill>
              <w14:schemeClr w14:val="tx1"/>
            </w14:solidFill>
          </w14:textFill>
        </w:rPr>
        <w:t>13</w:t>
      </w:r>
      <w:r>
        <w:rPr>
          <w:rStyle w:val="54"/>
          <w:rFonts w:hint="eastAsia" w:ascii="宋体" w:hAnsi="宋体" w:cs="宋体"/>
          <w:bCs/>
          <w:color w:val="000000" w:themeColor="text1"/>
          <w:sz w:val="24"/>
          <w:szCs w:val="24"/>
          <w:highlight w:val="none"/>
          <w14:textFill>
            <w14:solidFill>
              <w14:schemeClr w14:val="tx1"/>
            </w14:solidFill>
          </w14:textFill>
        </w:rPr>
        <w:t>.3.2投标报价的方式：全费用综合单价报价。以体现风险共担的原则。由招标人提供工程量清单，投标人以工程量清单及图纸为基础填报相应的全费用单价并计算合价。招标人要求投标人承担本招标文件合同专用条款中约定的风险内容及其范围（幅度）产生的风险费用，在施工过程中，当出现的风险内容及其范围（幅度）在合同约定的范围内，工程价款不作调整。</w:t>
      </w:r>
    </w:p>
    <w:p w14:paraId="116DA0D3">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若无相关设计变更，除本招标文件及施工合同约定允许调整外中标的全费用单价不予调整，工程量按实际完成工程量结算。</w:t>
      </w:r>
    </w:p>
    <w:p w14:paraId="457617E5">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lang w:val="en-US" w:eastAsia="zh-CN"/>
          <w14:textFill>
            <w14:solidFill>
              <w14:schemeClr w14:val="tx1"/>
            </w14:solidFill>
          </w14:textFill>
        </w:rPr>
        <w:t>13</w:t>
      </w:r>
      <w:r>
        <w:rPr>
          <w:rStyle w:val="54"/>
          <w:rFonts w:hint="eastAsia" w:ascii="宋体" w:hAnsi="宋体" w:cs="宋体"/>
          <w:bCs/>
          <w:color w:val="000000" w:themeColor="text1"/>
          <w:sz w:val="24"/>
          <w:szCs w:val="24"/>
          <w:highlight w:val="none"/>
          <w14:textFill>
            <w14:solidFill>
              <w14:schemeClr w14:val="tx1"/>
            </w14:solidFill>
          </w14:textFill>
        </w:rPr>
        <w:t>.3.3投标报价的计价方法：本工程投标报价采用“工程量清单计价”法。投标人应根据招标人提供的工程量清单和施工图纸计算工程项目的全费用单价和合价。工程量清单中每一个子目的单项均需计算并填写全费用单价、合价。投标人对招标人提供的工程量清单如有异议（包括对工程量清单中漏项的疑问），应在收到招标文件后按投标须知中规定的疑问送达时间提出。各投标人不得对招标人答疑后的工程量清单的序号、项目名称、项目特征、计量单位、工程数量、暂列金额、暂估价等进行调整。对施工中发生的所有措施费及可预见费用由施工单位自行考虑，计入总价。</w:t>
      </w:r>
    </w:p>
    <w:p w14:paraId="73894CAD">
      <w:pPr>
        <w:snapToGrid w:val="0"/>
        <w:spacing w:line="360" w:lineRule="auto"/>
        <w:ind w:firstLine="480" w:firstLineChars="200"/>
        <w:rPr>
          <w:rStyle w:val="54"/>
          <w:rFonts w:hint="eastAsia"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1.2.3投标人投标全费用综合单价中必须包含现行有关规定的费率计取</w:t>
      </w:r>
      <w:r>
        <w:rPr>
          <w:rStyle w:val="54"/>
          <w:rFonts w:hint="eastAsia" w:ascii="宋体" w:hAnsi="宋体" w:cs="宋体"/>
          <w:bCs/>
          <w:color w:val="000000" w:themeColor="text1"/>
          <w:sz w:val="24"/>
          <w:szCs w:val="24"/>
          <w:highlight w:val="none"/>
          <w:lang w:val="en-US" w:eastAsia="zh-CN"/>
          <w14:textFill>
            <w14:solidFill>
              <w14:schemeClr w14:val="tx1"/>
            </w14:solidFill>
          </w14:textFill>
        </w:rPr>
        <w:t>现场安全</w:t>
      </w:r>
      <w:r>
        <w:rPr>
          <w:rStyle w:val="54"/>
          <w:rFonts w:hint="eastAsia" w:ascii="宋体" w:hAnsi="宋体" w:cs="宋体"/>
          <w:bCs/>
          <w:color w:val="000000" w:themeColor="text1"/>
          <w:sz w:val="24"/>
          <w:szCs w:val="24"/>
          <w:highlight w:val="none"/>
          <w14:textFill>
            <w14:solidFill>
              <w14:schemeClr w14:val="tx1"/>
            </w14:solidFill>
          </w14:textFill>
        </w:rPr>
        <w:t>文明施工措施费基本费1.</w:t>
      </w:r>
      <w:r>
        <w:rPr>
          <w:rStyle w:val="54"/>
          <w:rFonts w:hint="eastAsia" w:ascii="宋体" w:hAnsi="宋体" w:cs="宋体"/>
          <w:bCs/>
          <w:color w:val="000000" w:themeColor="text1"/>
          <w:sz w:val="24"/>
          <w:szCs w:val="24"/>
          <w:highlight w:val="none"/>
          <w:lang w:val="en-US" w:eastAsia="zh-CN"/>
          <w14:textFill>
            <w14:solidFill>
              <w14:schemeClr w14:val="tx1"/>
            </w14:solidFill>
          </w14:textFill>
        </w:rPr>
        <w:t>7</w:t>
      </w:r>
      <w:r>
        <w:rPr>
          <w:rStyle w:val="54"/>
          <w:rFonts w:hint="eastAsia" w:ascii="宋体" w:hAnsi="宋体" w:cs="宋体"/>
          <w:bCs/>
          <w:color w:val="000000" w:themeColor="text1"/>
          <w:sz w:val="24"/>
          <w:szCs w:val="24"/>
          <w:highlight w:val="none"/>
          <w14:textFill>
            <w14:solidFill>
              <w14:schemeClr w14:val="tx1"/>
            </w14:solidFill>
          </w14:textFill>
        </w:rPr>
        <w:t>%、扬尘污染防治增加费0.2</w:t>
      </w:r>
      <w:r>
        <w:rPr>
          <w:rStyle w:val="54"/>
          <w:rFonts w:hint="eastAsia" w:ascii="宋体" w:hAnsi="宋体" w:cs="宋体"/>
          <w:bCs/>
          <w:color w:val="000000" w:themeColor="text1"/>
          <w:sz w:val="24"/>
          <w:szCs w:val="24"/>
          <w:highlight w:val="none"/>
          <w:lang w:val="en-US" w:eastAsia="zh-CN"/>
          <w14:textFill>
            <w14:solidFill>
              <w14:schemeClr w14:val="tx1"/>
            </w14:solidFill>
          </w14:textFill>
        </w:rPr>
        <w:t>2</w:t>
      </w:r>
      <w:r>
        <w:rPr>
          <w:rStyle w:val="54"/>
          <w:rFonts w:hint="eastAsia" w:ascii="宋体" w:hAnsi="宋体" w:cs="宋体"/>
          <w:bCs/>
          <w:color w:val="000000" w:themeColor="text1"/>
          <w:sz w:val="24"/>
          <w:szCs w:val="24"/>
          <w:highlight w:val="none"/>
          <w14:textFill>
            <w14:solidFill>
              <w14:schemeClr w14:val="tx1"/>
            </w14:solidFill>
          </w14:textFill>
        </w:rPr>
        <w:t>%，为完成本项目发生的所有措施项目费、管理费、利润、规费（包括环境保护税0.1%、社会保险费</w:t>
      </w:r>
      <w:r>
        <w:rPr>
          <w:rStyle w:val="54"/>
          <w:rFonts w:hint="eastAsia" w:ascii="宋体" w:hAnsi="宋体" w:cs="宋体"/>
          <w:bCs/>
          <w:color w:val="000000" w:themeColor="text1"/>
          <w:sz w:val="24"/>
          <w:szCs w:val="24"/>
          <w:highlight w:val="none"/>
          <w:lang w:val="en-US" w:eastAsia="zh-CN"/>
          <w14:textFill>
            <w14:solidFill>
              <w14:schemeClr w14:val="tx1"/>
            </w14:solidFill>
          </w14:textFill>
        </w:rPr>
        <w:t>2.4</w:t>
      </w:r>
      <w:r>
        <w:rPr>
          <w:rStyle w:val="54"/>
          <w:rFonts w:hint="eastAsia" w:ascii="宋体" w:hAnsi="宋体" w:cs="宋体"/>
          <w:bCs/>
          <w:color w:val="000000" w:themeColor="text1"/>
          <w:sz w:val="24"/>
          <w:szCs w:val="24"/>
          <w:highlight w:val="none"/>
          <w14:textFill>
            <w14:solidFill>
              <w14:schemeClr w14:val="tx1"/>
            </w14:solidFill>
          </w14:textFill>
        </w:rPr>
        <w:t>%、住房公积金0.</w:t>
      </w:r>
      <w:r>
        <w:rPr>
          <w:rStyle w:val="54"/>
          <w:rFonts w:hint="eastAsia" w:ascii="宋体" w:hAnsi="宋体" w:cs="宋体"/>
          <w:bCs/>
          <w:color w:val="000000" w:themeColor="text1"/>
          <w:sz w:val="24"/>
          <w:szCs w:val="24"/>
          <w:highlight w:val="none"/>
          <w:lang w:val="en-US" w:eastAsia="zh-CN"/>
          <w14:textFill>
            <w14:solidFill>
              <w14:schemeClr w14:val="tx1"/>
            </w14:solidFill>
          </w14:textFill>
        </w:rPr>
        <w:t>42</w:t>
      </w:r>
      <w:r>
        <w:rPr>
          <w:rStyle w:val="54"/>
          <w:rFonts w:hint="eastAsia" w:ascii="宋体" w:hAnsi="宋体" w:cs="宋体"/>
          <w:bCs/>
          <w:color w:val="000000" w:themeColor="text1"/>
          <w:sz w:val="24"/>
          <w:szCs w:val="24"/>
          <w:highlight w:val="none"/>
          <w14:textFill>
            <w14:solidFill>
              <w14:schemeClr w14:val="tx1"/>
            </w14:solidFill>
          </w14:textFill>
        </w:rPr>
        <w:t>%、和税金9%）。</w:t>
      </w:r>
    </w:p>
    <w:p w14:paraId="5F605785">
      <w:pPr>
        <w:snapToGrid w:val="0"/>
        <w:spacing w:line="360" w:lineRule="auto"/>
        <w:ind w:firstLine="480" w:firstLineChars="200"/>
        <w:rPr>
          <w:rStyle w:val="54"/>
          <w:rFonts w:hint="eastAsia"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1.2.4  投标人在投标报价时未填报综合单价的工程量清单项目，招标人视为已包括在工程量清单计价的其他单价中，无论何种原因使该清单项目发生工程量的变更，结算时均不作调整。</w:t>
      </w:r>
    </w:p>
    <w:p w14:paraId="2DD32FB2">
      <w:pPr>
        <w:snapToGrid w:val="0"/>
        <w:spacing w:line="360" w:lineRule="auto"/>
        <w:ind w:firstLine="480" w:firstLineChars="200"/>
        <w:rPr>
          <w:rStyle w:val="54"/>
          <w:rFonts w:hint="eastAsia"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1.2.5  投标人在投标报价时，不得进行投标总价或合价的优惠（或降价、让利）或隐性提价；综合单价与工程量的乘积应与合价一致。</w:t>
      </w:r>
    </w:p>
    <w:p w14:paraId="653D0DBD">
      <w:pPr>
        <w:snapToGrid w:val="0"/>
        <w:spacing w:line="360" w:lineRule="auto"/>
        <w:ind w:firstLine="480" w:firstLineChars="200"/>
        <w:rPr>
          <w:rStyle w:val="54"/>
          <w:rFonts w:hint="eastAsia"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1.2.6 投标人应充分考虑施工期间各类材料的市场风险和国家政策性调整风险系数，除合同约定可以调整的因素外，在合同实施期间材料价格不因市场变化或其他任何因素变化而变动，投标人在投标报价时应充分考虑本项目合同的风险。</w:t>
      </w:r>
    </w:p>
    <w:p w14:paraId="1AB3A269">
      <w:pPr>
        <w:snapToGrid w:val="0"/>
        <w:spacing w:line="360" w:lineRule="auto"/>
        <w:ind w:firstLine="480" w:firstLineChars="200"/>
        <w:rPr>
          <w:rStyle w:val="54"/>
          <w:rFonts w:hint="eastAsia"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 xml:space="preserve">1.2.7除计价规范另有规定外，投标文件使用的度量衡单位，均采用中华人民共和国法定计量单位，投标文件和与投标有关的所有文件均应使用中文，投标报价统一采用人民币作为计量单位。 </w:t>
      </w:r>
    </w:p>
    <w:p w14:paraId="429B2620">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13.3.</w:t>
      </w:r>
      <w:r>
        <w:rPr>
          <w:rStyle w:val="54"/>
          <w:rFonts w:hint="eastAsia" w:ascii="宋体" w:hAnsi="宋体" w:cs="宋体"/>
          <w:bCs/>
          <w:color w:val="000000" w:themeColor="text1"/>
          <w:sz w:val="24"/>
          <w:szCs w:val="24"/>
          <w:highlight w:val="none"/>
          <w:lang w:val="en-US" w:eastAsia="zh-CN"/>
          <w14:textFill>
            <w14:solidFill>
              <w14:schemeClr w14:val="tx1"/>
            </w14:solidFill>
          </w14:textFill>
        </w:rPr>
        <w:t>4</w:t>
      </w:r>
      <w:r>
        <w:rPr>
          <w:rStyle w:val="54"/>
          <w:rFonts w:hint="eastAsia" w:ascii="宋体" w:hAnsi="宋体" w:cs="宋体"/>
          <w:bCs/>
          <w:color w:val="000000" w:themeColor="text1"/>
          <w:sz w:val="24"/>
          <w:szCs w:val="24"/>
          <w:highlight w:val="none"/>
          <w14:textFill>
            <w14:solidFill>
              <w14:schemeClr w14:val="tx1"/>
            </w14:solidFill>
          </w14:textFill>
        </w:rPr>
        <w:t>投标人的投标报价不得超过最高投标限价。</w:t>
      </w:r>
    </w:p>
    <w:p w14:paraId="5BAF3C0D">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16、投标函和开标一览表</w:t>
      </w:r>
    </w:p>
    <w:p w14:paraId="4579D7E6">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16.1</w:t>
      </w:r>
      <w:r>
        <w:rPr>
          <w:rStyle w:val="54"/>
          <w:rFonts w:hint="eastAsia" w:ascii="宋体" w:hAnsi="宋体" w:cs="宋体"/>
          <w:color w:val="000000" w:themeColor="text1"/>
          <w:sz w:val="24"/>
          <w:szCs w:val="24"/>
          <w:highlight w:val="none"/>
          <w14:textFill>
            <w14:solidFill>
              <w14:schemeClr w14:val="tx1"/>
            </w14:solidFill>
          </w14:textFill>
        </w:rPr>
        <w:t xml:space="preserve"> 投标人应按照招标文件中提供的格式完整、正确填写投标函、开标一览表。</w:t>
      </w:r>
    </w:p>
    <w:p w14:paraId="1C85B0A4">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16.2开标一览表中的价格应与投标文件中投标配置与分项报价表中的价格一致，如不一致，</w:t>
      </w:r>
      <w:r>
        <w:rPr>
          <w:rStyle w:val="54"/>
          <w:rFonts w:hint="eastAsia" w:ascii="宋体" w:hAnsi="宋体" w:cs="宋体"/>
          <w:color w:val="000000" w:themeColor="text1"/>
          <w:sz w:val="24"/>
          <w:szCs w:val="24"/>
          <w:highlight w:val="none"/>
          <w14:textFill>
            <w14:solidFill>
              <w14:schemeClr w14:val="tx1"/>
            </w14:solidFill>
          </w14:textFill>
        </w:rPr>
        <w:t>不作为无效投标处理</w:t>
      </w:r>
      <w:r>
        <w:rPr>
          <w:rStyle w:val="54"/>
          <w:rFonts w:hint="eastAsia" w:ascii="宋体" w:hAnsi="宋体" w:cs="宋体"/>
          <w:bCs/>
          <w:color w:val="000000" w:themeColor="text1"/>
          <w:sz w:val="24"/>
          <w:szCs w:val="24"/>
          <w:highlight w:val="none"/>
          <w14:textFill>
            <w14:solidFill>
              <w14:schemeClr w14:val="tx1"/>
            </w14:solidFill>
          </w14:textFill>
        </w:rPr>
        <w:t>，但评标时按开标一览表中价格为准</w:t>
      </w:r>
      <w:r>
        <w:rPr>
          <w:rStyle w:val="54"/>
          <w:rFonts w:hint="eastAsia" w:ascii="宋体" w:hAnsi="宋体" w:cs="宋体"/>
          <w:b/>
          <w:bCs/>
          <w:color w:val="000000" w:themeColor="text1"/>
          <w:sz w:val="24"/>
          <w:szCs w:val="24"/>
          <w:highlight w:val="none"/>
          <w14:textFill>
            <w14:solidFill>
              <w14:schemeClr w14:val="tx1"/>
            </w14:solidFill>
          </w14:textFill>
        </w:rPr>
        <w:t>。</w:t>
      </w:r>
    </w:p>
    <w:p w14:paraId="4B1806E6">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17、投标有效期</w:t>
      </w:r>
    </w:p>
    <w:p w14:paraId="30A5457C">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17.1</w:t>
      </w:r>
      <w:r>
        <w:rPr>
          <w:rStyle w:val="54"/>
          <w:rFonts w:hint="eastAsia" w:ascii="宋体" w:hAnsi="宋体" w:cs="宋体"/>
          <w:bCs/>
          <w:color w:val="000000" w:themeColor="text1"/>
          <w:sz w:val="24"/>
          <w:szCs w:val="24"/>
          <w:highlight w:val="none"/>
          <w14:textFill>
            <w14:solidFill>
              <w14:schemeClr w14:val="tx1"/>
            </w14:solidFill>
          </w14:textFill>
        </w:rPr>
        <w:t xml:space="preserve"> 投标有效期为采购人或采购代理机构规定的开标之日后</w:t>
      </w:r>
      <w:r>
        <w:rPr>
          <w:rStyle w:val="54"/>
          <w:rFonts w:hint="eastAsia" w:ascii="宋体" w:hAnsi="宋体" w:cs="宋体"/>
          <w:b/>
          <w:color w:val="000000" w:themeColor="text1"/>
          <w:sz w:val="24"/>
          <w:szCs w:val="24"/>
          <w:highlight w:val="none"/>
          <w:u w:val="single" w:color="000000"/>
          <w14:textFill>
            <w14:solidFill>
              <w14:schemeClr w14:val="tx1"/>
            </w14:solidFill>
          </w14:textFill>
        </w:rPr>
        <w:t>六十（60）天</w:t>
      </w:r>
      <w:r>
        <w:rPr>
          <w:rStyle w:val="54"/>
          <w:rFonts w:hint="eastAsia" w:ascii="宋体" w:hAnsi="宋体" w:cs="宋体"/>
          <w:bCs/>
          <w:color w:val="000000" w:themeColor="text1"/>
          <w:sz w:val="24"/>
          <w:szCs w:val="24"/>
          <w:highlight w:val="none"/>
          <w14:textFill>
            <w14:solidFill>
              <w14:schemeClr w14:val="tx1"/>
            </w14:solidFill>
          </w14:textFill>
        </w:rPr>
        <w:t>。投标有效期比规定短的将被视为非响应性投标而予以拒绝。</w:t>
      </w:r>
    </w:p>
    <w:p w14:paraId="512C3677">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17.2</w:t>
      </w:r>
      <w:r>
        <w:rPr>
          <w:rStyle w:val="54"/>
          <w:rFonts w:hint="eastAsia" w:ascii="宋体" w:hAnsi="宋体" w:cs="宋体"/>
          <w:bCs/>
          <w:color w:val="000000" w:themeColor="text1"/>
          <w:sz w:val="24"/>
          <w:szCs w:val="24"/>
          <w:highlight w:val="none"/>
          <w14:textFill>
            <w14:solidFill>
              <w14:schemeClr w14:val="tx1"/>
            </w14:solidFill>
          </w14:textFill>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54"/>
          <w:rFonts w:hint="eastAsia" w:ascii="宋体" w:hAnsi="宋体" w:cs="宋体"/>
          <w:color w:val="000000" w:themeColor="text1"/>
          <w:sz w:val="24"/>
          <w:szCs w:val="24"/>
          <w:highlight w:val="none"/>
          <w14:textFill>
            <w14:solidFill>
              <w14:schemeClr w14:val="tx1"/>
            </w14:solidFill>
          </w14:textFill>
        </w:rPr>
        <w:t>。</w:t>
      </w:r>
      <w:r>
        <w:rPr>
          <w:rStyle w:val="54"/>
          <w:rFonts w:hint="eastAsia" w:ascii="宋体" w:hAnsi="宋体" w:cs="宋体"/>
          <w:bCs/>
          <w:color w:val="000000" w:themeColor="text1"/>
          <w:sz w:val="24"/>
          <w:szCs w:val="24"/>
          <w:highlight w:val="none"/>
          <w14:textFill>
            <w14:solidFill>
              <w14:schemeClr w14:val="tx1"/>
            </w14:solidFill>
          </w14:textFill>
        </w:rPr>
        <w:t>同意延长投标有效期的投标人既不能要求也不允许修改其投标文件。</w:t>
      </w:r>
      <w:r>
        <w:rPr>
          <w:rStyle w:val="54"/>
          <w:rFonts w:hint="eastAsia" w:ascii="宋体" w:hAnsi="宋体" w:cs="宋体"/>
          <w:color w:val="000000" w:themeColor="text1"/>
          <w:sz w:val="24"/>
          <w:szCs w:val="24"/>
          <w:highlight w:val="none"/>
          <w14:textFill>
            <w14:solidFill>
              <w14:schemeClr w14:val="tx1"/>
            </w14:solidFill>
          </w14:textFill>
        </w:rPr>
        <w:t>受投标有效期约束的所有权利与义务均延长至新的有效期</w:t>
      </w:r>
      <w:r>
        <w:rPr>
          <w:rStyle w:val="54"/>
          <w:rFonts w:hint="eastAsia" w:ascii="宋体" w:hAnsi="宋体" w:cs="宋体"/>
          <w:bCs/>
          <w:color w:val="000000" w:themeColor="text1"/>
          <w:sz w:val="24"/>
          <w:szCs w:val="24"/>
          <w:highlight w:val="none"/>
          <w14:textFill>
            <w14:solidFill>
              <w14:schemeClr w14:val="tx1"/>
            </w14:solidFill>
          </w14:textFill>
        </w:rPr>
        <w:t>。</w:t>
      </w:r>
    </w:p>
    <w:p w14:paraId="6F3DEE99">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18、投标文件份数和签署</w:t>
      </w:r>
    </w:p>
    <w:p w14:paraId="4F0DDFB5">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18.1</w:t>
      </w:r>
      <w:r>
        <w:rPr>
          <w:rStyle w:val="54"/>
          <w:rFonts w:hint="eastAsia" w:ascii="宋体" w:hAnsi="宋体" w:cs="宋体"/>
          <w:bCs/>
          <w:color w:val="000000" w:themeColor="text1"/>
          <w:sz w:val="24"/>
          <w:szCs w:val="24"/>
          <w:highlight w:val="none"/>
          <w14:textFill>
            <w14:solidFill>
              <w14:schemeClr w14:val="tx1"/>
            </w14:solidFill>
          </w14:textFill>
        </w:rPr>
        <w:t>投标人应严格按照招标公告和招标文件要求的份数准备投标文件，每份投标文件须清楚地标明“正本”或“副本”字样。一旦正本和副本不符，以正本为准。</w:t>
      </w:r>
    </w:p>
    <w:p w14:paraId="7F425277">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18.2投标文件</w:t>
      </w:r>
      <w:r>
        <w:rPr>
          <w:rStyle w:val="54"/>
          <w:rFonts w:hint="eastAsia" w:ascii="宋体" w:hAnsi="宋体" w:cs="宋体"/>
          <w:color w:val="000000" w:themeColor="text1"/>
          <w:sz w:val="24"/>
          <w:szCs w:val="24"/>
          <w:highlight w:val="none"/>
          <w:lang w:val="en-US" w:eastAsia="zh-CN"/>
          <w14:textFill>
            <w14:solidFill>
              <w14:schemeClr w14:val="tx1"/>
            </w14:solidFill>
          </w14:textFill>
        </w:rPr>
        <w:t>一号标书</w:t>
      </w:r>
      <w:r>
        <w:rPr>
          <w:rStyle w:val="54"/>
          <w:rFonts w:hint="eastAsia" w:ascii="宋体" w:hAnsi="宋体" w:cs="宋体"/>
          <w:color w:val="000000" w:themeColor="text1"/>
          <w:sz w:val="24"/>
          <w:szCs w:val="24"/>
          <w:highlight w:val="none"/>
          <w14:textFill>
            <w14:solidFill>
              <w14:schemeClr w14:val="tx1"/>
            </w14:solidFill>
          </w14:textFill>
        </w:rPr>
        <w:t>正本中，</w:t>
      </w:r>
      <w:r>
        <w:rPr>
          <w:rStyle w:val="54"/>
          <w:rFonts w:hint="eastAsia" w:ascii="宋体" w:hAnsi="宋体" w:cs="宋体"/>
          <w:bCs/>
          <w:color w:val="000000" w:themeColor="text1"/>
          <w:sz w:val="24"/>
          <w:szCs w:val="24"/>
          <w:highlight w:val="none"/>
          <w14:textFill>
            <w14:solidFill>
              <w14:schemeClr w14:val="tx1"/>
            </w14:solidFill>
          </w14:textFill>
        </w:rPr>
        <w:t>招标文件要求必须提供原件的按照要求提供，文</w:t>
      </w:r>
      <w:r>
        <w:rPr>
          <w:rStyle w:val="54"/>
          <w:rFonts w:hint="eastAsia" w:ascii="宋体" w:hAnsi="宋体" w:cs="宋体"/>
          <w:color w:val="000000" w:themeColor="text1"/>
          <w:sz w:val="24"/>
          <w:szCs w:val="24"/>
          <w:highlight w:val="none"/>
          <w14:textFill>
            <w14:solidFill>
              <w14:schemeClr w14:val="tx1"/>
            </w14:solidFill>
          </w14:textFill>
        </w:rPr>
        <w:t>字材料需打印或用不褪色墨水书写。投标文件的</w:t>
      </w:r>
      <w:r>
        <w:rPr>
          <w:rStyle w:val="54"/>
          <w:rFonts w:hint="eastAsia" w:ascii="宋体" w:hAnsi="宋体" w:cs="宋体"/>
          <w:color w:val="000000" w:themeColor="text1"/>
          <w:sz w:val="24"/>
          <w:szCs w:val="24"/>
          <w:highlight w:val="none"/>
          <w:lang w:val="en-US" w:eastAsia="zh-CN"/>
          <w14:textFill>
            <w14:solidFill>
              <w14:schemeClr w14:val="tx1"/>
            </w14:solidFill>
          </w14:textFill>
        </w:rPr>
        <w:t>一号标书</w:t>
      </w:r>
      <w:r>
        <w:rPr>
          <w:rStyle w:val="54"/>
          <w:rFonts w:hint="eastAsia" w:ascii="宋体" w:hAnsi="宋体" w:cs="宋体"/>
          <w:color w:val="000000" w:themeColor="text1"/>
          <w:sz w:val="24"/>
          <w:szCs w:val="24"/>
          <w:highlight w:val="none"/>
          <w14:textFill>
            <w14:solidFill>
              <w14:schemeClr w14:val="tx1"/>
            </w14:solidFill>
          </w14:textFill>
        </w:rPr>
        <w:t>正本须经法定代表人或授权委托人（被授权人）签署和加盖投标人公章。 本采购文件所表述（指定）的公章是指法定名称章，不包括合同专用章、业务专用章等印章。</w:t>
      </w:r>
    </w:p>
    <w:p w14:paraId="20F621D6">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18.3</w:t>
      </w:r>
      <w:r>
        <w:rPr>
          <w:rStyle w:val="54"/>
          <w:rFonts w:hint="eastAsia" w:ascii="宋体" w:hAnsi="宋体" w:cs="宋体"/>
          <w:bCs/>
          <w:color w:val="000000" w:themeColor="text1"/>
          <w:sz w:val="24"/>
          <w:szCs w:val="24"/>
          <w:highlight w:val="none"/>
          <w14:textFill>
            <w14:solidFill>
              <w14:schemeClr w14:val="tx1"/>
            </w14:solidFill>
          </w14:textFill>
        </w:rPr>
        <w:t xml:space="preserve"> 除投标人对错处做必要修改外，投标文件不得行间插字、涂改或增删。如有修改错漏处，必须由投标文件签署人签字或盖章。</w:t>
      </w:r>
    </w:p>
    <w:p w14:paraId="32ECEE7C">
      <w:pPr>
        <w:pStyle w:val="47"/>
        <w:snapToGrid w:val="0"/>
        <w:spacing w:before="0" w:after="0" w:line="360" w:lineRule="auto"/>
        <w:ind w:firstLine="482"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四、投标文件的递交</w:t>
      </w:r>
    </w:p>
    <w:p w14:paraId="13E4874B">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19、投标文件的密封和标记</w:t>
      </w:r>
    </w:p>
    <w:p w14:paraId="4AE4F8CC">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19.1</w:t>
      </w:r>
      <w:r>
        <w:rPr>
          <w:rStyle w:val="54"/>
          <w:rFonts w:hint="eastAsia" w:ascii="宋体" w:hAnsi="宋体" w:cs="宋体"/>
          <w:bCs/>
          <w:color w:val="000000" w:themeColor="text1"/>
          <w:sz w:val="24"/>
          <w:szCs w:val="24"/>
          <w:highlight w:val="none"/>
          <w14:textFill>
            <w14:solidFill>
              <w14:schemeClr w14:val="tx1"/>
            </w14:solidFill>
          </w14:textFill>
        </w:rPr>
        <w:t>投标人应将投标文件正本和所有副本密封，不论投标人中标与否，投标文件均不退回。</w:t>
      </w:r>
    </w:p>
    <w:p w14:paraId="273D18DA">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19.2</w:t>
      </w:r>
      <w:r>
        <w:rPr>
          <w:rStyle w:val="54"/>
          <w:rFonts w:hint="eastAsia" w:ascii="宋体" w:hAnsi="宋体" w:cs="宋体"/>
          <w:bCs/>
          <w:color w:val="000000" w:themeColor="text1"/>
          <w:sz w:val="24"/>
          <w:szCs w:val="24"/>
          <w:highlight w:val="none"/>
          <w14:textFill>
            <w14:solidFill>
              <w14:schemeClr w14:val="tx1"/>
            </w14:solidFill>
          </w14:textFill>
        </w:rPr>
        <w:t xml:space="preserve"> 密封的投标文件应：</w:t>
      </w:r>
    </w:p>
    <w:p w14:paraId="485D2EC7">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19.2.1 注明投标人名称，如因标注不清而产生的后果由投标人自负。按招标公告中注明的地址送达；</w:t>
      </w:r>
    </w:p>
    <w:p w14:paraId="263F6A52">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19.2.2  注明投标项目名称、标书编号。</w:t>
      </w:r>
    </w:p>
    <w:p w14:paraId="67E285AB">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19.2.3</w:t>
      </w:r>
      <w:r>
        <w:rPr>
          <w:rStyle w:val="54"/>
          <w:rFonts w:hint="eastAsia" w:ascii="宋体" w:hAnsi="宋体" w:cs="宋体"/>
          <w:bCs/>
          <w:color w:val="000000" w:themeColor="text1"/>
          <w:sz w:val="24"/>
          <w:szCs w:val="24"/>
          <w:highlight w:val="none"/>
          <w14:textFill>
            <w14:solidFill>
              <w14:schemeClr w14:val="tx1"/>
            </w14:solidFill>
          </w14:textFill>
        </w:rPr>
        <w:t xml:space="preserve">  未按要求密封和加写标记，采购人和采购代理机构对误投或过早启封概不负责。对由此造成提前开封的投标文件，采购人和采购代理机构将予以拒绝。</w:t>
      </w:r>
    </w:p>
    <w:p w14:paraId="3BEE59D2">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20、投标截止日期</w:t>
      </w:r>
    </w:p>
    <w:p w14:paraId="07E9E332">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20.1</w:t>
      </w:r>
      <w:r>
        <w:rPr>
          <w:rStyle w:val="54"/>
          <w:rFonts w:hint="eastAsia" w:ascii="宋体" w:hAnsi="宋体" w:cs="宋体"/>
          <w:bCs/>
          <w:color w:val="000000" w:themeColor="text1"/>
          <w:sz w:val="24"/>
          <w:szCs w:val="24"/>
          <w:highlight w:val="none"/>
          <w14:textFill>
            <w14:solidFill>
              <w14:schemeClr w14:val="tx1"/>
            </w14:solidFill>
          </w14:textFill>
        </w:rPr>
        <w:t xml:space="preserve"> 采购人和采购代理机构收到投标文件的时间不得迟于招标公告中规定的截止时间。</w:t>
      </w:r>
    </w:p>
    <w:p w14:paraId="05594AFA">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20.2</w:t>
      </w:r>
      <w:r>
        <w:rPr>
          <w:rStyle w:val="54"/>
          <w:rFonts w:hint="eastAsia" w:ascii="宋体" w:hAnsi="宋体" w:cs="宋体"/>
          <w:bCs/>
          <w:color w:val="000000" w:themeColor="text1"/>
          <w:sz w:val="24"/>
          <w:szCs w:val="24"/>
          <w:highlight w:val="none"/>
          <w14:textFill>
            <w14:solidFill>
              <w14:schemeClr w14:val="tx1"/>
            </w14:solidFill>
          </w14:textFill>
        </w:rPr>
        <w:t xml:space="preserve"> 采购人或采购代理机构有权通过修改招标文件酌情延长投标截止日期，在此情况下，投标人的所有权利和义务以及投标人受制的截止日期均应以延长后新的截止日期为准。</w:t>
      </w:r>
    </w:p>
    <w:p w14:paraId="30CDB6B3">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21、迟交的投标文件</w:t>
      </w:r>
    </w:p>
    <w:p w14:paraId="322B0EFB">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21.1</w:t>
      </w:r>
      <w:r>
        <w:rPr>
          <w:rStyle w:val="54"/>
          <w:rFonts w:hint="eastAsia" w:ascii="宋体" w:hAnsi="宋体" w:cs="宋体"/>
          <w:bCs/>
          <w:color w:val="000000" w:themeColor="text1"/>
          <w:sz w:val="24"/>
          <w:szCs w:val="24"/>
          <w:highlight w:val="none"/>
          <w14:textFill>
            <w14:solidFill>
              <w14:schemeClr w14:val="tx1"/>
            </w14:solidFill>
          </w14:textFill>
        </w:rPr>
        <w:t xml:space="preserve"> 采购人和采购代理机构拒绝接收在其规定的投标截止时间后递交的任何投标文件。</w:t>
      </w:r>
    </w:p>
    <w:p w14:paraId="0B4F79B6">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22、投标文件的修改和撤回</w:t>
      </w:r>
    </w:p>
    <w:p w14:paraId="44949C89">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22.1</w:t>
      </w:r>
      <w:r>
        <w:rPr>
          <w:rStyle w:val="54"/>
          <w:rFonts w:hint="eastAsia" w:ascii="宋体" w:hAnsi="宋体" w:cs="宋体"/>
          <w:bCs/>
          <w:color w:val="000000" w:themeColor="text1"/>
          <w:sz w:val="24"/>
          <w:szCs w:val="24"/>
          <w:highlight w:val="none"/>
          <w14:textFill>
            <w14:solidFill>
              <w14:schemeClr w14:val="tx1"/>
            </w14:solidFill>
          </w14:textFill>
        </w:rPr>
        <w:t xml:space="preserve"> 投标人在递交投标文件后，可以修改或撤回其投标文件，但这种修改和撤回，必须在规定的投标截止时间前，以书面形式</w:t>
      </w:r>
      <w:r>
        <w:rPr>
          <w:rStyle w:val="54"/>
          <w:rFonts w:hint="eastAsia" w:ascii="宋体" w:hAnsi="宋体" w:cs="宋体"/>
          <w:color w:val="000000" w:themeColor="text1"/>
          <w:sz w:val="24"/>
          <w:szCs w:val="24"/>
          <w:highlight w:val="none"/>
          <w14:textFill>
            <w14:solidFill>
              <w14:schemeClr w14:val="tx1"/>
            </w14:solidFill>
          </w14:textFill>
        </w:rPr>
        <w:t>通知采购人或采购代理机构，修改或撤回其投标文件。</w:t>
      </w:r>
    </w:p>
    <w:p w14:paraId="0B6C34DF">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22.2</w:t>
      </w:r>
      <w:r>
        <w:rPr>
          <w:rStyle w:val="54"/>
          <w:rFonts w:hint="eastAsia" w:ascii="宋体" w:hAnsi="宋体" w:cs="宋体"/>
          <w:bCs/>
          <w:color w:val="000000" w:themeColor="text1"/>
          <w:sz w:val="24"/>
          <w:szCs w:val="24"/>
          <w:highlight w:val="none"/>
          <w14:textFill>
            <w14:solidFill>
              <w14:schemeClr w14:val="tx1"/>
            </w14:solidFill>
          </w14:textFill>
        </w:rPr>
        <w:t xml:space="preserve"> 投标人的修改或撤回文件应按规定进行编制、密封、标记和发送，并应在封套上加注“修改”或“撤回”字样。</w:t>
      </w:r>
      <w:r>
        <w:rPr>
          <w:rStyle w:val="54"/>
          <w:rFonts w:hint="eastAsia" w:ascii="宋体" w:hAnsi="宋体" w:cs="宋体"/>
          <w:color w:val="000000" w:themeColor="text1"/>
          <w:sz w:val="24"/>
          <w:szCs w:val="24"/>
          <w:highlight w:val="none"/>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14:paraId="1F634985">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22.3</w:t>
      </w:r>
      <w:r>
        <w:rPr>
          <w:rStyle w:val="54"/>
          <w:rFonts w:hint="eastAsia" w:ascii="宋体" w:hAnsi="宋体" w:cs="宋体"/>
          <w:bCs/>
          <w:color w:val="000000" w:themeColor="text1"/>
          <w:sz w:val="24"/>
          <w:szCs w:val="24"/>
          <w:highlight w:val="none"/>
          <w14:textFill>
            <w14:solidFill>
              <w14:schemeClr w14:val="tx1"/>
            </w14:solidFill>
          </w14:textFill>
        </w:rPr>
        <w:t xml:space="preserve"> 在投标截止时间之后，投标人不得对其投标文件作任何修改。</w:t>
      </w:r>
    </w:p>
    <w:p w14:paraId="46D78868">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22.4</w:t>
      </w:r>
      <w:r>
        <w:rPr>
          <w:rStyle w:val="54"/>
          <w:rFonts w:hint="eastAsia" w:ascii="宋体" w:hAnsi="宋体" w:cs="宋体"/>
          <w:bCs/>
          <w:color w:val="000000" w:themeColor="text1"/>
          <w:sz w:val="24"/>
          <w:szCs w:val="24"/>
          <w:highlight w:val="none"/>
          <w14:textFill>
            <w14:solidFill>
              <w14:schemeClr w14:val="tx1"/>
            </w14:solidFill>
          </w14:textFill>
        </w:rPr>
        <w:t xml:space="preserve"> 在投标截止时间至招标文件中规定的投标有效期满之间的这段时间内，投标人不得撤回其投标，否则按照国家相关法律法规受到相应处罚。</w:t>
      </w:r>
    </w:p>
    <w:p w14:paraId="5BF8FDD6">
      <w:pPr>
        <w:pStyle w:val="47"/>
        <w:snapToGrid w:val="0"/>
        <w:spacing w:before="0" w:after="0" w:line="360" w:lineRule="auto"/>
        <w:ind w:firstLine="482"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五、开标与评标</w:t>
      </w:r>
    </w:p>
    <w:p w14:paraId="6C398985">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23、开标</w:t>
      </w:r>
    </w:p>
    <w:p w14:paraId="5FCA9FFC">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23.1</w:t>
      </w:r>
      <w:r>
        <w:rPr>
          <w:rStyle w:val="54"/>
          <w:rFonts w:hint="eastAsia" w:ascii="宋体" w:hAnsi="宋体" w:cs="宋体"/>
          <w:bCs/>
          <w:color w:val="000000" w:themeColor="text1"/>
          <w:sz w:val="24"/>
          <w:szCs w:val="24"/>
          <w:highlight w:val="none"/>
          <w14:textFill>
            <w14:solidFill>
              <w14:schemeClr w14:val="tx1"/>
            </w14:solidFill>
          </w14:textFill>
        </w:rPr>
        <w:t xml:space="preserve"> 采购人和采购代理机构将在招标公告中规定的时间和地点组织公开开标</w:t>
      </w:r>
      <w:r>
        <w:rPr>
          <w:rStyle w:val="54"/>
          <w:rFonts w:hint="eastAsia" w:ascii="宋体" w:hAnsi="宋体" w:cs="宋体"/>
          <w:color w:val="000000" w:themeColor="text1"/>
          <w:sz w:val="24"/>
          <w:szCs w:val="24"/>
          <w:highlight w:val="none"/>
          <w14:textFill>
            <w14:solidFill>
              <w14:schemeClr w14:val="tx1"/>
            </w14:solidFill>
          </w14:textFill>
        </w:rPr>
        <w:t>。投标人应委派携带有效证件的代表准时参加，参加开标的代表需签名以证明其出席。</w:t>
      </w:r>
    </w:p>
    <w:p w14:paraId="07F4EAAD">
      <w:pPr>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23.2</w:t>
      </w:r>
      <w:r>
        <w:rPr>
          <w:rFonts w:hint="eastAsia" w:ascii="宋体" w:hAnsi="宋体" w:cs="宋体"/>
          <w:color w:val="000000" w:themeColor="text1"/>
          <w:sz w:val="24"/>
          <w:szCs w:val="24"/>
          <w:highlight w:val="none"/>
          <w14:textFill>
            <w14:solidFill>
              <w14:schemeClr w14:val="tx1"/>
            </w14:solidFill>
          </w14:textFill>
        </w:rPr>
        <w:t>开标仪式由采购人或采购代理机构组织，采购人代表、公证员（必要时）、监管代表、投标人代表等参加。</w:t>
      </w:r>
    </w:p>
    <w:p w14:paraId="231F35A1">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23.3</w:t>
      </w:r>
      <w:r>
        <w:rPr>
          <w:rStyle w:val="54"/>
          <w:rFonts w:hint="eastAsia" w:ascii="宋体" w:hAnsi="宋体" w:cs="宋体"/>
          <w:bCs/>
          <w:color w:val="000000" w:themeColor="text1"/>
          <w:sz w:val="24"/>
          <w:szCs w:val="24"/>
          <w:highlight w:val="none"/>
          <w14:textFill>
            <w14:solidFill>
              <w14:schemeClr w14:val="tx1"/>
            </w14:solidFill>
          </w14:textFill>
        </w:rPr>
        <w:t>按照规定同意撤回的投标将不予开封。</w:t>
      </w:r>
    </w:p>
    <w:p w14:paraId="5985790C">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14:paraId="2BD1D661">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23.5 采购人或采购代理机构将指定专人负责开标记录并存档备查，各投标人需仔细核对开标记录相关内容并签字确认。</w:t>
      </w:r>
    </w:p>
    <w:p w14:paraId="1A8970F9">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23.6 投标人在报价时不允许采用选择性报价，否则将被视为无效投标。</w:t>
      </w:r>
    </w:p>
    <w:p w14:paraId="2682BF4B">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24、资格审查</w:t>
      </w:r>
    </w:p>
    <w:p w14:paraId="76C4923D">
      <w:pPr>
        <w:adjustRightInd w:val="0"/>
        <w:snapToGrid w:val="0"/>
        <w:spacing w:line="360" w:lineRule="auto"/>
        <w:ind w:firstLine="480" w:firstLineChars="200"/>
        <w:jc w:val="left"/>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24.1</w:t>
      </w:r>
      <w:r>
        <w:rPr>
          <w:rFonts w:hint="eastAsia" w:ascii="宋体" w:hAnsi="宋体" w:cs="宋体"/>
          <w:b/>
          <w:color w:val="000000" w:themeColor="text1"/>
          <w:sz w:val="24"/>
          <w:szCs w:val="24"/>
          <w:highlight w:val="none"/>
          <w14:textFill>
            <w14:solidFill>
              <w14:schemeClr w14:val="tx1"/>
            </w14:solidFill>
          </w14:textFill>
        </w:rPr>
        <w:t>开标结束后，采购人或采购代理机构应当依法对投标人的资格进行审查。</w:t>
      </w:r>
      <w:r>
        <w:rPr>
          <w:rFonts w:hint="eastAsia" w:ascii="宋体" w:hAnsi="宋体" w:cs="宋体"/>
          <w:color w:val="000000" w:themeColor="text1"/>
          <w:sz w:val="24"/>
          <w:szCs w:val="24"/>
          <w:highlight w:val="none"/>
          <w14:textFill>
            <w14:solidFill>
              <w14:schemeClr w14:val="tx1"/>
            </w14:solidFill>
          </w14:textFill>
        </w:rPr>
        <w:t>（财政部87号令第44条规定）</w:t>
      </w:r>
    </w:p>
    <w:p w14:paraId="1B36C4B1">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25、评标委员会</w:t>
      </w:r>
    </w:p>
    <w:p w14:paraId="14BF1A62">
      <w:pPr>
        <w:snapToGrid w:val="0"/>
        <w:spacing w:line="360" w:lineRule="auto"/>
        <w:ind w:firstLine="480" w:firstLineChars="200"/>
        <w:rPr>
          <w:rStyle w:val="54"/>
          <w:rFonts w:ascii="宋体" w:hAnsi="宋体" w:cs="宋体"/>
          <w:b/>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25.1资格审查通过后，采购人将组织评标委员会（以下简称评委会）进行评标。</w:t>
      </w:r>
    </w:p>
    <w:p w14:paraId="1837E7A2">
      <w:pPr>
        <w:widowControl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25.2 评委会由采购人代表和有关技术、经济等方面的专家组成，且人员构成符合政府采购有关规定。</w:t>
      </w:r>
    </w:p>
    <w:p w14:paraId="3F4DF24D">
      <w:pPr>
        <w:widowControl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25.3评委会独立工作，负责评审所有投标文件并确定中标候选人。</w:t>
      </w:r>
    </w:p>
    <w:p w14:paraId="1DB27E5C">
      <w:pPr>
        <w:pStyle w:val="48"/>
        <w:widowControl w:val="0"/>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26、评标过程的保密与公正</w:t>
      </w:r>
    </w:p>
    <w:p w14:paraId="7988FEF3">
      <w:pPr>
        <w:widowControl w:val="0"/>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26.1</w:t>
      </w:r>
      <w:r>
        <w:rPr>
          <w:rStyle w:val="54"/>
          <w:rFonts w:hint="eastAsia" w:ascii="宋体" w:hAnsi="宋体" w:cs="宋体"/>
          <w:bCs/>
          <w:color w:val="000000" w:themeColor="text1"/>
          <w:sz w:val="24"/>
          <w:szCs w:val="24"/>
          <w:highlight w:val="none"/>
          <w14:textFill>
            <w14:solidFill>
              <w14:schemeClr w14:val="tx1"/>
            </w14:solidFill>
          </w14:textFill>
        </w:rPr>
        <w:t>公开开标后，直至签订合同之日止，凡是与审查、澄清、评价和比较投标的有关资料以及授标建议等，采购人、评委、采购人和采购代理机构均不得向投标人或与评标无关的其他人员透露。</w:t>
      </w:r>
    </w:p>
    <w:p w14:paraId="6E3EFED5">
      <w:pPr>
        <w:widowControl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26.2在评标过程中，投标人不得以任何行为影响评标过程，否则其投标文件将被作为无效投标文件。</w:t>
      </w:r>
    </w:p>
    <w:p w14:paraId="02C95CB1">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27、投标的澄清</w:t>
      </w:r>
    </w:p>
    <w:p w14:paraId="47E38EEE">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14:paraId="585F0F78">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14:paraId="2DA351C4">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27.3 接到评委会澄清要求的投标人如未按规定做出澄清，其风险由投标人自行承担。</w:t>
      </w:r>
    </w:p>
    <w:p w14:paraId="1B2B4BEE">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28、对投标文件的评审</w:t>
      </w:r>
    </w:p>
    <w:p w14:paraId="7E9C34A8">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28.1</w:t>
      </w:r>
      <w:r>
        <w:rPr>
          <w:rStyle w:val="54"/>
          <w:rFonts w:hint="eastAsia" w:ascii="宋体" w:hAnsi="宋体" w:cs="宋体"/>
          <w:bCs/>
          <w:color w:val="000000" w:themeColor="text1"/>
          <w:sz w:val="24"/>
          <w:szCs w:val="24"/>
          <w:highlight w:val="none"/>
          <w14:textFill>
            <w14:solidFill>
              <w14:schemeClr w14:val="tx1"/>
            </w14:solidFill>
          </w14:textFill>
        </w:rPr>
        <w:t>符合性检查：依据招标文件的规定，从投标文件的有效性、完整性和对招标文件的响应程度进行审查，以确定是否对招标文件的实质性要求作出响应。</w:t>
      </w:r>
    </w:p>
    <w:p w14:paraId="377CDC98">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14:paraId="4E3D053A">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54"/>
          <w:rFonts w:hint="eastAsia" w:ascii="宋体" w:hAnsi="宋体" w:cs="宋体"/>
          <w:bCs/>
          <w:color w:val="000000" w:themeColor="text1"/>
          <w:sz w:val="24"/>
          <w:szCs w:val="24"/>
          <w:highlight w:val="none"/>
          <w14:textFill>
            <w14:solidFill>
              <w14:schemeClr w14:val="tx1"/>
            </w14:solidFill>
          </w14:textFill>
        </w:rPr>
        <w:t>评委决定投标文件的响应性只根据投标文件本身的内容，而不寻求外部的证据。</w:t>
      </w:r>
    </w:p>
    <w:p w14:paraId="4691D78F">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28.3</w:t>
      </w:r>
      <w:r>
        <w:rPr>
          <w:rStyle w:val="54"/>
          <w:rFonts w:hint="eastAsia" w:ascii="宋体" w:hAnsi="宋体" w:cs="宋体"/>
          <w:bCs/>
          <w:color w:val="000000" w:themeColor="text1"/>
          <w:sz w:val="24"/>
          <w:szCs w:val="24"/>
          <w:highlight w:val="none"/>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14:paraId="23F07B93">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28.4评委会将对确定为实质性响应的投标进行进一步审核，看其是否有计算上或累加上的算术错误，修正错误的原则如下：</w:t>
      </w:r>
    </w:p>
    <w:p w14:paraId="5F7D6D54">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（1）投标文件中开标一览表内容与投标文件中相应内容不一致的，以开标一览表为准。</w:t>
      </w:r>
    </w:p>
    <w:p w14:paraId="36C455D8">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（2）大写金额和小写金额不一致的，以大写金额为准。</w:t>
      </w:r>
    </w:p>
    <w:p w14:paraId="30E08E21">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（3）单价金额小数点或者百分比有明显错位的，以开标一览表的总价为准，并修改单价。</w:t>
      </w:r>
    </w:p>
    <w:p w14:paraId="7F046580">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（4）总价金额与按单价汇总金额不一致的，以单价金额计算结果为准。</w:t>
      </w:r>
    </w:p>
    <w:p w14:paraId="6093870E">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同时出现两种以上错误的，按照前款规定的顺序修正。</w:t>
      </w:r>
    </w:p>
    <w:p w14:paraId="50608F22">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28.5</w:t>
      </w:r>
      <w:r>
        <w:rPr>
          <w:rStyle w:val="54"/>
          <w:rFonts w:hint="eastAsia" w:ascii="宋体" w:hAnsi="宋体" w:cs="宋体"/>
          <w:bCs/>
          <w:color w:val="000000" w:themeColor="text1"/>
          <w:sz w:val="24"/>
          <w:szCs w:val="24"/>
          <w:highlight w:val="none"/>
          <w14:textFill>
            <w14:solidFill>
              <w14:schemeClr w14:val="tx1"/>
            </w14:solidFill>
          </w14:textFill>
        </w:rPr>
        <w:t>评委会将按上述修正错误的方法调整投标文件中的投标报价，调整后的价格应对投标人具有约束力。如果投标人不接受修正后的价格，则其投标将被拒绝，则按照国家相关法律法规受到相应处罚。</w:t>
      </w:r>
    </w:p>
    <w:p w14:paraId="1424547D">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28.6</w:t>
      </w:r>
      <w:r>
        <w:rPr>
          <w:rStyle w:val="54"/>
          <w:rFonts w:hint="eastAsia" w:ascii="宋体" w:hAnsi="宋体" w:cs="宋体"/>
          <w:bCs/>
          <w:color w:val="000000" w:themeColor="text1"/>
          <w:sz w:val="24"/>
          <w:szCs w:val="24"/>
          <w:highlight w:val="none"/>
          <w14:textFill>
            <w14:solidFill>
              <w14:schemeClr w14:val="tx1"/>
            </w14:solidFill>
          </w14:textFill>
        </w:rPr>
        <w:t>评委会将允许修正投标文件中不构成重大偏离的、微小的、非正规的、不一致的或不规则的地方，但这些修改不能影响任何投标人相应的名次排列。</w:t>
      </w:r>
    </w:p>
    <w:p w14:paraId="449835DF">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29、无效投标条款和废标条款</w:t>
      </w:r>
    </w:p>
    <w:p w14:paraId="122EEEC9">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29.1无效投标条款</w:t>
      </w:r>
    </w:p>
    <w:p w14:paraId="33B13750">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29.1.1未按要求交纳投标保证金的（本项目无要求）；</w:t>
      </w:r>
    </w:p>
    <w:p w14:paraId="1701699F">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29.1.2未按照招标文件规定要求密封、签署、盖章的；</w:t>
      </w:r>
    </w:p>
    <w:p w14:paraId="02741EB2">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29.1.3投标人在报价时采用选择性报价；</w:t>
      </w:r>
    </w:p>
    <w:p w14:paraId="54D98A35">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29.1.4投标人不具备招标文件中规定资格要求的；</w:t>
      </w:r>
    </w:p>
    <w:p w14:paraId="798336AC">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29.1.5投标人的报价超过了采购预算或最高限价的；</w:t>
      </w:r>
    </w:p>
    <w:p w14:paraId="68AF3833">
      <w:pPr>
        <w:snapToGrid w:val="0"/>
        <w:spacing w:line="360" w:lineRule="auto"/>
        <w:ind w:firstLine="480" w:firstLineChars="200"/>
        <w:rPr>
          <w:rStyle w:val="54"/>
          <w:rFonts w:ascii="宋体" w:hAnsi="宋体" w:cs="宋体"/>
          <w:bCs/>
          <w:i/>
          <w:color w:val="000000" w:themeColor="text1"/>
          <w:sz w:val="24"/>
          <w:szCs w:val="24"/>
          <w:highlight w:val="none"/>
          <w:u w:val="single" w:color="000000"/>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29.1.6未通过符合性检查的；</w:t>
      </w:r>
    </w:p>
    <w:p w14:paraId="758357CB">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29.1.7不符合招标文件中规定的其他实质性要求和条件的；</w:t>
      </w:r>
    </w:p>
    <w:p w14:paraId="07B9CEA2">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29.1.8 投标人串通投标；</w:t>
      </w:r>
    </w:p>
    <w:p w14:paraId="760FE0CB">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29.1.9  投标文件含有采购人不能接受的附加条件的。</w:t>
      </w:r>
    </w:p>
    <w:p w14:paraId="19A2AAAC">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6321F4B">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29.1.11其他法律、法规及本招标文件规定的属无效投标的情形。</w:t>
      </w:r>
    </w:p>
    <w:p w14:paraId="4FDB76EE">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 xml:space="preserve">29.2废标条款：                                                                                                                                                                                                                                                                                                                                                                                                                                                                                                                                                                                                                                                                                                                                                                                                                                                                                                                                                                                                                                                                                                                                                                                                                                                                                                                                                                                                                                                                         </w:t>
      </w:r>
    </w:p>
    <w:p w14:paraId="66CBA0A4">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29.2.1符合专业条件的供应商或者对招标文件作实质响应的供应商不足三家的；</w:t>
      </w:r>
    </w:p>
    <w:p w14:paraId="35397801">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29.2.2出现影响采购公正的违法、违规行为的；</w:t>
      </w:r>
    </w:p>
    <w:p w14:paraId="25B27BCB">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29.2.3因重大变故，采购任务取消的；</w:t>
      </w:r>
    </w:p>
    <w:p w14:paraId="5F77B2F0">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29.2.4评标委员会认定招标文件存在歧义、 重大缺陷导致评审工作无法进行。</w:t>
      </w:r>
    </w:p>
    <w:p w14:paraId="08D471CB">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29.3 投标截止时间结束后参加投标的供应商不足三家的处理：</w:t>
      </w:r>
    </w:p>
    <w:p w14:paraId="46288C99">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14:paraId="3B74CF6A">
      <w:pPr>
        <w:pStyle w:val="47"/>
        <w:snapToGrid w:val="0"/>
        <w:spacing w:before="0" w:after="0" w:line="360" w:lineRule="auto"/>
        <w:ind w:firstLine="482"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六、定标</w:t>
      </w:r>
    </w:p>
    <w:p w14:paraId="3CA8CA0F">
      <w:pPr>
        <w:pStyle w:val="48"/>
        <w:snapToGrid w:val="0"/>
        <w:spacing w:before="0" w:after="0" w:line="360" w:lineRule="auto"/>
        <w:ind w:firstLine="480" w:firstLineChars="200"/>
        <w:rPr>
          <w:rStyle w:val="54"/>
          <w:rFonts w:ascii="宋体" w:hAnsi="宋体" w:cs="宋体"/>
          <w:b w:val="0"/>
          <w:color w:val="000000" w:themeColor="text1"/>
          <w:sz w:val="24"/>
          <w:szCs w:val="24"/>
          <w:highlight w:val="none"/>
          <w14:textFill>
            <w14:solidFill>
              <w14:schemeClr w14:val="tx1"/>
            </w14:solidFill>
          </w14:textFill>
        </w:rPr>
      </w:pPr>
      <w:r>
        <w:rPr>
          <w:rStyle w:val="54"/>
          <w:rFonts w:hint="eastAsia" w:ascii="宋体" w:hAnsi="宋体" w:cs="宋体"/>
          <w:b w:val="0"/>
          <w:color w:val="000000" w:themeColor="text1"/>
          <w:sz w:val="24"/>
          <w:szCs w:val="24"/>
          <w:highlight w:val="none"/>
          <w14:textFill>
            <w14:solidFill>
              <w14:schemeClr w14:val="tx1"/>
            </w14:solidFill>
          </w14:textFill>
        </w:rPr>
        <w:t>30、确定中标单位</w:t>
      </w:r>
    </w:p>
    <w:p w14:paraId="125FE5D9">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30.1评委会根据本招标文件规定评标方法与评标标准向采购人推荐出中标候选人。</w:t>
      </w:r>
    </w:p>
    <w:p w14:paraId="23AFDE40">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30.2 采购人应根据评委会推荐的中标候选人确定中标供应商。</w:t>
      </w:r>
    </w:p>
    <w:p w14:paraId="2DC35EEC">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30.3采购人</w:t>
      </w:r>
      <w:r>
        <w:rPr>
          <w:rStyle w:val="54"/>
          <w:rFonts w:hint="eastAsia" w:ascii="宋体" w:hAnsi="宋体" w:cs="宋体"/>
          <w:color w:val="000000" w:themeColor="text1"/>
          <w:sz w:val="24"/>
          <w:szCs w:val="24"/>
          <w:highlight w:val="none"/>
          <w14:textFill>
            <w14:solidFill>
              <w14:schemeClr w14:val="tx1"/>
            </w14:solidFill>
          </w14:textFill>
        </w:rPr>
        <w:t>将在“</w:t>
      </w:r>
      <w:r>
        <w:rPr>
          <w:rStyle w:val="54"/>
          <w:rFonts w:hint="eastAsia" w:ascii="宋体" w:hAnsi="宋体" w:cs="宋体"/>
          <w:color w:val="000000" w:themeColor="text1"/>
          <w:sz w:val="24"/>
          <w:szCs w:val="24"/>
          <w:highlight w:val="none"/>
          <w:lang w:eastAsia="zh-CN"/>
          <w14:textFill>
            <w14:solidFill>
              <w14:schemeClr w14:val="tx1"/>
            </w14:solidFill>
          </w14:textFill>
        </w:rPr>
        <w:t>盐城工业职业技术学院招标采购网</w:t>
      </w:r>
      <w:r>
        <w:rPr>
          <w:rStyle w:val="54"/>
          <w:rFonts w:hint="eastAsia" w:ascii="宋体" w:hAnsi="宋体" w:cs="宋体"/>
          <w:color w:val="000000" w:themeColor="text1"/>
          <w:sz w:val="24"/>
          <w:szCs w:val="24"/>
          <w:highlight w:val="none"/>
          <w14:textFill>
            <w14:solidFill>
              <w14:schemeClr w14:val="tx1"/>
            </w14:solidFill>
          </w14:textFill>
        </w:rPr>
        <w:t>”发布中标公告，公告期限为1个工作日。</w:t>
      </w:r>
    </w:p>
    <w:p w14:paraId="11ED47BD">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30</w:t>
      </w:r>
      <w:r>
        <w:rPr>
          <w:rStyle w:val="54"/>
          <w:rFonts w:hint="eastAsia" w:ascii="宋体" w:hAnsi="宋体" w:cs="宋体"/>
          <w:color w:val="000000" w:themeColor="text1"/>
          <w:sz w:val="24"/>
          <w:szCs w:val="24"/>
          <w:highlight w:val="none"/>
          <w14:textFill>
            <w14:solidFill>
              <w14:schemeClr w14:val="tx1"/>
            </w14:solidFill>
          </w14:textFill>
        </w:rPr>
        <w:t>.4若有充分证据证明，中标供应商出现下列情况之一的，一经查实，将被取消中标资格：</w:t>
      </w:r>
    </w:p>
    <w:p w14:paraId="2B30631A">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30</w:t>
      </w:r>
      <w:r>
        <w:rPr>
          <w:rStyle w:val="54"/>
          <w:rFonts w:hint="eastAsia" w:ascii="宋体" w:hAnsi="宋体" w:cs="宋体"/>
          <w:color w:val="000000" w:themeColor="text1"/>
          <w:sz w:val="24"/>
          <w:szCs w:val="24"/>
          <w:highlight w:val="none"/>
          <w14:textFill>
            <w14:solidFill>
              <w14:schemeClr w14:val="tx1"/>
            </w14:solidFill>
          </w14:textFill>
        </w:rPr>
        <w:t>.4.1提供虚假材料谋取中标的；</w:t>
      </w:r>
    </w:p>
    <w:p w14:paraId="185204E0">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30</w:t>
      </w:r>
      <w:r>
        <w:rPr>
          <w:rStyle w:val="54"/>
          <w:rFonts w:hint="eastAsia" w:ascii="宋体" w:hAnsi="宋体" w:cs="宋体"/>
          <w:color w:val="000000" w:themeColor="text1"/>
          <w:sz w:val="24"/>
          <w:szCs w:val="24"/>
          <w:highlight w:val="none"/>
          <w14:textFill>
            <w14:solidFill>
              <w14:schemeClr w14:val="tx1"/>
            </w14:solidFill>
          </w14:textFill>
        </w:rPr>
        <w:t>.4.2向采购人或采购代理机构行贿或者提供其他不正当利益的；</w:t>
      </w:r>
    </w:p>
    <w:p w14:paraId="0A6A4A89">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30</w:t>
      </w:r>
      <w:r>
        <w:rPr>
          <w:rStyle w:val="54"/>
          <w:rFonts w:hint="eastAsia" w:ascii="宋体" w:hAnsi="宋体" w:cs="宋体"/>
          <w:color w:val="000000" w:themeColor="text1"/>
          <w:sz w:val="24"/>
          <w:szCs w:val="24"/>
          <w:highlight w:val="none"/>
          <w14:textFill>
            <w14:solidFill>
              <w14:schemeClr w14:val="tx1"/>
            </w14:solidFill>
          </w14:textFill>
        </w:rPr>
        <w:t>.4.3恶意竞争，投标总报价明显低于其自身合理成本且又无法提供证明的；</w:t>
      </w:r>
    </w:p>
    <w:p w14:paraId="43009E14">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30.4.4属于本文件规定的无效条件，但在评标过程中又未被评委会发现的；</w:t>
      </w:r>
    </w:p>
    <w:p w14:paraId="18607D40">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30.4.5与采购人或者其他供应商恶意串通的；</w:t>
      </w:r>
    </w:p>
    <w:p w14:paraId="086F19E8">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30.4.6采取不正当手段诋毁、排挤其他供应商的；</w:t>
      </w:r>
    </w:p>
    <w:p w14:paraId="251BA27B">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30.4.7不符合法律、法规的规定的。</w:t>
      </w:r>
    </w:p>
    <w:p w14:paraId="076CED9A">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 xml:space="preserve">30.5. </w:t>
      </w:r>
      <w:r>
        <w:rPr>
          <w:rStyle w:val="54"/>
          <w:rFonts w:hint="eastAsia" w:ascii="宋体" w:hAnsi="宋体" w:cs="宋体"/>
          <w:color w:val="000000" w:themeColor="text1"/>
          <w:kern w:val="0"/>
          <w:sz w:val="24"/>
          <w:szCs w:val="24"/>
          <w:highlight w:val="none"/>
          <w14:textFill>
            <w14:solidFill>
              <w14:schemeClr w14:val="tx1"/>
            </w14:solidFill>
          </w14:textFill>
        </w:rPr>
        <w:t>有下列情形之一的，视为投标人串通投标，投标无效：</w:t>
      </w:r>
    </w:p>
    <w:p w14:paraId="4740BEE5">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30.5.1不同投标人的投标文件由同一单位或者个人编制。</w:t>
      </w:r>
    </w:p>
    <w:p w14:paraId="42B716CF">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30.5.2不同投标人委托同一单位或者个人办理投标事宜。</w:t>
      </w:r>
    </w:p>
    <w:p w14:paraId="2E03E1AE">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30.5.3 不同投标人的投标文件载明的项目管理成员或者联系人员为同一人。</w:t>
      </w:r>
    </w:p>
    <w:p w14:paraId="27A88EB1">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30.5.4不同投标人的投标文件异常一致或者投标报价呈规律性差异。</w:t>
      </w:r>
    </w:p>
    <w:p w14:paraId="354D5805">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30.5.5不同投标人的投标文件相互混装。</w:t>
      </w:r>
    </w:p>
    <w:p w14:paraId="1FCC841B">
      <w:pPr>
        <w:pStyle w:val="48"/>
        <w:tabs>
          <w:tab w:val="left" w:pos="4120"/>
        </w:tabs>
        <w:snapToGrid w:val="0"/>
        <w:spacing w:before="0" w:after="0" w:line="360" w:lineRule="auto"/>
        <w:ind w:firstLine="480" w:firstLineChars="200"/>
        <w:rPr>
          <w:rStyle w:val="54"/>
          <w:rFonts w:ascii="宋体" w:hAnsi="宋体" w:cs="宋体"/>
          <w:b w:val="0"/>
          <w:color w:val="000000" w:themeColor="text1"/>
          <w:sz w:val="24"/>
          <w:szCs w:val="24"/>
          <w:highlight w:val="none"/>
          <w14:textFill>
            <w14:solidFill>
              <w14:schemeClr w14:val="tx1"/>
            </w14:solidFill>
          </w14:textFill>
        </w:rPr>
      </w:pPr>
      <w:r>
        <w:rPr>
          <w:rStyle w:val="54"/>
          <w:rFonts w:hint="eastAsia" w:ascii="宋体" w:hAnsi="宋体" w:cs="宋体"/>
          <w:b w:val="0"/>
          <w:color w:val="000000" w:themeColor="text1"/>
          <w:sz w:val="24"/>
          <w:szCs w:val="24"/>
          <w:highlight w:val="none"/>
          <w14:textFill>
            <w14:solidFill>
              <w14:schemeClr w14:val="tx1"/>
            </w14:solidFill>
          </w14:textFill>
        </w:rPr>
        <w:t>31、质疑处理</w:t>
      </w:r>
      <w:r>
        <w:rPr>
          <w:rStyle w:val="54"/>
          <w:rFonts w:hint="eastAsia" w:ascii="宋体" w:hAnsi="宋体" w:cs="宋体"/>
          <w:b w:val="0"/>
          <w:color w:val="000000" w:themeColor="text1"/>
          <w:sz w:val="24"/>
          <w:szCs w:val="24"/>
          <w:highlight w:val="none"/>
          <w14:textFill>
            <w14:solidFill>
              <w14:schemeClr w14:val="tx1"/>
            </w14:solidFill>
          </w14:textFill>
        </w:rPr>
        <w:tab/>
      </w:r>
    </w:p>
    <w:p w14:paraId="464F647A">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14:paraId="42E351F4">
      <w:pPr>
        <w:snapToGrid w:val="0"/>
        <w:spacing w:line="360" w:lineRule="auto"/>
        <w:ind w:firstLine="480" w:firstLineChars="200"/>
        <w:rPr>
          <w:rStyle w:val="54"/>
          <w:rFonts w:ascii="宋体" w:hAnsi="宋体" w:cs="宋体"/>
          <w:color w:val="000000" w:themeColor="text1"/>
          <w:kern w:val="0"/>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31.1.1</w:t>
      </w:r>
      <w:r>
        <w:rPr>
          <w:rStyle w:val="54"/>
          <w:rFonts w:hint="eastAsia" w:ascii="宋体" w:hAnsi="宋体" w:cs="宋体"/>
          <w:color w:val="000000" w:themeColor="text1"/>
          <w:kern w:val="0"/>
          <w:sz w:val="24"/>
          <w:szCs w:val="24"/>
          <w:highlight w:val="none"/>
          <w14:textFill>
            <w14:solidFill>
              <w14:schemeClr w14:val="tx1"/>
            </w14:solidFill>
          </w14:textFill>
        </w:rPr>
        <w:t>对可以质疑的招标文件提出质疑的，为收到招标文件之日或者招标文件公告期限届满之日；</w:t>
      </w:r>
    </w:p>
    <w:p w14:paraId="418E2ED2">
      <w:pPr>
        <w:snapToGrid w:val="0"/>
        <w:spacing w:line="360" w:lineRule="auto"/>
        <w:ind w:firstLine="480" w:firstLineChars="200"/>
        <w:rPr>
          <w:rStyle w:val="54"/>
          <w:rFonts w:ascii="宋体" w:hAnsi="宋体" w:cs="宋体"/>
          <w:color w:val="000000" w:themeColor="text1"/>
          <w:kern w:val="0"/>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31.1.2</w:t>
      </w:r>
      <w:r>
        <w:rPr>
          <w:rStyle w:val="54"/>
          <w:rFonts w:hint="eastAsia" w:ascii="宋体" w:hAnsi="宋体" w:cs="宋体"/>
          <w:color w:val="000000" w:themeColor="text1"/>
          <w:kern w:val="0"/>
          <w:sz w:val="24"/>
          <w:szCs w:val="24"/>
          <w:highlight w:val="none"/>
          <w14:textFill>
            <w14:solidFill>
              <w14:schemeClr w14:val="tx1"/>
            </w14:solidFill>
          </w14:textFill>
        </w:rPr>
        <w:t>对采购过程提出质疑的，为各采购程序环节结束之日；</w:t>
      </w:r>
    </w:p>
    <w:p w14:paraId="41AAF725">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31.1.3</w:t>
      </w:r>
      <w:r>
        <w:rPr>
          <w:rStyle w:val="54"/>
          <w:rFonts w:hint="eastAsia" w:ascii="宋体" w:hAnsi="宋体" w:cs="宋体"/>
          <w:color w:val="000000" w:themeColor="text1"/>
          <w:kern w:val="0"/>
          <w:sz w:val="24"/>
          <w:szCs w:val="24"/>
          <w:highlight w:val="none"/>
          <w14:textFill>
            <w14:solidFill>
              <w14:schemeClr w14:val="tx1"/>
            </w14:solidFill>
          </w14:textFill>
        </w:rPr>
        <w:t>对中标结果提出质疑的，为中标结果公告期限届满之日。</w:t>
      </w:r>
    </w:p>
    <w:p w14:paraId="09FEEB9C">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31.2质疑必须按《政府采购法》、《政府采购法实施条例》及《江苏省政府采购供应商监督管理暂行办法》的相关规定提交，未按上述要求提交的质疑函（含传真、电子邮件等）采购人和采购代理机构有权不予受理。供应商应当在法定质疑期内一次性提出针对同一采购程序环节的质疑。供应商如在法定期限内对同一采购程序环节提出多次质疑的，采购人、采购代理机构将只对供应商第一次质疑作出答复。</w:t>
      </w:r>
    </w:p>
    <w:p w14:paraId="47A438FD">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31.3未参加投标活动的供应商或在投标活动中自身权益未受到损害的供应商所提出的质疑不予受理。</w:t>
      </w:r>
    </w:p>
    <w:p w14:paraId="30BC97C4">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31.4质疑函应当包括下列内容：</w:t>
      </w:r>
    </w:p>
    <w:p w14:paraId="083191CD">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31.4.1质疑投标人的名称、地址、邮编、联系人、联系电话；</w:t>
      </w:r>
    </w:p>
    <w:p w14:paraId="704D8C21">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31.4.2具体的质疑事项及明确的请求；</w:t>
      </w:r>
    </w:p>
    <w:p w14:paraId="306345AE">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31.4.3认为自己合法权益受到损害或可能受到损害的相关证据材料；</w:t>
      </w:r>
    </w:p>
    <w:p w14:paraId="27224A25">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31.4.4提起质疑的日期；</w:t>
      </w:r>
    </w:p>
    <w:p w14:paraId="4AB18503">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14:paraId="205AB5D3">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14:paraId="796B80B3">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31.6质疑人应当在法定质疑期限内进行补正并重新提交质疑函，拒不补正或者在法定期限内未重新提交质疑函的，为无效质疑，采购人和采购代理机构将不予受理。</w:t>
      </w:r>
    </w:p>
    <w:p w14:paraId="0B950830">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14:paraId="23F162A7">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14:paraId="27890084">
      <w:pPr>
        <w:pStyle w:val="48"/>
        <w:snapToGrid w:val="0"/>
        <w:spacing w:before="0" w:after="0" w:line="360" w:lineRule="auto"/>
        <w:ind w:firstLine="480" w:firstLineChars="200"/>
        <w:rPr>
          <w:rStyle w:val="54"/>
          <w:rFonts w:ascii="宋体" w:hAnsi="宋体" w:cs="宋体"/>
          <w:b w:val="0"/>
          <w:color w:val="000000" w:themeColor="text1"/>
          <w:sz w:val="24"/>
          <w:szCs w:val="24"/>
          <w:highlight w:val="none"/>
          <w14:textFill>
            <w14:solidFill>
              <w14:schemeClr w14:val="tx1"/>
            </w14:solidFill>
          </w14:textFill>
        </w:rPr>
      </w:pPr>
      <w:r>
        <w:rPr>
          <w:rStyle w:val="54"/>
          <w:rFonts w:hint="eastAsia" w:ascii="宋体" w:hAnsi="宋体" w:cs="宋体"/>
          <w:b w:val="0"/>
          <w:color w:val="000000" w:themeColor="text1"/>
          <w:sz w:val="24"/>
          <w:szCs w:val="24"/>
          <w:highlight w:val="none"/>
          <w14:textFill>
            <w14:solidFill>
              <w14:schemeClr w14:val="tx1"/>
            </w14:solidFill>
          </w14:textFill>
        </w:rPr>
        <w:t>32、中标通知书</w:t>
      </w:r>
    </w:p>
    <w:p w14:paraId="24F2AEA8">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32.l中标结果确定后，采购人将向中标供应商发出中标通知书。</w:t>
      </w:r>
    </w:p>
    <w:p w14:paraId="225B96F7">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32.2中标通知书将是合同的一个组成部分。对采购人和中标供应商均具有法律效力。中标通知书发出后，采购人改变中标结果的，或者中标供应商放弃中标项目的，应当依法承担法律责任。</w:t>
      </w:r>
    </w:p>
    <w:p w14:paraId="3992C3CE">
      <w:pPr>
        <w:pStyle w:val="47"/>
        <w:snapToGrid w:val="0"/>
        <w:spacing w:before="0" w:after="0" w:line="360" w:lineRule="auto"/>
        <w:ind w:firstLine="482"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七、合同签订相关事项</w:t>
      </w:r>
    </w:p>
    <w:p w14:paraId="15751D06">
      <w:pPr>
        <w:pStyle w:val="48"/>
        <w:snapToGrid w:val="0"/>
        <w:spacing w:before="0" w:after="0" w:line="360" w:lineRule="auto"/>
        <w:ind w:firstLine="480" w:firstLineChars="200"/>
        <w:rPr>
          <w:rStyle w:val="54"/>
          <w:rFonts w:ascii="宋体" w:hAnsi="宋体" w:cs="宋体"/>
          <w:b w:val="0"/>
          <w:color w:val="000000" w:themeColor="text1"/>
          <w:sz w:val="24"/>
          <w:szCs w:val="24"/>
          <w:highlight w:val="none"/>
          <w14:textFill>
            <w14:solidFill>
              <w14:schemeClr w14:val="tx1"/>
            </w14:solidFill>
          </w14:textFill>
        </w:rPr>
      </w:pPr>
      <w:r>
        <w:rPr>
          <w:rStyle w:val="54"/>
          <w:rFonts w:hint="eastAsia" w:ascii="宋体" w:hAnsi="宋体" w:cs="宋体"/>
          <w:b w:val="0"/>
          <w:color w:val="000000" w:themeColor="text1"/>
          <w:sz w:val="24"/>
          <w:szCs w:val="24"/>
          <w:highlight w:val="none"/>
          <w14:textFill>
            <w14:solidFill>
              <w14:schemeClr w14:val="tx1"/>
            </w14:solidFill>
          </w14:textFill>
        </w:rPr>
        <w:t>33. 签订合同</w:t>
      </w:r>
    </w:p>
    <w:p w14:paraId="552B14DE">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33</w:t>
      </w:r>
      <w:r>
        <w:rPr>
          <w:rStyle w:val="54"/>
          <w:rFonts w:hint="eastAsia" w:ascii="宋体" w:hAnsi="宋体" w:cs="宋体"/>
          <w:color w:val="000000" w:themeColor="text1"/>
          <w:sz w:val="24"/>
          <w:szCs w:val="24"/>
          <w:highlight w:val="none"/>
          <w14:textFill>
            <w14:solidFill>
              <w14:schemeClr w14:val="tx1"/>
            </w14:solidFill>
          </w14:textFill>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14:paraId="54518057">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33.2招标文件、中标供应商的投标文件及招标过程中有关澄清、承诺文件均应作为合同附件。</w:t>
      </w:r>
    </w:p>
    <w:p w14:paraId="56057746">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14:paraId="45CC0772">
      <w:pPr>
        <w:pStyle w:val="48"/>
        <w:snapToGrid w:val="0"/>
        <w:spacing w:before="0" w:after="0" w:line="360" w:lineRule="auto"/>
        <w:ind w:firstLine="480" w:firstLineChars="200"/>
        <w:rPr>
          <w:rStyle w:val="54"/>
          <w:rFonts w:ascii="宋体" w:hAnsi="宋体" w:cs="宋体"/>
          <w:b w:val="0"/>
          <w:color w:val="000000" w:themeColor="text1"/>
          <w:sz w:val="24"/>
          <w:szCs w:val="24"/>
          <w:highlight w:val="none"/>
          <w14:textFill>
            <w14:solidFill>
              <w14:schemeClr w14:val="tx1"/>
            </w14:solidFill>
          </w14:textFill>
        </w:rPr>
      </w:pPr>
      <w:r>
        <w:rPr>
          <w:rStyle w:val="54"/>
          <w:rFonts w:hint="eastAsia" w:ascii="宋体" w:hAnsi="宋体" w:cs="宋体"/>
          <w:b w:val="0"/>
          <w:color w:val="000000" w:themeColor="text1"/>
          <w:sz w:val="24"/>
          <w:szCs w:val="24"/>
          <w:highlight w:val="none"/>
          <w14:textFill>
            <w14:solidFill>
              <w14:schemeClr w14:val="tx1"/>
            </w14:solidFill>
          </w14:textFill>
        </w:rPr>
        <w:t>34、货物和服务的追加、减少和添购。</w:t>
      </w:r>
    </w:p>
    <w:p w14:paraId="138A1E93">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14:paraId="619652D4">
      <w:pPr>
        <w:snapToGrid w:val="0"/>
        <w:spacing w:line="360" w:lineRule="auto"/>
        <w:ind w:firstLine="480" w:firstLineChars="200"/>
        <w:rPr>
          <w:rStyle w:val="54"/>
          <w:rFonts w:ascii="宋体" w:hAnsi="宋体" w:cs="宋体"/>
          <w:b/>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p w14:paraId="5673D518">
      <w:pPr>
        <w:tabs>
          <w:tab w:val="left" w:pos="900"/>
        </w:tabs>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35、履约保证金</w:t>
      </w:r>
    </w:p>
    <w:p w14:paraId="59C88852">
      <w:pPr>
        <w:tabs>
          <w:tab w:val="left" w:pos="900"/>
        </w:tabs>
        <w:snapToGrid w:val="0"/>
        <w:spacing w:line="360" w:lineRule="auto"/>
        <w:ind w:firstLine="480" w:firstLineChars="200"/>
        <w:rPr>
          <w:rStyle w:val="54"/>
          <w:rFonts w:ascii="宋体" w:hAnsi="宋体" w:cs="宋体"/>
          <w:b/>
          <w:color w:val="000000" w:themeColor="text1"/>
          <w:sz w:val="4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bookmarkStart w:id="4" w:name="_Toc19468"/>
    </w:p>
    <w:p w14:paraId="208AC1C5">
      <w:pPr>
        <w:rPr>
          <w:color w:val="000000" w:themeColor="text1"/>
          <w:highlight w:val="none"/>
          <w14:textFill>
            <w14:solidFill>
              <w14:schemeClr w14:val="tx1"/>
            </w14:solidFill>
          </w14:textFill>
        </w:rPr>
      </w:pPr>
    </w:p>
    <w:p w14:paraId="2A101032">
      <w:pPr>
        <w:pStyle w:val="44"/>
        <w:outlineLvl w:val="0"/>
        <w:rPr>
          <w:rStyle w:val="54"/>
          <w:rFonts w:ascii="宋体" w:hAnsi="宋体" w:eastAsia="宋体" w:cs="宋体"/>
          <w:b/>
          <w:color w:val="000000" w:themeColor="text1"/>
          <w:sz w:val="44"/>
          <w:highlight w:val="none"/>
          <w14:textFill>
            <w14:solidFill>
              <w14:schemeClr w14:val="tx1"/>
            </w14:solidFill>
          </w14:textFill>
        </w:rPr>
      </w:pPr>
    </w:p>
    <w:p w14:paraId="6A6B3540">
      <w:pPr>
        <w:pStyle w:val="44"/>
        <w:jc w:val="both"/>
        <w:outlineLvl w:val="0"/>
        <w:rPr>
          <w:rStyle w:val="54"/>
          <w:rFonts w:ascii="宋体" w:hAnsi="宋体" w:eastAsia="宋体" w:cs="宋体"/>
          <w:b/>
          <w:color w:val="000000" w:themeColor="text1"/>
          <w:sz w:val="44"/>
          <w:highlight w:val="none"/>
          <w14:textFill>
            <w14:solidFill>
              <w14:schemeClr w14:val="tx1"/>
            </w14:solidFill>
          </w14:textFill>
        </w:rPr>
      </w:pPr>
    </w:p>
    <w:p w14:paraId="1DE89EBE">
      <w:pPr>
        <w:rPr>
          <w:rStyle w:val="54"/>
          <w:rFonts w:ascii="宋体" w:hAnsi="宋体" w:cs="宋体"/>
          <w:b/>
          <w:color w:val="000000" w:themeColor="text1"/>
          <w:sz w:val="44"/>
          <w:highlight w:val="none"/>
          <w14:textFill>
            <w14:solidFill>
              <w14:schemeClr w14:val="tx1"/>
            </w14:solidFill>
          </w14:textFill>
        </w:rPr>
      </w:pPr>
    </w:p>
    <w:p w14:paraId="4B1CCC9C">
      <w:pPr>
        <w:pStyle w:val="10"/>
        <w:rPr>
          <w:rStyle w:val="54"/>
          <w:rFonts w:ascii="宋体" w:hAnsi="宋体" w:cs="宋体"/>
          <w:b/>
          <w:color w:val="000000" w:themeColor="text1"/>
          <w:sz w:val="44"/>
          <w:highlight w:val="none"/>
          <w14:textFill>
            <w14:solidFill>
              <w14:schemeClr w14:val="tx1"/>
            </w14:solidFill>
          </w14:textFill>
        </w:rPr>
      </w:pPr>
    </w:p>
    <w:p w14:paraId="7ACA3C60">
      <w:pPr>
        <w:rPr>
          <w:rStyle w:val="54"/>
          <w:rFonts w:ascii="宋体" w:hAnsi="宋体" w:cs="宋体"/>
          <w:b/>
          <w:color w:val="000000" w:themeColor="text1"/>
          <w:sz w:val="44"/>
          <w:highlight w:val="none"/>
          <w14:textFill>
            <w14:solidFill>
              <w14:schemeClr w14:val="tx1"/>
            </w14:solidFill>
          </w14:textFill>
        </w:rPr>
      </w:pPr>
    </w:p>
    <w:p w14:paraId="32A9C031">
      <w:pPr>
        <w:pStyle w:val="10"/>
        <w:rPr>
          <w:rStyle w:val="54"/>
          <w:rFonts w:ascii="宋体" w:hAnsi="宋体" w:cs="宋体"/>
          <w:b/>
          <w:color w:val="000000" w:themeColor="text1"/>
          <w:sz w:val="44"/>
          <w:highlight w:val="none"/>
          <w14:textFill>
            <w14:solidFill>
              <w14:schemeClr w14:val="tx1"/>
            </w14:solidFill>
          </w14:textFill>
        </w:rPr>
      </w:pPr>
    </w:p>
    <w:p w14:paraId="48B0CE22">
      <w:pPr>
        <w:rPr>
          <w:rStyle w:val="54"/>
          <w:rFonts w:ascii="宋体" w:hAnsi="宋体" w:cs="宋体"/>
          <w:b/>
          <w:color w:val="000000" w:themeColor="text1"/>
          <w:sz w:val="44"/>
          <w:highlight w:val="none"/>
          <w14:textFill>
            <w14:solidFill>
              <w14:schemeClr w14:val="tx1"/>
            </w14:solidFill>
          </w14:textFill>
        </w:rPr>
      </w:pPr>
    </w:p>
    <w:p w14:paraId="6D6CC06E">
      <w:pPr>
        <w:pStyle w:val="10"/>
        <w:rPr>
          <w:rStyle w:val="54"/>
          <w:rFonts w:ascii="宋体" w:hAnsi="宋体" w:cs="宋体"/>
          <w:b/>
          <w:color w:val="000000" w:themeColor="text1"/>
          <w:sz w:val="44"/>
          <w:highlight w:val="none"/>
          <w14:textFill>
            <w14:solidFill>
              <w14:schemeClr w14:val="tx1"/>
            </w14:solidFill>
          </w14:textFill>
        </w:rPr>
      </w:pPr>
    </w:p>
    <w:p w14:paraId="66262C56">
      <w:pPr>
        <w:rPr>
          <w:rStyle w:val="54"/>
          <w:rFonts w:ascii="宋体" w:hAnsi="宋体" w:cs="宋体"/>
          <w:b/>
          <w:color w:val="000000" w:themeColor="text1"/>
          <w:sz w:val="44"/>
          <w:highlight w:val="none"/>
          <w14:textFill>
            <w14:solidFill>
              <w14:schemeClr w14:val="tx1"/>
            </w14:solidFill>
          </w14:textFill>
        </w:rPr>
      </w:pPr>
    </w:p>
    <w:p w14:paraId="7E8BDB0A">
      <w:pPr>
        <w:pStyle w:val="10"/>
        <w:rPr>
          <w:rStyle w:val="54"/>
          <w:rFonts w:ascii="宋体" w:hAnsi="宋体" w:cs="宋体"/>
          <w:b/>
          <w:color w:val="000000" w:themeColor="text1"/>
          <w:sz w:val="44"/>
          <w:highlight w:val="none"/>
          <w14:textFill>
            <w14:solidFill>
              <w14:schemeClr w14:val="tx1"/>
            </w14:solidFill>
          </w14:textFill>
        </w:rPr>
      </w:pPr>
    </w:p>
    <w:p w14:paraId="78E4C563">
      <w:pPr>
        <w:rPr>
          <w:rStyle w:val="54"/>
          <w:rFonts w:ascii="宋体" w:hAnsi="宋体" w:cs="宋体"/>
          <w:b/>
          <w:color w:val="000000" w:themeColor="text1"/>
          <w:sz w:val="44"/>
          <w:highlight w:val="none"/>
          <w14:textFill>
            <w14:solidFill>
              <w14:schemeClr w14:val="tx1"/>
            </w14:solidFill>
          </w14:textFill>
        </w:rPr>
      </w:pPr>
    </w:p>
    <w:p w14:paraId="422700CE">
      <w:pPr>
        <w:pStyle w:val="10"/>
        <w:rPr>
          <w:rStyle w:val="54"/>
          <w:rFonts w:ascii="宋体" w:hAnsi="宋体" w:cs="宋体"/>
          <w:b/>
          <w:color w:val="000000" w:themeColor="text1"/>
          <w:sz w:val="44"/>
          <w:highlight w:val="none"/>
          <w14:textFill>
            <w14:solidFill>
              <w14:schemeClr w14:val="tx1"/>
            </w14:solidFill>
          </w14:textFill>
        </w:rPr>
      </w:pPr>
    </w:p>
    <w:p w14:paraId="34421C5A">
      <w:pPr>
        <w:rPr>
          <w:rStyle w:val="54"/>
          <w:rFonts w:ascii="宋体" w:hAnsi="宋体" w:cs="宋体"/>
          <w:b/>
          <w:color w:val="000000" w:themeColor="text1"/>
          <w:sz w:val="44"/>
          <w:highlight w:val="none"/>
          <w14:textFill>
            <w14:solidFill>
              <w14:schemeClr w14:val="tx1"/>
            </w14:solidFill>
          </w14:textFill>
        </w:rPr>
      </w:pPr>
    </w:p>
    <w:p w14:paraId="31DA0765">
      <w:pPr>
        <w:rPr>
          <w:rStyle w:val="54"/>
          <w:rFonts w:hint="eastAsia" w:ascii="宋体" w:hAnsi="宋体" w:eastAsia="宋体" w:cs="宋体"/>
          <w:b/>
          <w:color w:val="000000" w:themeColor="text1"/>
          <w:sz w:val="44"/>
          <w:highlight w:val="none"/>
          <w14:textFill>
            <w14:solidFill>
              <w14:schemeClr w14:val="tx1"/>
            </w14:solidFill>
          </w14:textFill>
        </w:rPr>
      </w:pPr>
    </w:p>
    <w:p w14:paraId="690D337C">
      <w:pPr>
        <w:pStyle w:val="44"/>
        <w:outlineLvl w:val="0"/>
        <w:rPr>
          <w:rStyle w:val="54"/>
          <w:rFonts w:ascii="宋体" w:hAnsi="宋体" w:eastAsia="宋体" w:cs="宋体"/>
          <w:b/>
          <w:color w:val="000000" w:themeColor="text1"/>
          <w:sz w:val="44"/>
          <w:highlight w:val="none"/>
          <w14:textFill>
            <w14:solidFill>
              <w14:schemeClr w14:val="tx1"/>
            </w14:solidFill>
          </w14:textFill>
        </w:rPr>
      </w:pPr>
      <w:r>
        <w:rPr>
          <w:rStyle w:val="54"/>
          <w:rFonts w:hint="eastAsia" w:ascii="宋体" w:hAnsi="宋体" w:eastAsia="宋体" w:cs="宋体"/>
          <w:b/>
          <w:color w:val="000000" w:themeColor="text1"/>
          <w:sz w:val="44"/>
          <w:highlight w:val="none"/>
          <w14:textFill>
            <w14:solidFill>
              <w14:schemeClr w14:val="tx1"/>
            </w14:solidFill>
          </w14:textFill>
        </w:rPr>
        <w:t>第三章  合同条款及格式</w:t>
      </w:r>
      <w:bookmarkEnd w:id="4"/>
    </w:p>
    <w:p w14:paraId="7D100FB9">
      <w:pPr>
        <w:spacing w:line="440" w:lineRule="exact"/>
        <w:ind w:firstLine="480" w:firstLineChars="200"/>
        <w:rPr>
          <w:rStyle w:val="54"/>
          <w:rFonts w:ascii="宋体" w:hAnsi="宋体" w:cs="宋体"/>
          <w:bCs/>
          <w:color w:val="000000" w:themeColor="text1"/>
          <w:sz w:val="24"/>
          <w:highlight w:val="none"/>
          <w14:textFill>
            <w14:solidFill>
              <w14:schemeClr w14:val="tx1"/>
            </w14:solidFill>
          </w14:textFill>
        </w:rPr>
      </w:pPr>
      <w:r>
        <w:rPr>
          <w:rStyle w:val="54"/>
          <w:rFonts w:hint="eastAsia" w:ascii="宋体" w:hAnsi="宋体" w:cs="宋体"/>
          <w:bCs/>
          <w:color w:val="000000" w:themeColor="text1"/>
          <w:sz w:val="24"/>
          <w:highlight w:val="none"/>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14:paraId="1CA91C26">
      <w:pPr>
        <w:snapToGrid w:val="0"/>
        <w:spacing w:line="440" w:lineRule="exact"/>
        <w:ind w:firstLine="602" w:firstLineChars="200"/>
        <w:jc w:val="center"/>
        <w:rPr>
          <w:rStyle w:val="54"/>
          <w:rFonts w:ascii="宋体" w:hAnsi="宋体" w:cs="宋体"/>
          <w:b/>
          <w:bCs/>
          <w:color w:val="000000" w:themeColor="text1"/>
          <w:sz w:val="30"/>
          <w:szCs w:val="20"/>
          <w:highlight w:val="none"/>
          <w14:textFill>
            <w14:solidFill>
              <w14:schemeClr w14:val="tx1"/>
            </w14:solidFill>
          </w14:textFill>
        </w:rPr>
      </w:pPr>
      <w:bookmarkStart w:id="5" w:name="_Toc17926"/>
      <w:r>
        <w:rPr>
          <w:rStyle w:val="54"/>
          <w:rFonts w:ascii="宋体" w:hAnsi="宋体"/>
          <w:b/>
          <w:color w:val="000000" w:themeColor="text1"/>
          <w:sz w:val="30"/>
          <w:highlight w:val="none"/>
          <w14:textFill>
            <w14:solidFill>
              <w14:schemeClr w14:val="tx1"/>
            </w14:solidFill>
          </w14:textFill>
        </w:rPr>
        <w:t>采购合同</w:t>
      </w:r>
    </w:p>
    <w:p w14:paraId="4AC89E27">
      <w:pPr>
        <w:pStyle w:val="80"/>
        <w:snapToGrid w:val="0"/>
        <w:spacing w:line="420" w:lineRule="exact"/>
        <w:ind w:firstLine="480" w:firstLineChars="200"/>
        <w:jc w:val="left"/>
        <w:rPr>
          <w:rStyle w:val="54"/>
          <w:rFonts w:hAnsi="宋体"/>
          <w:color w:val="000000" w:themeColor="text1"/>
          <w:sz w:val="24"/>
          <w:szCs w:val="24"/>
          <w:highlight w:val="none"/>
          <w:u w:val="single" w:color="000000"/>
          <w14:textFill>
            <w14:solidFill>
              <w14:schemeClr w14:val="tx1"/>
            </w14:solidFill>
          </w14:textFill>
        </w:rPr>
      </w:pPr>
      <w:r>
        <w:rPr>
          <w:rStyle w:val="54"/>
          <w:rFonts w:hAnsi="宋体"/>
          <w:color w:val="000000" w:themeColor="text1"/>
          <w:sz w:val="24"/>
          <w:szCs w:val="24"/>
          <w:highlight w:val="none"/>
          <w14:textFill>
            <w14:solidFill>
              <w14:schemeClr w14:val="tx1"/>
            </w14:solidFill>
          </w14:textFill>
        </w:rPr>
        <w:t>项目名称：</w:t>
      </w:r>
      <w:r>
        <w:rPr>
          <w:rStyle w:val="54"/>
          <w:rFonts w:hint="eastAsia" w:hAnsi="宋体"/>
          <w:color w:val="000000" w:themeColor="text1"/>
          <w:sz w:val="24"/>
          <w:szCs w:val="24"/>
          <w:highlight w:val="none"/>
          <w:u w:val="single" w:color="000000"/>
          <w:lang w:eastAsia="zh-CN"/>
          <w14:textFill>
            <w14:solidFill>
              <w14:schemeClr w14:val="tx1"/>
            </w14:solidFill>
          </w14:textFill>
        </w:rPr>
        <w:t>盐城工业职业技术学院工业中心实训室改造</w:t>
      </w:r>
    </w:p>
    <w:p w14:paraId="5DABDEE1">
      <w:pPr>
        <w:pStyle w:val="80"/>
        <w:snapToGrid w:val="0"/>
        <w:spacing w:line="420" w:lineRule="exact"/>
        <w:ind w:firstLine="480" w:firstLineChars="200"/>
        <w:jc w:val="left"/>
        <w:rPr>
          <w:rStyle w:val="54"/>
          <w:rFonts w:hint="eastAsia" w:hAnsi="宋体" w:eastAsia="宋体"/>
          <w:color w:val="000000" w:themeColor="text1"/>
          <w:sz w:val="24"/>
          <w:szCs w:val="24"/>
          <w:highlight w:val="none"/>
          <w:lang w:eastAsia="zh-CN"/>
          <w14:textFill>
            <w14:solidFill>
              <w14:schemeClr w14:val="tx1"/>
            </w14:solidFill>
          </w14:textFill>
        </w:rPr>
      </w:pPr>
      <w:r>
        <w:rPr>
          <w:rStyle w:val="54"/>
          <w:rFonts w:hAnsi="宋体"/>
          <w:color w:val="000000" w:themeColor="text1"/>
          <w:sz w:val="24"/>
          <w:szCs w:val="24"/>
          <w:highlight w:val="none"/>
          <w14:textFill>
            <w14:solidFill>
              <w14:schemeClr w14:val="tx1"/>
            </w14:solidFill>
          </w14:textFill>
        </w:rPr>
        <w:t>项目编号：</w:t>
      </w:r>
      <w:r>
        <w:rPr>
          <w:rStyle w:val="54"/>
          <w:rFonts w:hint="eastAsia" w:hAnsi="宋体"/>
          <w:color w:val="000000" w:themeColor="text1"/>
          <w:sz w:val="24"/>
          <w:szCs w:val="24"/>
          <w:highlight w:val="none"/>
          <w:u w:val="single"/>
          <w:lang w:eastAsia="zh-CN"/>
          <w14:textFill>
            <w14:solidFill>
              <w14:schemeClr w14:val="tx1"/>
            </w14:solidFill>
          </w14:textFill>
        </w:rPr>
        <w:t xml:space="preserve">2024-033J </w:t>
      </w:r>
    </w:p>
    <w:p w14:paraId="6F655055">
      <w:pPr>
        <w:spacing w:line="420" w:lineRule="exact"/>
        <w:ind w:firstLine="480" w:firstLineChars="200"/>
        <w:rPr>
          <w:rStyle w:val="54"/>
          <w:rFonts w:hint="eastAsia" w:ascii="宋体" w:hAnsi="宋体" w:eastAsia="宋体" w:cs="Times New Roman"/>
          <w:color w:val="000000" w:themeColor="text1"/>
          <w:sz w:val="24"/>
          <w:szCs w:val="24"/>
          <w:highlight w:val="none"/>
          <w14:textFill>
            <w14:solidFill>
              <w14:schemeClr w14:val="tx1"/>
            </w14:solidFill>
          </w14:textFill>
        </w:rPr>
      </w:pPr>
      <w:r>
        <w:rPr>
          <w:rStyle w:val="54"/>
          <w:rFonts w:hint="eastAsia" w:ascii="宋体" w:hAnsi="宋体" w:eastAsia="宋体" w:cs="Times New Roman"/>
          <w:color w:val="000000" w:themeColor="text1"/>
          <w:sz w:val="24"/>
          <w:szCs w:val="24"/>
          <w:highlight w:val="none"/>
          <w:lang w:val="en-US" w:eastAsia="zh-CN"/>
          <w14:textFill>
            <w14:solidFill>
              <w14:schemeClr w14:val="tx1"/>
            </w14:solidFill>
          </w14:textFill>
        </w:rPr>
        <w:t>发包人</w:t>
      </w:r>
      <w:r>
        <w:rPr>
          <w:rStyle w:val="54"/>
          <w:rFonts w:hint="eastAsia" w:ascii="宋体" w:hAnsi="宋体" w:eastAsia="宋体" w:cs="Times New Roman"/>
          <w:color w:val="000000" w:themeColor="text1"/>
          <w:sz w:val="24"/>
          <w:szCs w:val="24"/>
          <w:highlight w:val="none"/>
          <w:lang w:eastAsia="zh-CN"/>
          <w14:textFill>
            <w14:solidFill>
              <w14:schemeClr w14:val="tx1"/>
            </w14:solidFill>
          </w14:textFill>
        </w:rPr>
        <w:t>（</w:t>
      </w:r>
      <w:r>
        <w:rPr>
          <w:rStyle w:val="54"/>
          <w:rFonts w:hint="eastAsia" w:ascii="宋体" w:hAnsi="宋体" w:eastAsia="宋体" w:cs="Times New Roman"/>
          <w:color w:val="000000" w:themeColor="text1"/>
          <w:sz w:val="24"/>
          <w:szCs w:val="24"/>
          <w:highlight w:val="none"/>
          <w:lang w:val="en-US" w:eastAsia="zh-CN"/>
          <w14:textFill>
            <w14:solidFill>
              <w14:schemeClr w14:val="tx1"/>
            </w14:solidFill>
          </w14:textFill>
        </w:rPr>
        <w:t>甲方）</w:t>
      </w:r>
      <w:r>
        <w:rPr>
          <w:rStyle w:val="54"/>
          <w:rFonts w:hint="eastAsia" w:ascii="宋体" w:hAnsi="宋体" w:eastAsia="宋体" w:cs="Times New Roman"/>
          <w:color w:val="000000" w:themeColor="text1"/>
          <w:sz w:val="24"/>
          <w:szCs w:val="24"/>
          <w:highlight w:val="none"/>
          <w14:textFill>
            <w14:solidFill>
              <w14:schemeClr w14:val="tx1"/>
            </w14:solidFill>
          </w14:textFill>
        </w:rPr>
        <w:t>：盐城工业职业技术学院</w:t>
      </w:r>
    </w:p>
    <w:p w14:paraId="2DB23E48">
      <w:pPr>
        <w:spacing w:line="420" w:lineRule="exact"/>
        <w:ind w:firstLine="480" w:firstLineChars="200"/>
        <w:rPr>
          <w:rStyle w:val="54"/>
          <w:rFonts w:hint="eastAsia" w:ascii="宋体" w:hAnsi="宋体" w:eastAsia="宋体" w:cs="Times New Roman"/>
          <w:color w:val="000000" w:themeColor="text1"/>
          <w:sz w:val="24"/>
          <w:szCs w:val="24"/>
          <w:highlight w:val="none"/>
          <w14:textFill>
            <w14:solidFill>
              <w14:schemeClr w14:val="tx1"/>
            </w14:solidFill>
          </w14:textFill>
        </w:rPr>
      </w:pPr>
      <w:r>
        <w:rPr>
          <w:rStyle w:val="54"/>
          <w:rFonts w:hint="eastAsia" w:ascii="宋体" w:hAnsi="宋体" w:eastAsia="宋体" w:cs="Times New Roman"/>
          <w:color w:val="000000" w:themeColor="text1"/>
          <w:sz w:val="24"/>
          <w:szCs w:val="24"/>
          <w:highlight w:val="none"/>
          <w:lang w:val="en-US" w:eastAsia="zh-CN"/>
          <w14:textFill>
            <w14:solidFill>
              <w14:schemeClr w14:val="tx1"/>
            </w14:solidFill>
          </w14:textFill>
        </w:rPr>
        <w:t>承包人</w:t>
      </w:r>
      <w:r>
        <w:rPr>
          <w:rStyle w:val="54"/>
          <w:rFonts w:hint="eastAsia" w:ascii="宋体" w:hAnsi="宋体" w:eastAsia="宋体" w:cs="Times New Roman"/>
          <w:color w:val="000000" w:themeColor="text1"/>
          <w:sz w:val="24"/>
          <w:szCs w:val="24"/>
          <w:highlight w:val="none"/>
          <w:lang w:eastAsia="zh-CN"/>
          <w14:textFill>
            <w14:solidFill>
              <w14:schemeClr w14:val="tx1"/>
            </w14:solidFill>
          </w14:textFill>
        </w:rPr>
        <w:t>（</w:t>
      </w:r>
      <w:r>
        <w:rPr>
          <w:rStyle w:val="54"/>
          <w:rFonts w:hint="eastAsia" w:ascii="宋体" w:hAnsi="宋体" w:eastAsia="宋体" w:cs="Times New Roman"/>
          <w:color w:val="000000" w:themeColor="text1"/>
          <w:sz w:val="24"/>
          <w:szCs w:val="24"/>
          <w:highlight w:val="none"/>
          <w:lang w:val="en-US" w:eastAsia="zh-CN"/>
          <w14:textFill>
            <w14:solidFill>
              <w14:schemeClr w14:val="tx1"/>
            </w14:solidFill>
          </w14:textFill>
        </w:rPr>
        <w:t>乙方）</w:t>
      </w:r>
      <w:r>
        <w:rPr>
          <w:rStyle w:val="54"/>
          <w:rFonts w:hint="eastAsia" w:ascii="宋体" w:hAnsi="宋体" w:eastAsia="宋体" w:cs="Times New Roman"/>
          <w:color w:val="000000" w:themeColor="text1"/>
          <w:sz w:val="24"/>
          <w:szCs w:val="24"/>
          <w:highlight w:val="none"/>
          <w14:textFill>
            <w14:solidFill>
              <w14:schemeClr w14:val="tx1"/>
            </w14:solidFill>
          </w14:textFill>
        </w:rPr>
        <w:t>：</w:t>
      </w:r>
    </w:p>
    <w:p w14:paraId="288C5051">
      <w:pPr>
        <w:spacing w:line="420" w:lineRule="exact"/>
        <w:ind w:firstLine="480" w:firstLineChars="200"/>
        <w:rPr>
          <w:rStyle w:val="54"/>
          <w:rFonts w:ascii="宋体" w:hAnsi="宋体"/>
          <w:b/>
          <w:color w:val="000000" w:themeColor="text1"/>
          <w:sz w:val="24"/>
          <w:szCs w:val="24"/>
          <w:highlight w:val="none"/>
          <w14:textFill>
            <w14:solidFill>
              <w14:schemeClr w14:val="tx1"/>
            </w14:solidFill>
          </w14:textFill>
        </w:rPr>
      </w:pPr>
      <w:r>
        <w:rPr>
          <w:rStyle w:val="54"/>
          <w:rFonts w:ascii="宋体" w:hAnsi="宋体"/>
          <w:color w:val="000000" w:themeColor="text1"/>
          <w:sz w:val="24"/>
          <w:szCs w:val="24"/>
          <w:highlight w:val="none"/>
          <w14:textFill>
            <w14:solidFill>
              <w14:schemeClr w14:val="tx1"/>
            </w14:solidFill>
          </w14:textFill>
        </w:rPr>
        <w:t>甲、乙双方根据</w:t>
      </w:r>
      <w:r>
        <w:rPr>
          <w:rStyle w:val="54"/>
          <w:rFonts w:hint="eastAsia" w:ascii="宋体" w:hAnsi="宋体"/>
          <w:color w:val="000000" w:themeColor="text1"/>
          <w:sz w:val="24"/>
          <w:szCs w:val="24"/>
          <w:highlight w:val="none"/>
          <w:u w:val="single" w:color="000000"/>
          <w:lang w:eastAsia="zh-CN"/>
          <w14:textFill>
            <w14:solidFill>
              <w14:schemeClr w14:val="tx1"/>
            </w14:solidFill>
          </w14:textFill>
        </w:rPr>
        <w:t>盐城工业职业技术学院工业中心实训室改造</w:t>
      </w:r>
      <w:r>
        <w:rPr>
          <w:rStyle w:val="54"/>
          <w:rFonts w:hint="eastAsia" w:ascii="宋体" w:hAnsi="宋体"/>
          <w:color w:val="000000" w:themeColor="text1"/>
          <w:sz w:val="24"/>
          <w:szCs w:val="24"/>
          <w:highlight w:val="none"/>
          <w:u w:val="none" w:color="auto"/>
          <w:lang w:eastAsia="zh-CN"/>
          <w14:textFill>
            <w14:solidFill>
              <w14:schemeClr w14:val="tx1"/>
            </w14:solidFill>
          </w14:textFill>
        </w:rPr>
        <w:t>项目</w:t>
      </w:r>
      <w:r>
        <w:rPr>
          <w:rStyle w:val="54"/>
          <w:rFonts w:ascii="宋体" w:hAnsi="宋体"/>
          <w:color w:val="000000" w:themeColor="text1"/>
          <w:sz w:val="24"/>
          <w:szCs w:val="24"/>
          <w:highlight w:val="none"/>
          <w14:textFill>
            <w14:solidFill>
              <w14:schemeClr w14:val="tx1"/>
            </w14:solidFill>
          </w14:textFill>
        </w:rPr>
        <w:t>公开招标的结果，签署本合同。</w:t>
      </w:r>
    </w:p>
    <w:p w14:paraId="39E41626">
      <w:pPr>
        <w:tabs>
          <w:tab w:val="left" w:pos="790"/>
        </w:tabs>
        <w:spacing w:line="500" w:lineRule="exact"/>
        <w:ind w:firstLine="472"/>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1</w:t>
      </w:r>
      <w:r>
        <w:rPr>
          <w:rFonts w:hint="eastAsia" w:ascii="宋体" w:hAnsi="宋体" w:cs="宋体"/>
          <w:b/>
          <w:color w:val="000000" w:themeColor="text1"/>
          <w:sz w:val="24"/>
          <w:highlight w:val="none"/>
          <w14:textFill>
            <w14:solidFill>
              <w14:schemeClr w14:val="tx1"/>
            </w14:solidFill>
          </w14:textFill>
        </w:rPr>
        <w:t>、项目内容：</w:t>
      </w:r>
    </w:p>
    <w:p w14:paraId="5EEDE7AA">
      <w:pPr>
        <w:pStyle w:val="15"/>
        <w:spacing w:before="120" w:after="120" w:line="500" w:lineRule="exact"/>
        <w:ind w:firstLine="48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1.1项目名称：</w:t>
      </w:r>
      <w:r>
        <w:rPr>
          <w:rFonts w:hint="eastAsia" w:hAnsi="宋体" w:cs="宋体"/>
          <w:bCs/>
          <w:color w:val="000000" w:themeColor="text1"/>
          <w:sz w:val="24"/>
          <w:szCs w:val="24"/>
          <w:highlight w:val="none"/>
          <w:lang w:eastAsia="zh-CN"/>
          <w14:textFill>
            <w14:solidFill>
              <w14:schemeClr w14:val="tx1"/>
            </w14:solidFill>
          </w14:textFill>
        </w:rPr>
        <w:t>盐城工业职业技术学院工业中心实训室改造</w:t>
      </w:r>
    </w:p>
    <w:p w14:paraId="71E0483C">
      <w:pPr>
        <w:pStyle w:val="15"/>
        <w:spacing w:before="120" w:after="120" w:line="500" w:lineRule="exact"/>
        <w:ind w:firstLine="48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1.2项目地点：盐城工业职业技术学院</w:t>
      </w:r>
    </w:p>
    <w:p w14:paraId="74154EA9">
      <w:pPr>
        <w:pStyle w:val="15"/>
        <w:spacing w:before="120" w:after="120" w:line="500" w:lineRule="exact"/>
        <w:ind w:firstLine="480"/>
        <w:rPr>
          <w:rFonts w:hint="eastAsia" w:hAnsi="宋体" w:eastAsia="宋体" w:cs="宋体"/>
          <w:bCs/>
          <w:color w:val="000000" w:themeColor="text1"/>
          <w:sz w:val="24"/>
          <w:szCs w:val="24"/>
          <w:highlight w:val="none"/>
          <w:lang w:eastAsia="zh-CN"/>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1.3承包内容：</w:t>
      </w:r>
      <w:r>
        <w:rPr>
          <w:rFonts w:hint="eastAsia" w:hAnsi="宋体" w:cs="宋体"/>
          <w:bCs/>
          <w:color w:val="000000" w:themeColor="text1"/>
          <w:sz w:val="24"/>
          <w:szCs w:val="24"/>
          <w:highlight w:val="none"/>
          <w:lang w:val="en-US" w:eastAsia="zh-CN"/>
          <w14:textFill>
            <w14:solidFill>
              <w14:schemeClr w14:val="tx1"/>
            </w14:solidFill>
          </w14:textFill>
        </w:rPr>
        <w:t>本项目包含智能制造学院工业中心103改造以及汽车与交通学院实训室改造</w:t>
      </w:r>
      <w:r>
        <w:rPr>
          <w:rFonts w:hint="eastAsia" w:hAnsi="宋体" w:cs="宋体"/>
          <w:bCs/>
          <w:color w:val="000000" w:themeColor="text1"/>
          <w:sz w:val="24"/>
          <w:szCs w:val="24"/>
          <w:highlight w:val="none"/>
          <w14:textFill>
            <w14:solidFill>
              <w14:schemeClr w14:val="tx1"/>
            </w14:solidFill>
          </w14:textFill>
        </w:rPr>
        <w:t>，具体内容详按</w:t>
      </w:r>
      <w:r>
        <w:rPr>
          <w:rFonts w:hint="eastAsia" w:hAnsi="宋体" w:cs="宋体"/>
          <w:bCs/>
          <w:color w:val="000000" w:themeColor="text1"/>
          <w:sz w:val="24"/>
          <w:szCs w:val="24"/>
          <w:highlight w:val="none"/>
          <w:lang w:val="en-US" w:eastAsia="zh-CN"/>
          <w14:textFill>
            <w14:solidFill>
              <w14:schemeClr w14:val="tx1"/>
            </w14:solidFill>
          </w14:textFill>
        </w:rPr>
        <w:t>招标文件、</w:t>
      </w:r>
      <w:r>
        <w:rPr>
          <w:rFonts w:hint="eastAsia" w:hAnsi="宋体" w:cs="宋体"/>
          <w:bCs/>
          <w:color w:val="000000" w:themeColor="text1"/>
          <w:sz w:val="24"/>
          <w:szCs w:val="24"/>
          <w:highlight w:val="none"/>
          <w14:textFill>
            <w14:solidFill>
              <w14:schemeClr w14:val="tx1"/>
            </w14:solidFill>
          </w14:textFill>
        </w:rPr>
        <w:t>工程量清单及</w:t>
      </w:r>
      <w:r>
        <w:rPr>
          <w:rFonts w:hint="eastAsia" w:hAnsi="宋体" w:cs="宋体"/>
          <w:bCs/>
          <w:color w:val="000000" w:themeColor="text1"/>
          <w:sz w:val="24"/>
          <w:szCs w:val="24"/>
          <w:highlight w:val="none"/>
          <w:lang w:val="en-US" w:eastAsia="zh-CN"/>
          <w14:textFill>
            <w14:solidFill>
              <w14:schemeClr w14:val="tx1"/>
            </w14:solidFill>
          </w14:textFill>
        </w:rPr>
        <w:t>发包人</w:t>
      </w:r>
      <w:r>
        <w:rPr>
          <w:rFonts w:hint="eastAsia" w:hAnsi="宋体" w:cs="宋体"/>
          <w:bCs/>
          <w:color w:val="000000" w:themeColor="text1"/>
          <w:sz w:val="24"/>
          <w:szCs w:val="24"/>
          <w:highlight w:val="none"/>
          <w14:textFill>
            <w14:solidFill>
              <w14:schemeClr w14:val="tx1"/>
            </w14:solidFill>
          </w14:textFill>
        </w:rPr>
        <w:t>要求执行，</w:t>
      </w:r>
      <w:r>
        <w:rPr>
          <w:rFonts w:hint="eastAsia" w:hAnsi="宋体" w:cs="宋体"/>
          <w:bCs/>
          <w:color w:val="000000" w:themeColor="text1"/>
          <w:sz w:val="24"/>
          <w:szCs w:val="24"/>
          <w:highlight w:val="none"/>
          <w:lang w:val="en-US" w:eastAsia="zh-CN"/>
          <w14:textFill>
            <w14:solidFill>
              <w14:schemeClr w14:val="tx1"/>
            </w14:solidFill>
          </w14:textFill>
        </w:rPr>
        <w:t>发包人</w:t>
      </w:r>
      <w:r>
        <w:rPr>
          <w:rFonts w:hint="eastAsia" w:hAnsi="宋体" w:cs="宋体"/>
          <w:bCs/>
          <w:color w:val="000000" w:themeColor="text1"/>
          <w:sz w:val="24"/>
          <w:szCs w:val="24"/>
          <w:highlight w:val="none"/>
          <w14:textFill>
            <w14:solidFill>
              <w14:schemeClr w14:val="tx1"/>
            </w14:solidFill>
          </w14:textFill>
        </w:rPr>
        <w:t>保留进行调整的权利</w:t>
      </w:r>
      <w:r>
        <w:rPr>
          <w:rStyle w:val="54"/>
          <w:rFonts w:hint="eastAsia" w:hAnsi="宋体" w:cs="宋体"/>
          <w:color w:val="000000" w:themeColor="text1"/>
          <w:sz w:val="24"/>
          <w:szCs w:val="24"/>
          <w:highlight w:val="none"/>
          <w:lang w:eastAsia="zh-CN"/>
          <w14:textFill>
            <w14:solidFill>
              <w14:schemeClr w14:val="tx1"/>
            </w14:solidFill>
          </w14:textFill>
        </w:rPr>
        <w:t>。</w:t>
      </w:r>
    </w:p>
    <w:p w14:paraId="20EE0F7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2、承包方式</w:t>
      </w:r>
    </w:p>
    <w:p w14:paraId="24B4927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包工包料</w:t>
      </w:r>
    </w:p>
    <w:p w14:paraId="6C3BE8D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3、合同价</w:t>
      </w:r>
    </w:p>
    <w:p w14:paraId="3AFF277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本合同金额为：人民币（大写</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元整）（¥</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元）</w:t>
      </w:r>
      <w:r>
        <w:rPr>
          <w:rFonts w:hint="eastAsia" w:ascii="宋体" w:hAnsi="宋体" w:eastAsia="宋体" w:cs="宋体"/>
          <w:b w:val="0"/>
          <w:bCs/>
          <w:color w:val="000000" w:themeColor="text1"/>
          <w:sz w:val="24"/>
          <w:highlight w:val="none"/>
          <w:lang w:val="en-US" w:eastAsia="zh-CN"/>
          <w14:textFill>
            <w14:solidFill>
              <w14:schemeClr w14:val="tx1"/>
            </w14:solidFill>
          </w14:textFill>
        </w:rPr>
        <w:t>。</w:t>
      </w:r>
    </w:p>
    <w:p w14:paraId="41A0A6EB">
      <w:pPr>
        <w:spacing w:line="500" w:lineRule="exact"/>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4、履约担保</w:t>
      </w:r>
    </w:p>
    <w:p w14:paraId="2A4A05FF">
      <w:pPr>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本工程履约保证金为中标价的</w:t>
      </w:r>
      <w:r>
        <w:rPr>
          <w:rFonts w:hint="eastAsia" w:ascii="宋体" w:hAnsi="宋体" w:cs="宋体"/>
          <w:color w:val="000000" w:themeColor="text1"/>
          <w:sz w:val="24"/>
          <w:highlight w:val="none"/>
          <w:u w:val="single"/>
          <w14:textFill>
            <w14:solidFill>
              <w14:schemeClr w14:val="tx1"/>
            </w14:solidFill>
          </w14:textFill>
        </w:rPr>
        <w:t>5 %</w:t>
      </w:r>
      <w:r>
        <w:rPr>
          <w:rFonts w:hint="eastAsia" w:ascii="宋体" w:hAnsi="宋体" w:cs="宋体"/>
          <w:color w:val="000000" w:themeColor="text1"/>
          <w:sz w:val="24"/>
          <w:highlight w:val="none"/>
          <w14:textFill>
            <w14:solidFill>
              <w14:schemeClr w14:val="tx1"/>
            </w14:solidFill>
          </w14:textFill>
        </w:rPr>
        <w:t>。承包人应自中标人结果公示之日起7 日内将履约保证金以转帐、电汇或银行汇票或银行保函形式汇转至发包人指定帐户。</w:t>
      </w:r>
      <w:r>
        <w:rPr>
          <w:rFonts w:hint="eastAsia" w:ascii="宋体" w:hAnsi="宋体" w:cs="宋体"/>
          <w:b/>
          <w:color w:val="000000" w:themeColor="text1"/>
          <w:sz w:val="24"/>
          <w:highlight w:val="none"/>
          <w14:textFill>
            <w14:solidFill>
              <w14:schemeClr w14:val="tx1"/>
            </w14:solidFill>
          </w14:textFill>
        </w:rPr>
        <w:t>如未按规定时间、方式缴纳履约保证金的，发包人有权取消其中标资格。</w:t>
      </w:r>
    </w:p>
    <w:p w14:paraId="581AE5B8">
      <w:pPr>
        <w:spacing w:line="500" w:lineRule="exact"/>
        <w:ind w:left="-1"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5、项目组成员</w:t>
      </w:r>
    </w:p>
    <w:p w14:paraId="0D77AE86">
      <w:pPr>
        <w:spacing w:line="500" w:lineRule="exact"/>
        <w:ind w:left="-1"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工程施工项目经理部主要管理人员包括项目负责人、技术负责人、施工员、安全员、质量员。投标时，仅需提供项目经理相关资料，其他现场人员在中标签订施工合同备案时按苏建建管〔2017〕236号文要求配备到位。</w:t>
      </w:r>
    </w:p>
    <w:p w14:paraId="6CC99109">
      <w:pPr>
        <w:spacing w:line="500" w:lineRule="exact"/>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6、合同工期</w:t>
      </w:r>
    </w:p>
    <w:p w14:paraId="6FE483D0">
      <w:pPr>
        <w:spacing w:line="500" w:lineRule="exact"/>
        <w:ind w:left="-1"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6.1合同工期自发包人通知开工之日起</w:t>
      </w:r>
      <w:r>
        <w:rPr>
          <w:rFonts w:hint="eastAsia" w:ascii="宋体" w:hAnsi="宋体" w:cs="宋体"/>
          <w:color w:val="000000" w:themeColor="text1"/>
          <w:sz w:val="24"/>
          <w:highlight w:val="none"/>
          <w:lang w:val="en-US" w:eastAsia="zh-CN"/>
          <w14:textFill>
            <w14:solidFill>
              <w14:schemeClr w14:val="tx1"/>
            </w14:solidFill>
          </w14:textFill>
        </w:rPr>
        <w:t>30</w:t>
      </w:r>
      <w:r>
        <w:rPr>
          <w:rFonts w:hint="eastAsia" w:ascii="宋体" w:hAnsi="宋体" w:cs="宋体"/>
          <w:color w:val="000000" w:themeColor="text1"/>
          <w:sz w:val="24"/>
          <w:highlight w:val="none"/>
          <w14:textFill>
            <w14:solidFill>
              <w14:schemeClr w14:val="tx1"/>
            </w14:solidFill>
          </w14:textFill>
        </w:rPr>
        <w:t>日历天内全部通过竣工验收合格并交付使用。</w:t>
      </w:r>
    </w:p>
    <w:p w14:paraId="41574081">
      <w:pPr>
        <w:spacing w:line="500" w:lineRule="exact"/>
        <w:ind w:left="-1"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6.2承包人应按照投标文件承诺的工期确保工程验收，不得以任何借口停工怠工，如因承包人原因延误工期的，承包人应承担违约责任，按每拖延一天向发包人支付2000元的违约金，如连续拖延达一周及以上的，发包人有权单方面解除合同，已完合格工程量按其70%结算。如因发包人原因并且符合工程工期顺延的情况，经监理或发包人签证确认后顺延。</w:t>
      </w:r>
    </w:p>
    <w:p w14:paraId="40A8A04D">
      <w:pPr>
        <w:spacing w:line="500" w:lineRule="exact"/>
        <w:ind w:left="-1"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6.3实际开工日期以发包人发出的“开工通知书”为准。</w:t>
      </w:r>
    </w:p>
    <w:p w14:paraId="0BA0C6AE">
      <w:pPr>
        <w:spacing w:line="500" w:lineRule="exact"/>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7、 质量标准</w:t>
      </w:r>
    </w:p>
    <w:p w14:paraId="60F340A2">
      <w:pPr>
        <w:spacing w:line="500" w:lineRule="exact"/>
        <w:ind w:left="-1"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7.1合同质量标准以承包人投标时承诺的质量标准为准。</w:t>
      </w:r>
    </w:p>
    <w:p w14:paraId="6F0E606B">
      <w:pPr>
        <w:spacing w:line="500" w:lineRule="exact"/>
        <w:ind w:left="-1"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7.2如达不到合同质量标准，承包人必须无偿整改达标准。否则，承担违约责任。非招标人原因，质量整改期间工期不予顺延。</w:t>
      </w:r>
    </w:p>
    <w:p w14:paraId="3AA3D799">
      <w:pPr>
        <w:spacing w:line="500" w:lineRule="exact"/>
        <w:ind w:left="-1"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7.3承包人采购的材料及设备品牌，发包人有推荐品牌的须按推荐品牌要求执行，未具体明确的，在进场前必须按招标文件及上述要求书面报发包人审批确定后方可实施。但所有材料及设备必须为国内一线高档知名品牌，否则发包人有权不予以结算。</w:t>
      </w:r>
    </w:p>
    <w:p w14:paraId="6037A992">
      <w:pPr>
        <w:spacing w:line="500" w:lineRule="exact"/>
        <w:ind w:left="-1"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7.4质量管理：承包人须严格按照设计图纸、招标工程量清单、质量要求、验收规范、发包人要求等组织施工，接受发包人或监理单位和行业主管部门的监督检查。若发生工序、检验批等验收不符合质量要求的，每发生一次接受发包人以每次2000元的违约金，相关费用直接从工程款中扣除。若发生分项工程验收不符合质量要求的，每发生一次接受发包人以每次5000元的违约金，相关费用直接从工程款中扣除。若发生分部工程验收不符合质量要求的，每发生一次接受发包人以每次10000元的违约金，相关费用直接从工程款中扣除。另外承包人在执行上述要求的同时，并不免除在限期内整改到位、继续履行其他合同条款的义务，由此发生的所有费用均由承包人承担，工期、造价不给予补偿。若未按照发包人或监理单位、行业管理部门要求在限期内整改到位的，发包人有权委托第三方代为实施，费用由发包人安排的施工单位报价，在承包人结算总价中按2倍的价格扣减。拒不整改的发包人有权终止施工合同，已经发生的工作量按照审定后合格工程量的70%结算。 </w:t>
      </w:r>
    </w:p>
    <w:p w14:paraId="398F78B1">
      <w:pPr>
        <w:spacing w:line="500" w:lineRule="exact"/>
        <w:ind w:left="-1"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成品保护按相关要求执行，工程施工不得随意破坏已竣工的项目（含已建路面等），如破坏需及时按原状修复，否则由发包方另行安排施工队伍修复，费用由发包方安排的施工单位报价，在承包人结算总价中按2倍的价格扣减。</w:t>
      </w:r>
    </w:p>
    <w:p w14:paraId="4C555B21">
      <w:pPr>
        <w:spacing w:line="500" w:lineRule="exact"/>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8、材料设备供应</w:t>
      </w:r>
    </w:p>
    <w:p w14:paraId="3C31F762">
      <w:pPr>
        <w:spacing w:line="500" w:lineRule="exact"/>
        <w:ind w:left="-1"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8.1除招标文件中《发包人提供材料和工程设备一览表》中的材料为招标人供应外，其余材料均由中标人组织采购，凡由承包人采购的材料，承包人应按照设计和有关标准及招标文件要求采购，向发包人提供质量保证书、出厂合格证及现场抽样报告等证明材料，对材料质量负责。如不符合质量及相关规定要求或规格有差异的，应禁止使用。承包人采购的材料设备与设计或标准要求不符时，承包人应按发包人要求的时间运出施工场地，重新采购符合要求的产品，并承担由此发生的费用，由此延误的工期不予顺延。若已使用，对工程造成的损失由承包人负责。</w:t>
      </w:r>
    </w:p>
    <w:p w14:paraId="656FCE18">
      <w:pPr>
        <w:spacing w:line="500" w:lineRule="exact"/>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9、工程付款</w:t>
      </w:r>
    </w:p>
    <w:p w14:paraId="207F7114">
      <w:pPr>
        <w:spacing w:line="500" w:lineRule="exact"/>
        <w:ind w:left="-1"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9.1工程款指合同价（即中标价）扣除暂列金额后的工程价款。具体付款幅度如下：</w:t>
      </w:r>
    </w:p>
    <w:p w14:paraId="701AE587">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工程结束全部验收合格，审计结束后付至审计总价的90%，余款在</w:t>
      </w:r>
      <w:r>
        <w:rPr>
          <w:rFonts w:hint="eastAsia" w:ascii="宋体" w:hAnsi="宋体" w:cs="宋体"/>
          <w:color w:val="000000" w:themeColor="text1"/>
          <w:sz w:val="24"/>
          <w:highlight w:val="none"/>
          <w:lang w:val="en-US" w:eastAsia="zh-CN"/>
          <w14:textFill>
            <w14:solidFill>
              <w14:schemeClr w14:val="tx1"/>
            </w14:solidFill>
          </w14:textFill>
        </w:rPr>
        <w:t>两</w:t>
      </w:r>
      <w:r>
        <w:rPr>
          <w:rFonts w:hint="eastAsia" w:ascii="宋体" w:hAnsi="宋体" w:eastAsia="宋体" w:cs="宋体"/>
          <w:color w:val="000000" w:themeColor="text1"/>
          <w:sz w:val="24"/>
          <w:highlight w:val="none"/>
          <w:lang w:val="en-US" w:eastAsia="zh-CN"/>
          <w14:textFill>
            <w14:solidFill>
              <w14:schemeClr w14:val="tx1"/>
            </w14:solidFill>
          </w14:textFill>
        </w:rPr>
        <w:t>年质保期满且无质量问题后付清</w:t>
      </w:r>
      <w:r>
        <w:rPr>
          <w:rFonts w:hint="eastAsia" w:ascii="宋体" w:hAnsi="宋体" w:cs="宋体"/>
          <w:color w:val="000000" w:themeColor="text1"/>
          <w:sz w:val="24"/>
          <w:highlight w:val="none"/>
          <w:lang w:val="en-US" w:eastAsia="zh-CN"/>
          <w14:textFill>
            <w14:solidFill>
              <w14:schemeClr w14:val="tx1"/>
            </w14:solidFill>
          </w14:textFill>
        </w:rPr>
        <w:t>（无息）</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承包人须出具与其营业执照名称相一致的正规发票。</w:t>
      </w:r>
    </w:p>
    <w:p w14:paraId="391A2963">
      <w:pPr>
        <w:spacing w:line="500" w:lineRule="exact"/>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10、合同定价方式与工程结算</w:t>
      </w:r>
    </w:p>
    <w:p w14:paraId="7CC974D4">
      <w:pPr>
        <w:spacing w:line="500" w:lineRule="exact"/>
        <w:ind w:left="-1"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10.1 本项目采用固定全费用单价合同，合同实施过程中风险范围内中标全费用单价不作调整。</w:t>
      </w:r>
    </w:p>
    <w:p w14:paraId="02F2A65B">
      <w:pPr>
        <w:spacing w:line="500" w:lineRule="exact"/>
        <w:ind w:left="-1"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10.2 结算价=中标全费用综合单价×经审计的招标范围内经验收合格的实际工作量。</w:t>
      </w:r>
    </w:p>
    <w:p w14:paraId="27BC4C94">
      <w:pPr>
        <w:spacing w:line="500" w:lineRule="exact"/>
        <w:ind w:left="-1"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无论招标时图纸、工程量清单中项目特征描述、招标文件中规定的技术要求是否准确，承包人的全费用综合单价报价应为完成施工图纸、发包人要求和工程量清单的全部内容，若无相关设计变更，中标的全费用综合单价不予调整，工程量按实际完成工程量结算。最终以审计部门审查确认后的工程竣工结算价为准。</w:t>
      </w:r>
    </w:p>
    <w:p w14:paraId="090FA100">
      <w:pPr>
        <w:spacing w:line="500" w:lineRule="exact"/>
        <w:ind w:left="-1"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本工程施工过程中遇到的地方矛盾及由此发生的费用由承包人自行负责。</w:t>
      </w:r>
    </w:p>
    <w:p w14:paraId="3D8DE45A">
      <w:pPr>
        <w:spacing w:line="500" w:lineRule="exact"/>
        <w:ind w:left="-1"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工程所发生施工、生活、消防用水、用电由</w:t>
      </w:r>
      <w:r>
        <w:rPr>
          <w:rFonts w:hint="eastAsia" w:ascii="宋体" w:hAnsi="宋体" w:cs="宋体"/>
          <w:color w:val="000000" w:themeColor="text1"/>
          <w:sz w:val="24"/>
          <w:highlight w:val="none"/>
          <w:lang w:val="en-US" w:eastAsia="zh-CN"/>
          <w14:textFill>
            <w14:solidFill>
              <w14:schemeClr w14:val="tx1"/>
            </w14:solidFill>
          </w14:textFill>
        </w:rPr>
        <w:t>发包人提供</w:t>
      </w:r>
      <w:r>
        <w:rPr>
          <w:rFonts w:hint="eastAsia" w:ascii="宋体" w:hAnsi="宋体" w:cs="宋体"/>
          <w:color w:val="000000" w:themeColor="text1"/>
          <w:sz w:val="24"/>
          <w:highlight w:val="none"/>
          <w14:textFill>
            <w14:solidFill>
              <w14:schemeClr w14:val="tx1"/>
            </w14:solidFill>
          </w14:textFill>
        </w:rPr>
        <w:t>。</w:t>
      </w:r>
    </w:p>
    <w:p w14:paraId="29FC20C9">
      <w:pPr>
        <w:spacing w:line="500" w:lineRule="exact"/>
        <w:ind w:left="-1"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承包人应在发包人确认的完工日之日起28日内编制并向发包人报送工程结算进行审核。</w:t>
      </w:r>
    </w:p>
    <w:p w14:paraId="319E12B1">
      <w:pPr>
        <w:spacing w:line="500" w:lineRule="exact"/>
        <w:ind w:left="-1"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已自行对工程施工现场和周围环境进行了踏勘，充分了解工地位置、情况、道路、储存空间、装卸限制以及任何其他足以影响承包价的情况，任何因忽视或误解工地情况而导致的索赔或工期延长申请将不被批准。</w:t>
      </w:r>
    </w:p>
    <w:p w14:paraId="6FDAF7A0">
      <w:pPr>
        <w:spacing w:line="500" w:lineRule="exact"/>
        <w:ind w:left="-1"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施工期间部分材料市场价格发生变化超出一度幅度时的风险约定：不调整，均由承包人承担。</w:t>
      </w:r>
    </w:p>
    <w:p w14:paraId="44EFA2E0">
      <w:pPr>
        <w:spacing w:line="500" w:lineRule="exact"/>
        <w:ind w:left="-1"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10.3以上关于合同定价与结算方式条款中未尽事宜由双方依据《建设工程工程量清单计价规范》（GB 50500-2013）以及相关配套文件中关于工程价款调整与结算的内容进行协商，并在合同中具体约定。</w:t>
      </w:r>
    </w:p>
    <w:p w14:paraId="2B9E149E">
      <w:pPr>
        <w:spacing w:line="500" w:lineRule="exact"/>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11、安全文明施工与环境保护</w:t>
      </w:r>
    </w:p>
    <w:p w14:paraId="344006F8">
      <w:pPr>
        <w:spacing w:line="500" w:lineRule="exact"/>
        <w:ind w:left="-1"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（1）承包人在施工过程中应严格执行国家、省、市、行业主</w:t>
      </w:r>
      <w:bookmarkStart w:id="6" w:name="OLE_LINK7"/>
      <w:r>
        <w:rPr>
          <w:rFonts w:hint="eastAsia" w:ascii="宋体" w:hAnsi="宋体" w:cs="宋体"/>
          <w:color w:val="000000" w:themeColor="text1"/>
          <w:sz w:val="24"/>
          <w:highlight w:val="none"/>
          <w14:textFill>
            <w14:solidFill>
              <w14:schemeClr w14:val="tx1"/>
            </w14:solidFill>
          </w14:textFill>
        </w:rPr>
        <w:t>管</w:t>
      </w:r>
      <w:bookmarkEnd w:id="6"/>
      <w:r>
        <w:rPr>
          <w:rFonts w:hint="eastAsia" w:ascii="宋体" w:hAnsi="宋体" w:cs="宋体"/>
          <w:color w:val="000000" w:themeColor="text1"/>
          <w:sz w:val="24"/>
          <w:highlight w:val="none"/>
          <w14:textFill>
            <w14:solidFill>
              <w14:schemeClr w14:val="tx1"/>
            </w14:solidFill>
          </w14:textFill>
        </w:rPr>
        <w:t>部门关于文明施工的有关规定，加强文明施工、环境保护、扬尘控制、噪声污染控制等管理。发包人或监理单位、行业主管部门有权监督检查承包人文明施工措施的落实情况。由于承包人疏于采取文明施工措施所造成的必要费用的支出，由承包人支付，承包人未支付或迟延支付的，发包人可从工程款中予以提取。</w:t>
      </w:r>
    </w:p>
    <w:p w14:paraId="7CFFFECB">
      <w:pPr>
        <w:spacing w:line="500" w:lineRule="exact"/>
        <w:ind w:left="-1"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（2）施工工作面内所有现场清理、矛盾协调处理等含在合同价内，结算时不予调整。如打扫不到位，发包人有权直接安排第三方打扫，费用从承包人的履约保证金中直接扣付。</w:t>
      </w:r>
    </w:p>
    <w:p w14:paraId="1B761C93">
      <w:pPr>
        <w:spacing w:line="500" w:lineRule="exact"/>
        <w:ind w:left="-1"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（3）施工过程中应确保沿线单位、小区居民的临时出行和正常的生产生活</w:t>
      </w:r>
      <w:bookmarkStart w:id="7" w:name="OLE_LINK8"/>
      <w:r>
        <w:rPr>
          <w:rFonts w:hint="eastAsia" w:ascii="宋体" w:hAnsi="宋体" w:cs="宋体"/>
          <w:color w:val="000000" w:themeColor="text1"/>
          <w:sz w:val="24"/>
          <w:highlight w:val="none"/>
          <w14:textFill>
            <w14:solidFill>
              <w14:schemeClr w14:val="tx1"/>
            </w14:solidFill>
          </w14:textFill>
        </w:rPr>
        <w:t>秩序</w:t>
      </w:r>
      <w:bookmarkEnd w:id="7"/>
      <w:r>
        <w:rPr>
          <w:rFonts w:hint="eastAsia" w:ascii="宋体" w:hAnsi="宋体" w:cs="宋体"/>
          <w:color w:val="000000" w:themeColor="text1"/>
          <w:sz w:val="24"/>
          <w:highlight w:val="none"/>
          <w14:textFill>
            <w14:solidFill>
              <w14:schemeClr w14:val="tx1"/>
            </w14:solidFill>
          </w14:textFill>
        </w:rPr>
        <w:t>，协调处理好相关矛盾，费用由承包人自行负责。</w:t>
      </w:r>
    </w:p>
    <w:p w14:paraId="40A42EEC">
      <w:pPr>
        <w:spacing w:line="500" w:lineRule="exact"/>
        <w:ind w:left="-1"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（4）因施工安全所需设置的各种警示标牌、警示灯、施工现场围护、导行交通、安全防护等措施费用由承包人自行负责。</w:t>
      </w:r>
    </w:p>
    <w:p w14:paraId="31EFCCE8">
      <w:pPr>
        <w:spacing w:line="500" w:lineRule="exact"/>
        <w:ind w:left="-1"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（5）工程施工过程中遇到的地方矛盾及由此发生的费用由承包人自行负责。</w:t>
      </w:r>
    </w:p>
    <w:p w14:paraId="139D0437">
      <w:pPr>
        <w:spacing w:line="500" w:lineRule="exact"/>
        <w:ind w:left="-1"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（6）施工过程中如因承包人造成周边地上、地下附作物等损坏，均由承包人自行负责赔偿。</w:t>
      </w:r>
    </w:p>
    <w:p w14:paraId="38D7BD74">
      <w:pPr>
        <w:spacing w:line="500" w:lineRule="exact"/>
        <w:ind w:left="-1"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（7）工程质量、工期、现场安全文明施工等的管理按现行有关规范标准以及发包人为强化项目管理所制定的各项管理制度执行，相关管理规定如有调整应按最新文件执行，费用均由中标人承担。</w:t>
      </w:r>
    </w:p>
    <w:p w14:paraId="374C4ABB">
      <w:pPr>
        <w:spacing w:line="500" w:lineRule="exact"/>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12、安全施工</w:t>
      </w:r>
    </w:p>
    <w:p w14:paraId="6150E1DF">
      <w:pPr>
        <w:spacing w:line="500" w:lineRule="exact"/>
        <w:ind w:left="-1"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12.1此工程必须确保安全，若发生不安全问题，由中标人自行负责处理并承担一切责任。</w:t>
      </w:r>
    </w:p>
    <w:p w14:paraId="49AF3F7C">
      <w:pPr>
        <w:spacing w:line="500" w:lineRule="exact"/>
        <w:ind w:left="-1"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12.2承包人必须遵守国家、省、市建设主管部门有关安全、文明施工及扬尘控制等规定和要求，强化施工现场安全文明施工管理。本工程施工现场必须按照《安全标准化图集》要求实施。承包人进场后，必须严格按照经发包人或监理单位审查批准的方案实施施工场地总平面的布置，服从发包人或监理单位的统一调度和指挥。如出现不服从管理和下列现象的，发包人将视情节轻重认定承包人是否违约，并根据情况要求承包人承担违约责任，支付违约金。</w:t>
      </w:r>
    </w:p>
    <w:p w14:paraId="6AFD34A0">
      <w:pPr>
        <w:spacing w:line="500" w:lineRule="exact"/>
        <w:ind w:left="-1"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12.3承包人应严格履行安全生产主体责任确保施工安全，承担工程施工过程中的工程质量和任何状况下的安全责任。非发包人原因，发生的一切安全生产事故均与发包人无关，相关一切费用或民事、刑事责任均由承包人自负。承包人不及时处理，造成社会重大影响的将向发包人承担合同价的5%违约金。若承包人不能及时处理所发生的安全生产事故，并且影响到工程进度时，发包人有权处理相关事务，所发生的费用在支付工程款时扣除。</w:t>
      </w:r>
    </w:p>
    <w:p w14:paraId="6F1975A4">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12.4承包人应按有关规定编制施工组织设计方案和安全专项方案，采取严格的安全防护措施，确保工程施工安全管理到位，并接受发包人或监理单位及相关部门的安全监督和检查，对于发包人或监理单位及相关部门在监督和检查过程中发现的安全隐患，承包人必须在限期内进行整改。由于整改造成工期延误的责任由承包人承担。对发现的安全隐患，承包人逾期不整改的，承包人将承担2000元/次的违约金。对发现的重大隐患的，承包人将承担5000元/次的违约金。施工期间如发生安全生产伤亡事故时，承包人应</w:t>
      </w:r>
      <w:r>
        <w:rPr>
          <w:rFonts w:hint="eastAsia" w:ascii="宋体" w:hAnsi="宋体" w:eastAsia="宋体" w:cs="宋体"/>
          <w:color w:val="000000" w:themeColor="text1"/>
          <w:sz w:val="24"/>
          <w:highlight w:val="none"/>
          <w14:textFill>
            <w14:solidFill>
              <w14:schemeClr w14:val="tx1"/>
            </w14:solidFill>
          </w14:textFill>
        </w:rPr>
        <w:t>按规定及时上报有关部门并通知发包人，同时按相关规定处理。</w:t>
      </w:r>
    </w:p>
    <w:p w14:paraId="7639B596">
      <w:pPr>
        <w:spacing w:line="500" w:lineRule="exact"/>
        <w:ind w:left="-1" w:firstLine="480" w:firstLineChars="2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12.5必须严格按照国家、地方颁发的建筑工程规范标准等进行施工，并接受学校现场派驻代表的监督。</w:t>
      </w:r>
    </w:p>
    <w:p w14:paraId="69E8236A">
      <w:pPr>
        <w:spacing w:line="500" w:lineRule="exact"/>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13、缺陷责任和保修责任</w:t>
      </w:r>
    </w:p>
    <w:p w14:paraId="1B6DA319">
      <w:pPr>
        <w:spacing w:line="500" w:lineRule="exact"/>
        <w:ind w:left="-1"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13.1缺陷责任</w:t>
      </w:r>
    </w:p>
    <w:p w14:paraId="2D98F5A6">
      <w:pPr>
        <w:spacing w:line="500" w:lineRule="exact"/>
        <w:ind w:left="-1"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13.1.1本项目缺陷责任期为</w:t>
      </w:r>
      <w:r>
        <w:rPr>
          <w:rFonts w:hint="eastAsia" w:ascii="宋体" w:hAnsi="宋体" w:cs="宋体"/>
          <w:color w:val="000000" w:themeColor="text1"/>
          <w:sz w:val="24"/>
          <w:highlight w:val="none"/>
          <w:u w:val="single"/>
          <w14:textFill>
            <w14:solidFill>
              <w14:schemeClr w14:val="tx1"/>
            </w14:solidFill>
          </w14:textFill>
        </w:rPr>
        <w:t>24</w:t>
      </w:r>
      <w:r>
        <w:rPr>
          <w:rFonts w:hint="eastAsia" w:ascii="宋体" w:hAnsi="宋体" w:cs="宋体"/>
          <w:color w:val="000000" w:themeColor="text1"/>
          <w:sz w:val="24"/>
          <w:highlight w:val="none"/>
          <w14:textFill>
            <w14:solidFill>
              <w14:schemeClr w14:val="tx1"/>
            </w14:solidFill>
          </w14:textFill>
        </w:rPr>
        <w:t>个月。</w:t>
      </w:r>
    </w:p>
    <w:p w14:paraId="2E843843">
      <w:pPr>
        <w:spacing w:line="500" w:lineRule="exact"/>
        <w:ind w:left="-1"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13.1.2中标人应在缺陷责任期内对已交付使用的工程承担缺陷责任。 </w:t>
      </w:r>
    </w:p>
    <w:p w14:paraId="5A9A6676">
      <w:pPr>
        <w:spacing w:line="500" w:lineRule="exact"/>
        <w:ind w:left="-1"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13.1.3缺陷责任期内，招标人对已接收使用的工程负责日常维护工作。</w:t>
      </w:r>
    </w:p>
    <w:p w14:paraId="3C529226">
      <w:pPr>
        <w:spacing w:line="500" w:lineRule="exact"/>
        <w:ind w:left="-1"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13.1.4由于中标人原因造成某项缺陷或损坏使工程或工程设备不能按原定目标使用而需要再次检查、检验和修复的，招标人有权要求中标人相应延长缺陷责任期，但缺陷责任期最长不超过2年。</w:t>
      </w:r>
    </w:p>
    <w:p w14:paraId="1A2A423B">
      <w:pPr>
        <w:spacing w:line="500" w:lineRule="exact"/>
        <w:ind w:left="-1"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13.1.5其他关于缺陷责任的有关约定由合同双方根据现行有关规定执行。</w:t>
      </w:r>
    </w:p>
    <w:p w14:paraId="33951BE5">
      <w:pPr>
        <w:spacing w:line="500" w:lineRule="exact"/>
        <w:ind w:left="479" w:leftChars="228"/>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13.2保修责任</w:t>
      </w:r>
    </w:p>
    <w:p w14:paraId="1D6E93F2">
      <w:pPr>
        <w:spacing w:line="500" w:lineRule="exact"/>
        <w:ind w:firstLine="470" w:firstLineChars="19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13.2.1本项目质量保修范围、期限和责任由合同双方在合同条款中具体约定。</w:t>
      </w:r>
    </w:p>
    <w:p w14:paraId="0913266F">
      <w:pPr>
        <w:spacing w:line="500" w:lineRule="exact"/>
        <w:ind w:firstLine="470" w:firstLineChars="19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13.2.2合同双方质量保修范围、期限和责任的约定应不低于《建设工程质量管理条例》（国务院令第279号）和《房屋建筑工程质量保修办法》（建设部令第80号）中规定的最低标准和要求。</w:t>
      </w:r>
    </w:p>
    <w:p w14:paraId="4CE654AA">
      <w:pPr>
        <w:spacing w:line="520" w:lineRule="exact"/>
        <w:ind w:firstLine="480" w:firstLineChars="200"/>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13.2.3</w:t>
      </w:r>
      <w:r>
        <w:rPr>
          <w:rFonts w:hint="eastAsia" w:ascii="宋体" w:hAnsi="宋体" w:cs="宋体"/>
          <w:color w:val="000000" w:themeColor="text1"/>
          <w:sz w:val="24"/>
          <w:highlight w:val="none"/>
          <w:lang w:val="en-US" w:eastAsia="zh-CN"/>
          <w14:textFill>
            <w14:solidFill>
              <w14:schemeClr w14:val="tx1"/>
            </w14:solidFill>
          </w14:textFill>
        </w:rPr>
        <w:t>本项目</w:t>
      </w:r>
      <w:r>
        <w:rPr>
          <w:rFonts w:hint="eastAsia" w:ascii="宋体" w:hAnsi="宋体" w:cs="宋体"/>
          <w:color w:val="000000" w:themeColor="text1"/>
          <w:sz w:val="24"/>
          <w:highlight w:val="none"/>
          <w:lang w:eastAsia="zh-CN"/>
          <w14:textFill>
            <w14:solidFill>
              <w14:schemeClr w14:val="tx1"/>
            </w14:solidFill>
          </w14:textFill>
        </w:rPr>
        <w:t>质保期</w:t>
      </w:r>
      <w:r>
        <w:rPr>
          <w:rFonts w:hint="eastAsia" w:ascii="宋体" w:hAnsi="宋体" w:cs="宋体"/>
          <w:color w:val="000000" w:themeColor="text1"/>
          <w:sz w:val="24"/>
          <w:highlight w:val="none"/>
          <w:u w:val="none"/>
          <w:lang w:val="en-US" w:eastAsia="zh-CN"/>
          <w14:textFill>
            <w14:solidFill>
              <w14:schemeClr w14:val="tx1"/>
            </w14:solidFill>
          </w14:textFill>
        </w:rPr>
        <w:t>两年，</w:t>
      </w:r>
      <w:r>
        <w:rPr>
          <w:rFonts w:hint="eastAsia" w:ascii="宋体" w:hAnsi="宋体" w:cs="宋体"/>
          <w:color w:val="000000" w:themeColor="text1"/>
          <w:sz w:val="24"/>
          <w:highlight w:val="none"/>
          <w:lang w:eastAsia="zh-CN"/>
          <w14:textFill>
            <w14:solidFill>
              <w14:schemeClr w14:val="tx1"/>
            </w14:solidFill>
          </w14:textFill>
        </w:rPr>
        <w:t>自项目验收合格之日起计算。</w:t>
      </w:r>
      <w:r>
        <w:rPr>
          <w:rFonts w:hint="eastAsia" w:ascii="宋体" w:hAnsi="宋体" w:cs="宋体"/>
          <w:color w:val="000000" w:themeColor="text1"/>
          <w:sz w:val="24"/>
          <w:highlight w:val="none"/>
          <w:lang w:val="en-US" w:eastAsia="zh-CN"/>
          <w14:textFill>
            <w14:solidFill>
              <w14:schemeClr w14:val="tx1"/>
            </w14:solidFill>
          </w14:textFill>
        </w:rPr>
        <w:t>质保应包括所有更换的地板、电源线、网线、电源插座、灯具维修等项目</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承包人</w:t>
      </w:r>
      <w:r>
        <w:rPr>
          <w:rFonts w:hint="eastAsia" w:ascii="宋体" w:hAnsi="宋体" w:cs="宋体"/>
          <w:color w:val="000000" w:themeColor="text1"/>
          <w:sz w:val="24"/>
          <w:highlight w:val="none"/>
          <w:lang w:eastAsia="zh-CN"/>
          <w14:textFill>
            <w14:solidFill>
              <w14:schemeClr w14:val="tx1"/>
            </w14:solidFill>
          </w14:textFill>
        </w:rPr>
        <w:t>应在接到维修请求后的24小时内提供响应，并在48小时内派遣技术人员到达现场进行维修服务。对于在质保期内发现的任何缺陷或故障，</w:t>
      </w:r>
      <w:r>
        <w:rPr>
          <w:rFonts w:hint="eastAsia" w:ascii="宋体" w:hAnsi="宋体" w:cs="宋体"/>
          <w:color w:val="000000" w:themeColor="text1"/>
          <w:sz w:val="24"/>
          <w:highlight w:val="none"/>
          <w:lang w:val="en-US" w:eastAsia="zh-CN"/>
          <w14:textFill>
            <w14:solidFill>
              <w14:schemeClr w14:val="tx1"/>
            </w14:solidFill>
          </w14:textFill>
        </w:rPr>
        <w:t>承包人</w:t>
      </w:r>
      <w:r>
        <w:rPr>
          <w:rFonts w:hint="eastAsia" w:ascii="宋体" w:hAnsi="宋体" w:cs="宋体"/>
          <w:color w:val="000000" w:themeColor="text1"/>
          <w:sz w:val="24"/>
          <w:highlight w:val="none"/>
          <w:lang w:eastAsia="zh-CN"/>
          <w14:textFill>
            <w14:solidFill>
              <w14:schemeClr w14:val="tx1"/>
            </w14:solidFill>
          </w14:textFill>
        </w:rPr>
        <w:t>应免费提供更换或修复服务。</w:t>
      </w:r>
    </w:p>
    <w:p w14:paraId="026CECA3">
      <w:pPr>
        <w:spacing w:line="520" w:lineRule="exact"/>
        <w:ind w:firstLine="480" w:firstLineChars="200"/>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13.2.4承包人</w:t>
      </w:r>
      <w:r>
        <w:rPr>
          <w:rFonts w:hint="eastAsia" w:ascii="宋体" w:hAnsi="宋体" w:cs="宋体"/>
          <w:color w:val="000000" w:themeColor="text1"/>
          <w:sz w:val="24"/>
          <w:highlight w:val="none"/>
          <w:lang w:eastAsia="zh-CN"/>
          <w14:textFill>
            <w14:solidFill>
              <w14:schemeClr w14:val="tx1"/>
            </w14:solidFill>
          </w14:textFill>
        </w:rPr>
        <w:t>应保证在质保期内及之后的1年内，以不高于市场平均价格提供所需的备件。</w:t>
      </w:r>
    </w:p>
    <w:p w14:paraId="75C9E530">
      <w:pPr>
        <w:spacing w:line="520" w:lineRule="exact"/>
        <w:ind w:firstLine="480" w:firstLineChars="200"/>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13.2.5承包人</w:t>
      </w:r>
      <w:r>
        <w:rPr>
          <w:rFonts w:hint="eastAsia" w:ascii="宋体" w:hAnsi="宋体" w:cs="宋体"/>
          <w:color w:val="000000" w:themeColor="text1"/>
          <w:sz w:val="24"/>
          <w:highlight w:val="none"/>
          <w:lang w:eastAsia="zh-CN"/>
          <w14:textFill>
            <w14:solidFill>
              <w14:schemeClr w14:val="tx1"/>
            </w14:solidFill>
          </w14:textFill>
        </w:rPr>
        <w:t>应在项目交付时提供详细的质保证明文件，包括质保期限、范围、服务承诺等</w:t>
      </w:r>
      <w:r>
        <w:rPr>
          <w:rFonts w:hint="eastAsia" w:ascii="宋体" w:hAnsi="宋体" w:cs="宋体"/>
          <w:color w:val="000000" w:themeColor="text1"/>
          <w:sz w:val="24"/>
          <w:highlight w:val="none"/>
          <w14:textFill>
            <w14:solidFill>
              <w14:schemeClr w14:val="tx1"/>
            </w14:solidFill>
          </w14:textFill>
        </w:rPr>
        <w:t>。</w:t>
      </w:r>
    </w:p>
    <w:p w14:paraId="7FDA18D5">
      <w:pPr>
        <w:spacing w:line="5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14、工程分包</w:t>
      </w:r>
    </w:p>
    <w:p w14:paraId="7F1CA97E">
      <w:pPr>
        <w:spacing w:line="52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14.1</w:t>
      </w:r>
      <w:r>
        <w:rPr>
          <w:rFonts w:hint="eastAsia" w:ascii="宋体" w:hAnsi="宋体" w:cs="宋体"/>
          <w:color w:val="000000" w:themeColor="text1"/>
          <w:sz w:val="24"/>
          <w:highlight w:val="none"/>
          <w:lang w:val="en-US" w:eastAsia="zh-CN"/>
          <w14:textFill>
            <w14:solidFill>
              <w14:schemeClr w14:val="tx1"/>
            </w14:solidFill>
          </w14:textFill>
        </w:rPr>
        <w:t>承包人必须使用自己的员工提供所有服务，不得将项目外包给第三方。</w:t>
      </w:r>
    </w:p>
    <w:p w14:paraId="76E44BCC">
      <w:pPr>
        <w:spacing w:line="52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14.2中标人不得将工程进行转包和违法分包，若发现中标人擅自进行转包和违法分包，招标人有权解除合同，并要求中标人支付违约金。</w:t>
      </w:r>
    </w:p>
    <w:p w14:paraId="32609817">
      <w:pPr>
        <w:spacing w:line="52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15、工程审计</w:t>
      </w:r>
    </w:p>
    <w:p w14:paraId="1508446D">
      <w:pPr>
        <w:spacing w:line="52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工程结算报审约定：</w:t>
      </w:r>
    </w:p>
    <w:p w14:paraId="17D64A15">
      <w:pPr>
        <w:numPr>
          <w:ilvl w:val="0"/>
          <w:numId w:val="4"/>
        </w:numPr>
        <w:spacing w:line="52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单项工程核减率超过10%的，其审计费用全部由投标人承担，并由招标人从投标人工程款中扣除（下同）；</w:t>
      </w:r>
    </w:p>
    <w:p w14:paraId="30D35E7E">
      <w:pPr>
        <w:numPr>
          <w:ilvl w:val="0"/>
          <w:numId w:val="4"/>
        </w:numPr>
        <w:spacing w:line="52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单项工程核减率在8%-10%（含10%）之间的，其审计费用由招标人承担20%，投标人承担80%；</w:t>
      </w:r>
    </w:p>
    <w:p w14:paraId="6D866A7C">
      <w:pPr>
        <w:numPr>
          <w:ilvl w:val="0"/>
          <w:numId w:val="4"/>
        </w:numPr>
        <w:spacing w:line="52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单项工程核减率在5%-8%（含8%）之间的，其审计费用由投标人承担20%，招标人承担80%；</w:t>
      </w:r>
    </w:p>
    <w:p w14:paraId="17C95B23">
      <w:pPr>
        <w:spacing w:line="520" w:lineRule="exact"/>
        <w:ind w:left="420" w:left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（四）单项工程核减率在5%及其以下的，其审计费用由招标人承担。</w:t>
      </w:r>
    </w:p>
    <w:p w14:paraId="092D2E52">
      <w:pPr>
        <w:spacing w:line="5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16、违约责任</w:t>
      </w:r>
    </w:p>
    <w:p w14:paraId="66B6471B">
      <w:pPr>
        <w:spacing w:line="500" w:lineRule="exact"/>
        <w:ind w:left="-1"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合同生效后，招标人或中标人如有违约，应按《中华人民共和国</w:t>
      </w:r>
      <w:r>
        <w:rPr>
          <w:rFonts w:hint="eastAsia" w:ascii="宋体" w:hAnsi="宋体" w:cs="宋体"/>
          <w:color w:val="000000" w:themeColor="text1"/>
          <w:sz w:val="24"/>
          <w:highlight w:val="none"/>
          <w:lang w:val="en-US" w:eastAsia="zh-CN"/>
          <w14:textFill>
            <w14:solidFill>
              <w14:schemeClr w14:val="tx1"/>
            </w14:solidFill>
          </w14:textFill>
        </w:rPr>
        <w:t>民法典</w:t>
      </w:r>
      <w:r>
        <w:rPr>
          <w:rFonts w:hint="eastAsia" w:ascii="宋体" w:hAnsi="宋体" w:cs="宋体"/>
          <w:color w:val="000000" w:themeColor="text1"/>
          <w:sz w:val="24"/>
          <w:highlight w:val="none"/>
          <w14:textFill>
            <w14:solidFill>
              <w14:schemeClr w14:val="tx1"/>
            </w14:solidFill>
          </w14:textFill>
        </w:rPr>
        <w:t>》承担其违约责任，赔偿因其违约给对方造成的损失。赔偿损失的计算方法或者约定支付违约金的数额和计算方法由合同双方在合同中具体约定。</w:t>
      </w:r>
    </w:p>
    <w:p w14:paraId="45C1FC09">
      <w:pPr>
        <w:spacing w:line="5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17、其他</w:t>
      </w:r>
    </w:p>
    <w:p w14:paraId="2FD716A4">
      <w:pPr>
        <w:spacing w:line="500" w:lineRule="exact"/>
        <w:ind w:left="-1"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 合同生效后，中标人应严格按投标承诺履行合同，中标项目负责人及项目部组成人员必须常驻现场实施施工管理，中途如须离开超过3个工作日，必须经招标人同意，否则招标人有权终止合同，并要求中标人支付违约金。</w:t>
      </w:r>
    </w:p>
    <w:p w14:paraId="2687DB0D">
      <w:pPr>
        <w:spacing w:line="500" w:lineRule="exact"/>
        <w:ind w:left="-1" w:firstLine="480"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 本项目</w:t>
      </w:r>
      <w:r>
        <w:rPr>
          <w:rFonts w:hint="eastAsia" w:ascii="宋体" w:hAnsi="宋体" w:cs="宋体"/>
          <w:b/>
          <w:bCs/>
          <w:color w:val="000000" w:themeColor="text1"/>
          <w:sz w:val="24"/>
          <w:highlight w:val="none"/>
          <w14:textFill>
            <w14:solidFill>
              <w14:schemeClr w14:val="tx1"/>
            </w14:solidFill>
          </w14:textFill>
        </w:rPr>
        <w:t>施工过程中遇到的一切地方矛盾及由此发生的费用与招标人无涉，均由中标人自行负责，并在投标报价中考虑。</w:t>
      </w:r>
    </w:p>
    <w:p w14:paraId="30A1D258">
      <w:pPr>
        <w:spacing w:line="500" w:lineRule="exact"/>
        <w:ind w:left="-1"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17.3本项目合同实施期间所有消防、市容保洁、环境噪声、成品保护、文明施工均由中标人负责，并自行承担由此发生的相关费用。</w:t>
      </w:r>
    </w:p>
    <w:p w14:paraId="18EDF3B9">
      <w:pPr>
        <w:spacing w:line="500" w:lineRule="exact"/>
        <w:ind w:left="-1"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17.4中标人进场后自觉服从招标人对工地安全、标准化现场、总平面布置的管理，如出现不服从、不配合等现象，招标人有权按违</w:t>
      </w:r>
      <w:r>
        <w:rPr>
          <w:rFonts w:hint="eastAsia" w:ascii="宋体" w:hAnsi="宋体" w:cs="宋体"/>
          <w:color w:val="000000" w:themeColor="text1"/>
          <w:sz w:val="24"/>
          <w:highlight w:val="none"/>
          <w14:textFill>
            <w14:solidFill>
              <w14:schemeClr w14:val="tx1"/>
            </w14:solidFill>
          </w14:textFill>
        </w:rPr>
        <w:t>约处理。</w:t>
      </w:r>
    </w:p>
    <w:p w14:paraId="4BA428AF">
      <w:pPr>
        <w:spacing w:line="500" w:lineRule="exact"/>
        <w:ind w:left="-1"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17.5本项目价款一律通过银行非现金结算，实行专款专用。</w:t>
      </w:r>
    </w:p>
    <w:p w14:paraId="7EA56552">
      <w:pPr>
        <w:spacing w:line="500" w:lineRule="exact"/>
        <w:ind w:left="-1"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17.6 本项目发包人要求承包人严格按照盐建建筑〔2016〕35号《关于进一步做好建筑施工拖欠农民工工资治理工作的通知》文件要求执行。</w:t>
      </w:r>
    </w:p>
    <w:p w14:paraId="4D2981F3">
      <w:pPr>
        <w:spacing w:line="500" w:lineRule="exact"/>
        <w:ind w:left="-1"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17.7本合同条款未尽事宜由双方按照《建设工程施工合同》（GF-2017-0201）示范文本的有关内容在合同中具体约定。</w:t>
      </w:r>
    </w:p>
    <w:p w14:paraId="12C32C55">
      <w:pPr>
        <w:pStyle w:val="15"/>
        <w:spacing w:before="120" w:after="120"/>
        <w:ind w:firstLine="72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甲方（盖章）：                       乙方（盖章）：</w:t>
      </w:r>
    </w:p>
    <w:p w14:paraId="256D28EB">
      <w:pPr>
        <w:pStyle w:val="15"/>
        <w:spacing w:before="120" w:after="120"/>
        <w:ind w:firstLine="72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地址：                               地址：</w:t>
      </w:r>
    </w:p>
    <w:p w14:paraId="62D850A2">
      <w:pPr>
        <w:pStyle w:val="15"/>
        <w:spacing w:before="120" w:after="120"/>
        <w:ind w:firstLine="72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法定代表人或授权代表（签字）：       法定代表人或授权代表（签字）：                               </w:t>
      </w:r>
    </w:p>
    <w:p w14:paraId="0BE48850">
      <w:pPr>
        <w:pStyle w:val="24"/>
        <w:widowControl w:val="0"/>
        <w:snapToGrid w:val="0"/>
        <w:spacing w:before="0" w:beforeAutospacing="0" w:after="0" w:afterAutospacing="0" w:line="460" w:lineRule="exact"/>
        <w:ind w:firstLine="720" w:firstLineChars="300"/>
        <w:jc w:val="both"/>
        <w:rPr>
          <w:color w:val="000000" w:themeColor="text1"/>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承办部门负责人（签字）：</w:t>
      </w:r>
    </w:p>
    <w:p w14:paraId="27583353">
      <w:pPr>
        <w:pStyle w:val="24"/>
        <w:widowControl w:val="0"/>
        <w:snapToGrid w:val="0"/>
        <w:spacing w:before="0" w:beforeAutospacing="0" w:after="0" w:afterAutospacing="0" w:line="460" w:lineRule="exact"/>
        <w:ind w:firstLine="720" w:firstLineChars="300"/>
        <w:jc w:val="both"/>
        <w:rPr>
          <w:color w:val="000000" w:themeColor="text1"/>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联系电话：                             联系电话：</w:t>
      </w:r>
    </w:p>
    <w:p w14:paraId="59537BD6">
      <w:pPr>
        <w:spacing w:line="4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p>
    <w:p w14:paraId="61FAC668">
      <w:pPr>
        <w:pStyle w:val="15"/>
        <w:spacing w:before="120" w:after="120"/>
        <w:ind w:left="718"/>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签订日期：      年  月  日               日期：年   月   日</w:t>
      </w:r>
    </w:p>
    <w:p w14:paraId="52D278FD">
      <w:pPr>
        <w:spacing w:line="460" w:lineRule="exact"/>
        <w:ind w:firstLine="1325" w:firstLineChars="300"/>
        <w:rPr>
          <w:rFonts w:ascii="宋体" w:hAnsi="宋体" w:cs="宋体"/>
          <w:b/>
          <w:color w:val="000000" w:themeColor="text1"/>
          <w:sz w:val="44"/>
          <w:highlight w:val="none"/>
          <w14:textFill>
            <w14:solidFill>
              <w14:schemeClr w14:val="tx1"/>
            </w14:solidFill>
          </w14:textFill>
        </w:rPr>
        <w:sectPr>
          <w:headerReference r:id="rId10" w:type="default"/>
          <w:footerReference r:id="rId11" w:type="default"/>
          <w:pgSz w:w="11906" w:h="16838"/>
          <w:pgMar w:top="1418" w:right="1417" w:bottom="1418" w:left="1417" w:header="851" w:footer="907" w:gutter="0"/>
          <w:pgBorders>
            <w:top w:val="none" w:sz="0" w:space="0"/>
            <w:left w:val="none" w:sz="0" w:space="0"/>
            <w:bottom w:val="none" w:sz="0" w:space="0"/>
            <w:right w:val="none" w:sz="0" w:space="0"/>
          </w:pgBorders>
          <w:cols w:space="720" w:num="1"/>
          <w:docGrid w:type="lines" w:linePitch="290" w:charSpace="0"/>
        </w:sectPr>
      </w:pPr>
    </w:p>
    <w:p w14:paraId="5DE1C65F">
      <w:pPr>
        <w:pStyle w:val="44"/>
        <w:spacing w:line="360" w:lineRule="auto"/>
        <w:outlineLvl w:val="0"/>
        <w:rPr>
          <w:rStyle w:val="54"/>
          <w:rFonts w:ascii="宋体" w:hAnsi="宋体" w:eastAsia="宋体" w:cs="宋体"/>
          <w:b/>
          <w:color w:val="000000" w:themeColor="text1"/>
          <w:sz w:val="24"/>
          <w:szCs w:val="24"/>
          <w:highlight w:val="none"/>
          <w14:textFill>
            <w14:solidFill>
              <w14:schemeClr w14:val="tx1"/>
            </w14:solidFill>
          </w14:textFill>
        </w:rPr>
      </w:pPr>
      <w:r>
        <w:rPr>
          <w:rStyle w:val="54"/>
          <w:rFonts w:hint="eastAsia" w:ascii="宋体" w:hAnsi="宋体" w:eastAsia="宋体" w:cs="宋体"/>
          <w:b/>
          <w:color w:val="000000" w:themeColor="text1"/>
          <w:sz w:val="44"/>
          <w:highlight w:val="none"/>
          <w14:textFill>
            <w14:solidFill>
              <w14:schemeClr w14:val="tx1"/>
            </w14:solidFill>
          </w14:textFill>
        </w:rPr>
        <w:t>第四章 项目需求</w:t>
      </w:r>
      <w:bookmarkEnd w:id="5"/>
    </w:p>
    <w:p w14:paraId="19AEB4EF">
      <w:pPr>
        <w:spacing w:line="360" w:lineRule="auto"/>
        <w:ind w:firstLine="482" w:firstLineChars="200"/>
        <w:outlineLvl w:val="0"/>
        <w:rPr>
          <w:rFonts w:hint="default" w:ascii="宋体" w:hAnsi="宋体" w:eastAsia="宋体" w:cs="宋体"/>
          <w:b/>
          <w:bCs/>
          <w:color w:val="000000" w:themeColor="text1"/>
          <w:sz w:val="24"/>
          <w:szCs w:val="24"/>
          <w:highlight w:val="none"/>
          <w:lang w:val="en-US" w:eastAsia="zh-CN"/>
          <w14:textFill>
            <w14:solidFill>
              <w14:schemeClr w14:val="tx1"/>
            </w14:solidFill>
          </w14:textFill>
        </w:rPr>
      </w:pPr>
      <w:bookmarkStart w:id="8" w:name="_Toc357773188"/>
      <w:bookmarkStart w:id="9" w:name="_Toc357772756"/>
      <w:bookmarkStart w:id="10" w:name="_Toc32259"/>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一、项目概况</w:t>
      </w:r>
    </w:p>
    <w:p w14:paraId="5908FD14">
      <w:pPr>
        <w:spacing w:line="360" w:lineRule="auto"/>
        <w:ind w:firstLine="482" w:firstLineChars="200"/>
        <w:outlineLvl w:val="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lang w:val="en-US" w:eastAsia="zh-CN"/>
          <w14:textFill>
            <w14:solidFill>
              <w14:schemeClr w14:val="tx1"/>
            </w14:solidFill>
          </w14:textFill>
        </w:rPr>
        <w:t>智能制造学院工业中心103改造项目用途、预期效果或要求</w:t>
      </w:r>
    </w:p>
    <w:p w14:paraId="7DCEC5CB">
      <w:pPr>
        <w:spacing w:line="360" w:lineRule="auto"/>
        <w:ind w:firstLine="480" w:firstLineChars="200"/>
        <w:outlineLvl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目前智能制造学院工业中心103室拥有7台加工中心、数控铣床，房间均已布满；工业中心一楼西侧，拥有数控车24台、普车20台，区域均已布满。为了更好地展示学院专业的特色，服务发展新质生产力，现需将原工业中心将工业中心101室和103室打通，约160个平方米，整合成3个区域，布置工业机器人赛项（2台）、工业网络赛项（2台）和新型发电系统（2台）教学和竞赛设备。</w:t>
      </w:r>
    </w:p>
    <w:p w14:paraId="0EDDFE9E">
      <w:pPr>
        <w:spacing w:line="360" w:lineRule="auto"/>
        <w:ind w:firstLine="480" w:firstLineChars="200"/>
        <w:outlineLvl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改造后的工业中心103室应有合理的空间布局，完善的供电保障，包括增加备用电源、优化电源分配、提高电源质量；提升环境控制，确保房间内部环境的稳定、舒适和安全；完善的安全防护措施，加强物理安全、实验实训安全以及消防安全等方面的防护措施，通过安装监控摄像头、加强门禁管理，确保实训室的安全稳定运行。</w:t>
      </w:r>
    </w:p>
    <w:p w14:paraId="32AF9A4F">
      <w:pPr>
        <w:spacing w:line="360" w:lineRule="auto"/>
        <w:ind w:firstLine="480" w:firstLineChars="200"/>
        <w:outlineLvl w:val="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（二）、汽车与交通学院实训室改造项目用途、预期效果或要求</w:t>
      </w:r>
    </w:p>
    <w:p w14:paraId="6997E340">
      <w:pPr>
        <w:spacing w:line="360" w:lineRule="auto"/>
        <w:ind w:firstLine="480" w:firstLineChars="200"/>
        <w:outlineLvl w:val="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为彰显汽车与交通学院专业教学特色，展示产业前沿技术，突出新质生产力发展，汽车与交通学院现需：</w:t>
      </w:r>
    </w:p>
    <w:p w14:paraId="27B603C0">
      <w:pPr>
        <w:spacing w:line="360" w:lineRule="auto"/>
        <w:ind w:firstLine="480" w:firstLineChars="200"/>
        <w:outlineLvl w:val="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（1）将工业中心一楼新能源汽车实训室112改造；</w:t>
      </w:r>
    </w:p>
    <w:p w14:paraId="707480B8">
      <w:pPr>
        <w:spacing w:line="360" w:lineRule="auto"/>
        <w:ind w:firstLine="480" w:firstLineChars="200"/>
        <w:outlineLvl w:val="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（2）将工业中心一楼113、汽车文化体验馆111、材料工具室打通并改建增材制造创新训练工作室、智能网联汽车实训室；</w:t>
      </w:r>
    </w:p>
    <w:p w14:paraId="35DE6F94">
      <w:pPr>
        <w:spacing w:line="360" w:lineRule="auto"/>
        <w:ind w:firstLine="480" w:firstLineChars="200"/>
        <w:outlineLvl w:val="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（3）将原汽车文化体验馆与二楼增材制造实训室设备进行搬迁；</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br w:type="textWrapping"/>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（4）将SGAVE一体化2个教室地面改造。</w:t>
      </w:r>
    </w:p>
    <w:p w14:paraId="3526F376">
      <w:pPr>
        <w:spacing w:line="360" w:lineRule="auto"/>
        <w:ind w:firstLine="480" w:firstLineChars="200"/>
        <w:outlineLvl w:val="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改造后的实训室应具有合理布局，便于进行实验实训和展示学生技能获得成果；完善的供电、供气保障，包括增加备用电源、优化电源分配、提高电源质量、预留提供气源及相关管道铺设，并建立完善的电力监控系统；提升环境控制，确保实训室内部环境的稳定、舒适和安全；完善的安全防护措施，加强物理安全、网络安全和信息安全等方面的防护措施，通过安装监控摄像头、加强门禁管理等方式，确保实训室的安全稳定运行。</w:t>
      </w:r>
    </w:p>
    <w:p w14:paraId="5F69F173">
      <w:pPr>
        <w:numPr>
          <w:ilvl w:val="0"/>
          <w:numId w:val="5"/>
        </w:numPr>
        <w:spacing w:line="360" w:lineRule="auto"/>
        <w:ind w:firstLine="482" w:firstLineChars="200"/>
        <w:outlineLvl w:val="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资金预算</w:t>
      </w:r>
      <w:r>
        <w:rPr>
          <w:rFonts w:hint="eastAsia" w:ascii="宋体" w:hAnsi="宋体" w:cs="宋体"/>
          <w:b/>
          <w:bCs/>
          <w:color w:val="000000" w:themeColor="text1"/>
          <w:sz w:val="24"/>
          <w:szCs w:val="24"/>
          <w:highlight w:val="none"/>
          <w:lang w:eastAsia="zh-CN"/>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最高限价</w:t>
      </w:r>
      <w:r>
        <w:rPr>
          <w:rFonts w:hint="eastAsia" w:ascii="宋体" w:hAnsi="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42.9万元。</w:t>
      </w:r>
    </w:p>
    <w:p w14:paraId="62A09B9A">
      <w:pPr>
        <w:spacing w:line="360" w:lineRule="auto"/>
        <w:ind w:firstLine="480" w:firstLineChars="200"/>
        <w:outlineLvl w:val="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预算价确定的依据：本项目按照施工图纸，施工现场情况，招标文件（含工程量清单），参照《建设工程工程量清单计价规范》（GB50500-2013）、《房屋建筑与装饰工程工程量计算规范》（GB50854-2013）、《通用安装工程工程量计算规范》（GB50856-2013））、《市政工程工程量计算规范》（GB50857-2013）（以下简称《工程量计算规范》）、《江苏省建筑与装饰工程计价定额》（2014版）、《江苏省市政工程计价定额》（2014版）、《江苏省安装工程计价定额》（2014版）（以下简称《计价定额》）、《江苏省建设工程费用定额》（以下简称《费用定额》）（2014年）以及关于营改增后工程计价依据调整内容（苏建价〔2016〕154号）及苏建函价（2019）178号、江苏省住房和城乡建设厅[2018]第24号公告、江苏省住房和城乡建设厅〔2019〕第19号公告和现行工程造价有关文件规定、《盐城工程造价》等相关计价文件的规定，计算出预算价。预算价即最高投标限价。</w:t>
      </w:r>
    </w:p>
    <w:p w14:paraId="14A9BCEB">
      <w:pPr>
        <w:spacing w:line="360" w:lineRule="auto"/>
        <w:ind w:firstLine="480" w:firstLineChars="200"/>
        <w:outlineLvl w:val="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采购人在确定最终预算审核价时按计价文件的有关规定予以适当考虑或计取各项措施项目费用，同时要求各投标人须根据本企业自身实力和工程的实际情况，在投标报价时自行考虑所有列出及未列出但实施过程中有可能发生的各项措施项目费用。中标后所有措施项目费包干不再调整。</w:t>
      </w:r>
    </w:p>
    <w:p w14:paraId="7CEFB03E">
      <w:pPr>
        <w:numPr>
          <w:ilvl w:val="0"/>
          <w:numId w:val="5"/>
        </w:numPr>
        <w:tabs>
          <w:tab w:val="center" w:pos="4366"/>
        </w:tabs>
        <w:spacing w:line="530" w:lineRule="exact"/>
        <w:ind w:left="0" w:leftChars="0" w:firstLine="482" w:firstLineChars="200"/>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采购需求：</w:t>
      </w:r>
    </w:p>
    <w:p w14:paraId="4BA0D48C">
      <w:pPr>
        <w:numPr>
          <w:ilvl w:val="0"/>
          <w:numId w:val="0"/>
        </w:numPr>
        <w:tabs>
          <w:tab w:val="center" w:pos="4366"/>
        </w:tabs>
        <w:spacing w:line="530" w:lineRule="exact"/>
        <w:ind w:leftChars="200"/>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1、本项目采购需求内容</w:t>
      </w:r>
      <w:r>
        <w:rPr>
          <w:rFonts w:hint="eastAsia" w:ascii="宋体" w:hAnsi="宋体"/>
          <w:b/>
          <w:bCs/>
          <w:color w:val="000000" w:themeColor="text1"/>
          <w:sz w:val="24"/>
          <w:highlight w:val="none"/>
          <w14:textFill>
            <w14:solidFill>
              <w14:schemeClr w14:val="tx1"/>
            </w14:solidFill>
          </w14:textFill>
        </w:rPr>
        <w:t>详见工程量清单及图纸</w:t>
      </w:r>
    </w:p>
    <w:p w14:paraId="34E72F73">
      <w:pPr>
        <w:tabs>
          <w:tab w:val="center" w:pos="4366"/>
        </w:tabs>
        <w:spacing w:line="530" w:lineRule="exact"/>
        <w:ind w:firstLine="480"/>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2</w:t>
      </w:r>
      <w:r>
        <w:rPr>
          <w:rFonts w:hint="eastAsia" w:ascii="宋体" w:hAnsi="宋体"/>
          <w:b w:val="0"/>
          <w:bCs w:val="0"/>
          <w:color w:val="000000" w:themeColor="text1"/>
          <w:sz w:val="24"/>
          <w:highlight w:val="none"/>
          <w14:textFill>
            <w14:solidFill>
              <w14:schemeClr w14:val="tx1"/>
            </w14:solidFill>
          </w14:textFill>
        </w:rPr>
        <w:t>、工程量</w:t>
      </w:r>
      <w:r>
        <w:rPr>
          <w:rFonts w:ascii="宋体" w:hAnsi="宋体"/>
          <w:b w:val="0"/>
          <w:bCs w:val="0"/>
          <w:color w:val="000000" w:themeColor="text1"/>
          <w:sz w:val="24"/>
          <w:highlight w:val="none"/>
          <w14:textFill>
            <w14:solidFill>
              <w14:schemeClr w14:val="tx1"/>
            </w14:solidFill>
          </w14:textFill>
        </w:rPr>
        <w:t>清单中招标人对主材品牌进行品牌推荐（详见附件</w:t>
      </w:r>
      <w:r>
        <w:rPr>
          <w:rFonts w:hint="eastAsia" w:ascii="宋体" w:hAnsi="宋体"/>
          <w:b w:val="0"/>
          <w:bCs w:val="0"/>
          <w:color w:val="000000" w:themeColor="text1"/>
          <w:sz w:val="24"/>
          <w:highlight w:val="none"/>
          <w14:textFill>
            <w14:solidFill>
              <w14:schemeClr w14:val="tx1"/>
            </w14:solidFill>
          </w14:textFill>
        </w:rPr>
        <w:t>工程量</w:t>
      </w:r>
      <w:r>
        <w:rPr>
          <w:rFonts w:ascii="宋体" w:hAnsi="宋体"/>
          <w:b w:val="0"/>
          <w:bCs w:val="0"/>
          <w:color w:val="000000" w:themeColor="text1"/>
          <w:sz w:val="24"/>
          <w:highlight w:val="none"/>
          <w14:textFill>
            <w14:solidFill>
              <w14:schemeClr w14:val="tx1"/>
            </w14:solidFill>
          </w14:textFill>
        </w:rPr>
        <w:t>清单），投标人投标时无需选择某一具体品牌，但供货时必须选择其中一种进行供货。如果投标人选用其他品牌进行投标的，该品牌的设备材料的性能、质量必须相当于或优于招标人所推荐品牌的设备材料，且投标人必须在开标前经采购人同意，并提供采购人同意的书面证明材料，否则视为认可采购人推荐的品牌。</w:t>
      </w:r>
    </w:p>
    <w:p w14:paraId="611140CF">
      <w:pPr>
        <w:tabs>
          <w:tab w:val="center" w:pos="4366"/>
        </w:tabs>
        <w:spacing w:line="530" w:lineRule="exact"/>
        <w:ind w:firstLine="480"/>
        <w:rPr>
          <w:rFonts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3</w:t>
      </w:r>
      <w:r>
        <w:rPr>
          <w:rFonts w:hint="eastAsia" w:ascii="宋体" w:hAnsi="宋体"/>
          <w:b w:val="0"/>
          <w:bCs w:val="0"/>
          <w:color w:val="000000" w:themeColor="text1"/>
          <w:sz w:val="24"/>
          <w:highlight w:val="none"/>
          <w14:textFill>
            <w14:solidFill>
              <w14:schemeClr w14:val="tx1"/>
            </w14:solidFill>
          </w14:textFill>
        </w:rPr>
        <w:t>、</w:t>
      </w:r>
      <w:r>
        <w:rPr>
          <w:rFonts w:ascii="宋体" w:hAnsi="宋体"/>
          <w:b w:val="0"/>
          <w:bCs w:val="0"/>
          <w:color w:val="000000" w:themeColor="text1"/>
          <w:sz w:val="24"/>
          <w:highlight w:val="none"/>
          <w14:textFill>
            <w14:solidFill>
              <w14:schemeClr w14:val="tx1"/>
            </w14:solidFill>
          </w14:textFill>
        </w:rPr>
        <w:t>投标人需保证所选品牌产品在中标后能顺利供货，如因产品停产、购不到货等一切原因中标后不能保证按时供货，且采购人有权在推荐品牌中选择其他任一品牌，采购单价执行原中标单价，不予调整。由此产生的所有费用均由中标人自行承担，采购人不给予任何费用补偿。</w:t>
      </w:r>
    </w:p>
    <w:p w14:paraId="62068BAE">
      <w:pPr>
        <w:numPr>
          <w:ilvl w:val="0"/>
          <w:numId w:val="0"/>
        </w:numPr>
        <w:tabs>
          <w:tab w:val="center" w:pos="4366"/>
        </w:tabs>
        <w:spacing w:line="530" w:lineRule="exact"/>
        <w:ind w:leftChars="200"/>
        <w:rPr>
          <w:rFonts w:hint="eastAsia" w:ascii="宋体" w:hAnsi="宋体" w:eastAsia="宋体"/>
          <w:b/>
          <w:bCs/>
          <w:color w:val="000000" w:themeColor="text1"/>
          <w:sz w:val="24"/>
          <w:highlight w:val="none"/>
          <w:lang w:val="en-US" w:eastAsia="zh-CN"/>
          <w14:textFill>
            <w14:solidFill>
              <w14:schemeClr w14:val="tx1"/>
            </w14:solidFill>
          </w14:textFill>
        </w:rPr>
      </w:pPr>
      <w:r>
        <w:rPr>
          <w:rFonts w:hint="eastAsia" w:ascii="宋体" w:hAnsi="宋体" w:eastAsia="宋体"/>
          <w:b/>
          <w:bCs/>
          <w:color w:val="000000" w:themeColor="text1"/>
          <w:sz w:val="24"/>
          <w:highlight w:val="none"/>
          <w:lang w:val="en-US" w:eastAsia="zh-CN"/>
          <w14:textFill>
            <w14:solidFill>
              <w14:schemeClr w14:val="tx1"/>
            </w14:solidFill>
          </w14:textFill>
        </w:rPr>
        <w:t>四、付款方式：</w:t>
      </w:r>
    </w:p>
    <w:p w14:paraId="67B98323">
      <w:pPr>
        <w:tabs>
          <w:tab w:val="center" w:pos="4366"/>
        </w:tabs>
        <w:spacing w:line="530" w:lineRule="exact"/>
        <w:ind w:firstLine="480"/>
        <w:rPr>
          <w:rFonts w:hint="eastAsia" w:ascii="宋体" w:hAnsi="宋体" w:eastAsia="宋体"/>
          <w:b w:val="0"/>
          <w:bCs w:val="0"/>
          <w:color w:val="000000" w:themeColor="text1"/>
          <w:sz w:val="24"/>
          <w:highlight w:val="none"/>
          <w:lang w:val="en-US" w:eastAsia="zh-CN"/>
          <w14:textFill>
            <w14:solidFill>
              <w14:schemeClr w14:val="tx1"/>
            </w14:solidFill>
          </w14:textFill>
        </w:rPr>
      </w:pPr>
      <w:r>
        <w:rPr>
          <w:rFonts w:hint="eastAsia" w:ascii="宋体" w:hAnsi="宋体" w:eastAsia="宋体"/>
          <w:b w:val="0"/>
          <w:bCs w:val="0"/>
          <w:color w:val="000000" w:themeColor="text1"/>
          <w:sz w:val="24"/>
          <w:highlight w:val="none"/>
          <w:lang w:val="en-US" w:eastAsia="zh-CN"/>
          <w14:textFill>
            <w14:solidFill>
              <w14:schemeClr w14:val="tx1"/>
            </w14:solidFill>
          </w14:textFill>
        </w:rPr>
        <w:t>工程款指合同价（即中标价）扣除暂列金额后的工程价款。具体付款幅度如下：</w:t>
      </w:r>
    </w:p>
    <w:p w14:paraId="0D842F72">
      <w:pPr>
        <w:tabs>
          <w:tab w:val="center" w:pos="4366"/>
        </w:tabs>
        <w:spacing w:line="530" w:lineRule="exact"/>
        <w:ind w:firstLine="480"/>
        <w:rPr>
          <w:rFonts w:hint="eastAsia" w:ascii="宋体" w:hAnsi="宋体" w:eastAsia="宋体"/>
          <w:b w:val="0"/>
          <w:bCs w:val="0"/>
          <w:color w:val="000000" w:themeColor="text1"/>
          <w:sz w:val="24"/>
          <w:highlight w:val="none"/>
          <w:lang w:val="en-US" w:eastAsia="zh-CN"/>
          <w14:textFill>
            <w14:solidFill>
              <w14:schemeClr w14:val="tx1"/>
            </w14:solidFill>
          </w14:textFill>
        </w:rPr>
      </w:pPr>
      <w:r>
        <w:rPr>
          <w:rFonts w:hint="eastAsia" w:ascii="宋体" w:hAnsi="宋体" w:eastAsia="宋体"/>
          <w:b w:val="0"/>
          <w:bCs w:val="0"/>
          <w:color w:val="000000" w:themeColor="text1"/>
          <w:sz w:val="24"/>
          <w:highlight w:val="none"/>
          <w:lang w:val="en-US" w:eastAsia="zh-CN"/>
          <w14:textFill>
            <w14:solidFill>
              <w14:schemeClr w14:val="tx1"/>
            </w14:solidFill>
          </w14:textFill>
        </w:rPr>
        <w:t>工程结束全部验收合格，审计结束后付至审计总价的90%，余款在</w:t>
      </w:r>
      <w:r>
        <w:rPr>
          <w:rFonts w:hint="eastAsia" w:ascii="宋体" w:hAnsi="宋体"/>
          <w:b w:val="0"/>
          <w:bCs w:val="0"/>
          <w:color w:val="000000" w:themeColor="text1"/>
          <w:sz w:val="24"/>
          <w:highlight w:val="none"/>
          <w:lang w:val="en-US" w:eastAsia="zh-CN"/>
          <w14:textFill>
            <w14:solidFill>
              <w14:schemeClr w14:val="tx1"/>
            </w14:solidFill>
          </w14:textFill>
        </w:rPr>
        <w:t>两</w:t>
      </w:r>
      <w:r>
        <w:rPr>
          <w:rFonts w:hint="eastAsia" w:ascii="宋体" w:hAnsi="宋体" w:eastAsia="宋体"/>
          <w:b w:val="0"/>
          <w:bCs w:val="0"/>
          <w:color w:val="000000" w:themeColor="text1"/>
          <w:sz w:val="24"/>
          <w:highlight w:val="none"/>
          <w:lang w:val="en-US" w:eastAsia="zh-CN"/>
          <w14:textFill>
            <w14:solidFill>
              <w14:schemeClr w14:val="tx1"/>
            </w14:solidFill>
          </w14:textFill>
        </w:rPr>
        <w:t>年质保期满且无质量问题后付清（无息）。承包人须出具与其营业执照名称相一致的正规发票。</w:t>
      </w:r>
    </w:p>
    <w:bookmarkEnd w:id="8"/>
    <w:bookmarkEnd w:id="9"/>
    <w:p w14:paraId="4F906FBF">
      <w:pPr>
        <w:numPr>
          <w:ilvl w:val="0"/>
          <w:numId w:val="0"/>
        </w:numPr>
        <w:tabs>
          <w:tab w:val="center" w:pos="4366"/>
        </w:tabs>
        <w:spacing w:line="530" w:lineRule="exact"/>
        <w:ind w:leftChars="200"/>
        <w:rPr>
          <w:rFonts w:hint="eastAsia" w:ascii="宋体" w:hAnsi="宋体" w:eastAsia="宋体"/>
          <w:b/>
          <w:bCs/>
          <w:color w:val="000000" w:themeColor="text1"/>
          <w:sz w:val="24"/>
          <w:highlight w:val="none"/>
          <w:lang w:val="en-US" w:eastAsia="zh-CN"/>
          <w14:textFill>
            <w14:solidFill>
              <w14:schemeClr w14:val="tx1"/>
            </w14:solidFill>
          </w14:textFill>
        </w:rPr>
      </w:pPr>
      <w:r>
        <w:rPr>
          <w:rFonts w:hint="eastAsia" w:ascii="宋体" w:hAnsi="宋体" w:eastAsia="宋体"/>
          <w:b/>
          <w:bCs/>
          <w:color w:val="000000" w:themeColor="text1"/>
          <w:sz w:val="24"/>
          <w:highlight w:val="none"/>
          <w:lang w:val="en-US" w:eastAsia="zh-CN"/>
          <w14:textFill>
            <w14:solidFill>
              <w14:schemeClr w14:val="tx1"/>
            </w14:solidFill>
          </w14:textFill>
        </w:rPr>
        <w:t>五、本次采购活动落实的政府采购政策</w:t>
      </w:r>
    </w:p>
    <w:p w14:paraId="7794D628">
      <w:pPr>
        <w:tabs>
          <w:tab w:val="center" w:pos="4366"/>
        </w:tabs>
        <w:spacing w:line="530" w:lineRule="exact"/>
        <w:ind w:firstLine="480"/>
        <w:rPr>
          <w:rFonts w:hint="eastAsia" w:ascii="宋体" w:hAnsi="宋体" w:eastAsia="宋体"/>
          <w:b w:val="0"/>
          <w:bCs w:val="0"/>
          <w:color w:val="000000" w:themeColor="text1"/>
          <w:sz w:val="24"/>
          <w:highlight w:val="none"/>
          <w:lang w:val="en-US" w:eastAsia="zh-CN"/>
          <w14:textFill>
            <w14:solidFill>
              <w14:schemeClr w14:val="tx1"/>
            </w14:solidFill>
          </w14:textFill>
        </w:rPr>
      </w:pPr>
      <w:r>
        <w:rPr>
          <w:rFonts w:hint="eastAsia" w:ascii="宋体" w:hAnsi="宋体" w:eastAsia="宋体"/>
          <w:b w:val="0"/>
          <w:bCs w:val="0"/>
          <w:color w:val="000000" w:themeColor="text1"/>
          <w:sz w:val="24"/>
          <w:highlight w:val="none"/>
          <w:lang w:val="en-US" w:eastAsia="zh-CN"/>
          <w14:textFill>
            <w14:solidFill>
              <w14:schemeClr w14:val="tx1"/>
            </w14:solidFill>
          </w14:textFill>
        </w:rPr>
        <w:t>本项目专门面向中小企业采购，所属行业为建筑业。供应商须为符合《关于印发中小企业划型标准规定的通知》(工信部联企业[2011]300号）文件的中小微企业（供应商投标时须提供《中小企业声明函》，否则按无效处理。）</w:t>
      </w:r>
    </w:p>
    <w:p w14:paraId="79FCD3EF">
      <w:pPr>
        <w:tabs>
          <w:tab w:val="center" w:pos="4366"/>
        </w:tabs>
        <w:spacing w:line="530" w:lineRule="exact"/>
        <w:ind w:firstLine="480"/>
        <w:rPr>
          <w:rFonts w:hint="eastAsia" w:ascii="宋体" w:hAnsi="宋体" w:eastAsia="宋体"/>
          <w:b w:val="0"/>
          <w:bCs w:val="0"/>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监狱和戒毒企业</w:t>
      </w:r>
      <w:r>
        <w:rPr>
          <w:rFonts w:hint="eastAsia" w:ascii="宋体" w:hAnsi="宋体" w:eastAsia="宋体"/>
          <w:b w:val="0"/>
          <w:bCs w:val="0"/>
          <w:color w:val="000000" w:themeColor="text1"/>
          <w:sz w:val="24"/>
          <w:highlight w:val="none"/>
          <w:lang w:val="en-US" w:eastAsia="zh-CN"/>
          <w14:textFill>
            <w14:solidFill>
              <w14:schemeClr w14:val="tx1"/>
            </w14:solidFill>
          </w14:textFill>
        </w:rPr>
        <w:t>、残疾人福利性单位视同小微企业。</w:t>
      </w:r>
    </w:p>
    <w:p w14:paraId="0B277FDE">
      <w:pPr>
        <w:tabs>
          <w:tab w:val="center" w:pos="4366"/>
        </w:tabs>
        <w:spacing w:line="530" w:lineRule="exact"/>
        <w:ind w:firstLine="480"/>
        <w:rPr>
          <w:rFonts w:hint="eastAsia" w:ascii="宋体" w:hAnsi="宋体" w:eastAsia="宋体"/>
          <w:b w:val="0"/>
          <w:bCs w:val="0"/>
          <w:color w:val="000000" w:themeColor="text1"/>
          <w:sz w:val="24"/>
          <w:highlight w:val="none"/>
          <w:lang w:val="en-US" w:eastAsia="zh-CN"/>
          <w14:textFill>
            <w14:solidFill>
              <w14:schemeClr w14:val="tx1"/>
            </w14:solidFill>
          </w14:textFill>
        </w:rPr>
      </w:pPr>
      <w:r>
        <w:rPr>
          <w:rFonts w:hint="eastAsia" w:ascii="宋体" w:hAnsi="宋体" w:eastAsia="宋体"/>
          <w:b w:val="0"/>
          <w:bCs w:val="0"/>
          <w:color w:val="000000" w:themeColor="text1"/>
          <w:sz w:val="24"/>
          <w:highlight w:val="none"/>
          <w:lang w:val="en-US" w:eastAsia="zh-CN"/>
          <w14:textFill>
            <w14:solidFill>
              <w14:schemeClr w14:val="tx1"/>
            </w14:solidFill>
          </w14:textFill>
        </w:rPr>
        <w:br w:type="page"/>
      </w:r>
    </w:p>
    <w:p w14:paraId="7AE9E174">
      <w:pPr>
        <w:pStyle w:val="97"/>
        <w:spacing w:before="290" w:after="290"/>
        <w:jc w:val="center"/>
        <w:outlineLvl w:val="0"/>
        <w:rPr>
          <w:rStyle w:val="54"/>
          <w:rFonts w:cs="宋体"/>
          <w:color w:val="000000" w:themeColor="text1"/>
          <w:highlight w:val="none"/>
          <w14:textFill>
            <w14:solidFill>
              <w14:schemeClr w14:val="tx1"/>
            </w14:solidFill>
          </w14:textFill>
        </w:rPr>
      </w:pPr>
      <w:r>
        <w:rPr>
          <w:rStyle w:val="54"/>
          <w:rFonts w:hint="eastAsia" w:cs="宋体"/>
          <w:b/>
          <w:color w:val="000000" w:themeColor="text1"/>
          <w:sz w:val="44"/>
          <w:highlight w:val="none"/>
          <w14:textFill>
            <w14:solidFill>
              <w14:schemeClr w14:val="tx1"/>
            </w14:solidFill>
          </w14:textFill>
        </w:rPr>
        <w:t>第五章  评标方法与评标标准</w:t>
      </w:r>
      <w:bookmarkEnd w:id="10"/>
    </w:p>
    <w:p w14:paraId="382D6B83">
      <w:pPr>
        <w:snapToGrid w:val="0"/>
        <w:spacing w:line="500" w:lineRule="exact"/>
        <w:ind w:firstLine="482" w:firstLineChars="200"/>
        <w:rPr>
          <w:rStyle w:val="54"/>
          <w:rFonts w:ascii="宋体" w:hAnsi="宋体"/>
          <w:b/>
          <w:bCs/>
          <w:color w:val="000000" w:themeColor="text1"/>
          <w:sz w:val="24"/>
          <w:szCs w:val="24"/>
          <w:highlight w:val="none"/>
          <w14:textFill>
            <w14:solidFill>
              <w14:schemeClr w14:val="tx1"/>
            </w14:solidFill>
          </w14:textFill>
        </w:rPr>
      </w:pPr>
      <w:r>
        <w:rPr>
          <w:rStyle w:val="54"/>
          <w:rFonts w:hint="eastAsia" w:ascii="宋体" w:hAnsi="宋体"/>
          <w:b/>
          <w:bCs/>
          <w:color w:val="000000" w:themeColor="text1"/>
          <w:sz w:val="24"/>
          <w:szCs w:val="24"/>
          <w:highlight w:val="none"/>
          <w14:textFill>
            <w14:solidFill>
              <w14:schemeClr w14:val="tx1"/>
            </w14:solidFill>
          </w14:textFill>
        </w:rPr>
        <w:t>一、评标方法与定标原则</w:t>
      </w:r>
    </w:p>
    <w:p w14:paraId="7A92B935">
      <w:pPr>
        <w:snapToGrid w:val="0"/>
        <w:spacing w:line="500" w:lineRule="exact"/>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cs="Courier New"/>
          <w:bCs/>
          <w:color w:val="000000" w:themeColor="text1"/>
          <w:sz w:val="24"/>
          <w:szCs w:val="24"/>
          <w:highlight w:val="none"/>
          <w14:textFill>
            <w14:solidFill>
              <w14:schemeClr w14:val="tx1"/>
            </w14:solidFill>
          </w14:textFill>
        </w:rPr>
        <w:t>本项目采用</w:t>
      </w:r>
      <w:r>
        <w:rPr>
          <w:rFonts w:hint="eastAsia" w:ascii="宋体" w:hAnsi="宋体" w:cs="Courier New"/>
          <w:bCs/>
          <w:color w:val="000000" w:themeColor="text1"/>
          <w:sz w:val="24"/>
          <w:szCs w:val="24"/>
          <w:highlight w:val="none"/>
          <w:u w:val="single"/>
          <w14:textFill>
            <w14:solidFill>
              <w14:schemeClr w14:val="tx1"/>
            </w14:solidFill>
          </w14:textFill>
        </w:rPr>
        <w:t xml:space="preserve"> 综合评分 </w:t>
      </w:r>
      <w:r>
        <w:rPr>
          <w:rFonts w:hint="eastAsia" w:ascii="宋体" w:hAnsi="宋体" w:cs="Courier New"/>
          <w:bCs/>
          <w:color w:val="000000" w:themeColor="text1"/>
          <w:sz w:val="24"/>
          <w:szCs w:val="24"/>
          <w:highlight w:val="none"/>
          <w14:textFill>
            <w14:solidFill>
              <w14:schemeClr w14:val="tx1"/>
            </w14:solidFill>
          </w14:textFill>
        </w:rPr>
        <w:t>法。</w:t>
      </w:r>
      <w:r>
        <w:rPr>
          <w:rFonts w:hint="eastAsia" w:ascii="宋体" w:hAnsi="宋体" w:cs="Arial"/>
          <w:color w:val="000000" w:themeColor="text1"/>
          <w:kern w:val="0"/>
          <w:sz w:val="24"/>
          <w:szCs w:val="24"/>
          <w:highlight w:val="none"/>
          <w14:textFill>
            <w14:solidFill>
              <w14:schemeClr w14:val="tx1"/>
            </w14:solidFill>
          </w14:textFill>
        </w:rPr>
        <w:t>评标结果按评审后得分由高到低顺序排列。得分相同的，按投标报价由低到高顺序排列。得分且投标报价相同的，由评标委员会组织通过抽签的方式确定中标候选人的排序。投标文件满足招标文件全部实质性要求，且按照评审因素的量化指标评审得分最高的投标人为排名第一的中标候选人，本项目选取1名中标候选人。</w:t>
      </w:r>
    </w:p>
    <w:p w14:paraId="0099074F">
      <w:pPr>
        <w:snapToGrid w:val="0"/>
        <w:spacing w:line="500" w:lineRule="exact"/>
        <w:ind w:firstLine="482" w:firstLineChars="200"/>
        <w:rPr>
          <w:rStyle w:val="54"/>
          <w:rFonts w:ascii="宋体" w:hAnsi="宋体" w:cs="Times New Roman"/>
          <w:b/>
          <w:bCs/>
          <w:color w:val="000000" w:themeColor="text1"/>
          <w:sz w:val="24"/>
          <w:szCs w:val="24"/>
          <w:highlight w:val="none"/>
          <w14:textFill>
            <w14:solidFill>
              <w14:schemeClr w14:val="tx1"/>
            </w14:solidFill>
          </w14:textFill>
        </w:rPr>
      </w:pPr>
      <w:r>
        <w:rPr>
          <w:rStyle w:val="54"/>
          <w:rFonts w:hint="eastAsia" w:ascii="宋体" w:hAnsi="宋体" w:cs="Times New Roman"/>
          <w:b/>
          <w:bCs/>
          <w:color w:val="000000" w:themeColor="text1"/>
          <w:sz w:val="24"/>
          <w:szCs w:val="24"/>
          <w:highlight w:val="none"/>
          <w14:textFill>
            <w14:solidFill>
              <w14:schemeClr w14:val="tx1"/>
            </w14:solidFill>
          </w14:textFill>
        </w:rPr>
        <w:t>二、政府采购政策功能落实</w:t>
      </w:r>
    </w:p>
    <w:p w14:paraId="0F92649B">
      <w:pPr>
        <w:snapToGrid w:val="0"/>
        <w:spacing w:line="500" w:lineRule="exact"/>
        <w:ind w:firstLine="482" w:firstLineChars="200"/>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本次采购标的所属行业为</w:t>
      </w:r>
      <w:r>
        <w:rPr>
          <w:rFonts w:hint="eastAsia" w:ascii="宋体" w:hAnsi="宋体"/>
          <w:b/>
          <w:color w:val="000000" w:themeColor="text1"/>
          <w:sz w:val="24"/>
          <w:szCs w:val="24"/>
          <w:highlight w:val="none"/>
          <w:u w:val="single"/>
          <w14:textFill>
            <w14:solidFill>
              <w14:schemeClr w14:val="tx1"/>
            </w14:solidFill>
          </w14:textFill>
        </w:rPr>
        <w:t xml:space="preserve"> 建筑业</w:t>
      </w:r>
      <w:r>
        <w:rPr>
          <w:rFonts w:hint="eastAsia" w:ascii="宋体" w:hAnsi="宋体"/>
          <w:b/>
          <w:color w:val="000000" w:themeColor="text1"/>
          <w:sz w:val="24"/>
          <w:szCs w:val="24"/>
          <w:highlight w:val="none"/>
          <w14:textFill>
            <w14:solidFill>
              <w14:schemeClr w14:val="tx1"/>
            </w14:solidFill>
          </w14:textFill>
        </w:rPr>
        <w:t>，根据《工业和信息化部、国家统计局、国家发展和改革委员会、财政部关于印发中小企业划型标准规定的通知》（工信部联企业[2011]300号）规定的划分标准填写；</w:t>
      </w:r>
    </w:p>
    <w:p w14:paraId="231D586C">
      <w:pPr>
        <w:snapToGrid w:val="0"/>
        <w:spacing w:line="50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1、小微型企业</w:t>
      </w:r>
    </w:p>
    <w:p w14:paraId="1949B29C">
      <w:pPr>
        <w:pStyle w:val="174"/>
        <w:spacing w:line="500" w:lineRule="exact"/>
        <w:ind w:firstLine="361" w:firstLineChars="150"/>
        <w:rPr>
          <w:rFonts w:ascii="宋体" w:hAnsi="宋体"/>
          <w:b/>
          <w:bCs/>
          <w:color w:val="000000" w:themeColor="text1"/>
          <w:kern w:val="2"/>
          <w:highlight w:val="none"/>
          <w14:textFill>
            <w14:solidFill>
              <w14:schemeClr w14:val="tx1"/>
            </w14:solidFill>
          </w14:textFill>
        </w:rPr>
      </w:pPr>
      <w:r>
        <w:rPr>
          <w:rFonts w:hint="eastAsia" w:ascii="宋体" w:hAnsi="宋体"/>
          <w:b/>
          <w:bCs/>
          <w:color w:val="000000" w:themeColor="text1"/>
          <w:kern w:val="2"/>
          <w:highlight w:val="none"/>
          <w14:textFill>
            <w14:solidFill>
              <w14:schemeClr w14:val="tx1"/>
            </w14:solidFill>
          </w14:textFill>
        </w:rPr>
        <w:t>（1）因本项目为专门面向中小企业采购的项目，不再执行价格评审优惠的扶持政策。</w:t>
      </w:r>
    </w:p>
    <w:p w14:paraId="1A6B4647">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（2）供应商需按照采购文件的要求提供相应的《企业声明函》。</w:t>
      </w:r>
    </w:p>
    <w:p w14:paraId="275A0F41">
      <w:pPr>
        <w:pStyle w:val="24"/>
        <w:spacing w:before="0" w:beforeAutospacing="0" w:after="0" w:afterAutospacing="0"/>
        <w:ind w:firstLine="480" w:firstLineChars="200"/>
        <w:rPr>
          <w:b/>
          <w:bCs/>
          <w:color w:val="000000" w:themeColor="text1"/>
          <w:szCs w:val="24"/>
          <w:highlight w:val="none"/>
          <w:u w:val="single"/>
          <w14:textFill>
            <w14:solidFill>
              <w14:schemeClr w14:val="tx1"/>
            </w14:solidFill>
          </w14:textFill>
        </w:rPr>
      </w:pPr>
      <w:r>
        <w:rPr>
          <w:rFonts w:hint="eastAsia"/>
          <w:bCs/>
          <w:color w:val="000000" w:themeColor="text1"/>
          <w:szCs w:val="24"/>
          <w:highlight w:val="none"/>
          <w14:textFill>
            <w14:solidFill>
              <w14:schemeClr w14:val="tx1"/>
            </w14:solidFill>
          </w14:textFill>
        </w:rPr>
        <w:t>（3）企业标准请参照《关于印发中小企业划型标准规定的通知》（工信部联企业[2011]300号）文件规定及国家统计局关于印发《统计上大中小微型企业划分办法（2017）》的通知自行填写。</w:t>
      </w:r>
      <w:r>
        <w:rPr>
          <w:rFonts w:hint="eastAsia"/>
          <w:b/>
          <w:color w:val="000000" w:themeColor="text1"/>
          <w:szCs w:val="24"/>
          <w:highlight w:val="none"/>
          <w14:textFill>
            <w14:solidFill>
              <w14:schemeClr w14:val="tx1"/>
            </w14:solidFill>
          </w14:textFill>
        </w:rPr>
        <w:t>本采购标的的所属行业为</w:t>
      </w:r>
      <w:r>
        <w:rPr>
          <w:rFonts w:hint="eastAsia"/>
          <w:b/>
          <w:color w:val="000000" w:themeColor="text1"/>
          <w:szCs w:val="24"/>
          <w:highlight w:val="none"/>
          <w:u w:val="single"/>
          <w14:textFill>
            <w14:solidFill>
              <w14:schemeClr w14:val="tx1"/>
            </w14:solidFill>
          </w14:textFill>
        </w:rPr>
        <w:t>建筑业</w:t>
      </w:r>
      <w:r>
        <w:rPr>
          <w:rFonts w:hint="eastAsia"/>
          <w:bCs/>
          <w:color w:val="000000" w:themeColor="text1"/>
          <w:szCs w:val="24"/>
          <w:highlight w:val="none"/>
          <w14:textFill>
            <w14:solidFill>
              <w14:schemeClr w14:val="tx1"/>
            </w14:solidFill>
          </w14:textFill>
        </w:rPr>
        <w:t>。</w:t>
      </w:r>
    </w:p>
    <w:p w14:paraId="275738EA">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2、残疾人福利单位</w:t>
      </w:r>
    </w:p>
    <w:p w14:paraId="5F183392">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（1）本项目对残疾人福利性单位视同小型、微型企业。</w:t>
      </w:r>
    </w:p>
    <w:p w14:paraId="429416F9">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（2）残疾人福利单位标准请参照《关于促进残疾人就业政府采购政策的通知》（财库〔2017〕141号），需提供《残疾人福利性单位声明函》，格式自拟。</w:t>
      </w:r>
    </w:p>
    <w:p w14:paraId="371D1362">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3、监狱和戒毒企业</w:t>
      </w:r>
    </w:p>
    <w:p w14:paraId="0F38E153">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（1）本项目对监狱和戒毒企业（简称监狱企业）视同小型、微型企业。</w:t>
      </w:r>
    </w:p>
    <w:p w14:paraId="53B56D2F">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（2）监狱企业参加政府采购活动时，需提供由省级以上监狱管理局、戒毒管理局(含新疆生产建设兵团)出具的属于监狱企业的证明文件。供应商如不提供上述证明文件，在评审过程中不予认可。</w:t>
      </w:r>
    </w:p>
    <w:p w14:paraId="62B01115">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（3）监狱企业标准请参照《关于政府采购支持监狱企业发展有关问题的通知》（财库[2014]68号）。</w:t>
      </w:r>
    </w:p>
    <w:p w14:paraId="6842F45E">
      <w:pPr>
        <w:snapToGrid w:val="0"/>
        <w:spacing w:line="500" w:lineRule="exact"/>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参加政府采购活动的中小企业应当提供《中小企业声明函》，未填写中小企业声明函的在评审过程中不予认可。</w:t>
      </w:r>
    </w:p>
    <w:p w14:paraId="30EBD076">
      <w:pPr>
        <w:snapToGrid w:val="0"/>
        <w:spacing w:line="500" w:lineRule="exact"/>
        <w:ind w:firstLine="482" w:firstLineChars="200"/>
        <w:rPr>
          <w:rStyle w:val="54"/>
          <w:rFonts w:ascii="宋体" w:hAnsi="宋体"/>
          <w:color w:val="000000" w:themeColor="text1"/>
          <w:highlight w:val="none"/>
          <w14:textFill>
            <w14:solidFill>
              <w14:schemeClr w14:val="tx1"/>
            </w14:solidFill>
          </w14:textFill>
        </w:rPr>
      </w:pPr>
      <w:r>
        <w:rPr>
          <w:rStyle w:val="54"/>
          <w:rFonts w:hint="eastAsia" w:ascii="宋体" w:hAnsi="宋体"/>
          <w:b/>
          <w:color w:val="000000" w:themeColor="text1"/>
          <w:sz w:val="24"/>
          <w:szCs w:val="24"/>
          <w:highlight w:val="none"/>
          <w14:textFill>
            <w14:solidFill>
              <w14:schemeClr w14:val="tx1"/>
            </w14:solidFill>
          </w14:textFill>
        </w:rPr>
        <w:t>三、评标标准</w:t>
      </w:r>
    </w:p>
    <w:p w14:paraId="3F402BC9">
      <w:pPr>
        <w:snapToGrid w:val="0"/>
        <w:spacing w:line="440" w:lineRule="exact"/>
        <w:ind w:firstLine="480" w:firstLineChars="200"/>
        <w:rPr>
          <w:rFonts w:ascii="宋体" w:hAnsi="宋体"/>
          <w:snapToGrid w:val="0"/>
          <w:color w:val="000000" w:themeColor="text1"/>
          <w:kern w:val="0"/>
          <w:sz w:val="24"/>
          <w:szCs w:val="24"/>
          <w:highlight w:val="none"/>
          <w14:textFill>
            <w14:solidFill>
              <w14:schemeClr w14:val="tx1"/>
            </w14:solidFill>
          </w14:textFill>
        </w:rPr>
      </w:pPr>
      <w:r>
        <w:rPr>
          <w:rFonts w:hint="eastAsia" w:ascii="宋体" w:hAnsi="宋体"/>
          <w:snapToGrid w:val="0"/>
          <w:color w:val="000000" w:themeColor="text1"/>
          <w:kern w:val="0"/>
          <w:sz w:val="24"/>
          <w:szCs w:val="24"/>
          <w:highlight w:val="none"/>
          <w14:textFill>
            <w14:solidFill>
              <w14:schemeClr w14:val="tx1"/>
            </w14:solidFill>
          </w14:textFill>
        </w:rPr>
        <w:t>本项目评分总分值为100分。</w:t>
      </w:r>
    </w:p>
    <w:tbl>
      <w:tblPr>
        <w:tblStyle w:val="27"/>
        <w:tblW w:w="9805" w:type="dxa"/>
        <w:tblInd w:w="96" w:type="dxa"/>
        <w:tblLayout w:type="fixed"/>
        <w:tblCellMar>
          <w:top w:w="0" w:type="dxa"/>
          <w:left w:w="108" w:type="dxa"/>
          <w:bottom w:w="0" w:type="dxa"/>
          <w:right w:w="108" w:type="dxa"/>
        </w:tblCellMar>
      </w:tblPr>
      <w:tblGrid>
        <w:gridCol w:w="732"/>
        <w:gridCol w:w="1888"/>
        <w:gridCol w:w="7185"/>
      </w:tblGrid>
      <w:tr w14:paraId="469DBF6A">
        <w:tblPrEx>
          <w:tblCellMar>
            <w:top w:w="0" w:type="dxa"/>
            <w:left w:w="108" w:type="dxa"/>
            <w:bottom w:w="0" w:type="dxa"/>
            <w:right w:w="108" w:type="dxa"/>
          </w:tblCellMar>
        </w:tblPrEx>
        <w:trPr>
          <w:trHeight w:val="312" w:hRule="atLeast"/>
          <w:tblHeader/>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66884">
            <w:pPr>
              <w:spacing w:line="276" w:lineRule="auto"/>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序号</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64783">
            <w:pPr>
              <w:spacing w:line="276" w:lineRule="auto"/>
              <w:ind w:firstLine="221"/>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评审因素</w:t>
            </w:r>
          </w:p>
        </w:tc>
        <w:tc>
          <w:tcPr>
            <w:tcW w:w="7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4FC41">
            <w:pPr>
              <w:spacing w:line="276" w:lineRule="auto"/>
              <w:ind w:firstLine="241"/>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评 分 标 准</w:t>
            </w:r>
          </w:p>
        </w:tc>
      </w:tr>
      <w:tr w14:paraId="571DF309">
        <w:tblPrEx>
          <w:tblCellMar>
            <w:top w:w="0" w:type="dxa"/>
            <w:left w:w="108" w:type="dxa"/>
            <w:bottom w:w="0" w:type="dxa"/>
            <w:right w:w="108" w:type="dxa"/>
          </w:tblCellMar>
        </w:tblPrEx>
        <w:trPr>
          <w:trHeight w:val="1511"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95BD1">
            <w:pPr>
              <w:spacing w:line="276" w:lineRule="auto"/>
              <w:ind w:firstLine="22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7B95A">
            <w:pPr>
              <w:spacing w:line="276"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投标报价（30分）</w:t>
            </w:r>
          </w:p>
          <w:p w14:paraId="1F3197EC">
            <w:pPr>
              <w:spacing w:line="276" w:lineRule="auto"/>
              <w:rPr>
                <w:rFonts w:ascii="宋体" w:hAnsi="宋体" w:cs="宋体"/>
                <w:color w:val="000000" w:themeColor="text1"/>
                <w:sz w:val="21"/>
                <w:szCs w:val="21"/>
                <w:highlight w:val="none"/>
                <w14:textFill>
                  <w14:solidFill>
                    <w14:schemeClr w14:val="tx1"/>
                  </w14:solidFill>
                </w14:textFill>
              </w:rPr>
            </w:pPr>
          </w:p>
        </w:tc>
        <w:tc>
          <w:tcPr>
            <w:tcW w:w="7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00EFA">
            <w:pPr>
              <w:pStyle w:val="26"/>
              <w:ind w:firstLine="44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本项目以满足招标文件要求且报价最低的有效投标报价为评标基准价，其价格分为满分。其他供应商的价格得分统一按照下列公式计算：</w:t>
            </w:r>
          </w:p>
          <w:p w14:paraId="4A0AFDEF">
            <w:pPr>
              <w:pStyle w:val="26"/>
              <w:ind w:firstLine="440"/>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投标报价得分=(评标基准价／有效投标报价)×30分</w:t>
            </w:r>
            <w:r>
              <w:rPr>
                <w:rFonts w:hint="eastAsia"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投标报价得分精确到小数点后两位</w:t>
            </w:r>
            <w:r>
              <w:rPr>
                <w:rFonts w:hint="eastAsia"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第三位四舍五入</w:t>
            </w:r>
            <w:r>
              <w:rPr>
                <w:rFonts w:hint="eastAsia"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w:t>
            </w:r>
          </w:p>
          <w:p w14:paraId="568AF000">
            <w:pPr>
              <w:pStyle w:val="26"/>
              <w:ind w:firstLine="440"/>
              <w:rPr>
                <w:rFonts w:hint="eastAsia"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如报价显著低于其他投标人的报价，评委会可要求投标人进行书面说明，评委会酌情判断该投标报价是否有效。</w:t>
            </w:r>
          </w:p>
        </w:tc>
      </w:tr>
      <w:tr w14:paraId="3F7CC529">
        <w:tblPrEx>
          <w:tblCellMar>
            <w:top w:w="0" w:type="dxa"/>
            <w:left w:w="108" w:type="dxa"/>
            <w:bottom w:w="0" w:type="dxa"/>
            <w:right w:w="108" w:type="dxa"/>
          </w:tblCellMar>
        </w:tblPrEx>
        <w:trPr>
          <w:trHeight w:val="3965"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3964B">
            <w:pPr>
              <w:spacing w:line="276"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5D24">
            <w:pPr>
              <w:spacing w:line="276"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履约及质量保障承诺</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15</w:t>
            </w:r>
            <w:r>
              <w:rPr>
                <w:rFonts w:hint="eastAsia" w:ascii="宋体" w:hAnsi="宋体" w:cs="宋体"/>
                <w:color w:val="000000" w:themeColor="text1"/>
                <w:sz w:val="21"/>
                <w:szCs w:val="21"/>
                <w:highlight w:val="none"/>
                <w14:textFill>
                  <w14:solidFill>
                    <w14:schemeClr w14:val="tx1"/>
                  </w14:solidFill>
                </w14:textFill>
              </w:rPr>
              <w:t>分）</w:t>
            </w:r>
          </w:p>
        </w:tc>
        <w:tc>
          <w:tcPr>
            <w:tcW w:w="7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B1E9">
            <w:pPr>
              <w:spacing w:line="276" w:lineRule="auto"/>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eastAsia="zh-CN"/>
                <w14:textFill>
                  <w14:solidFill>
                    <w14:schemeClr w14:val="tx1"/>
                  </w14:solidFill>
                </w14:textFill>
              </w:rPr>
              <w:t>投标人需提供的针对本项目的</w:t>
            </w:r>
            <w:r>
              <w:rPr>
                <w:rFonts w:hint="eastAsia" w:ascii="宋体" w:hAnsi="宋体" w:cs="宋体"/>
                <w:b/>
                <w:bCs/>
                <w:color w:val="000000" w:themeColor="text1"/>
                <w:sz w:val="21"/>
                <w:szCs w:val="21"/>
                <w:highlight w:val="none"/>
                <w:lang w:eastAsia="zh-CN"/>
                <w14:textFill>
                  <w14:solidFill>
                    <w14:schemeClr w14:val="tx1"/>
                  </w14:solidFill>
                </w14:textFill>
              </w:rPr>
              <w:t>履约承诺证明函</w:t>
            </w:r>
            <w:r>
              <w:rPr>
                <w:rFonts w:hint="eastAsia" w:ascii="宋体" w:hAnsi="宋体" w:cs="宋体"/>
                <w:color w:val="000000" w:themeColor="text1"/>
                <w:sz w:val="21"/>
                <w:szCs w:val="21"/>
                <w:highlight w:val="none"/>
                <w:lang w:eastAsia="zh-CN"/>
                <w14:textFill>
                  <w14:solidFill>
                    <w14:schemeClr w14:val="tx1"/>
                  </w14:solidFill>
                </w14:textFill>
              </w:rPr>
              <w:t>，承诺完全响应本项目所要求的</w:t>
            </w:r>
            <w:r>
              <w:rPr>
                <w:rFonts w:hint="eastAsia" w:ascii="宋体" w:hAnsi="宋体" w:cs="宋体"/>
                <w:b/>
                <w:bCs/>
                <w:color w:val="000000" w:themeColor="text1"/>
                <w:sz w:val="21"/>
                <w:szCs w:val="21"/>
                <w:highlight w:val="none"/>
                <w:lang w:eastAsia="zh-CN"/>
                <w14:textFill>
                  <w14:solidFill>
                    <w14:schemeClr w14:val="tx1"/>
                  </w14:solidFill>
                </w14:textFill>
              </w:rPr>
              <w:t>施工技术标准</w:t>
            </w:r>
            <w:r>
              <w:rPr>
                <w:rFonts w:hint="eastAsia" w:ascii="宋体" w:hAnsi="宋体" w:cs="宋体"/>
                <w:color w:val="000000" w:themeColor="text1"/>
                <w:sz w:val="21"/>
                <w:szCs w:val="21"/>
                <w:highlight w:val="none"/>
                <w:lang w:eastAsia="zh-CN"/>
                <w14:textFill>
                  <w14:solidFill>
                    <w14:schemeClr w14:val="tx1"/>
                  </w14:solidFill>
                </w14:textFill>
              </w:rPr>
              <w:t>与</w:t>
            </w:r>
            <w:r>
              <w:rPr>
                <w:rFonts w:hint="eastAsia" w:ascii="宋体" w:hAnsi="宋体" w:cs="宋体"/>
                <w:b/>
                <w:bCs/>
                <w:color w:val="000000" w:themeColor="text1"/>
                <w:sz w:val="21"/>
                <w:szCs w:val="21"/>
                <w:highlight w:val="none"/>
                <w:lang w:eastAsia="zh-CN"/>
                <w14:textFill>
                  <w14:solidFill>
                    <w14:schemeClr w14:val="tx1"/>
                  </w14:solidFill>
                </w14:textFill>
              </w:rPr>
              <w:t>施工工期</w:t>
            </w:r>
            <w:r>
              <w:rPr>
                <w:rFonts w:hint="eastAsia" w:ascii="宋体" w:hAnsi="宋体" w:cs="宋体"/>
                <w:color w:val="000000" w:themeColor="text1"/>
                <w:sz w:val="21"/>
                <w:szCs w:val="21"/>
                <w:highlight w:val="none"/>
                <w:lang w:eastAsia="zh-CN"/>
                <w14:textFill>
                  <w14:solidFill>
                    <w14:schemeClr w14:val="tx1"/>
                  </w14:solidFill>
                </w14:textFill>
              </w:rPr>
              <w:t>要求者，得</w:t>
            </w:r>
            <w:r>
              <w:rPr>
                <w:rFonts w:hint="eastAsia" w:ascii="宋体" w:hAnsi="宋体" w:cs="宋体"/>
                <w:color w:val="000000" w:themeColor="text1"/>
                <w:sz w:val="21"/>
                <w:szCs w:val="21"/>
                <w:highlight w:val="none"/>
                <w:lang w:val="en-US" w:eastAsia="zh-CN"/>
                <w14:textFill>
                  <w14:solidFill>
                    <w14:schemeClr w14:val="tx1"/>
                  </w14:solidFill>
                </w14:textFill>
              </w:rPr>
              <w:t>5分。（未提供或不完全响应不得分）</w:t>
            </w:r>
          </w:p>
          <w:p w14:paraId="0AF365A4">
            <w:pPr>
              <w:spacing w:line="276" w:lineRule="auto"/>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投标人需提供的针对本项目的</w:t>
            </w:r>
            <w:r>
              <w:rPr>
                <w:rFonts w:hint="eastAsia" w:ascii="宋体" w:hAnsi="宋体" w:cs="宋体"/>
                <w:b/>
                <w:bCs/>
                <w:color w:val="000000" w:themeColor="text1"/>
                <w:sz w:val="21"/>
                <w:szCs w:val="21"/>
                <w:highlight w:val="none"/>
                <w:lang w:eastAsia="zh-CN"/>
                <w14:textFill>
                  <w14:solidFill>
                    <w14:schemeClr w14:val="tx1"/>
                  </w14:solidFill>
                </w14:textFill>
              </w:rPr>
              <w:t>质量保障承诺函</w:t>
            </w:r>
            <w:r>
              <w:rPr>
                <w:rFonts w:hint="eastAsia" w:ascii="宋体" w:hAnsi="宋体" w:cs="宋体"/>
                <w:color w:val="000000" w:themeColor="text1"/>
                <w:sz w:val="21"/>
                <w:szCs w:val="21"/>
                <w:highlight w:val="none"/>
                <w:lang w:eastAsia="zh-CN"/>
                <w14:textFill>
                  <w14:solidFill>
                    <w14:schemeClr w14:val="tx1"/>
                  </w14:solidFill>
                </w14:textFill>
              </w:rPr>
              <w:t>，承诺本项目所施工项目、搭建或组装的货物等一切采购需求内项目，</w:t>
            </w:r>
            <w:r>
              <w:rPr>
                <w:rFonts w:hint="eastAsia" w:ascii="宋体" w:hAnsi="宋体" w:cs="宋体"/>
                <w:b/>
                <w:bCs/>
                <w:color w:val="000000" w:themeColor="text1"/>
                <w:sz w:val="21"/>
                <w:szCs w:val="21"/>
                <w:highlight w:val="none"/>
                <w:lang w:eastAsia="zh-CN"/>
                <w14:textFill>
                  <w14:solidFill>
                    <w14:schemeClr w14:val="tx1"/>
                  </w14:solidFill>
                </w14:textFill>
              </w:rPr>
              <w:t>质保期为</w:t>
            </w:r>
            <w:r>
              <w:rPr>
                <w:rFonts w:hint="eastAsia" w:ascii="宋体" w:hAnsi="宋体" w:cs="宋体"/>
                <w:b/>
                <w:bCs/>
                <w:color w:val="000000" w:themeColor="text1"/>
                <w:sz w:val="21"/>
                <w:szCs w:val="21"/>
                <w:highlight w:val="none"/>
                <w:lang w:val="en-US" w:eastAsia="zh-CN"/>
                <w14:textFill>
                  <w14:solidFill>
                    <w14:schemeClr w14:val="tx1"/>
                  </w14:solidFill>
                </w14:textFill>
              </w:rPr>
              <w:t>两</w:t>
            </w:r>
            <w:r>
              <w:rPr>
                <w:rFonts w:hint="eastAsia" w:ascii="宋体" w:hAnsi="宋体" w:cs="宋体"/>
                <w:b/>
                <w:bCs/>
                <w:color w:val="000000" w:themeColor="text1"/>
                <w:sz w:val="21"/>
                <w:szCs w:val="21"/>
                <w:highlight w:val="none"/>
                <w:lang w:eastAsia="zh-CN"/>
                <w14:textFill>
                  <w14:solidFill>
                    <w14:schemeClr w14:val="tx1"/>
                  </w14:solidFill>
                </w14:textFill>
              </w:rPr>
              <w:t>年</w:t>
            </w:r>
            <w:r>
              <w:rPr>
                <w:rFonts w:hint="eastAsia" w:ascii="宋体" w:hAnsi="宋体" w:cs="宋体"/>
                <w:color w:val="000000" w:themeColor="text1"/>
                <w:sz w:val="21"/>
                <w:szCs w:val="21"/>
                <w:highlight w:val="none"/>
                <w:lang w:eastAsia="zh-CN"/>
                <w14:textFill>
                  <w14:solidFill>
                    <w14:schemeClr w14:val="tx1"/>
                  </w14:solidFill>
                </w14:textFill>
              </w:rPr>
              <w:t>，期间产生的一切（</w:t>
            </w:r>
            <w:r>
              <w:rPr>
                <w:rFonts w:hint="eastAsia" w:ascii="宋体" w:hAnsi="宋体" w:cs="宋体"/>
                <w:b/>
                <w:bCs/>
                <w:color w:val="000000" w:themeColor="text1"/>
                <w:sz w:val="21"/>
                <w:szCs w:val="21"/>
                <w:highlight w:val="none"/>
                <w:lang w:eastAsia="zh-CN"/>
                <w14:textFill>
                  <w14:solidFill>
                    <w14:schemeClr w14:val="tx1"/>
                  </w14:solidFill>
                </w14:textFill>
              </w:rPr>
              <w:t>人为破坏与不可抗力因素产生除外</w:t>
            </w:r>
            <w:r>
              <w:rPr>
                <w:rFonts w:hint="eastAsia" w:ascii="宋体" w:hAnsi="宋体" w:cs="宋体"/>
                <w:color w:val="000000" w:themeColor="text1"/>
                <w:sz w:val="21"/>
                <w:szCs w:val="21"/>
                <w:highlight w:val="none"/>
                <w:lang w:eastAsia="zh-CN"/>
                <w14:textFill>
                  <w14:solidFill>
                    <w14:schemeClr w14:val="tx1"/>
                  </w14:solidFill>
                </w14:textFill>
              </w:rPr>
              <w:t>）质量问题，均需在</w:t>
            </w:r>
            <w:r>
              <w:rPr>
                <w:rFonts w:hint="eastAsia" w:ascii="宋体" w:hAnsi="宋体" w:cs="宋体"/>
                <w:color w:val="000000" w:themeColor="text1"/>
                <w:sz w:val="21"/>
                <w:szCs w:val="21"/>
                <w:highlight w:val="none"/>
                <w:lang w:val="en-US" w:eastAsia="zh-CN"/>
                <w14:textFill>
                  <w14:solidFill>
                    <w14:schemeClr w14:val="tx1"/>
                  </w14:solidFill>
                </w14:textFill>
              </w:rPr>
              <w:t>24小时内及时响应，48小时内解决并不得收取任何费用，得5分。（未提供或不完全响应不得分）</w:t>
            </w:r>
          </w:p>
          <w:p w14:paraId="46B5EC34">
            <w:pPr>
              <w:spacing w:line="276" w:lineRule="auto"/>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3、投标人需提供对</w:t>
            </w:r>
            <w:r>
              <w:rPr>
                <w:rFonts w:hint="eastAsia" w:ascii="宋体" w:hAnsi="宋体" w:cs="宋体"/>
                <w:b/>
                <w:bCs/>
                <w:color w:val="000000" w:themeColor="text1"/>
                <w:sz w:val="21"/>
                <w:szCs w:val="21"/>
                <w:highlight w:val="none"/>
                <w:lang w:val="en-US" w:eastAsia="zh-CN"/>
                <w14:textFill>
                  <w14:solidFill>
                    <w14:schemeClr w14:val="tx1"/>
                  </w14:solidFill>
                </w14:textFill>
              </w:rPr>
              <w:t>施工周边环境的协调处理承诺函</w:t>
            </w:r>
            <w:r>
              <w:rPr>
                <w:rFonts w:hint="eastAsia" w:ascii="宋体" w:hAnsi="宋体" w:cs="宋体"/>
                <w:color w:val="000000" w:themeColor="text1"/>
                <w:sz w:val="21"/>
                <w:szCs w:val="21"/>
                <w:highlight w:val="none"/>
                <w:lang w:val="en-US" w:eastAsia="zh-CN"/>
                <w14:textFill>
                  <w14:solidFill>
                    <w14:schemeClr w14:val="tx1"/>
                  </w14:solidFill>
                </w14:textFill>
              </w:rPr>
              <w:t>，承诺在本项目施工过程中，能够妥善协调处理好各方面关系，保证施工的顺利，</w:t>
            </w:r>
            <w:r>
              <w:rPr>
                <w:rFonts w:hint="eastAsia" w:ascii="宋体" w:hAnsi="宋体" w:cs="宋体"/>
                <w:b/>
                <w:bCs/>
                <w:color w:val="000000" w:themeColor="text1"/>
                <w:sz w:val="21"/>
                <w:szCs w:val="21"/>
                <w:highlight w:val="none"/>
                <w:lang w:val="en-US" w:eastAsia="zh-CN"/>
                <w14:textFill>
                  <w14:solidFill>
                    <w14:schemeClr w14:val="tx1"/>
                  </w14:solidFill>
                </w14:textFill>
              </w:rPr>
              <w:t>不给采购单位带来任何负面影响。若在施工期间，因周边关系给采购单位带来任何负面影响自行解决</w:t>
            </w:r>
            <w:r>
              <w:rPr>
                <w:rFonts w:hint="eastAsia" w:ascii="宋体" w:hAnsi="宋体" w:cs="宋体"/>
                <w:color w:val="000000" w:themeColor="text1"/>
                <w:sz w:val="21"/>
                <w:szCs w:val="21"/>
                <w:highlight w:val="none"/>
                <w:lang w:val="en-US" w:eastAsia="zh-CN"/>
                <w14:textFill>
                  <w14:solidFill>
                    <w14:schemeClr w14:val="tx1"/>
                  </w14:solidFill>
                </w14:textFill>
              </w:rPr>
              <w:t>，与采购单位无关，得5分。（未提供或不完全响应不得分）</w:t>
            </w:r>
          </w:p>
        </w:tc>
      </w:tr>
      <w:tr w14:paraId="36099D38">
        <w:tblPrEx>
          <w:tblCellMar>
            <w:top w:w="0" w:type="dxa"/>
            <w:left w:w="108" w:type="dxa"/>
            <w:bottom w:w="0" w:type="dxa"/>
            <w:right w:w="108" w:type="dxa"/>
          </w:tblCellMar>
        </w:tblPrEx>
        <w:trPr>
          <w:trHeight w:val="2396"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653A">
            <w:pPr>
              <w:spacing w:line="276" w:lineRule="auto"/>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27FB">
            <w:pPr>
              <w:spacing w:line="276" w:lineRule="auto"/>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施工方案</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w:t>
            </w:r>
          </w:p>
        </w:tc>
        <w:tc>
          <w:tcPr>
            <w:tcW w:w="7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2426C">
            <w:pPr>
              <w:widowControl/>
              <w:spacing w:line="360" w:lineRule="auto"/>
              <w:jc w:val="both"/>
              <w:textAlignment w:val="baseline"/>
              <w:rPr>
                <w:rFonts w:ascii="宋体" w:eastAsia="宋体"/>
                <w:color w:val="000000" w:themeColor="text1"/>
                <w:kern w:val="2"/>
                <w:sz w:val="21"/>
                <w:szCs w:val="21"/>
                <w:highlight w:val="none"/>
                <w:lang w:eastAsia="zh-CN"/>
                <w14:textFill>
                  <w14:solidFill>
                    <w14:schemeClr w14:val="tx1"/>
                  </w14:solidFill>
                </w14:textFill>
              </w:rPr>
            </w:pPr>
            <w:r>
              <w:rPr>
                <w:rFonts w:hint="eastAsia" w:ascii="宋体" w:hAnsi="宋体" w:eastAsia="宋体"/>
                <w:color w:val="000000" w:themeColor="text1"/>
                <w:kern w:val="2"/>
                <w:sz w:val="21"/>
                <w:szCs w:val="21"/>
                <w:highlight w:val="none"/>
                <w:lang w:eastAsia="zh-CN"/>
                <w14:textFill>
                  <w14:solidFill>
                    <w14:schemeClr w14:val="tx1"/>
                  </w14:solidFill>
                </w14:textFill>
              </w:rPr>
              <w:t>（</w:t>
            </w:r>
            <w:r>
              <w:rPr>
                <w:rFonts w:ascii="宋体" w:hAnsi="宋体" w:eastAsia="宋体"/>
                <w:color w:val="000000" w:themeColor="text1"/>
                <w:kern w:val="2"/>
                <w:sz w:val="21"/>
                <w:szCs w:val="21"/>
                <w:highlight w:val="none"/>
                <w:lang w:eastAsia="zh-CN"/>
                <w14:textFill>
                  <w14:solidFill>
                    <w14:schemeClr w14:val="tx1"/>
                  </w14:solidFill>
                </w14:textFill>
              </w:rPr>
              <w:t>1</w:t>
            </w:r>
            <w:r>
              <w:rPr>
                <w:rFonts w:hint="eastAsia" w:ascii="宋体" w:hAnsi="宋体" w:eastAsia="宋体"/>
                <w:color w:val="000000" w:themeColor="text1"/>
                <w:kern w:val="2"/>
                <w:sz w:val="21"/>
                <w:szCs w:val="21"/>
                <w:highlight w:val="none"/>
                <w:lang w:eastAsia="zh-CN"/>
                <w14:textFill>
                  <w14:solidFill>
                    <w14:schemeClr w14:val="tx1"/>
                  </w14:solidFill>
                </w14:textFill>
              </w:rPr>
              <w:t>）施工组织总体设想、方案针对性及施工段划分，方案完善且针对性强得</w:t>
            </w:r>
            <w:r>
              <w:rPr>
                <w:rFonts w:hint="eastAsia" w:ascii="宋体" w:hAnsi="宋体"/>
                <w:color w:val="000000" w:themeColor="text1"/>
                <w:kern w:val="2"/>
                <w:sz w:val="21"/>
                <w:szCs w:val="21"/>
                <w:highlight w:val="none"/>
                <w:lang w:val="en-US" w:eastAsia="zh-CN"/>
                <w14:textFill>
                  <w14:solidFill>
                    <w14:schemeClr w14:val="tx1"/>
                  </w14:solidFill>
                </w14:textFill>
              </w:rPr>
              <w:t>8</w:t>
            </w:r>
            <w:r>
              <w:rPr>
                <w:rFonts w:hint="eastAsia" w:ascii="宋体" w:hAnsi="宋体" w:eastAsia="宋体"/>
                <w:color w:val="000000" w:themeColor="text1"/>
                <w:kern w:val="2"/>
                <w:sz w:val="21"/>
                <w:szCs w:val="21"/>
                <w:highlight w:val="none"/>
                <w:lang w:eastAsia="zh-CN"/>
                <w14:textFill>
                  <w14:solidFill>
                    <w14:schemeClr w14:val="tx1"/>
                  </w14:solidFill>
                </w14:textFill>
              </w:rPr>
              <w:t>分；方案较完善且针对性较强得</w:t>
            </w:r>
            <w:r>
              <w:rPr>
                <w:rFonts w:hint="eastAsia" w:ascii="宋体" w:hAnsi="宋体"/>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olor w:val="000000" w:themeColor="text1"/>
                <w:kern w:val="2"/>
                <w:sz w:val="21"/>
                <w:szCs w:val="21"/>
                <w:highlight w:val="none"/>
                <w:lang w:eastAsia="zh-CN"/>
                <w14:textFill>
                  <w14:solidFill>
                    <w14:schemeClr w14:val="tx1"/>
                  </w14:solidFill>
                </w14:textFill>
              </w:rPr>
              <w:t>分；方案一般且针对性一般得</w:t>
            </w:r>
            <w:r>
              <w:rPr>
                <w:rFonts w:hint="eastAsia" w:ascii="宋体" w:hAnsi="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olor w:val="000000" w:themeColor="text1"/>
                <w:kern w:val="2"/>
                <w:sz w:val="21"/>
                <w:szCs w:val="21"/>
                <w:highlight w:val="none"/>
                <w:lang w:eastAsia="zh-CN"/>
                <w14:textFill>
                  <w14:solidFill>
                    <w14:schemeClr w14:val="tx1"/>
                  </w14:solidFill>
                </w14:textFill>
              </w:rPr>
              <w:t>分；方案内容缺少得</w:t>
            </w:r>
            <w:r>
              <w:rPr>
                <w:rFonts w:ascii="宋体" w:hAnsi="宋体" w:eastAsia="宋体"/>
                <w:color w:val="000000" w:themeColor="text1"/>
                <w:kern w:val="2"/>
                <w:sz w:val="21"/>
                <w:szCs w:val="21"/>
                <w:highlight w:val="none"/>
                <w:lang w:eastAsia="zh-CN"/>
                <w14:textFill>
                  <w14:solidFill>
                    <w14:schemeClr w14:val="tx1"/>
                  </w14:solidFill>
                </w14:textFill>
              </w:rPr>
              <w:t>1</w:t>
            </w:r>
            <w:r>
              <w:rPr>
                <w:rFonts w:hint="eastAsia" w:ascii="宋体" w:hAnsi="宋体" w:eastAsia="宋体"/>
                <w:color w:val="000000" w:themeColor="text1"/>
                <w:kern w:val="2"/>
                <w:sz w:val="21"/>
                <w:szCs w:val="21"/>
                <w:highlight w:val="none"/>
                <w:lang w:eastAsia="zh-CN"/>
                <w14:textFill>
                  <w14:solidFill>
                    <w14:schemeClr w14:val="tx1"/>
                  </w14:solidFill>
                </w14:textFill>
              </w:rPr>
              <w:t>分，未提供不得分；</w:t>
            </w:r>
          </w:p>
          <w:p w14:paraId="57184D9E">
            <w:pPr>
              <w:widowControl/>
              <w:spacing w:line="360" w:lineRule="auto"/>
              <w:jc w:val="both"/>
              <w:textAlignment w:val="baseline"/>
              <w:rPr>
                <w:rFonts w:ascii="宋体" w:eastAsia="宋体"/>
                <w:color w:val="000000" w:themeColor="text1"/>
                <w:kern w:val="2"/>
                <w:sz w:val="21"/>
                <w:szCs w:val="21"/>
                <w:highlight w:val="none"/>
                <w:lang w:eastAsia="zh-CN"/>
                <w14:textFill>
                  <w14:solidFill>
                    <w14:schemeClr w14:val="tx1"/>
                  </w14:solidFill>
                </w14:textFill>
              </w:rPr>
            </w:pPr>
            <w:r>
              <w:rPr>
                <w:rFonts w:hint="eastAsia" w:ascii="宋体" w:hAnsi="宋体" w:eastAsia="宋体"/>
                <w:color w:val="000000" w:themeColor="text1"/>
                <w:kern w:val="2"/>
                <w:sz w:val="21"/>
                <w:szCs w:val="21"/>
                <w:highlight w:val="none"/>
                <w:lang w:eastAsia="zh-CN"/>
                <w14:textFill>
                  <w14:solidFill>
                    <w14:schemeClr w14:val="tx1"/>
                  </w14:solidFill>
                </w14:textFill>
              </w:rPr>
              <w:t>（</w:t>
            </w:r>
            <w:r>
              <w:rPr>
                <w:rFonts w:ascii="宋体" w:hAnsi="宋体" w:eastAsia="宋体"/>
                <w:color w:val="000000" w:themeColor="text1"/>
                <w:kern w:val="2"/>
                <w:sz w:val="21"/>
                <w:szCs w:val="21"/>
                <w:highlight w:val="none"/>
                <w:lang w:eastAsia="zh-CN"/>
                <w14:textFill>
                  <w14:solidFill>
                    <w14:schemeClr w14:val="tx1"/>
                  </w14:solidFill>
                </w14:textFill>
              </w:rPr>
              <w:t>2</w:t>
            </w:r>
            <w:r>
              <w:rPr>
                <w:rFonts w:hint="eastAsia" w:ascii="宋体" w:hAnsi="宋体" w:eastAsia="宋体"/>
                <w:color w:val="000000" w:themeColor="text1"/>
                <w:kern w:val="2"/>
                <w:sz w:val="21"/>
                <w:szCs w:val="21"/>
                <w:highlight w:val="none"/>
                <w:lang w:eastAsia="zh-CN"/>
                <w14:textFill>
                  <w14:solidFill>
                    <w14:schemeClr w14:val="tx1"/>
                  </w14:solidFill>
                </w14:textFill>
              </w:rPr>
              <w:t>）劳动力、机械设备和材料投入计划，方案完善且针对性强得</w:t>
            </w:r>
            <w:r>
              <w:rPr>
                <w:rFonts w:hint="eastAsia" w:ascii="宋体" w:hAnsi="宋体"/>
                <w:color w:val="000000" w:themeColor="text1"/>
                <w:kern w:val="2"/>
                <w:sz w:val="21"/>
                <w:szCs w:val="21"/>
                <w:highlight w:val="none"/>
                <w:lang w:val="en-US" w:eastAsia="zh-CN"/>
                <w14:textFill>
                  <w14:solidFill>
                    <w14:schemeClr w14:val="tx1"/>
                  </w14:solidFill>
                </w14:textFill>
              </w:rPr>
              <w:t>8</w:t>
            </w:r>
            <w:r>
              <w:rPr>
                <w:rFonts w:hint="eastAsia" w:ascii="宋体" w:hAnsi="宋体" w:eastAsia="宋体"/>
                <w:color w:val="000000" w:themeColor="text1"/>
                <w:kern w:val="2"/>
                <w:sz w:val="21"/>
                <w:szCs w:val="21"/>
                <w:highlight w:val="none"/>
                <w:lang w:eastAsia="zh-CN"/>
                <w14:textFill>
                  <w14:solidFill>
                    <w14:schemeClr w14:val="tx1"/>
                  </w14:solidFill>
                </w14:textFill>
              </w:rPr>
              <w:t>分；方案较完善且针对性较强得</w:t>
            </w:r>
            <w:r>
              <w:rPr>
                <w:rFonts w:hint="eastAsia" w:ascii="宋体" w:hAnsi="宋体"/>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olor w:val="000000" w:themeColor="text1"/>
                <w:kern w:val="2"/>
                <w:sz w:val="21"/>
                <w:szCs w:val="21"/>
                <w:highlight w:val="none"/>
                <w:lang w:eastAsia="zh-CN"/>
                <w14:textFill>
                  <w14:solidFill>
                    <w14:schemeClr w14:val="tx1"/>
                  </w14:solidFill>
                </w14:textFill>
              </w:rPr>
              <w:t>分；方案一般且针对性一般得</w:t>
            </w:r>
            <w:r>
              <w:rPr>
                <w:rFonts w:hint="eastAsia" w:ascii="宋体" w:hAnsi="宋体"/>
                <w:color w:val="000000" w:themeColor="text1"/>
                <w:kern w:val="2"/>
                <w:sz w:val="21"/>
                <w:szCs w:val="21"/>
                <w:highlight w:val="none"/>
                <w:lang w:val="en-US" w:eastAsia="zh-CN"/>
                <w14:textFill>
                  <w14:solidFill>
                    <w14:schemeClr w14:val="tx1"/>
                  </w14:solidFill>
                </w14:textFill>
              </w:rPr>
              <w:t>3</w:t>
            </w:r>
            <w:r>
              <w:rPr>
                <w:rFonts w:hint="eastAsia" w:ascii="宋体" w:hAnsi="宋体" w:eastAsia="宋体"/>
                <w:color w:val="000000" w:themeColor="text1"/>
                <w:kern w:val="2"/>
                <w:sz w:val="21"/>
                <w:szCs w:val="21"/>
                <w:highlight w:val="none"/>
                <w:lang w:eastAsia="zh-CN"/>
                <w14:textFill>
                  <w14:solidFill>
                    <w14:schemeClr w14:val="tx1"/>
                  </w14:solidFill>
                </w14:textFill>
              </w:rPr>
              <w:t>分；方案内容缺少得</w:t>
            </w:r>
            <w:r>
              <w:rPr>
                <w:rFonts w:ascii="宋体" w:hAnsi="宋体" w:eastAsia="宋体"/>
                <w:color w:val="000000" w:themeColor="text1"/>
                <w:kern w:val="2"/>
                <w:sz w:val="21"/>
                <w:szCs w:val="21"/>
                <w:highlight w:val="none"/>
                <w:lang w:eastAsia="zh-CN"/>
                <w14:textFill>
                  <w14:solidFill>
                    <w14:schemeClr w14:val="tx1"/>
                  </w14:solidFill>
                </w14:textFill>
              </w:rPr>
              <w:t>1</w:t>
            </w:r>
            <w:r>
              <w:rPr>
                <w:rFonts w:hint="eastAsia" w:ascii="宋体" w:hAnsi="宋体" w:eastAsia="宋体"/>
                <w:color w:val="000000" w:themeColor="text1"/>
                <w:kern w:val="2"/>
                <w:sz w:val="21"/>
                <w:szCs w:val="21"/>
                <w:highlight w:val="none"/>
                <w:lang w:eastAsia="zh-CN"/>
                <w14:textFill>
                  <w14:solidFill>
                    <w14:schemeClr w14:val="tx1"/>
                  </w14:solidFill>
                </w14:textFill>
              </w:rPr>
              <w:t>分，未提供不得分；</w:t>
            </w:r>
          </w:p>
          <w:p w14:paraId="77C2FAB9">
            <w:pPr>
              <w:widowControl/>
              <w:spacing w:line="360" w:lineRule="auto"/>
              <w:jc w:val="both"/>
              <w:textAlignment w:val="baseline"/>
              <w:rPr>
                <w:rFonts w:ascii="宋体" w:eastAsia="宋体"/>
                <w:color w:val="000000" w:themeColor="text1"/>
                <w:kern w:val="2"/>
                <w:sz w:val="21"/>
                <w:szCs w:val="21"/>
                <w:highlight w:val="none"/>
                <w:lang w:eastAsia="zh-CN"/>
                <w14:textFill>
                  <w14:solidFill>
                    <w14:schemeClr w14:val="tx1"/>
                  </w14:solidFill>
                </w14:textFill>
              </w:rPr>
            </w:pPr>
            <w:r>
              <w:rPr>
                <w:rFonts w:hint="eastAsia" w:ascii="宋体" w:hAnsi="宋体" w:eastAsia="宋体"/>
                <w:color w:val="000000" w:themeColor="text1"/>
                <w:kern w:val="2"/>
                <w:sz w:val="21"/>
                <w:szCs w:val="21"/>
                <w:highlight w:val="none"/>
                <w:lang w:eastAsia="zh-CN"/>
                <w14:textFill>
                  <w14:solidFill>
                    <w14:schemeClr w14:val="tx1"/>
                  </w14:solidFill>
                </w14:textFill>
              </w:rPr>
              <w:t>（</w:t>
            </w:r>
            <w:r>
              <w:rPr>
                <w:rFonts w:ascii="宋体" w:hAnsi="宋体" w:eastAsia="宋体"/>
                <w:color w:val="000000" w:themeColor="text1"/>
                <w:kern w:val="2"/>
                <w:sz w:val="21"/>
                <w:szCs w:val="21"/>
                <w:highlight w:val="none"/>
                <w:lang w:eastAsia="zh-CN"/>
                <w14:textFill>
                  <w14:solidFill>
                    <w14:schemeClr w14:val="tx1"/>
                  </w14:solidFill>
                </w14:textFill>
              </w:rPr>
              <w:t>3</w:t>
            </w:r>
            <w:r>
              <w:rPr>
                <w:rFonts w:hint="eastAsia" w:ascii="宋体" w:hAnsi="宋体" w:eastAsia="宋体"/>
                <w:color w:val="000000" w:themeColor="text1"/>
                <w:kern w:val="2"/>
                <w:sz w:val="21"/>
                <w:szCs w:val="21"/>
                <w:highlight w:val="none"/>
                <w:lang w:eastAsia="zh-CN"/>
                <w14:textFill>
                  <w14:solidFill>
                    <w14:schemeClr w14:val="tx1"/>
                  </w14:solidFill>
                </w14:textFill>
              </w:rPr>
              <w:t>）施工进度计划和各阶段进度的保证措施，方案完善且针对性强得</w:t>
            </w:r>
            <w:r>
              <w:rPr>
                <w:rFonts w:hint="eastAsia" w:ascii="宋体" w:hAnsi="宋体"/>
                <w:color w:val="000000" w:themeColor="text1"/>
                <w:kern w:val="2"/>
                <w:sz w:val="21"/>
                <w:szCs w:val="21"/>
                <w:highlight w:val="none"/>
                <w:lang w:val="en-US" w:eastAsia="zh-CN"/>
                <w14:textFill>
                  <w14:solidFill>
                    <w14:schemeClr w14:val="tx1"/>
                  </w14:solidFill>
                </w14:textFill>
              </w:rPr>
              <w:t>6</w:t>
            </w:r>
            <w:r>
              <w:rPr>
                <w:rFonts w:hint="eastAsia" w:ascii="宋体" w:hAnsi="宋体" w:eastAsia="宋体"/>
                <w:color w:val="000000" w:themeColor="text1"/>
                <w:kern w:val="2"/>
                <w:sz w:val="21"/>
                <w:szCs w:val="21"/>
                <w:highlight w:val="none"/>
                <w:lang w:eastAsia="zh-CN"/>
                <w14:textFill>
                  <w14:solidFill>
                    <w14:schemeClr w14:val="tx1"/>
                  </w14:solidFill>
                </w14:textFill>
              </w:rPr>
              <w:t>分；方案较完善且针对性较强得</w:t>
            </w:r>
            <w:r>
              <w:rPr>
                <w:rFonts w:hint="eastAsia" w:ascii="宋体" w:hAnsi="宋体"/>
                <w:color w:val="000000" w:themeColor="text1"/>
                <w:kern w:val="2"/>
                <w:sz w:val="21"/>
                <w:szCs w:val="21"/>
                <w:highlight w:val="none"/>
                <w:lang w:val="en-US" w:eastAsia="zh-CN"/>
                <w14:textFill>
                  <w14:solidFill>
                    <w14:schemeClr w14:val="tx1"/>
                  </w14:solidFill>
                </w14:textFill>
              </w:rPr>
              <w:t>4</w:t>
            </w:r>
            <w:r>
              <w:rPr>
                <w:rFonts w:hint="eastAsia" w:ascii="宋体" w:hAnsi="宋体" w:eastAsia="宋体"/>
                <w:color w:val="000000" w:themeColor="text1"/>
                <w:kern w:val="2"/>
                <w:sz w:val="21"/>
                <w:szCs w:val="21"/>
                <w:highlight w:val="none"/>
                <w:lang w:eastAsia="zh-CN"/>
                <w14:textFill>
                  <w14:solidFill>
                    <w14:schemeClr w14:val="tx1"/>
                  </w14:solidFill>
                </w14:textFill>
              </w:rPr>
              <w:t>分；方案一般且针对性一般得</w:t>
            </w:r>
            <w:r>
              <w:rPr>
                <w:rFonts w:hint="eastAsia" w:ascii="宋体" w:hAnsi="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olor w:val="000000" w:themeColor="text1"/>
                <w:kern w:val="2"/>
                <w:sz w:val="21"/>
                <w:szCs w:val="21"/>
                <w:highlight w:val="none"/>
                <w:lang w:eastAsia="zh-CN"/>
                <w14:textFill>
                  <w14:solidFill>
                    <w14:schemeClr w14:val="tx1"/>
                  </w14:solidFill>
                </w14:textFill>
              </w:rPr>
              <w:t>分；方案内容缺少得</w:t>
            </w:r>
            <w:r>
              <w:rPr>
                <w:rFonts w:ascii="宋体" w:hAnsi="宋体" w:eastAsia="宋体"/>
                <w:color w:val="000000" w:themeColor="text1"/>
                <w:kern w:val="2"/>
                <w:sz w:val="21"/>
                <w:szCs w:val="21"/>
                <w:highlight w:val="none"/>
                <w:lang w:eastAsia="zh-CN"/>
                <w14:textFill>
                  <w14:solidFill>
                    <w14:schemeClr w14:val="tx1"/>
                  </w14:solidFill>
                </w14:textFill>
              </w:rPr>
              <w:t>1</w:t>
            </w:r>
            <w:r>
              <w:rPr>
                <w:rFonts w:hint="eastAsia" w:ascii="宋体" w:hAnsi="宋体" w:eastAsia="宋体"/>
                <w:color w:val="000000" w:themeColor="text1"/>
                <w:kern w:val="2"/>
                <w:sz w:val="21"/>
                <w:szCs w:val="21"/>
                <w:highlight w:val="none"/>
                <w:lang w:eastAsia="zh-CN"/>
                <w14:textFill>
                  <w14:solidFill>
                    <w14:schemeClr w14:val="tx1"/>
                  </w14:solidFill>
                </w14:textFill>
              </w:rPr>
              <w:t>分，未提供不得分；</w:t>
            </w:r>
          </w:p>
          <w:p w14:paraId="685B9DD3">
            <w:pPr>
              <w:widowControl/>
              <w:spacing w:line="360" w:lineRule="auto"/>
              <w:jc w:val="both"/>
              <w:textAlignment w:val="baseline"/>
              <w:rPr>
                <w:rFonts w:ascii="宋体" w:eastAsia="宋体"/>
                <w:color w:val="000000" w:themeColor="text1"/>
                <w:kern w:val="2"/>
                <w:sz w:val="21"/>
                <w:szCs w:val="21"/>
                <w:highlight w:val="none"/>
                <w:lang w:eastAsia="zh-CN"/>
                <w14:textFill>
                  <w14:solidFill>
                    <w14:schemeClr w14:val="tx1"/>
                  </w14:solidFill>
                </w14:textFill>
              </w:rPr>
            </w:pPr>
            <w:r>
              <w:rPr>
                <w:rFonts w:hint="eastAsia" w:ascii="宋体" w:hAnsi="宋体" w:eastAsia="宋体"/>
                <w:color w:val="000000" w:themeColor="text1"/>
                <w:kern w:val="2"/>
                <w:sz w:val="21"/>
                <w:szCs w:val="21"/>
                <w:highlight w:val="none"/>
                <w:lang w:eastAsia="zh-CN"/>
                <w14:textFill>
                  <w14:solidFill>
                    <w14:schemeClr w14:val="tx1"/>
                  </w14:solidFill>
                </w14:textFill>
              </w:rPr>
              <w:t>（</w:t>
            </w:r>
            <w:r>
              <w:rPr>
                <w:rFonts w:ascii="宋体" w:hAnsi="宋体" w:eastAsia="宋体"/>
                <w:color w:val="000000" w:themeColor="text1"/>
                <w:kern w:val="2"/>
                <w:sz w:val="21"/>
                <w:szCs w:val="21"/>
                <w:highlight w:val="none"/>
                <w:lang w:eastAsia="zh-CN"/>
                <w14:textFill>
                  <w14:solidFill>
                    <w14:schemeClr w14:val="tx1"/>
                  </w14:solidFill>
                </w14:textFill>
              </w:rPr>
              <w:t>4</w:t>
            </w:r>
            <w:r>
              <w:rPr>
                <w:rFonts w:hint="eastAsia" w:ascii="宋体" w:hAnsi="宋体" w:eastAsia="宋体"/>
                <w:color w:val="000000" w:themeColor="text1"/>
                <w:kern w:val="2"/>
                <w:sz w:val="21"/>
                <w:szCs w:val="21"/>
                <w:highlight w:val="none"/>
                <w:lang w:eastAsia="zh-CN"/>
                <w14:textFill>
                  <w14:solidFill>
                    <w14:schemeClr w14:val="tx1"/>
                  </w14:solidFill>
                </w14:textFill>
              </w:rPr>
              <w:t>）项目管理班子的人员配备、素质及管理经验，方案完善且针对性强得</w:t>
            </w:r>
            <w:r>
              <w:rPr>
                <w:rFonts w:hint="eastAsia" w:ascii="宋体" w:hAnsi="宋体"/>
                <w:color w:val="000000" w:themeColor="text1"/>
                <w:kern w:val="2"/>
                <w:sz w:val="21"/>
                <w:szCs w:val="21"/>
                <w:highlight w:val="none"/>
                <w:lang w:val="en-US" w:eastAsia="zh-CN"/>
                <w14:textFill>
                  <w14:solidFill>
                    <w14:schemeClr w14:val="tx1"/>
                  </w14:solidFill>
                </w14:textFill>
              </w:rPr>
              <w:t>6</w:t>
            </w:r>
            <w:r>
              <w:rPr>
                <w:rFonts w:hint="eastAsia" w:ascii="宋体" w:hAnsi="宋体" w:eastAsia="宋体"/>
                <w:color w:val="000000" w:themeColor="text1"/>
                <w:kern w:val="2"/>
                <w:sz w:val="21"/>
                <w:szCs w:val="21"/>
                <w:highlight w:val="none"/>
                <w:lang w:eastAsia="zh-CN"/>
                <w14:textFill>
                  <w14:solidFill>
                    <w14:schemeClr w14:val="tx1"/>
                  </w14:solidFill>
                </w14:textFill>
              </w:rPr>
              <w:t>分；方案较完善且针对性较强得</w:t>
            </w:r>
            <w:r>
              <w:rPr>
                <w:rFonts w:hint="eastAsia" w:ascii="宋体" w:hAnsi="宋体"/>
                <w:color w:val="000000" w:themeColor="text1"/>
                <w:kern w:val="2"/>
                <w:sz w:val="21"/>
                <w:szCs w:val="21"/>
                <w:highlight w:val="none"/>
                <w:lang w:val="en-US" w:eastAsia="zh-CN"/>
                <w14:textFill>
                  <w14:solidFill>
                    <w14:schemeClr w14:val="tx1"/>
                  </w14:solidFill>
                </w14:textFill>
              </w:rPr>
              <w:t>4</w:t>
            </w:r>
            <w:r>
              <w:rPr>
                <w:rFonts w:hint="eastAsia" w:ascii="宋体" w:hAnsi="宋体" w:eastAsia="宋体"/>
                <w:color w:val="000000" w:themeColor="text1"/>
                <w:kern w:val="2"/>
                <w:sz w:val="21"/>
                <w:szCs w:val="21"/>
                <w:highlight w:val="none"/>
                <w:lang w:eastAsia="zh-CN"/>
                <w14:textFill>
                  <w14:solidFill>
                    <w14:schemeClr w14:val="tx1"/>
                  </w14:solidFill>
                </w14:textFill>
              </w:rPr>
              <w:t>分；方案一般且针对性一般得</w:t>
            </w:r>
            <w:r>
              <w:rPr>
                <w:rFonts w:hint="eastAsia" w:ascii="宋体" w:hAnsi="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olor w:val="000000" w:themeColor="text1"/>
                <w:kern w:val="2"/>
                <w:sz w:val="21"/>
                <w:szCs w:val="21"/>
                <w:highlight w:val="none"/>
                <w:lang w:eastAsia="zh-CN"/>
                <w14:textFill>
                  <w14:solidFill>
                    <w14:schemeClr w14:val="tx1"/>
                  </w14:solidFill>
                </w14:textFill>
              </w:rPr>
              <w:t>分；方案内容缺少得</w:t>
            </w:r>
            <w:r>
              <w:rPr>
                <w:rFonts w:ascii="宋体" w:hAnsi="宋体" w:eastAsia="宋体"/>
                <w:color w:val="000000" w:themeColor="text1"/>
                <w:kern w:val="2"/>
                <w:sz w:val="21"/>
                <w:szCs w:val="21"/>
                <w:highlight w:val="none"/>
                <w:lang w:eastAsia="zh-CN"/>
                <w14:textFill>
                  <w14:solidFill>
                    <w14:schemeClr w14:val="tx1"/>
                  </w14:solidFill>
                </w14:textFill>
              </w:rPr>
              <w:t>1</w:t>
            </w:r>
            <w:r>
              <w:rPr>
                <w:rFonts w:hint="eastAsia" w:ascii="宋体" w:hAnsi="宋体" w:eastAsia="宋体"/>
                <w:color w:val="000000" w:themeColor="text1"/>
                <w:kern w:val="2"/>
                <w:sz w:val="21"/>
                <w:szCs w:val="21"/>
                <w:highlight w:val="none"/>
                <w:lang w:eastAsia="zh-CN"/>
                <w14:textFill>
                  <w14:solidFill>
                    <w14:schemeClr w14:val="tx1"/>
                  </w14:solidFill>
                </w14:textFill>
              </w:rPr>
              <w:t>分，未提供不得分；</w:t>
            </w:r>
          </w:p>
          <w:p w14:paraId="5290CFF0">
            <w:pPr>
              <w:widowControl/>
              <w:spacing w:line="360" w:lineRule="auto"/>
              <w:jc w:val="both"/>
              <w:textAlignment w:val="baseline"/>
              <w:rPr>
                <w:rFonts w:ascii="宋体" w:eastAsia="宋体"/>
                <w:color w:val="000000" w:themeColor="text1"/>
                <w:kern w:val="2"/>
                <w:sz w:val="21"/>
                <w:szCs w:val="21"/>
                <w:highlight w:val="none"/>
                <w:lang w:eastAsia="zh-CN"/>
                <w14:textFill>
                  <w14:solidFill>
                    <w14:schemeClr w14:val="tx1"/>
                  </w14:solidFill>
                </w14:textFill>
              </w:rPr>
            </w:pPr>
            <w:r>
              <w:rPr>
                <w:rFonts w:hint="eastAsia" w:ascii="宋体" w:hAnsi="宋体" w:eastAsia="宋体"/>
                <w:color w:val="000000" w:themeColor="text1"/>
                <w:kern w:val="2"/>
                <w:sz w:val="21"/>
                <w:szCs w:val="21"/>
                <w:highlight w:val="none"/>
                <w:lang w:eastAsia="zh-CN"/>
                <w14:textFill>
                  <w14:solidFill>
                    <w14:schemeClr w14:val="tx1"/>
                  </w14:solidFill>
                </w14:textFill>
              </w:rPr>
              <w:t>（</w:t>
            </w:r>
            <w:r>
              <w:rPr>
                <w:rFonts w:ascii="宋体" w:hAnsi="宋体" w:eastAsia="宋体"/>
                <w:color w:val="000000" w:themeColor="text1"/>
                <w:kern w:val="2"/>
                <w:sz w:val="21"/>
                <w:szCs w:val="21"/>
                <w:highlight w:val="none"/>
                <w:lang w:eastAsia="zh-CN"/>
                <w14:textFill>
                  <w14:solidFill>
                    <w14:schemeClr w14:val="tx1"/>
                  </w14:solidFill>
                </w14:textFill>
              </w:rPr>
              <w:t>5</w:t>
            </w:r>
            <w:r>
              <w:rPr>
                <w:rFonts w:hint="eastAsia" w:ascii="宋体" w:hAnsi="宋体" w:eastAsia="宋体"/>
                <w:color w:val="000000" w:themeColor="text1"/>
                <w:kern w:val="2"/>
                <w:sz w:val="21"/>
                <w:szCs w:val="21"/>
                <w:highlight w:val="none"/>
                <w:lang w:eastAsia="zh-CN"/>
                <w14:textFill>
                  <w14:solidFill>
                    <w14:schemeClr w14:val="tx1"/>
                  </w14:solidFill>
                </w14:textFill>
              </w:rPr>
              <w:t>）关键施工技术、工艺及工程项目实施的重点、难点和解决方案，方案完善且针对性强得</w:t>
            </w:r>
            <w:r>
              <w:rPr>
                <w:rFonts w:hint="eastAsia" w:ascii="宋体" w:hAnsi="宋体"/>
                <w:color w:val="000000" w:themeColor="text1"/>
                <w:kern w:val="2"/>
                <w:sz w:val="21"/>
                <w:szCs w:val="21"/>
                <w:highlight w:val="none"/>
                <w:lang w:val="en-US" w:eastAsia="zh-CN"/>
                <w14:textFill>
                  <w14:solidFill>
                    <w14:schemeClr w14:val="tx1"/>
                  </w14:solidFill>
                </w14:textFill>
              </w:rPr>
              <w:t>6</w:t>
            </w:r>
            <w:r>
              <w:rPr>
                <w:rFonts w:hint="eastAsia" w:ascii="宋体" w:hAnsi="宋体" w:eastAsia="宋体"/>
                <w:color w:val="000000" w:themeColor="text1"/>
                <w:kern w:val="2"/>
                <w:sz w:val="21"/>
                <w:szCs w:val="21"/>
                <w:highlight w:val="none"/>
                <w:lang w:eastAsia="zh-CN"/>
                <w14:textFill>
                  <w14:solidFill>
                    <w14:schemeClr w14:val="tx1"/>
                  </w14:solidFill>
                </w14:textFill>
              </w:rPr>
              <w:t>分；方案较完善且针对性较强得</w:t>
            </w:r>
            <w:r>
              <w:rPr>
                <w:rFonts w:hint="eastAsia" w:ascii="宋体" w:hAnsi="宋体"/>
                <w:color w:val="000000" w:themeColor="text1"/>
                <w:kern w:val="2"/>
                <w:sz w:val="21"/>
                <w:szCs w:val="21"/>
                <w:highlight w:val="none"/>
                <w:lang w:val="en-US" w:eastAsia="zh-CN"/>
                <w14:textFill>
                  <w14:solidFill>
                    <w14:schemeClr w14:val="tx1"/>
                  </w14:solidFill>
                </w14:textFill>
              </w:rPr>
              <w:t>4</w:t>
            </w:r>
            <w:r>
              <w:rPr>
                <w:rFonts w:hint="eastAsia" w:ascii="宋体" w:hAnsi="宋体" w:eastAsia="宋体"/>
                <w:color w:val="000000" w:themeColor="text1"/>
                <w:kern w:val="2"/>
                <w:sz w:val="21"/>
                <w:szCs w:val="21"/>
                <w:highlight w:val="none"/>
                <w:lang w:eastAsia="zh-CN"/>
                <w14:textFill>
                  <w14:solidFill>
                    <w14:schemeClr w14:val="tx1"/>
                  </w14:solidFill>
                </w14:textFill>
              </w:rPr>
              <w:t>分；方案一般且针对性一般得</w:t>
            </w:r>
            <w:r>
              <w:rPr>
                <w:rFonts w:hint="eastAsia" w:ascii="宋体" w:hAnsi="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olor w:val="000000" w:themeColor="text1"/>
                <w:kern w:val="2"/>
                <w:sz w:val="21"/>
                <w:szCs w:val="21"/>
                <w:highlight w:val="none"/>
                <w:lang w:eastAsia="zh-CN"/>
                <w14:textFill>
                  <w14:solidFill>
                    <w14:schemeClr w14:val="tx1"/>
                  </w14:solidFill>
                </w14:textFill>
              </w:rPr>
              <w:t>分；方案内容缺少得</w:t>
            </w:r>
            <w:r>
              <w:rPr>
                <w:rFonts w:ascii="宋体" w:hAnsi="宋体" w:eastAsia="宋体"/>
                <w:color w:val="000000" w:themeColor="text1"/>
                <w:kern w:val="2"/>
                <w:sz w:val="21"/>
                <w:szCs w:val="21"/>
                <w:highlight w:val="none"/>
                <w:lang w:eastAsia="zh-CN"/>
                <w14:textFill>
                  <w14:solidFill>
                    <w14:schemeClr w14:val="tx1"/>
                  </w14:solidFill>
                </w14:textFill>
              </w:rPr>
              <w:t>1</w:t>
            </w:r>
            <w:r>
              <w:rPr>
                <w:rFonts w:hint="eastAsia" w:ascii="宋体" w:hAnsi="宋体" w:eastAsia="宋体"/>
                <w:color w:val="000000" w:themeColor="text1"/>
                <w:kern w:val="2"/>
                <w:sz w:val="21"/>
                <w:szCs w:val="21"/>
                <w:highlight w:val="none"/>
                <w:lang w:eastAsia="zh-CN"/>
                <w14:textFill>
                  <w14:solidFill>
                    <w14:schemeClr w14:val="tx1"/>
                  </w14:solidFill>
                </w14:textFill>
              </w:rPr>
              <w:t>分，未提供不得分；</w:t>
            </w:r>
          </w:p>
          <w:p w14:paraId="6CAB02D4">
            <w:pPr>
              <w:snapToGrid w:val="0"/>
              <w:spacing w:line="480" w:lineRule="auto"/>
              <w:rPr>
                <w:rFonts w:ascii="宋体" w:hAnsi="Times New Roman" w:eastAsia="宋体" w:cstheme="minorBidi"/>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olor w:val="000000" w:themeColor="text1"/>
                <w:kern w:val="2"/>
                <w:sz w:val="21"/>
                <w:szCs w:val="21"/>
                <w:highlight w:val="none"/>
                <w:lang w:eastAsia="zh-CN"/>
                <w14:textFill>
                  <w14:solidFill>
                    <w14:schemeClr w14:val="tx1"/>
                  </w14:solidFill>
                </w14:textFill>
              </w:rPr>
              <w:t>（</w:t>
            </w:r>
            <w:r>
              <w:rPr>
                <w:rFonts w:hint="eastAsia" w:ascii="宋体" w:hAnsi="宋体" w:eastAsia="宋体"/>
                <w:color w:val="000000" w:themeColor="text1"/>
                <w:kern w:val="2"/>
                <w:sz w:val="21"/>
                <w:szCs w:val="21"/>
                <w:highlight w:val="none"/>
                <w:lang w:val="en-US" w:eastAsia="zh-CN"/>
                <w14:textFill>
                  <w14:solidFill>
                    <w14:schemeClr w14:val="tx1"/>
                  </w14:solidFill>
                </w14:textFill>
              </w:rPr>
              <w:t>6</w:t>
            </w:r>
            <w:r>
              <w:rPr>
                <w:rFonts w:hint="eastAsia" w:ascii="宋体" w:hAnsi="宋体" w:eastAsia="宋体"/>
                <w:color w:val="000000" w:themeColor="text1"/>
                <w:kern w:val="2"/>
                <w:sz w:val="21"/>
                <w:szCs w:val="21"/>
                <w:highlight w:val="none"/>
                <w:lang w:eastAsia="zh-CN"/>
                <w14:textFill>
                  <w14:solidFill>
                    <w14:schemeClr w14:val="tx1"/>
                  </w14:solidFill>
                </w14:textFill>
              </w:rPr>
              <w:t>）提供针对本项目重点难点、到场进度及整体施工深化设计进行综合打分，方案完善、针对性强且重点突出得</w:t>
            </w:r>
            <w:r>
              <w:rPr>
                <w:rFonts w:hint="eastAsia" w:ascii="宋体" w:hAnsi="宋体" w:eastAsia="宋体"/>
                <w:color w:val="000000" w:themeColor="text1"/>
                <w:kern w:val="2"/>
                <w:sz w:val="21"/>
                <w:szCs w:val="21"/>
                <w:highlight w:val="none"/>
                <w:lang w:val="en-US" w:eastAsia="zh-CN"/>
                <w14:textFill>
                  <w14:solidFill>
                    <w14:schemeClr w14:val="tx1"/>
                  </w14:solidFill>
                </w14:textFill>
              </w:rPr>
              <w:t>6</w:t>
            </w:r>
            <w:r>
              <w:rPr>
                <w:rFonts w:hint="eastAsia" w:ascii="宋体" w:hAnsi="宋体" w:eastAsia="宋体"/>
                <w:color w:val="000000" w:themeColor="text1"/>
                <w:kern w:val="2"/>
                <w:sz w:val="21"/>
                <w:szCs w:val="21"/>
                <w:highlight w:val="none"/>
                <w:lang w:eastAsia="zh-CN"/>
                <w14:textFill>
                  <w14:solidFill>
                    <w14:schemeClr w14:val="tx1"/>
                  </w14:solidFill>
                </w14:textFill>
              </w:rPr>
              <w:t>分；方案较完善、针对性较强且重点基本满足得</w:t>
            </w:r>
            <w:r>
              <w:rPr>
                <w:rFonts w:hint="eastAsia" w:ascii="宋体" w:hAnsi="宋体"/>
                <w:color w:val="000000" w:themeColor="text1"/>
                <w:kern w:val="2"/>
                <w:sz w:val="21"/>
                <w:szCs w:val="21"/>
                <w:highlight w:val="none"/>
                <w:lang w:val="en-US" w:eastAsia="zh-CN"/>
                <w14:textFill>
                  <w14:solidFill>
                    <w14:schemeClr w14:val="tx1"/>
                  </w14:solidFill>
                </w14:textFill>
              </w:rPr>
              <w:t>4</w:t>
            </w:r>
            <w:r>
              <w:rPr>
                <w:rFonts w:hint="eastAsia" w:ascii="宋体" w:hAnsi="宋体" w:eastAsia="宋体"/>
                <w:color w:val="000000" w:themeColor="text1"/>
                <w:kern w:val="2"/>
                <w:sz w:val="21"/>
                <w:szCs w:val="21"/>
                <w:highlight w:val="none"/>
                <w:lang w:eastAsia="zh-CN"/>
                <w14:textFill>
                  <w14:solidFill>
                    <w14:schemeClr w14:val="tx1"/>
                  </w14:solidFill>
                </w14:textFill>
              </w:rPr>
              <w:t>分；方案一般、针对性一般得</w:t>
            </w:r>
            <w:r>
              <w:rPr>
                <w:rFonts w:hint="eastAsia" w:ascii="宋体" w:hAnsi="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olor w:val="000000" w:themeColor="text1"/>
                <w:kern w:val="2"/>
                <w:sz w:val="21"/>
                <w:szCs w:val="21"/>
                <w:highlight w:val="none"/>
                <w:lang w:eastAsia="zh-CN"/>
                <w14:textFill>
                  <w14:solidFill>
                    <w14:schemeClr w14:val="tx1"/>
                  </w14:solidFill>
                </w14:textFill>
              </w:rPr>
              <w:t>分；方案内容缺少得</w:t>
            </w:r>
            <w:r>
              <w:rPr>
                <w:rFonts w:hint="eastAsia" w:ascii="宋体" w:hAnsi="宋体"/>
                <w:color w:val="000000" w:themeColor="text1"/>
                <w:kern w:val="2"/>
                <w:sz w:val="21"/>
                <w:szCs w:val="21"/>
                <w:highlight w:val="none"/>
                <w:lang w:val="en-US" w:eastAsia="zh-CN"/>
                <w14:textFill>
                  <w14:solidFill>
                    <w14:schemeClr w14:val="tx1"/>
                  </w14:solidFill>
                </w14:textFill>
              </w:rPr>
              <w:t>1</w:t>
            </w:r>
            <w:r>
              <w:rPr>
                <w:rFonts w:hint="eastAsia" w:ascii="宋体" w:hAnsi="宋体" w:eastAsia="宋体"/>
                <w:color w:val="000000" w:themeColor="text1"/>
                <w:kern w:val="2"/>
                <w:sz w:val="21"/>
                <w:szCs w:val="21"/>
                <w:highlight w:val="none"/>
                <w:lang w:eastAsia="zh-CN"/>
                <w14:textFill>
                  <w14:solidFill>
                    <w14:schemeClr w14:val="tx1"/>
                  </w14:solidFill>
                </w14:textFill>
              </w:rPr>
              <w:t>分，未提供不得分；</w:t>
            </w:r>
          </w:p>
        </w:tc>
      </w:tr>
      <w:tr w14:paraId="7ECC42CE">
        <w:tblPrEx>
          <w:tblCellMar>
            <w:top w:w="0" w:type="dxa"/>
            <w:left w:w="108" w:type="dxa"/>
            <w:bottom w:w="0" w:type="dxa"/>
            <w:right w:w="108" w:type="dxa"/>
          </w:tblCellMar>
        </w:tblPrEx>
        <w:trPr>
          <w:trHeight w:val="1648"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CF02">
            <w:pPr>
              <w:spacing w:line="276" w:lineRule="auto"/>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1B99">
            <w:pPr>
              <w:spacing w:line="276"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业绩（</w:t>
            </w:r>
            <w:r>
              <w:rPr>
                <w:rFonts w:hint="eastAsia" w:ascii="宋体" w:hAnsi="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7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14B61">
            <w:pPr>
              <w:widowControl/>
              <w:spacing w:line="360" w:lineRule="auto"/>
              <w:jc w:val="both"/>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olor w:val="000000" w:themeColor="text1"/>
                <w:kern w:val="2"/>
                <w:sz w:val="21"/>
                <w:szCs w:val="21"/>
                <w:highlight w:val="none"/>
                <w:lang w:eastAsia="zh-CN"/>
                <w14:textFill>
                  <w14:solidFill>
                    <w14:schemeClr w14:val="tx1"/>
                  </w14:solidFill>
                </w14:textFill>
              </w:rPr>
              <w:t>供应商具有自20</w:t>
            </w:r>
            <w:r>
              <w:rPr>
                <w:rFonts w:hint="eastAsia" w:ascii="宋体" w:hAnsi="宋体" w:eastAsia="宋体"/>
                <w:color w:val="000000" w:themeColor="text1"/>
                <w:kern w:val="2"/>
                <w:sz w:val="21"/>
                <w:szCs w:val="21"/>
                <w:highlight w:val="none"/>
                <w:lang w:val="en-US" w:eastAsia="zh-CN"/>
                <w14:textFill>
                  <w14:solidFill>
                    <w14:schemeClr w14:val="tx1"/>
                  </w14:solidFill>
                </w14:textFill>
              </w:rPr>
              <w:t>22</w:t>
            </w:r>
            <w:r>
              <w:rPr>
                <w:rFonts w:hint="eastAsia" w:ascii="宋体" w:hAnsi="宋体" w:eastAsia="宋体"/>
                <w:color w:val="000000" w:themeColor="text1"/>
                <w:kern w:val="2"/>
                <w:sz w:val="21"/>
                <w:szCs w:val="21"/>
                <w:highlight w:val="none"/>
                <w:lang w:eastAsia="zh-CN"/>
                <w14:textFill>
                  <w14:solidFill>
                    <w14:schemeClr w14:val="tx1"/>
                  </w14:solidFill>
                </w14:textFill>
              </w:rPr>
              <w:t>年</w:t>
            </w:r>
            <w:r>
              <w:rPr>
                <w:rFonts w:hint="eastAsia" w:ascii="宋体" w:hAnsi="宋体" w:eastAsia="宋体"/>
                <w:color w:val="000000" w:themeColor="text1"/>
                <w:kern w:val="2"/>
                <w:sz w:val="21"/>
                <w:szCs w:val="21"/>
                <w:highlight w:val="none"/>
                <w:lang w:val="en-US" w:eastAsia="zh-CN"/>
                <w14:textFill>
                  <w14:solidFill>
                    <w14:schemeClr w14:val="tx1"/>
                  </w14:solidFill>
                </w14:textFill>
              </w:rPr>
              <w:t>1</w:t>
            </w:r>
            <w:r>
              <w:rPr>
                <w:rFonts w:hint="eastAsia" w:ascii="宋体" w:hAnsi="宋体" w:eastAsia="宋体"/>
                <w:color w:val="000000" w:themeColor="text1"/>
                <w:kern w:val="2"/>
                <w:sz w:val="21"/>
                <w:szCs w:val="21"/>
                <w:highlight w:val="none"/>
                <w:lang w:eastAsia="zh-CN"/>
                <w14:textFill>
                  <w14:solidFill>
                    <w14:schemeClr w14:val="tx1"/>
                  </w14:solidFill>
                </w14:textFill>
              </w:rPr>
              <w:t>月1日以来承接过</w:t>
            </w:r>
            <w:r>
              <w:rPr>
                <w:rFonts w:hint="eastAsia" w:ascii="宋体" w:hAnsi="宋体" w:eastAsia="宋体"/>
                <w:color w:val="000000" w:themeColor="text1"/>
                <w:kern w:val="2"/>
                <w:sz w:val="21"/>
                <w:szCs w:val="21"/>
                <w:highlight w:val="none"/>
                <w:lang w:val="en-US" w:eastAsia="zh-CN"/>
                <w14:textFill>
                  <w14:solidFill>
                    <w14:schemeClr w14:val="tx1"/>
                  </w14:solidFill>
                </w14:textFill>
              </w:rPr>
              <w:t>类似工程</w:t>
            </w:r>
            <w:r>
              <w:rPr>
                <w:rFonts w:hint="eastAsia" w:ascii="宋体" w:hAnsi="宋体"/>
                <w:color w:val="000000" w:themeColor="text1"/>
                <w:kern w:val="2"/>
                <w:sz w:val="21"/>
                <w:szCs w:val="21"/>
                <w:highlight w:val="none"/>
                <w:lang w:val="en-US" w:eastAsia="zh-CN"/>
                <w14:textFill>
                  <w14:solidFill>
                    <w14:schemeClr w14:val="tx1"/>
                  </w14:solidFill>
                </w14:textFill>
              </w:rPr>
              <w:t>业</w:t>
            </w:r>
            <w:r>
              <w:rPr>
                <w:rFonts w:hint="eastAsia" w:ascii="宋体" w:hAnsi="宋体" w:eastAsia="宋体"/>
                <w:color w:val="000000" w:themeColor="text1"/>
                <w:kern w:val="2"/>
                <w:sz w:val="21"/>
                <w:szCs w:val="21"/>
                <w:highlight w:val="none"/>
                <w:lang w:eastAsia="zh-CN"/>
                <w14:textFill>
                  <w14:solidFill>
                    <w14:schemeClr w14:val="tx1"/>
                  </w14:solidFill>
                </w14:textFill>
              </w:rPr>
              <w:t>绩（以合同签订时间为准）</w:t>
            </w:r>
            <w:r>
              <w:rPr>
                <w:rFonts w:hint="eastAsia" w:ascii="宋体" w:hAnsi="宋体" w:eastAsia="宋体"/>
                <w:color w:val="000000" w:themeColor="text1"/>
                <w:kern w:val="2"/>
                <w:sz w:val="21"/>
                <w:szCs w:val="21"/>
                <w:highlight w:val="none"/>
                <w:lang w:val="en-US" w:eastAsia="zh-CN"/>
                <w14:textFill>
                  <w14:solidFill>
                    <w14:schemeClr w14:val="tx1"/>
                  </w14:solidFill>
                </w14:textFill>
              </w:rPr>
              <w:t>，每提供一个业绩得5分，最多得15分。（业绩证明材料须提供合同以及竣工验收证明复印件并加盖供应商公章，未提供或未按要求提供有效的证明文件的此项不得分。）</w:t>
            </w:r>
          </w:p>
        </w:tc>
      </w:tr>
    </w:tbl>
    <w:p w14:paraId="570D3698">
      <w:pPr>
        <w:pStyle w:val="44"/>
        <w:jc w:val="both"/>
        <w:rPr>
          <w:rStyle w:val="54"/>
          <w:rFonts w:ascii="宋体" w:hAnsi="宋体" w:eastAsia="宋体" w:cs="宋体"/>
          <w:b/>
          <w:color w:val="000000" w:themeColor="text1"/>
          <w:sz w:val="44"/>
          <w:highlight w:val="none"/>
          <w14:textFill>
            <w14:solidFill>
              <w14:schemeClr w14:val="tx1"/>
            </w14:solidFill>
          </w14:textFill>
        </w:rPr>
      </w:pPr>
    </w:p>
    <w:p w14:paraId="768115A8">
      <w:pPr>
        <w:rPr>
          <w:rStyle w:val="54"/>
          <w:rFonts w:ascii="宋体" w:hAnsi="宋体" w:cs="宋体"/>
          <w:b/>
          <w:color w:val="000000" w:themeColor="text1"/>
          <w:sz w:val="44"/>
          <w:highlight w:val="none"/>
          <w14:textFill>
            <w14:solidFill>
              <w14:schemeClr w14:val="tx1"/>
            </w14:solidFill>
          </w14:textFill>
        </w:rPr>
      </w:pPr>
      <w:bookmarkStart w:id="11" w:name="_Toc20541"/>
      <w:r>
        <w:rPr>
          <w:rStyle w:val="54"/>
          <w:rFonts w:hint="eastAsia" w:ascii="宋体" w:hAnsi="宋体" w:cs="宋体"/>
          <w:b/>
          <w:color w:val="000000" w:themeColor="text1"/>
          <w:sz w:val="44"/>
          <w:highlight w:val="none"/>
          <w14:textFill>
            <w14:solidFill>
              <w14:schemeClr w14:val="tx1"/>
            </w14:solidFill>
          </w14:textFill>
        </w:rPr>
        <w:br w:type="page"/>
      </w:r>
      <w:r>
        <w:rPr>
          <w:rStyle w:val="54"/>
          <w:rFonts w:hint="eastAsia" w:ascii="宋体" w:hAnsi="宋体" w:cs="宋体"/>
          <w:b/>
          <w:color w:val="000000" w:themeColor="text1"/>
          <w:sz w:val="44"/>
          <w:highlight w:val="none"/>
          <w14:textFill>
            <w14:solidFill>
              <w14:schemeClr w14:val="tx1"/>
            </w14:solidFill>
          </w14:textFill>
        </w:rPr>
        <w:t>第六章  投标文件格式</w:t>
      </w:r>
      <w:bookmarkEnd w:id="11"/>
    </w:p>
    <w:p w14:paraId="6CA421F8">
      <w:pPr>
        <w:pStyle w:val="15"/>
        <w:adjustRightInd w:val="0"/>
        <w:snapToGrid w:val="0"/>
        <w:jc w:val="left"/>
        <w:rPr>
          <w:rFonts w:hAnsi="宋体" w:cs="宋体"/>
          <w:color w:val="000000" w:themeColor="text1"/>
          <w:kern w:val="0"/>
          <w:sz w:val="24"/>
          <w:szCs w:val="24"/>
          <w:highlight w:val="none"/>
          <w:shd w:val="clear" w:color="auto" w:fill="FFFFFF"/>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一号、二号标书封袋以及一号标书封面格式</w:t>
      </w:r>
      <w:r>
        <w:rPr>
          <w:rFonts w:hint="eastAsia" w:hAnsi="宋体" w:cs="宋体"/>
          <w:color w:val="000000" w:themeColor="text1"/>
          <w:kern w:val="0"/>
          <w:sz w:val="24"/>
          <w:szCs w:val="24"/>
          <w:highlight w:val="none"/>
          <w:shd w:val="clear" w:color="auto" w:fill="FFFFFF"/>
          <w14:textFill>
            <w14:solidFill>
              <w14:schemeClr w14:val="tx1"/>
            </w14:solidFill>
          </w14:textFill>
        </w:rPr>
        <w:t>（该行文字投标人自行删除）</w:t>
      </w:r>
    </w:p>
    <w:p w14:paraId="2E32DCFF">
      <w:pPr>
        <w:jc w:val="right"/>
        <w:rPr>
          <w:rStyle w:val="54"/>
          <w:rFonts w:ascii="宋体" w:hAnsi="宋体" w:cs="宋体"/>
          <w:b/>
          <w:color w:val="000000" w:themeColor="text1"/>
          <w:sz w:val="72"/>
          <w:highlight w:val="none"/>
          <w14:textFill>
            <w14:solidFill>
              <w14:schemeClr w14:val="tx1"/>
            </w14:solidFill>
          </w14:textFill>
        </w:rPr>
      </w:pPr>
      <w:r>
        <w:rPr>
          <w:rStyle w:val="54"/>
          <w:rFonts w:hint="eastAsia" w:ascii="宋体" w:hAnsi="宋体" w:cs="宋体"/>
          <w:b/>
          <w:color w:val="000000" w:themeColor="text1"/>
          <w:sz w:val="72"/>
          <w:highlight w:val="none"/>
          <w14:textFill>
            <w14:solidFill>
              <w14:schemeClr w14:val="tx1"/>
            </w14:solidFill>
          </w14:textFill>
        </w:rPr>
        <w:t xml:space="preserve">    </w:t>
      </w:r>
    </w:p>
    <w:p w14:paraId="29E5FC53">
      <w:pPr>
        <w:jc w:val="right"/>
        <w:rPr>
          <w:rStyle w:val="54"/>
          <w:rFonts w:ascii="宋体" w:hAnsi="宋体" w:cs="宋体"/>
          <w:b/>
          <w:color w:val="000000" w:themeColor="text1"/>
          <w:sz w:val="72"/>
          <w:highlight w:val="none"/>
          <w14:textFill>
            <w14:solidFill>
              <w14:schemeClr w14:val="tx1"/>
            </w14:solidFill>
          </w14:textFill>
        </w:rPr>
      </w:pPr>
      <w:r>
        <w:rPr>
          <w:rStyle w:val="54"/>
          <w:rFonts w:hint="eastAsia" w:ascii="宋体" w:hAnsi="宋体" w:cs="宋体"/>
          <w:b/>
          <w:color w:val="000000" w:themeColor="text1"/>
          <w:sz w:val="72"/>
          <w:highlight w:val="none"/>
          <w14:textFill>
            <w14:solidFill>
              <w14:schemeClr w14:val="tx1"/>
            </w14:solidFill>
          </w14:textFill>
        </w:rPr>
        <w:t xml:space="preserve"> </w:t>
      </w:r>
      <w:r>
        <w:rPr>
          <w:rStyle w:val="54"/>
          <w:rFonts w:hint="eastAsia" w:ascii="宋体" w:hAnsi="宋体" w:cs="宋体"/>
          <w:b/>
          <w:color w:val="000000" w:themeColor="text1"/>
          <w:sz w:val="36"/>
          <w:highlight w:val="none"/>
          <w:u w:val="single"/>
          <w14:textFill>
            <w14:solidFill>
              <w14:schemeClr w14:val="tx1"/>
            </w14:solidFill>
          </w14:textFill>
        </w:rPr>
        <w:t xml:space="preserve">    </w:t>
      </w:r>
      <w:r>
        <w:rPr>
          <w:rStyle w:val="54"/>
          <w:rFonts w:hint="eastAsia" w:ascii="宋体" w:hAnsi="宋体" w:cs="宋体"/>
          <w:b/>
          <w:color w:val="000000" w:themeColor="text1"/>
          <w:sz w:val="36"/>
          <w:highlight w:val="none"/>
          <w14:textFill>
            <w14:solidFill>
              <w14:schemeClr w14:val="tx1"/>
            </w14:solidFill>
          </w14:textFill>
        </w:rPr>
        <w:t>本</w:t>
      </w:r>
      <w:r>
        <w:rPr>
          <w:rStyle w:val="54"/>
          <w:rFonts w:hint="eastAsia" w:ascii="宋体" w:hAnsi="宋体" w:cs="宋体"/>
          <w:b/>
          <w:color w:val="000000" w:themeColor="text1"/>
          <w:sz w:val="72"/>
          <w:highlight w:val="none"/>
          <w14:textFill>
            <w14:solidFill>
              <w14:schemeClr w14:val="tx1"/>
            </w14:solidFill>
          </w14:textFill>
        </w:rPr>
        <w:t xml:space="preserve">        </w:t>
      </w:r>
    </w:p>
    <w:p w14:paraId="64A00833">
      <w:pPr>
        <w:jc w:val="center"/>
        <w:rPr>
          <w:rStyle w:val="54"/>
          <w:rFonts w:ascii="宋体" w:hAnsi="宋体" w:cs="宋体"/>
          <w:b/>
          <w:color w:val="000000" w:themeColor="text1"/>
          <w:sz w:val="72"/>
          <w:highlight w:val="none"/>
          <w14:textFill>
            <w14:solidFill>
              <w14:schemeClr w14:val="tx1"/>
            </w14:solidFill>
          </w14:textFill>
        </w:rPr>
      </w:pPr>
      <w:r>
        <w:rPr>
          <w:rStyle w:val="54"/>
          <w:rFonts w:hint="eastAsia" w:ascii="宋体" w:hAnsi="宋体" w:cs="宋体"/>
          <w:b/>
          <w:color w:val="000000" w:themeColor="text1"/>
          <w:sz w:val="72"/>
          <w:highlight w:val="none"/>
          <w14:textFill>
            <w14:solidFill>
              <w14:schemeClr w14:val="tx1"/>
            </w14:solidFill>
          </w14:textFill>
        </w:rPr>
        <w:t xml:space="preserve">                         </w:t>
      </w:r>
    </w:p>
    <w:p w14:paraId="1903FB29">
      <w:pPr>
        <w:jc w:val="center"/>
        <w:outlineLvl w:val="0"/>
        <w:rPr>
          <w:rStyle w:val="54"/>
          <w:rFonts w:ascii="宋体" w:hAnsi="宋体" w:cs="宋体"/>
          <w:b/>
          <w:color w:val="000000" w:themeColor="text1"/>
          <w:sz w:val="72"/>
          <w:highlight w:val="none"/>
          <w14:textFill>
            <w14:solidFill>
              <w14:schemeClr w14:val="tx1"/>
            </w14:solidFill>
          </w14:textFill>
        </w:rPr>
      </w:pPr>
      <w:bookmarkStart w:id="12" w:name="_Toc26413"/>
    </w:p>
    <w:p w14:paraId="3874A77C">
      <w:pPr>
        <w:jc w:val="center"/>
        <w:outlineLvl w:val="0"/>
        <w:rPr>
          <w:rStyle w:val="54"/>
          <w:rFonts w:ascii="宋体" w:hAnsi="宋体" w:cs="宋体"/>
          <w:b/>
          <w:color w:val="000000" w:themeColor="text1"/>
          <w:sz w:val="72"/>
          <w:highlight w:val="none"/>
          <w14:textFill>
            <w14:solidFill>
              <w14:schemeClr w14:val="tx1"/>
            </w14:solidFill>
          </w14:textFill>
        </w:rPr>
      </w:pPr>
      <w:r>
        <w:rPr>
          <w:rStyle w:val="54"/>
          <w:rFonts w:hint="eastAsia" w:ascii="宋体" w:hAnsi="宋体" w:cs="宋体"/>
          <w:b/>
          <w:color w:val="000000" w:themeColor="text1"/>
          <w:sz w:val="72"/>
          <w:highlight w:val="none"/>
          <w14:textFill>
            <w14:solidFill>
              <w14:schemeClr w14:val="tx1"/>
            </w14:solidFill>
          </w14:textFill>
        </w:rPr>
        <w:t>投  标  文  件</w:t>
      </w:r>
      <w:bookmarkEnd w:id="12"/>
    </w:p>
    <w:p w14:paraId="7009261D">
      <w:pPr>
        <w:jc w:val="center"/>
        <w:outlineLvl w:val="0"/>
        <w:rPr>
          <w:rStyle w:val="54"/>
          <w:rFonts w:ascii="宋体" w:hAnsi="宋体" w:cs="宋体"/>
          <w:b/>
          <w:color w:val="000000" w:themeColor="text1"/>
          <w:sz w:val="72"/>
          <w:highlight w:val="none"/>
          <w14:textFill>
            <w14:solidFill>
              <w14:schemeClr w14:val="tx1"/>
            </w14:solidFill>
          </w14:textFill>
        </w:rPr>
      </w:pPr>
      <w:bookmarkStart w:id="13" w:name="_Toc17655"/>
      <w:r>
        <w:rPr>
          <w:rStyle w:val="54"/>
          <w:rFonts w:hint="eastAsia" w:ascii="宋体" w:hAnsi="宋体" w:cs="宋体"/>
          <w:b/>
          <w:color w:val="000000" w:themeColor="text1"/>
          <w:sz w:val="36"/>
          <w:highlight w:val="none"/>
          <w14:textFill>
            <w14:solidFill>
              <w14:schemeClr w14:val="tx1"/>
            </w14:solidFill>
          </w14:textFill>
        </w:rPr>
        <w:t>（</w:t>
      </w:r>
      <w:r>
        <w:rPr>
          <w:rStyle w:val="54"/>
          <w:rFonts w:hint="eastAsia" w:ascii="宋体" w:hAnsi="宋体" w:cs="宋体"/>
          <w:b/>
          <w:color w:val="000000" w:themeColor="text1"/>
          <w:sz w:val="36"/>
          <w:highlight w:val="none"/>
          <w:u w:val="single"/>
          <w14:textFill>
            <w14:solidFill>
              <w14:schemeClr w14:val="tx1"/>
            </w14:solidFill>
          </w14:textFill>
        </w:rPr>
        <w:t xml:space="preserve">    </w:t>
      </w:r>
      <w:r>
        <w:rPr>
          <w:rStyle w:val="54"/>
          <w:rFonts w:hint="eastAsia" w:ascii="宋体" w:hAnsi="宋体" w:cs="宋体"/>
          <w:b/>
          <w:color w:val="000000" w:themeColor="text1"/>
          <w:sz w:val="36"/>
          <w:highlight w:val="none"/>
          <w14:textFill>
            <w14:solidFill>
              <w14:schemeClr w14:val="tx1"/>
            </w14:solidFill>
          </w14:textFill>
        </w:rPr>
        <w:t>号标书）</w:t>
      </w:r>
      <w:bookmarkEnd w:id="13"/>
    </w:p>
    <w:p w14:paraId="31DBF688">
      <w:pPr>
        <w:jc w:val="center"/>
        <w:rPr>
          <w:rStyle w:val="54"/>
          <w:rFonts w:ascii="宋体" w:hAnsi="宋体" w:cs="宋体"/>
          <w:b/>
          <w:color w:val="000000" w:themeColor="text1"/>
          <w:sz w:val="72"/>
          <w:highlight w:val="none"/>
          <w14:textFill>
            <w14:solidFill>
              <w14:schemeClr w14:val="tx1"/>
            </w14:solidFill>
          </w14:textFill>
        </w:rPr>
      </w:pPr>
    </w:p>
    <w:p w14:paraId="76D4ACED">
      <w:pPr>
        <w:jc w:val="center"/>
        <w:rPr>
          <w:rStyle w:val="54"/>
          <w:rFonts w:ascii="宋体" w:hAnsi="宋体" w:cs="宋体"/>
          <w:b/>
          <w:color w:val="000000" w:themeColor="text1"/>
          <w:sz w:val="72"/>
          <w:highlight w:val="none"/>
          <w14:textFill>
            <w14:solidFill>
              <w14:schemeClr w14:val="tx1"/>
            </w14:solidFill>
          </w14:textFill>
        </w:rPr>
      </w:pPr>
    </w:p>
    <w:p w14:paraId="4B83F27C">
      <w:pPr>
        <w:jc w:val="center"/>
        <w:rPr>
          <w:rStyle w:val="54"/>
          <w:rFonts w:ascii="宋体" w:hAnsi="宋体" w:cs="宋体"/>
          <w:b/>
          <w:color w:val="000000" w:themeColor="text1"/>
          <w:sz w:val="36"/>
          <w:highlight w:val="none"/>
          <w14:textFill>
            <w14:solidFill>
              <w14:schemeClr w14:val="tx1"/>
            </w14:solidFill>
          </w14:textFill>
        </w:rPr>
      </w:pPr>
    </w:p>
    <w:p w14:paraId="54B11D07">
      <w:pPr>
        <w:jc w:val="center"/>
        <w:rPr>
          <w:rStyle w:val="54"/>
          <w:rFonts w:ascii="宋体" w:hAnsi="宋体" w:cs="宋体"/>
          <w:b/>
          <w:color w:val="000000" w:themeColor="text1"/>
          <w:sz w:val="36"/>
          <w:highlight w:val="none"/>
          <w14:textFill>
            <w14:solidFill>
              <w14:schemeClr w14:val="tx1"/>
            </w14:solidFill>
          </w14:textFill>
        </w:rPr>
      </w:pPr>
    </w:p>
    <w:p w14:paraId="44321924">
      <w:pPr>
        <w:jc w:val="center"/>
        <w:rPr>
          <w:rStyle w:val="54"/>
          <w:rFonts w:ascii="宋体" w:hAnsi="宋体" w:cs="宋体"/>
          <w:b/>
          <w:color w:val="000000" w:themeColor="text1"/>
          <w:sz w:val="36"/>
          <w:highlight w:val="none"/>
          <w14:textFill>
            <w14:solidFill>
              <w14:schemeClr w14:val="tx1"/>
            </w14:solidFill>
          </w14:textFill>
        </w:rPr>
      </w:pPr>
    </w:p>
    <w:p w14:paraId="594D919F">
      <w:pPr>
        <w:ind w:firstLine="1084" w:firstLineChars="300"/>
        <w:outlineLvl w:val="0"/>
        <w:rPr>
          <w:rStyle w:val="54"/>
          <w:rFonts w:ascii="宋体" w:hAnsi="宋体" w:cs="宋体"/>
          <w:b/>
          <w:color w:val="000000" w:themeColor="text1"/>
          <w:sz w:val="36"/>
          <w:highlight w:val="none"/>
          <w14:textFill>
            <w14:solidFill>
              <w14:schemeClr w14:val="tx1"/>
            </w14:solidFill>
          </w14:textFill>
        </w:rPr>
      </w:pPr>
      <w:bookmarkStart w:id="14" w:name="_Toc8567"/>
      <w:r>
        <w:rPr>
          <w:rStyle w:val="54"/>
          <w:rFonts w:hint="eastAsia" w:ascii="宋体" w:hAnsi="宋体" w:cs="宋体"/>
          <w:b/>
          <w:color w:val="000000" w:themeColor="text1"/>
          <w:sz w:val="36"/>
          <w:highlight w:val="none"/>
          <w14:textFill>
            <w14:solidFill>
              <w14:schemeClr w14:val="tx1"/>
            </w14:solidFill>
          </w14:textFill>
        </w:rPr>
        <w:t>项 目 名 称：</w:t>
      </w:r>
      <w:bookmarkEnd w:id="14"/>
    </w:p>
    <w:p w14:paraId="6801C11D">
      <w:pPr>
        <w:ind w:firstLine="1084" w:firstLineChars="300"/>
        <w:outlineLvl w:val="0"/>
        <w:rPr>
          <w:rStyle w:val="54"/>
          <w:rFonts w:ascii="宋体" w:hAnsi="宋体" w:cs="宋体"/>
          <w:b/>
          <w:color w:val="000000" w:themeColor="text1"/>
          <w:sz w:val="36"/>
          <w:highlight w:val="none"/>
          <w:u w:val="single" w:color="000000"/>
          <w14:textFill>
            <w14:solidFill>
              <w14:schemeClr w14:val="tx1"/>
            </w14:solidFill>
          </w14:textFill>
        </w:rPr>
      </w:pPr>
      <w:bookmarkStart w:id="15" w:name="_Toc20815"/>
      <w:r>
        <w:rPr>
          <w:rStyle w:val="54"/>
          <w:rFonts w:hint="eastAsia" w:ascii="宋体" w:hAnsi="宋体" w:cs="宋体"/>
          <w:b/>
          <w:color w:val="000000" w:themeColor="text1"/>
          <w:sz w:val="36"/>
          <w:highlight w:val="none"/>
          <w14:textFill>
            <w14:solidFill>
              <w14:schemeClr w14:val="tx1"/>
            </w14:solidFill>
          </w14:textFill>
        </w:rPr>
        <w:t>招 标 编 号：</w:t>
      </w:r>
      <w:bookmarkEnd w:id="15"/>
    </w:p>
    <w:p w14:paraId="012E4461">
      <w:pPr>
        <w:ind w:firstLine="1084" w:firstLineChars="300"/>
        <w:outlineLvl w:val="0"/>
        <w:rPr>
          <w:rStyle w:val="54"/>
          <w:rFonts w:ascii="宋体" w:hAnsi="宋体" w:cs="宋体"/>
          <w:b/>
          <w:color w:val="000000" w:themeColor="text1"/>
          <w:sz w:val="36"/>
          <w:highlight w:val="none"/>
          <w:u w:val="single" w:color="000000"/>
          <w14:textFill>
            <w14:solidFill>
              <w14:schemeClr w14:val="tx1"/>
            </w14:solidFill>
          </w14:textFill>
        </w:rPr>
      </w:pPr>
      <w:bookmarkStart w:id="16" w:name="_Toc15597"/>
      <w:r>
        <w:rPr>
          <w:rStyle w:val="54"/>
          <w:rFonts w:hint="eastAsia" w:ascii="宋体" w:hAnsi="宋体" w:cs="宋体"/>
          <w:b/>
          <w:color w:val="000000" w:themeColor="text1"/>
          <w:sz w:val="36"/>
          <w:highlight w:val="none"/>
          <w14:textFill>
            <w14:solidFill>
              <w14:schemeClr w14:val="tx1"/>
            </w14:solidFill>
          </w14:textFill>
        </w:rPr>
        <w:t>投标人名称 ：</w:t>
      </w:r>
      <w:bookmarkEnd w:id="16"/>
    </w:p>
    <w:p w14:paraId="41B90F64">
      <w:pPr>
        <w:ind w:firstLine="1084" w:firstLineChars="300"/>
        <w:outlineLvl w:val="0"/>
        <w:rPr>
          <w:rStyle w:val="54"/>
          <w:rFonts w:ascii="宋体" w:hAnsi="宋体" w:cs="宋体"/>
          <w:b/>
          <w:color w:val="000000" w:themeColor="text1"/>
          <w:sz w:val="36"/>
          <w:highlight w:val="none"/>
          <w14:textFill>
            <w14:solidFill>
              <w14:schemeClr w14:val="tx1"/>
            </w14:solidFill>
          </w14:textFill>
        </w:rPr>
      </w:pPr>
      <w:bookmarkStart w:id="17" w:name="_Toc26387"/>
      <w:r>
        <w:rPr>
          <w:rStyle w:val="54"/>
          <w:rFonts w:hint="eastAsia" w:ascii="宋体" w:hAnsi="宋体" w:cs="宋体"/>
          <w:b/>
          <w:color w:val="000000" w:themeColor="text1"/>
          <w:sz w:val="36"/>
          <w:highlight w:val="none"/>
          <w14:textFill>
            <w14:solidFill>
              <w14:schemeClr w14:val="tx1"/>
            </w14:solidFill>
          </w14:textFill>
        </w:rPr>
        <w:t>日      期 ：</w:t>
      </w:r>
      <w:bookmarkEnd w:id="17"/>
    </w:p>
    <w:p w14:paraId="6E41F9A2">
      <w:pPr>
        <w:spacing w:line="440" w:lineRule="exact"/>
        <w:jc w:val="center"/>
        <w:rPr>
          <w:rStyle w:val="54"/>
          <w:rFonts w:ascii="宋体" w:hAnsi="宋体" w:cs="宋体"/>
          <w:b/>
          <w:bCs/>
          <w:color w:val="000000" w:themeColor="text1"/>
          <w:sz w:val="32"/>
          <w:szCs w:val="32"/>
          <w:highlight w:val="none"/>
          <w14:textFill>
            <w14:solidFill>
              <w14:schemeClr w14:val="tx1"/>
            </w14:solidFill>
          </w14:textFill>
        </w:rPr>
      </w:pPr>
    </w:p>
    <w:p w14:paraId="35EB474C">
      <w:pPr>
        <w:spacing w:line="440" w:lineRule="exact"/>
        <w:ind w:firstLine="480" w:firstLineChars="200"/>
        <w:rPr>
          <w:rStyle w:val="54"/>
          <w:rFonts w:ascii="宋体" w:hAnsi="宋体" w:cs="宋体"/>
          <w:color w:val="000000" w:themeColor="text1"/>
          <w:sz w:val="24"/>
          <w:highlight w:val="none"/>
          <w14:textFill>
            <w14:solidFill>
              <w14:schemeClr w14:val="tx1"/>
            </w14:solidFill>
          </w14:textFill>
        </w:rPr>
      </w:pPr>
    </w:p>
    <w:p w14:paraId="147B21DC">
      <w:pPr>
        <w:spacing w:line="440" w:lineRule="exact"/>
        <w:ind w:firstLine="480" w:firstLineChars="200"/>
        <w:rPr>
          <w:rStyle w:val="54"/>
          <w:rFonts w:ascii="宋体" w:hAnsi="宋体" w:cs="宋体"/>
          <w:color w:val="000000" w:themeColor="text1"/>
          <w:sz w:val="24"/>
          <w:highlight w:val="none"/>
          <w14:textFill>
            <w14:solidFill>
              <w14:schemeClr w14:val="tx1"/>
            </w14:solidFill>
          </w14:textFill>
        </w:rPr>
      </w:pPr>
    </w:p>
    <w:p w14:paraId="4948EA66">
      <w:pPr>
        <w:spacing w:line="440" w:lineRule="exact"/>
        <w:rPr>
          <w:rStyle w:val="54"/>
          <w:rFonts w:ascii="宋体" w:hAnsi="宋体" w:cs="宋体"/>
          <w:color w:val="000000" w:themeColor="text1"/>
          <w:sz w:val="24"/>
          <w:highlight w:val="none"/>
          <w14:textFill>
            <w14:solidFill>
              <w14:schemeClr w14:val="tx1"/>
            </w14:solidFill>
          </w14:textFill>
        </w:rPr>
      </w:pPr>
    </w:p>
    <w:p w14:paraId="5664541E">
      <w:pPr>
        <w:rPr>
          <w:rFonts w:ascii="宋体" w:hAnsi="宋体" w:cs="宋体"/>
          <w:b/>
          <w:color w:val="000000" w:themeColor="text1"/>
          <w:sz w:val="30"/>
          <w:szCs w:val="30"/>
          <w:highlight w:val="none"/>
          <w14:textFill>
            <w14:solidFill>
              <w14:schemeClr w14:val="tx1"/>
            </w14:solidFill>
          </w14:textFill>
        </w:rPr>
      </w:pPr>
      <w:bookmarkStart w:id="18" w:name="_Toc17998"/>
      <w:r>
        <w:rPr>
          <w:rFonts w:ascii="宋体" w:hAnsi="宋体" w:cs="宋体"/>
          <w:b/>
          <w:color w:val="000000" w:themeColor="text1"/>
          <w:sz w:val="30"/>
          <w:szCs w:val="30"/>
          <w:highlight w:val="none"/>
          <w14:textFill>
            <w14:solidFill>
              <w14:schemeClr w14:val="tx1"/>
            </w14:solidFill>
          </w14:textFill>
        </w:rPr>
        <w:br w:type="page"/>
      </w:r>
    </w:p>
    <w:p w14:paraId="0472E41F">
      <w:pPr>
        <w:spacing w:line="480" w:lineRule="exact"/>
        <w:rPr>
          <w:rFonts w:ascii="宋体" w:hAnsi="宋体" w:cs="宋体"/>
          <w:color w:val="000000" w:themeColor="text1"/>
          <w:kern w:val="0"/>
          <w:sz w:val="24"/>
          <w:highlight w:val="none"/>
          <w:shd w:val="clear" w:color="auto" w:fill="FFFFFF"/>
          <w14:textFill>
            <w14:solidFill>
              <w14:schemeClr w14:val="tx1"/>
            </w14:solidFill>
          </w14:textFill>
        </w:rPr>
      </w:pPr>
      <w:r>
        <w:rPr>
          <w:rFonts w:hint="eastAsia" w:ascii="宋体" w:hAnsi="宋体" w:cs="宋体"/>
          <w:color w:val="000000" w:themeColor="text1"/>
          <w:kern w:val="0"/>
          <w:sz w:val="24"/>
          <w:highlight w:val="none"/>
          <w:shd w:val="clear" w:color="auto" w:fill="FFFFFF"/>
          <w14:textFill>
            <w14:solidFill>
              <w14:schemeClr w14:val="tx1"/>
            </w14:solidFill>
          </w14:textFill>
        </w:rPr>
        <w:t>二号封面：</w:t>
      </w:r>
    </w:p>
    <w:p w14:paraId="5A8C324E">
      <w:pPr>
        <w:ind w:firstLine="560" w:firstLineChars="200"/>
        <w:rPr>
          <w:rFonts w:ascii="宋体" w:hAnsi="宋体" w:cs="宋体"/>
          <w:color w:val="000000" w:themeColor="text1"/>
          <w:sz w:val="28"/>
          <w:szCs w:val="28"/>
          <w:highlight w:val="none"/>
          <w14:textFill>
            <w14:solidFill>
              <w14:schemeClr w14:val="tx1"/>
            </w14:solidFill>
          </w14:textFill>
        </w:rPr>
      </w:pPr>
    </w:p>
    <w:p w14:paraId="58F39E3C">
      <w:pPr>
        <w:pStyle w:val="5"/>
        <w:ind w:firstLine="643" w:firstLineChars="200"/>
        <w:rPr>
          <w:rFonts w:ascii="宋体" w:cs="宋体"/>
          <w:color w:val="000000" w:themeColor="text1"/>
          <w:highlight w:val="none"/>
          <w14:textFill>
            <w14:solidFill>
              <w14:schemeClr w14:val="tx1"/>
            </w14:solidFill>
          </w14:textFill>
        </w:rPr>
      </w:pPr>
      <w:r>
        <w:rPr>
          <w:rFonts w:hint="eastAsia"/>
          <w:color w:val="000000" w:themeColor="text1"/>
          <w:sz w:val="32"/>
          <w:szCs w:val="22"/>
          <w:highlight w:val="none"/>
          <w14:textFill>
            <w14:solidFill>
              <w14:schemeClr w14:val="tx1"/>
            </w14:solidFill>
          </w14:textFill>
        </w:rPr>
        <w:t>另附</w:t>
      </w:r>
    </w:p>
    <w:p w14:paraId="44C8570E">
      <w:pPr>
        <w:tabs>
          <w:tab w:val="left" w:pos="4950"/>
        </w:tabs>
        <w:spacing w:line="360" w:lineRule="atLeast"/>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提示语：二号标书封面以PDF形式发给各投标人，各投标人不得修改二号标书封面，否则以未按无标志制作要求处理。</w:t>
      </w:r>
    </w:p>
    <w:p w14:paraId="4E87F272">
      <w:pPr>
        <w:pStyle w:val="26"/>
        <w:rPr>
          <w:color w:val="000000" w:themeColor="text1"/>
          <w:highlight w:val="none"/>
          <w14:textFill>
            <w14:solidFill>
              <w14:schemeClr w14:val="tx1"/>
            </w14:solidFill>
          </w14:textFill>
        </w:rPr>
      </w:pPr>
    </w:p>
    <w:p w14:paraId="329CE3C2">
      <w:pPr>
        <w:pStyle w:val="26"/>
        <w:rPr>
          <w:color w:val="000000" w:themeColor="text1"/>
          <w:highlight w:val="none"/>
          <w14:textFill>
            <w14:solidFill>
              <w14:schemeClr w14:val="tx1"/>
            </w14:solidFill>
          </w14:textFill>
        </w:rPr>
      </w:pPr>
    </w:p>
    <w:p w14:paraId="34F9AB40">
      <w:pPr>
        <w:pStyle w:val="26"/>
        <w:rPr>
          <w:color w:val="000000" w:themeColor="text1"/>
          <w:highlight w:val="none"/>
          <w14:textFill>
            <w14:solidFill>
              <w14:schemeClr w14:val="tx1"/>
            </w14:solidFill>
          </w14:textFill>
        </w:rPr>
      </w:pPr>
    </w:p>
    <w:p w14:paraId="663ED56F">
      <w:pPr>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br w:type="page"/>
      </w:r>
    </w:p>
    <w:p w14:paraId="1B1C390B">
      <w:pPr>
        <w:pStyle w:val="8"/>
        <w:rPr>
          <w:color w:val="000000" w:themeColor="text1"/>
          <w:highlight w:val="none"/>
          <w14:textFill>
            <w14:solidFill>
              <w14:schemeClr w14:val="tx1"/>
            </w14:solidFill>
          </w14:textFill>
        </w:rPr>
      </w:pPr>
    </w:p>
    <w:p w14:paraId="62A79E9F">
      <w:pPr>
        <w:spacing w:line="440" w:lineRule="exact"/>
        <w:jc w:val="center"/>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评分索引表</w:t>
      </w:r>
    </w:p>
    <w:p w14:paraId="4F96817A">
      <w:pPr>
        <w:spacing w:line="440" w:lineRule="exact"/>
        <w:jc w:val="center"/>
        <w:rPr>
          <w:rFonts w:ascii="宋体" w:hAnsi="宋体" w:cs="宋体"/>
          <w:b/>
          <w:color w:val="000000" w:themeColor="text1"/>
          <w:sz w:val="30"/>
          <w:szCs w:val="30"/>
          <w:highlight w:val="none"/>
          <w14:textFill>
            <w14:solidFill>
              <w14:schemeClr w14:val="tx1"/>
            </w14:solidFill>
          </w14:textFill>
        </w:rPr>
      </w:pPr>
    </w:p>
    <w:tbl>
      <w:tblPr>
        <w:tblStyle w:val="27"/>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14:paraId="761B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14:paraId="6CAAE3B5">
            <w:pPr>
              <w:pStyle w:val="172"/>
              <w:shd w:val="clear" w:color="auto" w:fill="FFFFFF"/>
              <w:spacing w:line="265" w:lineRule="atLeast"/>
              <w:ind w:left="420"/>
              <w:jc w:val="center"/>
              <w:rPr>
                <w:rFonts w:ascii="宋体" w:hAnsi="宋体" w:cs="宋体"/>
                <w:b/>
                <w:bCs/>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评分项目</w:t>
            </w:r>
          </w:p>
        </w:tc>
        <w:tc>
          <w:tcPr>
            <w:tcW w:w="3570" w:type="dxa"/>
          </w:tcPr>
          <w:p w14:paraId="18B4ABA2">
            <w:pPr>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kern w:val="0"/>
                <w:sz w:val="24"/>
                <w:highlight w:val="none"/>
                <w:lang w:bidi="en-US"/>
                <w14:textFill>
                  <w14:solidFill>
                    <w14:schemeClr w14:val="tx1"/>
                  </w14:solidFill>
                </w14:textFill>
              </w:rPr>
              <w:t>在投标文件中的页码位置</w:t>
            </w:r>
          </w:p>
        </w:tc>
      </w:tr>
      <w:tr w14:paraId="6B0A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14:paraId="5414A066">
            <w:pPr>
              <w:pStyle w:val="172"/>
              <w:shd w:val="clear" w:color="auto" w:fill="FFFFFF"/>
              <w:spacing w:line="265" w:lineRule="atLeast"/>
              <w:ind w:left="420"/>
              <w:jc w:val="both"/>
              <w:rPr>
                <w:rFonts w:ascii="宋体" w:hAnsi="宋体" w:cs="宋体"/>
                <w:b/>
                <w:color w:val="000000" w:themeColor="text1"/>
                <w:highlight w:val="none"/>
                <w:lang w:eastAsia="zh-CN"/>
                <w14:textFill>
                  <w14:solidFill>
                    <w14:schemeClr w14:val="tx1"/>
                  </w14:solidFill>
                </w14:textFill>
              </w:rPr>
            </w:pPr>
          </w:p>
        </w:tc>
        <w:tc>
          <w:tcPr>
            <w:tcW w:w="3570" w:type="dxa"/>
          </w:tcPr>
          <w:p w14:paraId="6EEFAF1F">
            <w:pPr>
              <w:rPr>
                <w:rFonts w:ascii="宋体" w:hAnsi="宋体" w:cs="宋体"/>
                <w:b/>
                <w:color w:val="000000" w:themeColor="text1"/>
                <w:kern w:val="0"/>
                <w:sz w:val="24"/>
                <w:highlight w:val="none"/>
                <w:lang w:bidi="en-US"/>
                <w14:textFill>
                  <w14:solidFill>
                    <w14:schemeClr w14:val="tx1"/>
                  </w14:solidFill>
                </w14:textFill>
              </w:rPr>
            </w:pPr>
          </w:p>
        </w:tc>
      </w:tr>
      <w:tr w14:paraId="6241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14:paraId="4878F166">
            <w:pPr>
              <w:pStyle w:val="172"/>
              <w:shd w:val="clear" w:color="auto" w:fill="FFFFFF"/>
              <w:spacing w:line="265" w:lineRule="atLeast"/>
              <w:ind w:left="420"/>
              <w:jc w:val="both"/>
              <w:rPr>
                <w:rFonts w:ascii="宋体" w:hAnsi="宋体" w:cs="宋体"/>
                <w:color w:val="000000" w:themeColor="text1"/>
                <w:highlight w:val="none"/>
                <w:lang w:eastAsia="zh-CN"/>
                <w14:textFill>
                  <w14:solidFill>
                    <w14:schemeClr w14:val="tx1"/>
                  </w14:solidFill>
                </w14:textFill>
              </w:rPr>
            </w:pPr>
          </w:p>
        </w:tc>
      </w:tr>
      <w:tr w14:paraId="2F9C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14:paraId="73489126">
            <w:pPr>
              <w:pStyle w:val="172"/>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tcPr>
          <w:p w14:paraId="017D5DD7">
            <w:pPr>
              <w:rPr>
                <w:rFonts w:ascii="宋体" w:hAnsi="宋体" w:cs="宋体"/>
                <w:color w:val="000000" w:themeColor="text1"/>
                <w:highlight w:val="none"/>
                <w14:textFill>
                  <w14:solidFill>
                    <w14:schemeClr w14:val="tx1"/>
                  </w14:solidFill>
                </w14:textFill>
              </w:rPr>
            </w:pPr>
          </w:p>
        </w:tc>
      </w:tr>
      <w:tr w14:paraId="08DF0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14:paraId="4BC10335">
            <w:pPr>
              <w:pStyle w:val="172"/>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tcPr>
          <w:p w14:paraId="4A9866A3">
            <w:pPr>
              <w:rPr>
                <w:rFonts w:ascii="宋体" w:hAnsi="宋体" w:cs="宋体"/>
                <w:color w:val="000000" w:themeColor="text1"/>
                <w:highlight w:val="none"/>
                <w14:textFill>
                  <w14:solidFill>
                    <w14:schemeClr w14:val="tx1"/>
                  </w14:solidFill>
                </w14:textFill>
              </w:rPr>
            </w:pPr>
          </w:p>
        </w:tc>
      </w:tr>
      <w:tr w14:paraId="33F3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14:paraId="29E000FF">
            <w:pPr>
              <w:pStyle w:val="172"/>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tcPr>
          <w:p w14:paraId="6203CFDB">
            <w:pPr>
              <w:rPr>
                <w:rFonts w:ascii="宋体" w:hAnsi="宋体" w:cs="宋体"/>
                <w:color w:val="000000" w:themeColor="text1"/>
                <w:highlight w:val="none"/>
                <w14:textFill>
                  <w14:solidFill>
                    <w14:schemeClr w14:val="tx1"/>
                  </w14:solidFill>
                </w14:textFill>
              </w:rPr>
            </w:pPr>
          </w:p>
        </w:tc>
      </w:tr>
      <w:tr w14:paraId="4A302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14:paraId="069B5E15">
            <w:pPr>
              <w:pStyle w:val="172"/>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tcPr>
          <w:p w14:paraId="01F7C687">
            <w:pPr>
              <w:rPr>
                <w:rFonts w:ascii="宋体" w:hAnsi="宋体" w:cs="宋体"/>
                <w:color w:val="000000" w:themeColor="text1"/>
                <w:highlight w:val="none"/>
                <w14:textFill>
                  <w14:solidFill>
                    <w14:schemeClr w14:val="tx1"/>
                  </w14:solidFill>
                </w14:textFill>
              </w:rPr>
            </w:pPr>
          </w:p>
        </w:tc>
      </w:tr>
      <w:tr w14:paraId="4780A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14:paraId="79BA05A5">
            <w:pPr>
              <w:pStyle w:val="172"/>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tcPr>
          <w:p w14:paraId="1E1EA6C5">
            <w:pPr>
              <w:rPr>
                <w:rFonts w:ascii="宋体" w:hAnsi="宋体" w:cs="宋体"/>
                <w:color w:val="000000" w:themeColor="text1"/>
                <w:highlight w:val="none"/>
                <w14:textFill>
                  <w14:solidFill>
                    <w14:schemeClr w14:val="tx1"/>
                  </w14:solidFill>
                </w14:textFill>
              </w:rPr>
            </w:pPr>
          </w:p>
        </w:tc>
      </w:tr>
      <w:tr w14:paraId="73749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14:paraId="39C9C883">
            <w:pPr>
              <w:pStyle w:val="172"/>
              <w:shd w:val="clear" w:color="auto" w:fill="FFFFFF"/>
              <w:spacing w:line="265" w:lineRule="atLeast"/>
              <w:ind w:left="420"/>
              <w:jc w:val="both"/>
              <w:rPr>
                <w:rFonts w:ascii="宋体" w:hAnsi="宋体" w:cs="宋体"/>
                <w:color w:val="000000" w:themeColor="text1"/>
                <w:highlight w:val="none"/>
                <w:lang w:eastAsia="zh-CN"/>
                <w14:textFill>
                  <w14:solidFill>
                    <w14:schemeClr w14:val="tx1"/>
                  </w14:solidFill>
                </w14:textFill>
              </w:rPr>
            </w:pPr>
          </w:p>
        </w:tc>
      </w:tr>
      <w:tr w14:paraId="63E2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14:paraId="1A251059">
            <w:pPr>
              <w:pStyle w:val="172"/>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tcPr>
          <w:p w14:paraId="0980DFF5">
            <w:pPr>
              <w:rPr>
                <w:rFonts w:ascii="宋体" w:hAnsi="宋体" w:cs="宋体"/>
                <w:color w:val="000000" w:themeColor="text1"/>
                <w:highlight w:val="none"/>
                <w14:textFill>
                  <w14:solidFill>
                    <w14:schemeClr w14:val="tx1"/>
                  </w14:solidFill>
                </w14:textFill>
              </w:rPr>
            </w:pPr>
          </w:p>
        </w:tc>
      </w:tr>
      <w:tr w14:paraId="6E0F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14:paraId="146BADD2">
            <w:pPr>
              <w:pStyle w:val="172"/>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tcPr>
          <w:p w14:paraId="0C688DF3">
            <w:pPr>
              <w:rPr>
                <w:rFonts w:ascii="宋体" w:hAnsi="宋体" w:cs="宋体"/>
                <w:color w:val="000000" w:themeColor="text1"/>
                <w:highlight w:val="none"/>
                <w14:textFill>
                  <w14:solidFill>
                    <w14:schemeClr w14:val="tx1"/>
                  </w14:solidFill>
                </w14:textFill>
              </w:rPr>
            </w:pPr>
          </w:p>
        </w:tc>
      </w:tr>
      <w:tr w14:paraId="7536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14:paraId="233BCD4F">
            <w:pPr>
              <w:pStyle w:val="172"/>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tcPr>
          <w:p w14:paraId="13A9656C">
            <w:pPr>
              <w:rPr>
                <w:rFonts w:ascii="宋体" w:hAnsi="宋体" w:cs="宋体"/>
                <w:color w:val="000000" w:themeColor="text1"/>
                <w:highlight w:val="none"/>
                <w14:textFill>
                  <w14:solidFill>
                    <w14:schemeClr w14:val="tx1"/>
                  </w14:solidFill>
                </w14:textFill>
              </w:rPr>
            </w:pPr>
          </w:p>
        </w:tc>
      </w:tr>
      <w:tr w14:paraId="0EE1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14:paraId="72987A3E">
            <w:pPr>
              <w:pStyle w:val="172"/>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tcPr>
          <w:p w14:paraId="6C669107">
            <w:pPr>
              <w:rPr>
                <w:rFonts w:ascii="宋体" w:hAnsi="宋体" w:cs="宋体"/>
                <w:color w:val="000000" w:themeColor="text1"/>
                <w:highlight w:val="none"/>
                <w14:textFill>
                  <w14:solidFill>
                    <w14:schemeClr w14:val="tx1"/>
                  </w14:solidFill>
                </w14:textFill>
              </w:rPr>
            </w:pPr>
          </w:p>
        </w:tc>
      </w:tr>
      <w:tr w14:paraId="0757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14:paraId="7337C530">
            <w:pPr>
              <w:pStyle w:val="172"/>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tcPr>
          <w:p w14:paraId="68C5DDDE">
            <w:pPr>
              <w:rPr>
                <w:rFonts w:ascii="宋体" w:hAnsi="宋体" w:cs="宋体"/>
                <w:color w:val="000000" w:themeColor="text1"/>
                <w:highlight w:val="none"/>
                <w14:textFill>
                  <w14:solidFill>
                    <w14:schemeClr w14:val="tx1"/>
                  </w14:solidFill>
                </w14:textFill>
              </w:rPr>
            </w:pPr>
          </w:p>
        </w:tc>
      </w:tr>
      <w:tr w14:paraId="74EE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14:paraId="43C81E90">
            <w:pPr>
              <w:pStyle w:val="172"/>
              <w:shd w:val="clear" w:color="auto" w:fill="FFFFFF"/>
              <w:spacing w:line="265" w:lineRule="atLeast"/>
              <w:ind w:left="420"/>
              <w:jc w:val="both"/>
              <w:rPr>
                <w:rFonts w:ascii="宋体" w:hAnsi="宋体" w:cs="宋体"/>
                <w:b/>
                <w:color w:val="000000" w:themeColor="text1"/>
                <w:highlight w:val="none"/>
                <w:lang w:eastAsia="zh-CN"/>
                <w14:textFill>
                  <w14:solidFill>
                    <w14:schemeClr w14:val="tx1"/>
                  </w14:solidFill>
                </w14:textFill>
              </w:rPr>
            </w:pPr>
          </w:p>
        </w:tc>
      </w:tr>
      <w:tr w14:paraId="550D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14:paraId="4CDF86C5">
            <w:pPr>
              <w:pStyle w:val="172"/>
              <w:shd w:val="clear" w:color="auto" w:fill="FFFFFF"/>
              <w:spacing w:line="265" w:lineRule="atLeast"/>
              <w:ind w:left="420"/>
              <w:rPr>
                <w:rFonts w:ascii="宋体" w:hAnsi="宋体" w:cs="宋体"/>
                <w:b/>
                <w:bCs/>
                <w:color w:val="000000" w:themeColor="text1"/>
                <w:highlight w:val="none"/>
                <w:lang w:eastAsia="zh-CN"/>
                <w14:textFill>
                  <w14:solidFill>
                    <w14:schemeClr w14:val="tx1"/>
                  </w14:solidFill>
                </w14:textFill>
              </w:rPr>
            </w:pPr>
          </w:p>
        </w:tc>
        <w:tc>
          <w:tcPr>
            <w:tcW w:w="3570" w:type="dxa"/>
          </w:tcPr>
          <w:p w14:paraId="623E129E">
            <w:pPr>
              <w:rPr>
                <w:rFonts w:ascii="宋体" w:hAnsi="宋体" w:cs="宋体"/>
                <w:color w:val="000000" w:themeColor="text1"/>
                <w:highlight w:val="none"/>
                <w14:textFill>
                  <w14:solidFill>
                    <w14:schemeClr w14:val="tx1"/>
                  </w14:solidFill>
                </w14:textFill>
              </w:rPr>
            </w:pPr>
          </w:p>
        </w:tc>
      </w:tr>
      <w:tr w14:paraId="5A66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14:paraId="5718CC4E">
            <w:pPr>
              <w:pStyle w:val="172"/>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tcPr>
          <w:p w14:paraId="1A7F4018">
            <w:pPr>
              <w:rPr>
                <w:rFonts w:ascii="宋体" w:hAnsi="宋体" w:cs="宋体"/>
                <w:color w:val="000000" w:themeColor="text1"/>
                <w:highlight w:val="none"/>
                <w14:textFill>
                  <w14:solidFill>
                    <w14:schemeClr w14:val="tx1"/>
                  </w14:solidFill>
                </w14:textFill>
              </w:rPr>
            </w:pPr>
          </w:p>
        </w:tc>
      </w:tr>
      <w:tr w14:paraId="5C67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14:paraId="55662A46">
            <w:pPr>
              <w:pStyle w:val="172"/>
              <w:shd w:val="clear" w:color="auto" w:fill="FFFFFF"/>
              <w:spacing w:line="265" w:lineRule="atLeast"/>
              <w:ind w:left="420"/>
              <w:rPr>
                <w:rFonts w:ascii="宋体" w:hAnsi="宋体" w:cs="宋体"/>
                <w:b/>
                <w:bCs/>
                <w:color w:val="000000" w:themeColor="text1"/>
                <w:highlight w:val="none"/>
                <w:lang w:eastAsia="zh-CN"/>
                <w14:textFill>
                  <w14:solidFill>
                    <w14:schemeClr w14:val="tx1"/>
                  </w14:solidFill>
                </w14:textFill>
              </w:rPr>
            </w:pPr>
          </w:p>
        </w:tc>
        <w:tc>
          <w:tcPr>
            <w:tcW w:w="3570" w:type="dxa"/>
          </w:tcPr>
          <w:p w14:paraId="3320A137">
            <w:pPr>
              <w:rPr>
                <w:rFonts w:ascii="宋体" w:hAnsi="宋体" w:cs="宋体"/>
                <w:color w:val="000000" w:themeColor="text1"/>
                <w:highlight w:val="none"/>
                <w14:textFill>
                  <w14:solidFill>
                    <w14:schemeClr w14:val="tx1"/>
                  </w14:solidFill>
                </w14:textFill>
              </w:rPr>
            </w:pPr>
          </w:p>
        </w:tc>
      </w:tr>
      <w:tr w14:paraId="5203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14:paraId="54ACB057">
            <w:pPr>
              <w:pStyle w:val="172"/>
              <w:shd w:val="clear" w:color="auto" w:fill="FFFFFF"/>
              <w:spacing w:line="265" w:lineRule="atLeast"/>
              <w:ind w:left="420"/>
              <w:jc w:val="both"/>
              <w:rPr>
                <w:rFonts w:ascii="宋体" w:hAnsi="宋体" w:cs="宋体"/>
                <w:b/>
                <w:color w:val="000000" w:themeColor="text1"/>
                <w:highlight w:val="none"/>
                <w:lang w:eastAsia="zh-CN"/>
                <w14:textFill>
                  <w14:solidFill>
                    <w14:schemeClr w14:val="tx1"/>
                  </w14:solidFill>
                </w14:textFill>
              </w:rPr>
            </w:pPr>
          </w:p>
        </w:tc>
      </w:tr>
      <w:tr w14:paraId="730E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14:paraId="4CB4944F">
            <w:pPr>
              <w:pStyle w:val="172"/>
              <w:shd w:val="clear" w:color="auto" w:fill="FFFFFF"/>
              <w:spacing w:line="265" w:lineRule="atLeast"/>
              <w:ind w:left="0" w:firstLine="480" w:firstLineChars="200"/>
              <w:rPr>
                <w:rFonts w:ascii="宋体" w:hAnsi="宋体" w:cs="宋体"/>
                <w:color w:val="000000" w:themeColor="text1"/>
                <w:szCs w:val="21"/>
                <w:highlight w:val="none"/>
                <w:lang w:eastAsia="zh-CN"/>
                <w14:textFill>
                  <w14:solidFill>
                    <w14:schemeClr w14:val="tx1"/>
                  </w14:solidFill>
                </w14:textFill>
              </w:rPr>
            </w:pPr>
          </w:p>
        </w:tc>
        <w:tc>
          <w:tcPr>
            <w:tcW w:w="3570" w:type="dxa"/>
          </w:tcPr>
          <w:p w14:paraId="5A4D72E6">
            <w:pPr>
              <w:rPr>
                <w:rFonts w:ascii="宋体" w:hAnsi="宋体" w:cs="宋体"/>
                <w:color w:val="000000" w:themeColor="text1"/>
                <w:highlight w:val="none"/>
                <w14:textFill>
                  <w14:solidFill>
                    <w14:schemeClr w14:val="tx1"/>
                  </w14:solidFill>
                </w14:textFill>
              </w:rPr>
            </w:pPr>
          </w:p>
        </w:tc>
      </w:tr>
      <w:tr w14:paraId="33863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tcPr>
          <w:p w14:paraId="78876BCB">
            <w:pPr>
              <w:pStyle w:val="172"/>
              <w:shd w:val="clear" w:color="auto" w:fill="FFFFFF"/>
              <w:spacing w:line="265" w:lineRule="atLeast"/>
              <w:ind w:left="0" w:firstLine="480" w:firstLineChars="200"/>
              <w:rPr>
                <w:rFonts w:ascii="宋体" w:hAnsi="宋体" w:cs="宋体"/>
                <w:color w:val="000000" w:themeColor="text1"/>
                <w:highlight w:val="none"/>
                <w:lang w:eastAsia="zh-CN"/>
                <w14:textFill>
                  <w14:solidFill>
                    <w14:schemeClr w14:val="tx1"/>
                  </w14:solidFill>
                </w14:textFill>
              </w:rPr>
            </w:pPr>
          </w:p>
        </w:tc>
        <w:tc>
          <w:tcPr>
            <w:tcW w:w="3570" w:type="dxa"/>
            <w:tcBorders>
              <w:bottom w:val="single" w:color="auto" w:sz="4" w:space="0"/>
            </w:tcBorders>
          </w:tcPr>
          <w:p w14:paraId="4501BEF8">
            <w:pPr>
              <w:rPr>
                <w:rFonts w:ascii="宋体" w:hAnsi="宋体" w:cs="宋体"/>
                <w:color w:val="000000" w:themeColor="text1"/>
                <w:highlight w:val="none"/>
                <w14:textFill>
                  <w14:solidFill>
                    <w14:schemeClr w14:val="tx1"/>
                  </w14:solidFill>
                </w14:textFill>
              </w:rPr>
            </w:pPr>
          </w:p>
        </w:tc>
      </w:tr>
    </w:tbl>
    <w:p w14:paraId="5F6FCABD">
      <w:pPr>
        <w:rPr>
          <w:rFonts w:ascii="宋体" w:hAnsi="宋体" w:cs="宋体"/>
          <w:color w:val="000000" w:themeColor="text1"/>
          <w:highlight w:val="none"/>
          <w14:textFill>
            <w14:solidFill>
              <w14:schemeClr w14:val="tx1"/>
            </w14:solidFill>
          </w14:textFill>
        </w:rPr>
      </w:pPr>
    </w:p>
    <w:bookmarkEnd w:id="18"/>
    <w:p w14:paraId="713DE2F1">
      <w:pPr>
        <w:pStyle w:val="46"/>
        <w:spacing w:line="240" w:lineRule="atLeast"/>
        <w:rPr>
          <w:rStyle w:val="54"/>
          <w:rFonts w:ascii="宋体" w:hAnsi="宋体" w:cs="宋体"/>
          <w:color w:val="000000" w:themeColor="text1"/>
          <w:sz w:val="24"/>
          <w:szCs w:val="24"/>
          <w:highlight w:val="none"/>
          <w14:textFill>
            <w14:solidFill>
              <w14:schemeClr w14:val="tx1"/>
            </w14:solidFill>
          </w14:textFill>
        </w:rPr>
      </w:pPr>
    </w:p>
    <w:p w14:paraId="7E63C08C">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1C0FD6A0">
      <w:pPr>
        <w:pStyle w:val="5"/>
        <w:jc w:val="center"/>
        <w:rPr>
          <w:rFonts w:ascii="宋体" w:hAnsi="宋体" w:cs="宋体"/>
          <w:b w:val="0"/>
          <w:bCs w:val="0"/>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具备履行合同所必需的设备和专业技术能力的书面声明</w:t>
      </w:r>
    </w:p>
    <w:p w14:paraId="1772AF8D">
      <w:pPr>
        <w:spacing w:line="460" w:lineRule="exact"/>
        <w:ind w:firstLine="49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14:paraId="4FF53845">
      <w:pPr>
        <w:spacing w:line="460" w:lineRule="exact"/>
        <w:ind w:firstLine="49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主要设备有：。</w:t>
      </w:r>
    </w:p>
    <w:p w14:paraId="33C2B9ED">
      <w:pPr>
        <w:spacing w:line="460" w:lineRule="exact"/>
        <w:ind w:firstLine="49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主要专业技术能力有：。</w:t>
      </w:r>
    </w:p>
    <w:p w14:paraId="101C1A20">
      <w:pPr>
        <w:spacing w:line="460" w:lineRule="exact"/>
        <w:ind w:firstLine="492"/>
        <w:rPr>
          <w:rFonts w:ascii="宋体" w:hAnsi="宋体" w:cs="宋体"/>
          <w:bCs/>
          <w:color w:val="000000" w:themeColor="text1"/>
          <w:sz w:val="24"/>
          <w:szCs w:val="24"/>
          <w:highlight w:val="none"/>
          <w14:textFill>
            <w14:solidFill>
              <w14:schemeClr w14:val="tx1"/>
            </w14:solidFill>
          </w14:textFill>
        </w:rPr>
      </w:pPr>
    </w:p>
    <w:p w14:paraId="4D303E09">
      <w:pPr>
        <w:spacing w:line="460" w:lineRule="exact"/>
        <w:ind w:firstLine="492"/>
        <w:rPr>
          <w:rFonts w:ascii="宋体" w:hAnsi="宋体" w:cs="宋体"/>
          <w:bCs/>
          <w:color w:val="000000" w:themeColor="text1"/>
          <w:sz w:val="24"/>
          <w:szCs w:val="24"/>
          <w:highlight w:val="none"/>
          <w14:textFill>
            <w14:solidFill>
              <w14:schemeClr w14:val="tx1"/>
            </w14:solidFill>
          </w14:textFill>
        </w:rPr>
      </w:pPr>
    </w:p>
    <w:p w14:paraId="486E331A">
      <w:pPr>
        <w:spacing w:line="460" w:lineRule="exact"/>
        <w:ind w:firstLine="492"/>
        <w:rPr>
          <w:rFonts w:ascii="宋体" w:hAnsi="宋体" w:cs="宋体"/>
          <w:bCs/>
          <w:color w:val="000000" w:themeColor="text1"/>
          <w:sz w:val="24"/>
          <w:szCs w:val="24"/>
          <w:highlight w:val="none"/>
          <w14:textFill>
            <w14:solidFill>
              <w14:schemeClr w14:val="tx1"/>
            </w14:solidFill>
          </w14:textFill>
        </w:rPr>
      </w:pPr>
    </w:p>
    <w:p w14:paraId="27ACFB77">
      <w:pPr>
        <w:spacing w:line="460" w:lineRule="exac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供应商名称（公章）：</w:t>
      </w:r>
    </w:p>
    <w:p w14:paraId="76688C5E">
      <w:pPr>
        <w:spacing w:line="460" w:lineRule="exact"/>
        <w:rPr>
          <w:rFonts w:ascii="宋体" w:hAnsi="宋体" w:cs="宋体"/>
          <w:bCs/>
          <w:color w:val="000000" w:themeColor="text1"/>
          <w:sz w:val="24"/>
          <w:szCs w:val="24"/>
          <w:highlight w:val="none"/>
          <w14:textFill>
            <w14:solidFill>
              <w14:schemeClr w14:val="tx1"/>
            </w14:solidFill>
          </w14:textFill>
        </w:rPr>
      </w:pPr>
    </w:p>
    <w:p w14:paraId="070F30B5">
      <w:pPr>
        <w:spacing w:line="460" w:lineRule="exact"/>
        <w:jc w:val="righ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日期：</w:t>
      </w:r>
      <w:r>
        <w:rPr>
          <w:rFonts w:hint="eastAsia" w:ascii="宋体" w:hAnsi="宋体" w:cs="宋体"/>
          <w:bCs/>
          <w:color w:val="000000" w:themeColor="text1"/>
          <w:sz w:val="24"/>
          <w:szCs w:val="24"/>
          <w:highlight w:val="none"/>
          <w:u w:val="single"/>
          <w14:textFill>
            <w14:solidFill>
              <w14:schemeClr w14:val="tx1"/>
            </w14:solidFill>
          </w14:textFill>
        </w:rPr>
        <w:t xml:space="preserve">    年    月    日</w:t>
      </w:r>
    </w:p>
    <w:p w14:paraId="015BD9BC">
      <w:pPr>
        <w:pStyle w:val="5"/>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54A3748E">
      <w:pPr>
        <w:pStyle w:val="5"/>
        <w:jc w:val="center"/>
        <w:rPr>
          <w:rFonts w:ascii="宋体" w:hAnsi="宋体" w:cs="宋体"/>
          <w:color w:val="000000" w:themeColor="text1"/>
          <w:highlight w:val="none"/>
          <w14:textFill>
            <w14:solidFill>
              <w14:schemeClr w14:val="tx1"/>
            </w14:solidFill>
          </w14:textFill>
        </w:rPr>
      </w:pPr>
    </w:p>
    <w:p w14:paraId="39B74FA7">
      <w:pPr>
        <w:pStyle w:val="5"/>
        <w:jc w:val="center"/>
        <w:rPr>
          <w:rFonts w:ascii="宋体" w:hAnsi="宋体" w:cs="宋体"/>
          <w:color w:val="000000" w:themeColor="text1"/>
          <w:highlight w:val="none"/>
          <w14:textFill>
            <w14:solidFill>
              <w14:schemeClr w14:val="tx1"/>
            </w14:solidFill>
          </w14:textFill>
        </w:rPr>
      </w:pPr>
    </w:p>
    <w:p w14:paraId="5FFC9CF6">
      <w:pPr>
        <w:pStyle w:val="5"/>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参加政府采购活动前 3 年内在经营活动中没有重大违法记录的书面声明</w:t>
      </w:r>
    </w:p>
    <w:p w14:paraId="366A1002">
      <w:pPr>
        <w:spacing w:line="460" w:lineRule="exact"/>
        <w:rPr>
          <w:rFonts w:ascii="宋体" w:hAnsi="宋体" w:cs="宋体"/>
          <w:b/>
          <w:bCs/>
          <w:color w:val="000000" w:themeColor="text1"/>
          <w:sz w:val="28"/>
          <w:szCs w:val="28"/>
          <w:highlight w:val="none"/>
          <w14:textFill>
            <w14:solidFill>
              <w14:schemeClr w14:val="tx1"/>
            </w14:solidFill>
          </w14:textFill>
        </w:rPr>
      </w:pPr>
    </w:p>
    <w:p w14:paraId="470A29DD">
      <w:pPr>
        <w:jc w:val="center"/>
        <w:rPr>
          <w:rFonts w:ascii="宋体" w:hAnsi="宋体" w:cs="宋体"/>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声  明</w:t>
      </w:r>
    </w:p>
    <w:p w14:paraId="0FA2048B">
      <w:pPr>
        <w:spacing w:line="460" w:lineRule="exac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14:paraId="1CF9E798">
      <w:pPr>
        <w:spacing w:line="460" w:lineRule="exact"/>
        <w:rPr>
          <w:rFonts w:ascii="宋体" w:hAnsi="宋体" w:cs="宋体"/>
          <w:bCs/>
          <w:color w:val="000000" w:themeColor="text1"/>
          <w:sz w:val="24"/>
          <w:szCs w:val="24"/>
          <w:highlight w:val="none"/>
          <w14:textFill>
            <w14:solidFill>
              <w14:schemeClr w14:val="tx1"/>
            </w14:solidFill>
          </w14:textFill>
        </w:rPr>
      </w:pPr>
    </w:p>
    <w:p w14:paraId="36C47683">
      <w:pPr>
        <w:spacing w:line="460" w:lineRule="exact"/>
        <w:ind w:firstLine="3120" w:firstLineChars="13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供应商名称（公章）：</w:t>
      </w:r>
    </w:p>
    <w:p w14:paraId="0D650EB8">
      <w:pPr>
        <w:spacing w:line="460" w:lineRule="exact"/>
        <w:ind w:firstLine="3120" w:firstLineChars="13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授权代表签字：</w:t>
      </w:r>
    </w:p>
    <w:p w14:paraId="50267B5F">
      <w:pPr>
        <w:spacing w:line="460" w:lineRule="exac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日期：</w:t>
      </w:r>
      <w:r>
        <w:rPr>
          <w:rFonts w:hint="eastAsia" w:ascii="宋体" w:hAnsi="宋体" w:cs="宋体"/>
          <w:bCs/>
          <w:color w:val="000000" w:themeColor="text1"/>
          <w:sz w:val="24"/>
          <w:szCs w:val="24"/>
          <w:highlight w:val="none"/>
          <w:u w:val="single"/>
          <w14:textFill>
            <w14:solidFill>
              <w14:schemeClr w14:val="tx1"/>
            </w14:solidFill>
          </w14:textFill>
        </w:rPr>
        <w:t xml:space="preserve">           年    月    日</w:t>
      </w:r>
    </w:p>
    <w:p w14:paraId="36F492A7">
      <w:pPr>
        <w:spacing w:line="460" w:lineRule="exact"/>
        <w:rPr>
          <w:rFonts w:ascii="宋体" w:hAnsi="宋体" w:cs="宋体"/>
          <w:bCs/>
          <w:color w:val="000000" w:themeColor="text1"/>
          <w:sz w:val="28"/>
          <w:szCs w:val="28"/>
          <w:highlight w:val="none"/>
          <w14:textFill>
            <w14:solidFill>
              <w14:schemeClr w14:val="tx1"/>
            </w14:solidFill>
          </w14:textFill>
        </w:rPr>
      </w:pPr>
    </w:p>
    <w:p w14:paraId="2C75DCC7">
      <w:pPr>
        <w:spacing w:line="460" w:lineRule="exact"/>
        <w:rPr>
          <w:rFonts w:ascii="宋体" w:hAnsi="宋体" w:cs="宋体"/>
          <w:bCs/>
          <w:color w:val="000000" w:themeColor="text1"/>
          <w:sz w:val="28"/>
          <w:szCs w:val="28"/>
          <w:highlight w:val="none"/>
          <w14:textFill>
            <w14:solidFill>
              <w14:schemeClr w14:val="tx1"/>
            </w14:solidFill>
          </w14:textFill>
        </w:rPr>
      </w:pPr>
    </w:p>
    <w:p w14:paraId="05BE63CE">
      <w:pPr>
        <w:spacing w:line="460" w:lineRule="exact"/>
        <w:rPr>
          <w:rFonts w:ascii="宋体" w:hAnsi="宋体" w:cs="宋体"/>
          <w:bCs/>
          <w:color w:val="000000" w:themeColor="text1"/>
          <w:sz w:val="28"/>
          <w:szCs w:val="28"/>
          <w:highlight w:val="none"/>
          <w14:textFill>
            <w14:solidFill>
              <w14:schemeClr w14:val="tx1"/>
            </w14:solidFill>
          </w14:textFill>
        </w:rPr>
      </w:pPr>
    </w:p>
    <w:p w14:paraId="79371D03">
      <w:pPr>
        <w:spacing w:line="460" w:lineRule="exact"/>
        <w:rPr>
          <w:rFonts w:ascii="宋体" w:hAnsi="宋体" w:cs="宋体"/>
          <w:bCs/>
          <w:color w:val="000000" w:themeColor="text1"/>
          <w:sz w:val="28"/>
          <w:szCs w:val="28"/>
          <w:highlight w:val="none"/>
          <w14:textFill>
            <w14:solidFill>
              <w14:schemeClr w14:val="tx1"/>
            </w14:solidFill>
          </w14:textFill>
        </w:rPr>
      </w:pPr>
    </w:p>
    <w:p w14:paraId="4AB944B9">
      <w:pPr>
        <w:spacing w:line="460" w:lineRule="exact"/>
        <w:rPr>
          <w:rFonts w:ascii="宋体" w:hAnsi="宋体" w:cs="宋体"/>
          <w:bCs/>
          <w:color w:val="000000" w:themeColor="text1"/>
          <w:sz w:val="28"/>
          <w:szCs w:val="28"/>
          <w:highlight w:val="none"/>
          <w14:textFill>
            <w14:solidFill>
              <w14:schemeClr w14:val="tx1"/>
            </w14:solidFill>
          </w14:textFill>
        </w:rPr>
      </w:pPr>
    </w:p>
    <w:p w14:paraId="5FD09F80">
      <w:pPr>
        <w:spacing w:line="460" w:lineRule="exact"/>
        <w:rPr>
          <w:rFonts w:ascii="宋体" w:hAnsi="宋体" w:cs="宋体"/>
          <w:bCs/>
          <w:color w:val="000000" w:themeColor="text1"/>
          <w:sz w:val="28"/>
          <w:szCs w:val="28"/>
          <w:highlight w:val="none"/>
          <w14:textFill>
            <w14:solidFill>
              <w14:schemeClr w14:val="tx1"/>
            </w14:solidFill>
          </w14:textFill>
        </w:rPr>
      </w:pPr>
    </w:p>
    <w:p w14:paraId="4CB1C16F">
      <w:pPr>
        <w:spacing w:line="460" w:lineRule="exact"/>
        <w:rPr>
          <w:rFonts w:ascii="宋体" w:hAnsi="宋体" w:cs="宋体"/>
          <w:bCs/>
          <w:color w:val="000000" w:themeColor="text1"/>
          <w:sz w:val="24"/>
          <w:highlight w:val="none"/>
          <w14:textFill>
            <w14:solidFill>
              <w14:schemeClr w14:val="tx1"/>
            </w14:solidFill>
          </w14:textFill>
        </w:rPr>
      </w:pPr>
    </w:p>
    <w:p w14:paraId="58311700">
      <w:pPr>
        <w:spacing w:line="460" w:lineRule="exact"/>
        <w:rPr>
          <w:rFonts w:ascii="宋体" w:hAnsi="宋体" w:cs="宋体"/>
          <w:bCs/>
          <w:color w:val="000000" w:themeColor="text1"/>
          <w:sz w:val="24"/>
          <w:highlight w:val="none"/>
          <w14:textFill>
            <w14:solidFill>
              <w14:schemeClr w14:val="tx1"/>
            </w14:solidFill>
          </w14:textFill>
        </w:rPr>
      </w:pPr>
    </w:p>
    <w:p w14:paraId="5E5C27E9">
      <w:pPr>
        <w:spacing w:line="460" w:lineRule="exact"/>
        <w:rPr>
          <w:rFonts w:ascii="宋体" w:hAnsi="宋体" w:cs="宋体"/>
          <w:bCs/>
          <w:color w:val="000000" w:themeColor="text1"/>
          <w:sz w:val="24"/>
          <w:highlight w:val="none"/>
          <w14:textFill>
            <w14:solidFill>
              <w14:schemeClr w14:val="tx1"/>
            </w14:solidFill>
          </w14:textFill>
        </w:rPr>
      </w:pPr>
    </w:p>
    <w:p w14:paraId="41D9A957">
      <w:pPr>
        <w:spacing w:line="460" w:lineRule="exact"/>
        <w:rPr>
          <w:rFonts w:ascii="宋体" w:hAnsi="宋体" w:cs="宋体"/>
          <w:bCs/>
          <w:color w:val="000000" w:themeColor="text1"/>
          <w:sz w:val="24"/>
          <w:highlight w:val="none"/>
          <w14:textFill>
            <w14:solidFill>
              <w14:schemeClr w14:val="tx1"/>
            </w14:solidFill>
          </w14:textFill>
        </w:rPr>
      </w:pPr>
    </w:p>
    <w:p w14:paraId="1126E412">
      <w:pPr>
        <w:spacing w:line="460" w:lineRule="exact"/>
        <w:rPr>
          <w:rFonts w:ascii="宋体" w:hAnsi="宋体" w:cs="宋体"/>
          <w:bCs/>
          <w:color w:val="000000" w:themeColor="text1"/>
          <w:sz w:val="24"/>
          <w:highlight w:val="none"/>
          <w14:textFill>
            <w14:solidFill>
              <w14:schemeClr w14:val="tx1"/>
            </w14:solidFill>
          </w14:textFill>
        </w:rPr>
      </w:pPr>
    </w:p>
    <w:p w14:paraId="4061B742">
      <w:pPr>
        <w:spacing w:line="460" w:lineRule="exact"/>
        <w:rPr>
          <w:rFonts w:ascii="宋体" w:hAnsi="宋体" w:cs="宋体"/>
          <w:bCs/>
          <w:color w:val="000000" w:themeColor="text1"/>
          <w:sz w:val="24"/>
          <w:highlight w:val="none"/>
          <w14:textFill>
            <w14:solidFill>
              <w14:schemeClr w14:val="tx1"/>
            </w14:solidFill>
          </w14:textFill>
        </w:rPr>
      </w:pPr>
    </w:p>
    <w:p w14:paraId="6F6817F0">
      <w:pPr>
        <w:spacing w:line="460" w:lineRule="exact"/>
        <w:rPr>
          <w:rFonts w:ascii="宋体" w:hAnsi="宋体" w:cs="宋体"/>
          <w:bCs/>
          <w:color w:val="000000" w:themeColor="text1"/>
          <w:sz w:val="24"/>
          <w:highlight w:val="none"/>
          <w14:textFill>
            <w14:solidFill>
              <w14:schemeClr w14:val="tx1"/>
            </w14:solidFill>
          </w14:textFill>
        </w:rPr>
      </w:pPr>
    </w:p>
    <w:p w14:paraId="61D54D92">
      <w:pPr>
        <w:spacing w:line="460" w:lineRule="exact"/>
        <w:rPr>
          <w:rFonts w:ascii="宋体" w:hAnsi="宋体" w:cs="宋体"/>
          <w:bCs/>
          <w:color w:val="000000" w:themeColor="text1"/>
          <w:sz w:val="24"/>
          <w:highlight w:val="none"/>
          <w14:textFill>
            <w14:solidFill>
              <w14:schemeClr w14:val="tx1"/>
            </w14:solidFill>
          </w14:textFill>
        </w:rPr>
      </w:pPr>
    </w:p>
    <w:p w14:paraId="698DA2DF">
      <w:pPr>
        <w:spacing w:line="460" w:lineRule="exact"/>
        <w:rPr>
          <w:rFonts w:ascii="宋体" w:hAnsi="宋体" w:cs="宋体"/>
          <w:bCs/>
          <w:color w:val="000000" w:themeColor="text1"/>
          <w:sz w:val="24"/>
          <w:highlight w:val="none"/>
          <w14:textFill>
            <w14:solidFill>
              <w14:schemeClr w14:val="tx1"/>
            </w14:solidFill>
          </w14:textFill>
        </w:rPr>
      </w:pPr>
    </w:p>
    <w:p w14:paraId="6262AEAE">
      <w:pPr>
        <w:spacing w:line="460" w:lineRule="exact"/>
        <w:rPr>
          <w:rFonts w:ascii="宋体" w:hAnsi="宋体" w:cs="宋体"/>
          <w:bCs/>
          <w:color w:val="000000" w:themeColor="text1"/>
          <w:sz w:val="24"/>
          <w:highlight w:val="none"/>
          <w14:textFill>
            <w14:solidFill>
              <w14:schemeClr w14:val="tx1"/>
            </w14:solidFill>
          </w14:textFill>
        </w:rPr>
      </w:pPr>
    </w:p>
    <w:p w14:paraId="6F1DD401">
      <w:pPr>
        <w:spacing w:line="460" w:lineRule="exact"/>
        <w:rPr>
          <w:rFonts w:ascii="宋体" w:hAnsi="宋体" w:cs="宋体"/>
          <w:bCs/>
          <w:color w:val="000000" w:themeColor="text1"/>
          <w:sz w:val="24"/>
          <w:highlight w:val="none"/>
          <w14:textFill>
            <w14:solidFill>
              <w14:schemeClr w14:val="tx1"/>
            </w14:solidFill>
          </w14:textFill>
        </w:rPr>
      </w:pPr>
    </w:p>
    <w:p w14:paraId="4DF5DDAA">
      <w:pPr>
        <w:pStyle w:val="5"/>
        <w:jc w:val="center"/>
        <w:rPr>
          <w:rFonts w:ascii="宋体" w:hAnsi="宋体" w:cs="宋体"/>
          <w:color w:val="000000" w:themeColor="text1"/>
          <w:highlight w:val="none"/>
          <w14:textFill>
            <w14:solidFill>
              <w14:schemeClr w14:val="tx1"/>
            </w14:solidFill>
          </w14:textFill>
        </w:rPr>
      </w:pPr>
    </w:p>
    <w:p w14:paraId="71866540">
      <w:pPr>
        <w:pStyle w:val="5"/>
        <w:jc w:val="center"/>
        <w:rPr>
          <w:rFonts w:ascii="宋体" w:hAnsi="宋体" w:cs="宋体"/>
          <w:color w:val="000000" w:themeColor="text1"/>
          <w:highlight w:val="none"/>
          <w14:textFill>
            <w14:solidFill>
              <w14:schemeClr w14:val="tx1"/>
            </w14:solidFill>
          </w14:textFill>
        </w:rPr>
      </w:pPr>
    </w:p>
    <w:p w14:paraId="3EFFDBC1">
      <w:pPr>
        <w:pStyle w:val="5"/>
        <w:jc w:val="center"/>
        <w:rPr>
          <w:rFonts w:ascii="宋体" w:hAnsi="宋体" w:cs="宋体"/>
          <w:color w:val="000000" w:themeColor="text1"/>
          <w:highlight w:val="none"/>
          <w14:textFill>
            <w14:solidFill>
              <w14:schemeClr w14:val="tx1"/>
            </w14:solidFill>
          </w14:textFill>
        </w:rPr>
      </w:pPr>
    </w:p>
    <w:p w14:paraId="7B7AED31">
      <w:pPr>
        <w:pStyle w:val="5"/>
        <w:jc w:val="center"/>
        <w:rPr>
          <w:rFonts w:ascii="宋体" w:hAnsi="宋体" w:cs="宋体"/>
          <w:color w:val="000000" w:themeColor="text1"/>
          <w:highlight w:val="none"/>
          <w14:textFill>
            <w14:solidFill>
              <w14:schemeClr w14:val="tx1"/>
            </w14:solidFill>
          </w14:textFill>
        </w:rPr>
      </w:pPr>
    </w:p>
    <w:p w14:paraId="4A02C7B8">
      <w:pPr>
        <w:pStyle w:val="5"/>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法人授权书</w:t>
      </w:r>
    </w:p>
    <w:p w14:paraId="3B7AF3A2">
      <w:pPr>
        <w:rPr>
          <w:color w:val="000000" w:themeColor="text1"/>
          <w:highlight w:val="none"/>
          <w14:textFill>
            <w14:solidFill>
              <w14:schemeClr w14:val="tx1"/>
            </w14:solidFill>
          </w14:textFill>
        </w:rPr>
      </w:pPr>
    </w:p>
    <w:p w14:paraId="1A414F46">
      <w:pPr>
        <w:pStyle w:val="173"/>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本授权书声明：____________（供应商名称）授权________________（被授权人的姓名）为我方就</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号项目采购活动的合法代理人，以本公司名义全权处理一切与该项目采购有关的事务。</w:t>
      </w:r>
    </w:p>
    <w:p w14:paraId="6821A6D4">
      <w:pPr>
        <w:pStyle w:val="173"/>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本授权书于______年____月____日起生效，特此声明。</w:t>
      </w:r>
    </w:p>
    <w:p w14:paraId="23E1E533">
      <w:pPr>
        <w:pStyle w:val="173"/>
        <w:ind w:firstLine="0"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代理人（被授权人）：_______________________</w:t>
      </w:r>
    </w:p>
    <w:p w14:paraId="338B408A">
      <w:pPr>
        <w:pStyle w:val="173"/>
        <w:ind w:firstLine="0" w:firstLineChars="0"/>
        <w:rPr>
          <w:rFonts w:ascii="宋体" w:hAnsi="宋体" w:cs="宋体"/>
          <w:color w:val="000000" w:themeColor="text1"/>
          <w:sz w:val="24"/>
          <w:szCs w:val="24"/>
          <w:highlight w:val="none"/>
          <w14:textFill>
            <w14:solidFill>
              <w14:schemeClr w14:val="tx1"/>
            </w14:solidFill>
          </w14:textFill>
        </w:rPr>
      </w:pPr>
    </w:p>
    <w:p w14:paraId="1EA2EC0A">
      <w:pPr>
        <w:pStyle w:val="173"/>
        <w:ind w:firstLine="0"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单位名称：_____________________________________</w:t>
      </w:r>
    </w:p>
    <w:p w14:paraId="3AE5E6B5">
      <w:pPr>
        <w:pStyle w:val="173"/>
        <w:ind w:firstLine="480"/>
        <w:rPr>
          <w:rFonts w:ascii="宋体" w:hAnsi="宋体" w:cs="宋体"/>
          <w:color w:val="000000" w:themeColor="text1"/>
          <w:sz w:val="24"/>
          <w:szCs w:val="24"/>
          <w:highlight w:val="none"/>
          <w14:textFill>
            <w14:solidFill>
              <w14:schemeClr w14:val="tx1"/>
            </w14:solidFill>
          </w14:textFill>
        </w:rPr>
      </w:pPr>
    </w:p>
    <w:p w14:paraId="39D945F3">
      <w:pPr>
        <w:pStyle w:val="173"/>
        <w:ind w:firstLine="0"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授权单位盖章：_________________________________</w:t>
      </w:r>
    </w:p>
    <w:p w14:paraId="00C60143">
      <w:pPr>
        <w:pStyle w:val="173"/>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单位名称：_____________________________________</w:t>
      </w:r>
    </w:p>
    <w:p w14:paraId="044A51A1">
      <w:pPr>
        <w:pStyle w:val="173"/>
        <w:ind w:firstLine="48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地址：</w:t>
      </w:r>
    </w:p>
    <w:p w14:paraId="2D75EE1B">
      <w:pPr>
        <w:pStyle w:val="173"/>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日期：                    </w:t>
      </w:r>
    </w:p>
    <w:p w14:paraId="2176C035">
      <w:pPr>
        <w:pStyle w:val="5"/>
        <w:rPr>
          <w:rFonts w:ascii="宋体" w:hAnsi="宋体" w:cs="宋体"/>
          <w:color w:val="000000" w:themeColor="text1"/>
          <w:sz w:val="24"/>
          <w:szCs w:val="24"/>
          <w:highlight w:val="none"/>
          <w14:textFill>
            <w14:solidFill>
              <w14:schemeClr w14:val="tx1"/>
            </w14:solidFill>
          </w14:textFill>
        </w:rPr>
      </w:pPr>
      <w:bookmarkStart w:id="19" w:name="_Hlt26671380"/>
      <w:bookmarkEnd w:id="19"/>
      <w:bookmarkStart w:id="20" w:name="_Hlt26955070"/>
      <w:bookmarkEnd w:id="20"/>
      <w:bookmarkStart w:id="21" w:name="_格式3__银行出具的资信证明"/>
      <w:bookmarkEnd w:id="21"/>
    </w:p>
    <w:p w14:paraId="14E6FE2D">
      <w:pPr>
        <w:pStyle w:val="7"/>
        <w:rPr>
          <w:rFonts w:ascii="宋体" w:hAnsi="宋体" w:cs="宋体"/>
          <w:color w:val="000000" w:themeColor="text1"/>
          <w:highlight w:val="none"/>
          <w14:textFill>
            <w14:solidFill>
              <w14:schemeClr w14:val="tx1"/>
            </w14:solidFill>
          </w14:textFill>
        </w:rPr>
      </w:pPr>
    </w:p>
    <w:p w14:paraId="7BA6B47A">
      <w:pPr>
        <w:pStyle w:val="7"/>
        <w:rPr>
          <w:rFonts w:ascii="宋体" w:hAnsi="宋体" w:cs="宋体"/>
          <w:color w:val="000000" w:themeColor="text1"/>
          <w:highlight w:val="none"/>
          <w14:textFill>
            <w14:solidFill>
              <w14:schemeClr w14:val="tx1"/>
            </w14:solidFill>
          </w14:textFill>
        </w:rPr>
      </w:pPr>
    </w:p>
    <w:p w14:paraId="11BE2B83">
      <w:pPr>
        <w:pStyle w:val="7"/>
        <w:rPr>
          <w:rFonts w:ascii="宋体" w:hAnsi="宋体" w:cs="宋体"/>
          <w:color w:val="000000" w:themeColor="text1"/>
          <w:highlight w:val="none"/>
          <w14:textFill>
            <w14:solidFill>
              <w14:schemeClr w14:val="tx1"/>
            </w14:solidFill>
          </w14:textFill>
        </w:rPr>
      </w:pPr>
    </w:p>
    <w:p w14:paraId="68805053">
      <w:pPr>
        <w:pStyle w:val="7"/>
        <w:rPr>
          <w:rFonts w:ascii="宋体" w:hAnsi="宋体" w:cs="宋体"/>
          <w:color w:val="000000" w:themeColor="text1"/>
          <w:highlight w:val="none"/>
          <w14:textFill>
            <w14:solidFill>
              <w14:schemeClr w14:val="tx1"/>
            </w14:solidFill>
          </w14:textFill>
        </w:rPr>
      </w:pPr>
    </w:p>
    <w:p w14:paraId="61F82F99">
      <w:pPr>
        <w:pStyle w:val="7"/>
        <w:rPr>
          <w:rFonts w:ascii="宋体" w:hAnsi="宋体" w:cs="宋体"/>
          <w:color w:val="000000" w:themeColor="text1"/>
          <w:highlight w:val="none"/>
          <w14:textFill>
            <w14:solidFill>
              <w14:schemeClr w14:val="tx1"/>
            </w14:solidFill>
          </w14:textFill>
        </w:rPr>
      </w:pPr>
    </w:p>
    <w:p w14:paraId="7C89D26D">
      <w:pPr>
        <w:pStyle w:val="7"/>
        <w:rPr>
          <w:rFonts w:ascii="宋体" w:hAnsi="宋体" w:cs="宋体"/>
          <w:color w:val="000000" w:themeColor="text1"/>
          <w:highlight w:val="none"/>
          <w14:textFill>
            <w14:solidFill>
              <w14:schemeClr w14:val="tx1"/>
            </w14:solidFill>
          </w14:textFill>
        </w:rPr>
      </w:pPr>
    </w:p>
    <w:p w14:paraId="2C630D1B">
      <w:pPr>
        <w:pStyle w:val="7"/>
        <w:rPr>
          <w:rFonts w:ascii="宋体" w:hAnsi="宋体" w:cs="宋体"/>
          <w:color w:val="000000" w:themeColor="text1"/>
          <w:highlight w:val="none"/>
          <w14:textFill>
            <w14:solidFill>
              <w14:schemeClr w14:val="tx1"/>
            </w14:solidFill>
          </w14:textFill>
        </w:rPr>
      </w:pPr>
    </w:p>
    <w:p w14:paraId="6D7BBB91">
      <w:pPr>
        <w:pStyle w:val="7"/>
        <w:rPr>
          <w:rFonts w:ascii="宋体" w:hAnsi="宋体" w:cs="宋体"/>
          <w:color w:val="000000" w:themeColor="text1"/>
          <w:highlight w:val="none"/>
          <w14:textFill>
            <w14:solidFill>
              <w14:schemeClr w14:val="tx1"/>
            </w14:solidFill>
          </w14:textFill>
        </w:rPr>
      </w:pPr>
    </w:p>
    <w:p w14:paraId="2563F088">
      <w:pPr>
        <w:pStyle w:val="7"/>
        <w:rPr>
          <w:rFonts w:ascii="宋体" w:hAnsi="宋体" w:cs="宋体"/>
          <w:color w:val="000000" w:themeColor="text1"/>
          <w:highlight w:val="none"/>
          <w14:textFill>
            <w14:solidFill>
              <w14:schemeClr w14:val="tx1"/>
            </w14:solidFill>
          </w14:textFill>
        </w:rPr>
      </w:pPr>
    </w:p>
    <w:p w14:paraId="29F266B0">
      <w:pPr>
        <w:pStyle w:val="7"/>
        <w:rPr>
          <w:rFonts w:ascii="宋体" w:hAnsi="宋体" w:cs="宋体"/>
          <w:color w:val="000000" w:themeColor="text1"/>
          <w:highlight w:val="none"/>
          <w14:textFill>
            <w14:solidFill>
              <w14:schemeClr w14:val="tx1"/>
            </w14:solidFill>
          </w14:textFill>
        </w:rPr>
      </w:pPr>
    </w:p>
    <w:p w14:paraId="66484E30">
      <w:pPr>
        <w:pStyle w:val="7"/>
        <w:rPr>
          <w:rFonts w:ascii="宋体" w:hAnsi="宋体" w:cs="宋体"/>
          <w:color w:val="000000" w:themeColor="text1"/>
          <w:highlight w:val="none"/>
          <w14:textFill>
            <w14:solidFill>
              <w14:schemeClr w14:val="tx1"/>
            </w14:solidFill>
          </w14:textFill>
        </w:rPr>
      </w:pPr>
    </w:p>
    <w:p w14:paraId="5D1F9E1C">
      <w:pPr>
        <w:pStyle w:val="7"/>
        <w:rPr>
          <w:rFonts w:ascii="宋体" w:hAnsi="宋体" w:cs="宋体"/>
          <w:color w:val="000000" w:themeColor="text1"/>
          <w:highlight w:val="none"/>
          <w14:textFill>
            <w14:solidFill>
              <w14:schemeClr w14:val="tx1"/>
            </w14:solidFill>
          </w14:textFill>
        </w:rPr>
      </w:pPr>
    </w:p>
    <w:p w14:paraId="0F45B48E">
      <w:pPr>
        <w:spacing w:line="460" w:lineRule="exact"/>
        <w:rPr>
          <w:rFonts w:ascii="宋体" w:hAnsi="宋体" w:cs="宋体"/>
          <w:bCs/>
          <w:color w:val="000000" w:themeColor="text1"/>
          <w:sz w:val="24"/>
          <w:highlight w:val="none"/>
          <w14:textFill>
            <w14:solidFill>
              <w14:schemeClr w14:val="tx1"/>
            </w14:solidFill>
          </w14:textFill>
        </w:rPr>
      </w:pPr>
    </w:p>
    <w:p w14:paraId="09EE5EFB">
      <w:pPr>
        <w:spacing w:line="460" w:lineRule="exact"/>
        <w:rPr>
          <w:rFonts w:ascii="宋体" w:hAnsi="宋体" w:cs="宋体"/>
          <w:bCs/>
          <w:color w:val="000000" w:themeColor="text1"/>
          <w:sz w:val="24"/>
          <w:highlight w:val="none"/>
          <w14:textFill>
            <w14:solidFill>
              <w14:schemeClr w14:val="tx1"/>
            </w14:solidFill>
          </w14:textFill>
        </w:rPr>
      </w:pPr>
    </w:p>
    <w:p w14:paraId="250EF390">
      <w:pPr>
        <w:spacing w:line="560" w:lineRule="exact"/>
        <w:rPr>
          <w:rFonts w:ascii="宋体" w:hAnsi="宋体" w:cs="宋体"/>
          <w:bCs/>
          <w:color w:val="000000" w:themeColor="text1"/>
          <w:sz w:val="24"/>
          <w:highlight w:val="none"/>
          <w14:textFill>
            <w14:solidFill>
              <w14:schemeClr w14:val="tx1"/>
            </w14:solidFill>
          </w14:textFill>
        </w:rPr>
      </w:pPr>
    </w:p>
    <w:p w14:paraId="197C8334">
      <w:pPr>
        <w:snapToGrid w:val="0"/>
        <w:spacing w:before="50" w:after="50"/>
        <w:jc w:val="center"/>
        <w:outlineLvl w:val="0"/>
        <w:rPr>
          <w:rFonts w:ascii="宋体" w:hAnsi="宋体" w:cs="宋体"/>
          <w:color w:val="000000" w:themeColor="text1"/>
          <w:sz w:val="32"/>
          <w:szCs w:val="32"/>
          <w:highlight w:val="none"/>
          <w14:textFill>
            <w14:solidFill>
              <w14:schemeClr w14:val="tx1"/>
            </w14:solidFill>
          </w14:textFill>
        </w:rPr>
      </w:pPr>
      <w:bookmarkStart w:id="22" w:name="_Toc3822"/>
    </w:p>
    <w:p w14:paraId="4F81545D">
      <w:pP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br w:type="page"/>
      </w:r>
    </w:p>
    <w:p w14:paraId="5BC7AD35">
      <w:pPr>
        <w:snapToGrid w:val="0"/>
        <w:spacing w:before="50" w:after="50"/>
        <w:jc w:val="center"/>
        <w:outlineLvl w:val="0"/>
        <w:rPr>
          <w:rFonts w:ascii="宋体" w:hAnsi="宋体" w:cs="宋体"/>
          <w:color w:val="000000" w:themeColor="text1"/>
          <w:sz w:val="32"/>
          <w:szCs w:val="32"/>
          <w:highlight w:val="none"/>
          <w14:textFill>
            <w14:solidFill>
              <w14:schemeClr w14:val="tx1"/>
            </w14:solidFill>
          </w14:textFill>
        </w:rPr>
      </w:pPr>
    </w:p>
    <w:p w14:paraId="1912309A">
      <w:pPr>
        <w:snapToGrid w:val="0"/>
        <w:spacing w:before="50" w:after="50"/>
        <w:jc w:val="center"/>
        <w:outlineLvl w:val="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资格性审查响应对照表（格式）</w:t>
      </w:r>
      <w:bookmarkEnd w:id="22"/>
    </w:p>
    <w:p w14:paraId="66DC601D">
      <w:pPr>
        <w:pStyle w:val="26"/>
        <w:rPr>
          <w:color w:val="000000" w:themeColor="text1"/>
          <w:highlight w:val="none"/>
          <w14:textFill>
            <w14:solidFill>
              <w14:schemeClr w14:val="tx1"/>
            </w14:solidFill>
          </w14:textFill>
        </w:rPr>
      </w:pPr>
    </w:p>
    <w:p w14:paraId="3514A76C">
      <w:pPr>
        <w:ind w:firstLine="30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投标人全称（加盖公章）：</w:t>
      </w:r>
    </w:p>
    <w:tbl>
      <w:tblPr>
        <w:tblStyle w:val="27"/>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14:paraId="48714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071F1BD">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序号</w:t>
            </w:r>
          </w:p>
        </w:tc>
        <w:tc>
          <w:tcPr>
            <w:tcW w:w="5447" w:type="dxa"/>
            <w:vAlign w:val="center"/>
          </w:tcPr>
          <w:p w14:paraId="3A734EA3">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资格性审查响应内容</w:t>
            </w:r>
          </w:p>
        </w:tc>
        <w:tc>
          <w:tcPr>
            <w:tcW w:w="1680" w:type="dxa"/>
            <w:vAlign w:val="center"/>
          </w:tcPr>
          <w:p w14:paraId="4E580630">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是否响应</w:t>
            </w:r>
          </w:p>
          <w:p w14:paraId="5BB11BD0">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（填是或者否）</w:t>
            </w:r>
          </w:p>
        </w:tc>
        <w:tc>
          <w:tcPr>
            <w:tcW w:w="1785" w:type="dxa"/>
            <w:vAlign w:val="center"/>
          </w:tcPr>
          <w:p w14:paraId="23BC58DF">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投标文件中的</w:t>
            </w:r>
          </w:p>
          <w:p w14:paraId="5302239E">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页码位置</w:t>
            </w:r>
          </w:p>
        </w:tc>
      </w:tr>
      <w:tr w14:paraId="1616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4EFA8119">
            <w:pPr>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1</w:t>
            </w:r>
          </w:p>
        </w:tc>
        <w:tc>
          <w:tcPr>
            <w:tcW w:w="5447" w:type="dxa"/>
            <w:vAlign w:val="center"/>
          </w:tcPr>
          <w:p w14:paraId="36CF11B2">
            <w:pPr>
              <w:spacing w:line="480" w:lineRule="exact"/>
              <w:jc w:val="center"/>
              <w:rPr>
                <w:rFonts w:ascii="宋体" w:hAnsi="宋体" w:cs="宋体"/>
                <w:iCs/>
                <w:color w:val="000000" w:themeColor="text1"/>
                <w:sz w:val="24"/>
                <w:szCs w:val="24"/>
                <w:highlight w:val="none"/>
                <w14:textFill>
                  <w14:solidFill>
                    <w14:schemeClr w14:val="tx1"/>
                  </w14:solidFill>
                </w14:textFill>
              </w:rPr>
            </w:pPr>
          </w:p>
        </w:tc>
        <w:tc>
          <w:tcPr>
            <w:tcW w:w="1680" w:type="dxa"/>
            <w:vAlign w:val="center"/>
          </w:tcPr>
          <w:p w14:paraId="0362DC52">
            <w:pPr>
              <w:jc w:val="center"/>
              <w:rPr>
                <w:rFonts w:ascii="宋体" w:hAnsi="宋体" w:cs="宋体"/>
                <w:b/>
                <w:color w:val="000000" w:themeColor="text1"/>
                <w:highlight w:val="none"/>
                <w14:textFill>
                  <w14:solidFill>
                    <w14:schemeClr w14:val="tx1"/>
                  </w14:solidFill>
                </w14:textFill>
              </w:rPr>
            </w:pPr>
          </w:p>
        </w:tc>
        <w:tc>
          <w:tcPr>
            <w:tcW w:w="1785" w:type="dxa"/>
            <w:vAlign w:val="center"/>
          </w:tcPr>
          <w:p w14:paraId="71B89F55">
            <w:pPr>
              <w:jc w:val="center"/>
              <w:rPr>
                <w:rFonts w:ascii="宋体" w:hAnsi="宋体" w:cs="宋体"/>
                <w:b/>
                <w:color w:val="000000" w:themeColor="text1"/>
                <w:highlight w:val="none"/>
                <w14:textFill>
                  <w14:solidFill>
                    <w14:schemeClr w14:val="tx1"/>
                  </w14:solidFill>
                </w14:textFill>
              </w:rPr>
            </w:pPr>
          </w:p>
        </w:tc>
      </w:tr>
      <w:tr w14:paraId="13C4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5760D5FF">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5447" w:type="dxa"/>
            <w:vAlign w:val="center"/>
          </w:tcPr>
          <w:p w14:paraId="578AA3BE">
            <w:pPr>
              <w:spacing w:line="480" w:lineRule="exact"/>
              <w:jc w:val="center"/>
              <w:rPr>
                <w:rFonts w:ascii="宋体" w:hAnsi="宋体" w:cs="宋体"/>
                <w:iCs/>
                <w:color w:val="000000" w:themeColor="text1"/>
                <w:sz w:val="24"/>
                <w:szCs w:val="24"/>
                <w:highlight w:val="none"/>
                <w14:textFill>
                  <w14:solidFill>
                    <w14:schemeClr w14:val="tx1"/>
                  </w14:solidFill>
                </w14:textFill>
              </w:rPr>
            </w:pPr>
          </w:p>
        </w:tc>
        <w:tc>
          <w:tcPr>
            <w:tcW w:w="1680" w:type="dxa"/>
            <w:vAlign w:val="center"/>
          </w:tcPr>
          <w:p w14:paraId="50E4350B">
            <w:pPr>
              <w:jc w:val="center"/>
              <w:rPr>
                <w:rFonts w:ascii="宋体" w:hAnsi="宋体" w:cs="宋体"/>
                <w:color w:val="000000" w:themeColor="text1"/>
                <w:highlight w:val="none"/>
                <w14:textFill>
                  <w14:solidFill>
                    <w14:schemeClr w14:val="tx1"/>
                  </w14:solidFill>
                </w14:textFill>
              </w:rPr>
            </w:pPr>
          </w:p>
        </w:tc>
        <w:tc>
          <w:tcPr>
            <w:tcW w:w="1785" w:type="dxa"/>
            <w:vAlign w:val="center"/>
          </w:tcPr>
          <w:p w14:paraId="4AA5E46C">
            <w:pPr>
              <w:jc w:val="center"/>
              <w:rPr>
                <w:rFonts w:ascii="宋体" w:hAnsi="宋体" w:cs="宋体"/>
                <w:color w:val="000000" w:themeColor="text1"/>
                <w:highlight w:val="none"/>
                <w14:textFill>
                  <w14:solidFill>
                    <w14:schemeClr w14:val="tx1"/>
                  </w14:solidFill>
                </w14:textFill>
              </w:rPr>
            </w:pPr>
          </w:p>
        </w:tc>
      </w:tr>
      <w:tr w14:paraId="674FA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7C7C15F4">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5447" w:type="dxa"/>
            <w:vAlign w:val="center"/>
          </w:tcPr>
          <w:p w14:paraId="5ACBF561">
            <w:pPr>
              <w:spacing w:line="480" w:lineRule="exact"/>
              <w:jc w:val="center"/>
              <w:rPr>
                <w:rFonts w:ascii="宋体" w:hAnsi="宋体" w:cs="宋体"/>
                <w:iCs/>
                <w:color w:val="000000" w:themeColor="text1"/>
                <w:sz w:val="24"/>
                <w:szCs w:val="24"/>
                <w:highlight w:val="none"/>
                <w14:textFill>
                  <w14:solidFill>
                    <w14:schemeClr w14:val="tx1"/>
                  </w14:solidFill>
                </w14:textFill>
              </w:rPr>
            </w:pPr>
          </w:p>
        </w:tc>
        <w:tc>
          <w:tcPr>
            <w:tcW w:w="1680" w:type="dxa"/>
            <w:vAlign w:val="center"/>
          </w:tcPr>
          <w:p w14:paraId="18DCF0D7">
            <w:pPr>
              <w:jc w:val="center"/>
              <w:rPr>
                <w:rFonts w:ascii="宋体" w:hAnsi="宋体" w:cs="宋体"/>
                <w:color w:val="000000" w:themeColor="text1"/>
                <w:highlight w:val="none"/>
                <w14:textFill>
                  <w14:solidFill>
                    <w14:schemeClr w14:val="tx1"/>
                  </w14:solidFill>
                </w14:textFill>
              </w:rPr>
            </w:pPr>
          </w:p>
        </w:tc>
        <w:tc>
          <w:tcPr>
            <w:tcW w:w="1785" w:type="dxa"/>
            <w:vAlign w:val="center"/>
          </w:tcPr>
          <w:p w14:paraId="1183429E">
            <w:pPr>
              <w:jc w:val="center"/>
              <w:rPr>
                <w:rFonts w:ascii="宋体" w:hAnsi="宋体" w:cs="宋体"/>
                <w:color w:val="000000" w:themeColor="text1"/>
                <w:highlight w:val="none"/>
                <w14:textFill>
                  <w14:solidFill>
                    <w14:schemeClr w14:val="tx1"/>
                  </w14:solidFill>
                </w14:textFill>
              </w:rPr>
            </w:pPr>
          </w:p>
        </w:tc>
      </w:tr>
      <w:tr w14:paraId="79E0A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00F7D3D4">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5447" w:type="dxa"/>
            <w:vAlign w:val="center"/>
          </w:tcPr>
          <w:p w14:paraId="623E1634">
            <w:pPr>
              <w:spacing w:line="360" w:lineRule="auto"/>
              <w:jc w:val="center"/>
              <w:rPr>
                <w:rFonts w:ascii="宋体" w:hAnsi="宋体" w:cs="宋体"/>
                <w:iCs/>
                <w:color w:val="000000" w:themeColor="text1"/>
                <w:sz w:val="24"/>
                <w:szCs w:val="24"/>
                <w:highlight w:val="none"/>
                <w14:textFill>
                  <w14:solidFill>
                    <w14:schemeClr w14:val="tx1"/>
                  </w14:solidFill>
                </w14:textFill>
              </w:rPr>
            </w:pPr>
          </w:p>
        </w:tc>
        <w:tc>
          <w:tcPr>
            <w:tcW w:w="1680" w:type="dxa"/>
            <w:vAlign w:val="center"/>
          </w:tcPr>
          <w:p w14:paraId="38FB71F3">
            <w:pPr>
              <w:jc w:val="center"/>
              <w:rPr>
                <w:rFonts w:ascii="宋体" w:hAnsi="宋体" w:cs="宋体"/>
                <w:color w:val="000000" w:themeColor="text1"/>
                <w:highlight w:val="none"/>
                <w14:textFill>
                  <w14:solidFill>
                    <w14:schemeClr w14:val="tx1"/>
                  </w14:solidFill>
                </w14:textFill>
              </w:rPr>
            </w:pPr>
          </w:p>
        </w:tc>
        <w:tc>
          <w:tcPr>
            <w:tcW w:w="1785" w:type="dxa"/>
            <w:vAlign w:val="center"/>
          </w:tcPr>
          <w:p w14:paraId="29BD6A11">
            <w:pPr>
              <w:jc w:val="center"/>
              <w:rPr>
                <w:rFonts w:ascii="宋体" w:hAnsi="宋体" w:cs="宋体"/>
                <w:color w:val="000000" w:themeColor="text1"/>
                <w:highlight w:val="none"/>
                <w14:textFill>
                  <w14:solidFill>
                    <w14:schemeClr w14:val="tx1"/>
                  </w14:solidFill>
                </w14:textFill>
              </w:rPr>
            </w:pPr>
          </w:p>
        </w:tc>
      </w:tr>
      <w:tr w14:paraId="48E85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1E6E1784">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5447" w:type="dxa"/>
            <w:vAlign w:val="center"/>
          </w:tcPr>
          <w:p w14:paraId="703F0E44">
            <w:pPr>
              <w:snapToGrid w:val="0"/>
              <w:spacing w:line="590" w:lineRule="atLeast"/>
              <w:jc w:val="center"/>
              <w:rPr>
                <w:rFonts w:ascii="宋体" w:hAnsi="宋体" w:cs="宋体"/>
                <w:iCs/>
                <w:color w:val="000000" w:themeColor="text1"/>
                <w:sz w:val="24"/>
                <w:szCs w:val="24"/>
                <w:highlight w:val="none"/>
                <w14:textFill>
                  <w14:solidFill>
                    <w14:schemeClr w14:val="tx1"/>
                  </w14:solidFill>
                </w14:textFill>
              </w:rPr>
            </w:pPr>
          </w:p>
        </w:tc>
        <w:tc>
          <w:tcPr>
            <w:tcW w:w="1680" w:type="dxa"/>
            <w:vAlign w:val="center"/>
          </w:tcPr>
          <w:p w14:paraId="7966AFF2">
            <w:pPr>
              <w:jc w:val="center"/>
              <w:rPr>
                <w:rFonts w:ascii="宋体" w:hAnsi="宋体" w:cs="宋体"/>
                <w:color w:val="000000" w:themeColor="text1"/>
                <w:highlight w:val="none"/>
                <w14:textFill>
                  <w14:solidFill>
                    <w14:schemeClr w14:val="tx1"/>
                  </w14:solidFill>
                </w14:textFill>
              </w:rPr>
            </w:pPr>
          </w:p>
        </w:tc>
        <w:tc>
          <w:tcPr>
            <w:tcW w:w="1785" w:type="dxa"/>
            <w:vAlign w:val="center"/>
          </w:tcPr>
          <w:p w14:paraId="25F3C166">
            <w:pPr>
              <w:jc w:val="center"/>
              <w:rPr>
                <w:rFonts w:ascii="宋体" w:hAnsi="宋体" w:cs="宋体"/>
                <w:color w:val="000000" w:themeColor="text1"/>
                <w:highlight w:val="none"/>
                <w14:textFill>
                  <w14:solidFill>
                    <w14:schemeClr w14:val="tx1"/>
                  </w14:solidFill>
                </w14:textFill>
              </w:rPr>
            </w:pPr>
          </w:p>
        </w:tc>
      </w:tr>
      <w:tr w14:paraId="59B3B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4072D803">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5447" w:type="dxa"/>
            <w:vAlign w:val="center"/>
          </w:tcPr>
          <w:p w14:paraId="6C40CAC4">
            <w:pPr>
              <w:snapToGrid w:val="0"/>
              <w:spacing w:line="590" w:lineRule="atLeast"/>
              <w:jc w:val="center"/>
              <w:rPr>
                <w:rFonts w:ascii="宋体" w:hAnsi="宋体" w:cs="宋体"/>
                <w:iCs/>
                <w:color w:val="000000" w:themeColor="text1"/>
                <w:sz w:val="24"/>
                <w:szCs w:val="24"/>
                <w:highlight w:val="none"/>
                <w14:textFill>
                  <w14:solidFill>
                    <w14:schemeClr w14:val="tx1"/>
                  </w14:solidFill>
                </w14:textFill>
              </w:rPr>
            </w:pPr>
          </w:p>
        </w:tc>
        <w:tc>
          <w:tcPr>
            <w:tcW w:w="1680" w:type="dxa"/>
            <w:vAlign w:val="center"/>
          </w:tcPr>
          <w:p w14:paraId="43D9E387">
            <w:pPr>
              <w:jc w:val="center"/>
              <w:rPr>
                <w:rFonts w:ascii="宋体" w:hAnsi="宋体" w:cs="宋体"/>
                <w:color w:val="000000" w:themeColor="text1"/>
                <w:highlight w:val="none"/>
                <w14:textFill>
                  <w14:solidFill>
                    <w14:schemeClr w14:val="tx1"/>
                  </w14:solidFill>
                </w14:textFill>
              </w:rPr>
            </w:pPr>
          </w:p>
        </w:tc>
        <w:tc>
          <w:tcPr>
            <w:tcW w:w="1785" w:type="dxa"/>
            <w:vAlign w:val="center"/>
          </w:tcPr>
          <w:p w14:paraId="0E7EE5CA">
            <w:pPr>
              <w:jc w:val="center"/>
              <w:rPr>
                <w:rFonts w:ascii="宋体" w:hAnsi="宋体" w:cs="宋体"/>
                <w:color w:val="000000" w:themeColor="text1"/>
                <w:highlight w:val="none"/>
                <w14:textFill>
                  <w14:solidFill>
                    <w14:schemeClr w14:val="tx1"/>
                  </w14:solidFill>
                </w14:textFill>
              </w:rPr>
            </w:pPr>
          </w:p>
        </w:tc>
      </w:tr>
      <w:tr w14:paraId="3DF7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31BC0B92">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5447" w:type="dxa"/>
            <w:vAlign w:val="center"/>
          </w:tcPr>
          <w:p w14:paraId="68A6F7CD">
            <w:pPr>
              <w:snapToGrid w:val="0"/>
              <w:spacing w:line="590" w:lineRule="atLeast"/>
              <w:jc w:val="center"/>
              <w:rPr>
                <w:rFonts w:ascii="宋体" w:hAnsi="宋体" w:cs="宋体"/>
                <w:iCs/>
                <w:color w:val="000000" w:themeColor="text1"/>
                <w:sz w:val="24"/>
                <w:szCs w:val="24"/>
                <w:highlight w:val="none"/>
                <w14:textFill>
                  <w14:solidFill>
                    <w14:schemeClr w14:val="tx1"/>
                  </w14:solidFill>
                </w14:textFill>
              </w:rPr>
            </w:pPr>
          </w:p>
        </w:tc>
        <w:tc>
          <w:tcPr>
            <w:tcW w:w="1680" w:type="dxa"/>
            <w:vAlign w:val="center"/>
          </w:tcPr>
          <w:p w14:paraId="326744DB">
            <w:pPr>
              <w:jc w:val="center"/>
              <w:rPr>
                <w:rFonts w:ascii="宋体" w:hAnsi="宋体" w:cs="宋体"/>
                <w:color w:val="000000" w:themeColor="text1"/>
                <w:highlight w:val="none"/>
                <w14:textFill>
                  <w14:solidFill>
                    <w14:schemeClr w14:val="tx1"/>
                  </w14:solidFill>
                </w14:textFill>
              </w:rPr>
            </w:pPr>
          </w:p>
        </w:tc>
        <w:tc>
          <w:tcPr>
            <w:tcW w:w="1785" w:type="dxa"/>
            <w:vAlign w:val="center"/>
          </w:tcPr>
          <w:p w14:paraId="52D3714D">
            <w:pPr>
              <w:jc w:val="center"/>
              <w:rPr>
                <w:rFonts w:ascii="宋体" w:hAnsi="宋体" w:cs="宋体"/>
                <w:color w:val="000000" w:themeColor="text1"/>
                <w:highlight w:val="none"/>
                <w14:textFill>
                  <w14:solidFill>
                    <w14:schemeClr w14:val="tx1"/>
                  </w14:solidFill>
                </w14:textFill>
              </w:rPr>
            </w:pPr>
          </w:p>
        </w:tc>
      </w:tr>
    </w:tbl>
    <w:p w14:paraId="019E88D2">
      <w:pPr>
        <w:spacing w:line="440" w:lineRule="exact"/>
        <w:ind w:firstLine="480" w:firstLineChars="200"/>
        <w:rPr>
          <w:rFonts w:ascii="宋体" w:hAnsi="宋体" w:cs="宋体"/>
          <w:color w:val="000000" w:themeColor="text1"/>
          <w:sz w:val="24"/>
          <w:highlight w:val="none"/>
          <w14:textFill>
            <w14:solidFill>
              <w14:schemeClr w14:val="tx1"/>
            </w14:solidFill>
          </w14:textFill>
        </w:rPr>
      </w:pPr>
    </w:p>
    <w:p w14:paraId="61838602">
      <w:pPr>
        <w:snapToGrid w:val="0"/>
        <w:spacing w:before="50" w:after="50"/>
        <w:rPr>
          <w:rFonts w:ascii="宋体" w:hAnsi="宋体" w:cs="宋体"/>
          <w:color w:val="000000" w:themeColor="text1"/>
          <w:sz w:val="44"/>
          <w:highlight w:val="none"/>
          <w14:textFill>
            <w14:solidFill>
              <w14:schemeClr w14:val="tx1"/>
            </w14:solidFill>
          </w14:textFill>
        </w:rPr>
      </w:pPr>
    </w:p>
    <w:p w14:paraId="27E44384">
      <w:pPr>
        <w:snapToGrid w:val="0"/>
        <w:spacing w:before="50" w:after="50"/>
        <w:rPr>
          <w:rFonts w:ascii="宋体" w:hAnsi="宋体" w:cs="宋体"/>
          <w:color w:val="000000" w:themeColor="text1"/>
          <w:sz w:val="44"/>
          <w:highlight w:val="none"/>
          <w14:textFill>
            <w14:solidFill>
              <w14:schemeClr w14:val="tx1"/>
            </w14:solidFill>
          </w14:textFill>
        </w:rPr>
      </w:pPr>
    </w:p>
    <w:p w14:paraId="2C48E884">
      <w:pPr>
        <w:snapToGrid w:val="0"/>
        <w:spacing w:before="50" w:after="50"/>
        <w:rPr>
          <w:rFonts w:ascii="宋体" w:hAnsi="宋体" w:cs="宋体"/>
          <w:color w:val="000000" w:themeColor="text1"/>
          <w:sz w:val="44"/>
          <w:highlight w:val="none"/>
          <w14:textFill>
            <w14:solidFill>
              <w14:schemeClr w14:val="tx1"/>
            </w14:solidFill>
          </w14:textFill>
        </w:rPr>
      </w:pPr>
    </w:p>
    <w:p w14:paraId="754F7EC5">
      <w:pPr>
        <w:snapToGrid w:val="0"/>
        <w:spacing w:before="50" w:after="50"/>
        <w:rPr>
          <w:rFonts w:ascii="宋体" w:hAnsi="宋体" w:cs="宋体"/>
          <w:color w:val="000000" w:themeColor="text1"/>
          <w:sz w:val="44"/>
          <w:highlight w:val="none"/>
          <w14:textFill>
            <w14:solidFill>
              <w14:schemeClr w14:val="tx1"/>
            </w14:solidFill>
          </w14:textFill>
        </w:rPr>
      </w:pPr>
    </w:p>
    <w:p w14:paraId="4B7C2062">
      <w:pPr>
        <w:snapToGrid w:val="0"/>
        <w:spacing w:before="50" w:after="50"/>
        <w:rPr>
          <w:rFonts w:ascii="宋体" w:hAnsi="宋体" w:cs="宋体"/>
          <w:color w:val="000000" w:themeColor="text1"/>
          <w:sz w:val="44"/>
          <w:highlight w:val="none"/>
          <w14:textFill>
            <w14:solidFill>
              <w14:schemeClr w14:val="tx1"/>
            </w14:solidFill>
          </w14:textFill>
        </w:rPr>
      </w:pPr>
    </w:p>
    <w:p w14:paraId="2C1B5CD7">
      <w:pPr>
        <w:snapToGrid w:val="0"/>
        <w:spacing w:before="50" w:after="50"/>
        <w:jc w:val="center"/>
        <w:rPr>
          <w:rFonts w:ascii="宋体" w:hAnsi="宋体" w:cs="宋体"/>
          <w:color w:val="000000" w:themeColor="text1"/>
          <w:sz w:val="32"/>
          <w:szCs w:val="32"/>
          <w:highlight w:val="none"/>
          <w14:textFill>
            <w14:solidFill>
              <w14:schemeClr w14:val="tx1"/>
            </w14:solidFill>
          </w14:textFill>
        </w:rPr>
      </w:pPr>
    </w:p>
    <w:p w14:paraId="4FD13F69">
      <w:pPr>
        <w:snapToGrid w:val="0"/>
        <w:spacing w:before="50" w:after="50"/>
        <w:jc w:val="center"/>
        <w:rPr>
          <w:rFonts w:ascii="宋体" w:hAnsi="宋体" w:cs="宋体"/>
          <w:color w:val="000000" w:themeColor="text1"/>
          <w:sz w:val="32"/>
          <w:szCs w:val="32"/>
          <w:highlight w:val="none"/>
          <w14:textFill>
            <w14:solidFill>
              <w14:schemeClr w14:val="tx1"/>
            </w14:solidFill>
          </w14:textFill>
        </w:rPr>
      </w:pPr>
    </w:p>
    <w:p w14:paraId="795638A3">
      <w:pPr>
        <w:snapToGrid w:val="0"/>
        <w:spacing w:before="50" w:after="50"/>
        <w:jc w:val="center"/>
        <w:outlineLvl w:val="0"/>
        <w:rPr>
          <w:rFonts w:ascii="宋体" w:hAnsi="宋体" w:cs="宋体"/>
          <w:color w:val="000000" w:themeColor="text1"/>
          <w:sz w:val="32"/>
          <w:szCs w:val="32"/>
          <w:highlight w:val="none"/>
          <w14:textFill>
            <w14:solidFill>
              <w14:schemeClr w14:val="tx1"/>
            </w14:solidFill>
          </w14:textFill>
        </w:rPr>
      </w:pPr>
      <w:bookmarkStart w:id="23" w:name="_Toc26324"/>
      <w:r>
        <w:rPr>
          <w:rFonts w:hint="eastAsia" w:ascii="宋体" w:hAnsi="宋体" w:cs="宋体"/>
          <w:color w:val="000000" w:themeColor="text1"/>
          <w:sz w:val="32"/>
          <w:szCs w:val="32"/>
          <w:highlight w:val="none"/>
          <w14:textFill>
            <w14:solidFill>
              <w14:schemeClr w14:val="tx1"/>
            </w14:solidFill>
          </w14:textFill>
        </w:rPr>
        <w:t>符合性检查响应对照表（格式）</w:t>
      </w:r>
      <w:bookmarkEnd w:id="23"/>
    </w:p>
    <w:p w14:paraId="4FBE6A53">
      <w:pPr>
        <w:ind w:firstLine="30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投标人全称（加盖公章）：</w:t>
      </w:r>
    </w:p>
    <w:tbl>
      <w:tblPr>
        <w:tblStyle w:val="27"/>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14:paraId="7E5EA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1F798346">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序号</w:t>
            </w:r>
          </w:p>
        </w:tc>
        <w:tc>
          <w:tcPr>
            <w:tcW w:w="5447" w:type="dxa"/>
            <w:vAlign w:val="center"/>
          </w:tcPr>
          <w:p w14:paraId="1304D1C5">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符合性检查响应内容</w:t>
            </w:r>
          </w:p>
        </w:tc>
        <w:tc>
          <w:tcPr>
            <w:tcW w:w="1680" w:type="dxa"/>
            <w:vAlign w:val="center"/>
          </w:tcPr>
          <w:p w14:paraId="68DD7337">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是否响应</w:t>
            </w:r>
          </w:p>
          <w:p w14:paraId="28F1FE37">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（填是或者否）</w:t>
            </w:r>
          </w:p>
        </w:tc>
        <w:tc>
          <w:tcPr>
            <w:tcW w:w="1785" w:type="dxa"/>
            <w:vAlign w:val="center"/>
          </w:tcPr>
          <w:p w14:paraId="0795EC97">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投标文件中的</w:t>
            </w:r>
          </w:p>
          <w:p w14:paraId="2F58E2B9">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页码位置</w:t>
            </w:r>
          </w:p>
        </w:tc>
      </w:tr>
      <w:tr w14:paraId="15F2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7570FD4F">
            <w:pPr>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1</w:t>
            </w:r>
          </w:p>
        </w:tc>
        <w:tc>
          <w:tcPr>
            <w:tcW w:w="5447" w:type="dxa"/>
            <w:vAlign w:val="center"/>
          </w:tcPr>
          <w:p w14:paraId="3D37DBD4">
            <w:pPr>
              <w:spacing w:line="480" w:lineRule="exact"/>
              <w:jc w:val="center"/>
              <w:rPr>
                <w:rFonts w:ascii="宋体" w:hAnsi="宋体" w:cs="宋体"/>
                <w:iCs/>
                <w:color w:val="000000" w:themeColor="text1"/>
                <w:sz w:val="24"/>
                <w:szCs w:val="24"/>
                <w:highlight w:val="none"/>
                <w14:textFill>
                  <w14:solidFill>
                    <w14:schemeClr w14:val="tx1"/>
                  </w14:solidFill>
                </w14:textFill>
              </w:rPr>
            </w:pPr>
          </w:p>
        </w:tc>
        <w:tc>
          <w:tcPr>
            <w:tcW w:w="1680" w:type="dxa"/>
            <w:vAlign w:val="center"/>
          </w:tcPr>
          <w:p w14:paraId="7054CCEC">
            <w:pPr>
              <w:jc w:val="center"/>
              <w:rPr>
                <w:rFonts w:ascii="宋体" w:hAnsi="宋体" w:cs="宋体"/>
                <w:b/>
                <w:color w:val="000000" w:themeColor="text1"/>
                <w:highlight w:val="none"/>
                <w14:textFill>
                  <w14:solidFill>
                    <w14:schemeClr w14:val="tx1"/>
                  </w14:solidFill>
                </w14:textFill>
              </w:rPr>
            </w:pPr>
          </w:p>
        </w:tc>
        <w:tc>
          <w:tcPr>
            <w:tcW w:w="1785" w:type="dxa"/>
            <w:vAlign w:val="center"/>
          </w:tcPr>
          <w:p w14:paraId="3C54001D">
            <w:pPr>
              <w:jc w:val="center"/>
              <w:rPr>
                <w:rFonts w:ascii="宋体" w:hAnsi="宋体" w:cs="宋体"/>
                <w:b/>
                <w:color w:val="000000" w:themeColor="text1"/>
                <w:highlight w:val="none"/>
                <w14:textFill>
                  <w14:solidFill>
                    <w14:schemeClr w14:val="tx1"/>
                  </w14:solidFill>
                </w14:textFill>
              </w:rPr>
            </w:pPr>
          </w:p>
        </w:tc>
      </w:tr>
      <w:tr w14:paraId="091A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0449DB26">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5447" w:type="dxa"/>
            <w:vAlign w:val="center"/>
          </w:tcPr>
          <w:p w14:paraId="52FA1744">
            <w:pPr>
              <w:spacing w:line="480" w:lineRule="exact"/>
              <w:jc w:val="center"/>
              <w:rPr>
                <w:rFonts w:ascii="宋体" w:hAnsi="宋体" w:cs="宋体"/>
                <w:iCs/>
                <w:color w:val="000000" w:themeColor="text1"/>
                <w:sz w:val="24"/>
                <w:szCs w:val="24"/>
                <w:highlight w:val="none"/>
                <w14:textFill>
                  <w14:solidFill>
                    <w14:schemeClr w14:val="tx1"/>
                  </w14:solidFill>
                </w14:textFill>
              </w:rPr>
            </w:pPr>
          </w:p>
        </w:tc>
        <w:tc>
          <w:tcPr>
            <w:tcW w:w="1680" w:type="dxa"/>
            <w:vAlign w:val="center"/>
          </w:tcPr>
          <w:p w14:paraId="060BD6D6">
            <w:pPr>
              <w:jc w:val="center"/>
              <w:rPr>
                <w:rFonts w:ascii="宋体" w:hAnsi="宋体" w:cs="宋体"/>
                <w:color w:val="000000" w:themeColor="text1"/>
                <w:highlight w:val="none"/>
                <w14:textFill>
                  <w14:solidFill>
                    <w14:schemeClr w14:val="tx1"/>
                  </w14:solidFill>
                </w14:textFill>
              </w:rPr>
            </w:pPr>
          </w:p>
        </w:tc>
        <w:tc>
          <w:tcPr>
            <w:tcW w:w="1785" w:type="dxa"/>
            <w:vAlign w:val="center"/>
          </w:tcPr>
          <w:p w14:paraId="1A6A9BFB">
            <w:pPr>
              <w:jc w:val="center"/>
              <w:rPr>
                <w:rFonts w:ascii="宋体" w:hAnsi="宋体" w:cs="宋体"/>
                <w:color w:val="000000" w:themeColor="text1"/>
                <w:highlight w:val="none"/>
                <w14:textFill>
                  <w14:solidFill>
                    <w14:schemeClr w14:val="tx1"/>
                  </w14:solidFill>
                </w14:textFill>
              </w:rPr>
            </w:pPr>
          </w:p>
        </w:tc>
      </w:tr>
      <w:tr w14:paraId="220B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18704DF1">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5447" w:type="dxa"/>
            <w:vAlign w:val="center"/>
          </w:tcPr>
          <w:p w14:paraId="4E1EE166">
            <w:pPr>
              <w:spacing w:line="480" w:lineRule="exact"/>
              <w:jc w:val="center"/>
              <w:rPr>
                <w:rFonts w:ascii="宋体" w:hAnsi="宋体" w:cs="宋体"/>
                <w:iCs/>
                <w:color w:val="000000" w:themeColor="text1"/>
                <w:sz w:val="24"/>
                <w:szCs w:val="24"/>
                <w:highlight w:val="none"/>
                <w14:textFill>
                  <w14:solidFill>
                    <w14:schemeClr w14:val="tx1"/>
                  </w14:solidFill>
                </w14:textFill>
              </w:rPr>
            </w:pPr>
          </w:p>
        </w:tc>
        <w:tc>
          <w:tcPr>
            <w:tcW w:w="1680" w:type="dxa"/>
            <w:vAlign w:val="center"/>
          </w:tcPr>
          <w:p w14:paraId="6C1C5884">
            <w:pPr>
              <w:jc w:val="center"/>
              <w:rPr>
                <w:rFonts w:ascii="宋体" w:hAnsi="宋体" w:cs="宋体"/>
                <w:color w:val="000000" w:themeColor="text1"/>
                <w:highlight w:val="none"/>
                <w14:textFill>
                  <w14:solidFill>
                    <w14:schemeClr w14:val="tx1"/>
                  </w14:solidFill>
                </w14:textFill>
              </w:rPr>
            </w:pPr>
          </w:p>
        </w:tc>
        <w:tc>
          <w:tcPr>
            <w:tcW w:w="1785" w:type="dxa"/>
            <w:vAlign w:val="center"/>
          </w:tcPr>
          <w:p w14:paraId="7A8326E8">
            <w:pPr>
              <w:jc w:val="center"/>
              <w:rPr>
                <w:rFonts w:ascii="宋体" w:hAnsi="宋体" w:cs="宋体"/>
                <w:color w:val="000000" w:themeColor="text1"/>
                <w:highlight w:val="none"/>
                <w14:textFill>
                  <w14:solidFill>
                    <w14:schemeClr w14:val="tx1"/>
                  </w14:solidFill>
                </w14:textFill>
              </w:rPr>
            </w:pPr>
          </w:p>
        </w:tc>
      </w:tr>
      <w:tr w14:paraId="5060D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32C55181">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5447" w:type="dxa"/>
            <w:vAlign w:val="center"/>
          </w:tcPr>
          <w:p w14:paraId="46291080">
            <w:pPr>
              <w:spacing w:line="360" w:lineRule="auto"/>
              <w:jc w:val="center"/>
              <w:rPr>
                <w:rFonts w:ascii="宋体" w:hAnsi="宋体" w:cs="宋体"/>
                <w:iCs/>
                <w:color w:val="000000" w:themeColor="text1"/>
                <w:sz w:val="24"/>
                <w:szCs w:val="24"/>
                <w:highlight w:val="none"/>
                <w14:textFill>
                  <w14:solidFill>
                    <w14:schemeClr w14:val="tx1"/>
                  </w14:solidFill>
                </w14:textFill>
              </w:rPr>
            </w:pPr>
          </w:p>
        </w:tc>
        <w:tc>
          <w:tcPr>
            <w:tcW w:w="1680" w:type="dxa"/>
            <w:vAlign w:val="center"/>
          </w:tcPr>
          <w:p w14:paraId="05A49173">
            <w:pPr>
              <w:jc w:val="center"/>
              <w:rPr>
                <w:rFonts w:ascii="宋体" w:hAnsi="宋体" w:cs="宋体"/>
                <w:color w:val="000000" w:themeColor="text1"/>
                <w:highlight w:val="none"/>
                <w14:textFill>
                  <w14:solidFill>
                    <w14:schemeClr w14:val="tx1"/>
                  </w14:solidFill>
                </w14:textFill>
              </w:rPr>
            </w:pPr>
          </w:p>
        </w:tc>
        <w:tc>
          <w:tcPr>
            <w:tcW w:w="1785" w:type="dxa"/>
            <w:vAlign w:val="center"/>
          </w:tcPr>
          <w:p w14:paraId="1F299C6D">
            <w:pPr>
              <w:jc w:val="center"/>
              <w:rPr>
                <w:rFonts w:ascii="宋体" w:hAnsi="宋体" w:cs="宋体"/>
                <w:color w:val="000000" w:themeColor="text1"/>
                <w:highlight w:val="none"/>
                <w14:textFill>
                  <w14:solidFill>
                    <w14:schemeClr w14:val="tx1"/>
                  </w14:solidFill>
                </w14:textFill>
              </w:rPr>
            </w:pPr>
          </w:p>
        </w:tc>
      </w:tr>
      <w:tr w14:paraId="0211B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1434CA22">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5447" w:type="dxa"/>
            <w:vAlign w:val="center"/>
          </w:tcPr>
          <w:p w14:paraId="7A96BD2E">
            <w:pPr>
              <w:snapToGrid w:val="0"/>
              <w:spacing w:line="590" w:lineRule="atLeast"/>
              <w:jc w:val="center"/>
              <w:rPr>
                <w:rFonts w:ascii="宋体" w:hAnsi="宋体" w:cs="宋体"/>
                <w:iCs/>
                <w:color w:val="000000" w:themeColor="text1"/>
                <w:sz w:val="24"/>
                <w:szCs w:val="24"/>
                <w:highlight w:val="none"/>
                <w14:textFill>
                  <w14:solidFill>
                    <w14:schemeClr w14:val="tx1"/>
                  </w14:solidFill>
                </w14:textFill>
              </w:rPr>
            </w:pPr>
          </w:p>
        </w:tc>
        <w:tc>
          <w:tcPr>
            <w:tcW w:w="1680" w:type="dxa"/>
            <w:vAlign w:val="center"/>
          </w:tcPr>
          <w:p w14:paraId="0BF5CDD1">
            <w:pPr>
              <w:jc w:val="center"/>
              <w:rPr>
                <w:rFonts w:ascii="宋体" w:hAnsi="宋体" w:cs="宋体"/>
                <w:color w:val="000000" w:themeColor="text1"/>
                <w:highlight w:val="none"/>
                <w14:textFill>
                  <w14:solidFill>
                    <w14:schemeClr w14:val="tx1"/>
                  </w14:solidFill>
                </w14:textFill>
              </w:rPr>
            </w:pPr>
          </w:p>
        </w:tc>
        <w:tc>
          <w:tcPr>
            <w:tcW w:w="1785" w:type="dxa"/>
            <w:vAlign w:val="center"/>
          </w:tcPr>
          <w:p w14:paraId="71EC1D51">
            <w:pPr>
              <w:jc w:val="center"/>
              <w:rPr>
                <w:rFonts w:ascii="宋体" w:hAnsi="宋体" w:cs="宋体"/>
                <w:color w:val="000000" w:themeColor="text1"/>
                <w:highlight w:val="none"/>
                <w14:textFill>
                  <w14:solidFill>
                    <w14:schemeClr w14:val="tx1"/>
                  </w14:solidFill>
                </w14:textFill>
              </w:rPr>
            </w:pPr>
          </w:p>
        </w:tc>
      </w:tr>
      <w:tr w14:paraId="53A8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1D287B27">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5447" w:type="dxa"/>
            <w:vAlign w:val="center"/>
          </w:tcPr>
          <w:p w14:paraId="2FD94DA3">
            <w:pPr>
              <w:snapToGrid w:val="0"/>
              <w:spacing w:line="590" w:lineRule="atLeast"/>
              <w:jc w:val="center"/>
              <w:rPr>
                <w:rFonts w:ascii="宋体" w:hAnsi="宋体" w:cs="宋体"/>
                <w:iCs/>
                <w:color w:val="000000" w:themeColor="text1"/>
                <w:sz w:val="24"/>
                <w:szCs w:val="24"/>
                <w:highlight w:val="none"/>
                <w14:textFill>
                  <w14:solidFill>
                    <w14:schemeClr w14:val="tx1"/>
                  </w14:solidFill>
                </w14:textFill>
              </w:rPr>
            </w:pPr>
          </w:p>
        </w:tc>
        <w:tc>
          <w:tcPr>
            <w:tcW w:w="1680" w:type="dxa"/>
            <w:vAlign w:val="center"/>
          </w:tcPr>
          <w:p w14:paraId="5F3E5071">
            <w:pPr>
              <w:jc w:val="center"/>
              <w:rPr>
                <w:rFonts w:ascii="宋体" w:hAnsi="宋体" w:cs="宋体"/>
                <w:color w:val="000000" w:themeColor="text1"/>
                <w:highlight w:val="none"/>
                <w14:textFill>
                  <w14:solidFill>
                    <w14:schemeClr w14:val="tx1"/>
                  </w14:solidFill>
                </w14:textFill>
              </w:rPr>
            </w:pPr>
          </w:p>
        </w:tc>
        <w:tc>
          <w:tcPr>
            <w:tcW w:w="1785" w:type="dxa"/>
            <w:vAlign w:val="center"/>
          </w:tcPr>
          <w:p w14:paraId="02BC19CC">
            <w:pPr>
              <w:jc w:val="center"/>
              <w:rPr>
                <w:rFonts w:ascii="宋体" w:hAnsi="宋体" w:cs="宋体"/>
                <w:color w:val="000000" w:themeColor="text1"/>
                <w:highlight w:val="none"/>
                <w14:textFill>
                  <w14:solidFill>
                    <w14:schemeClr w14:val="tx1"/>
                  </w14:solidFill>
                </w14:textFill>
              </w:rPr>
            </w:pPr>
          </w:p>
        </w:tc>
      </w:tr>
      <w:tr w14:paraId="5018F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787EA0D4">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5447" w:type="dxa"/>
            <w:vAlign w:val="center"/>
          </w:tcPr>
          <w:p w14:paraId="1276D997">
            <w:pPr>
              <w:snapToGrid w:val="0"/>
              <w:spacing w:line="590" w:lineRule="atLeast"/>
              <w:jc w:val="center"/>
              <w:rPr>
                <w:rFonts w:ascii="宋体" w:hAnsi="宋体" w:cs="宋体"/>
                <w:iCs/>
                <w:color w:val="000000" w:themeColor="text1"/>
                <w:sz w:val="24"/>
                <w:szCs w:val="24"/>
                <w:highlight w:val="none"/>
                <w14:textFill>
                  <w14:solidFill>
                    <w14:schemeClr w14:val="tx1"/>
                  </w14:solidFill>
                </w14:textFill>
              </w:rPr>
            </w:pPr>
            <w:r>
              <w:rPr>
                <w:rFonts w:hint="eastAsia" w:ascii="宋体" w:hAnsi="宋体" w:cs="宋体"/>
                <w:iCs/>
                <w:color w:val="000000" w:themeColor="text1"/>
                <w:sz w:val="24"/>
                <w:szCs w:val="24"/>
                <w:highlight w:val="none"/>
                <w14:textFill>
                  <w14:solidFill>
                    <w14:schemeClr w14:val="tx1"/>
                  </w14:solidFill>
                </w14:textFill>
              </w:rPr>
              <w:t>招标文件中的其他实质性要求</w:t>
            </w:r>
          </w:p>
        </w:tc>
        <w:tc>
          <w:tcPr>
            <w:tcW w:w="1680" w:type="dxa"/>
            <w:vAlign w:val="center"/>
          </w:tcPr>
          <w:p w14:paraId="2E173780">
            <w:pPr>
              <w:jc w:val="center"/>
              <w:rPr>
                <w:rFonts w:ascii="宋体" w:hAnsi="宋体" w:cs="宋体"/>
                <w:color w:val="000000" w:themeColor="text1"/>
                <w:highlight w:val="none"/>
                <w14:textFill>
                  <w14:solidFill>
                    <w14:schemeClr w14:val="tx1"/>
                  </w14:solidFill>
                </w14:textFill>
              </w:rPr>
            </w:pPr>
          </w:p>
        </w:tc>
        <w:tc>
          <w:tcPr>
            <w:tcW w:w="1785" w:type="dxa"/>
            <w:vAlign w:val="center"/>
          </w:tcPr>
          <w:p w14:paraId="77D66510">
            <w:pPr>
              <w:jc w:val="center"/>
              <w:rPr>
                <w:rFonts w:ascii="宋体" w:hAnsi="宋体" w:cs="宋体"/>
                <w:color w:val="000000" w:themeColor="text1"/>
                <w:highlight w:val="none"/>
                <w14:textFill>
                  <w14:solidFill>
                    <w14:schemeClr w14:val="tx1"/>
                  </w14:solidFill>
                </w14:textFill>
              </w:rPr>
            </w:pPr>
          </w:p>
        </w:tc>
      </w:tr>
    </w:tbl>
    <w:p w14:paraId="5C73B9BE">
      <w:pPr>
        <w:snapToGrid w:val="0"/>
        <w:spacing w:before="50" w:after="50"/>
        <w:rPr>
          <w:rFonts w:ascii="宋体" w:hAnsi="宋体" w:cs="宋体"/>
          <w:color w:val="000000" w:themeColor="text1"/>
          <w:sz w:val="44"/>
          <w:highlight w:val="none"/>
          <w14:textFill>
            <w14:solidFill>
              <w14:schemeClr w14:val="tx1"/>
            </w14:solidFill>
          </w14:textFill>
        </w:rPr>
      </w:pPr>
    </w:p>
    <w:p w14:paraId="7DAFF5B4">
      <w:pPr>
        <w:snapToGrid w:val="0"/>
        <w:spacing w:before="50" w:after="50"/>
        <w:rPr>
          <w:rFonts w:ascii="宋体" w:hAnsi="宋体" w:cs="宋体"/>
          <w:color w:val="000000" w:themeColor="text1"/>
          <w:sz w:val="44"/>
          <w:highlight w:val="none"/>
          <w14:textFill>
            <w14:solidFill>
              <w14:schemeClr w14:val="tx1"/>
            </w14:solidFill>
          </w14:textFill>
        </w:rPr>
      </w:pPr>
    </w:p>
    <w:p w14:paraId="0A669956">
      <w:pPr>
        <w:snapToGrid w:val="0"/>
        <w:spacing w:before="50" w:after="50"/>
        <w:rPr>
          <w:rFonts w:ascii="宋体" w:hAnsi="宋体" w:cs="宋体"/>
          <w:color w:val="000000" w:themeColor="text1"/>
          <w:sz w:val="44"/>
          <w:highlight w:val="none"/>
          <w14:textFill>
            <w14:solidFill>
              <w14:schemeClr w14:val="tx1"/>
            </w14:solidFill>
          </w14:textFill>
        </w:rPr>
      </w:pPr>
    </w:p>
    <w:p w14:paraId="28B842CA">
      <w:pPr>
        <w:snapToGrid w:val="0"/>
        <w:spacing w:before="50" w:after="50"/>
        <w:rPr>
          <w:rFonts w:ascii="宋体" w:hAnsi="宋体" w:cs="宋体"/>
          <w:color w:val="000000" w:themeColor="text1"/>
          <w:sz w:val="32"/>
          <w:szCs w:val="32"/>
          <w:highlight w:val="none"/>
          <w14:textFill>
            <w14:solidFill>
              <w14:schemeClr w14:val="tx1"/>
            </w14:solidFill>
          </w14:textFill>
        </w:rPr>
      </w:pPr>
    </w:p>
    <w:p w14:paraId="1819995B">
      <w:pPr>
        <w:pStyle w:val="10"/>
        <w:rPr>
          <w:rFonts w:ascii="宋体" w:hAnsi="宋体" w:cs="宋体"/>
          <w:color w:val="000000" w:themeColor="text1"/>
          <w:sz w:val="32"/>
          <w:szCs w:val="32"/>
          <w:highlight w:val="none"/>
          <w14:textFill>
            <w14:solidFill>
              <w14:schemeClr w14:val="tx1"/>
            </w14:solidFill>
          </w14:textFill>
        </w:rPr>
      </w:pPr>
    </w:p>
    <w:p w14:paraId="4EEE2DFF">
      <w:pPr>
        <w:rPr>
          <w:color w:val="000000" w:themeColor="text1"/>
          <w:highlight w:val="none"/>
          <w14:textFill>
            <w14:solidFill>
              <w14:schemeClr w14:val="tx1"/>
            </w14:solidFill>
          </w14:textFill>
        </w:rPr>
      </w:pPr>
    </w:p>
    <w:p w14:paraId="07710F78">
      <w:pPr>
        <w:rPr>
          <w:rFonts w:ascii="宋体" w:hAnsi="宋体" w:cs="宋体"/>
          <w:color w:val="000000" w:themeColor="text1"/>
          <w:sz w:val="32"/>
          <w:szCs w:val="32"/>
          <w:highlight w:val="none"/>
          <w14:textFill>
            <w14:solidFill>
              <w14:schemeClr w14:val="tx1"/>
            </w14:solidFill>
          </w14:textFill>
        </w:rPr>
      </w:pPr>
      <w:bookmarkStart w:id="24" w:name="_Toc13422"/>
      <w:r>
        <w:rPr>
          <w:rFonts w:hint="eastAsia" w:ascii="宋体" w:hAnsi="宋体" w:cs="宋体"/>
          <w:color w:val="000000" w:themeColor="text1"/>
          <w:sz w:val="32"/>
          <w:szCs w:val="32"/>
          <w:highlight w:val="none"/>
          <w14:textFill>
            <w14:solidFill>
              <w14:schemeClr w14:val="tx1"/>
            </w14:solidFill>
          </w14:textFill>
        </w:rPr>
        <w:br w:type="page"/>
      </w:r>
    </w:p>
    <w:p w14:paraId="57BD1B9C">
      <w:pPr>
        <w:snapToGrid w:val="0"/>
        <w:spacing w:before="50" w:after="50"/>
        <w:jc w:val="center"/>
        <w:outlineLvl w:val="0"/>
        <w:rPr>
          <w:rFonts w:ascii="宋体" w:hAnsi="宋体" w:cs="宋体"/>
          <w:color w:val="000000" w:themeColor="text1"/>
          <w:sz w:val="32"/>
          <w:szCs w:val="32"/>
          <w:highlight w:val="none"/>
          <w14:textFill>
            <w14:solidFill>
              <w14:schemeClr w14:val="tx1"/>
            </w14:solidFill>
          </w14:textFill>
        </w:rPr>
      </w:pPr>
    </w:p>
    <w:p w14:paraId="0BCBEA54">
      <w:pPr>
        <w:snapToGrid w:val="0"/>
        <w:spacing w:before="50" w:after="50"/>
        <w:jc w:val="center"/>
        <w:outlineLvl w:val="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投标函（格式）</w:t>
      </w:r>
      <w:bookmarkEnd w:id="24"/>
    </w:p>
    <w:p w14:paraId="5241924E">
      <w:pPr>
        <w:pStyle w:val="174"/>
        <w:spacing w:before="0" w:after="0" w:line="420" w:lineRule="exact"/>
        <w:ind w:firstLine="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致：</w:t>
      </w:r>
      <w:r>
        <w:rPr>
          <w:rFonts w:hint="eastAsia" w:ascii="宋体" w:hAnsi="宋体" w:cs="宋体"/>
          <w:color w:val="000000" w:themeColor="text1"/>
          <w:kern w:val="2"/>
          <w:highlight w:val="none"/>
          <w:u w:val="single"/>
          <w14:textFill>
            <w14:solidFill>
              <w14:schemeClr w14:val="tx1"/>
            </w14:solidFill>
          </w14:textFill>
        </w:rPr>
        <w:t>盐城工业职业技术学院</w:t>
      </w:r>
    </w:p>
    <w:p w14:paraId="7D1494E1">
      <w:pPr>
        <w:pStyle w:val="174"/>
        <w:spacing w:before="0" w:after="0" w:line="420" w:lineRule="exact"/>
        <w:ind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根据贵方的</w:t>
      </w:r>
      <w:r>
        <w:rPr>
          <w:rFonts w:hint="eastAsia" w:ascii="宋体" w:hAnsi="宋体" w:cs="宋体"/>
          <w:color w:val="000000" w:themeColor="text1"/>
          <w:kern w:val="2"/>
          <w:highlight w:val="none"/>
          <w:u w:val="single"/>
          <w14:textFill>
            <w14:solidFill>
              <w14:schemeClr w14:val="tx1"/>
            </w14:solidFill>
          </w14:textFill>
        </w:rPr>
        <w:t xml:space="preserve">     号</w:t>
      </w:r>
      <w:r>
        <w:rPr>
          <w:rFonts w:hint="eastAsia" w:ascii="宋体" w:hAnsi="宋体" w:cs="宋体"/>
          <w:color w:val="000000" w:themeColor="text1"/>
          <w:kern w:val="2"/>
          <w:highlight w:val="none"/>
          <w14:textFill>
            <w14:solidFill>
              <w14:schemeClr w14:val="tx1"/>
            </w14:solidFill>
          </w14:textFill>
        </w:rPr>
        <w:t>招标文件，正式授权下述签字人_________________(姓名)代表我方______________（投标人的名称），全权处理本次项目投标的有关事宜。</w:t>
      </w:r>
    </w:p>
    <w:p w14:paraId="33C3541F">
      <w:pPr>
        <w:pStyle w:val="174"/>
        <w:spacing w:before="0" w:after="0" w:line="420" w:lineRule="exact"/>
        <w:ind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据此函，__________签字人兹宣布同意如下：</w:t>
      </w:r>
    </w:p>
    <w:p w14:paraId="4442C253">
      <w:pPr>
        <w:pStyle w:val="174"/>
        <w:spacing w:before="0" w:after="0" w:line="420" w:lineRule="exact"/>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1.按招标文件规定的各项要求，向买方提供所需货物与服务。</w:t>
      </w:r>
    </w:p>
    <w:p w14:paraId="79388076">
      <w:pPr>
        <w:pStyle w:val="174"/>
        <w:spacing w:before="0" w:after="0" w:line="420" w:lineRule="exact"/>
        <w:ind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2.我们完全理解贵方不一定将合同授予最低报价的投标人。</w:t>
      </w:r>
    </w:p>
    <w:p w14:paraId="3BFD92AF">
      <w:pPr>
        <w:pStyle w:val="174"/>
        <w:spacing w:before="0" w:after="0" w:line="420" w:lineRule="exact"/>
        <w:ind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3.我们已详细审核全部招标文件及其有效补充文件，我们知道必须放弃提出含糊不清或误解问题的权利。</w:t>
      </w:r>
    </w:p>
    <w:p w14:paraId="29871917">
      <w:pPr>
        <w:pStyle w:val="174"/>
        <w:spacing w:before="0" w:after="0" w:line="420" w:lineRule="exact"/>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4.我们同意从规定的开标日期起遵循本投标文件，并在规定的投标有效期期满之前均具有约束力。</w:t>
      </w:r>
    </w:p>
    <w:p w14:paraId="635C5C49">
      <w:pPr>
        <w:pStyle w:val="174"/>
        <w:spacing w:before="0" w:after="0" w:line="420" w:lineRule="exact"/>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5.如果在开标后规定的投标有效期内撤回投标或中标后拒绝签订合同，</w:t>
      </w:r>
      <w:r>
        <w:rPr>
          <w:rFonts w:hint="eastAsia" w:ascii="宋体" w:hAnsi="宋体" w:cs="宋体"/>
          <w:color w:val="000000" w:themeColor="text1"/>
          <w:highlight w:val="none"/>
          <w14:textFill>
            <w14:solidFill>
              <w14:schemeClr w14:val="tx1"/>
            </w14:solidFill>
          </w14:textFill>
        </w:rPr>
        <w:t>则按照国家相关法律法规受到相应处罚</w:t>
      </w:r>
      <w:r>
        <w:rPr>
          <w:rFonts w:hint="eastAsia" w:ascii="宋体" w:hAnsi="宋体" w:cs="宋体"/>
          <w:color w:val="000000" w:themeColor="text1"/>
          <w:kern w:val="2"/>
          <w:highlight w:val="none"/>
          <w14:textFill>
            <w14:solidFill>
              <w14:schemeClr w14:val="tx1"/>
            </w14:solidFill>
          </w14:textFill>
        </w:rPr>
        <w:t>。</w:t>
      </w:r>
    </w:p>
    <w:p w14:paraId="49FAE878">
      <w:pPr>
        <w:pStyle w:val="174"/>
        <w:spacing w:before="0" w:after="0" w:line="420" w:lineRule="exact"/>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6.同意向贵方提供贵方可能另外要求的与投标有关的任何证据或资料，并保证我方已提供和将要提供的文件是真实的、准确的。</w:t>
      </w:r>
    </w:p>
    <w:p w14:paraId="6D7132B1">
      <w:pPr>
        <w:pStyle w:val="174"/>
        <w:spacing w:before="0" w:after="0" w:line="420" w:lineRule="exact"/>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7.一旦我方中标,我方将根据招标文件的规定，严格履行合同的责任和义务,并保证在招标文件规定的时间完成项目，交付买方验收、使用。</w:t>
      </w:r>
    </w:p>
    <w:p w14:paraId="251F50ED">
      <w:pPr>
        <w:pStyle w:val="174"/>
        <w:spacing w:before="0" w:after="0" w:line="420" w:lineRule="exact"/>
        <w:ind w:left="425" w:firstLine="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8.与本投标有关的正式通讯地址为：</w:t>
      </w:r>
    </w:p>
    <w:p w14:paraId="58B2C854">
      <w:pPr>
        <w:pStyle w:val="174"/>
        <w:spacing w:before="0" w:after="0" w:line="420" w:lineRule="exact"/>
        <w:ind w:left="420" w:leftChars="200"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地          址：</w:t>
      </w:r>
    </w:p>
    <w:p w14:paraId="5D862A87">
      <w:pPr>
        <w:pStyle w:val="174"/>
        <w:spacing w:before="0" w:after="0" w:line="420" w:lineRule="exact"/>
        <w:ind w:left="420" w:leftChars="200"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邮          编：</w:t>
      </w:r>
    </w:p>
    <w:p w14:paraId="27A02BAD">
      <w:pPr>
        <w:pStyle w:val="174"/>
        <w:spacing w:before="0" w:after="0" w:line="420" w:lineRule="exact"/>
        <w:ind w:left="420" w:leftChars="200"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电          话：</w:t>
      </w:r>
    </w:p>
    <w:p w14:paraId="3451E5D6">
      <w:pPr>
        <w:pStyle w:val="174"/>
        <w:spacing w:before="0" w:after="0" w:line="420" w:lineRule="exact"/>
        <w:ind w:left="420" w:leftChars="200"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传          真：</w:t>
      </w:r>
    </w:p>
    <w:p w14:paraId="6577B096">
      <w:pPr>
        <w:pStyle w:val="174"/>
        <w:spacing w:before="0" w:after="0" w:line="420" w:lineRule="exact"/>
        <w:ind w:left="420" w:leftChars="200"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投标人开户行：</w:t>
      </w:r>
    </w:p>
    <w:p w14:paraId="548C40DB">
      <w:pPr>
        <w:pStyle w:val="174"/>
        <w:spacing w:before="0" w:after="0" w:line="420" w:lineRule="exact"/>
        <w:ind w:left="420" w:leftChars="200"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 xml:space="preserve">账          户： </w:t>
      </w:r>
    </w:p>
    <w:p w14:paraId="07A7E761">
      <w:pPr>
        <w:pStyle w:val="174"/>
        <w:spacing w:before="0" w:after="0" w:line="420" w:lineRule="exact"/>
        <w:ind w:left="420" w:leftChars="200"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 xml:space="preserve">投标人授权代表姓名（签字）： </w:t>
      </w:r>
    </w:p>
    <w:p w14:paraId="34C6C214">
      <w:pPr>
        <w:pStyle w:val="174"/>
        <w:spacing w:before="0" w:after="0" w:line="420" w:lineRule="exact"/>
        <w:ind w:left="420" w:leftChars="200"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 xml:space="preserve">投标人名称（公章）： </w:t>
      </w:r>
    </w:p>
    <w:p w14:paraId="6A33EC9D">
      <w:pPr>
        <w:pStyle w:val="174"/>
        <w:spacing w:before="0" w:after="0" w:line="420" w:lineRule="exact"/>
        <w:ind w:left="420" w:leftChars="200"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日           期：________年____月____日</w:t>
      </w:r>
    </w:p>
    <w:p w14:paraId="507B3E0E">
      <w:pPr>
        <w:snapToGrid w:val="0"/>
        <w:spacing w:before="50" w:after="145"/>
        <w:jc w:val="left"/>
        <w:rPr>
          <w:rStyle w:val="54"/>
          <w:rFonts w:ascii="宋体" w:hAnsi="宋体" w:cs="宋体"/>
          <w:color w:val="000000" w:themeColor="text1"/>
          <w:sz w:val="24"/>
          <w:szCs w:val="20"/>
          <w:highlight w:val="none"/>
          <w14:textFill>
            <w14:solidFill>
              <w14:schemeClr w14:val="tx1"/>
            </w14:solidFill>
          </w14:textFill>
        </w:rPr>
      </w:pPr>
    </w:p>
    <w:p w14:paraId="1097EE63">
      <w:pPr>
        <w:snapToGrid w:val="0"/>
        <w:spacing w:before="50" w:after="50"/>
        <w:jc w:val="center"/>
        <w:outlineLvl w:val="0"/>
        <w:rPr>
          <w:rStyle w:val="54"/>
          <w:rFonts w:ascii="宋体" w:hAnsi="宋体" w:cs="宋体"/>
          <w:color w:val="000000" w:themeColor="text1"/>
          <w:sz w:val="32"/>
          <w:szCs w:val="32"/>
          <w:highlight w:val="none"/>
          <w14:textFill>
            <w14:solidFill>
              <w14:schemeClr w14:val="tx1"/>
            </w14:solidFill>
          </w14:textFill>
        </w:rPr>
        <w:sectPr>
          <w:headerReference r:id="rId12" w:type="default"/>
          <w:footerReference r:id="rId13" w:type="default"/>
          <w:footerReference r:id="rId14" w:type="even"/>
          <w:pgSz w:w="11906" w:h="16838"/>
          <w:pgMar w:top="1015" w:right="1196" w:bottom="868" w:left="1259" w:header="851" w:footer="907" w:gutter="0"/>
          <w:pgBorders>
            <w:top w:val="none" w:sz="0" w:space="0"/>
            <w:left w:val="none" w:sz="0" w:space="0"/>
            <w:bottom w:val="none" w:sz="0" w:space="0"/>
            <w:right w:val="none" w:sz="0" w:space="0"/>
          </w:pgBorders>
          <w:cols w:space="720" w:num="1"/>
          <w:titlePg/>
          <w:docGrid w:linePitch="360" w:charSpace="0"/>
        </w:sectPr>
      </w:pPr>
      <w:bookmarkStart w:id="25" w:name="_Toc3373"/>
    </w:p>
    <w:p w14:paraId="4E3BCE4F">
      <w:pPr>
        <w:rPr>
          <w:color w:val="000000" w:themeColor="text1"/>
          <w:highlight w:val="none"/>
          <w14:textFill>
            <w14:solidFill>
              <w14:schemeClr w14:val="tx1"/>
            </w14:solidFill>
          </w14:textFill>
        </w:rPr>
      </w:pPr>
    </w:p>
    <w:p w14:paraId="46DD8FFB">
      <w:pPr>
        <w:snapToGrid w:val="0"/>
        <w:spacing w:before="50" w:after="50"/>
        <w:jc w:val="center"/>
        <w:outlineLvl w:val="0"/>
        <w:rPr>
          <w:rStyle w:val="54"/>
          <w:rFonts w:ascii="宋体" w:hAnsi="宋体" w:cs="宋体"/>
          <w:color w:val="000000" w:themeColor="text1"/>
          <w:sz w:val="32"/>
          <w:szCs w:val="32"/>
          <w:highlight w:val="none"/>
          <w14:textFill>
            <w14:solidFill>
              <w14:schemeClr w14:val="tx1"/>
            </w14:solidFill>
          </w14:textFill>
        </w:rPr>
      </w:pPr>
    </w:p>
    <w:p w14:paraId="7EC34C40">
      <w:pPr>
        <w:snapToGrid w:val="0"/>
        <w:spacing w:before="50" w:after="50"/>
        <w:jc w:val="center"/>
        <w:outlineLvl w:val="0"/>
        <w:rPr>
          <w:rStyle w:val="54"/>
          <w:rFonts w:ascii="宋体" w:hAnsi="宋体" w:cs="宋体"/>
          <w:color w:val="000000" w:themeColor="text1"/>
          <w:sz w:val="32"/>
          <w:szCs w:val="32"/>
          <w:highlight w:val="none"/>
          <w14:textFill>
            <w14:solidFill>
              <w14:schemeClr w14:val="tx1"/>
            </w14:solidFill>
          </w14:textFill>
        </w:rPr>
      </w:pPr>
      <w:r>
        <w:rPr>
          <w:rStyle w:val="54"/>
          <w:rFonts w:hint="eastAsia" w:ascii="宋体" w:hAnsi="宋体" w:cs="宋体"/>
          <w:color w:val="000000" w:themeColor="text1"/>
          <w:sz w:val="32"/>
          <w:szCs w:val="32"/>
          <w:highlight w:val="none"/>
          <w14:textFill>
            <w14:solidFill>
              <w14:schemeClr w14:val="tx1"/>
            </w14:solidFill>
          </w14:textFill>
        </w:rPr>
        <w:t>开标一览表（格式）</w:t>
      </w:r>
      <w:bookmarkEnd w:id="25"/>
    </w:p>
    <w:p w14:paraId="02D77A14">
      <w:pPr>
        <w:snapToGrid w:val="0"/>
        <w:spacing w:before="50" w:after="50"/>
        <w:jc w:val="center"/>
        <w:rPr>
          <w:rStyle w:val="54"/>
          <w:rFonts w:ascii="宋体" w:hAnsi="宋体" w:cs="宋体"/>
          <w:color w:val="000000" w:themeColor="text1"/>
          <w:sz w:val="32"/>
          <w:szCs w:val="32"/>
          <w:highlight w:val="none"/>
          <w14:textFill>
            <w14:solidFill>
              <w14:schemeClr w14:val="tx1"/>
            </w14:solidFill>
          </w14:textFill>
        </w:rPr>
      </w:pPr>
    </w:p>
    <w:tbl>
      <w:tblPr>
        <w:tblStyle w:val="27"/>
        <w:tblW w:w="8964"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6264"/>
      </w:tblGrid>
      <w:tr w14:paraId="38019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14:paraId="5294C36F">
            <w:pPr>
              <w:rPr>
                <w:rStyle w:val="54"/>
                <w:rFonts w:ascii="宋体" w:hAnsi="宋体" w:cs="宋体"/>
                <w:b/>
                <w:bCs/>
                <w:color w:val="000000" w:themeColor="text1"/>
                <w:szCs w:val="28"/>
                <w:highlight w:val="none"/>
                <w14:textFill>
                  <w14:solidFill>
                    <w14:schemeClr w14:val="tx1"/>
                  </w14:solidFill>
                </w14:textFill>
              </w:rPr>
            </w:pPr>
            <w:r>
              <w:rPr>
                <w:rStyle w:val="54"/>
                <w:rFonts w:hint="eastAsia" w:ascii="宋体" w:hAnsi="宋体" w:cs="宋体"/>
                <w:b/>
                <w:bCs/>
                <w:color w:val="000000" w:themeColor="text1"/>
                <w:szCs w:val="28"/>
                <w:highlight w:val="none"/>
                <w14:textFill>
                  <w14:solidFill>
                    <w14:schemeClr w14:val="tx1"/>
                  </w14:solidFill>
                </w14:textFill>
              </w:rPr>
              <w:t>项目编号</w:t>
            </w:r>
          </w:p>
        </w:tc>
        <w:tc>
          <w:tcPr>
            <w:tcW w:w="6264" w:type="dxa"/>
            <w:tcBorders>
              <w:top w:val="single" w:color="000000" w:sz="4" w:space="0"/>
              <w:left w:val="single" w:color="000000" w:sz="4" w:space="0"/>
              <w:bottom w:val="single" w:color="000000" w:sz="4" w:space="0"/>
              <w:right w:val="single" w:color="000000" w:sz="4" w:space="0"/>
            </w:tcBorders>
            <w:vAlign w:val="center"/>
          </w:tcPr>
          <w:p w14:paraId="1DD43CEB">
            <w:pPr>
              <w:rPr>
                <w:rStyle w:val="54"/>
                <w:rFonts w:ascii="宋体" w:hAnsi="宋体" w:cs="宋体"/>
                <w:b/>
                <w:bCs/>
                <w:color w:val="000000" w:themeColor="text1"/>
                <w:szCs w:val="28"/>
                <w:highlight w:val="none"/>
                <w14:textFill>
                  <w14:solidFill>
                    <w14:schemeClr w14:val="tx1"/>
                  </w14:solidFill>
                </w14:textFill>
              </w:rPr>
            </w:pPr>
          </w:p>
        </w:tc>
      </w:tr>
      <w:tr w14:paraId="6BBB6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14:paraId="15DC078B">
            <w:pPr>
              <w:rPr>
                <w:rStyle w:val="54"/>
                <w:rFonts w:ascii="宋体" w:hAnsi="宋体" w:cs="宋体"/>
                <w:b/>
                <w:bCs/>
                <w:color w:val="000000" w:themeColor="text1"/>
                <w:szCs w:val="28"/>
                <w:highlight w:val="none"/>
                <w14:textFill>
                  <w14:solidFill>
                    <w14:schemeClr w14:val="tx1"/>
                  </w14:solidFill>
                </w14:textFill>
              </w:rPr>
            </w:pPr>
            <w:r>
              <w:rPr>
                <w:rStyle w:val="54"/>
                <w:rFonts w:hint="eastAsia" w:ascii="宋体" w:hAnsi="宋体" w:cs="宋体"/>
                <w:b/>
                <w:bCs/>
                <w:color w:val="000000" w:themeColor="text1"/>
                <w:szCs w:val="28"/>
                <w:highlight w:val="none"/>
                <w14:textFill>
                  <w14:solidFill>
                    <w14:schemeClr w14:val="tx1"/>
                  </w14:solidFill>
                </w14:textFill>
              </w:rPr>
              <w:t>项目名称</w:t>
            </w:r>
          </w:p>
        </w:tc>
        <w:tc>
          <w:tcPr>
            <w:tcW w:w="6264" w:type="dxa"/>
            <w:tcBorders>
              <w:top w:val="single" w:color="000000" w:sz="4" w:space="0"/>
              <w:left w:val="single" w:color="000000" w:sz="4" w:space="0"/>
              <w:bottom w:val="single" w:color="000000" w:sz="4" w:space="0"/>
              <w:right w:val="single" w:color="000000" w:sz="4" w:space="0"/>
            </w:tcBorders>
            <w:vAlign w:val="center"/>
          </w:tcPr>
          <w:p w14:paraId="036932E0">
            <w:pPr>
              <w:rPr>
                <w:rStyle w:val="54"/>
                <w:rFonts w:ascii="宋体" w:hAnsi="宋体" w:cs="宋体"/>
                <w:b/>
                <w:bCs/>
                <w:color w:val="000000" w:themeColor="text1"/>
                <w:szCs w:val="28"/>
                <w:highlight w:val="none"/>
                <w14:textFill>
                  <w14:solidFill>
                    <w14:schemeClr w14:val="tx1"/>
                  </w14:solidFill>
                </w14:textFill>
              </w:rPr>
            </w:pPr>
          </w:p>
        </w:tc>
      </w:tr>
      <w:tr w14:paraId="5D960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14:paraId="7C252042">
            <w:pPr>
              <w:rPr>
                <w:rFonts w:ascii="宋体" w:hAnsi="宋体" w:cs="宋体"/>
                <w:b/>
                <w:bCs/>
                <w:color w:val="000000" w:themeColor="text1"/>
                <w:szCs w:val="28"/>
                <w:highlight w:val="none"/>
                <w14:textFill>
                  <w14:solidFill>
                    <w14:schemeClr w14:val="tx1"/>
                  </w14:solidFill>
                </w14:textFill>
              </w:rPr>
            </w:pPr>
            <w:r>
              <w:rPr>
                <w:rStyle w:val="54"/>
                <w:rFonts w:hint="eastAsia" w:ascii="宋体" w:hAnsi="宋体" w:cs="宋体"/>
                <w:b/>
                <w:bCs/>
                <w:color w:val="000000" w:themeColor="text1"/>
                <w:szCs w:val="28"/>
                <w:highlight w:val="none"/>
                <w14:textFill>
                  <w14:solidFill>
                    <w14:schemeClr w14:val="tx1"/>
                  </w14:solidFill>
                </w14:textFill>
              </w:rPr>
              <w:t>项目投标报价：（大写）                      ，小写：</w:t>
            </w:r>
          </w:p>
        </w:tc>
      </w:tr>
      <w:tr w14:paraId="358B7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14:paraId="2BA8DFDA">
            <w:pPr>
              <w:rPr>
                <w:rStyle w:val="54"/>
                <w:rFonts w:ascii="宋体" w:hAnsi="宋体" w:cs="宋体"/>
                <w:b/>
                <w:bCs/>
                <w:color w:val="000000" w:themeColor="text1"/>
                <w:szCs w:val="28"/>
                <w:highlight w:val="none"/>
                <w14:textFill>
                  <w14:solidFill>
                    <w14:schemeClr w14:val="tx1"/>
                  </w14:solidFill>
                </w14:textFill>
              </w:rPr>
            </w:pPr>
            <w:r>
              <w:rPr>
                <w:rStyle w:val="54"/>
                <w:rFonts w:hint="eastAsia" w:ascii="宋体" w:hAnsi="宋体" w:cs="宋体"/>
                <w:b/>
                <w:bCs/>
                <w:color w:val="000000" w:themeColor="text1"/>
                <w:szCs w:val="28"/>
                <w:highlight w:val="none"/>
                <w14:textFill>
                  <w14:solidFill>
                    <w14:schemeClr w14:val="tx1"/>
                  </w14:solidFill>
                </w14:textFill>
              </w:rPr>
              <w:t>项目负责人：</w:t>
            </w:r>
          </w:p>
        </w:tc>
      </w:tr>
      <w:tr w14:paraId="4221D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14:paraId="5E051F09">
            <w:pPr>
              <w:rPr>
                <w:rStyle w:val="54"/>
                <w:rFonts w:ascii="宋体" w:hAnsi="宋体" w:cs="宋体"/>
                <w:b/>
                <w:bCs/>
                <w:color w:val="000000" w:themeColor="text1"/>
                <w:szCs w:val="28"/>
                <w:highlight w:val="none"/>
                <w14:textFill>
                  <w14:solidFill>
                    <w14:schemeClr w14:val="tx1"/>
                  </w14:solidFill>
                </w14:textFill>
              </w:rPr>
            </w:pPr>
            <w:r>
              <w:rPr>
                <w:rStyle w:val="54"/>
                <w:rFonts w:hint="eastAsia" w:ascii="宋体" w:hAnsi="宋体" w:cs="宋体"/>
                <w:b/>
                <w:bCs/>
                <w:color w:val="000000" w:themeColor="text1"/>
                <w:szCs w:val="28"/>
                <w:highlight w:val="none"/>
                <w14:textFill>
                  <w14:solidFill>
                    <w14:schemeClr w14:val="tx1"/>
                  </w14:solidFill>
                </w14:textFill>
              </w:rPr>
              <w:t>合同履行期限：</w:t>
            </w:r>
          </w:p>
        </w:tc>
      </w:tr>
      <w:tr w14:paraId="3C8BE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14:paraId="2C9E1BCC">
            <w:pPr>
              <w:rPr>
                <w:rStyle w:val="54"/>
                <w:rFonts w:ascii="宋体" w:hAnsi="宋体" w:cs="宋体"/>
                <w:b/>
                <w:bCs/>
                <w:color w:val="000000" w:themeColor="text1"/>
                <w:szCs w:val="28"/>
                <w:highlight w:val="none"/>
                <w14:textFill>
                  <w14:solidFill>
                    <w14:schemeClr w14:val="tx1"/>
                  </w14:solidFill>
                </w14:textFill>
              </w:rPr>
            </w:pPr>
            <w:r>
              <w:rPr>
                <w:rStyle w:val="54"/>
                <w:rFonts w:hint="eastAsia" w:ascii="宋体" w:hAnsi="宋体" w:cs="宋体"/>
                <w:b/>
                <w:bCs/>
                <w:color w:val="000000" w:themeColor="text1"/>
                <w:szCs w:val="28"/>
                <w:highlight w:val="none"/>
                <w14:textFill>
                  <w14:solidFill>
                    <w14:schemeClr w14:val="tx1"/>
                  </w14:solidFill>
                </w14:textFill>
              </w:rPr>
              <w:t>是否提供《企业类型声明函》：</w:t>
            </w:r>
            <w:r>
              <w:rPr>
                <w:rStyle w:val="54"/>
                <w:rFonts w:hint="eastAsia" w:ascii="宋体" w:hAnsi="宋体" w:cs="宋体"/>
                <w:b/>
                <w:bCs/>
                <w:color w:val="000000" w:themeColor="text1"/>
                <w:szCs w:val="28"/>
                <w:highlight w:val="none"/>
                <w:u w:val="single"/>
                <w14:textFill>
                  <w14:solidFill>
                    <w14:schemeClr w14:val="tx1"/>
                  </w14:solidFill>
                </w14:textFill>
              </w:rPr>
              <w:t xml:space="preserve"> 是/否 见（   ）页</w:t>
            </w:r>
          </w:p>
        </w:tc>
      </w:tr>
    </w:tbl>
    <w:p w14:paraId="41FC14FA">
      <w:pPr>
        <w:spacing w:line="240" w:lineRule="atLeast"/>
        <w:rPr>
          <w:rStyle w:val="54"/>
          <w:rFonts w:ascii="宋体" w:hAnsi="宋体" w:cs="宋体"/>
          <w:color w:val="000000" w:themeColor="text1"/>
          <w:szCs w:val="28"/>
          <w:highlight w:val="none"/>
          <w14:textFill>
            <w14:solidFill>
              <w14:schemeClr w14:val="tx1"/>
            </w14:solidFill>
          </w14:textFill>
        </w:rPr>
      </w:pPr>
    </w:p>
    <w:p w14:paraId="2FBE5B09">
      <w:pPr>
        <w:spacing w:line="240" w:lineRule="atLeast"/>
        <w:rPr>
          <w:rStyle w:val="54"/>
          <w:rFonts w:ascii="宋体" w:hAnsi="宋体" w:cs="宋体"/>
          <w:color w:val="000000" w:themeColor="text1"/>
          <w:szCs w:val="28"/>
          <w:highlight w:val="none"/>
          <w14:textFill>
            <w14:solidFill>
              <w14:schemeClr w14:val="tx1"/>
            </w14:solidFill>
          </w14:textFill>
        </w:rPr>
      </w:pPr>
      <w:r>
        <w:rPr>
          <w:rStyle w:val="54"/>
          <w:rFonts w:hint="eastAsia" w:ascii="宋体" w:hAnsi="宋体" w:cs="宋体"/>
          <w:color w:val="000000" w:themeColor="text1"/>
          <w:szCs w:val="28"/>
          <w:highlight w:val="none"/>
          <w14:textFill>
            <w14:solidFill>
              <w14:schemeClr w14:val="tx1"/>
            </w14:solidFill>
          </w14:textFill>
        </w:rPr>
        <w:t>填写说明：</w:t>
      </w:r>
    </w:p>
    <w:p w14:paraId="012F8F91">
      <w:pPr>
        <w:numPr>
          <w:ilvl w:val="0"/>
          <w:numId w:val="6"/>
        </w:numPr>
        <w:rPr>
          <w:rStyle w:val="54"/>
          <w:rFonts w:ascii="宋体" w:hAnsi="宋体" w:cs="宋体"/>
          <w:color w:val="000000" w:themeColor="text1"/>
          <w:sz w:val="24"/>
          <w:highlight w:val="none"/>
          <w14:textFill>
            <w14:solidFill>
              <w14:schemeClr w14:val="tx1"/>
            </w14:solidFill>
          </w14:textFill>
        </w:rPr>
      </w:pPr>
      <w:r>
        <w:rPr>
          <w:rStyle w:val="54"/>
          <w:rFonts w:hint="eastAsia" w:ascii="宋体" w:hAnsi="宋体" w:cs="宋体"/>
          <w:color w:val="000000" w:themeColor="text1"/>
          <w:sz w:val="24"/>
          <w:highlight w:val="none"/>
          <w14:textFill>
            <w14:solidFill>
              <w14:schemeClr w14:val="tx1"/>
            </w14:solidFill>
          </w14:textFill>
        </w:rPr>
        <w:t>开标一览表不得填报选择性报价，否则将作为无效投标；</w:t>
      </w:r>
    </w:p>
    <w:p w14:paraId="3546F674">
      <w:pPr>
        <w:numPr>
          <w:ilvl w:val="0"/>
          <w:numId w:val="6"/>
        </w:numPr>
        <w:rPr>
          <w:rStyle w:val="54"/>
          <w:rFonts w:ascii="宋体" w:hAnsi="宋体" w:cs="宋体"/>
          <w:color w:val="000000" w:themeColor="text1"/>
          <w:sz w:val="24"/>
          <w:highlight w:val="none"/>
          <w14:textFill>
            <w14:solidFill>
              <w14:schemeClr w14:val="tx1"/>
            </w14:solidFill>
          </w14:textFill>
        </w:rPr>
      </w:pPr>
      <w:r>
        <w:rPr>
          <w:rStyle w:val="54"/>
          <w:rFonts w:hint="eastAsia" w:ascii="宋体" w:hAnsi="宋体" w:cs="宋体"/>
          <w:color w:val="000000" w:themeColor="text1"/>
          <w:sz w:val="24"/>
          <w:highlight w:val="none"/>
          <w14:textFill>
            <w14:solidFill>
              <w14:schemeClr w14:val="tx1"/>
            </w14:solidFill>
          </w14:textFill>
        </w:rPr>
        <w:t>开标一览表中报价与投标分项明细报价表中不符时时，以开标一览表为准。</w:t>
      </w:r>
    </w:p>
    <w:p w14:paraId="5A2EE9E6">
      <w:pPr>
        <w:ind w:firstLine="2640" w:firstLineChars="600"/>
        <w:rPr>
          <w:rStyle w:val="54"/>
          <w:rFonts w:ascii="宋体" w:hAnsi="宋体" w:cs="宋体"/>
          <w:color w:val="000000" w:themeColor="text1"/>
          <w:sz w:val="44"/>
          <w:highlight w:val="none"/>
          <w14:textFill>
            <w14:solidFill>
              <w14:schemeClr w14:val="tx1"/>
            </w14:solidFill>
          </w14:textFill>
        </w:rPr>
      </w:pPr>
    </w:p>
    <w:p w14:paraId="1E80F46D">
      <w:pPr>
        <w:ind w:firstLine="480"/>
        <w:rPr>
          <w:rStyle w:val="54"/>
          <w:rFonts w:ascii="宋体" w:hAnsi="宋体" w:cs="宋体"/>
          <w:color w:val="000000" w:themeColor="text1"/>
          <w:sz w:val="24"/>
          <w:highlight w:val="none"/>
          <w14:textFill>
            <w14:solidFill>
              <w14:schemeClr w14:val="tx1"/>
            </w14:solidFill>
          </w14:textFill>
        </w:rPr>
      </w:pPr>
    </w:p>
    <w:p w14:paraId="6D6FFCC0">
      <w:pPr>
        <w:ind w:firstLine="480"/>
        <w:rPr>
          <w:rStyle w:val="54"/>
          <w:rFonts w:ascii="宋体" w:hAnsi="宋体" w:cs="宋体"/>
          <w:color w:val="000000" w:themeColor="text1"/>
          <w:sz w:val="24"/>
          <w:highlight w:val="none"/>
          <w14:textFill>
            <w14:solidFill>
              <w14:schemeClr w14:val="tx1"/>
            </w14:solidFill>
          </w14:textFill>
        </w:rPr>
      </w:pPr>
    </w:p>
    <w:p w14:paraId="29E6EC98">
      <w:pPr>
        <w:ind w:firstLine="480"/>
        <w:jc w:val="center"/>
        <w:rPr>
          <w:rStyle w:val="54"/>
          <w:rFonts w:ascii="宋体" w:hAnsi="宋体" w:cs="宋体"/>
          <w:color w:val="000000" w:themeColor="text1"/>
          <w:sz w:val="24"/>
          <w:highlight w:val="none"/>
          <w14:textFill>
            <w14:solidFill>
              <w14:schemeClr w14:val="tx1"/>
            </w14:solidFill>
          </w14:textFill>
        </w:rPr>
      </w:pPr>
      <w:r>
        <w:rPr>
          <w:rStyle w:val="54"/>
          <w:rFonts w:hint="eastAsia" w:ascii="宋体" w:hAnsi="宋体" w:cs="宋体"/>
          <w:bCs/>
          <w:color w:val="000000" w:themeColor="text1"/>
          <w:sz w:val="24"/>
          <w:highlight w:val="none"/>
          <w14:textFill>
            <w14:solidFill>
              <w14:schemeClr w14:val="tx1"/>
            </w14:solidFill>
          </w14:textFill>
        </w:rPr>
        <w:t xml:space="preserve">                                        供应商名称（公章）：</w:t>
      </w:r>
    </w:p>
    <w:p w14:paraId="7890AD12">
      <w:pPr>
        <w:ind w:firstLine="480"/>
        <w:rPr>
          <w:rStyle w:val="54"/>
          <w:rFonts w:ascii="宋体" w:hAnsi="宋体" w:cs="宋体"/>
          <w:color w:val="000000" w:themeColor="text1"/>
          <w:sz w:val="24"/>
          <w:highlight w:val="none"/>
          <w14:textFill>
            <w14:solidFill>
              <w14:schemeClr w14:val="tx1"/>
            </w14:solidFill>
          </w14:textFill>
        </w:rPr>
      </w:pPr>
      <w:r>
        <w:rPr>
          <w:rStyle w:val="54"/>
          <w:rFonts w:hint="eastAsia" w:ascii="宋体" w:hAnsi="宋体" w:cs="宋体"/>
          <w:color w:val="000000" w:themeColor="text1"/>
          <w:sz w:val="24"/>
          <w:highlight w:val="none"/>
          <w14:textFill>
            <w14:solidFill>
              <w14:schemeClr w14:val="tx1"/>
            </w14:solidFill>
          </w14:textFill>
        </w:rPr>
        <w:t xml:space="preserve">                                              日期：  年  月  日</w:t>
      </w:r>
    </w:p>
    <w:p w14:paraId="48FB1183">
      <w:pPr>
        <w:pStyle w:val="26"/>
        <w:rPr>
          <w:color w:val="000000" w:themeColor="text1"/>
          <w:highlight w:val="none"/>
          <w14:textFill>
            <w14:solidFill>
              <w14:schemeClr w14:val="tx1"/>
            </w14:solidFill>
          </w14:textFill>
        </w:rPr>
      </w:pPr>
    </w:p>
    <w:p w14:paraId="5F6B7F3C">
      <w:pPr>
        <w:rPr>
          <w:color w:val="000000" w:themeColor="text1"/>
          <w:highlight w:val="none"/>
          <w14:textFill>
            <w14:solidFill>
              <w14:schemeClr w14:val="tx1"/>
            </w14:solidFill>
          </w14:textFill>
        </w:rPr>
      </w:pPr>
    </w:p>
    <w:p w14:paraId="5F5AFA0E">
      <w:pPr>
        <w:pStyle w:val="6"/>
        <w:rPr>
          <w:color w:val="000000" w:themeColor="text1"/>
          <w:highlight w:val="none"/>
          <w14:textFill>
            <w14:solidFill>
              <w14:schemeClr w14:val="tx1"/>
            </w14:solidFill>
          </w14:textFill>
        </w:rPr>
      </w:pPr>
    </w:p>
    <w:p w14:paraId="2E94975F">
      <w:pPr>
        <w:rPr>
          <w:color w:val="000000" w:themeColor="text1"/>
          <w:highlight w:val="none"/>
          <w14:textFill>
            <w14:solidFill>
              <w14:schemeClr w14:val="tx1"/>
            </w14:solidFill>
          </w14:textFill>
        </w:rPr>
      </w:pPr>
    </w:p>
    <w:p w14:paraId="208AC665">
      <w:pPr>
        <w:rPr>
          <w:rFonts w:ascii="宋体" w:hAnsi="宋体" w:cs="宋体"/>
          <w:b/>
          <w:color w:val="000000" w:themeColor="text1"/>
          <w:sz w:val="24"/>
          <w:szCs w:val="24"/>
          <w:highlight w:val="none"/>
          <w14:textFill>
            <w14:solidFill>
              <w14:schemeClr w14:val="tx1"/>
            </w14:solidFill>
          </w14:textFill>
        </w:rPr>
      </w:pPr>
      <w:bookmarkStart w:id="26" w:name="_Toc13776"/>
      <w:bookmarkStart w:id="27" w:name="_Toc11803"/>
      <w:bookmarkStart w:id="28" w:name="_Toc10977"/>
      <w:bookmarkStart w:id="29" w:name="_Toc515647824"/>
    </w:p>
    <w:bookmarkEnd w:id="26"/>
    <w:bookmarkEnd w:id="27"/>
    <w:bookmarkEnd w:id="28"/>
    <w:bookmarkEnd w:id="29"/>
    <w:p w14:paraId="1EE5F478">
      <w:pPr>
        <w:pStyle w:val="4"/>
        <w:pageBreakBefore/>
        <w:jc w:val="center"/>
        <w:rPr>
          <w:rFonts w:ascii="宋体" w:hAnsi="宋体" w:eastAsia="宋体" w:cs="宋体"/>
          <w:color w:val="000000" w:themeColor="text1"/>
          <w:sz w:val="32"/>
          <w:szCs w:val="32"/>
          <w:highlight w:val="none"/>
          <w14:textFill>
            <w14:solidFill>
              <w14:schemeClr w14:val="tx1"/>
            </w14:solidFill>
          </w14:textFill>
        </w:rPr>
      </w:pPr>
      <w:r>
        <w:rPr>
          <w:rFonts w:ascii="宋体" w:hAnsi="宋体" w:eastAsia="宋体" w:cs="宋体"/>
          <w:color w:val="000000" w:themeColor="text1"/>
          <w:sz w:val="32"/>
          <w:szCs w:val="32"/>
          <w:highlight w:val="none"/>
          <w14:textFill>
            <w14:solidFill>
              <w14:schemeClr w14:val="tx1"/>
            </w14:solidFill>
          </w14:textFill>
        </w:rPr>
        <w:t>中小企业声明</w:t>
      </w:r>
    </w:p>
    <w:p w14:paraId="7E0CD606">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14:paraId="608AF9B2">
      <w:pPr>
        <w:spacing w:line="360" w:lineRule="auto"/>
        <w:ind w:firstLine="420" w:firstLineChars="200"/>
        <w:outlineLvl w:val="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附件：1、中小企业声明函（工程）</w:t>
      </w:r>
    </w:p>
    <w:p w14:paraId="601FC660">
      <w:pPr>
        <w:spacing w:line="360" w:lineRule="auto"/>
        <w:ind w:firstLine="420" w:firstLineChars="200"/>
        <w:outlineLvl w:val="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附件：2、《残疾人福利性单位声明函》（格式）</w:t>
      </w:r>
    </w:p>
    <w:p w14:paraId="2880CD78">
      <w:pPr>
        <w:pStyle w:val="24"/>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14:paraId="43DA38A0">
      <w:pP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注：采购标的的所属行业为建筑业，根据《关于印发中小企业划型标准规定的通知》（工信部联企业[2011]300号）文件规定及国家统计局关于印发《统计上大中小微型企业划分办法（2017）》的通知规定的划分标准填写。</w:t>
      </w:r>
    </w:p>
    <w:p w14:paraId="18BD3D0E">
      <w:pPr>
        <w:pStyle w:val="24"/>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14:paraId="26E7ED6A">
      <w:pPr>
        <w:pStyle w:val="24"/>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14:paraId="69180013">
      <w:pPr>
        <w:pStyle w:val="24"/>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14:paraId="57790C59">
      <w:pPr>
        <w:pStyle w:val="24"/>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14:paraId="28B6E2E9">
      <w:pPr>
        <w:pStyle w:val="24"/>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14:paraId="68230B25">
      <w:pPr>
        <w:pStyle w:val="24"/>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14:paraId="65D6265B">
      <w:pPr>
        <w:pStyle w:val="24"/>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14:paraId="0C5FA886">
      <w:pPr>
        <w:pStyle w:val="24"/>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14:paraId="065C2E83">
      <w:pPr>
        <w:pStyle w:val="24"/>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14:paraId="4D34F85D">
      <w:pPr>
        <w:pStyle w:val="24"/>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14:paraId="4C1E3F88">
      <w:pPr>
        <w:pStyle w:val="24"/>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14:paraId="09115BF0">
      <w:pPr>
        <w:pStyle w:val="24"/>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14:paraId="69A20AD4">
      <w:pPr>
        <w:pStyle w:val="24"/>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14:paraId="375C1769">
      <w:pPr>
        <w:pStyle w:val="24"/>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14:paraId="76D82FFE">
      <w:pPr>
        <w:pStyle w:val="24"/>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14:paraId="0D4E9442">
      <w:pPr>
        <w:rPr>
          <w:b/>
          <w:color w:val="000000" w:themeColor="text1"/>
          <w:highlight w:val="none"/>
          <w:shd w:val="clear" w:color="auto" w:fill="FFFFFF"/>
          <w14:textFill>
            <w14:solidFill>
              <w14:schemeClr w14:val="tx1"/>
            </w14:solidFill>
          </w14:textFill>
        </w:rPr>
      </w:pPr>
      <w:r>
        <w:rPr>
          <w:rFonts w:hint="eastAsia"/>
          <w:b/>
          <w:color w:val="000000" w:themeColor="text1"/>
          <w:highlight w:val="none"/>
          <w:shd w:val="clear" w:color="auto" w:fill="FFFFFF"/>
          <w14:textFill>
            <w14:solidFill>
              <w14:schemeClr w14:val="tx1"/>
            </w14:solidFill>
          </w14:textFill>
        </w:rPr>
        <w:br w:type="page"/>
      </w:r>
    </w:p>
    <w:p w14:paraId="01825A9A">
      <w:pPr>
        <w:pStyle w:val="24"/>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r>
        <w:rPr>
          <w:rFonts w:hint="eastAsia"/>
          <w:b/>
          <w:color w:val="000000" w:themeColor="text1"/>
          <w:highlight w:val="none"/>
          <w:shd w:val="clear" w:color="auto" w:fill="FFFFFF"/>
          <w14:textFill>
            <w14:solidFill>
              <w14:schemeClr w14:val="tx1"/>
            </w14:solidFill>
          </w14:textFill>
        </w:rPr>
        <w:t>附件1：</w:t>
      </w:r>
      <w:r>
        <w:rPr>
          <w:rFonts w:hint="eastAsia"/>
          <w:b/>
          <w:bCs/>
          <w:color w:val="000000" w:themeColor="text1"/>
          <w:highlight w:val="none"/>
          <w14:textFill>
            <w14:solidFill>
              <w14:schemeClr w14:val="tx1"/>
            </w14:solidFill>
          </w14:textFill>
        </w:rPr>
        <w:t>中小企业声明函（工程）</w:t>
      </w:r>
    </w:p>
    <w:p w14:paraId="7EB4742F">
      <w:pPr>
        <w:pStyle w:val="5"/>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中小企业声明函（工程）</w:t>
      </w:r>
    </w:p>
    <w:p w14:paraId="582BF8B0">
      <w:pPr>
        <w:spacing w:line="500" w:lineRule="exact"/>
        <w:ind w:firstLine="48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7BD5283">
      <w:pPr>
        <w:numPr>
          <w:ilvl w:val="0"/>
          <w:numId w:val="7"/>
        </w:numPr>
        <w:spacing w:line="500" w:lineRule="exact"/>
        <w:ind w:firstLine="48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i/>
          <w:iCs/>
          <w:color w:val="000000" w:themeColor="text1"/>
          <w:sz w:val="24"/>
          <w:highlight w:val="none"/>
          <w:u w:val="single"/>
          <w14:textFill>
            <w14:solidFill>
              <w14:schemeClr w14:val="tx1"/>
            </w14:solidFill>
          </w14:textFill>
        </w:rPr>
        <w:t xml:space="preserve">（标的名称） </w:t>
      </w:r>
      <w:r>
        <w:rPr>
          <w:rFonts w:hint="eastAsia" w:ascii="宋体" w:hAnsi="宋体" w:cs="宋体"/>
          <w:color w:val="000000" w:themeColor="text1"/>
          <w:sz w:val="24"/>
          <w:highlight w:val="none"/>
          <w14:textFill>
            <w14:solidFill>
              <w14:schemeClr w14:val="tx1"/>
            </w14:solidFill>
          </w14:textFill>
        </w:rPr>
        <w:t>，属于</w:t>
      </w:r>
      <w:r>
        <w:rPr>
          <w:rFonts w:hint="eastAsia" w:ascii="宋体" w:hAnsi="宋体" w:cs="宋体"/>
          <w:i/>
          <w:iCs/>
          <w:color w:val="000000" w:themeColor="text1"/>
          <w:sz w:val="24"/>
          <w:highlight w:val="none"/>
          <w:u w:val="single"/>
          <w14:textFill>
            <w14:solidFill>
              <w14:schemeClr w14:val="tx1"/>
            </w14:solidFill>
          </w14:textFill>
        </w:rPr>
        <w:t>（采购文件中明确的所属行业：建筑业）</w:t>
      </w:r>
      <w:r>
        <w:rPr>
          <w:rFonts w:hint="eastAsia" w:ascii="宋体" w:hAnsi="宋体" w:cs="宋体"/>
          <w:color w:val="000000" w:themeColor="text1"/>
          <w:sz w:val="24"/>
          <w:highlight w:val="none"/>
          <w14:textFill>
            <w14:solidFill>
              <w14:schemeClr w14:val="tx1"/>
            </w14:solidFill>
          </w14:textFill>
        </w:rPr>
        <w:t>行业；承接（承接）企业为</w:t>
      </w:r>
      <w:r>
        <w:rPr>
          <w:rFonts w:hint="eastAsia" w:ascii="宋体" w:hAnsi="宋体" w:cs="宋体"/>
          <w:i/>
          <w:iCs/>
          <w:color w:val="000000" w:themeColor="text1"/>
          <w:sz w:val="24"/>
          <w:highlight w:val="none"/>
          <w:u w:val="single"/>
          <w14:textFill>
            <w14:solidFill>
              <w14:schemeClr w14:val="tx1"/>
            </w14:solidFill>
          </w14:textFill>
        </w:rPr>
        <w:t>（企业名称）</w:t>
      </w:r>
      <w:r>
        <w:rPr>
          <w:rFonts w:hint="eastAsia" w:ascii="宋体" w:hAnsi="宋体" w:cs="宋体"/>
          <w:color w:val="000000" w:themeColor="text1"/>
          <w:sz w:val="24"/>
          <w:highlight w:val="none"/>
          <w14:textFill>
            <w14:solidFill>
              <w14:schemeClr w14:val="tx1"/>
            </w14:solidFill>
          </w14:textFill>
        </w:rPr>
        <w:t>，从业人员人，营业收入为万元，资产总额为万元，属于</w:t>
      </w:r>
      <w:r>
        <w:rPr>
          <w:rFonts w:hint="eastAsia" w:ascii="宋体" w:hAnsi="宋体" w:cs="宋体"/>
          <w:i/>
          <w:iCs/>
          <w:color w:val="000000" w:themeColor="text1"/>
          <w:sz w:val="24"/>
          <w:highlight w:val="none"/>
          <w:u w:val="single"/>
          <w14:textFill>
            <w14:solidFill>
              <w14:schemeClr w14:val="tx1"/>
            </w14:solidFill>
          </w14:textFill>
        </w:rPr>
        <w:t>（中型企业、小型企业、微型企业）</w:t>
      </w:r>
      <w:r>
        <w:rPr>
          <w:rFonts w:hint="eastAsia" w:ascii="宋体" w:hAnsi="宋体" w:cs="宋体"/>
          <w:color w:val="000000" w:themeColor="text1"/>
          <w:sz w:val="24"/>
          <w:highlight w:val="none"/>
          <w14:textFill>
            <w14:solidFill>
              <w14:schemeClr w14:val="tx1"/>
            </w14:solidFill>
          </w14:textFill>
        </w:rPr>
        <w:t>；</w:t>
      </w:r>
    </w:p>
    <w:p w14:paraId="3BE9EFAB">
      <w:pPr>
        <w:numPr>
          <w:ilvl w:val="0"/>
          <w:numId w:val="7"/>
        </w:numPr>
        <w:spacing w:line="500" w:lineRule="exact"/>
        <w:ind w:firstLine="48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i/>
          <w:iCs/>
          <w:color w:val="000000" w:themeColor="text1"/>
          <w:sz w:val="24"/>
          <w:highlight w:val="none"/>
          <w:u w:val="single"/>
          <w14:textFill>
            <w14:solidFill>
              <w14:schemeClr w14:val="tx1"/>
            </w14:solidFill>
          </w14:textFill>
        </w:rPr>
        <w:t xml:space="preserve">（标的名称） </w:t>
      </w:r>
      <w:r>
        <w:rPr>
          <w:rFonts w:hint="eastAsia" w:ascii="宋体" w:hAnsi="宋体" w:cs="宋体"/>
          <w:color w:val="000000" w:themeColor="text1"/>
          <w:sz w:val="24"/>
          <w:highlight w:val="none"/>
          <w14:textFill>
            <w14:solidFill>
              <w14:schemeClr w14:val="tx1"/>
            </w14:solidFill>
          </w14:textFill>
        </w:rPr>
        <w:t>，属于</w:t>
      </w:r>
      <w:r>
        <w:rPr>
          <w:rFonts w:hint="eastAsia" w:ascii="宋体" w:hAnsi="宋体" w:cs="宋体"/>
          <w:i/>
          <w:iCs/>
          <w:color w:val="000000" w:themeColor="text1"/>
          <w:sz w:val="24"/>
          <w:highlight w:val="none"/>
          <w:u w:val="single"/>
          <w14:textFill>
            <w14:solidFill>
              <w14:schemeClr w14:val="tx1"/>
            </w14:solidFill>
          </w14:textFill>
        </w:rPr>
        <w:t>（采购文件中明确的所属行业：建筑业）</w:t>
      </w:r>
      <w:r>
        <w:rPr>
          <w:rFonts w:hint="eastAsia" w:ascii="宋体" w:hAnsi="宋体" w:cs="宋体"/>
          <w:color w:val="000000" w:themeColor="text1"/>
          <w:sz w:val="24"/>
          <w:highlight w:val="none"/>
          <w14:textFill>
            <w14:solidFill>
              <w14:schemeClr w14:val="tx1"/>
            </w14:solidFill>
          </w14:textFill>
        </w:rPr>
        <w:t>行业；承接（承接）企业为</w:t>
      </w:r>
      <w:r>
        <w:rPr>
          <w:rFonts w:hint="eastAsia" w:ascii="宋体" w:hAnsi="宋体" w:cs="宋体"/>
          <w:i/>
          <w:iCs/>
          <w:color w:val="000000" w:themeColor="text1"/>
          <w:sz w:val="24"/>
          <w:highlight w:val="none"/>
          <w:u w:val="single"/>
          <w14:textFill>
            <w14:solidFill>
              <w14:schemeClr w14:val="tx1"/>
            </w14:solidFill>
          </w14:textFill>
        </w:rPr>
        <w:t>（企业名称）</w:t>
      </w:r>
      <w:r>
        <w:rPr>
          <w:rFonts w:hint="eastAsia" w:ascii="宋体" w:hAnsi="宋体" w:cs="宋体"/>
          <w:color w:val="000000" w:themeColor="text1"/>
          <w:sz w:val="24"/>
          <w:highlight w:val="none"/>
          <w14:textFill>
            <w14:solidFill>
              <w14:schemeClr w14:val="tx1"/>
            </w14:solidFill>
          </w14:textFill>
        </w:rPr>
        <w:t>，从业人员人，营业收入为万元，资产总额为万元，属于</w:t>
      </w:r>
      <w:r>
        <w:rPr>
          <w:rFonts w:hint="eastAsia" w:ascii="宋体" w:hAnsi="宋体" w:cs="宋体"/>
          <w:i/>
          <w:iCs/>
          <w:color w:val="000000" w:themeColor="text1"/>
          <w:sz w:val="24"/>
          <w:highlight w:val="none"/>
          <w:u w:val="single"/>
          <w14:textFill>
            <w14:solidFill>
              <w14:schemeClr w14:val="tx1"/>
            </w14:solidFill>
          </w14:textFill>
        </w:rPr>
        <w:t>（中型企业、小型企业、微型企业）</w:t>
      </w:r>
      <w:r>
        <w:rPr>
          <w:rFonts w:hint="eastAsia" w:ascii="宋体" w:hAnsi="宋体" w:cs="宋体"/>
          <w:color w:val="000000" w:themeColor="text1"/>
          <w:sz w:val="24"/>
          <w:highlight w:val="none"/>
          <w14:textFill>
            <w14:solidFill>
              <w14:schemeClr w14:val="tx1"/>
            </w14:solidFill>
          </w14:textFill>
        </w:rPr>
        <w:t>；</w:t>
      </w:r>
    </w:p>
    <w:p w14:paraId="4FE652AF">
      <w:pPr>
        <w:spacing w:line="500" w:lineRule="exact"/>
        <w:ind w:firstLine="48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14:paraId="36F64A3D">
      <w:pPr>
        <w:spacing w:line="500" w:lineRule="exact"/>
        <w:ind w:firstLine="48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5FE2FEF5">
      <w:pPr>
        <w:spacing w:line="500" w:lineRule="exact"/>
        <w:ind w:firstLine="48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本企业对上述声明内容的真实性负责。如有虚假，将依法承担相应责任。</w:t>
      </w:r>
    </w:p>
    <w:p w14:paraId="250A378F">
      <w:pPr>
        <w:spacing w:line="500" w:lineRule="exact"/>
        <w:ind w:firstLine="408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企业名称（盖章）：</w:t>
      </w:r>
    </w:p>
    <w:p w14:paraId="03B05464">
      <w:pPr>
        <w:spacing w:line="500" w:lineRule="exact"/>
        <w:ind w:firstLine="408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w:t>
      </w:r>
    </w:p>
    <w:p w14:paraId="20E24DBB">
      <w:pPr>
        <w:spacing w:line="500" w:lineRule="exact"/>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从业人员、营业收入、资产总额填报上一年度数据，无上一年度数据的新成立企业可不填报。</w:t>
      </w:r>
    </w:p>
    <w:p w14:paraId="27D6BD25">
      <w:pPr>
        <w:spacing w:line="560" w:lineRule="exact"/>
        <w:jc w:val="center"/>
        <w:rPr>
          <w:rFonts w:ascii="宋体" w:hAnsi="宋体"/>
          <w:b/>
          <w:color w:val="000000" w:themeColor="text1"/>
          <w:sz w:val="44"/>
          <w:highlight w:val="none"/>
          <w14:textFill>
            <w14:solidFill>
              <w14:schemeClr w14:val="tx1"/>
            </w14:solidFill>
          </w14:textFill>
        </w:rPr>
        <w:sectPr>
          <w:pgSz w:w="11906" w:h="16838"/>
          <w:pgMar w:top="1015" w:right="1196" w:bottom="868" w:left="1259" w:header="851" w:footer="907" w:gutter="0"/>
          <w:pgBorders>
            <w:top w:val="none" w:sz="0" w:space="0"/>
            <w:left w:val="none" w:sz="0" w:space="0"/>
            <w:bottom w:val="none" w:sz="0" w:space="0"/>
            <w:right w:val="none" w:sz="0" w:space="0"/>
          </w:pgBorders>
          <w:cols w:space="720" w:num="1"/>
          <w:titlePg/>
          <w:docGrid w:linePitch="360" w:charSpace="0"/>
        </w:sectPr>
      </w:pPr>
    </w:p>
    <w:p w14:paraId="43B3F2D0">
      <w:pPr>
        <w:pStyle w:val="24"/>
        <w:shd w:val="clear" w:color="auto" w:fill="FFFFFF"/>
        <w:spacing w:before="0" w:beforeAutospacing="0" w:after="0" w:afterAutospacing="0" w:line="560" w:lineRule="atLeast"/>
        <w:jc w:val="center"/>
        <w:rPr>
          <w:color w:val="000000" w:themeColor="text1"/>
          <w:sz w:val="21"/>
          <w:highlight w:val="none"/>
          <w14:textFill>
            <w14:solidFill>
              <w14:schemeClr w14:val="tx1"/>
            </w14:solidFill>
          </w14:textFill>
        </w:rPr>
      </w:pPr>
    </w:p>
    <w:p w14:paraId="040CD35E">
      <w:pPr>
        <w:spacing w:line="360" w:lineRule="auto"/>
        <w:outlineLvl w:val="0"/>
        <w:rPr>
          <w:rFonts w:ascii="宋体" w:hAnsi="宋体" w:cs="宋体"/>
          <w:b/>
          <w:color w:val="000000" w:themeColor="text1"/>
          <w:sz w:val="24"/>
          <w:szCs w:val="24"/>
          <w:highlight w:val="none"/>
          <w14:textFill>
            <w14:solidFill>
              <w14:schemeClr w14:val="tx1"/>
            </w14:solidFill>
          </w14:textFill>
        </w:rPr>
      </w:pPr>
    </w:p>
    <w:p w14:paraId="68F170B6">
      <w:pPr>
        <w:spacing w:line="360" w:lineRule="auto"/>
        <w:outlineLvl w:val="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附件2、残疾人福利性单位声明函</w:t>
      </w:r>
    </w:p>
    <w:p w14:paraId="0049F09F">
      <w:pPr>
        <w:spacing w:line="360" w:lineRule="auto"/>
        <w:rPr>
          <w:rFonts w:ascii="宋体" w:hAnsi="宋体" w:cs="宋体"/>
          <w:b/>
          <w:color w:val="000000" w:themeColor="text1"/>
          <w:sz w:val="24"/>
          <w:szCs w:val="24"/>
          <w:highlight w:val="none"/>
          <w14:textFill>
            <w14:solidFill>
              <w14:schemeClr w14:val="tx1"/>
            </w14:solidFill>
          </w14:textFill>
        </w:rPr>
      </w:pPr>
    </w:p>
    <w:p w14:paraId="57161980">
      <w:pPr>
        <w:spacing w:line="360" w:lineRule="auto"/>
        <w:ind w:firstLine="482" w:firstLineChars="200"/>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残疾人福利性单位声明函</w:t>
      </w:r>
    </w:p>
    <w:p w14:paraId="3768A074">
      <w:pPr>
        <w:spacing w:line="360" w:lineRule="auto"/>
        <w:ind w:firstLine="482" w:firstLineChars="200"/>
        <w:jc w:val="center"/>
        <w:rPr>
          <w:rFonts w:ascii="宋体" w:hAnsi="宋体" w:cs="宋体"/>
          <w:b/>
          <w:color w:val="000000" w:themeColor="text1"/>
          <w:sz w:val="24"/>
          <w:szCs w:val="24"/>
          <w:highlight w:val="none"/>
          <w14:textFill>
            <w14:solidFill>
              <w14:schemeClr w14:val="tx1"/>
            </w14:solidFill>
          </w14:textFill>
        </w:rPr>
      </w:pPr>
    </w:p>
    <w:p w14:paraId="53E4922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FFCC4F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本单位对上述声明的真实性负责。如有虚假，将依法承担相应责任。</w:t>
      </w:r>
    </w:p>
    <w:p w14:paraId="5A2AB53D">
      <w:pPr>
        <w:spacing w:line="360" w:lineRule="auto"/>
        <w:ind w:firstLine="3960" w:firstLineChars="1650"/>
        <w:rPr>
          <w:rFonts w:ascii="宋体" w:hAnsi="宋体" w:cs="宋体"/>
          <w:color w:val="000000" w:themeColor="text1"/>
          <w:kern w:val="0"/>
          <w:sz w:val="24"/>
          <w:szCs w:val="24"/>
          <w:highlight w:val="none"/>
          <w14:textFill>
            <w14:solidFill>
              <w14:schemeClr w14:val="tx1"/>
            </w14:solidFill>
          </w14:textFill>
        </w:rPr>
      </w:pPr>
    </w:p>
    <w:p w14:paraId="0C59ADEC">
      <w:pPr>
        <w:spacing w:line="360" w:lineRule="auto"/>
        <w:ind w:firstLine="3960" w:firstLineChars="1650"/>
        <w:rPr>
          <w:rStyle w:val="166"/>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残疾人福利性</w:t>
      </w:r>
      <w:r>
        <w:rPr>
          <w:rFonts w:hint="eastAsia" w:ascii="宋体" w:hAnsi="宋体" w:cs="宋体"/>
          <w:color w:val="000000" w:themeColor="text1"/>
          <w:sz w:val="24"/>
          <w:szCs w:val="24"/>
          <w:highlight w:val="none"/>
          <w14:textFill>
            <w14:solidFill>
              <w14:schemeClr w14:val="tx1"/>
            </w14:solidFill>
          </w14:textFill>
        </w:rPr>
        <w:t>单位名称（盖章）：</w:t>
      </w:r>
    </w:p>
    <w:p w14:paraId="12E5AF1E">
      <w:pPr>
        <w:spacing w:line="360" w:lineRule="auto"/>
        <w:ind w:firstLine="3960" w:firstLineChars="16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w:t>
      </w:r>
      <w:r>
        <w:rPr>
          <w:rStyle w:val="166"/>
          <w:rFonts w:hint="eastAsia" w:ascii="宋体" w:hAnsi="宋体" w:cs="宋体"/>
          <w:color w:val="000000" w:themeColor="text1"/>
          <w:sz w:val="24"/>
          <w:szCs w:val="24"/>
          <w:highlight w:val="none"/>
          <w14:textFill>
            <w14:solidFill>
              <w14:schemeClr w14:val="tx1"/>
            </w14:solidFill>
          </w14:textFill>
        </w:rPr>
        <w:t> </w:t>
      </w:r>
      <w:r>
        <w:rPr>
          <w:rFonts w:hint="eastAsia" w:ascii="宋体" w:hAnsi="宋体" w:cs="宋体"/>
          <w:color w:val="000000" w:themeColor="text1"/>
          <w:sz w:val="24"/>
          <w:szCs w:val="24"/>
          <w:highlight w:val="none"/>
          <w14:textFill>
            <w14:solidFill>
              <w14:schemeClr w14:val="tx1"/>
            </w14:solidFill>
          </w14:textFill>
        </w:rPr>
        <w:t> 期：</w:t>
      </w:r>
    </w:p>
    <w:p w14:paraId="64B10807">
      <w:pPr>
        <w:rPr>
          <w:color w:val="000000" w:themeColor="text1"/>
          <w:highlight w:val="none"/>
          <w14:textFill>
            <w14:solidFill>
              <w14:schemeClr w14:val="tx1"/>
            </w14:solidFill>
          </w14:textFill>
        </w:rPr>
        <w:sectPr>
          <w:headerReference r:id="rId15" w:type="default"/>
          <w:footerReference r:id="rId16" w:type="default"/>
          <w:pgSz w:w="11906" w:h="16838"/>
          <w:pgMar w:top="1417" w:right="1588" w:bottom="1417" w:left="1365" w:header="851" w:footer="907" w:gutter="0"/>
          <w:pgBorders>
            <w:top w:val="none" w:sz="0" w:space="0"/>
            <w:left w:val="none" w:sz="0" w:space="0"/>
            <w:bottom w:val="none" w:sz="0" w:space="0"/>
            <w:right w:val="none" w:sz="0" w:space="0"/>
          </w:pgBorders>
          <w:cols w:space="720" w:num="1"/>
          <w:docGrid w:type="lines" w:linePitch="290" w:charSpace="0"/>
        </w:sectPr>
      </w:pPr>
    </w:p>
    <w:p w14:paraId="3133A2AC">
      <w:pPr>
        <w:pStyle w:val="5"/>
        <w:jc w:val="center"/>
        <w:rPr>
          <w:rFonts w:ascii="黑体" w:hAnsi="黑体" w:eastAsia="黑体" w:cs="黑体"/>
          <w:b w:val="0"/>
          <w:color w:val="000000" w:themeColor="text1"/>
          <w:sz w:val="36"/>
          <w:szCs w:val="36"/>
          <w:highlight w:val="none"/>
          <w14:textFill>
            <w14:solidFill>
              <w14:schemeClr w14:val="tx1"/>
            </w14:solidFill>
          </w14:textFill>
        </w:rPr>
      </w:pPr>
      <w:bookmarkStart w:id="30" w:name="_Toc6761"/>
      <w:bookmarkStart w:id="31" w:name="_Toc8363"/>
      <w:bookmarkStart w:id="32" w:name="_Toc76637331"/>
      <w:bookmarkStart w:id="33" w:name="_Toc462564146"/>
    </w:p>
    <w:bookmarkEnd w:id="30"/>
    <w:bookmarkEnd w:id="31"/>
    <w:bookmarkEnd w:id="32"/>
    <w:bookmarkEnd w:id="33"/>
    <w:p w14:paraId="0B237A77">
      <w:pPr>
        <w:spacing w:line="460" w:lineRule="exact"/>
        <w:outlineLvl w:val="0"/>
        <w:rPr>
          <w:rFonts w:ascii="宋体" w:hAnsi="宋体" w:cs="宋体"/>
          <w:color w:val="000000" w:themeColor="text1"/>
          <w:sz w:val="32"/>
          <w:highlight w:val="none"/>
          <w14:textFill>
            <w14:solidFill>
              <w14:schemeClr w14:val="tx1"/>
            </w14:solidFill>
          </w14:textFill>
        </w:rPr>
      </w:pPr>
      <w:bookmarkStart w:id="34" w:name="_Toc22033"/>
    </w:p>
    <w:p w14:paraId="235EB3E6">
      <w:pPr>
        <w:spacing w:before="50" w:after="50"/>
        <w:jc w:val="center"/>
        <w:rPr>
          <w:rFonts w:ascii="黑体" w:eastAsia="黑体"/>
          <w:color w:val="000000" w:themeColor="text1"/>
          <w:sz w:val="32"/>
          <w:szCs w:val="32"/>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技术参数响应及偏离表（如有）</w:t>
      </w:r>
    </w:p>
    <w:p w14:paraId="1A9C01B7">
      <w:pPr>
        <w:jc w:val="center"/>
        <w:rPr>
          <w:rFonts w:ascii="宋体" w:hAnsi="宋体"/>
          <w:color w:val="000000" w:themeColor="text1"/>
          <w:sz w:val="24"/>
          <w:szCs w:val="24"/>
          <w:highlight w:val="none"/>
          <w14:textFill>
            <w14:solidFill>
              <w14:schemeClr w14:val="tx1"/>
            </w14:solidFill>
          </w14:textFill>
        </w:rPr>
      </w:pPr>
    </w:p>
    <w:p w14:paraId="34C474A4">
      <w:pP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投标人全称（加盖公章）：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14:paraId="3EF0A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14:paraId="4A11DCC2">
            <w:pPr>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序号</w:t>
            </w:r>
          </w:p>
        </w:tc>
        <w:tc>
          <w:tcPr>
            <w:tcW w:w="2852" w:type="dxa"/>
            <w:noWrap/>
            <w:vAlign w:val="center"/>
          </w:tcPr>
          <w:p w14:paraId="3A8F56CD">
            <w:pP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招标要求</w:t>
            </w:r>
          </w:p>
        </w:tc>
        <w:tc>
          <w:tcPr>
            <w:tcW w:w="2852" w:type="dxa"/>
            <w:noWrap/>
            <w:vAlign w:val="center"/>
          </w:tcPr>
          <w:p w14:paraId="65C52ADA">
            <w:pP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投标响应</w:t>
            </w:r>
          </w:p>
        </w:tc>
        <w:tc>
          <w:tcPr>
            <w:tcW w:w="1308" w:type="dxa"/>
            <w:noWrap/>
            <w:vAlign w:val="center"/>
          </w:tcPr>
          <w:p w14:paraId="5541AB9D">
            <w:pP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超出、符合或偏离</w:t>
            </w:r>
          </w:p>
        </w:tc>
        <w:tc>
          <w:tcPr>
            <w:tcW w:w="1173" w:type="dxa"/>
            <w:noWrap/>
            <w:vAlign w:val="center"/>
          </w:tcPr>
          <w:p w14:paraId="6816F28B">
            <w:pPr>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原因</w:t>
            </w:r>
          </w:p>
        </w:tc>
      </w:tr>
      <w:tr w14:paraId="284F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582A7871">
            <w:pPr>
              <w:jc w:val="center"/>
              <w:rPr>
                <w:rFonts w:ascii="宋体" w:hAnsi="宋体"/>
                <w:color w:val="000000" w:themeColor="text1"/>
                <w:sz w:val="24"/>
                <w:szCs w:val="24"/>
                <w:highlight w:val="none"/>
                <w14:textFill>
                  <w14:solidFill>
                    <w14:schemeClr w14:val="tx1"/>
                  </w14:solidFill>
                </w14:textFill>
              </w:rPr>
            </w:pPr>
          </w:p>
        </w:tc>
        <w:tc>
          <w:tcPr>
            <w:tcW w:w="2852" w:type="dxa"/>
            <w:noWrap/>
          </w:tcPr>
          <w:p w14:paraId="32847D73">
            <w:pPr>
              <w:jc w:val="center"/>
              <w:rPr>
                <w:rFonts w:ascii="宋体" w:hAnsi="宋体"/>
                <w:color w:val="000000" w:themeColor="text1"/>
                <w:sz w:val="24"/>
                <w:szCs w:val="24"/>
                <w:highlight w:val="none"/>
                <w14:textFill>
                  <w14:solidFill>
                    <w14:schemeClr w14:val="tx1"/>
                  </w14:solidFill>
                </w14:textFill>
              </w:rPr>
            </w:pPr>
          </w:p>
        </w:tc>
        <w:tc>
          <w:tcPr>
            <w:tcW w:w="2852" w:type="dxa"/>
            <w:noWrap/>
          </w:tcPr>
          <w:p w14:paraId="7617B9F2">
            <w:pPr>
              <w:jc w:val="center"/>
              <w:rPr>
                <w:rFonts w:ascii="宋体" w:hAnsi="宋体"/>
                <w:color w:val="000000" w:themeColor="text1"/>
                <w:sz w:val="24"/>
                <w:szCs w:val="24"/>
                <w:highlight w:val="none"/>
                <w14:textFill>
                  <w14:solidFill>
                    <w14:schemeClr w14:val="tx1"/>
                  </w14:solidFill>
                </w14:textFill>
              </w:rPr>
            </w:pPr>
          </w:p>
        </w:tc>
        <w:tc>
          <w:tcPr>
            <w:tcW w:w="1308" w:type="dxa"/>
            <w:noWrap/>
          </w:tcPr>
          <w:p w14:paraId="14CEA3BC">
            <w:pPr>
              <w:jc w:val="center"/>
              <w:rPr>
                <w:rFonts w:ascii="宋体" w:hAnsi="宋体"/>
                <w:color w:val="000000" w:themeColor="text1"/>
                <w:sz w:val="24"/>
                <w:szCs w:val="24"/>
                <w:highlight w:val="none"/>
                <w14:textFill>
                  <w14:solidFill>
                    <w14:schemeClr w14:val="tx1"/>
                  </w14:solidFill>
                </w14:textFill>
              </w:rPr>
            </w:pPr>
          </w:p>
        </w:tc>
        <w:tc>
          <w:tcPr>
            <w:tcW w:w="1173" w:type="dxa"/>
            <w:noWrap/>
          </w:tcPr>
          <w:p w14:paraId="66A9481B">
            <w:pPr>
              <w:jc w:val="center"/>
              <w:rPr>
                <w:rFonts w:ascii="宋体" w:hAnsi="宋体"/>
                <w:color w:val="000000" w:themeColor="text1"/>
                <w:sz w:val="24"/>
                <w:szCs w:val="24"/>
                <w:highlight w:val="none"/>
                <w14:textFill>
                  <w14:solidFill>
                    <w14:schemeClr w14:val="tx1"/>
                  </w14:solidFill>
                </w14:textFill>
              </w:rPr>
            </w:pPr>
          </w:p>
        </w:tc>
      </w:tr>
      <w:tr w14:paraId="56F9C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1BFAC839">
            <w:pPr>
              <w:jc w:val="center"/>
              <w:rPr>
                <w:rFonts w:ascii="宋体" w:hAnsi="宋体"/>
                <w:color w:val="000000" w:themeColor="text1"/>
                <w:sz w:val="24"/>
                <w:szCs w:val="24"/>
                <w:highlight w:val="none"/>
                <w14:textFill>
                  <w14:solidFill>
                    <w14:schemeClr w14:val="tx1"/>
                  </w14:solidFill>
                </w14:textFill>
              </w:rPr>
            </w:pPr>
          </w:p>
        </w:tc>
        <w:tc>
          <w:tcPr>
            <w:tcW w:w="2852" w:type="dxa"/>
            <w:noWrap/>
          </w:tcPr>
          <w:p w14:paraId="368621E9">
            <w:pPr>
              <w:jc w:val="center"/>
              <w:rPr>
                <w:rFonts w:ascii="宋体" w:hAnsi="宋体"/>
                <w:color w:val="000000" w:themeColor="text1"/>
                <w:sz w:val="24"/>
                <w:szCs w:val="24"/>
                <w:highlight w:val="none"/>
                <w14:textFill>
                  <w14:solidFill>
                    <w14:schemeClr w14:val="tx1"/>
                  </w14:solidFill>
                </w14:textFill>
              </w:rPr>
            </w:pPr>
          </w:p>
        </w:tc>
        <w:tc>
          <w:tcPr>
            <w:tcW w:w="2852" w:type="dxa"/>
            <w:noWrap/>
          </w:tcPr>
          <w:p w14:paraId="0586BDD5">
            <w:pPr>
              <w:jc w:val="center"/>
              <w:rPr>
                <w:rFonts w:ascii="宋体" w:hAnsi="宋体"/>
                <w:color w:val="000000" w:themeColor="text1"/>
                <w:sz w:val="24"/>
                <w:szCs w:val="24"/>
                <w:highlight w:val="none"/>
                <w14:textFill>
                  <w14:solidFill>
                    <w14:schemeClr w14:val="tx1"/>
                  </w14:solidFill>
                </w14:textFill>
              </w:rPr>
            </w:pPr>
          </w:p>
        </w:tc>
        <w:tc>
          <w:tcPr>
            <w:tcW w:w="1308" w:type="dxa"/>
            <w:noWrap/>
          </w:tcPr>
          <w:p w14:paraId="7E96AA38">
            <w:pPr>
              <w:jc w:val="center"/>
              <w:rPr>
                <w:rFonts w:ascii="宋体" w:hAnsi="宋体"/>
                <w:color w:val="000000" w:themeColor="text1"/>
                <w:sz w:val="24"/>
                <w:szCs w:val="24"/>
                <w:highlight w:val="none"/>
                <w14:textFill>
                  <w14:solidFill>
                    <w14:schemeClr w14:val="tx1"/>
                  </w14:solidFill>
                </w14:textFill>
              </w:rPr>
            </w:pPr>
          </w:p>
        </w:tc>
        <w:tc>
          <w:tcPr>
            <w:tcW w:w="1173" w:type="dxa"/>
            <w:noWrap/>
          </w:tcPr>
          <w:p w14:paraId="56A4E4CF">
            <w:pPr>
              <w:jc w:val="center"/>
              <w:rPr>
                <w:rFonts w:ascii="宋体" w:hAnsi="宋体"/>
                <w:color w:val="000000" w:themeColor="text1"/>
                <w:sz w:val="24"/>
                <w:szCs w:val="24"/>
                <w:highlight w:val="none"/>
                <w14:textFill>
                  <w14:solidFill>
                    <w14:schemeClr w14:val="tx1"/>
                  </w14:solidFill>
                </w14:textFill>
              </w:rPr>
            </w:pPr>
          </w:p>
        </w:tc>
      </w:tr>
      <w:tr w14:paraId="3E3E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7A1575EF">
            <w:pPr>
              <w:jc w:val="center"/>
              <w:rPr>
                <w:rFonts w:ascii="宋体" w:hAnsi="宋体"/>
                <w:color w:val="000000" w:themeColor="text1"/>
                <w:sz w:val="24"/>
                <w:szCs w:val="24"/>
                <w:highlight w:val="none"/>
                <w14:textFill>
                  <w14:solidFill>
                    <w14:schemeClr w14:val="tx1"/>
                  </w14:solidFill>
                </w14:textFill>
              </w:rPr>
            </w:pPr>
          </w:p>
        </w:tc>
        <w:tc>
          <w:tcPr>
            <w:tcW w:w="2852" w:type="dxa"/>
            <w:noWrap/>
          </w:tcPr>
          <w:p w14:paraId="447788B0">
            <w:pPr>
              <w:jc w:val="center"/>
              <w:rPr>
                <w:rFonts w:ascii="宋体" w:hAnsi="宋体"/>
                <w:color w:val="000000" w:themeColor="text1"/>
                <w:sz w:val="24"/>
                <w:szCs w:val="24"/>
                <w:highlight w:val="none"/>
                <w14:textFill>
                  <w14:solidFill>
                    <w14:schemeClr w14:val="tx1"/>
                  </w14:solidFill>
                </w14:textFill>
              </w:rPr>
            </w:pPr>
          </w:p>
        </w:tc>
        <w:tc>
          <w:tcPr>
            <w:tcW w:w="2852" w:type="dxa"/>
            <w:noWrap/>
          </w:tcPr>
          <w:p w14:paraId="0BC58999">
            <w:pPr>
              <w:jc w:val="center"/>
              <w:rPr>
                <w:rFonts w:ascii="宋体" w:hAnsi="宋体"/>
                <w:color w:val="000000" w:themeColor="text1"/>
                <w:sz w:val="24"/>
                <w:szCs w:val="24"/>
                <w:highlight w:val="none"/>
                <w14:textFill>
                  <w14:solidFill>
                    <w14:schemeClr w14:val="tx1"/>
                  </w14:solidFill>
                </w14:textFill>
              </w:rPr>
            </w:pPr>
          </w:p>
        </w:tc>
        <w:tc>
          <w:tcPr>
            <w:tcW w:w="1308" w:type="dxa"/>
            <w:noWrap/>
          </w:tcPr>
          <w:p w14:paraId="0C68CC0E">
            <w:pPr>
              <w:jc w:val="center"/>
              <w:rPr>
                <w:rFonts w:ascii="宋体" w:hAnsi="宋体"/>
                <w:color w:val="000000" w:themeColor="text1"/>
                <w:sz w:val="24"/>
                <w:szCs w:val="24"/>
                <w:highlight w:val="none"/>
                <w14:textFill>
                  <w14:solidFill>
                    <w14:schemeClr w14:val="tx1"/>
                  </w14:solidFill>
                </w14:textFill>
              </w:rPr>
            </w:pPr>
          </w:p>
        </w:tc>
        <w:tc>
          <w:tcPr>
            <w:tcW w:w="1173" w:type="dxa"/>
            <w:noWrap/>
          </w:tcPr>
          <w:p w14:paraId="061F4DE4">
            <w:pPr>
              <w:jc w:val="center"/>
              <w:rPr>
                <w:rFonts w:ascii="宋体" w:hAnsi="宋体"/>
                <w:color w:val="000000" w:themeColor="text1"/>
                <w:sz w:val="24"/>
                <w:szCs w:val="24"/>
                <w:highlight w:val="none"/>
                <w14:textFill>
                  <w14:solidFill>
                    <w14:schemeClr w14:val="tx1"/>
                  </w14:solidFill>
                </w14:textFill>
              </w:rPr>
            </w:pPr>
          </w:p>
        </w:tc>
      </w:tr>
      <w:tr w14:paraId="1F75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0E6F46ED">
            <w:pPr>
              <w:jc w:val="center"/>
              <w:rPr>
                <w:rFonts w:ascii="宋体" w:hAnsi="宋体"/>
                <w:color w:val="000000" w:themeColor="text1"/>
                <w:sz w:val="24"/>
                <w:szCs w:val="24"/>
                <w:highlight w:val="none"/>
                <w14:textFill>
                  <w14:solidFill>
                    <w14:schemeClr w14:val="tx1"/>
                  </w14:solidFill>
                </w14:textFill>
              </w:rPr>
            </w:pPr>
          </w:p>
        </w:tc>
        <w:tc>
          <w:tcPr>
            <w:tcW w:w="2852" w:type="dxa"/>
            <w:noWrap/>
          </w:tcPr>
          <w:p w14:paraId="7917A85F">
            <w:pPr>
              <w:jc w:val="center"/>
              <w:rPr>
                <w:rFonts w:ascii="宋体" w:hAnsi="宋体"/>
                <w:color w:val="000000" w:themeColor="text1"/>
                <w:sz w:val="24"/>
                <w:szCs w:val="24"/>
                <w:highlight w:val="none"/>
                <w14:textFill>
                  <w14:solidFill>
                    <w14:schemeClr w14:val="tx1"/>
                  </w14:solidFill>
                </w14:textFill>
              </w:rPr>
            </w:pPr>
          </w:p>
        </w:tc>
        <w:tc>
          <w:tcPr>
            <w:tcW w:w="2852" w:type="dxa"/>
            <w:noWrap/>
          </w:tcPr>
          <w:p w14:paraId="5651178A">
            <w:pPr>
              <w:jc w:val="center"/>
              <w:rPr>
                <w:rFonts w:ascii="宋体" w:hAnsi="宋体"/>
                <w:color w:val="000000" w:themeColor="text1"/>
                <w:sz w:val="24"/>
                <w:szCs w:val="24"/>
                <w:highlight w:val="none"/>
                <w14:textFill>
                  <w14:solidFill>
                    <w14:schemeClr w14:val="tx1"/>
                  </w14:solidFill>
                </w14:textFill>
              </w:rPr>
            </w:pPr>
          </w:p>
        </w:tc>
        <w:tc>
          <w:tcPr>
            <w:tcW w:w="1308" w:type="dxa"/>
            <w:noWrap/>
          </w:tcPr>
          <w:p w14:paraId="474AE512">
            <w:pPr>
              <w:jc w:val="center"/>
              <w:rPr>
                <w:rFonts w:ascii="宋体" w:hAnsi="宋体"/>
                <w:color w:val="000000" w:themeColor="text1"/>
                <w:sz w:val="24"/>
                <w:szCs w:val="24"/>
                <w:highlight w:val="none"/>
                <w14:textFill>
                  <w14:solidFill>
                    <w14:schemeClr w14:val="tx1"/>
                  </w14:solidFill>
                </w14:textFill>
              </w:rPr>
            </w:pPr>
          </w:p>
        </w:tc>
        <w:tc>
          <w:tcPr>
            <w:tcW w:w="1173" w:type="dxa"/>
            <w:noWrap/>
          </w:tcPr>
          <w:p w14:paraId="6F5004F5">
            <w:pPr>
              <w:jc w:val="center"/>
              <w:rPr>
                <w:rFonts w:ascii="宋体" w:hAnsi="宋体"/>
                <w:color w:val="000000" w:themeColor="text1"/>
                <w:sz w:val="24"/>
                <w:szCs w:val="24"/>
                <w:highlight w:val="none"/>
                <w14:textFill>
                  <w14:solidFill>
                    <w14:schemeClr w14:val="tx1"/>
                  </w14:solidFill>
                </w14:textFill>
              </w:rPr>
            </w:pPr>
          </w:p>
        </w:tc>
      </w:tr>
      <w:tr w14:paraId="01A2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2E473995">
            <w:pPr>
              <w:jc w:val="center"/>
              <w:rPr>
                <w:rFonts w:ascii="宋体" w:hAnsi="宋体"/>
                <w:color w:val="000000" w:themeColor="text1"/>
                <w:sz w:val="24"/>
                <w:szCs w:val="24"/>
                <w:highlight w:val="none"/>
                <w14:textFill>
                  <w14:solidFill>
                    <w14:schemeClr w14:val="tx1"/>
                  </w14:solidFill>
                </w14:textFill>
              </w:rPr>
            </w:pPr>
          </w:p>
        </w:tc>
        <w:tc>
          <w:tcPr>
            <w:tcW w:w="2852" w:type="dxa"/>
            <w:noWrap/>
          </w:tcPr>
          <w:p w14:paraId="0B7D0FF3">
            <w:pPr>
              <w:jc w:val="center"/>
              <w:rPr>
                <w:rFonts w:ascii="宋体" w:hAnsi="宋体"/>
                <w:color w:val="000000" w:themeColor="text1"/>
                <w:sz w:val="24"/>
                <w:szCs w:val="24"/>
                <w:highlight w:val="none"/>
                <w14:textFill>
                  <w14:solidFill>
                    <w14:schemeClr w14:val="tx1"/>
                  </w14:solidFill>
                </w14:textFill>
              </w:rPr>
            </w:pPr>
          </w:p>
        </w:tc>
        <w:tc>
          <w:tcPr>
            <w:tcW w:w="2852" w:type="dxa"/>
            <w:noWrap/>
          </w:tcPr>
          <w:p w14:paraId="0B467306">
            <w:pPr>
              <w:jc w:val="center"/>
              <w:rPr>
                <w:rFonts w:ascii="宋体" w:hAnsi="宋体"/>
                <w:color w:val="000000" w:themeColor="text1"/>
                <w:sz w:val="24"/>
                <w:szCs w:val="24"/>
                <w:highlight w:val="none"/>
                <w14:textFill>
                  <w14:solidFill>
                    <w14:schemeClr w14:val="tx1"/>
                  </w14:solidFill>
                </w14:textFill>
              </w:rPr>
            </w:pPr>
          </w:p>
        </w:tc>
        <w:tc>
          <w:tcPr>
            <w:tcW w:w="1308" w:type="dxa"/>
            <w:noWrap/>
          </w:tcPr>
          <w:p w14:paraId="07DF0658">
            <w:pPr>
              <w:jc w:val="center"/>
              <w:rPr>
                <w:rFonts w:ascii="宋体" w:hAnsi="宋体"/>
                <w:color w:val="000000" w:themeColor="text1"/>
                <w:sz w:val="24"/>
                <w:szCs w:val="24"/>
                <w:highlight w:val="none"/>
                <w14:textFill>
                  <w14:solidFill>
                    <w14:schemeClr w14:val="tx1"/>
                  </w14:solidFill>
                </w14:textFill>
              </w:rPr>
            </w:pPr>
          </w:p>
        </w:tc>
        <w:tc>
          <w:tcPr>
            <w:tcW w:w="1173" w:type="dxa"/>
            <w:noWrap/>
          </w:tcPr>
          <w:p w14:paraId="62E4AFAC">
            <w:pPr>
              <w:jc w:val="center"/>
              <w:rPr>
                <w:rFonts w:ascii="宋体" w:hAnsi="宋体"/>
                <w:color w:val="000000" w:themeColor="text1"/>
                <w:sz w:val="24"/>
                <w:szCs w:val="24"/>
                <w:highlight w:val="none"/>
                <w14:textFill>
                  <w14:solidFill>
                    <w14:schemeClr w14:val="tx1"/>
                  </w14:solidFill>
                </w14:textFill>
              </w:rPr>
            </w:pPr>
          </w:p>
        </w:tc>
      </w:tr>
      <w:tr w14:paraId="2776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58B4C168">
            <w:pPr>
              <w:jc w:val="center"/>
              <w:rPr>
                <w:rFonts w:ascii="宋体" w:hAnsi="宋体"/>
                <w:color w:val="000000" w:themeColor="text1"/>
                <w:sz w:val="24"/>
                <w:szCs w:val="24"/>
                <w:highlight w:val="none"/>
                <w14:textFill>
                  <w14:solidFill>
                    <w14:schemeClr w14:val="tx1"/>
                  </w14:solidFill>
                </w14:textFill>
              </w:rPr>
            </w:pPr>
          </w:p>
        </w:tc>
        <w:tc>
          <w:tcPr>
            <w:tcW w:w="2852" w:type="dxa"/>
            <w:noWrap/>
          </w:tcPr>
          <w:p w14:paraId="0F0D9707">
            <w:pPr>
              <w:jc w:val="center"/>
              <w:rPr>
                <w:rFonts w:ascii="宋体" w:hAnsi="宋体"/>
                <w:color w:val="000000" w:themeColor="text1"/>
                <w:sz w:val="24"/>
                <w:szCs w:val="24"/>
                <w:highlight w:val="none"/>
                <w14:textFill>
                  <w14:solidFill>
                    <w14:schemeClr w14:val="tx1"/>
                  </w14:solidFill>
                </w14:textFill>
              </w:rPr>
            </w:pPr>
          </w:p>
        </w:tc>
        <w:tc>
          <w:tcPr>
            <w:tcW w:w="2852" w:type="dxa"/>
            <w:noWrap/>
          </w:tcPr>
          <w:p w14:paraId="05658867">
            <w:pPr>
              <w:jc w:val="center"/>
              <w:rPr>
                <w:rFonts w:ascii="宋体" w:hAnsi="宋体"/>
                <w:color w:val="000000" w:themeColor="text1"/>
                <w:sz w:val="24"/>
                <w:szCs w:val="24"/>
                <w:highlight w:val="none"/>
                <w14:textFill>
                  <w14:solidFill>
                    <w14:schemeClr w14:val="tx1"/>
                  </w14:solidFill>
                </w14:textFill>
              </w:rPr>
            </w:pPr>
          </w:p>
        </w:tc>
        <w:tc>
          <w:tcPr>
            <w:tcW w:w="1308" w:type="dxa"/>
            <w:noWrap/>
          </w:tcPr>
          <w:p w14:paraId="2E069BFB">
            <w:pPr>
              <w:jc w:val="center"/>
              <w:rPr>
                <w:rFonts w:ascii="宋体" w:hAnsi="宋体"/>
                <w:color w:val="000000" w:themeColor="text1"/>
                <w:sz w:val="24"/>
                <w:szCs w:val="24"/>
                <w:highlight w:val="none"/>
                <w14:textFill>
                  <w14:solidFill>
                    <w14:schemeClr w14:val="tx1"/>
                  </w14:solidFill>
                </w14:textFill>
              </w:rPr>
            </w:pPr>
          </w:p>
        </w:tc>
        <w:tc>
          <w:tcPr>
            <w:tcW w:w="1173" w:type="dxa"/>
            <w:noWrap/>
          </w:tcPr>
          <w:p w14:paraId="19D798AD">
            <w:pPr>
              <w:jc w:val="center"/>
              <w:rPr>
                <w:rFonts w:ascii="宋体" w:hAnsi="宋体"/>
                <w:color w:val="000000" w:themeColor="text1"/>
                <w:sz w:val="24"/>
                <w:szCs w:val="24"/>
                <w:highlight w:val="none"/>
                <w14:textFill>
                  <w14:solidFill>
                    <w14:schemeClr w14:val="tx1"/>
                  </w14:solidFill>
                </w14:textFill>
              </w:rPr>
            </w:pPr>
          </w:p>
        </w:tc>
      </w:tr>
      <w:tr w14:paraId="14E8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1B44824A">
            <w:pPr>
              <w:jc w:val="center"/>
              <w:rPr>
                <w:rFonts w:ascii="宋体" w:hAnsi="宋体"/>
                <w:color w:val="000000" w:themeColor="text1"/>
                <w:sz w:val="24"/>
                <w:szCs w:val="24"/>
                <w:highlight w:val="none"/>
                <w14:textFill>
                  <w14:solidFill>
                    <w14:schemeClr w14:val="tx1"/>
                  </w14:solidFill>
                </w14:textFill>
              </w:rPr>
            </w:pPr>
          </w:p>
        </w:tc>
        <w:tc>
          <w:tcPr>
            <w:tcW w:w="2852" w:type="dxa"/>
            <w:noWrap/>
          </w:tcPr>
          <w:p w14:paraId="541B28E7">
            <w:pPr>
              <w:jc w:val="center"/>
              <w:rPr>
                <w:rFonts w:ascii="宋体" w:hAnsi="宋体"/>
                <w:color w:val="000000" w:themeColor="text1"/>
                <w:sz w:val="24"/>
                <w:szCs w:val="24"/>
                <w:highlight w:val="none"/>
                <w14:textFill>
                  <w14:solidFill>
                    <w14:schemeClr w14:val="tx1"/>
                  </w14:solidFill>
                </w14:textFill>
              </w:rPr>
            </w:pPr>
          </w:p>
        </w:tc>
        <w:tc>
          <w:tcPr>
            <w:tcW w:w="2852" w:type="dxa"/>
            <w:noWrap/>
          </w:tcPr>
          <w:p w14:paraId="7D6E1BA7">
            <w:pPr>
              <w:jc w:val="center"/>
              <w:rPr>
                <w:rFonts w:ascii="宋体" w:hAnsi="宋体"/>
                <w:color w:val="000000" w:themeColor="text1"/>
                <w:sz w:val="24"/>
                <w:szCs w:val="24"/>
                <w:highlight w:val="none"/>
                <w14:textFill>
                  <w14:solidFill>
                    <w14:schemeClr w14:val="tx1"/>
                  </w14:solidFill>
                </w14:textFill>
              </w:rPr>
            </w:pPr>
          </w:p>
        </w:tc>
        <w:tc>
          <w:tcPr>
            <w:tcW w:w="1308" w:type="dxa"/>
            <w:noWrap/>
          </w:tcPr>
          <w:p w14:paraId="344AFD40">
            <w:pPr>
              <w:jc w:val="center"/>
              <w:rPr>
                <w:rFonts w:ascii="宋体" w:hAnsi="宋体"/>
                <w:color w:val="000000" w:themeColor="text1"/>
                <w:sz w:val="24"/>
                <w:szCs w:val="24"/>
                <w:highlight w:val="none"/>
                <w14:textFill>
                  <w14:solidFill>
                    <w14:schemeClr w14:val="tx1"/>
                  </w14:solidFill>
                </w14:textFill>
              </w:rPr>
            </w:pPr>
          </w:p>
        </w:tc>
        <w:tc>
          <w:tcPr>
            <w:tcW w:w="1173" w:type="dxa"/>
            <w:noWrap/>
          </w:tcPr>
          <w:p w14:paraId="70F77DD8">
            <w:pPr>
              <w:jc w:val="center"/>
              <w:rPr>
                <w:rFonts w:ascii="宋体" w:hAnsi="宋体"/>
                <w:color w:val="000000" w:themeColor="text1"/>
                <w:sz w:val="24"/>
                <w:szCs w:val="24"/>
                <w:highlight w:val="none"/>
                <w14:textFill>
                  <w14:solidFill>
                    <w14:schemeClr w14:val="tx1"/>
                  </w14:solidFill>
                </w14:textFill>
              </w:rPr>
            </w:pPr>
          </w:p>
        </w:tc>
      </w:tr>
      <w:tr w14:paraId="7B00E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09E916E0">
            <w:pPr>
              <w:jc w:val="center"/>
              <w:rPr>
                <w:rFonts w:ascii="宋体" w:hAnsi="宋体"/>
                <w:color w:val="000000" w:themeColor="text1"/>
                <w:sz w:val="24"/>
                <w:szCs w:val="24"/>
                <w:highlight w:val="none"/>
                <w14:textFill>
                  <w14:solidFill>
                    <w14:schemeClr w14:val="tx1"/>
                  </w14:solidFill>
                </w14:textFill>
              </w:rPr>
            </w:pPr>
          </w:p>
        </w:tc>
        <w:tc>
          <w:tcPr>
            <w:tcW w:w="2852" w:type="dxa"/>
            <w:noWrap/>
          </w:tcPr>
          <w:p w14:paraId="412270D6">
            <w:pPr>
              <w:jc w:val="center"/>
              <w:rPr>
                <w:rFonts w:ascii="宋体" w:hAnsi="宋体"/>
                <w:color w:val="000000" w:themeColor="text1"/>
                <w:sz w:val="24"/>
                <w:szCs w:val="24"/>
                <w:highlight w:val="none"/>
                <w14:textFill>
                  <w14:solidFill>
                    <w14:schemeClr w14:val="tx1"/>
                  </w14:solidFill>
                </w14:textFill>
              </w:rPr>
            </w:pPr>
          </w:p>
        </w:tc>
        <w:tc>
          <w:tcPr>
            <w:tcW w:w="2852" w:type="dxa"/>
            <w:noWrap/>
          </w:tcPr>
          <w:p w14:paraId="41B9831A">
            <w:pPr>
              <w:jc w:val="center"/>
              <w:rPr>
                <w:rFonts w:ascii="宋体" w:hAnsi="宋体"/>
                <w:color w:val="000000" w:themeColor="text1"/>
                <w:sz w:val="24"/>
                <w:szCs w:val="24"/>
                <w:highlight w:val="none"/>
                <w14:textFill>
                  <w14:solidFill>
                    <w14:schemeClr w14:val="tx1"/>
                  </w14:solidFill>
                </w14:textFill>
              </w:rPr>
            </w:pPr>
          </w:p>
        </w:tc>
        <w:tc>
          <w:tcPr>
            <w:tcW w:w="1308" w:type="dxa"/>
            <w:noWrap/>
          </w:tcPr>
          <w:p w14:paraId="1C92F8B5">
            <w:pPr>
              <w:jc w:val="center"/>
              <w:rPr>
                <w:rFonts w:ascii="宋体" w:hAnsi="宋体"/>
                <w:color w:val="000000" w:themeColor="text1"/>
                <w:sz w:val="24"/>
                <w:szCs w:val="24"/>
                <w:highlight w:val="none"/>
                <w14:textFill>
                  <w14:solidFill>
                    <w14:schemeClr w14:val="tx1"/>
                  </w14:solidFill>
                </w14:textFill>
              </w:rPr>
            </w:pPr>
          </w:p>
        </w:tc>
        <w:tc>
          <w:tcPr>
            <w:tcW w:w="1173" w:type="dxa"/>
            <w:noWrap/>
          </w:tcPr>
          <w:p w14:paraId="6F5EAF07">
            <w:pPr>
              <w:jc w:val="center"/>
              <w:rPr>
                <w:rFonts w:ascii="宋体" w:hAnsi="宋体"/>
                <w:color w:val="000000" w:themeColor="text1"/>
                <w:sz w:val="24"/>
                <w:szCs w:val="24"/>
                <w:highlight w:val="none"/>
                <w14:textFill>
                  <w14:solidFill>
                    <w14:schemeClr w14:val="tx1"/>
                  </w14:solidFill>
                </w14:textFill>
              </w:rPr>
            </w:pPr>
          </w:p>
        </w:tc>
      </w:tr>
    </w:tbl>
    <w:p w14:paraId="567D779C">
      <w:pP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法定代表人或授权代表签字：</w:t>
      </w:r>
    </w:p>
    <w:p w14:paraId="3B88DDE5">
      <w:pPr>
        <w:rPr>
          <w:rFonts w:ascii="宋体" w:hAnsi="宋体"/>
          <w:color w:val="000000" w:themeColor="text1"/>
          <w:sz w:val="24"/>
          <w:szCs w:val="24"/>
          <w:highlight w:val="none"/>
          <w14:textFill>
            <w14:solidFill>
              <w14:schemeClr w14:val="tx1"/>
            </w14:solidFill>
          </w14:textFill>
        </w:rPr>
      </w:pPr>
    </w:p>
    <w:p w14:paraId="37D68FA3">
      <w:pPr>
        <w:rPr>
          <w:rFonts w:ascii="宋体" w:hAnsi="宋体"/>
          <w:color w:val="000000" w:themeColor="text1"/>
          <w:sz w:val="24"/>
          <w:szCs w:val="24"/>
          <w:highlight w:val="none"/>
          <w14:textFill>
            <w14:solidFill>
              <w14:schemeClr w14:val="tx1"/>
            </w14:solidFill>
          </w14:textFill>
        </w:rPr>
      </w:pPr>
    </w:p>
    <w:p w14:paraId="01F829AB">
      <w:pP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注：1、按照基本技术要求详细填列。</w:t>
      </w:r>
    </w:p>
    <w:p w14:paraId="2440DF17">
      <w:pPr>
        <w:numPr>
          <w:ilvl w:val="0"/>
          <w:numId w:val="8"/>
        </w:numP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行数不够，可自行添加。</w:t>
      </w:r>
    </w:p>
    <w:p w14:paraId="56343972">
      <w:pPr>
        <w:numPr>
          <w:ilvl w:val="0"/>
          <w:numId w:val="8"/>
        </w:numPr>
        <w:spacing w:line="360" w:lineRule="auto"/>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技术偏离表应针对项目需求逐条应答。</w:t>
      </w:r>
    </w:p>
    <w:p w14:paraId="39AE64AE">
      <w:pPr>
        <w:spacing w:line="360" w:lineRule="auto"/>
        <w:ind w:left="480"/>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4、如无超出或偏离项目，此表无需填写。</w:t>
      </w:r>
    </w:p>
    <w:p w14:paraId="63F1FA70">
      <w:pPr>
        <w:pStyle w:val="25"/>
        <w:ind w:firstLine="210"/>
        <w:rPr>
          <w:color w:val="000000" w:themeColor="text1"/>
          <w:highlight w:val="none"/>
          <w14:textFill>
            <w14:solidFill>
              <w14:schemeClr w14:val="tx1"/>
            </w14:solidFill>
          </w14:textFill>
        </w:rPr>
      </w:pPr>
    </w:p>
    <w:p w14:paraId="3DDC27DB">
      <w:pPr>
        <w:rPr>
          <w:rFonts w:ascii="黑体" w:eastAsia="黑体"/>
          <w:color w:val="000000" w:themeColor="text1"/>
          <w:sz w:val="32"/>
          <w:szCs w:val="32"/>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br w:type="page" w:clear="all"/>
      </w:r>
    </w:p>
    <w:p w14:paraId="6383215D">
      <w:pPr>
        <w:spacing w:before="50" w:after="50"/>
        <w:jc w:val="center"/>
        <w:rPr>
          <w:rFonts w:ascii="黑体" w:eastAsia="黑体"/>
          <w:color w:val="000000" w:themeColor="text1"/>
          <w:sz w:val="32"/>
          <w:szCs w:val="32"/>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商务条款响应及偏离表（如有）</w:t>
      </w:r>
    </w:p>
    <w:p w14:paraId="1E546A27">
      <w:pPr>
        <w:jc w:val="center"/>
        <w:rPr>
          <w:rFonts w:ascii="宋体" w:hAnsi="宋体"/>
          <w:color w:val="000000" w:themeColor="text1"/>
          <w:sz w:val="24"/>
          <w:szCs w:val="24"/>
          <w:highlight w:val="none"/>
          <w14:textFill>
            <w14:solidFill>
              <w14:schemeClr w14:val="tx1"/>
            </w14:solidFill>
          </w14:textFill>
        </w:rPr>
      </w:pPr>
    </w:p>
    <w:p w14:paraId="08770465">
      <w:pP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投标人全称（加盖公章）：        </w:t>
      </w:r>
    </w:p>
    <w:tbl>
      <w:tblPr>
        <w:tblStyle w:val="27"/>
        <w:tblW w:w="85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14:paraId="6AA03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548" w:type="dxa"/>
            <w:tcBorders>
              <w:top w:val="single" w:color="auto" w:sz="4" w:space="0"/>
              <w:left w:val="single" w:color="auto" w:sz="4" w:space="0"/>
              <w:bottom w:val="single" w:color="auto" w:sz="4" w:space="0"/>
              <w:right w:val="single" w:color="auto" w:sz="4" w:space="0"/>
            </w:tcBorders>
          </w:tcPr>
          <w:p w14:paraId="5433CE6C">
            <w:pPr>
              <w:spacing w:before="160"/>
              <w:rPr>
                <w:rFonts w:ascii="仿宋_GB2312" w:hAnsi="宋体" w:eastAsia="仿宋_GB2312"/>
                <w:color w:val="000000" w:themeColor="text1"/>
                <w:sz w:val="24"/>
                <w:szCs w:val="20"/>
                <w:highlight w:val="none"/>
                <w14:textFill>
                  <w14:solidFill>
                    <w14:schemeClr w14:val="tx1"/>
                  </w14:solidFill>
                </w14:textFill>
              </w:rPr>
            </w:pPr>
            <w:r>
              <w:rPr>
                <w:rFonts w:hint="eastAsia" w:ascii="仿宋_GB2312" w:hAnsi="宋体"/>
                <w:color w:val="000000" w:themeColor="text1"/>
                <w:sz w:val="24"/>
                <w:highlight w:val="none"/>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tcPr>
          <w:p w14:paraId="6D7E231D">
            <w:pPr>
              <w:spacing w:before="160"/>
              <w:rPr>
                <w:rFonts w:ascii="仿宋_GB2312" w:hAnsi="宋体" w:eastAsia="仿宋_GB2312"/>
                <w:color w:val="000000" w:themeColor="text1"/>
                <w:sz w:val="24"/>
                <w:szCs w:val="20"/>
                <w:highlight w:val="none"/>
                <w14:textFill>
                  <w14:solidFill>
                    <w14:schemeClr w14:val="tx1"/>
                  </w14:solidFill>
                </w14:textFill>
              </w:rPr>
            </w:pPr>
            <w:r>
              <w:rPr>
                <w:rFonts w:hint="eastAsia" w:ascii="仿宋_GB2312" w:hAnsi="宋体"/>
                <w:color w:val="000000" w:themeColor="text1"/>
                <w:sz w:val="24"/>
                <w:highlight w:val="none"/>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tcPr>
          <w:p w14:paraId="4DD71F3F">
            <w:pPr>
              <w:spacing w:before="160"/>
              <w:rPr>
                <w:rFonts w:ascii="仿宋_GB2312" w:hAnsi="宋体" w:eastAsia="仿宋_GB2312"/>
                <w:color w:val="000000" w:themeColor="text1"/>
                <w:sz w:val="24"/>
                <w:szCs w:val="20"/>
                <w:highlight w:val="none"/>
                <w14:textFill>
                  <w14:solidFill>
                    <w14:schemeClr w14:val="tx1"/>
                  </w14:solidFill>
                </w14:textFill>
              </w:rPr>
            </w:pPr>
            <w:r>
              <w:rPr>
                <w:rFonts w:hint="eastAsia" w:ascii="仿宋_GB2312" w:hAnsi="宋体"/>
                <w:color w:val="000000" w:themeColor="text1"/>
                <w:sz w:val="24"/>
                <w:highlight w:val="none"/>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tcPr>
          <w:p w14:paraId="4FC91B8C">
            <w:pPr>
              <w:spacing w:before="160"/>
              <w:rPr>
                <w:rFonts w:ascii="仿宋_GB2312" w:hAnsi="宋体" w:eastAsia="仿宋_GB2312"/>
                <w:color w:val="000000" w:themeColor="text1"/>
                <w:sz w:val="24"/>
                <w:szCs w:val="20"/>
                <w:highlight w:val="none"/>
                <w14:textFill>
                  <w14:solidFill>
                    <w14:schemeClr w14:val="tx1"/>
                  </w14:solidFill>
                </w14:textFill>
              </w:rPr>
            </w:pPr>
            <w:r>
              <w:rPr>
                <w:rFonts w:hint="eastAsia" w:ascii="仿宋_GB2312" w:hAnsi="宋体"/>
                <w:color w:val="000000" w:themeColor="text1"/>
                <w:sz w:val="24"/>
                <w:highlight w:val="none"/>
                <w14:textFill>
                  <w14:solidFill>
                    <w14:schemeClr w14:val="tx1"/>
                  </w14:solidFill>
                </w14:textFill>
              </w:rPr>
              <w:t>投标人的承诺或说明</w:t>
            </w:r>
          </w:p>
        </w:tc>
      </w:tr>
      <w:tr w14:paraId="17A5F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1548" w:type="dxa"/>
            <w:tcBorders>
              <w:top w:val="single" w:color="auto" w:sz="4" w:space="0"/>
              <w:left w:val="single" w:color="auto" w:sz="4" w:space="0"/>
              <w:bottom w:val="single" w:color="auto" w:sz="4" w:space="0"/>
              <w:right w:val="single" w:color="auto" w:sz="4" w:space="0"/>
            </w:tcBorders>
          </w:tcPr>
          <w:p w14:paraId="3B0DC02D">
            <w:pPr>
              <w:spacing w:before="160"/>
              <w:rPr>
                <w:rFonts w:ascii="仿宋_GB2312" w:hAnsi="宋体" w:eastAsia="仿宋_GB2312"/>
                <w:color w:val="000000" w:themeColor="text1"/>
                <w:sz w:val="24"/>
                <w:szCs w:val="20"/>
                <w:highlight w:val="none"/>
                <w14:textFill>
                  <w14:solidFill>
                    <w14:schemeClr w14:val="tx1"/>
                  </w14:solidFill>
                </w14:textFill>
              </w:rPr>
            </w:pPr>
            <w:r>
              <w:rPr>
                <w:rFonts w:hint="eastAsia" w:ascii="仿宋_GB2312" w:hAnsi="宋体"/>
                <w:color w:val="000000" w:themeColor="text1"/>
                <w:sz w:val="24"/>
                <w:highlight w:val="none"/>
                <w14:textFill>
                  <w14:solidFill>
                    <w14:schemeClr w14:val="tx1"/>
                  </w14:solidFill>
                </w14:textFill>
              </w:rPr>
              <w:t>服务期限</w:t>
            </w:r>
          </w:p>
        </w:tc>
        <w:tc>
          <w:tcPr>
            <w:tcW w:w="2700" w:type="dxa"/>
            <w:tcBorders>
              <w:top w:val="single" w:color="auto" w:sz="4" w:space="0"/>
              <w:left w:val="single" w:color="auto" w:sz="4" w:space="0"/>
              <w:bottom w:val="single" w:color="auto" w:sz="4" w:space="0"/>
              <w:right w:val="single" w:color="auto" w:sz="4" w:space="0"/>
            </w:tcBorders>
          </w:tcPr>
          <w:p w14:paraId="6EA1D98B">
            <w:pPr>
              <w:spacing w:before="160"/>
              <w:rPr>
                <w:rFonts w:ascii="仿宋_GB2312" w:hAnsi="宋体" w:eastAsia="仿宋_GB2312"/>
                <w:color w:val="000000" w:themeColor="text1"/>
                <w:sz w:val="24"/>
                <w:szCs w:val="2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182C4CE7">
            <w:pPr>
              <w:spacing w:before="160"/>
              <w:ind w:left="43"/>
              <w:rPr>
                <w:rFonts w:ascii="仿宋_GB2312" w:hAnsi="宋体" w:eastAsia="仿宋_GB2312"/>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14:paraId="5C67C4EA">
            <w:pPr>
              <w:spacing w:before="160"/>
              <w:ind w:left="43"/>
              <w:rPr>
                <w:rFonts w:ascii="仿宋_GB2312" w:hAnsi="宋体" w:eastAsia="仿宋_GB2312"/>
                <w:color w:val="000000" w:themeColor="text1"/>
                <w:sz w:val="24"/>
                <w:szCs w:val="20"/>
                <w:highlight w:val="none"/>
                <w14:textFill>
                  <w14:solidFill>
                    <w14:schemeClr w14:val="tx1"/>
                  </w14:solidFill>
                </w14:textFill>
              </w:rPr>
            </w:pPr>
          </w:p>
        </w:tc>
      </w:tr>
      <w:tr w14:paraId="277797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548" w:type="dxa"/>
            <w:tcBorders>
              <w:top w:val="single" w:color="auto" w:sz="4" w:space="0"/>
              <w:left w:val="single" w:color="auto" w:sz="4" w:space="0"/>
              <w:bottom w:val="single" w:color="auto" w:sz="4" w:space="0"/>
              <w:right w:val="single" w:color="auto" w:sz="4" w:space="0"/>
            </w:tcBorders>
          </w:tcPr>
          <w:p w14:paraId="472B77CB">
            <w:pPr>
              <w:spacing w:before="160"/>
              <w:rPr>
                <w:rFonts w:ascii="仿宋_GB2312"/>
                <w:color w:val="000000" w:themeColor="text1"/>
                <w:sz w:val="24"/>
                <w:highlight w:val="none"/>
                <w14:textFill>
                  <w14:solidFill>
                    <w14:schemeClr w14:val="tx1"/>
                  </w14:solidFill>
                </w14:textFill>
              </w:rPr>
            </w:pPr>
            <w:r>
              <w:rPr>
                <w:rFonts w:hint="eastAsia" w:ascii="仿宋_GB2312" w:hAnsi="宋体"/>
                <w:color w:val="000000" w:themeColor="text1"/>
                <w:sz w:val="24"/>
                <w:highlight w:val="none"/>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tcPr>
          <w:p w14:paraId="42EA9725">
            <w:pPr>
              <w:spacing w:before="160"/>
              <w:rPr>
                <w:rFonts w:ascii="仿宋_GB2312" w:hAnsi="宋体"/>
                <w:color w:val="000000" w:themeColor="text1"/>
                <w:sz w:val="24"/>
                <w:highlight w:val="none"/>
                <w14:textFill>
                  <w14:solidFill>
                    <w14:schemeClr w14:val="tx1"/>
                  </w14:solidFill>
                </w14:textFill>
              </w:rPr>
            </w:pPr>
          </w:p>
          <w:p w14:paraId="25D62DED">
            <w:pPr>
              <w:spacing w:before="160"/>
              <w:rPr>
                <w:rFonts w:ascii="仿宋_GB2312" w:hAnsi="宋体"/>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088891C5">
            <w:pPr>
              <w:spacing w:before="160"/>
              <w:ind w:left="43"/>
              <w:rPr>
                <w:rFonts w:ascii="仿宋_GB2312" w:hAnsi="宋体" w:eastAsia="仿宋_GB2312"/>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14:paraId="34964171">
            <w:pPr>
              <w:spacing w:before="160"/>
              <w:ind w:left="43"/>
              <w:rPr>
                <w:rFonts w:ascii="仿宋_GB2312" w:hAnsi="宋体" w:eastAsia="仿宋_GB2312"/>
                <w:color w:val="000000" w:themeColor="text1"/>
                <w:sz w:val="24"/>
                <w:szCs w:val="20"/>
                <w:highlight w:val="none"/>
                <w14:textFill>
                  <w14:solidFill>
                    <w14:schemeClr w14:val="tx1"/>
                  </w14:solidFill>
                </w14:textFill>
              </w:rPr>
            </w:pPr>
          </w:p>
        </w:tc>
      </w:tr>
      <w:tr w14:paraId="4D1777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548" w:type="dxa"/>
            <w:tcBorders>
              <w:top w:val="single" w:color="auto" w:sz="4" w:space="0"/>
              <w:left w:val="single" w:color="auto" w:sz="4" w:space="0"/>
              <w:bottom w:val="single" w:color="auto" w:sz="4" w:space="0"/>
              <w:right w:val="single" w:color="auto" w:sz="4" w:space="0"/>
            </w:tcBorders>
          </w:tcPr>
          <w:p w14:paraId="3C0F6A4E">
            <w:pPr>
              <w:spacing w:before="160"/>
              <w:rPr>
                <w:rFonts w:ascii="仿宋_GB2312"/>
                <w:color w:val="000000" w:themeColor="text1"/>
                <w:sz w:val="24"/>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tcPr>
          <w:p w14:paraId="4A6C8BF3">
            <w:pPr>
              <w:spacing w:before="160"/>
              <w:rPr>
                <w:rFonts w:ascii="仿宋_GB2312" w:hAnsi="宋体"/>
                <w:color w:val="000000" w:themeColor="text1"/>
                <w:sz w:val="24"/>
                <w:highlight w:val="none"/>
                <w14:textFill>
                  <w14:solidFill>
                    <w14:schemeClr w14:val="tx1"/>
                  </w14:solidFill>
                </w14:textFill>
              </w:rPr>
            </w:pPr>
          </w:p>
          <w:p w14:paraId="1CD99218">
            <w:pPr>
              <w:spacing w:before="160"/>
              <w:rPr>
                <w:rFonts w:ascii="仿宋_GB2312" w:hAnsi="宋体"/>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3FDBC6E8">
            <w:pPr>
              <w:spacing w:before="160"/>
              <w:ind w:left="43"/>
              <w:rPr>
                <w:rFonts w:ascii="仿宋_GB2312" w:hAnsi="宋体" w:eastAsia="仿宋_GB2312"/>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14:paraId="6E08F3FD">
            <w:pPr>
              <w:spacing w:before="160"/>
              <w:ind w:left="43"/>
              <w:rPr>
                <w:rFonts w:ascii="仿宋_GB2312" w:hAnsi="宋体" w:eastAsia="仿宋_GB2312"/>
                <w:color w:val="000000" w:themeColor="text1"/>
                <w:sz w:val="24"/>
                <w:szCs w:val="20"/>
                <w:highlight w:val="none"/>
                <w14:textFill>
                  <w14:solidFill>
                    <w14:schemeClr w14:val="tx1"/>
                  </w14:solidFill>
                </w14:textFill>
              </w:rPr>
            </w:pPr>
          </w:p>
        </w:tc>
      </w:tr>
      <w:tr w14:paraId="73F2C9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1" w:hRule="atLeast"/>
          <w:jc w:val="center"/>
        </w:trPr>
        <w:tc>
          <w:tcPr>
            <w:tcW w:w="1548" w:type="dxa"/>
            <w:tcBorders>
              <w:top w:val="single" w:color="auto" w:sz="4" w:space="0"/>
              <w:left w:val="single" w:color="auto" w:sz="4" w:space="0"/>
              <w:bottom w:val="single" w:color="auto" w:sz="4" w:space="0"/>
              <w:right w:val="single" w:color="auto" w:sz="4" w:space="0"/>
            </w:tcBorders>
          </w:tcPr>
          <w:p w14:paraId="318A7496">
            <w:pPr>
              <w:spacing w:before="160"/>
              <w:rPr>
                <w:rFonts w:ascii="仿宋_GB2312"/>
                <w:color w:val="000000" w:themeColor="text1"/>
                <w:sz w:val="24"/>
                <w:highlight w:val="none"/>
                <w14:textFill>
                  <w14:solidFill>
                    <w14:schemeClr w14:val="tx1"/>
                  </w14:solidFill>
                </w14:textFill>
              </w:rPr>
            </w:pPr>
            <w:r>
              <w:rPr>
                <w:rFonts w:hint="eastAsia" w:ascii="仿宋_GB2312" w:hAnsi="宋体"/>
                <w:color w:val="000000" w:themeColor="text1"/>
                <w:sz w:val="24"/>
                <w:highlight w:val="none"/>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tcPr>
          <w:p w14:paraId="10C22133">
            <w:pPr>
              <w:spacing w:before="160"/>
              <w:rPr>
                <w:rFonts w:ascii="仿宋_GB2312" w:hAnsi="宋体"/>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5AC250D2">
            <w:pPr>
              <w:spacing w:before="160"/>
              <w:ind w:left="43"/>
              <w:rPr>
                <w:rFonts w:ascii="仿宋_GB2312" w:hAnsi="宋体" w:eastAsia="仿宋_GB2312"/>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14:paraId="3F145A19">
            <w:pPr>
              <w:spacing w:before="160"/>
              <w:ind w:left="43"/>
              <w:rPr>
                <w:rFonts w:ascii="仿宋_GB2312" w:hAnsi="宋体" w:eastAsia="仿宋_GB2312"/>
                <w:color w:val="000000" w:themeColor="text1"/>
                <w:sz w:val="24"/>
                <w:szCs w:val="20"/>
                <w:highlight w:val="none"/>
                <w14:textFill>
                  <w14:solidFill>
                    <w14:schemeClr w14:val="tx1"/>
                  </w14:solidFill>
                </w14:textFill>
              </w:rPr>
            </w:pPr>
          </w:p>
        </w:tc>
      </w:tr>
      <w:tr w14:paraId="47ED4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548" w:type="dxa"/>
            <w:tcBorders>
              <w:top w:val="single" w:color="auto" w:sz="4" w:space="0"/>
              <w:left w:val="single" w:color="auto" w:sz="4" w:space="0"/>
              <w:bottom w:val="single" w:color="auto" w:sz="4" w:space="0"/>
              <w:right w:val="single" w:color="auto" w:sz="4" w:space="0"/>
            </w:tcBorders>
          </w:tcPr>
          <w:p w14:paraId="4C33FB6B">
            <w:pPr>
              <w:spacing w:before="160"/>
              <w:rPr>
                <w:rFonts w:ascii="仿宋_GB2312" w:hAnsi="宋体" w:eastAsia="仿宋_GB2312"/>
                <w:color w:val="000000" w:themeColor="text1"/>
                <w:sz w:val="24"/>
                <w:szCs w:val="20"/>
                <w:highlight w:val="none"/>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tcPr>
          <w:p w14:paraId="20A4A105">
            <w:pPr>
              <w:spacing w:before="160"/>
              <w:rPr>
                <w:rFonts w:ascii="仿宋_GB2312" w:hAnsi="宋体" w:eastAsia="仿宋_GB2312"/>
                <w:color w:val="000000" w:themeColor="text1"/>
                <w:sz w:val="24"/>
                <w:szCs w:val="2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0CEFC04C">
            <w:pPr>
              <w:spacing w:before="160"/>
              <w:rPr>
                <w:rFonts w:ascii="仿宋_GB2312" w:hAnsi="宋体" w:eastAsia="仿宋_GB2312"/>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14:paraId="447F486D">
            <w:pPr>
              <w:spacing w:before="160"/>
              <w:rPr>
                <w:rFonts w:ascii="仿宋_GB2312" w:hAnsi="宋体" w:eastAsia="仿宋_GB2312"/>
                <w:color w:val="000000" w:themeColor="text1"/>
                <w:sz w:val="24"/>
                <w:szCs w:val="20"/>
                <w:highlight w:val="none"/>
                <w14:textFill>
                  <w14:solidFill>
                    <w14:schemeClr w14:val="tx1"/>
                  </w14:solidFill>
                </w14:textFill>
              </w:rPr>
            </w:pPr>
          </w:p>
        </w:tc>
      </w:tr>
      <w:tr w14:paraId="191D77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48" w:type="dxa"/>
            <w:tcBorders>
              <w:top w:val="single" w:color="auto" w:sz="4" w:space="0"/>
              <w:left w:val="single" w:color="auto" w:sz="4" w:space="0"/>
              <w:bottom w:val="single" w:color="auto" w:sz="4" w:space="0"/>
              <w:right w:val="single" w:color="auto" w:sz="4" w:space="0"/>
            </w:tcBorders>
          </w:tcPr>
          <w:p w14:paraId="6BA7BECA">
            <w:pPr>
              <w:spacing w:before="160"/>
              <w:rPr>
                <w:rFonts w:ascii="宋体" w:hAnsi="宋体"/>
                <w:color w:val="000000" w:themeColor="text1"/>
                <w:sz w:val="24"/>
                <w:szCs w:val="20"/>
                <w:highlight w:val="none"/>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tcPr>
          <w:p w14:paraId="38CB8B2B">
            <w:pPr>
              <w:spacing w:before="160"/>
              <w:rPr>
                <w:rFonts w:ascii="仿宋_GB2312" w:hAnsi="宋体" w:eastAsia="仿宋_GB2312"/>
                <w:color w:val="000000" w:themeColor="text1"/>
                <w:sz w:val="24"/>
                <w:szCs w:val="20"/>
                <w:highlight w:val="none"/>
                <w14:textFill>
                  <w14:solidFill>
                    <w14:schemeClr w14:val="tx1"/>
                  </w14:solidFill>
                </w14:textFill>
              </w:rPr>
            </w:pPr>
          </w:p>
          <w:p w14:paraId="11518E31">
            <w:pPr>
              <w:spacing w:before="160"/>
              <w:rPr>
                <w:rFonts w:ascii="仿宋_GB2312" w:hAnsi="宋体" w:eastAsia="仿宋_GB2312"/>
                <w:color w:val="000000" w:themeColor="text1"/>
                <w:sz w:val="24"/>
                <w:szCs w:val="2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2ED2C404">
            <w:pPr>
              <w:spacing w:before="160"/>
              <w:rPr>
                <w:rFonts w:ascii="仿宋_GB2312" w:hAnsi="宋体" w:eastAsia="仿宋_GB2312"/>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14:paraId="0E7ECA5D">
            <w:pPr>
              <w:spacing w:before="160"/>
              <w:rPr>
                <w:rFonts w:ascii="仿宋_GB2312" w:hAnsi="宋体" w:eastAsia="仿宋_GB2312"/>
                <w:color w:val="000000" w:themeColor="text1"/>
                <w:sz w:val="24"/>
                <w:szCs w:val="20"/>
                <w:highlight w:val="none"/>
                <w14:textFill>
                  <w14:solidFill>
                    <w14:schemeClr w14:val="tx1"/>
                  </w14:solidFill>
                </w14:textFill>
              </w:rPr>
            </w:pPr>
          </w:p>
        </w:tc>
      </w:tr>
      <w:tr w14:paraId="063AC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7" w:hRule="atLeast"/>
          <w:jc w:val="center"/>
        </w:trPr>
        <w:tc>
          <w:tcPr>
            <w:tcW w:w="1548" w:type="dxa"/>
            <w:tcBorders>
              <w:top w:val="single" w:color="auto" w:sz="4" w:space="0"/>
              <w:left w:val="single" w:color="auto" w:sz="4" w:space="0"/>
              <w:bottom w:val="single" w:color="auto" w:sz="4" w:space="0"/>
              <w:right w:val="single" w:color="auto" w:sz="4" w:space="0"/>
            </w:tcBorders>
          </w:tcPr>
          <w:p w14:paraId="7D4C56C1">
            <w:pPr>
              <w:spacing w:before="160"/>
              <w:rPr>
                <w:rFonts w:ascii="仿宋_GB2312" w:hAnsi="宋体" w:eastAsia="仿宋_GB2312"/>
                <w:color w:val="000000" w:themeColor="text1"/>
                <w:sz w:val="24"/>
                <w:szCs w:val="20"/>
                <w:highlight w:val="none"/>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tcPr>
          <w:p w14:paraId="21FF0A7D">
            <w:pPr>
              <w:spacing w:before="160"/>
              <w:rPr>
                <w:rFonts w:ascii="仿宋_GB2312" w:hAnsi="宋体" w:eastAsia="仿宋_GB2312"/>
                <w:color w:val="000000" w:themeColor="text1"/>
                <w:sz w:val="24"/>
                <w:szCs w:val="2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7723C7C2">
            <w:pPr>
              <w:spacing w:before="160"/>
              <w:rPr>
                <w:rFonts w:ascii="仿宋_GB2312" w:hAnsi="宋体" w:eastAsia="仿宋_GB2312"/>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14:paraId="7E4A8561">
            <w:pPr>
              <w:spacing w:before="160"/>
              <w:rPr>
                <w:rFonts w:ascii="仿宋_GB2312" w:hAnsi="宋体" w:eastAsia="仿宋_GB2312"/>
                <w:color w:val="000000" w:themeColor="text1"/>
                <w:sz w:val="24"/>
                <w:szCs w:val="20"/>
                <w:highlight w:val="none"/>
                <w14:textFill>
                  <w14:solidFill>
                    <w14:schemeClr w14:val="tx1"/>
                  </w14:solidFill>
                </w14:textFill>
              </w:rPr>
            </w:pPr>
          </w:p>
        </w:tc>
      </w:tr>
    </w:tbl>
    <w:p w14:paraId="74CC151E">
      <w:pPr>
        <w:spacing w:line="500" w:lineRule="exact"/>
        <w:ind w:firstLine="480"/>
        <w:rPr>
          <w:rFonts w:ascii="宋体" w:hAnsi="宋体"/>
          <w:b/>
          <w:color w:val="000000" w:themeColor="text1"/>
          <w:sz w:val="36"/>
          <w:szCs w:val="36"/>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法定代表人或授权代表签字：</w:t>
      </w:r>
    </w:p>
    <w:p w14:paraId="4100FB12">
      <w:pPr>
        <w:rPr>
          <w:rFonts w:ascii="宋体" w:hAnsi="宋体" w:cs="宋体"/>
          <w:color w:val="000000" w:themeColor="text1"/>
          <w:sz w:val="32"/>
          <w:highlight w:val="none"/>
          <w14:textFill>
            <w14:solidFill>
              <w14:schemeClr w14:val="tx1"/>
            </w14:solidFill>
          </w14:textFill>
        </w:rPr>
      </w:pPr>
      <w:r>
        <w:rPr>
          <w:rFonts w:hint="eastAsia" w:ascii="宋体" w:hAnsi="宋体" w:cs="宋体"/>
          <w:color w:val="000000" w:themeColor="text1"/>
          <w:sz w:val="32"/>
          <w:highlight w:val="none"/>
          <w14:textFill>
            <w14:solidFill>
              <w14:schemeClr w14:val="tx1"/>
            </w14:solidFill>
          </w14:textFill>
        </w:rPr>
        <w:br w:type="page"/>
      </w:r>
    </w:p>
    <w:p w14:paraId="5A51E376">
      <w:pPr>
        <w:spacing w:line="460" w:lineRule="exact"/>
        <w:ind w:firstLine="640" w:firstLineChars="200"/>
        <w:jc w:val="center"/>
        <w:outlineLvl w:val="0"/>
        <w:rPr>
          <w:rFonts w:ascii="宋体" w:hAnsi="宋体" w:cs="宋体"/>
          <w:color w:val="000000" w:themeColor="text1"/>
          <w:sz w:val="32"/>
          <w:highlight w:val="none"/>
          <w14:textFill>
            <w14:solidFill>
              <w14:schemeClr w14:val="tx1"/>
            </w14:solidFill>
          </w14:textFill>
        </w:rPr>
      </w:pPr>
      <w:r>
        <w:rPr>
          <w:rFonts w:hint="eastAsia" w:ascii="宋体" w:hAnsi="宋体" w:cs="宋体"/>
          <w:color w:val="000000" w:themeColor="text1"/>
          <w:sz w:val="32"/>
          <w:highlight w:val="none"/>
          <w14:textFill>
            <w14:solidFill>
              <w14:schemeClr w14:val="tx1"/>
            </w14:solidFill>
          </w14:textFill>
        </w:rPr>
        <w:t>盐城市政府采购事前信用承诺书</w:t>
      </w:r>
      <w:bookmarkEnd w:id="34"/>
    </w:p>
    <w:p w14:paraId="3BD88F03">
      <w:pPr>
        <w:spacing w:line="460" w:lineRule="exact"/>
        <w:ind w:firstLine="640" w:firstLineChars="200"/>
        <w:jc w:val="left"/>
        <w:rPr>
          <w:rFonts w:ascii="宋体" w:hAnsi="宋体" w:cs="宋体"/>
          <w:color w:val="000000" w:themeColor="text1"/>
          <w:sz w:val="32"/>
          <w:highlight w:val="none"/>
          <w14:textFill>
            <w14:solidFill>
              <w14:schemeClr w14:val="tx1"/>
            </w14:solidFill>
          </w14:textFill>
        </w:rPr>
      </w:pPr>
    </w:p>
    <w:p w14:paraId="64013E06">
      <w:pPr>
        <w:adjustRightInd w:val="0"/>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为营造我市公开、公平、公正、诚实守信的政府采购交易环境，树立诚信守法的投标人形象，本人代表本单位作出以下承诺：</w:t>
      </w:r>
    </w:p>
    <w:p w14:paraId="1D931C8D">
      <w:pPr>
        <w:adjustRightInd w:val="0"/>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33676B1A">
      <w:pPr>
        <w:adjustRightInd w:val="0"/>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14:paraId="563AC673">
      <w:pPr>
        <w:adjustRightInd w:val="0"/>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（三）严格依照国家和省、市关于政府采购的法律、法规、规章、规范性文件，参加政府采购投标活动；积极履行社会责任，促进廉政建设；</w:t>
      </w:r>
    </w:p>
    <w:p w14:paraId="598EED41">
      <w:pPr>
        <w:adjustRightInd w:val="0"/>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（四）严格遵守即时信息公示规定，及时维护和更新维护和更新盐城市政府采购网中与本单位相关的信息；</w:t>
      </w:r>
    </w:p>
    <w:p w14:paraId="58609CA5">
      <w:pPr>
        <w:adjustRightInd w:val="0"/>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14:paraId="48E4F21E">
      <w:pPr>
        <w:adjustRightInd w:val="0"/>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（六）自觉接受政府、行业组织、社会公众、新闻舆论的监督；</w:t>
      </w:r>
    </w:p>
    <w:p w14:paraId="718FE0C6">
      <w:pPr>
        <w:adjustRightInd w:val="0"/>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14:paraId="498E169F">
      <w:pPr>
        <w:adjustRightInd w:val="0"/>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（八）本人已认真阅读了上述承诺，并向本单位员工作了宣传教育。</w:t>
      </w:r>
    </w:p>
    <w:p w14:paraId="78586A97">
      <w:pPr>
        <w:adjustRightInd w:val="0"/>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p>
    <w:p w14:paraId="6A41229B">
      <w:pPr>
        <w:adjustRightInd w:val="0"/>
        <w:snapToGrid w:val="0"/>
        <w:spacing w:line="360" w:lineRule="auto"/>
        <w:ind w:firstLine="480" w:firstLineChars="200"/>
        <w:jc w:val="center"/>
        <w:outlineLvl w:val="0"/>
        <w:rPr>
          <w:rFonts w:ascii="宋体" w:hAnsi="宋体" w:cs="宋体"/>
          <w:color w:val="000000" w:themeColor="text1"/>
          <w:sz w:val="24"/>
          <w:szCs w:val="24"/>
          <w:highlight w:val="none"/>
          <w14:textFill>
            <w14:solidFill>
              <w14:schemeClr w14:val="tx1"/>
            </w14:solidFill>
          </w14:textFill>
        </w:rPr>
      </w:pPr>
      <w:bookmarkStart w:id="35" w:name="_Toc1790"/>
      <w:r>
        <w:rPr>
          <w:rFonts w:hint="eastAsia" w:ascii="宋体" w:hAnsi="宋体" w:cs="宋体"/>
          <w:color w:val="000000" w:themeColor="text1"/>
          <w:sz w:val="24"/>
          <w:szCs w:val="24"/>
          <w:highlight w:val="none"/>
          <w14:textFill>
            <w14:solidFill>
              <w14:schemeClr w14:val="tx1"/>
            </w14:solidFill>
          </w14:textFill>
        </w:rPr>
        <w:t>法定代表人签名：</w:t>
      </w:r>
      <w:bookmarkEnd w:id="35"/>
    </w:p>
    <w:p w14:paraId="03EC9B1E">
      <w:pPr>
        <w:adjustRightInd w:val="0"/>
        <w:snapToGrid w:val="0"/>
        <w:spacing w:line="360" w:lineRule="auto"/>
        <w:ind w:firstLine="480" w:firstLineChars="200"/>
        <w:jc w:val="center"/>
        <w:outlineLvl w:val="0"/>
        <w:rPr>
          <w:rFonts w:ascii="宋体" w:hAnsi="宋体" w:cs="宋体"/>
          <w:color w:val="000000" w:themeColor="text1"/>
          <w:sz w:val="24"/>
          <w:szCs w:val="24"/>
          <w:highlight w:val="none"/>
          <w14:textFill>
            <w14:solidFill>
              <w14:schemeClr w14:val="tx1"/>
            </w14:solidFill>
          </w14:textFill>
        </w:rPr>
      </w:pPr>
      <w:bookmarkStart w:id="36" w:name="_Toc27882"/>
      <w:r>
        <w:rPr>
          <w:rFonts w:hint="eastAsia" w:ascii="宋体" w:hAnsi="宋体" w:cs="宋体"/>
          <w:color w:val="000000" w:themeColor="text1"/>
          <w:sz w:val="24"/>
          <w:szCs w:val="24"/>
          <w:highlight w:val="none"/>
          <w14:textFill>
            <w14:solidFill>
              <w14:schemeClr w14:val="tx1"/>
            </w14:solidFill>
          </w14:textFill>
        </w:rPr>
        <w:t>单位名称（盖章）：</w:t>
      </w:r>
      <w:bookmarkEnd w:id="36"/>
    </w:p>
    <w:p w14:paraId="6C68F996">
      <w:pPr>
        <w:numPr>
          <w:ilvl w:val="0"/>
          <w:numId w:val="0"/>
        </w:numPr>
        <w:jc w:val="center"/>
        <w:rPr>
          <w:rFonts w:hint="eastAsia" w:ascii="宋体" w:hAnsi="宋体" w:cs="宋体"/>
          <w:b/>
          <w:bCs/>
          <w:color w:val="000000" w:themeColor="text1"/>
          <w:sz w:val="32"/>
          <w:szCs w:val="32"/>
          <w:highlight w:val="none"/>
          <w14:textFill>
            <w14:solidFill>
              <w14:schemeClr w14:val="tx1"/>
            </w14:solidFill>
          </w14:textFill>
        </w:rPr>
      </w:pPr>
      <w:bookmarkStart w:id="37" w:name="_Toc385"/>
      <w:r>
        <w:rPr>
          <w:rFonts w:hint="eastAsia" w:ascii="宋体" w:hAnsi="宋体" w:cs="宋体"/>
          <w:color w:val="000000" w:themeColor="text1"/>
          <w:sz w:val="24"/>
          <w:szCs w:val="24"/>
          <w:highlight w:val="none"/>
          <w14:textFill>
            <w14:solidFill>
              <w14:schemeClr w14:val="tx1"/>
            </w14:solidFill>
          </w14:textFill>
        </w:rPr>
        <w:t>年    月    日</w:t>
      </w:r>
      <w:bookmarkEnd w:id="37"/>
    </w:p>
    <w:p w14:paraId="0EA9C77D">
      <w:pPr>
        <w:adjustRightInd w:val="0"/>
        <w:snapToGrid w:val="0"/>
        <w:spacing w:line="360" w:lineRule="auto"/>
        <w:ind w:firstLine="480" w:firstLineChars="200"/>
        <w:jc w:val="center"/>
        <w:outlineLvl w:val="0"/>
        <w:rPr>
          <w:rFonts w:hint="eastAsia" w:ascii="宋体" w:hAnsi="宋体" w:cs="宋体"/>
          <w:color w:val="000000" w:themeColor="text1"/>
          <w:sz w:val="24"/>
          <w:szCs w:val="24"/>
          <w:highlight w:val="none"/>
          <w14:textFill>
            <w14:solidFill>
              <w14:schemeClr w14:val="tx1"/>
            </w14:solidFill>
          </w14:textFill>
        </w:rPr>
      </w:pPr>
    </w:p>
    <w:p w14:paraId="3EE55B42">
      <w:pPr>
        <w:rPr>
          <w:rFonts w:hint="eastAsia" w:ascii="宋体" w:hAnsi="宋体" w:cs="宋体"/>
          <w:color w:val="000000" w:themeColor="text1"/>
          <w:sz w:val="24"/>
          <w:szCs w:val="24"/>
          <w:highlight w:val="none"/>
          <w14:textFill>
            <w14:solidFill>
              <w14:schemeClr w14:val="tx1"/>
            </w14:solidFill>
          </w14:textFill>
        </w:rPr>
        <w:sectPr>
          <w:footerReference r:id="rId19" w:type="first"/>
          <w:headerReference r:id="rId17" w:type="default"/>
          <w:footerReference r:id="rId18" w:type="default"/>
          <w:pgSz w:w="11906" w:h="16838"/>
          <w:pgMar w:top="1417" w:right="1587" w:bottom="1417" w:left="1366" w:header="851" w:footer="907" w:gutter="0"/>
          <w:pgBorders>
            <w:top w:val="none" w:sz="0" w:space="0"/>
            <w:left w:val="none" w:sz="0" w:space="0"/>
            <w:bottom w:val="none" w:sz="0" w:space="0"/>
            <w:right w:val="none" w:sz="0" w:space="0"/>
          </w:pgBorders>
          <w:cols w:space="0" w:num="1"/>
          <w:titlePg/>
          <w:docGrid w:type="lines" w:linePitch="298" w:charSpace="0"/>
        </w:sectPr>
      </w:pPr>
      <w:r>
        <w:rPr>
          <w:rFonts w:hint="eastAsia" w:ascii="宋体" w:hAnsi="宋体" w:cs="宋体"/>
          <w:color w:val="000000" w:themeColor="text1"/>
          <w:sz w:val="24"/>
          <w:szCs w:val="24"/>
          <w:highlight w:val="none"/>
          <w14:textFill>
            <w14:solidFill>
              <w14:schemeClr w14:val="tx1"/>
            </w14:solidFill>
          </w14:textFill>
        </w:rPr>
        <w:br w:type="page"/>
      </w:r>
    </w:p>
    <w:p w14:paraId="2F0670A3">
      <w:pPr>
        <w:pStyle w:val="7"/>
        <w:rPr>
          <w:rFonts w:hint="eastAsia"/>
          <w:color w:val="000000" w:themeColor="text1"/>
          <w:highlight w:val="none"/>
          <w14:textFill>
            <w14:solidFill>
              <w14:schemeClr w14:val="tx1"/>
            </w14:solidFill>
          </w14:textFill>
        </w:rPr>
      </w:pPr>
    </w:p>
    <w:p w14:paraId="0D29CCE9">
      <w:pPr>
        <w:pStyle w:val="7"/>
        <w:rPr>
          <w:color w:val="000000" w:themeColor="text1"/>
          <w:highlight w:val="none"/>
          <w14:textFill>
            <w14:solidFill>
              <w14:schemeClr w14:val="tx1"/>
            </w14:solidFill>
          </w14:textFill>
        </w:rPr>
      </w:pPr>
    </w:p>
    <w:p w14:paraId="4BEE8022">
      <w:pPr>
        <w:spacing w:line="360" w:lineRule="auto"/>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工程量清单计价成果文件（投标报价明细表）</w:t>
      </w:r>
    </w:p>
    <w:tbl>
      <w:tblPr>
        <w:tblStyle w:val="27"/>
        <w:tblW w:w="13371"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972"/>
        <w:gridCol w:w="2340"/>
        <w:gridCol w:w="4607"/>
        <w:gridCol w:w="853"/>
        <w:gridCol w:w="1321"/>
        <w:gridCol w:w="1444"/>
        <w:gridCol w:w="1834"/>
      </w:tblGrid>
      <w:tr w14:paraId="1C997E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00" w:hRule="atLeast"/>
        </w:trPr>
        <w:tc>
          <w:tcPr>
            <w:tcW w:w="972" w:type="dxa"/>
            <w:vMerge w:val="restart"/>
            <w:tcBorders>
              <w:tl2br w:val="nil"/>
              <w:tr2bl w:val="nil"/>
            </w:tcBorders>
            <w:shd w:val="clear" w:color="FFFFFF" w:fill="FFFFFF"/>
            <w:vAlign w:val="center"/>
          </w:tcPr>
          <w:p w14:paraId="17653D2C">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序号</w:t>
            </w:r>
          </w:p>
        </w:tc>
        <w:tc>
          <w:tcPr>
            <w:tcW w:w="2340" w:type="dxa"/>
            <w:vMerge w:val="restart"/>
            <w:tcBorders>
              <w:tl2br w:val="nil"/>
              <w:tr2bl w:val="nil"/>
            </w:tcBorders>
            <w:shd w:val="clear" w:color="FFFFFF" w:fill="FFFFFF"/>
            <w:vAlign w:val="center"/>
          </w:tcPr>
          <w:p w14:paraId="7256A3B4">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项目名称</w:t>
            </w:r>
          </w:p>
        </w:tc>
        <w:tc>
          <w:tcPr>
            <w:tcW w:w="4607" w:type="dxa"/>
            <w:vMerge w:val="restart"/>
            <w:tcBorders>
              <w:tl2br w:val="nil"/>
              <w:tr2bl w:val="nil"/>
            </w:tcBorders>
            <w:shd w:val="clear" w:color="FFFFFF" w:fill="FFFFFF"/>
            <w:vAlign w:val="center"/>
          </w:tcPr>
          <w:p w14:paraId="1214A72C">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项目特征描述</w:t>
            </w:r>
          </w:p>
        </w:tc>
        <w:tc>
          <w:tcPr>
            <w:tcW w:w="853" w:type="dxa"/>
            <w:vMerge w:val="restart"/>
            <w:tcBorders>
              <w:tl2br w:val="nil"/>
              <w:tr2bl w:val="nil"/>
            </w:tcBorders>
            <w:shd w:val="clear" w:color="FFFFFF" w:fill="FFFFFF"/>
            <w:vAlign w:val="center"/>
          </w:tcPr>
          <w:p w14:paraId="25859C70">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计量</w:t>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单位</w:t>
            </w:r>
          </w:p>
        </w:tc>
        <w:tc>
          <w:tcPr>
            <w:tcW w:w="1321" w:type="dxa"/>
            <w:vMerge w:val="restart"/>
            <w:tcBorders>
              <w:tl2br w:val="nil"/>
              <w:tr2bl w:val="nil"/>
            </w:tcBorders>
            <w:shd w:val="clear" w:color="FFFFFF" w:fill="FFFFFF"/>
            <w:vAlign w:val="center"/>
          </w:tcPr>
          <w:p w14:paraId="6AF09AD6">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工程量</w:t>
            </w:r>
          </w:p>
        </w:tc>
        <w:tc>
          <w:tcPr>
            <w:tcW w:w="3278" w:type="dxa"/>
            <w:gridSpan w:val="2"/>
            <w:tcBorders>
              <w:tl2br w:val="nil"/>
              <w:tr2bl w:val="nil"/>
            </w:tcBorders>
            <w:shd w:val="clear" w:color="FFFFFF" w:fill="FFFFFF"/>
            <w:vAlign w:val="center"/>
          </w:tcPr>
          <w:p w14:paraId="74D7EF67">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金额（元）</w:t>
            </w:r>
          </w:p>
        </w:tc>
      </w:tr>
      <w:tr w14:paraId="513792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00" w:hRule="atLeast"/>
        </w:trPr>
        <w:tc>
          <w:tcPr>
            <w:tcW w:w="972" w:type="dxa"/>
            <w:vMerge w:val="continue"/>
            <w:tcBorders>
              <w:tl2br w:val="nil"/>
              <w:tr2bl w:val="nil"/>
            </w:tcBorders>
            <w:shd w:val="clear" w:color="FFFFFF" w:fill="FFFFFF"/>
            <w:vAlign w:val="center"/>
          </w:tcPr>
          <w:p w14:paraId="37714C40">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2340" w:type="dxa"/>
            <w:vMerge w:val="continue"/>
            <w:tcBorders>
              <w:tl2br w:val="nil"/>
              <w:tr2bl w:val="nil"/>
            </w:tcBorders>
            <w:shd w:val="clear" w:color="FFFFFF" w:fill="FFFFFF"/>
            <w:vAlign w:val="center"/>
          </w:tcPr>
          <w:p w14:paraId="5E71440D">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4607" w:type="dxa"/>
            <w:vMerge w:val="continue"/>
            <w:tcBorders>
              <w:tl2br w:val="nil"/>
              <w:tr2bl w:val="nil"/>
            </w:tcBorders>
            <w:shd w:val="clear" w:color="FFFFFF" w:fill="FFFFFF"/>
            <w:vAlign w:val="center"/>
          </w:tcPr>
          <w:p w14:paraId="52E3A72A">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853" w:type="dxa"/>
            <w:vMerge w:val="continue"/>
            <w:tcBorders>
              <w:tl2br w:val="nil"/>
              <w:tr2bl w:val="nil"/>
            </w:tcBorders>
            <w:shd w:val="clear" w:color="FFFFFF" w:fill="FFFFFF"/>
            <w:vAlign w:val="center"/>
          </w:tcPr>
          <w:p w14:paraId="1F35C841">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321" w:type="dxa"/>
            <w:vMerge w:val="continue"/>
            <w:tcBorders>
              <w:tl2br w:val="nil"/>
              <w:tr2bl w:val="nil"/>
            </w:tcBorders>
            <w:shd w:val="clear" w:color="FFFFFF" w:fill="FFFFFF"/>
            <w:vAlign w:val="center"/>
          </w:tcPr>
          <w:p w14:paraId="41E1185A">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444" w:type="dxa"/>
            <w:vMerge w:val="restart"/>
            <w:tcBorders>
              <w:tl2br w:val="nil"/>
              <w:tr2bl w:val="nil"/>
            </w:tcBorders>
            <w:shd w:val="clear" w:color="FFFFFF" w:fill="FFFFFF"/>
            <w:vAlign w:val="center"/>
          </w:tcPr>
          <w:p w14:paraId="424A2DE8">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综合单价</w:t>
            </w:r>
          </w:p>
        </w:tc>
        <w:tc>
          <w:tcPr>
            <w:tcW w:w="1834" w:type="dxa"/>
            <w:vMerge w:val="restart"/>
            <w:tcBorders>
              <w:tl2br w:val="nil"/>
              <w:tr2bl w:val="nil"/>
            </w:tcBorders>
            <w:shd w:val="clear" w:color="FFFFFF" w:fill="FFFFFF"/>
            <w:vAlign w:val="center"/>
          </w:tcPr>
          <w:p w14:paraId="7C263A57">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合价</w:t>
            </w:r>
          </w:p>
        </w:tc>
      </w:tr>
      <w:tr w14:paraId="1B1BC2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00" w:hRule="atLeast"/>
        </w:trPr>
        <w:tc>
          <w:tcPr>
            <w:tcW w:w="972" w:type="dxa"/>
            <w:vMerge w:val="continue"/>
            <w:tcBorders>
              <w:tl2br w:val="nil"/>
              <w:tr2bl w:val="nil"/>
            </w:tcBorders>
            <w:shd w:val="clear" w:color="FFFFFF" w:fill="FFFFFF"/>
            <w:vAlign w:val="center"/>
          </w:tcPr>
          <w:p w14:paraId="564FD9BC">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2340" w:type="dxa"/>
            <w:vMerge w:val="continue"/>
            <w:tcBorders>
              <w:tl2br w:val="nil"/>
              <w:tr2bl w:val="nil"/>
            </w:tcBorders>
            <w:shd w:val="clear" w:color="FFFFFF" w:fill="FFFFFF"/>
            <w:vAlign w:val="center"/>
          </w:tcPr>
          <w:p w14:paraId="08EFB142">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4607" w:type="dxa"/>
            <w:vMerge w:val="continue"/>
            <w:tcBorders>
              <w:tl2br w:val="nil"/>
              <w:tr2bl w:val="nil"/>
            </w:tcBorders>
            <w:shd w:val="clear" w:color="FFFFFF" w:fill="FFFFFF"/>
            <w:vAlign w:val="center"/>
          </w:tcPr>
          <w:p w14:paraId="05A46AC7">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853" w:type="dxa"/>
            <w:vMerge w:val="continue"/>
            <w:tcBorders>
              <w:tl2br w:val="nil"/>
              <w:tr2bl w:val="nil"/>
            </w:tcBorders>
            <w:shd w:val="clear" w:color="FFFFFF" w:fill="FFFFFF"/>
            <w:vAlign w:val="center"/>
          </w:tcPr>
          <w:p w14:paraId="5AA71DAB">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321" w:type="dxa"/>
            <w:vMerge w:val="continue"/>
            <w:tcBorders>
              <w:tl2br w:val="nil"/>
              <w:tr2bl w:val="nil"/>
            </w:tcBorders>
            <w:shd w:val="clear" w:color="FFFFFF" w:fill="FFFFFF"/>
            <w:vAlign w:val="center"/>
          </w:tcPr>
          <w:p w14:paraId="4F126819">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444" w:type="dxa"/>
            <w:vMerge w:val="continue"/>
            <w:tcBorders>
              <w:tl2br w:val="nil"/>
              <w:tr2bl w:val="nil"/>
            </w:tcBorders>
            <w:shd w:val="clear" w:color="FFFFFF" w:fill="FFFFFF"/>
            <w:vAlign w:val="center"/>
          </w:tcPr>
          <w:p w14:paraId="2C12165D">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p>
        </w:tc>
        <w:tc>
          <w:tcPr>
            <w:tcW w:w="1834" w:type="dxa"/>
            <w:vMerge w:val="continue"/>
            <w:tcBorders>
              <w:tl2br w:val="nil"/>
              <w:tr2bl w:val="nil"/>
            </w:tcBorders>
            <w:shd w:val="clear" w:color="FFFFFF" w:fill="FFFFFF"/>
            <w:vAlign w:val="center"/>
          </w:tcPr>
          <w:p w14:paraId="31E92FB5">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p>
        </w:tc>
      </w:tr>
      <w:tr w14:paraId="3E67A9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2" w:hRule="atLeast"/>
        </w:trPr>
        <w:tc>
          <w:tcPr>
            <w:tcW w:w="972" w:type="dxa"/>
            <w:vMerge w:val="continue"/>
            <w:tcBorders>
              <w:tl2br w:val="nil"/>
              <w:tr2bl w:val="nil"/>
            </w:tcBorders>
            <w:shd w:val="clear" w:color="FFFFFF" w:fill="FFFFFF"/>
            <w:vAlign w:val="center"/>
          </w:tcPr>
          <w:p w14:paraId="6B44890A">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2340" w:type="dxa"/>
            <w:vMerge w:val="continue"/>
            <w:tcBorders>
              <w:tl2br w:val="nil"/>
              <w:tr2bl w:val="nil"/>
            </w:tcBorders>
            <w:shd w:val="clear" w:color="FFFFFF" w:fill="FFFFFF"/>
            <w:vAlign w:val="center"/>
          </w:tcPr>
          <w:p w14:paraId="3297AAB1">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4607" w:type="dxa"/>
            <w:vMerge w:val="continue"/>
            <w:tcBorders>
              <w:tl2br w:val="nil"/>
              <w:tr2bl w:val="nil"/>
            </w:tcBorders>
            <w:shd w:val="clear" w:color="FFFFFF" w:fill="FFFFFF"/>
            <w:vAlign w:val="center"/>
          </w:tcPr>
          <w:p w14:paraId="1D8426C6">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853" w:type="dxa"/>
            <w:vMerge w:val="continue"/>
            <w:tcBorders>
              <w:tl2br w:val="nil"/>
              <w:tr2bl w:val="nil"/>
            </w:tcBorders>
            <w:shd w:val="clear" w:color="FFFFFF" w:fill="FFFFFF"/>
            <w:vAlign w:val="center"/>
          </w:tcPr>
          <w:p w14:paraId="212D30E1">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321" w:type="dxa"/>
            <w:vMerge w:val="continue"/>
            <w:tcBorders>
              <w:tl2br w:val="nil"/>
              <w:tr2bl w:val="nil"/>
            </w:tcBorders>
            <w:shd w:val="clear" w:color="FFFFFF" w:fill="FFFFFF"/>
            <w:vAlign w:val="center"/>
          </w:tcPr>
          <w:p w14:paraId="087A2C38">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444" w:type="dxa"/>
            <w:vMerge w:val="continue"/>
            <w:tcBorders>
              <w:tl2br w:val="nil"/>
              <w:tr2bl w:val="nil"/>
            </w:tcBorders>
            <w:shd w:val="clear" w:color="FFFFFF" w:fill="FFFFFF"/>
            <w:vAlign w:val="center"/>
          </w:tcPr>
          <w:p w14:paraId="671CEC0E">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834" w:type="dxa"/>
            <w:vMerge w:val="continue"/>
            <w:tcBorders>
              <w:tl2br w:val="nil"/>
              <w:tr2bl w:val="nil"/>
            </w:tcBorders>
            <w:shd w:val="clear" w:color="FFFFFF" w:fill="FFFFFF"/>
            <w:vAlign w:val="center"/>
          </w:tcPr>
          <w:p w14:paraId="7B1A6AFA">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1BA4FF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24" w:hRule="atLeast"/>
        </w:trPr>
        <w:tc>
          <w:tcPr>
            <w:tcW w:w="13371" w:type="dxa"/>
            <w:gridSpan w:val="7"/>
            <w:tcBorders>
              <w:tl2br w:val="nil"/>
              <w:tr2bl w:val="nil"/>
            </w:tcBorders>
            <w:shd w:val="clear" w:color="auto" w:fill="E7E6E6"/>
            <w:vAlign w:val="center"/>
          </w:tcPr>
          <w:p w14:paraId="23DA6E29">
            <w:pPr>
              <w:jc w:val="both"/>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sz w:val="24"/>
                <w:szCs w:val="24"/>
                <w:highlight w:val="none"/>
                <w:u w:val="none"/>
                <w:lang w:val="en-US" w:eastAsia="zh-CN"/>
                <w14:textFill>
                  <w14:solidFill>
                    <w14:schemeClr w14:val="tx1"/>
                  </w14:solidFill>
                </w14:textFill>
              </w:rPr>
              <w:t>一、智能制造学院工业中心103改造</w:t>
            </w:r>
          </w:p>
        </w:tc>
      </w:tr>
      <w:tr w14:paraId="76B52A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24" w:hRule="atLeast"/>
        </w:trPr>
        <w:tc>
          <w:tcPr>
            <w:tcW w:w="972" w:type="dxa"/>
            <w:tcBorders>
              <w:tl2br w:val="nil"/>
              <w:tr2bl w:val="nil"/>
            </w:tcBorders>
            <w:shd w:val="clear" w:color="auto" w:fill="FFFFFF" w:themeFill="background1"/>
            <w:vAlign w:val="center"/>
          </w:tcPr>
          <w:p w14:paraId="10AF2C31">
            <w:pPr>
              <w:keepNext w:val="0"/>
              <w:keepLines w:val="0"/>
              <w:widowControl/>
              <w:suppressLineNumbers w:val="0"/>
              <w:jc w:val="center"/>
              <w:textAlignment w:val="center"/>
              <w:rPr>
                <w:rFonts w:ascii="微软雅黑" w:hAnsi="微软雅黑" w:eastAsia="微软雅黑" w:cs="微软雅黑"/>
                <w:b/>
                <w:bCs/>
                <w:i w:val="0"/>
                <w:iCs w:val="0"/>
                <w:color w:val="000000" w:themeColor="text1"/>
                <w:sz w:val="24"/>
                <w:szCs w:val="24"/>
                <w:highlight w:val="none"/>
                <w:u w:val="none"/>
                <w14:textFill>
                  <w14:solidFill>
                    <w14:schemeClr w14:val="tx1"/>
                  </w14:solidFill>
                </w14:textFill>
              </w:rPr>
            </w:pPr>
            <w:r>
              <w:rPr>
                <w:rFonts w:hint="eastAsia" w:ascii="微软雅黑" w:hAnsi="微软雅黑" w:eastAsia="微软雅黑" w:cs="微软雅黑"/>
                <w:b/>
                <w:bCs/>
                <w:i w:val="0"/>
                <w:iCs w:val="0"/>
                <w:color w:val="000000" w:themeColor="text1"/>
                <w:kern w:val="0"/>
                <w:sz w:val="24"/>
                <w:szCs w:val="24"/>
                <w:highlight w:val="none"/>
                <w:u w:val="none"/>
                <w:lang w:val="en-US" w:eastAsia="zh-CN" w:bidi="ar"/>
                <w14:textFill>
                  <w14:solidFill>
                    <w14:schemeClr w14:val="tx1"/>
                  </w14:solidFill>
                </w14:textFill>
              </w:rPr>
              <w:t>（一）</w:t>
            </w:r>
          </w:p>
        </w:tc>
        <w:tc>
          <w:tcPr>
            <w:tcW w:w="6947" w:type="dxa"/>
            <w:gridSpan w:val="2"/>
            <w:tcBorders>
              <w:tl2br w:val="nil"/>
              <w:tr2bl w:val="nil"/>
            </w:tcBorders>
            <w:shd w:val="clear" w:color="auto" w:fill="FFFFFF" w:themeFill="background1"/>
            <w:vAlign w:val="center"/>
          </w:tcPr>
          <w:p w14:paraId="39194372">
            <w:pPr>
              <w:keepNext w:val="0"/>
              <w:keepLines w:val="0"/>
              <w:widowControl/>
              <w:suppressLineNumbers w:val="0"/>
              <w:jc w:val="left"/>
              <w:textAlignment w:val="center"/>
              <w:rPr>
                <w:rFonts w:hint="eastAsia" w:ascii="微软雅黑" w:hAnsi="微软雅黑" w:eastAsia="微软雅黑" w:cs="微软雅黑"/>
                <w:b/>
                <w:bCs/>
                <w:i w:val="0"/>
                <w:iCs w:val="0"/>
                <w:color w:val="000000" w:themeColor="text1"/>
                <w:sz w:val="24"/>
                <w:szCs w:val="24"/>
                <w:highlight w:val="none"/>
                <w:u w:val="none"/>
                <w14:textFill>
                  <w14:solidFill>
                    <w14:schemeClr w14:val="tx1"/>
                  </w14:solidFill>
                </w14:textFill>
              </w:rPr>
            </w:pPr>
            <w:r>
              <w:rPr>
                <w:rFonts w:hint="eastAsia" w:ascii="微软雅黑" w:hAnsi="微软雅黑" w:eastAsia="微软雅黑" w:cs="微软雅黑"/>
                <w:b/>
                <w:bCs/>
                <w:i w:val="0"/>
                <w:iCs w:val="0"/>
                <w:color w:val="000000" w:themeColor="text1"/>
                <w:kern w:val="0"/>
                <w:sz w:val="24"/>
                <w:szCs w:val="24"/>
                <w:highlight w:val="none"/>
                <w:u w:val="none"/>
                <w:lang w:val="en-US" w:eastAsia="zh-CN" w:bidi="ar"/>
                <w14:textFill>
                  <w14:solidFill>
                    <w14:schemeClr w14:val="tx1"/>
                  </w14:solidFill>
                </w14:textFill>
              </w:rPr>
              <w:t>装饰部分</w:t>
            </w:r>
          </w:p>
        </w:tc>
        <w:tc>
          <w:tcPr>
            <w:tcW w:w="853" w:type="dxa"/>
            <w:tcBorders>
              <w:tl2br w:val="nil"/>
              <w:tr2bl w:val="nil"/>
            </w:tcBorders>
            <w:shd w:val="clear" w:color="auto" w:fill="FFFFFF" w:themeFill="background1"/>
            <w:vAlign w:val="center"/>
          </w:tcPr>
          <w:p w14:paraId="3EA5BF0E">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321" w:type="dxa"/>
            <w:tcBorders>
              <w:tl2br w:val="nil"/>
              <w:tr2bl w:val="nil"/>
            </w:tcBorders>
            <w:shd w:val="clear" w:color="auto" w:fill="FFFFFF" w:themeFill="background1"/>
            <w:vAlign w:val="center"/>
          </w:tcPr>
          <w:p w14:paraId="2D43D78D">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444" w:type="dxa"/>
            <w:tcBorders>
              <w:tl2br w:val="nil"/>
              <w:tr2bl w:val="nil"/>
            </w:tcBorders>
            <w:shd w:val="clear" w:color="auto" w:fill="FFFFFF" w:themeFill="background1"/>
            <w:vAlign w:val="center"/>
          </w:tcPr>
          <w:p w14:paraId="2B793E99">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834" w:type="dxa"/>
            <w:tcBorders>
              <w:tl2br w:val="nil"/>
              <w:tr2bl w:val="nil"/>
            </w:tcBorders>
            <w:shd w:val="clear" w:color="auto" w:fill="FFFFFF" w:themeFill="background1"/>
            <w:vAlign w:val="center"/>
          </w:tcPr>
          <w:p w14:paraId="00154321">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35ADAB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354" w:hRule="atLeast"/>
        </w:trPr>
        <w:tc>
          <w:tcPr>
            <w:tcW w:w="972" w:type="dxa"/>
            <w:tcBorders>
              <w:tl2br w:val="nil"/>
              <w:tr2bl w:val="nil"/>
            </w:tcBorders>
            <w:shd w:val="clear" w:color="auto" w:fill="auto"/>
            <w:vAlign w:val="center"/>
          </w:tcPr>
          <w:p w14:paraId="2EF56880">
            <w:pPr>
              <w:keepNext w:val="0"/>
              <w:keepLines w:val="0"/>
              <w:widowControl/>
              <w:suppressLineNumbers w:val="0"/>
              <w:ind w:firstLine="210" w:firstLineChars="10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2340" w:type="dxa"/>
            <w:tcBorders>
              <w:tl2br w:val="nil"/>
              <w:tr2bl w:val="nil"/>
            </w:tcBorders>
            <w:shd w:val="clear" w:color="auto" w:fill="auto"/>
            <w:vAlign w:val="center"/>
          </w:tcPr>
          <w:p w14:paraId="72FCAF05">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拆除隔墙</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等其他工程量</w:t>
            </w:r>
          </w:p>
        </w:tc>
        <w:tc>
          <w:tcPr>
            <w:tcW w:w="4607" w:type="dxa"/>
            <w:tcBorders>
              <w:tl2br w:val="nil"/>
              <w:tr2bl w:val="nil"/>
            </w:tcBorders>
            <w:shd w:val="clear" w:color="auto" w:fill="auto"/>
            <w:vAlign w:val="center"/>
          </w:tcPr>
          <w:p w14:paraId="048DA899">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拆除墙体、原脚线、</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顶部灯具等本项目所有需拆除全部工程量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1、凡涉及本次施工范围内须拆除部位的全部工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作内容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2、投标人自行勘察现场，根据现场实际情况结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合设计图纸，综合考虑本项目涉及的所有拆除费用及墙体拆除后侧边修补、地面修补费用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3、墙体高度</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约</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3.96米，</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长度约50米（具体以测量为准），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拆除时需谨慎拆除，非拆除部分不得损坏，否则需赔偿、修复</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、该综合单价中包含垃圾打扫、清理、运力及外运等费用，自行考虑。</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、该费用包干使用，结算时不调整。</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（大型机器设备不在该搬运范围，由校方安排专业设备安装公司搬运及组装）</w:t>
            </w:r>
          </w:p>
        </w:tc>
        <w:tc>
          <w:tcPr>
            <w:tcW w:w="853" w:type="dxa"/>
            <w:tcBorders>
              <w:tl2br w:val="nil"/>
              <w:tr2bl w:val="nil"/>
            </w:tcBorders>
            <w:shd w:val="clear" w:color="auto" w:fill="auto"/>
            <w:vAlign w:val="center"/>
          </w:tcPr>
          <w:p w14:paraId="670041E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1321" w:type="dxa"/>
            <w:tcBorders>
              <w:tl2br w:val="nil"/>
              <w:tr2bl w:val="nil"/>
            </w:tcBorders>
            <w:shd w:val="clear" w:color="auto" w:fill="auto"/>
            <w:vAlign w:val="center"/>
          </w:tcPr>
          <w:p w14:paraId="4307CB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444" w:type="dxa"/>
            <w:tcBorders>
              <w:tl2br w:val="nil"/>
              <w:tr2bl w:val="nil"/>
            </w:tcBorders>
            <w:shd w:val="clear" w:color="auto" w:fill="auto"/>
            <w:vAlign w:val="center"/>
          </w:tcPr>
          <w:p w14:paraId="0F218F6D">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eastAsia="zh-CN"/>
                <w14:textFill>
                  <w14:solidFill>
                    <w14:schemeClr w14:val="tx1"/>
                  </w14:solidFill>
                </w14:textFill>
              </w:rPr>
            </w:pPr>
          </w:p>
        </w:tc>
        <w:tc>
          <w:tcPr>
            <w:tcW w:w="1834" w:type="dxa"/>
            <w:tcBorders>
              <w:tl2br w:val="nil"/>
              <w:tr2bl w:val="nil"/>
            </w:tcBorders>
            <w:shd w:val="clear" w:color="auto" w:fill="auto"/>
            <w:vAlign w:val="center"/>
          </w:tcPr>
          <w:p w14:paraId="7855A3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pPr>
          </w:p>
        </w:tc>
      </w:tr>
      <w:tr w14:paraId="0697D3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39" w:hRule="atLeast"/>
        </w:trPr>
        <w:tc>
          <w:tcPr>
            <w:tcW w:w="972" w:type="dxa"/>
            <w:tcBorders>
              <w:tl2br w:val="nil"/>
              <w:tr2bl w:val="nil"/>
            </w:tcBorders>
            <w:shd w:val="clear" w:color="auto" w:fill="auto"/>
            <w:noWrap/>
            <w:vAlign w:val="center"/>
          </w:tcPr>
          <w:p w14:paraId="27DE8950">
            <w:pPr>
              <w:keepNext w:val="0"/>
              <w:keepLines w:val="0"/>
              <w:widowControl/>
              <w:suppressLineNumbers w:val="0"/>
              <w:ind w:firstLine="210" w:firstLineChars="10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2340" w:type="dxa"/>
            <w:tcBorders>
              <w:tl2br w:val="nil"/>
              <w:tr2bl w:val="nil"/>
            </w:tcBorders>
            <w:shd w:val="clear" w:color="auto" w:fill="auto"/>
            <w:vAlign w:val="center"/>
          </w:tcPr>
          <w:p w14:paraId="3D6A68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PVC卷材</w:t>
            </w:r>
          </w:p>
        </w:tc>
        <w:tc>
          <w:tcPr>
            <w:tcW w:w="4607" w:type="dxa"/>
            <w:tcBorders>
              <w:tl2br w:val="nil"/>
              <w:tr2bl w:val="nil"/>
            </w:tcBorders>
            <w:shd w:val="clear" w:color="auto" w:fill="auto"/>
            <w:vAlign w:val="center"/>
          </w:tcPr>
          <w:p w14:paraId="4E9E5FFF">
            <w:pPr>
              <w:keepNext w:val="0"/>
              <w:keepLines w:val="0"/>
              <w:widowControl/>
              <w:suppressLineNumbers w:val="0"/>
              <w:jc w:val="left"/>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地面局部</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整改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整平、自流平、2mm以上厚PVC卷材+人工+辅材及所有施工工艺（含打磨）</w:t>
            </w:r>
          </w:p>
        </w:tc>
        <w:tc>
          <w:tcPr>
            <w:tcW w:w="853" w:type="dxa"/>
            <w:tcBorders>
              <w:tl2br w:val="nil"/>
              <w:tr2bl w:val="nil"/>
            </w:tcBorders>
            <w:shd w:val="clear" w:color="auto" w:fill="auto"/>
            <w:vAlign w:val="center"/>
          </w:tcPr>
          <w:p w14:paraId="66B08FF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1321" w:type="dxa"/>
            <w:tcBorders>
              <w:tl2br w:val="nil"/>
              <w:tr2bl w:val="nil"/>
            </w:tcBorders>
            <w:shd w:val="clear" w:color="auto" w:fill="auto"/>
            <w:noWrap/>
            <w:vAlign w:val="center"/>
          </w:tcPr>
          <w:p w14:paraId="0A1DEB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303.51</w:t>
            </w:r>
          </w:p>
        </w:tc>
        <w:tc>
          <w:tcPr>
            <w:tcW w:w="1444" w:type="dxa"/>
            <w:tcBorders>
              <w:tl2br w:val="nil"/>
              <w:tr2bl w:val="nil"/>
            </w:tcBorders>
            <w:shd w:val="clear" w:color="auto" w:fill="auto"/>
            <w:noWrap/>
            <w:vAlign w:val="center"/>
          </w:tcPr>
          <w:p w14:paraId="5B34DA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6EE42E9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4D2DD2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0" w:hRule="atLeast"/>
        </w:trPr>
        <w:tc>
          <w:tcPr>
            <w:tcW w:w="972" w:type="dxa"/>
            <w:tcBorders>
              <w:tl2br w:val="nil"/>
              <w:tr2bl w:val="nil"/>
            </w:tcBorders>
            <w:shd w:val="clear" w:color="auto" w:fill="auto"/>
            <w:vAlign w:val="center"/>
          </w:tcPr>
          <w:p w14:paraId="40DFDDF4">
            <w:pPr>
              <w:keepNext w:val="0"/>
              <w:keepLines w:val="0"/>
              <w:widowControl/>
              <w:suppressLineNumbers w:val="0"/>
              <w:ind w:firstLine="210" w:firstLineChars="10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2340" w:type="dxa"/>
            <w:tcBorders>
              <w:tl2br w:val="nil"/>
              <w:tr2bl w:val="nil"/>
            </w:tcBorders>
            <w:shd w:val="clear" w:color="auto" w:fill="auto"/>
            <w:vAlign w:val="center"/>
          </w:tcPr>
          <w:p w14:paraId="7ABD99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mm</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高</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不锈钢脚线</w:t>
            </w:r>
          </w:p>
        </w:tc>
        <w:tc>
          <w:tcPr>
            <w:tcW w:w="4607" w:type="dxa"/>
            <w:tcBorders>
              <w:tl2br w:val="nil"/>
              <w:tr2bl w:val="nil"/>
            </w:tcBorders>
            <w:shd w:val="clear" w:color="auto" w:fill="auto"/>
            <w:vAlign w:val="center"/>
          </w:tcPr>
          <w:p w14:paraId="09178275">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1、名称:10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mm</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高</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不锈钢脚线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2、材质：12mm多层板基层、1.0厚304不锈钢</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3、含主材、辅材、人工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4、具体要求详见图纸</w:t>
            </w:r>
          </w:p>
        </w:tc>
        <w:tc>
          <w:tcPr>
            <w:tcW w:w="853" w:type="dxa"/>
            <w:tcBorders>
              <w:tl2br w:val="nil"/>
              <w:tr2bl w:val="nil"/>
            </w:tcBorders>
            <w:shd w:val="clear" w:color="auto" w:fill="auto"/>
            <w:vAlign w:val="center"/>
          </w:tcPr>
          <w:p w14:paraId="5CE252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321" w:type="dxa"/>
            <w:tcBorders>
              <w:tl2br w:val="nil"/>
              <w:tr2bl w:val="nil"/>
            </w:tcBorders>
            <w:shd w:val="clear" w:color="auto" w:fill="auto"/>
            <w:vAlign w:val="center"/>
          </w:tcPr>
          <w:p w14:paraId="49681C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75.04</w:t>
            </w:r>
          </w:p>
        </w:tc>
        <w:tc>
          <w:tcPr>
            <w:tcW w:w="1444" w:type="dxa"/>
            <w:tcBorders>
              <w:tl2br w:val="nil"/>
              <w:tr2bl w:val="nil"/>
            </w:tcBorders>
            <w:shd w:val="clear" w:color="auto" w:fill="auto"/>
            <w:vAlign w:val="center"/>
          </w:tcPr>
          <w:p w14:paraId="6A90C87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4A8A56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4F74CD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00" w:hRule="atLeast"/>
        </w:trPr>
        <w:tc>
          <w:tcPr>
            <w:tcW w:w="972" w:type="dxa"/>
            <w:tcBorders>
              <w:tl2br w:val="nil"/>
              <w:tr2bl w:val="nil"/>
            </w:tcBorders>
            <w:shd w:val="clear" w:color="auto" w:fill="auto"/>
            <w:noWrap/>
            <w:vAlign w:val="center"/>
          </w:tcPr>
          <w:p w14:paraId="344DC28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2340" w:type="dxa"/>
            <w:tcBorders>
              <w:tl2br w:val="nil"/>
              <w:tr2bl w:val="nil"/>
            </w:tcBorders>
            <w:shd w:val="clear" w:color="auto" w:fill="auto"/>
            <w:vAlign w:val="center"/>
          </w:tcPr>
          <w:p w14:paraId="6A95BB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封隔断上口</w:t>
            </w:r>
          </w:p>
        </w:tc>
        <w:tc>
          <w:tcPr>
            <w:tcW w:w="4607" w:type="dxa"/>
            <w:tcBorders>
              <w:tl2br w:val="nil"/>
              <w:tr2bl w:val="nil"/>
            </w:tcBorders>
            <w:shd w:val="clear" w:color="auto" w:fill="auto"/>
            <w:vAlign w:val="center"/>
          </w:tcPr>
          <w:p w14:paraId="0C4E0A51">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1、名称:封隔断上口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2、25*25*1.2方管钢骨架、九厘板、石膏板封面、批腻子二遍、乳胶漆二遍、所有五金、辅材及人工，具体做法详见图纸 （按三面展开面积计价）                   </w:t>
            </w:r>
          </w:p>
        </w:tc>
        <w:tc>
          <w:tcPr>
            <w:tcW w:w="853" w:type="dxa"/>
            <w:tcBorders>
              <w:tl2br w:val="nil"/>
              <w:tr2bl w:val="nil"/>
            </w:tcBorders>
            <w:shd w:val="clear" w:color="auto" w:fill="auto"/>
            <w:vAlign w:val="center"/>
          </w:tcPr>
          <w:p w14:paraId="2856F5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1321" w:type="dxa"/>
            <w:tcBorders>
              <w:tl2br w:val="nil"/>
              <w:tr2bl w:val="nil"/>
            </w:tcBorders>
            <w:shd w:val="clear" w:color="auto" w:fill="auto"/>
            <w:noWrap/>
            <w:vAlign w:val="center"/>
          </w:tcPr>
          <w:p w14:paraId="1FDF5A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71.38</w:t>
            </w:r>
          </w:p>
        </w:tc>
        <w:tc>
          <w:tcPr>
            <w:tcW w:w="1444" w:type="dxa"/>
            <w:tcBorders>
              <w:tl2br w:val="nil"/>
              <w:tr2bl w:val="nil"/>
            </w:tcBorders>
            <w:shd w:val="clear" w:color="auto" w:fill="auto"/>
            <w:noWrap/>
            <w:vAlign w:val="center"/>
          </w:tcPr>
          <w:p w14:paraId="0129282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533703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03F65D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231" w:hRule="atLeast"/>
        </w:trPr>
        <w:tc>
          <w:tcPr>
            <w:tcW w:w="972" w:type="dxa"/>
            <w:tcBorders>
              <w:tl2br w:val="nil"/>
              <w:tr2bl w:val="nil"/>
            </w:tcBorders>
            <w:shd w:val="clear" w:color="auto" w:fill="auto"/>
            <w:vAlign w:val="center"/>
          </w:tcPr>
          <w:p w14:paraId="7589209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2340" w:type="dxa"/>
            <w:tcBorders>
              <w:tl2br w:val="nil"/>
              <w:tr2bl w:val="nil"/>
            </w:tcBorders>
            <w:shd w:val="clear" w:color="auto" w:fill="auto"/>
            <w:vAlign w:val="center"/>
          </w:tcPr>
          <w:p w14:paraId="4CF2C0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吊顶</w:t>
            </w:r>
          </w:p>
        </w:tc>
        <w:tc>
          <w:tcPr>
            <w:tcW w:w="4607" w:type="dxa"/>
            <w:tcBorders>
              <w:tl2br w:val="nil"/>
              <w:tr2bl w:val="nil"/>
            </w:tcBorders>
            <w:shd w:val="clear" w:color="auto" w:fill="auto"/>
            <w:noWrap/>
            <w:vAlign w:val="center"/>
          </w:tcPr>
          <w:p w14:paraId="37C3030A">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1、名称:吊顶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2、100*100*0.5铝格栅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3、含辅材和人工</w:t>
            </w:r>
          </w:p>
        </w:tc>
        <w:tc>
          <w:tcPr>
            <w:tcW w:w="853" w:type="dxa"/>
            <w:tcBorders>
              <w:tl2br w:val="nil"/>
              <w:tr2bl w:val="nil"/>
            </w:tcBorders>
            <w:shd w:val="clear" w:color="auto" w:fill="auto"/>
            <w:vAlign w:val="center"/>
          </w:tcPr>
          <w:p w14:paraId="698D27B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1321" w:type="dxa"/>
            <w:tcBorders>
              <w:tl2br w:val="nil"/>
              <w:tr2bl w:val="nil"/>
            </w:tcBorders>
            <w:shd w:val="clear" w:color="auto" w:fill="auto"/>
            <w:noWrap/>
            <w:vAlign w:val="center"/>
          </w:tcPr>
          <w:p w14:paraId="3388E9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303.51</w:t>
            </w:r>
          </w:p>
        </w:tc>
        <w:tc>
          <w:tcPr>
            <w:tcW w:w="1444" w:type="dxa"/>
            <w:tcBorders>
              <w:tl2br w:val="nil"/>
              <w:tr2bl w:val="nil"/>
            </w:tcBorders>
            <w:shd w:val="clear" w:color="auto" w:fill="auto"/>
            <w:noWrap/>
            <w:vAlign w:val="center"/>
          </w:tcPr>
          <w:p w14:paraId="1D30E69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7023A1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213CF0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00" w:hRule="atLeast"/>
        </w:trPr>
        <w:tc>
          <w:tcPr>
            <w:tcW w:w="972" w:type="dxa"/>
            <w:tcBorders>
              <w:tl2br w:val="nil"/>
              <w:tr2bl w:val="nil"/>
            </w:tcBorders>
            <w:shd w:val="clear" w:color="auto" w:fill="auto"/>
            <w:noWrap/>
            <w:vAlign w:val="center"/>
          </w:tcPr>
          <w:p w14:paraId="695B88C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2340" w:type="dxa"/>
            <w:tcBorders>
              <w:tl2br w:val="nil"/>
              <w:tr2bl w:val="nil"/>
            </w:tcBorders>
            <w:shd w:val="clear" w:color="auto" w:fill="auto"/>
            <w:vAlign w:val="center"/>
          </w:tcPr>
          <w:p w14:paraId="46F4483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玻璃隔断</w:t>
            </w:r>
          </w:p>
        </w:tc>
        <w:tc>
          <w:tcPr>
            <w:tcW w:w="4607" w:type="dxa"/>
            <w:tcBorders>
              <w:tl2br w:val="nil"/>
              <w:tr2bl w:val="nil"/>
            </w:tcBorders>
            <w:shd w:val="clear" w:color="auto" w:fill="auto"/>
            <w:vAlign w:val="center"/>
          </w:tcPr>
          <w:p w14:paraId="0E4F593E">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1、名称:玻璃隔断</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2、国标12mm钢化玻璃隔断，含钢骨架、钢化玻璃、不锈钢包边、所有五金、辅材</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人工及</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图纸的全部内容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，具体做法详见图纸                    </w:t>
            </w:r>
          </w:p>
        </w:tc>
        <w:tc>
          <w:tcPr>
            <w:tcW w:w="853" w:type="dxa"/>
            <w:tcBorders>
              <w:tl2br w:val="nil"/>
              <w:tr2bl w:val="nil"/>
            </w:tcBorders>
            <w:shd w:val="clear" w:color="auto" w:fill="auto"/>
            <w:vAlign w:val="center"/>
          </w:tcPr>
          <w:p w14:paraId="551697C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1321" w:type="dxa"/>
            <w:tcBorders>
              <w:tl2br w:val="nil"/>
              <w:tr2bl w:val="nil"/>
            </w:tcBorders>
            <w:shd w:val="clear" w:color="auto" w:fill="auto"/>
            <w:noWrap/>
            <w:vAlign w:val="center"/>
          </w:tcPr>
          <w:p w14:paraId="2FA03C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82.76</w:t>
            </w:r>
          </w:p>
        </w:tc>
        <w:tc>
          <w:tcPr>
            <w:tcW w:w="1444" w:type="dxa"/>
            <w:tcBorders>
              <w:tl2br w:val="nil"/>
              <w:tr2bl w:val="nil"/>
            </w:tcBorders>
            <w:shd w:val="clear" w:color="auto" w:fill="auto"/>
            <w:noWrap/>
            <w:vAlign w:val="center"/>
          </w:tcPr>
          <w:p w14:paraId="70F29B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27F1A37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76319A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122" w:hRule="atLeast"/>
        </w:trPr>
        <w:tc>
          <w:tcPr>
            <w:tcW w:w="972" w:type="dxa"/>
            <w:tcBorders>
              <w:tl2br w:val="nil"/>
              <w:tr2bl w:val="nil"/>
            </w:tcBorders>
            <w:shd w:val="clear" w:color="auto" w:fill="auto"/>
            <w:vAlign w:val="center"/>
          </w:tcPr>
          <w:p w14:paraId="346F2B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2340" w:type="dxa"/>
            <w:tcBorders>
              <w:tl2br w:val="nil"/>
              <w:tr2bl w:val="nil"/>
            </w:tcBorders>
            <w:shd w:val="clear" w:color="auto" w:fill="auto"/>
            <w:vAlign w:val="center"/>
          </w:tcPr>
          <w:p w14:paraId="6534729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顶深灰色涂料 </w:t>
            </w:r>
          </w:p>
        </w:tc>
        <w:tc>
          <w:tcPr>
            <w:tcW w:w="4607" w:type="dxa"/>
            <w:tcBorders>
              <w:tl2br w:val="nil"/>
              <w:tr2bl w:val="nil"/>
            </w:tcBorders>
            <w:shd w:val="clear" w:color="auto" w:fill="auto"/>
            <w:vAlign w:val="center"/>
          </w:tcPr>
          <w:p w14:paraId="1DFA8D35">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顶深灰色涂料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1、部位 ：房间顶部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2、黑色乳胶漆二遍，保证均匀，颜色由建设单位认可后施工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3、含原顶部所有器具、设备拆除或下降</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4、含辅材和人工</w:t>
            </w:r>
          </w:p>
          <w:p w14:paraId="43A42B98">
            <w:pPr>
              <w:pStyle w:val="2"/>
              <w:ind w:left="0" w:leftChars="0" w:firstLine="0" w:firstLineChars="0"/>
              <w:rPr>
                <w:rFonts w:hint="default"/>
                <w:color w:val="000000" w:themeColor="text1"/>
                <w:lang w:val="en-US"/>
                <w14:textFill>
                  <w14:solidFill>
                    <w14:schemeClr w14:val="tx1"/>
                  </w14:solidFill>
                </w14:textFill>
              </w:rPr>
            </w:pPr>
            <w:r>
              <w:rPr>
                <w:rFonts w:hint="eastAsia" w:cs="宋体"/>
                <w:i w:val="0"/>
                <w:iCs w:val="0"/>
                <w:color w:val="000000" w:themeColor="text1"/>
                <w:kern w:val="0"/>
                <w:sz w:val="21"/>
                <w:szCs w:val="21"/>
                <w:highlight w:val="none"/>
                <w:u w:val="none"/>
                <w:lang w:val="en-US" w:eastAsia="zh-CN" w:bidi="ar"/>
                <w14:textFill>
                  <w14:solidFill>
                    <w14:schemeClr w14:val="tx1"/>
                  </w14:solidFill>
                </w14:textFill>
              </w:rPr>
              <w:t>5、备注：立邦、三棵树、多乐士</w:t>
            </w:r>
          </w:p>
        </w:tc>
        <w:tc>
          <w:tcPr>
            <w:tcW w:w="853" w:type="dxa"/>
            <w:tcBorders>
              <w:tl2br w:val="nil"/>
              <w:tr2bl w:val="nil"/>
            </w:tcBorders>
            <w:shd w:val="clear" w:color="auto" w:fill="auto"/>
            <w:vAlign w:val="center"/>
          </w:tcPr>
          <w:p w14:paraId="1DC165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1321" w:type="dxa"/>
            <w:tcBorders>
              <w:tl2br w:val="nil"/>
              <w:tr2bl w:val="nil"/>
            </w:tcBorders>
            <w:shd w:val="clear" w:color="auto" w:fill="auto"/>
            <w:vAlign w:val="center"/>
          </w:tcPr>
          <w:p w14:paraId="5A292C7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359.75</w:t>
            </w:r>
          </w:p>
        </w:tc>
        <w:tc>
          <w:tcPr>
            <w:tcW w:w="1444" w:type="dxa"/>
            <w:tcBorders>
              <w:tl2br w:val="nil"/>
              <w:tr2bl w:val="nil"/>
            </w:tcBorders>
            <w:shd w:val="clear" w:color="auto" w:fill="auto"/>
            <w:vAlign w:val="center"/>
          </w:tcPr>
          <w:p w14:paraId="7865EF0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5FA8E3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7B9C9C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00" w:hRule="atLeast"/>
        </w:trPr>
        <w:tc>
          <w:tcPr>
            <w:tcW w:w="972" w:type="dxa"/>
            <w:tcBorders>
              <w:tl2br w:val="nil"/>
              <w:tr2bl w:val="nil"/>
            </w:tcBorders>
            <w:shd w:val="clear" w:color="auto" w:fill="auto"/>
            <w:noWrap/>
            <w:vAlign w:val="center"/>
          </w:tcPr>
          <w:p w14:paraId="267F07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2340" w:type="dxa"/>
            <w:tcBorders>
              <w:tl2br w:val="nil"/>
              <w:tr2bl w:val="nil"/>
            </w:tcBorders>
            <w:shd w:val="clear" w:color="auto" w:fill="auto"/>
            <w:vAlign w:val="center"/>
          </w:tcPr>
          <w:p w14:paraId="3D05A9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墙面喷刷涂料</w:t>
            </w:r>
          </w:p>
        </w:tc>
        <w:tc>
          <w:tcPr>
            <w:tcW w:w="4607" w:type="dxa"/>
            <w:tcBorders>
              <w:tl2br w:val="nil"/>
              <w:tr2bl w:val="nil"/>
            </w:tcBorders>
            <w:shd w:val="clear" w:color="auto" w:fill="auto"/>
            <w:vAlign w:val="center"/>
          </w:tcPr>
          <w:p w14:paraId="1AA59002">
            <w:pPr>
              <w:keepNext w:val="0"/>
              <w:keepLines w:val="0"/>
              <w:widowControl/>
              <w:numPr>
                <w:ilvl w:val="0"/>
                <w:numId w:val="9"/>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名称:墙面喷刷涂料（含上口局部深色）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2、原破损部位局部铲除打磨、墙面批腻子二遍、乳胶漆二遍，含辅材和人工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3、施工过程中需对原室内设备成品保护</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4、具体做法详见图纸</w:t>
            </w:r>
          </w:p>
          <w:p w14:paraId="024696C7">
            <w:pPr>
              <w:pStyle w:val="2"/>
              <w:numPr>
                <w:ilvl w:val="0"/>
                <w:numId w:val="0"/>
              </w:numPr>
              <w:rPr>
                <w:rFonts w:hint="eastAsia" w:eastAsia="宋体"/>
                <w:color w:val="000000" w:themeColor="text1"/>
                <w:lang w:val="en-US" w:eastAsia="zh-CN"/>
                <w14:textFill>
                  <w14:solidFill>
                    <w14:schemeClr w14:val="tx1"/>
                  </w14:solidFill>
                </w14:textFill>
              </w:rPr>
            </w:pPr>
            <w:r>
              <w:rPr>
                <w:rFonts w:hint="eastAsia" w:cs="宋体"/>
                <w:i w:val="0"/>
                <w:iCs w:val="0"/>
                <w:color w:val="000000" w:themeColor="text1"/>
                <w:kern w:val="0"/>
                <w:sz w:val="21"/>
                <w:szCs w:val="21"/>
                <w:highlight w:val="none"/>
                <w:u w:val="none"/>
                <w:lang w:val="en-US" w:eastAsia="zh-CN" w:bidi="ar"/>
                <w14:textFill>
                  <w14:solidFill>
                    <w14:schemeClr w14:val="tx1"/>
                  </w14:solidFill>
                </w14:textFill>
              </w:rPr>
              <w:t>5、备注：立邦、三棵树、多乐士</w:t>
            </w:r>
          </w:p>
        </w:tc>
        <w:tc>
          <w:tcPr>
            <w:tcW w:w="853" w:type="dxa"/>
            <w:tcBorders>
              <w:tl2br w:val="nil"/>
              <w:tr2bl w:val="nil"/>
            </w:tcBorders>
            <w:shd w:val="clear" w:color="auto" w:fill="auto"/>
            <w:vAlign w:val="center"/>
          </w:tcPr>
          <w:p w14:paraId="1A1916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1321" w:type="dxa"/>
            <w:tcBorders>
              <w:tl2br w:val="nil"/>
              <w:tr2bl w:val="nil"/>
            </w:tcBorders>
            <w:shd w:val="clear" w:color="auto" w:fill="auto"/>
            <w:vAlign w:val="center"/>
          </w:tcPr>
          <w:p w14:paraId="1B6EBA7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155.45</w:t>
            </w:r>
          </w:p>
        </w:tc>
        <w:tc>
          <w:tcPr>
            <w:tcW w:w="1444" w:type="dxa"/>
            <w:tcBorders>
              <w:tl2br w:val="nil"/>
              <w:tr2bl w:val="nil"/>
            </w:tcBorders>
            <w:shd w:val="clear" w:color="auto" w:fill="auto"/>
            <w:vAlign w:val="center"/>
          </w:tcPr>
          <w:p w14:paraId="06A497E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63390E6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4F55CA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240" w:hRule="atLeast"/>
        </w:trPr>
        <w:tc>
          <w:tcPr>
            <w:tcW w:w="972" w:type="dxa"/>
            <w:tcBorders>
              <w:tl2br w:val="nil"/>
              <w:tr2bl w:val="nil"/>
            </w:tcBorders>
            <w:shd w:val="clear" w:color="auto" w:fill="auto"/>
            <w:vAlign w:val="center"/>
          </w:tcPr>
          <w:p w14:paraId="5B7736F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2340" w:type="dxa"/>
            <w:tcBorders>
              <w:tl2br w:val="nil"/>
              <w:tr2bl w:val="nil"/>
            </w:tcBorders>
            <w:shd w:val="clear" w:color="auto" w:fill="auto"/>
            <w:vAlign w:val="center"/>
          </w:tcPr>
          <w:p w14:paraId="6F64FF2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无框玻璃门及门套</w:t>
            </w:r>
          </w:p>
        </w:tc>
        <w:tc>
          <w:tcPr>
            <w:tcW w:w="4607" w:type="dxa"/>
            <w:tcBorders>
              <w:tl2br w:val="nil"/>
              <w:tr2bl w:val="nil"/>
            </w:tcBorders>
            <w:shd w:val="clear" w:color="auto" w:fill="auto"/>
            <w:vAlign w:val="center"/>
          </w:tcPr>
          <w:p w14:paraId="05690570">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1、名称:玻璃门及不锈钢门套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2、规格2200*1800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3、含钢骨架、1.0厚</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304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不锈钢门套、智能锁、各类五金、安装费、辅材和所有费用</w:t>
            </w:r>
          </w:p>
        </w:tc>
        <w:tc>
          <w:tcPr>
            <w:tcW w:w="853" w:type="dxa"/>
            <w:tcBorders>
              <w:tl2br w:val="nil"/>
              <w:tr2bl w:val="nil"/>
            </w:tcBorders>
            <w:shd w:val="clear" w:color="auto" w:fill="auto"/>
            <w:vAlign w:val="center"/>
          </w:tcPr>
          <w:p w14:paraId="078F42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樘</w:t>
            </w:r>
          </w:p>
        </w:tc>
        <w:tc>
          <w:tcPr>
            <w:tcW w:w="1321" w:type="dxa"/>
            <w:tcBorders>
              <w:tl2br w:val="nil"/>
              <w:tr2bl w:val="nil"/>
            </w:tcBorders>
            <w:shd w:val="clear" w:color="auto" w:fill="auto"/>
            <w:vAlign w:val="center"/>
          </w:tcPr>
          <w:p w14:paraId="7D3D88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444" w:type="dxa"/>
            <w:tcBorders>
              <w:tl2br w:val="nil"/>
              <w:tr2bl w:val="nil"/>
            </w:tcBorders>
            <w:shd w:val="clear" w:color="auto" w:fill="auto"/>
            <w:vAlign w:val="center"/>
          </w:tcPr>
          <w:p w14:paraId="068782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36460C5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0CD10E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6" w:hRule="atLeast"/>
        </w:trPr>
        <w:tc>
          <w:tcPr>
            <w:tcW w:w="972" w:type="dxa"/>
            <w:tcBorders>
              <w:tl2br w:val="nil"/>
              <w:tr2bl w:val="nil"/>
            </w:tcBorders>
            <w:shd w:val="clear" w:color="auto" w:fill="auto"/>
            <w:noWrap/>
            <w:vAlign w:val="center"/>
          </w:tcPr>
          <w:p w14:paraId="4B159F56">
            <w:pPr>
              <w:jc w:val="left"/>
              <w:rPr>
                <w:rFonts w:hint="eastAsia" w:ascii="宋体" w:hAnsi="宋体" w:eastAsia="宋体" w:cs="宋体"/>
                <w:i w:val="0"/>
                <w:iCs w:val="0"/>
                <w:color w:val="000000" w:themeColor="text1"/>
                <w:sz w:val="22"/>
                <w:szCs w:val="22"/>
                <w:highlight w:val="none"/>
                <w:u w:val="none"/>
                <w:lang w:eastAsia="zh-CN"/>
                <w14:textFill>
                  <w14:solidFill>
                    <w14:schemeClr w14:val="tx1"/>
                  </w14:solidFill>
                </w14:textFill>
              </w:rPr>
            </w:pPr>
            <w:r>
              <w:rPr>
                <w:rFonts w:hint="eastAsia" w:ascii="宋体" w:hAnsi="宋体" w:eastAsia="宋体" w:cs="宋体"/>
                <w:b/>
                <w:bCs/>
                <w:i w:val="0"/>
                <w:iCs w:val="0"/>
                <w:color w:val="000000" w:themeColor="text1"/>
                <w:sz w:val="22"/>
                <w:szCs w:val="22"/>
                <w:highlight w:val="none"/>
                <w:u w:val="none"/>
                <w:lang w:eastAsia="zh-CN"/>
                <w14:textFill>
                  <w14:solidFill>
                    <w14:schemeClr w14:val="tx1"/>
                  </w14:solidFill>
                </w14:textFill>
              </w:rPr>
              <w:t>（</w:t>
            </w:r>
            <w:r>
              <w:rPr>
                <w:rFonts w:hint="eastAsia" w:ascii="宋体" w:hAnsi="宋体" w:eastAsia="宋体" w:cs="宋体"/>
                <w:b/>
                <w:bCs/>
                <w:i w:val="0"/>
                <w:iCs w:val="0"/>
                <w:color w:val="000000" w:themeColor="text1"/>
                <w:sz w:val="22"/>
                <w:szCs w:val="22"/>
                <w:highlight w:val="none"/>
                <w:u w:val="none"/>
                <w:lang w:val="en-US" w:eastAsia="zh-CN"/>
                <w14:textFill>
                  <w14:solidFill>
                    <w14:schemeClr w14:val="tx1"/>
                  </w14:solidFill>
                </w14:textFill>
              </w:rPr>
              <w:t>二</w:t>
            </w:r>
            <w:r>
              <w:rPr>
                <w:rFonts w:hint="eastAsia" w:ascii="宋体" w:hAnsi="宋体" w:eastAsia="宋体" w:cs="宋体"/>
                <w:b/>
                <w:bCs/>
                <w:i w:val="0"/>
                <w:iCs w:val="0"/>
                <w:color w:val="000000" w:themeColor="text1"/>
                <w:sz w:val="22"/>
                <w:szCs w:val="22"/>
                <w:highlight w:val="none"/>
                <w:u w:val="none"/>
                <w:lang w:eastAsia="zh-CN"/>
                <w14:textFill>
                  <w14:solidFill>
                    <w14:schemeClr w14:val="tx1"/>
                  </w14:solidFill>
                </w14:textFill>
              </w:rPr>
              <w:t>）</w:t>
            </w:r>
          </w:p>
        </w:tc>
        <w:tc>
          <w:tcPr>
            <w:tcW w:w="6947" w:type="dxa"/>
            <w:gridSpan w:val="2"/>
            <w:tcBorders>
              <w:tl2br w:val="nil"/>
              <w:tr2bl w:val="nil"/>
            </w:tcBorders>
            <w:shd w:val="clear" w:color="auto" w:fill="auto"/>
            <w:vAlign w:val="center"/>
          </w:tcPr>
          <w:p w14:paraId="3D527A51">
            <w:pPr>
              <w:jc w:val="both"/>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微软雅黑" w:hAnsi="微软雅黑" w:eastAsia="微软雅黑" w:cs="微软雅黑"/>
                <w:b/>
                <w:bCs/>
                <w:i w:val="0"/>
                <w:iCs w:val="0"/>
                <w:color w:val="000000" w:themeColor="text1"/>
                <w:kern w:val="0"/>
                <w:sz w:val="24"/>
                <w:szCs w:val="24"/>
                <w:highlight w:val="none"/>
                <w:u w:val="none"/>
                <w:lang w:val="en-US" w:eastAsia="zh-CN" w:bidi="ar"/>
                <w14:textFill>
                  <w14:solidFill>
                    <w14:schemeClr w14:val="tx1"/>
                  </w14:solidFill>
                </w14:textFill>
              </w:rPr>
              <w:t xml:space="preserve">安装部分 </w:t>
            </w:r>
            <w:r>
              <w:rPr>
                <w:rFonts w:hint="eastAsia" w:ascii="微软雅黑" w:hAnsi="微软雅黑" w:eastAsia="微软雅黑" w:cs="微软雅黑"/>
                <w:b/>
                <w:bCs/>
                <w:i w:val="0"/>
                <w:iCs w:val="0"/>
                <w:color w:val="000000" w:themeColor="text1"/>
                <w:kern w:val="0"/>
                <w:sz w:val="21"/>
                <w:szCs w:val="21"/>
                <w:highlight w:val="none"/>
                <w:u w:val="none"/>
                <w:lang w:val="en-US" w:eastAsia="zh-CN" w:bidi="ar"/>
                <w14:textFill>
                  <w14:solidFill>
                    <w14:schemeClr w14:val="tx1"/>
                  </w14:solidFill>
                </w14:textFill>
              </w:rPr>
              <w:t xml:space="preserve"> </w:t>
            </w:r>
          </w:p>
        </w:tc>
        <w:tc>
          <w:tcPr>
            <w:tcW w:w="853" w:type="dxa"/>
            <w:tcBorders>
              <w:tl2br w:val="nil"/>
              <w:tr2bl w:val="nil"/>
            </w:tcBorders>
            <w:shd w:val="clear" w:color="auto" w:fill="auto"/>
            <w:vAlign w:val="center"/>
          </w:tcPr>
          <w:p w14:paraId="084EE02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21" w:type="dxa"/>
            <w:tcBorders>
              <w:tl2br w:val="nil"/>
              <w:tr2bl w:val="nil"/>
            </w:tcBorders>
            <w:shd w:val="clear" w:color="auto" w:fill="auto"/>
            <w:vAlign w:val="center"/>
          </w:tcPr>
          <w:p w14:paraId="476E8C7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44" w:type="dxa"/>
            <w:tcBorders>
              <w:tl2br w:val="nil"/>
              <w:tr2bl w:val="nil"/>
            </w:tcBorders>
            <w:shd w:val="clear" w:color="auto" w:fill="auto"/>
            <w:vAlign w:val="center"/>
          </w:tcPr>
          <w:p w14:paraId="2403873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342531C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519D70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00" w:hRule="atLeast"/>
        </w:trPr>
        <w:tc>
          <w:tcPr>
            <w:tcW w:w="972" w:type="dxa"/>
            <w:tcBorders>
              <w:tl2br w:val="nil"/>
              <w:tr2bl w:val="nil"/>
            </w:tcBorders>
            <w:shd w:val="clear" w:color="auto" w:fill="auto"/>
            <w:vAlign w:val="center"/>
          </w:tcPr>
          <w:p w14:paraId="024D41C0">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2340" w:type="dxa"/>
            <w:tcBorders>
              <w:tl2br w:val="nil"/>
              <w:tr2bl w:val="nil"/>
            </w:tcBorders>
            <w:shd w:val="clear" w:color="auto" w:fill="auto"/>
            <w:vAlign w:val="center"/>
          </w:tcPr>
          <w:p w14:paraId="7389C2C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配电箱</w:t>
            </w:r>
          </w:p>
        </w:tc>
        <w:tc>
          <w:tcPr>
            <w:tcW w:w="4607" w:type="dxa"/>
            <w:tcBorders>
              <w:tl2br w:val="nil"/>
              <w:tr2bl w:val="nil"/>
            </w:tcBorders>
            <w:shd w:val="clear" w:color="auto" w:fill="auto"/>
            <w:vAlign w:val="center"/>
          </w:tcPr>
          <w:p w14:paraId="3715B3E4">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1、名称:配电箱（按现场需要改造）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2、品牌（正泰、德力西、施耐德）</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3、投标人自行踏勘情况，综合考虑涉及安装、调试等情况，满足建设单位要求，结算不另调整相关费用</w:t>
            </w:r>
          </w:p>
        </w:tc>
        <w:tc>
          <w:tcPr>
            <w:tcW w:w="853" w:type="dxa"/>
            <w:tcBorders>
              <w:tl2br w:val="nil"/>
              <w:tr2bl w:val="nil"/>
            </w:tcBorders>
            <w:shd w:val="clear" w:color="auto" w:fill="auto"/>
            <w:vAlign w:val="center"/>
          </w:tcPr>
          <w:p w14:paraId="4700E5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1321" w:type="dxa"/>
            <w:tcBorders>
              <w:tl2br w:val="nil"/>
              <w:tr2bl w:val="nil"/>
            </w:tcBorders>
            <w:shd w:val="clear" w:color="auto" w:fill="auto"/>
            <w:vAlign w:val="center"/>
          </w:tcPr>
          <w:p w14:paraId="7FA3A5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444" w:type="dxa"/>
            <w:tcBorders>
              <w:tl2br w:val="nil"/>
              <w:tr2bl w:val="nil"/>
            </w:tcBorders>
            <w:shd w:val="clear" w:color="auto" w:fill="auto"/>
            <w:vAlign w:val="center"/>
          </w:tcPr>
          <w:p w14:paraId="7BF7B3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16C76F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0E5586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3" w:hRule="atLeast"/>
        </w:trPr>
        <w:tc>
          <w:tcPr>
            <w:tcW w:w="972" w:type="dxa"/>
            <w:tcBorders>
              <w:tl2br w:val="nil"/>
              <w:tr2bl w:val="nil"/>
            </w:tcBorders>
            <w:shd w:val="clear" w:color="auto" w:fill="auto"/>
            <w:noWrap/>
            <w:vAlign w:val="center"/>
          </w:tcPr>
          <w:p w14:paraId="4773B7A2">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40" w:type="dxa"/>
            <w:tcBorders>
              <w:tl2br w:val="nil"/>
              <w:tr2bl w:val="nil"/>
            </w:tcBorders>
            <w:shd w:val="clear" w:color="auto" w:fill="auto"/>
            <w:vAlign w:val="center"/>
          </w:tcPr>
          <w:p w14:paraId="02913D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网络机柜</w:t>
            </w:r>
          </w:p>
        </w:tc>
        <w:tc>
          <w:tcPr>
            <w:tcW w:w="4607" w:type="dxa"/>
            <w:tcBorders>
              <w:tl2br w:val="nil"/>
              <w:tr2bl w:val="nil"/>
            </w:tcBorders>
            <w:shd w:val="clear" w:color="auto" w:fill="auto"/>
            <w:vAlign w:val="center"/>
          </w:tcPr>
          <w:p w14:paraId="56662CA8">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1、名称:网络机柜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2、规格（600*600*800 据现场位置需求布置）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3、含内部设备，满足现场实际使用需要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（含24口接入交换机、配线架、专用插座、跳线）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交换机技术参数：1、支持≥24个10/100/1000M电口，≥4个千兆SFP光口(非复用)；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2、交换容量≥336Gbps，包转发率≥96Mpps；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3、支持端口镜像，支持链路聚合；</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4、支持基于端口的VLAN，802.1Q标记VLAN，支持802.1X，支持MSTP</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5、支持组播/广播风暴控制，支持MAC地址过滤，支持DHCP SNOOPING；</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6、支持IP+MAC绑定，支持QOS，支持CPU保护功能。</w:t>
            </w:r>
          </w:p>
        </w:tc>
        <w:tc>
          <w:tcPr>
            <w:tcW w:w="853" w:type="dxa"/>
            <w:tcBorders>
              <w:tl2br w:val="nil"/>
              <w:tr2bl w:val="nil"/>
            </w:tcBorders>
            <w:shd w:val="clear" w:color="auto" w:fill="auto"/>
            <w:vAlign w:val="center"/>
          </w:tcPr>
          <w:p w14:paraId="5AD81E8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321" w:type="dxa"/>
            <w:tcBorders>
              <w:tl2br w:val="nil"/>
              <w:tr2bl w:val="nil"/>
            </w:tcBorders>
            <w:shd w:val="clear" w:color="auto" w:fill="auto"/>
            <w:vAlign w:val="center"/>
          </w:tcPr>
          <w:p w14:paraId="3172E5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444" w:type="dxa"/>
            <w:tcBorders>
              <w:tl2br w:val="nil"/>
              <w:tr2bl w:val="nil"/>
            </w:tcBorders>
            <w:shd w:val="clear" w:color="auto" w:fill="auto"/>
            <w:vAlign w:val="center"/>
          </w:tcPr>
          <w:p w14:paraId="656B3B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17F6F1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0BFAA6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00" w:hRule="atLeast"/>
        </w:trPr>
        <w:tc>
          <w:tcPr>
            <w:tcW w:w="972" w:type="dxa"/>
            <w:tcBorders>
              <w:tl2br w:val="nil"/>
              <w:tr2bl w:val="nil"/>
            </w:tcBorders>
            <w:shd w:val="clear" w:color="auto" w:fill="auto"/>
            <w:vAlign w:val="center"/>
          </w:tcPr>
          <w:p w14:paraId="46ACABD4">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40" w:type="dxa"/>
            <w:tcBorders>
              <w:tl2br w:val="nil"/>
              <w:tr2bl w:val="nil"/>
            </w:tcBorders>
            <w:shd w:val="clear" w:color="auto" w:fill="auto"/>
            <w:vAlign w:val="center"/>
          </w:tcPr>
          <w:p w14:paraId="6036700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配管 </w:t>
            </w:r>
          </w:p>
        </w:tc>
        <w:tc>
          <w:tcPr>
            <w:tcW w:w="4607" w:type="dxa"/>
            <w:tcBorders>
              <w:tl2br w:val="nil"/>
              <w:tr2bl w:val="nil"/>
            </w:tcBorders>
            <w:shd w:val="clear" w:color="auto" w:fill="auto"/>
            <w:vAlign w:val="center"/>
          </w:tcPr>
          <w:p w14:paraId="1FF4ED1F">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1、名称:配管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2、名称:电线管（结合现场实际需要）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3、规格: PVC16或PVC20或PVC25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4、配置形式:暗配及静电地板下安装（暗装时含必要时开槽、开洞恢复、封堵、人工等费用，吊顶内安装含必须固定支撑架等费用）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5、备注:满足校方使用要求，符合验收规范的相关规定</w:t>
            </w:r>
          </w:p>
        </w:tc>
        <w:tc>
          <w:tcPr>
            <w:tcW w:w="853" w:type="dxa"/>
            <w:tcBorders>
              <w:tl2br w:val="nil"/>
              <w:tr2bl w:val="nil"/>
            </w:tcBorders>
            <w:shd w:val="clear" w:color="auto" w:fill="auto"/>
            <w:vAlign w:val="center"/>
          </w:tcPr>
          <w:p w14:paraId="400D0F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321" w:type="dxa"/>
            <w:tcBorders>
              <w:tl2br w:val="nil"/>
              <w:tr2bl w:val="nil"/>
            </w:tcBorders>
            <w:shd w:val="clear" w:color="auto" w:fill="auto"/>
            <w:vAlign w:val="center"/>
          </w:tcPr>
          <w:p w14:paraId="6B7890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300</w:t>
            </w:r>
          </w:p>
        </w:tc>
        <w:tc>
          <w:tcPr>
            <w:tcW w:w="1444" w:type="dxa"/>
            <w:tcBorders>
              <w:tl2br w:val="nil"/>
              <w:tr2bl w:val="nil"/>
            </w:tcBorders>
            <w:shd w:val="clear" w:color="auto" w:fill="auto"/>
            <w:vAlign w:val="center"/>
          </w:tcPr>
          <w:p w14:paraId="50480B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365099E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7A7A61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trPr>
        <w:tc>
          <w:tcPr>
            <w:tcW w:w="972" w:type="dxa"/>
            <w:tcBorders>
              <w:tl2br w:val="nil"/>
              <w:tr2bl w:val="nil"/>
            </w:tcBorders>
            <w:shd w:val="clear" w:color="auto" w:fill="auto"/>
            <w:noWrap/>
            <w:vAlign w:val="center"/>
          </w:tcPr>
          <w:p w14:paraId="1E60FA99">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40" w:type="dxa"/>
            <w:tcBorders>
              <w:tl2br w:val="nil"/>
              <w:tr2bl w:val="nil"/>
            </w:tcBorders>
            <w:shd w:val="clear" w:color="auto" w:fill="auto"/>
            <w:vAlign w:val="center"/>
          </w:tcPr>
          <w:p w14:paraId="5FD4EC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配线</w:t>
            </w:r>
          </w:p>
        </w:tc>
        <w:tc>
          <w:tcPr>
            <w:tcW w:w="4607" w:type="dxa"/>
            <w:tcBorders>
              <w:tl2br w:val="nil"/>
              <w:tr2bl w:val="nil"/>
            </w:tcBorders>
            <w:shd w:val="clear" w:color="auto" w:fill="auto"/>
            <w:noWrap/>
            <w:vAlign w:val="center"/>
          </w:tcPr>
          <w:p w14:paraId="21F50214">
            <w:pPr>
              <w:keepNext w:val="0"/>
              <w:keepLines w:val="0"/>
              <w:widowControl/>
              <w:suppressLineNumbers w:val="0"/>
              <w:jc w:val="left"/>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 配线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2、型号:ZR-BV2.5mm2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3、材质:铜（国标）铜芯线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4、配线部位:管内、墙体、吊顶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5、备注:</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远东、江南、上上</w:t>
            </w:r>
          </w:p>
        </w:tc>
        <w:tc>
          <w:tcPr>
            <w:tcW w:w="853" w:type="dxa"/>
            <w:tcBorders>
              <w:tl2br w:val="nil"/>
              <w:tr2bl w:val="nil"/>
            </w:tcBorders>
            <w:shd w:val="clear" w:color="auto" w:fill="auto"/>
            <w:noWrap/>
            <w:vAlign w:val="center"/>
          </w:tcPr>
          <w:p w14:paraId="77866C7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321" w:type="dxa"/>
            <w:tcBorders>
              <w:tl2br w:val="nil"/>
              <w:tr2bl w:val="nil"/>
            </w:tcBorders>
            <w:shd w:val="clear" w:color="auto" w:fill="auto"/>
            <w:noWrap/>
            <w:vAlign w:val="center"/>
          </w:tcPr>
          <w:p w14:paraId="17CEE48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1300</w:t>
            </w:r>
          </w:p>
        </w:tc>
        <w:tc>
          <w:tcPr>
            <w:tcW w:w="1444" w:type="dxa"/>
            <w:tcBorders>
              <w:tl2br w:val="nil"/>
              <w:tr2bl w:val="nil"/>
            </w:tcBorders>
            <w:shd w:val="clear" w:color="auto" w:fill="auto"/>
            <w:noWrap/>
            <w:vAlign w:val="center"/>
          </w:tcPr>
          <w:p w14:paraId="1F91E1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7AAE95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28149C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00" w:hRule="atLeast"/>
        </w:trPr>
        <w:tc>
          <w:tcPr>
            <w:tcW w:w="972" w:type="dxa"/>
            <w:tcBorders>
              <w:tl2br w:val="nil"/>
              <w:tr2bl w:val="nil"/>
            </w:tcBorders>
            <w:shd w:val="clear" w:color="auto" w:fill="auto"/>
            <w:vAlign w:val="center"/>
          </w:tcPr>
          <w:p w14:paraId="2F8C5026">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40" w:type="dxa"/>
            <w:tcBorders>
              <w:tl2br w:val="nil"/>
              <w:tr2bl w:val="nil"/>
            </w:tcBorders>
            <w:shd w:val="clear" w:color="auto" w:fill="auto"/>
            <w:noWrap/>
            <w:vAlign w:val="center"/>
          </w:tcPr>
          <w:p w14:paraId="459E2B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配线</w:t>
            </w:r>
          </w:p>
        </w:tc>
        <w:tc>
          <w:tcPr>
            <w:tcW w:w="4607" w:type="dxa"/>
            <w:tcBorders>
              <w:tl2br w:val="nil"/>
              <w:tr2bl w:val="nil"/>
            </w:tcBorders>
            <w:shd w:val="clear" w:color="auto" w:fill="auto"/>
            <w:noWrap/>
            <w:vAlign w:val="center"/>
          </w:tcPr>
          <w:p w14:paraId="5B739624">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 配线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2、型号:ZR-BV4mm2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3、材质:铜（国标）铜芯线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4、配线部位:空调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5、备注:</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远东、江南、上上</w:t>
            </w:r>
          </w:p>
        </w:tc>
        <w:tc>
          <w:tcPr>
            <w:tcW w:w="853" w:type="dxa"/>
            <w:tcBorders>
              <w:tl2br w:val="nil"/>
              <w:tr2bl w:val="nil"/>
            </w:tcBorders>
            <w:shd w:val="clear" w:color="auto" w:fill="auto"/>
            <w:noWrap/>
            <w:vAlign w:val="center"/>
          </w:tcPr>
          <w:p w14:paraId="0E04AD3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321" w:type="dxa"/>
            <w:tcBorders>
              <w:tl2br w:val="nil"/>
              <w:tr2bl w:val="nil"/>
            </w:tcBorders>
            <w:shd w:val="clear" w:color="auto" w:fill="auto"/>
            <w:noWrap/>
            <w:vAlign w:val="center"/>
          </w:tcPr>
          <w:p w14:paraId="381C7935">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900</w:t>
            </w:r>
          </w:p>
        </w:tc>
        <w:tc>
          <w:tcPr>
            <w:tcW w:w="1444" w:type="dxa"/>
            <w:tcBorders>
              <w:tl2br w:val="nil"/>
              <w:tr2bl w:val="nil"/>
            </w:tcBorders>
            <w:shd w:val="clear" w:color="auto" w:fill="auto"/>
            <w:noWrap/>
            <w:vAlign w:val="center"/>
          </w:tcPr>
          <w:p w14:paraId="0B7F7C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3D73244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16AF53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00" w:hRule="atLeast"/>
        </w:trPr>
        <w:tc>
          <w:tcPr>
            <w:tcW w:w="972" w:type="dxa"/>
            <w:tcBorders>
              <w:tl2br w:val="nil"/>
              <w:tr2bl w:val="nil"/>
            </w:tcBorders>
            <w:shd w:val="clear" w:color="auto" w:fill="auto"/>
            <w:noWrap/>
            <w:vAlign w:val="center"/>
          </w:tcPr>
          <w:p w14:paraId="4520BACF">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40" w:type="dxa"/>
            <w:tcBorders>
              <w:tl2br w:val="nil"/>
              <w:tr2bl w:val="nil"/>
            </w:tcBorders>
            <w:shd w:val="clear" w:color="auto" w:fill="auto"/>
            <w:noWrap/>
            <w:vAlign w:val="center"/>
          </w:tcPr>
          <w:p w14:paraId="18B19C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配线</w:t>
            </w:r>
          </w:p>
        </w:tc>
        <w:tc>
          <w:tcPr>
            <w:tcW w:w="4607" w:type="dxa"/>
            <w:tcBorders>
              <w:tl2br w:val="nil"/>
              <w:tr2bl w:val="nil"/>
            </w:tcBorders>
            <w:shd w:val="clear" w:color="auto" w:fill="auto"/>
            <w:noWrap/>
            <w:vAlign w:val="center"/>
          </w:tcPr>
          <w:p w14:paraId="784B49B3">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 配线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2、型号:ZR-BV6mm2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3、材质:铜（国标）铜芯线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4、配线部位:空调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5、备注:</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远东、江南、上上</w:t>
            </w:r>
          </w:p>
        </w:tc>
        <w:tc>
          <w:tcPr>
            <w:tcW w:w="853" w:type="dxa"/>
            <w:tcBorders>
              <w:tl2br w:val="nil"/>
              <w:tr2bl w:val="nil"/>
            </w:tcBorders>
            <w:shd w:val="clear" w:color="auto" w:fill="auto"/>
            <w:noWrap/>
            <w:vAlign w:val="center"/>
          </w:tcPr>
          <w:p w14:paraId="1FE5F1D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321" w:type="dxa"/>
            <w:tcBorders>
              <w:tl2br w:val="nil"/>
              <w:tr2bl w:val="nil"/>
            </w:tcBorders>
            <w:shd w:val="clear" w:color="auto" w:fill="auto"/>
            <w:noWrap/>
            <w:vAlign w:val="center"/>
          </w:tcPr>
          <w:p w14:paraId="05B824F0">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500</w:t>
            </w:r>
          </w:p>
        </w:tc>
        <w:tc>
          <w:tcPr>
            <w:tcW w:w="1444" w:type="dxa"/>
            <w:tcBorders>
              <w:tl2br w:val="nil"/>
              <w:tr2bl w:val="nil"/>
            </w:tcBorders>
            <w:shd w:val="clear" w:color="auto" w:fill="auto"/>
            <w:noWrap/>
            <w:vAlign w:val="center"/>
          </w:tcPr>
          <w:p w14:paraId="4E81555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834" w:type="dxa"/>
            <w:tcBorders>
              <w:tl2br w:val="nil"/>
              <w:tr2bl w:val="nil"/>
            </w:tcBorders>
            <w:shd w:val="clear" w:color="auto" w:fill="auto"/>
            <w:vAlign w:val="center"/>
          </w:tcPr>
          <w:p w14:paraId="2EEB7D6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12107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00" w:hRule="atLeast"/>
        </w:trPr>
        <w:tc>
          <w:tcPr>
            <w:tcW w:w="972" w:type="dxa"/>
            <w:tcBorders>
              <w:tl2br w:val="nil"/>
              <w:tr2bl w:val="nil"/>
            </w:tcBorders>
            <w:shd w:val="clear" w:color="auto" w:fill="auto"/>
            <w:vAlign w:val="center"/>
          </w:tcPr>
          <w:p w14:paraId="3BEB40C3">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40" w:type="dxa"/>
            <w:tcBorders>
              <w:tl2br w:val="nil"/>
              <w:tr2bl w:val="nil"/>
            </w:tcBorders>
            <w:shd w:val="clear" w:color="auto" w:fill="auto"/>
            <w:noWrap/>
            <w:vAlign w:val="center"/>
          </w:tcPr>
          <w:p w14:paraId="2CBD9E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网线</w:t>
            </w:r>
          </w:p>
        </w:tc>
        <w:tc>
          <w:tcPr>
            <w:tcW w:w="4607" w:type="dxa"/>
            <w:tcBorders>
              <w:tl2br w:val="nil"/>
              <w:tr2bl w:val="nil"/>
            </w:tcBorders>
            <w:shd w:val="clear" w:color="auto" w:fill="auto"/>
            <w:noWrap/>
            <w:vAlign w:val="center"/>
          </w:tcPr>
          <w:p w14:paraId="77EF009C">
            <w:pPr>
              <w:keepNext w:val="0"/>
              <w:keepLines w:val="0"/>
              <w:widowControl/>
              <w:numPr>
                <w:ilvl w:val="0"/>
                <w:numId w:val="1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名称:网线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2、名称:六类8芯网线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3、材质:国标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4、安装方式:暗装</w:t>
            </w:r>
          </w:p>
          <w:p w14:paraId="16F2D085">
            <w:pPr>
              <w:pStyle w:val="2"/>
              <w:ind w:left="0" w:leftChars="0" w:firstLine="0" w:firstLineChars="0"/>
              <w:rPr>
                <w:rFonts w:hint="eastAsia"/>
                <w:color w:val="000000" w:themeColor="text1"/>
                <w14:textFill>
                  <w14:solidFill>
                    <w14:schemeClr w14:val="tx1"/>
                  </w14:solidFill>
                </w14:textFill>
              </w:rPr>
            </w:pPr>
            <w:r>
              <w:rPr>
                <w:rFonts w:hint="eastAsia" w:cs="宋体"/>
                <w:i w:val="0"/>
                <w:iCs w:val="0"/>
                <w:color w:val="000000" w:themeColor="text1"/>
                <w:kern w:val="0"/>
                <w:sz w:val="21"/>
                <w:szCs w:val="21"/>
                <w:highlight w:val="none"/>
                <w:u w:val="none"/>
                <w:lang w:val="en-US" w:eastAsia="zh-CN" w:bidi="ar"/>
                <w14:textFill>
                  <w14:solidFill>
                    <w14:schemeClr w14:val="tx1"/>
                  </w14:solidFill>
                </w14:textFill>
              </w:rPr>
              <w:t>5、备注：东强、康普、一舟</w:t>
            </w:r>
          </w:p>
        </w:tc>
        <w:tc>
          <w:tcPr>
            <w:tcW w:w="853" w:type="dxa"/>
            <w:tcBorders>
              <w:tl2br w:val="nil"/>
              <w:tr2bl w:val="nil"/>
            </w:tcBorders>
            <w:shd w:val="clear" w:color="auto" w:fill="auto"/>
            <w:noWrap/>
            <w:vAlign w:val="center"/>
          </w:tcPr>
          <w:p w14:paraId="23C88B8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321" w:type="dxa"/>
            <w:tcBorders>
              <w:tl2br w:val="nil"/>
              <w:tr2bl w:val="nil"/>
            </w:tcBorders>
            <w:shd w:val="clear" w:color="auto" w:fill="auto"/>
            <w:noWrap/>
            <w:vAlign w:val="center"/>
          </w:tcPr>
          <w:p w14:paraId="624C886D">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1000</w:t>
            </w:r>
          </w:p>
        </w:tc>
        <w:tc>
          <w:tcPr>
            <w:tcW w:w="1444" w:type="dxa"/>
            <w:tcBorders>
              <w:tl2br w:val="nil"/>
              <w:tr2bl w:val="nil"/>
            </w:tcBorders>
            <w:shd w:val="clear" w:color="auto" w:fill="auto"/>
            <w:noWrap/>
            <w:vAlign w:val="center"/>
          </w:tcPr>
          <w:p w14:paraId="7E5969B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834" w:type="dxa"/>
            <w:tcBorders>
              <w:tl2br w:val="nil"/>
              <w:tr2bl w:val="nil"/>
            </w:tcBorders>
            <w:shd w:val="clear" w:color="auto" w:fill="auto"/>
            <w:vAlign w:val="center"/>
          </w:tcPr>
          <w:p w14:paraId="295726F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2C088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00" w:hRule="atLeast"/>
        </w:trPr>
        <w:tc>
          <w:tcPr>
            <w:tcW w:w="972" w:type="dxa"/>
            <w:tcBorders>
              <w:tl2br w:val="nil"/>
              <w:tr2bl w:val="nil"/>
            </w:tcBorders>
            <w:shd w:val="clear" w:color="auto" w:fill="auto"/>
            <w:noWrap/>
            <w:vAlign w:val="center"/>
          </w:tcPr>
          <w:p w14:paraId="40982D59">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2340" w:type="dxa"/>
            <w:tcBorders>
              <w:tl2br w:val="nil"/>
              <w:tr2bl w:val="nil"/>
            </w:tcBorders>
            <w:shd w:val="clear" w:color="auto" w:fill="auto"/>
            <w:noWrap/>
            <w:vAlign w:val="center"/>
          </w:tcPr>
          <w:p w14:paraId="0BD6A6F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LED应急照明灯</w:t>
            </w:r>
          </w:p>
        </w:tc>
        <w:tc>
          <w:tcPr>
            <w:tcW w:w="4607" w:type="dxa"/>
            <w:tcBorders>
              <w:tl2br w:val="nil"/>
              <w:tr2bl w:val="nil"/>
            </w:tcBorders>
            <w:shd w:val="clear" w:color="auto" w:fill="auto"/>
            <w:noWrap/>
            <w:vAlign w:val="center"/>
          </w:tcPr>
          <w:p w14:paraId="090F4B93">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1、名称:LED应急照明灯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2、型号:双头灯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3、安装形式:壁装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4、最终灯具的样式、</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品牌、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色温等参数必须经建设单位</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认</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可后采购安装</w:t>
            </w:r>
          </w:p>
        </w:tc>
        <w:tc>
          <w:tcPr>
            <w:tcW w:w="853" w:type="dxa"/>
            <w:tcBorders>
              <w:tl2br w:val="nil"/>
              <w:tr2bl w:val="nil"/>
            </w:tcBorders>
            <w:shd w:val="clear" w:color="auto" w:fill="auto"/>
            <w:noWrap/>
            <w:vAlign w:val="center"/>
          </w:tcPr>
          <w:p w14:paraId="448E1A6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321" w:type="dxa"/>
            <w:tcBorders>
              <w:tl2br w:val="nil"/>
              <w:tr2bl w:val="nil"/>
            </w:tcBorders>
            <w:shd w:val="clear" w:color="auto" w:fill="auto"/>
            <w:noWrap/>
            <w:vAlign w:val="center"/>
          </w:tcPr>
          <w:p w14:paraId="60F6D6B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444" w:type="dxa"/>
            <w:tcBorders>
              <w:tl2br w:val="nil"/>
              <w:tr2bl w:val="nil"/>
            </w:tcBorders>
            <w:shd w:val="clear" w:color="auto" w:fill="auto"/>
            <w:noWrap/>
            <w:vAlign w:val="center"/>
          </w:tcPr>
          <w:p w14:paraId="64BAE84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834" w:type="dxa"/>
            <w:tcBorders>
              <w:tl2br w:val="nil"/>
              <w:tr2bl w:val="nil"/>
            </w:tcBorders>
            <w:shd w:val="clear" w:color="auto" w:fill="auto"/>
            <w:vAlign w:val="center"/>
          </w:tcPr>
          <w:p w14:paraId="58A213E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BA1CD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00" w:hRule="atLeast"/>
        </w:trPr>
        <w:tc>
          <w:tcPr>
            <w:tcW w:w="972" w:type="dxa"/>
            <w:tcBorders>
              <w:tl2br w:val="nil"/>
              <w:tr2bl w:val="nil"/>
            </w:tcBorders>
            <w:shd w:val="clear" w:color="auto" w:fill="auto"/>
            <w:vAlign w:val="center"/>
          </w:tcPr>
          <w:p w14:paraId="76E3E81B">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2340" w:type="dxa"/>
            <w:tcBorders>
              <w:tl2br w:val="nil"/>
              <w:tr2bl w:val="nil"/>
            </w:tcBorders>
            <w:shd w:val="clear" w:color="auto" w:fill="auto"/>
            <w:noWrap/>
            <w:vAlign w:val="center"/>
          </w:tcPr>
          <w:p w14:paraId="14B272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灯具照明</w:t>
            </w:r>
          </w:p>
        </w:tc>
        <w:tc>
          <w:tcPr>
            <w:tcW w:w="4607" w:type="dxa"/>
            <w:tcBorders>
              <w:tl2br w:val="nil"/>
              <w:tr2bl w:val="nil"/>
            </w:tcBorders>
            <w:shd w:val="clear" w:color="auto" w:fill="auto"/>
            <w:noWrap/>
            <w:vAlign w:val="center"/>
          </w:tcPr>
          <w:p w14:paraId="0A60F9FE">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1、名称:灯具照明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2、型号:100*1200LED平板吊线灯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3、安装形式:吊装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4、最终灯具的样式、</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品牌、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色温等参数必须经建设单位</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认</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可后采购安装</w:t>
            </w:r>
          </w:p>
        </w:tc>
        <w:tc>
          <w:tcPr>
            <w:tcW w:w="853" w:type="dxa"/>
            <w:tcBorders>
              <w:tl2br w:val="nil"/>
              <w:tr2bl w:val="nil"/>
            </w:tcBorders>
            <w:shd w:val="clear" w:color="auto" w:fill="auto"/>
            <w:noWrap/>
            <w:vAlign w:val="center"/>
          </w:tcPr>
          <w:p w14:paraId="56DCEAE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321" w:type="dxa"/>
            <w:tcBorders>
              <w:tl2br w:val="nil"/>
              <w:tr2bl w:val="nil"/>
            </w:tcBorders>
            <w:shd w:val="clear" w:color="auto" w:fill="auto"/>
            <w:noWrap/>
            <w:vAlign w:val="center"/>
          </w:tcPr>
          <w:p w14:paraId="30FF33B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w:t>
            </w:r>
          </w:p>
        </w:tc>
        <w:tc>
          <w:tcPr>
            <w:tcW w:w="1444" w:type="dxa"/>
            <w:tcBorders>
              <w:tl2br w:val="nil"/>
              <w:tr2bl w:val="nil"/>
            </w:tcBorders>
            <w:shd w:val="clear" w:color="auto" w:fill="auto"/>
            <w:noWrap/>
            <w:vAlign w:val="center"/>
          </w:tcPr>
          <w:p w14:paraId="2AC2A61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834" w:type="dxa"/>
            <w:tcBorders>
              <w:tl2br w:val="nil"/>
              <w:tr2bl w:val="nil"/>
            </w:tcBorders>
            <w:shd w:val="clear" w:color="auto" w:fill="auto"/>
            <w:vAlign w:val="center"/>
          </w:tcPr>
          <w:p w14:paraId="326C662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2A591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00" w:hRule="atLeast"/>
        </w:trPr>
        <w:tc>
          <w:tcPr>
            <w:tcW w:w="972" w:type="dxa"/>
            <w:tcBorders>
              <w:tl2br w:val="nil"/>
              <w:tr2bl w:val="nil"/>
            </w:tcBorders>
            <w:shd w:val="clear" w:color="auto" w:fill="auto"/>
            <w:noWrap/>
            <w:vAlign w:val="center"/>
          </w:tcPr>
          <w:p w14:paraId="1DD3E22C">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19</w:t>
            </w:r>
          </w:p>
        </w:tc>
        <w:tc>
          <w:tcPr>
            <w:tcW w:w="2340" w:type="dxa"/>
            <w:tcBorders>
              <w:tl2br w:val="nil"/>
              <w:tr2bl w:val="nil"/>
            </w:tcBorders>
            <w:shd w:val="clear" w:color="auto" w:fill="auto"/>
            <w:noWrap/>
            <w:vAlign w:val="center"/>
          </w:tcPr>
          <w:p w14:paraId="190FC9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照明开关</w:t>
            </w:r>
          </w:p>
        </w:tc>
        <w:tc>
          <w:tcPr>
            <w:tcW w:w="4607" w:type="dxa"/>
            <w:tcBorders>
              <w:tl2br w:val="nil"/>
              <w:tr2bl w:val="nil"/>
            </w:tcBorders>
            <w:shd w:val="clear" w:color="auto" w:fill="auto"/>
            <w:noWrap/>
            <w:vAlign w:val="center"/>
          </w:tcPr>
          <w:p w14:paraId="05BBA4F2">
            <w:pPr>
              <w:keepNext w:val="0"/>
              <w:keepLines w:val="0"/>
              <w:widowControl/>
              <w:numPr>
                <w:ilvl w:val="0"/>
                <w:numId w:val="11"/>
              </w:numPr>
              <w:suppressLineNumbers w:val="0"/>
              <w:jc w:val="left"/>
              <w:textAlignment w:val="center"/>
              <w:rPr>
                <w:rFonts w:hint="eastAsia"/>
                <w:color w:val="000000" w:themeColor="text1"/>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名称:照明开关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2、名称:单控单联开关</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3、材质:塑料、阻燃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4、安装方式:暗装</w:t>
            </w:r>
          </w:p>
          <w:p w14:paraId="210C5C23">
            <w:pPr>
              <w:pStyle w:val="2"/>
              <w:ind w:left="0" w:leftChars="0" w:firstLine="0" w:firstLineChars="0"/>
              <w:rPr>
                <w:rFonts w:hint="default"/>
                <w:color w:val="000000" w:themeColor="text1"/>
                <w:lang w:val="en-US"/>
                <w14:textFill>
                  <w14:solidFill>
                    <w14:schemeClr w14:val="tx1"/>
                  </w14:solidFill>
                </w14:textFill>
              </w:rPr>
            </w:pPr>
            <w:r>
              <w:rPr>
                <w:rFonts w:hint="eastAsia" w:cs="宋体"/>
                <w:i w:val="0"/>
                <w:iCs w:val="0"/>
                <w:color w:val="000000" w:themeColor="text1"/>
                <w:kern w:val="0"/>
                <w:sz w:val="21"/>
                <w:szCs w:val="21"/>
                <w:highlight w:val="none"/>
                <w:u w:val="none"/>
                <w:lang w:val="en-US" w:eastAsia="zh-CN" w:bidi="ar"/>
                <w14:textFill>
                  <w14:solidFill>
                    <w14:schemeClr w14:val="tx1"/>
                  </w14:solidFill>
                </w14:textFill>
              </w:rPr>
              <w:t>5、备注：正泰、飞雕、西蒙</w:t>
            </w:r>
          </w:p>
        </w:tc>
        <w:tc>
          <w:tcPr>
            <w:tcW w:w="853" w:type="dxa"/>
            <w:tcBorders>
              <w:tl2br w:val="nil"/>
              <w:tr2bl w:val="nil"/>
            </w:tcBorders>
            <w:shd w:val="clear" w:color="auto" w:fill="auto"/>
            <w:noWrap/>
            <w:vAlign w:val="center"/>
          </w:tcPr>
          <w:p w14:paraId="457637C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321" w:type="dxa"/>
            <w:tcBorders>
              <w:tl2br w:val="nil"/>
              <w:tr2bl w:val="nil"/>
            </w:tcBorders>
            <w:shd w:val="clear" w:color="auto" w:fill="auto"/>
            <w:noWrap/>
            <w:vAlign w:val="center"/>
          </w:tcPr>
          <w:p w14:paraId="5F3F286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444" w:type="dxa"/>
            <w:tcBorders>
              <w:tl2br w:val="nil"/>
              <w:tr2bl w:val="nil"/>
            </w:tcBorders>
            <w:shd w:val="clear" w:color="auto" w:fill="auto"/>
            <w:noWrap/>
            <w:vAlign w:val="center"/>
          </w:tcPr>
          <w:p w14:paraId="2EACD46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834" w:type="dxa"/>
            <w:tcBorders>
              <w:tl2br w:val="nil"/>
              <w:tr2bl w:val="nil"/>
            </w:tcBorders>
            <w:shd w:val="clear" w:color="auto" w:fill="auto"/>
            <w:vAlign w:val="center"/>
          </w:tcPr>
          <w:p w14:paraId="321BD41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FA730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5" w:hRule="atLeast"/>
        </w:trPr>
        <w:tc>
          <w:tcPr>
            <w:tcW w:w="972" w:type="dxa"/>
            <w:tcBorders>
              <w:tl2br w:val="nil"/>
              <w:tr2bl w:val="nil"/>
            </w:tcBorders>
            <w:shd w:val="clear" w:color="auto" w:fill="auto"/>
            <w:vAlign w:val="center"/>
          </w:tcPr>
          <w:p w14:paraId="5340DEA9">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2340" w:type="dxa"/>
            <w:tcBorders>
              <w:tl2br w:val="nil"/>
              <w:tr2bl w:val="nil"/>
            </w:tcBorders>
            <w:shd w:val="clear" w:color="auto" w:fill="auto"/>
            <w:noWrap/>
            <w:vAlign w:val="center"/>
          </w:tcPr>
          <w:p w14:paraId="0DFA0D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照明开关</w:t>
            </w:r>
          </w:p>
        </w:tc>
        <w:tc>
          <w:tcPr>
            <w:tcW w:w="4607" w:type="dxa"/>
            <w:tcBorders>
              <w:tl2br w:val="nil"/>
              <w:tr2bl w:val="nil"/>
            </w:tcBorders>
            <w:shd w:val="clear" w:color="auto" w:fill="auto"/>
            <w:vAlign w:val="center"/>
          </w:tcPr>
          <w:p w14:paraId="5262A616">
            <w:pPr>
              <w:keepNext w:val="0"/>
              <w:keepLines w:val="0"/>
              <w:widowControl/>
              <w:numPr>
                <w:ilvl w:val="0"/>
                <w:numId w:val="12"/>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名称:照明开关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2、名称:双控单联开关</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3、材质:塑料、阻燃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4、安装方式:暗装</w:t>
            </w:r>
          </w:p>
          <w:p w14:paraId="57EEA39D">
            <w:pPr>
              <w:pStyle w:val="2"/>
              <w:numPr>
                <w:ilvl w:val="0"/>
                <w:numId w:val="0"/>
              </w:numPr>
              <w:rPr>
                <w:rFonts w:hint="eastAsia"/>
                <w:color w:val="000000" w:themeColor="text1"/>
                <w14:textFill>
                  <w14:solidFill>
                    <w14:schemeClr w14:val="tx1"/>
                  </w14:solidFill>
                </w14:textFill>
              </w:rPr>
            </w:pPr>
            <w:r>
              <w:rPr>
                <w:rFonts w:hint="eastAsia" w:cs="宋体"/>
                <w:i w:val="0"/>
                <w:iCs w:val="0"/>
                <w:color w:val="000000" w:themeColor="text1"/>
                <w:kern w:val="0"/>
                <w:sz w:val="21"/>
                <w:szCs w:val="21"/>
                <w:highlight w:val="none"/>
                <w:u w:val="none"/>
                <w:lang w:val="en-US" w:eastAsia="zh-CN" w:bidi="ar"/>
                <w14:textFill>
                  <w14:solidFill>
                    <w14:schemeClr w14:val="tx1"/>
                  </w14:solidFill>
                </w14:textFill>
              </w:rPr>
              <w:t>5、备注：正泰、飞雕、西蒙</w:t>
            </w:r>
          </w:p>
        </w:tc>
        <w:tc>
          <w:tcPr>
            <w:tcW w:w="853" w:type="dxa"/>
            <w:tcBorders>
              <w:tl2br w:val="nil"/>
              <w:tr2bl w:val="nil"/>
            </w:tcBorders>
            <w:shd w:val="clear" w:color="auto" w:fill="auto"/>
            <w:noWrap/>
            <w:vAlign w:val="center"/>
          </w:tcPr>
          <w:p w14:paraId="553D7E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321" w:type="dxa"/>
            <w:tcBorders>
              <w:tl2br w:val="nil"/>
              <w:tr2bl w:val="nil"/>
            </w:tcBorders>
            <w:shd w:val="clear" w:color="auto" w:fill="auto"/>
            <w:noWrap/>
            <w:vAlign w:val="center"/>
          </w:tcPr>
          <w:p w14:paraId="713ACB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444" w:type="dxa"/>
            <w:tcBorders>
              <w:tl2br w:val="nil"/>
              <w:tr2bl w:val="nil"/>
            </w:tcBorders>
            <w:shd w:val="clear" w:color="auto" w:fill="auto"/>
            <w:noWrap/>
            <w:vAlign w:val="center"/>
          </w:tcPr>
          <w:p w14:paraId="7D1DE25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061B1A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73B7D6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0" w:hRule="atLeast"/>
        </w:trPr>
        <w:tc>
          <w:tcPr>
            <w:tcW w:w="972" w:type="dxa"/>
            <w:tcBorders>
              <w:tl2br w:val="nil"/>
              <w:tr2bl w:val="nil"/>
            </w:tcBorders>
            <w:shd w:val="clear" w:color="auto" w:fill="auto"/>
            <w:noWrap/>
            <w:vAlign w:val="center"/>
          </w:tcPr>
          <w:p w14:paraId="6BCC82B6">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w:t>
            </w:r>
          </w:p>
        </w:tc>
        <w:tc>
          <w:tcPr>
            <w:tcW w:w="2340" w:type="dxa"/>
            <w:tcBorders>
              <w:tl2br w:val="nil"/>
              <w:tr2bl w:val="nil"/>
            </w:tcBorders>
            <w:shd w:val="clear" w:color="auto" w:fill="auto"/>
            <w:noWrap/>
            <w:vAlign w:val="center"/>
          </w:tcPr>
          <w:p w14:paraId="62049C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五孔插座</w:t>
            </w:r>
          </w:p>
        </w:tc>
        <w:tc>
          <w:tcPr>
            <w:tcW w:w="4607" w:type="dxa"/>
            <w:tcBorders>
              <w:tl2br w:val="nil"/>
              <w:tr2bl w:val="nil"/>
            </w:tcBorders>
            <w:shd w:val="clear" w:color="auto" w:fill="auto"/>
            <w:vAlign w:val="center"/>
          </w:tcPr>
          <w:p w14:paraId="07B6D872">
            <w:pPr>
              <w:keepNext w:val="0"/>
              <w:keepLines w:val="0"/>
              <w:widowControl/>
              <w:numPr>
                <w:ilvl w:val="0"/>
                <w:numId w:val="13"/>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名称:五孔插座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2、材质:塑料、阻燃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3、安装方式:暗装</w:t>
            </w:r>
          </w:p>
          <w:p w14:paraId="3220D3C8">
            <w:pPr>
              <w:pStyle w:val="2"/>
              <w:numPr>
                <w:ilvl w:val="0"/>
                <w:numId w:val="0"/>
              </w:numPr>
              <w:rPr>
                <w:rFonts w:hint="eastAsia"/>
                <w:color w:val="000000" w:themeColor="text1"/>
                <w14:textFill>
                  <w14:solidFill>
                    <w14:schemeClr w14:val="tx1"/>
                  </w14:solidFill>
                </w14:textFill>
              </w:rPr>
            </w:pPr>
            <w:r>
              <w:rPr>
                <w:rFonts w:hint="eastAsia" w:cs="宋体"/>
                <w:i w:val="0"/>
                <w:iCs w:val="0"/>
                <w:color w:val="000000" w:themeColor="text1"/>
                <w:kern w:val="0"/>
                <w:sz w:val="21"/>
                <w:szCs w:val="21"/>
                <w:highlight w:val="none"/>
                <w:u w:val="none"/>
                <w:lang w:val="en-US" w:eastAsia="zh-CN" w:bidi="ar"/>
                <w14:textFill>
                  <w14:solidFill>
                    <w14:schemeClr w14:val="tx1"/>
                  </w14:solidFill>
                </w14:textFill>
              </w:rPr>
              <w:t>4、备注：正泰、飞雕、西蒙</w:t>
            </w:r>
          </w:p>
        </w:tc>
        <w:tc>
          <w:tcPr>
            <w:tcW w:w="853" w:type="dxa"/>
            <w:tcBorders>
              <w:tl2br w:val="nil"/>
              <w:tr2bl w:val="nil"/>
            </w:tcBorders>
            <w:shd w:val="clear" w:color="auto" w:fill="auto"/>
            <w:noWrap/>
            <w:vAlign w:val="center"/>
          </w:tcPr>
          <w:p w14:paraId="184A4F7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321" w:type="dxa"/>
            <w:tcBorders>
              <w:tl2br w:val="nil"/>
              <w:tr2bl w:val="nil"/>
            </w:tcBorders>
            <w:shd w:val="clear" w:color="auto" w:fill="auto"/>
            <w:noWrap/>
            <w:vAlign w:val="center"/>
          </w:tcPr>
          <w:p w14:paraId="7856B9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1444" w:type="dxa"/>
            <w:tcBorders>
              <w:tl2br w:val="nil"/>
              <w:tr2bl w:val="nil"/>
            </w:tcBorders>
            <w:shd w:val="clear" w:color="auto" w:fill="auto"/>
            <w:noWrap/>
            <w:vAlign w:val="center"/>
          </w:tcPr>
          <w:p w14:paraId="0E7965A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615EB07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21B39F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0" w:hRule="atLeast"/>
        </w:trPr>
        <w:tc>
          <w:tcPr>
            <w:tcW w:w="972" w:type="dxa"/>
            <w:tcBorders>
              <w:tl2br w:val="nil"/>
              <w:tr2bl w:val="nil"/>
            </w:tcBorders>
            <w:shd w:val="clear" w:color="auto" w:fill="auto"/>
            <w:vAlign w:val="center"/>
          </w:tcPr>
          <w:p w14:paraId="38C3245D">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2340" w:type="dxa"/>
            <w:tcBorders>
              <w:tl2br w:val="nil"/>
              <w:tr2bl w:val="nil"/>
            </w:tcBorders>
            <w:shd w:val="clear" w:color="auto" w:fill="auto"/>
            <w:noWrap/>
            <w:vAlign w:val="center"/>
          </w:tcPr>
          <w:p w14:paraId="79A77E6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空调专用箱</w:t>
            </w:r>
          </w:p>
        </w:tc>
        <w:tc>
          <w:tcPr>
            <w:tcW w:w="4607" w:type="dxa"/>
            <w:tcBorders>
              <w:tl2br w:val="nil"/>
              <w:tr2bl w:val="nil"/>
            </w:tcBorders>
            <w:shd w:val="clear" w:color="auto" w:fill="auto"/>
            <w:vAlign w:val="center"/>
          </w:tcPr>
          <w:p w14:paraId="7EB0A1E8">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1、名称:5匹空调专用箱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2、材质:塑料、阻燃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3、安装方式:暗装</w:t>
            </w:r>
          </w:p>
        </w:tc>
        <w:tc>
          <w:tcPr>
            <w:tcW w:w="853" w:type="dxa"/>
            <w:tcBorders>
              <w:tl2br w:val="nil"/>
              <w:tr2bl w:val="nil"/>
            </w:tcBorders>
            <w:shd w:val="clear" w:color="auto" w:fill="auto"/>
            <w:noWrap/>
            <w:vAlign w:val="center"/>
          </w:tcPr>
          <w:p w14:paraId="31DE72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321" w:type="dxa"/>
            <w:tcBorders>
              <w:tl2br w:val="nil"/>
              <w:tr2bl w:val="nil"/>
            </w:tcBorders>
            <w:shd w:val="clear" w:color="auto" w:fill="auto"/>
            <w:noWrap/>
            <w:vAlign w:val="center"/>
          </w:tcPr>
          <w:p w14:paraId="73460A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444" w:type="dxa"/>
            <w:tcBorders>
              <w:tl2br w:val="nil"/>
              <w:tr2bl w:val="nil"/>
            </w:tcBorders>
            <w:shd w:val="clear" w:color="auto" w:fill="auto"/>
            <w:noWrap/>
            <w:vAlign w:val="center"/>
          </w:tcPr>
          <w:p w14:paraId="2BCF78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6AE34DE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7408D5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11" w:hRule="atLeast"/>
        </w:trPr>
        <w:tc>
          <w:tcPr>
            <w:tcW w:w="972" w:type="dxa"/>
            <w:tcBorders>
              <w:tl2br w:val="nil"/>
              <w:tr2bl w:val="nil"/>
            </w:tcBorders>
            <w:shd w:val="clear" w:color="auto" w:fill="auto"/>
            <w:noWrap/>
            <w:vAlign w:val="center"/>
          </w:tcPr>
          <w:p w14:paraId="0249A521">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w:t>
            </w:r>
          </w:p>
        </w:tc>
        <w:tc>
          <w:tcPr>
            <w:tcW w:w="2340" w:type="dxa"/>
            <w:tcBorders>
              <w:tl2br w:val="nil"/>
              <w:tr2bl w:val="nil"/>
            </w:tcBorders>
            <w:shd w:val="clear" w:color="auto" w:fill="auto"/>
            <w:noWrap/>
            <w:vAlign w:val="center"/>
          </w:tcPr>
          <w:p w14:paraId="21DDCAA3">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网络插座</w:t>
            </w:r>
          </w:p>
        </w:tc>
        <w:tc>
          <w:tcPr>
            <w:tcW w:w="4607" w:type="dxa"/>
            <w:tcBorders>
              <w:tl2br w:val="nil"/>
              <w:tr2bl w:val="nil"/>
            </w:tcBorders>
            <w:shd w:val="clear" w:color="auto" w:fill="auto"/>
            <w:noWrap/>
            <w:vAlign w:val="center"/>
          </w:tcPr>
          <w:p w14:paraId="49D6473C">
            <w:pPr>
              <w:keepNext w:val="0"/>
              <w:keepLines w:val="0"/>
              <w:widowControl/>
              <w:numPr>
                <w:ilvl w:val="0"/>
                <w:numId w:val="14"/>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名称:网络墙面插座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2、材质:塑料、阻燃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3、安装方式:暗装</w:t>
            </w:r>
          </w:p>
          <w:p w14:paraId="73C7237D">
            <w:pPr>
              <w:pStyle w:val="2"/>
              <w:numPr>
                <w:ilvl w:val="0"/>
                <w:numId w:val="0"/>
              </w:numPr>
              <w:rPr>
                <w:rFonts w:hint="eastAsia"/>
                <w:color w:val="000000" w:themeColor="text1"/>
                <w14:textFill>
                  <w14:solidFill>
                    <w14:schemeClr w14:val="tx1"/>
                  </w14:solidFill>
                </w14:textFill>
              </w:rPr>
            </w:pPr>
            <w:r>
              <w:rPr>
                <w:rFonts w:hint="eastAsia" w:cs="宋体"/>
                <w:i w:val="0"/>
                <w:iCs w:val="0"/>
                <w:color w:val="000000" w:themeColor="text1"/>
                <w:kern w:val="0"/>
                <w:sz w:val="21"/>
                <w:szCs w:val="21"/>
                <w:highlight w:val="none"/>
                <w:u w:val="none"/>
                <w:lang w:val="en-US" w:eastAsia="zh-CN" w:bidi="ar"/>
                <w14:textFill>
                  <w14:solidFill>
                    <w14:schemeClr w14:val="tx1"/>
                  </w14:solidFill>
                </w14:textFill>
              </w:rPr>
              <w:t>4、备注：正泰、飞雕、西蒙</w:t>
            </w:r>
          </w:p>
        </w:tc>
        <w:tc>
          <w:tcPr>
            <w:tcW w:w="853" w:type="dxa"/>
            <w:tcBorders>
              <w:tl2br w:val="nil"/>
              <w:tr2bl w:val="nil"/>
            </w:tcBorders>
            <w:shd w:val="clear" w:color="auto" w:fill="auto"/>
            <w:noWrap/>
            <w:vAlign w:val="center"/>
          </w:tcPr>
          <w:p w14:paraId="5E44B4D9">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321" w:type="dxa"/>
            <w:tcBorders>
              <w:tl2br w:val="nil"/>
              <w:tr2bl w:val="nil"/>
            </w:tcBorders>
            <w:shd w:val="clear" w:color="auto" w:fill="auto"/>
            <w:noWrap/>
            <w:vAlign w:val="center"/>
          </w:tcPr>
          <w:p w14:paraId="57E59811">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444" w:type="dxa"/>
            <w:tcBorders>
              <w:tl2br w:val="nil"/>
              <w:tr2bl w:val="nil"/>
            </w:tcBorders>
            <w:shd w:val="clear" w:color="auto" w:fill="auto"/>
            <w:noWrap/>
            <w:vAlign w:val="center"/>
          </w:tcPr>
          <w:p w14:paraId="0D004C1D">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834" w:type="dxa"/>
            <w:tcBorders>
              <w:tl2br w:val="nil"/>
              <w:tr2bl w:val="nil"/>
            </w:tcBorders>
            <w:shd w:val="clear" w:color="auto" w:fill="auto"/>
            <w:noWrap/>
            <w:vAlign w:val="center"/>
          </w:tcPr>
          <w:p w14:paraId="65C660FA">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4393C2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93" w:hRule="atLeast"/>
        </w:trPr>
        <w:tc>
          <w:tcPr>
            <w:tcW w:w="972" w:type="dxa"/>
            <w:tcBorders>
              <w:tl2br w:val="nil"/>
              <w:tr2bl w:val="nil"/>
            </w:tcBorders>
            <w:shd w:val="clear" w:color="auto" w:fill="auto"/>
            <w:vAlign w:val="center"/>
          </w:tcPr>
          <w:p w14:paraId="2FF4CF36">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2340" w:type="dxa"/>
            <w:tcBorders>
              <w:tl2br w:val="nil"/>
              <w:tr2bl w:val="nil"/>
            </w:tcBorders>
            <w:shd w:val="clear" w:color="auto" w:fill="auto"/>
            <w:vAlign w:val="center"/>
          </w:tcPr>
          <w:p w14:paraId="23F91D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五孔铜地插</w:t>
            </w:r>
          </w:p>
        </w:tc>
        <w:tc>
          <w:tcPr>
            <w:tcW w:w="4607" w:type="dxa"/>
            <w:tcBorders>
              <w:tl2br w:val="nil"/>
              <w:tr2bl w:val="nil"/>
            </w:tcBorders>
            <w:shd w:val="clear" w:color="auto" w:fill="auto"/>
            <w:vAlign w:val="center"/>
          </w:tcPr>
          <w:p w14:paraId="7F51A830">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1、名称:五孔铜地插  （TCL、嘉美、欧普）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2、材质:塑料、阻燃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3、安装方式:暗装</w:t>
            </w:r>
          </w:p>
        </w:tc>
        <w:tc>
          <w:tcPr>
            <w:tcW w:w="853" w:type="dxa"/>
            <w:tcBorders>
              <w:tl2br w:val="nil"/>
              <w:tr2bl w:val="nil"/>
            </w:tcBorders>
            <w:shd w:val="clear" w:color="auto" w:fill="auto"/>
            <w:vAlign w:val="center"/>
          </w:tcPr>
          <w:p w14:paraId="2DA1166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321" w:type="dxa"/>
            <w:tcBorders>
              <w:tl2br w:val="nil"/>
              <w:tr2bl w:val="nil"/>
            </w:tcBorders>
            <w:shd w:val="clear" w:color="auto" w:fill="auto"/>
            <w:vAlign w:val="center"/>
          </w:tcPr>
          <w:p w14:paraId="58F174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1444" w:type="dxa"/>
            <w:tcBorders>
              <w:tl2br w:val="nil"/>
              <w:tr2bl w:val="nil"/>
            </w:tcBorders>
            <w:shd w:val="clear" w:color="auto" w:fill="auto"/>
            <w:vAlign w:val="center"/>
          </w:tcPr>
          <w:p w14:paraId="0E9AB5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51A9ED3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5378F0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86" w:hRule="atLeast"/>
        </w:trPr>
        <w:tc>
          <w:tcPr>
            <w:tcW w:w="972" w:type="dxa"/>
            <w:tcBorders>
              <w:tl2br w:val="nil"/>
              <w:tr2bl w:val="nil"/>
            </w:tcBorders>
            <w:shd w:val="clear" w:color="auto" w:fill="auto"/>
            <w:vAlign w:val="center"/>
          </w:tcPr>
          <w:p w14:paraId="3875D4BB">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w:t>
            </w:r>
          </w:p>
        </w:tc>
        <w:tc>
          <w:tcPr>
            <w:tcW w:w="2340" w:type="dxa"/>
            <w:tcBorders>
              <w:tl2br w:val="nil"/>
              <w:tr2bl w:val="nil"/>
            </w:tcBorders>
            <w:shd w:val="clear" w:color="auto" w:fill="auto"/>
            <w:vAlign w:val="center"/>
          </w:tcPr>
          <w:p w14:paraId="600FCF0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网络铜地插</w:t>
            </w:r>
          </w:p>
        </w:tc>
        <w:tc>
          <w:tcPr>
            <w:tcW w:w="4607" w:type="dxa"/>
            <w:tcBorders>
              <w:tl2br w:val="nil"/>
              <w:tr2bl w:val="nil"/>
            </w:tcBorders>
            <w:shd w:val="clear" w:color="auto" w:fill="auto"/>
            <w:vAlign w:val="center"/>
          </w:tcPr>
          <w:p w14:paraId="1643AE2D">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1、名称:网络双孔铜地插  （TCL、嘉美、欧普）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2、材质:塑料、阻燃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3、安装方式:暗装</w:t>
            </w:r>
          </w:p>
        </w:tc>
        <w:tc>
          <w:tcPr>
            <w:tcW w:w="853" w:type="dxa"/>
            <w:tcBorders>
              <w:tl2br w:val="nil"/>
              <w:tr2bl w:val="nil"/>
            </w:tcBorders>
            <w:shd w:val="clear" w:color="auto" w:fill="auto"/>
            <w:vAlign w:val="center"/>
          </w:tcPr>
          <w:p w14:paraId="6CA22F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321" w:type="dxa"/>
            <w:tcBorders>
              <w:tl2br w:val="nil"/>
              <w:tr2bl w:val="nil"/>
            </w:tcBorders>
            <w:shd w:val="clear" w:color="auto" w:fill="auto"/>
            <w:vAlign w:val="center"/>
          </w:tcPr>
          <w:p w14:paraId="16CED2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444" w:type="dxa"/>
            <w:tcBorders>
              <w:tl2br w:val="nil"/>
              <w:tr2bl w:val="nil"/>
            </w:tcBorders>
            <w:shd w:val="clear" w:color="auto" w:fill="auto"/>
            <w:vAlign w:val="center"/>
          </w:tcPr>
          <w:p w14:paraId="524E7F9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301F55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3C0FFF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500" w:hRule="atLeast"/>
        </w:trPr>
        <w:tc>
          <w:tcPr>
            <w:tcW w:w="972" w:type="dxa"/>
            <w:tcBorders>
              <w:tl2br w:val="nil"/>
              <w:tr2bl w:val="nil"/>
            </w:tcBorders>
            <w:shd w:val="clear" w:color="auto" w:fill="auto"/>
            <w:vAlign w:val="center"/>
          </w:tcPr>
          <w:p w14:paraId="7DD804D8">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w:t>
            </w:r>
          </w:p>
        </w:tc>
        <w:tc>
          <w:tcPr>
            <w:tcW w:w="2340" w:type="dxa"/>
            <w:tcBorders>
              <w:tl2br w:val="nil"/>
              <w:tr2bl w:val="nil"/>
            </w:tcBorders>
            <w:shd w:val="clear" w:color="auto" w:fill="auto"/>
            <w:vAlign w:val="center"/>
          </w:tcPr>
          <w:p w14:paraId="1C0665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接线盒、开关盒</w:t>
            </w:r>
          </w:p>
        </w:tc>
        <w:tc>
          <w:tcPr>
            <w:tcW w:w="4607" w:type="dxa"/>
            <w:tcBorders>
              <w:tl2br w:val="nil"/>
              <w:tr2bl w:val="nil"/>
            </w:tcBorders>
            <w:shd w:val="clear" w:color="auto" w:fill="auto"/>
            <w:vAlign w:val="center"/>
          </w:tcPr>
          <w:p w14:paraId="2AD47EC1">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1、名称:接线盒、开关盒</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2、材质:塑料</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3、规格:86型</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4、安装形式:暗配</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5、考虑线盒开洞修复等费用</w:t>
            </w:r>
          </w:p>
        </w:tc>
        <w:tc>
          <w:tcPr>
            <w:tcW w:w="853" w:type="dxa"/>
            <w:tcBorders>
              <w:tl2br w:val="nil"/>
              <w:tr2bl w:val="nil"/>
            </w:tcBorders>
            <w:shd w:val="clear" w:color="auto" w:fill="auto"/>
            <w:vAlign w:val="center"/>
          </w:tcPr>
          <w:p w14:paraId="00F939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321" w:type="dxa"/>
            <w:tcBorders>
              <w:tl2br w:val="nil"/>
              <w:tr2bl w:val="nil"/>
            </w:tcBorders>
            <w:shd w:val="clear" w:color="auto" w:fill="auto"/>
            <w:noWrap/>
            <w:vAlign w:val="center"/>
          </w:tcPr>
          <w:p w14:paraId="3BDD30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80</w:t>
            </w:r>
          </w:p>
        </w:tc>
        <w:tc>
          <w:tcPr>
            <w:tcW w:w="1444" w:type="dxa"/>
            <w:tcBorders>
              <w:tl2br w:val="nil"/>
              <w:tr2bl w:val="nil"/>
            </w:tcBorders>
            <w:shd w:val="clear" w:color="auto" w:fill="auto"/>
            <w:noWrap/>
            <w:vAlign w:val="center"/>
          </w:tcPr>
          <w:p w14:paraId="3F3AB0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29BB9B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1CCE70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00" w:hRule="atLeast"/>
        </w:trPr>
        <w:tc>
          <w:tcPr>
            <w:tcW w:w="972" w:type="dxa"/>
            <w:tcBorders>
              <w:tl2br w:val="nil"/>
              <w:tr2bl w:val="nil"/>
            </w:tcBorders>
            <w:shd w:val="clear" w:color="auto" w:fill="auto"/>
            <w:vAlign w:val="center"/>
          </w:tcPr>
          <w:p w14:paraId="41C5E877">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w:t>
            </w:r>
          </w:p>
        </w:tc>
        <w:tc>
          <w:tcPr>
            <w:tcW w:w="2340" w:type="dxa"/>
            <w:tcBorders>
              <w:tl2br w:val="nil"/>
              <w:tr2bl w:val="nil"/>
            </w:tcBorders>
            <w:shd w:val="clear" w:color="auto" w:fill="auto"/>
            <w:vAlign w:val="center"/>
          </w:tcPr>
          <w:p w14:paraId="49C783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脚手架</w:t>
            </w:r>
          </w:p>
        </w:tc>
        <w:tc>
          <w:tcPr>
            <w:tcW w:w="4607" w:type="dxa"/>
            <w:tcBorders>
              <w:tl2br w:val="nil"/>
              <w:tr2bl w:val="nil"/>
            </w:tcBorders>
            <w:shd w:val="clear" w:color="auto" w:fill="auto"/>
            <w:vAlign w:val="center"/>
          </w:tcPr>
          <w:p w14:paraId="33671ABC">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1、名称:脚手架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2、该项包死、结算时不调整</w:t>
            </w:r>
          </w:p>
        </w:tc>
        <w:tc>
          <w:tcPr>
            <w:tcW w:w="853" w:type="dxa"/>
            <w:tcBorders>
              <w:tl2br w:val="nil"/>
              <w:tr2bl w:val="nil"/>
            </w:tcBorders>
            <w:shd w:val="clear" w:color="auto" w:fill="auto"/>
            <w:noWrap/>
            <w:vAlign w:val="center"/>
          </w:tcPr>
          <w:p w14:paraId="3DDCC8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1321" w:type="dxa"/>
            <w:tcBorders>
              <w:tl2br w:val="nil"/>
              <w:tr2bl w:val="nil"/>
            </w:tcBorders>
            <w:shd w:val="clear" w:color="auto" w:fill="auto"/>
            <w:noWrap/>
            <w:vAlign w:val="center"/>
          </w:tcPr>
          <w:p w14:paraId="0D0BF9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444" w:type="dxa"/>
            <w:tcBorders>
              <w:tl2br w:val="nil"/>
              <w:tr2bl w:val="nil"/>
            </w:tcBorders>
            <w:shd w:val="clear" w:color="auto" w:fill="auto"/>
            <w:noWrap/>
            <w:vAlign w:val="center"/>
          </w:tcPr>
          <w:p w14:paraId="11BB039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4C25DFB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03F609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230" w:hRule="atLeast"/>
        </w:trPr>
        <w:tc>
          <w:tcPr>
            <w:tcW w:w="972" w:type="dxa"/>
            <w:tcBorders>
              <w:tl2br w:val="nil"/>
              <w:tr2bl w:val="nil"/>
            </w:tcBorders>
            <w:shd w:val="clear" w:color="auto" w:fill="auto"/>
            <w:vAlign w:val="center"/>
          </w:tcPr>
          <w:p w14:paraId="48DA08C0">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w:t>
            </w:r>
          </w:p>
        </w:tc>
        <w:tc>
          <w:tcPr>
            <w:tcW w:w="2340" w:type="dxa"/>
            <w:tcBorders>
              <w:tl2br w:val="nil"/>
              <w:tr2bl w:val="nil"/>
            </w:tcBorders>
            <w:shd w:val="clear" w:color="auto" w:fill="auto"/>
            <w:vAlign w:val="center"/>
          </w:tcPr>
          <w:p w14:paraId="6E27AF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其他</w:t>
            </w:r>
          </w:p>
        </w:tc>
        <w:tc>
          <w:tcPr>
            <w:tcW w:w="4607" w:type="dxa"/>
            <w:tcBorders>
              <w:tl2br w:val="nil"/>
              <w:tr2bl w:val="nil"/>
            </w:tcBorders>
            <w:shd w:val="clear" w:color="auto" w:fill="auto"/>
            <w:noWrap/>
            <w:vAlign w:val="center"/>
          </w:tcPr>
          <w:p w14:paraId="4B733FDB">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其他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1、原有电气、消防、其他安装设备按照现有设计拆除整改、防护封堵，凿补墙槽及墙洞，调试运行、投标人认为完成该项内容所增加项，施工必须满足验收，所增加一切费用综合考虑（不含大型机器、设备拆除搬运）</w:t>
            </w:r>
          </w:p>
        </w:tc>
        <w:tc>
          <w:tcPr>
            <w:tcW w:w="853" w:type="dxa"/>
            <w:tcBorders>
              <w:tl2br w:val="nil"/>
              <w:tr2bl w:val="nil"/>
            </w:tcBorders>
            <w:shd w:val="clear" w:color="auto" w:fill="auto"/>
            <w:vAlign w:val="center"/>
          </w:tcPr>
          <w:p w14:paraId="5A1001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1321" w:type="dxa"/>
            <w:tcBorders>
              <w:tl2br w:val="nil"/>
              <w:tr2bl w:val="nil"/>
            </w:tcBorders>
            <w:shd w:val="clear" w:color="auto" w:fill="auto"/>
            <w:noWrap/>
            <w:vAlign w:val="center"/>
          </w:tcPr>
          <w:p w14:paraId="4735D0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444" w:type="dxa"/>
            <w:tcBorders>
              <w:tl2br w:val="nil"/>
              <w:tr2bl w:val="nil"/>
            </w:tcBorders>
            <w:shd w:val="clear" w:color="auto" w:fill="auto"/>
            <w:noWrap/>
            <w:vAlign w:val="center"/>
          </w:tcPr>
          <w:p w14:paraId="04AEEA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615E65C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2CF257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00" w:hRule="atLeast"/>
        </w:trPr>
        <w:tc>
          <w:tcPr>
            <w:tcW w:w="972" w:type="dxa"/>
            <w:tcBorders>
              <w:tl2br w:val="nil"/>
              <w:tr2bl w:val="nil"/>
            </w:tcBorders>
            <w:shd w:val="clear" w:color="auto" w:fill="auto"/>
            <w:vAlign w:val="center"/>
          </w:tcPr>
          <w:p w14:paraId="70BD247E">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29</w:t>
            </w:r>
          </w:p>
        </w:tc>
        <w:tc>
          <w:tcPr>
            <w:tcW w:w="2340" w:type="dxa"/>
            <w:tcBorders>
              <w:tl2br w:val="nil"/>
              <w:tr2bl w:val="nil"/>
            </w:tcBorders>
            <w:shd w:val="clear" w:color="auto" w:fill="auto"/>
            <w:vAlign w:val="center"/>
          </w:tcPr>
          <w:p w14:paraId="46582F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强弱电电路工资</w:t>
            </w:r>
          </w:p>
        </w:tc>
        <w:tc>
          <w:tcPr>
            <w:tcW w:w="4607" w:type="dxa"/>
            <w:tcBorders>
              <w:tl2br w:val="nil"/>
              <w:tr2bl w:val="nil"/>
            </w:tcBorders>
            <w:shd w:val="clear" w:color="auto" w:fill="auto"/>
            <w:vAlign w:val="center"/>
          </w:tcPr>
          <w:p w14:paraId="3C87EC7F">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强弱电电路工资 （安套内面积计价）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 配管、配线、上下水管、排水管、开关、灯具、桥架、电缆等所有工序（结合现场实际需要结合图纸施工）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2、备注:</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含</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电路配套辅材</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满足校方使用要求，符合验收规范的相关规定。</w:t>
            </w:r>
          </w:p>
        </w:tc>
        <w:tc>
          <w:tcPr>
            <w:tcW w:w="853" w:type="dxa"/>
            <w:tcBorders>
              <w:tl2br w:val="nil"/>
              <w:tr2bl w:val="nil"/>
            </w:tcBorders>
            <w:shd w:val="clear" w:color="auto" w:fill="auto"/>
            <w:vAlign w:val="center"/>
          </w:tcPr>
          <w:p w14:paraId="25AD287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1321" w:type="dxa"/>
            <w:tcBorders>
              <w:tl2br w:val="nil"/>
              <w:tr2bl w:val="nil"/>
            </w:tcBorders>
            <w:shd w:val="clear" w:color="auto" w:fill="auto"/>
            <w:noWrap/>
            <w:vAlign w:val="center"/>
          </w:tcPr>
          <w:p w14:paraId="729C96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303.5</w:t>
            </w:r>
          </w:p>
        </w:tc>
        <w:tc>
          <w:tcPr>
            <w:tcW w:w="1444" w:type="dxa"/>
            <w:tcBorders>
              <w:tl2br w:val="nil"/>
              <w:tr2bl w:val="nil"/>
            </w:tcBorders>
            <w:shd w:val="clear" w:color="auto" w:fill="auto"/>
            <w:noWrap/>
            <w:vAlign w:val="center"/>
          </w:tcPr>
          <w:p w14:paraId="73A5BAB4">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eastAsia="zh-CN"/>
                <w14:textFill>
                  <w14:solidFill>
                    <w14:schemeClr w14:val="tx1"/>
                  </w14:solidFill>
                </w14:textFill>
              </w:rPr>
            </w:pPr>
          </w:p>
        </w:tc>
        <w:tc>
          <w:tcPr>
            <w:tcW w:w="1834" w:type="dxa"/>
            <w:tcBorders>
              <w:tl2br w:val="nil"/>
              <w:tr2bl w:val="nil"/>
            </w:tcBorders>
            <w:shd w:val="clear" w:color="auto" w:fill="auto"/>
            <w:vAlign w:val="center"/>
          </w:tcPr>
          <w:p w14:paraId="5ADA8057">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p>
        </w:tc>
      </w:tr>
      <w:tr w14:paraId="5225E7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55" w:hRule="atLeast"/>
        </w:trPr>
        <w:tc>
          <w:tcPr>
            <w:tcW w:w="972" w:type="dxa"/>
            <w:tcBorders>
              <w:tl2br w:val="nil"/>
              <w:tr2bl w:val="nil"/>
            </w:tcBorders>
            <w:shd w:val="clear" w:color="auto" w:fill="auto"/>
            <w:vAlign w:val="center"/>
          </w:tcPr>
          <w:p w14:paraId="08FB3246">
            <w:pPr>
              <w:keepNext w:val="0"/>
              <w:keepLines w:val="0"/>
              <w:widowControl/>
              <w:suppressLineNumbers w:val="0"/>
              <w:jc w:val="center"/>
              <w:textAlignment w:val="center"/>
              <w:rPr>
                <w:rFonts w:hint="eastAsia" w:ascii="微软雅黑" w:hAnsi="微软雅黑" w:eastAsia="微软雅黑" w:cs="微软雅黑"/>
                <w:b/>
                <w:bCs/>
                <w:i w:val="0"/>
                <w:iCs w:val="0"/>
                <w:color w:val="000000" w:themeColor="text1"/>
                <w:sz w:val="24"/>
                <w:szCs w:val="24"/>
                <w:highlight w:val="none"/>
                <w:u w:val="none"/>
                <w:lang w:val="en-US"/>
                <w14:textFill>
                  <w14:solidFill>
                    <w14:schemeClr w14:val="tx1"/>
                  </w14:solidFill>
                </w14:textFill>
              </w:rPr>
            </w:pPr>
            <w:r>
              <w:rPr>
                <w:rFonts w:hint="eastAsia" w:ascii="微软雅黑" w:hAnsi="微软雅黑" w:eastAsia="微软雅黑" w:cs="微软雅黑"/>
                <w:b/>
                <w:bCs/>
                <w:i w:val="0"/>
                <w:iCs w:val="0"/>
                <w:color w:val="000000" w:themeColor="text1"/>
                <w:kern w:val="0"/>
                <w:sz w:val="24"/>
                <w:szCs w:val="24"/>
                <w:highlight w:val="none"/>
                <w:u w:val="none"/>
                <w:lang w:val="en-US" w:eastAsia="zh-CN" w:bidi="ar"/>
                <w14:textFill>
                  <w14:solidFill>
                    <w14:schemeClr w14:val="tx1"/>
                  </w14:solidFill>
                </w14:textFill>
              </w:rPr>
              <w:t>（三）</w:t>
            </w:r>
          </w:p>
        </w:tc>
        <w:tc>
          <w:tcPr>
            <w:tcW w:w="6947" w:type="dxa"/>
            <w:gridSpan w:val="2"/>
            <w:tcBorders>
              <w:tl2br w:val="nil"/>
              <w:tr2bl w:val="nil"/>
            </w:tcBorders>
            <w:shd w:val="clear" w:color="auto" w:fill="auto"/>
            <w:noWrap/>
            <w:vAlign w:val="center"/>
          </w:tcPr>
          <w:p w14:paraId="4311DC8A">
            <w:pPr>
              <w:jc w:val="left"/>
              <w:rPr>
                <w:rFonts w:hint="eastAsia" w:ascii="微软雅黑" w:hAnsi="微软雅黑" w:eastAsia="微软雅黑" w:cs="微软雅黑"/>
                <w:b/>
                <w:bCs/>
                <w:i w:val="0"/>
                <w:iCs w:val="0"/>
                <w:color w:val="000000" w:themeColor="text1"/>
                <w:sz w:val="24"/>
                <w:szCs w:val="24"/>
                <w:highlight w:val="none"/>
                <w:u w:val="none"/>
                <w:lang w:val="en-US"/>
                <w14:textFill>
                  <w14:solidFill>
                    <w14:schemeClr w14:val="tx1"/>
                  </w14:solidFill>
                </w14:textFill>
              </w:rPr>
            </w:pPr>
            <w:r>
              <w:rPr>
                <w:rFonts w:hint="eastAsia" w:ascii="微软雅黑" w:hAnsi="微软雅黑" w:eastAsia="微软雅黑" w:cs="微软雅黑"/>
                <w:b/>
                <w:bCs/>
                <w:i w:val="0"/>
                <w:iCs w:val="0"/>
                <w:color w:val="000000" w:themeColor="text1"/>
                <w:sz w:val="24"/>
                <w:szCs w:val="24"/>
                <w:highlight w:val="none"/>
                <w:u w:val="none"/>
                <w:lang w:val="en-US" w:eastAsia="zh-CN"/>
                <w14:textFill>
                  <w14:solidFill>
                    <w14:schemeClr w14:val="tx1"/>
                  </w14:solidFill>
                </w14:textFill>
              </w:rPr>
              <w:t>设计部分</w:t>
            </w:r>
          </w:p>
        </w:tc>
        <w:tc>
          <w:tcPr>
            <w:tcW w:w="853" w:type="dxa"/>
            <w:tcBorders>
              <w:tl2br w:val="nil"/>
              <w:tr2bl w:val="nil"/>
            </w:tcBorders>
            <w:shd w:val="clear" w:color="auto" w:fill="auto"/>
            <w:noWrap/>
            <w:vAlign w:val="center"/>
          </w:tcPr>
          <w:p w14:paraId="6065116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21" w:type="dxa"/>
            <w:tcBorders>
              <w:tl2br w:val="nil"/>
              <w:tr2bl w:val="nil"/>
            </w:tcBorders>
            <w:shd w:val="clear" w:color="auto" w:fill="auto"/>
            <w:noWrap/>
            <w:vAlign w:val="center"/>
          </w:tcPr>
          <w:p w14:paraId="2A019FC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44" w:type="dxa"/>
            <w:tcBorders>
              <w:tl2br w:val="nil"/>
              <w:tr2bl w:val="nil"/>
            </w:tcBorders>
            <w:shd w:val="clear" w:color="auto" w:fill="auto"/>
            <w:noWrap/>
            <w:vAlign w:val="center"/>
          </w:tcPr>
          <w:p w14:paraId="34CD5A1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3DD030B3">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p>
        </w:tc>
      </w:tr>
      <w:tr w14:paraId="5B5D18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00" w:hRule="atLeast"/>
        </w:trPr>
        <w:tc>
          <w:tcPr>
            <w:tcW w:w="972" w:type="dxa"/>
            <w:tcBorders>
              <w:tl2br w:val="nil"/>
              <w:tr2bl w:val="nil"/>
            </w:tcBorders>
            <w:shd w:val="clear" w:color="auto" w:fill="auto"/>
            <w:vAlign w:val="center"/>
          </w:tcPr>
          <w:p w14:paraId="08A3B572">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2340" w:type="dxa"/>
            <w:tcBorders>
              <w:tl2br w:val="nil"/>
              <w:tr2bl w:val="nil"/>
            </w:tcBorders>
            <w:shd w:val="clear" w:color="auto" w:fill="auto"/>
            <w:noWrap/>
            <w:vAlign w:val="center"/>
          </w:tcPr>
          <w:p w14:paraId="062689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设计费</w:t>
            </w:r>
          </w:p>
        </w:tc>
        <w:tc>
          <w:tcPr>
            <w:tcW w:w="4607" w:type="dxa"/>
            <w:tcBorders>
              <w:tl2br w:val="nil"/>
              <w:tr2bl w:val="nil"/>
            </w:tcBorders>
            <w:shd w:val="clear" w:color="auto" w:fill="auto"/>
            <w:noWrap/>
            <w:vAlign w:val="center"/>
          </w:tcPr>
          <w:p w14:paraId="6AE36A8F">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提供施工图、清单、跟踪服务、该项作为不可竞争费（不可调整），由中标单位工程验收合格后支付给设计单位。</w:t>
            </w:r>
          </w:p>
        </w:tc>
        <w:tc>
          <w:tcPr>
            <w:tcW w:w="853" w:type="dxa"/>
            <w:tcBorders>
              <w:tl2br w:val="nil"/>
              <w:tr2bl w:val="nil"/>
            </w:tcBorders>
            <w:shd w:val="clear" w:color="auto" w:fill="auto"/>
            <w:noWrap/>
            <w:vAlign w:val="center"/>
          </w:tcPr>
          <w:p w14:paraId="79B511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1321" w:type="dxa"/>
            <w:tcBorders>
              <w:tl2br w:val="nil"/>
              <w:tr2bl w:val="nil"/>
            </w:tcBorders>
            <w:shd w:val="clear" w:color="auto" w:fill="auto"/>
            <w:noWrap/>
            <w:vAlign w:val="center"/>
          </w:tcPr>
          <w:p w14:paraId="79F86C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444" w:type="dxa"/>
            <w:tcBorders>
              <w:tl2br w:val="nil"/>
              <w:tr2bl w:val="nil"/>
            </w:tcBorders>
            <w:shd w:val="clear" w:color="auto" w:fill="auto"/>
            <w:noWrap/>
            <w:vAlign w:val="center"/>
          </w:tcPr>
          <w:p w14:paraId="19894FE2">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400</w:t>
            </w:r>
          </w:p>
        </w:tc>
        <w:tc>
          <w:tcPr>
            <w:tcW w:w="1834" w:type="dxa"/>
            <w:tcBorders>
              <w:tl2br w:val="nil"/>
              <w:tr2bl w:val="nil"/>
            </w:tcBorders>
            <w:shd w:val="clear" w:color="auto" w:fill="auto"/>
            <w:vAlign w:val="center"/>
          </w:tcPr>
          <w:p w14:paraId="3388F7D8">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400</w:t>
            </w:r>
          </w:p>
        </w:tc>
      </w:tr>
      <w:tr w14:paraId="77E361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2" w:hRule="atLeast"/>
        </w:trPr>
        <w:tc>
          <w:tcPr>
            <w:tcW w:w="972" w:type="dxa"/>
            <w:tcBorders>
              <w:tl2br w:val="nil"/>
              <w:tr2bl w:val="nil"/>
            </w:tcBorders>
            <w:shd w:val="clear" w:color="auto" w:fill="auto"/>
            <w:vAlign w:val="center"/>
          </w:tcPr>
          <w:p w14:paraId="4FB0B460">
            <w:pPr>
              <w:jc w:val="left"/>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40" w:type="dxa"/>
            <w:tcBorders>
              <w:tl2br w:val="nil"/>
              <w:tr2bl w:val="nil"/>
            </w:tcBorders>
            <w:shd w:val="clear" w:color="auto" w:fill="auto"/>
            <w:noWrap/>
            <w:vAlign w:val="center"/>
          </w:tcPr>
          <w:p w14:paraId="459AEB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小计（元）</w:t>
            </w:r>
          </w:p>
        </w:tc>
        <w:tc>
          <w:tcPr>
            <w:tcW w:w="4607" w:type="dxa"/>
            <w:tcBorders>
              <w:tl2br w:val="nil"/>
              <w:tr2bl w:val="nil"/>
            </w:tcBorders>
            <w:shd w:val="clear" w:color="auto" w:fill="auto"/>
            <w:vAlign w:val="center"/>
          </w:tcPr>
          <w:p w14:paraId="76F551E8">
            <w:pPr>
              <w:jc w:val="left"/>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853" w:type="dxa"/>
            <w:tcBorders>
              <w:tl2br w:val="nil"/>
              <w:tr2bl w:val="nil"/>
            </w:tcBorders>
            <w:shd w:val="clear" w:color="auto" w:fill="auto"/>
            <w:noWrap/>
            <w:vAlign w:val="center"/>
          </w:tcPr>
          <w:p w14:paraId="23BAC8B7">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21" w:type="dxa"/>
            <w:tcBorders>
              <w:tl2br w:val="nil"/>
              <w:tr2bl w:val="nil"/>
            </w:tcBorders>
            <w:shd w:val="clear" w:color="auto" w:fill="auto"/>
            <w:noWrap/>
            <w:vAlign w:val="center"/>
          </w:tcPr>
          <w:p w14:paraId="0D63752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44" w:type="dxa"/>
            <w:tcBorders>
              <w:tl2br w:val="nil"/>
              <w:tr2bl w:val="nil"/>
            </w:tcBorders>
            <w:shd w:val="clear" w:color="auto" w:fill="auto"/>
            <w:noWrap/>
            <w:vAlign w:val="center"/>
          </w:tcPr>
          <w:p w14:paraId="3D374F0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1030BFA4">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p>
        </w:tc>
      </w:tr>
      <w:tr w14:paraId="4C793D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2" w:hRule="atLeast"/>
        </w:trPr>
        <w:tc>
          <w:tcPr>
            <w:tcW w:w="13371" w:type="dxa"/>
            <w:gridSpan w:val="7"/>
            <w:tcBorders>
              <w:tl2br w:val="nil"/>
              <w:tr2bl w:val="nil"/>
            </w:tcBorders>
            <w:shd w:val="clear" w:color="auto" w:fill="E7E6E6"/>
            <w:vAlign w:val="center"/>
          </w:tcPr>
          <w:p w14:paraId="74C6F23C">
            <w:pPr>
              <w:keepNext w:val="0"/>
              <w:keepLines w:val="0"/>
              <w:widowControl/>
              <w:suppressLineNumbers w:val="0"/>
              <w:jc w:val="both"/>
              <w:textAlignment w:val="center"/>
              <w:rPr>
                <w:rFonts w:hint="default"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微软雅黑" w:hAnsi="微软雅黑" w:eastAsia="微软雅黑" w:cs="微软雅黑"/>
                <w:b/>
                <w:bCs/>
                <w:i w:val="0"/>
                <w:iCs w:val="0"/>
                <w:color w:val="000000" w:themeColor="text1"/>
                <w:sz w:val="24"/>
                <w:szCs w:val="24"/>
                <w:highlight w:val="none"/>
                <w:u w:val="none"/>
                <w:lang w:val="en-US" w:eastAsia="zh-CN"/>
                <w14:textFill>
                  <w14:solidFill>
                    <w14:schemeClr w14:val="tx1"/>
                  </w14:solidFill>
                </w14:textFill>
              </w:rPr>
              <w:t>二、汽车与交通学院实训室改造</w:t>
            </w:r>
          </w:p>
        </w:tc>
      </w:tr>
      <w:tr w14:paraId="0CC304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2" w:hRule="atLeast"/>
        </w:trPr>
        <w:tc>
          <w:tcPr>
            <w:tcW w:w="972" w:type="dxa"/>
            <w:tcBorders>
              <w:tl2br w:val="nil"/>
              <w:tr2bl w:val="nil"/>
            </w:tcBorders>
            <w:shd w:val="clear" w:color="auto" w:fill="auto"/>
            <w:vAlign w:val="center"/>
          </w:tcPr>
          <w:p w14:paraId="2A225F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微软雅黑" w:hAnsi="微软雅黑" w:eastAsia="微软雅黑" w:cs="微软雅黑"/>
                <w:b/>
                <w:bCs/>
                <w:i w:val="0"/>
                <w:iCs w:val="0"/>
                <w:color w:val="000000" w:themeColor="text1"/>
                <w:kern w:val="0"/>
                <w:sz w:val="24"/>
                <w:szCs w:val="24"/>
                <w:highlight w:val="none"/>
                <w:u w:val="none"/>
                <w:lang w:val="en-US" w:eastAsia="zh-CN" w:bidi="ar"/>
                <w14:textFill>
                  <w14:solidFill>
                    <w14:schemeClr w14:val="tx1"/>
                  </w14:solidFill>
                </w14:textFill>
              </w:rPr>
              <w:t>（一）</w:t>
            </w:r>
          </w:p>
        </w:tc>
        <w:tc>
          <w:tcPr>
            <w:tcW w:w="6947" w:type="dxa"/>
            <w:gridSpan w:val="2"/>
            <w:tcBorders>
              <w:tl2br w:val="nil"/>
              <w:tr2bl w:val="nil"/>
            </w:tcBorders>
            <w:shd w:val="clear" w:color="auto" w:fill="auto"/>
            <w:noWrap/>
            <w:vAlign w:val="center"/>
          </w:tcPr>
          <w:p w14:paraId="7EF04077">
            <w:pPr>
              <w:jc w:val="both"/>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微软雅黑" w:hAnsi="微软雅黑" w:eastAsia="微软雅黑" w:cs="微软雅黑"/>
                <w:b/>
                <w:bCs/>
                <w:i w:val="0"/>
                <w:iCs w:val="0"/>
                <w:color w:val="000000" w:themeColor="text1"/>
                <w:kern w:val="0"/>
                <w:sz w:val="24"/>
                <w:szCs w:val="24"/>
                <w:highlight w:val="none"/>
                <w:u w:val="none"/>
                <w:lang w:val="en-US" w:eastAsia="zh-CN" w:bidi="ar"/>
                <w14:textFill>
                  <w14:solidFill>
                    <w14:schemeClr w14:val="tx1"/>
                  </w14:solidFill>
                </w14:textFill>
              </w:rPr>
              <w:t>装饰部分</w:t>
            </w:r>
          </w:p>
        </w:tc>
        <w:tc>
          <w:tcPr>
            <w:tcW w:w="853" w:type="dxa"/>
            <w:tcBorders>
              <w:tl2br w:val="nil"/>
              <w:tr2bl w:val="nil"/>
            </w:tcBorders>
            <w:shd w:val="clear" w:color="auto" w:fill="auto"/>
            <w:noWrap/>
            <w:vAlign w:val="center"/>
          </w:tcPr>
          <w:p w14:paraId="5292AD2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21" w:type="dxa"/>
            <w:tcBorders>
              <w:tl2br w:val="nil"/>
              <w:tr2bl w:val="nil"/>
            </w:tcBorders>
            <w:shd w:val="clear" w:color="auto" w:fill="auto"/>
            <w:noWrap/>
            <w:vAlign w:val="center"/>
          </w:tcPr>
          <w:p w14:paraId="007E7F7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44" w:type="dxa"/>
            <w:tcBorders>
              <w:tl2br w:val="nil"/>
              <w:tr2bl w:val="nil"/>
            </w:tcBorders>
            <w:shd w:val="clear" w:color="auto" w:fill="auto"/>
            <w:noWrap/>
            <w:vAlign w:val="center"/>
          </w:tcPr>
          <w:p w14:paraId="7DB2C6E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112393C3">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p>
        </w:tc>
      </w:tr>
      <w:tr w14:paraId="5B41DB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2" w:hRule="atLeast"/>
        </w:trPr>
        <w:tc>
          <w:tcPr>
            <w:tcW w:w="972" w:type="dxa"/>
            <w:tcBorders>
              <w:tl2br w:val="nil"/>
              <w:tr2bl w:val="nil"/>
            </w:tcBorders>
            <w:shd w:val="clear" w:color="auto" w:fill="auto"/>
            <w:vAlign w:val="center"/>
          </w:tcPr>
          <w:p w14:paraId="5062C828">
            <w:pPr>
              <w:keepNext w:val="0"/>
              <w:keepLines w:val="0"/>
              <w:widowControl/>
              <w:suppressLineNumbers w:val="0"/>
              <w:ind w:firstLine="210" w:firstLineChars="10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2340" w:type="dxa"/>
            <w:tcBorders>
              <w:tl2br w:val="nil"/>
              <w:tr2bl w:val="nil"/>
            </w:tcBorders>
            <w:shd w:val="clear" w:color="auto" w:fill="auto"/>
            <w:noWrap/>
            <w:vAlign w:val="center"/>
          </w:tcPr>
          <w:p w14:paraId="59AE9AB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拆除隔墙</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等其他工程量</w:t>
            </w:r>
          </w:p>
        </w:tc>
        <w:tc>
          <w:tcPr>
            <w:tcW w:w="4607" w:type="dxa"/>
            <w:tcBorders>
              <w:tl2br w:val="nil"/>
              <w:tr2bl w:val="nil"/>
            </w:tcBorders>
            <w:shd w:val="clear" w:color="auto" w:fill="auto"/>
            <w:vAlign w:val="center"/>
          </w:tcPr>
          <w:p w14:paraId="748A0652">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拆除墙体、原脚线、</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顶部灯具等本项目所有需拆除全部工程量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1、凡涉及本次施工范围内须拆除部位的全部工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作内容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2、投标人自行勘察现场，根据现场实际情况结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合设计图纸，综合考虑本项目涉及的所有拆除费用及墙体拆除后侧边修补、地面修补费用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3、墙体高度</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约</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3.96米，</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长度约50米（具体以测量为准），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拆除时需谨慎拆除，非拆除部分不得损坏，否则需赔偿、修复</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、该综合单价中包含垃圾打扫、清理、运力及外运等费用，自行考虑。</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、该费用包干使用，结算时不调整。</w:t>
            </w:r>
          </w:p>
        </w:tc>
        <w:tc>
          <w:tcPr>
            <w:tcW w:w="853" w:type="dxa"/>
            <w:tcBorders>
              <w:tl2br w:val="nil"/>
              <w:tr2bl w:val="nil"/>
            </w:tcBorders>
            <w:shd w:val="clear" w:color="auto" w:fill="auto"/>
            <w:noWrap/>
            <w:vAlign w:val="center"/>
          </w:tcPr>
          <w:p w14:paraId="43125B2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1321" w:type="dxa"/>
            <w:tcBorders>
              <w:tl2br w:val="nil"/>
              <w:tr2bl w:val="nil"/>
            </w:tcBorders>
            <w:shd w:val="clear" w:color="auto" w:fill="auto"/>
            <w:noWrap/>
            <w:vAlign w:val="center"/>
          </w:tcPr>
          <w:p w14:paraId="3E566C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444" w:type="dxa"/>
            <w:tcBorders>
              <w:tl2br w:val="nil"/>
              <w:tr2bl w:val="nil"/>
            </w:tcBorders>
            <w:shd w:val="clear" w:color="auto" w:fill="auto"/>
            <w:noWrap/>
            <w:vAlign w:val="center"/>
          </w:tcPr>
          <w:p w14:paraId="7B8B22F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7242C2CA">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p>
        </w:tc>
      </w:tr>
      <w:tr w14:paraId="6DBEC7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2" w:hRule="atLeast"/>
        </w:trPr>
        <w:tc>
          <w:tcPr>
            <w:tcW w:w="972" w:type="dxa"/>
            <w:tcBorders>
              <w:tl2br w:val="nil"/>
              <w:tr2bl w:val="nil"/>
            </w:tcBorders>
            <w:shd w:val="clear" w:color="auto" w:fill="auto"/>
            <w:vAlign w:val="center"/>
          </w:tcPr>
          <w:p w14:paraId="2076054A">
            <w:pPr>
              <w:keepNext w:val="0"/>
              <w:keepLines w:val="0"/>
              <w:widowControl/>
              <w:suppressLineNumbers w:val="0"/>
              <w:ind w:firstLine="210" w:firstLineChars="10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2340" w:type="dxa"/>
            <w:tcBorders>
              <w:tl2br w:val="nil"/>
              <w:tr2bl w:val="nil"/>
            </w:tcBorders>
            <w:shd w:val="clear" w:color="auto" w:fill="auto"/>
            <w:noWrap/>
            <w:vAlign w:val="center"/>
          </w:tcPr>
          <w:p w14:paraId="0D8EF00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成品铝合金隔断</w:t>
            </w:r>
          </w:p>
        </w:tc>
        <w:tc>
          <w:tcPr>
            <w:tcW w:w="4607" w:type="dxa"/>
            <w:tcBorders>
              <w:tl2br w:val="nil"/>
              <w:tr2bl w:val="nil"/>
            </w:tcBorders>
            <w:shd w:val="clear" w:color="auto" w:fill="auto"/>
            <w:vAlign w:val="center"/>
          </w:tcPr>
          <w:p w14:paraId="22965F01">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6mm 钢化玻璃双层内置百叶窗帘；</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铝材规格 30mm*84mm，壁厚 1.4mm，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具体见现场和施工图。</w:t>
            </w:r>
          </w:p>
        </w:tc>
        <w:tc>
          <w:tcPr>
            <w:tcW w:w="853" w:type="dxa"/>
            <w:tcBorders>
              <w:tl2br w:val="nil"/>
              <w:tr2bl w:val="nil"/>
            </w:tcBorders>
            <w:shd w:val="clear" w:color="auto" w:fill="auto"/>
            <w:noWrap/>
            <w:vAlign w:val="center"/>
          </w:tcPr>
          <w:p w14:paraId="5A69D8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1321" w:type="dxa"/>
            <w:tcBorders>
              <w:tl2br w:val="nil"/>
              <w:tr2bl w:val="nil"/>
            </w:tcBorders>
            <w:shd w:val="clear" w:color="auto" w:fill="auto"/>
            <w:noWrap/>
            <w:vAlign w:val="center"/>
          </w:tcPr>
          <w:p w14:paraId="121B670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32.22</w:t>
            </w:r>
          </w:p>
        </w:tc>
        <w:tc>
          <w:tcPr>
            <w:tcW w:w="1444" w:type="dxa"/>
            <w:tcBorders>
              <w:tl2br w:val="nil"/>
              <w:tr2bl w:val="nil"/>
            </w:tcBorders>
            <w:shd w:val="clear" w:color="auto" w:fill="auto"/>
            <w:noWrap/>
            <w:vAlign w:val="center"/>
          </w:tcPr>
          <w:p w14:paraId="2BC02BE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492D3427">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p>
        </w:tc>
      </w:tr>
      <w:tr w14:paraId="2C9B91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2" w:hRule="atLeast"/>
        </w:trPr>
        <w:tc>
          <w:tcPr>
            <w:tcW w:w="972" w:type="dxa"/>
            <w:tcBorders>
              <w:tl2br w:val="nil"/>
              <w:tr2bl w:val="nil"/>
            </w:tcBorders>
            <w:shd w:val="clear" w:color="auto" w:fill="auto"/>
            <w:vAlign w:val="center"/>
          </w:tcPr>
          <w:p w14:paraId="48809C14">
            <w:pPr>
              <w:keepNext w:val="0"/>
              <w:keepLines w:val="0"/>
              <w:widowControl/>
              <w:suppressLineNumbers w:val="0"/>
              <w:ind w:firstLine="210" w:firstLineChars="10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2340" w:type="dxa"/>
            <w:tcBorders>
              <w:tl2br w:val="nil"/>
              <w:tr2bl w:val="nil"/>
            </w:tcBorders>
            <w:shd w:val="clear" w:color="auto" w:fill="auto"/>
            <w:noWrap/>
            <w:vAlign w:val="center"/>
          </w:tcPr>
          <w:p w14:paraId="668243D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PVC卷材</w:t>
            </w:r>
          </w:p>
        </w:tc>
        <w:tc>
          <w:tcPr>
            <w:tcW w:w="4607" w:type="dxa"/>
            <w:tcBorders>
              <w:tl2br w:val="nil"/>
              <w:tr2bl w:val="nil"/>
            </w:tcBorders>
            <w:shd w:val="clear" w:color="auto" w:fill="auto"/>
            <w:vAlign w:val="center"/>
          </w:tcPr>
          <w:p w14:paraId="47B9F11F">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地面局部</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整改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整平、自流平、2mm以上厚PVC卷材+人工+辅材及所有施工工艺（含打磨）</w:t>
            </w:r>
          </w:p>
        </w:tc>
        <w:tc>
          <w:tcPr>
            <w:tcW w:w="853" w:type="dxa"/>
            <w:tcBorders>
              <w:tl2br w:val="nil"/>
              <w:tr2bl w:val="nil"/>
            </w:tcBorders>
            <w:shd w:val="clear" w:color="auto" w:fill="auto"/>
            <w:noWrap/>
            <w:vAlign w:val="center"/>
          </w:tcPr>
          <w:p w14:paraId="064488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1321" w:type="dxa"/>
            <w:tcBorders>
              <w:tl2br w:val="nil"/>
              <w:tr2bl w:val="nil"/>
            </w:tcBorders>
            <w:shd w:val="clear" w:color="auto" w:fill="auto"/>
            <w:noWrap/>
            <w:vAlign w:val="center"/>
          </w:tcPr>
          <w:p w14:paraId="1B9053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477.81</w:t>
            </w:r>
          </w:p>
        </w:tc>
        <w:tc>
          <w:tcPr>
            <w:tcW w:w="1444" w:type="dxa"/>
            <w:tcBorders>
              <w:tl2br w:val="nil"/>
              <w:tr2bl w:val="nil"/>
            </w:tcBorders>
            <w:shd w:val="clear" w:color="auto" w:fill="auto"/>
            <w:noWrap/>
            <w:vAlign w:val="center"/>
          </w:tcPr>
          <w:p w14:paraId="7B11F57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6F4DD7CD">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p>
        </w:tc>
      </w:tr>
      <w:tr w14:paraId="439945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2" w:hRule="atLeast"/>
        </w:trPr>
        <w:tc>
          <w:tcPr>
            <w:tcW w:w="972" w:type="dxa"/>
            <w:tcBorders>
              <w:tl2br w:val="nil"/>
              <w:tr2bl w:val="nil"/>
            </w:tcBorders>
            <w:shd w:val="clear" w:color="auto" w:fill="auto"/>
            <w:vAlign w:val="center"/>
          </w:tcPr>
          <w:p w14:paraId="5316515E">
            <w:pPr>
              <w:keepNext w:val="0"/>
              <w:keepLines w:val="0"/>
              <w:widowControl/>
              <w:suppressLineNumbers w:val="0"/>
              <w:ind w:firstLine="210" w:firstLineChars="10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2340" w:type="dxa"/>
            <w:tcBorders>
              <w:tl2br w:val="nil"/>
              <w:tr2bl w:val="nil"/>
            </w:tcBorders>
            <w:shd w:val="clear" w:color="auto" w:fill="auto"/>
            <w:noWrap/>
            <w:vAlign w:val="center"/>
          </w:tcPr>
          <w:p w14:paraId="207F6DCA">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封隔断上口</w:t>
            </w:r>
          </w:p>
        </w:tc>
        <w:tc>
          <w:tcPr>
            <w:tcW w:w="4607" w:type="dxa"/>
            <w:tcBorders>
              <w:tl2br w:val="nil"/>
              <w:tr2bl w:val="nil"/>
            </w:tcBorders>
            <w:shd w:val="clear" w:color="auto" w:fill="auto"/>
            <w:vAlign w:val="center"/>
          </w:tcPr>
          <w:p w14:paraId="060073FA">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1、名称:封隔断上口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2、25*25*1.2方管钢骨架、九厘板、石膏板封面、批腻子二遍、乳胶漆二遍、所有五金、辅材及人工，具体做法详见图纸 （按展开面积计价）                   </w:t>
            </w:r>
          </w:p>
        </w:tc>
        <w:tc>
          <w:tcPr>
            <w:tcW w:w="853" w:type="dxa"/>
            <w:tcBorders>
              <w:tl2br w:val="nil"/>
              <w:tr2bl w:val="nil"/>
            </w:tcBorders>
            <w:shd w:val="clear" w:color="auto" w:fill="auto"/>
            <w:noWrap/>
            <w:vAlign w:val="center"/>
          </w:tcPr>
          <w:p w14:paraId="508801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1321" w:type="dxa"/>
            <w:tcBorders>
              <w:tl2br w:val="nil"/>
              <w:tr2bl w:val="nil"/>
            </w:tcBorders>
            <w:shd w:val="clear" w:color="auto" w:fill="auto"/>
            <w:noWrap/>
            <w:vAlign w:val="center"/>
          </w:tcPr>
          <w:p w14:paraId="2C66B50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71.38</w:t>
            </w:r>
          </w:p>
        </w:tc>
        <w:tc>
          <w:tcPr>
            <w:tcW w:w="1444" w:type="dxa"/>
            <w:tcBorders>
              <w:tl2br w:val="nil"/>
              <w:tr2bl w:val="nil"/>
            </w:tcBorders>
            <w:shd w:val="clear" w:color="auto" w:fill="auto"/>
            <w:noWrap/>
            <w:vAlign w:val="center"/>
          </w:tcPr>
          <w:p w14:paraId="6FA3A79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5EE78DF1">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p>
        </w:tc>
      </w:tr>
      <w:tr w14:paraId="3D247A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2" w:hRule="atLeast"/>
        </w:trPr>
        <w:tc>
          <w:tcPr>
            <w:tcW w:w="972" w:type="dxa"/>
            <w:tcBorders>
              <w:tl2br w:val="nil"/>
              <w:tr2bl w:val="nil"/>
            </w:tcBorders>
            <w:shd w:val="clear" w:color="auto" w:fill="auto"/>
            <w:vAlign w:val="center"/>
          </w:tcPr>
          <w:p w14:paraId="6A345B3D">
            <w:pPr>
              <w:keepNext w:val="0"/>
              <w:keepLines w:val="0"/>
              <w:widowControl/>
              <w:suppressLineNumbers w:val="0"/>
              <w:ind w:firstLine="210" w:firstLineChars="10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2340" w:type="dxa"/>
            <w:tcBorders>
              <w:tl2br w:val="nil"/>
              <w:tr2bl w:val="nil"/>
            </w:tcBorders>
            <w:shd w:val="clear" w:color="auto" w:fill="auto"/>
            <w:noWrap/>
            <w:vAlign w:val="center"/>
          </w:tcPr>
          <w:p w14:paraId="73962F0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吊顶</w:t>
            </w:r>
          </w:p>
        </w:tc>
        <w:tc>
          <w:tcPr>
            <w:tcW w:w="4607" w:type="dxa"/>
            <w:tcBorders>
              <w:tl2br w:val="nil"/>
              <w:tr2bl w:val="nil"/>
            </w:tcBorders>
            <w:shd w:val="clear" w:color="auto" w:fill="auto"/>
            <w:vAlign w:val="center"/>
          </w:tcPr>
          <w:p w14:paraId="5BFE8A0E">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1、名称:吊顶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2、100*100*0.5铝格栅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3、含辅材和人工</w:t>
            </w:r>
          </w:p>
        </w:tc>
        <w:tc>
          <w:tcPr>
            <w:tcW w:w="853" w:type="dxa"/>
            <w:tcBorders>
              <w:tl2br w:val="nil"/>
              <w:tr2bl w:val="nil"/>
            </w:tcBorders>
            <w:shd w:val="clear" w:color="auto" w:fill="auto"/>
            <w:noWrap/>
            <w:vAlign w:val="center"/>
          </w:tcPr>
          <w:p w14:paraId="1B3D769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1321" w:type="dxa"/>
            <w:tcBorders>
              <w:tl2br w:val="nil"/>
              <w:tr2bl w:val="nil"/>
            </w:tcBorders>
            <w:shd w:val="clear" w:color="auto" w:fill="auto"/>
            <w:noWrap/>
            <w:vAlign w:val="center"/>
          </w:tcPr>
          <w:p w14:paraId="5A419EC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179.38</w:t>
            </w:r>
          </w:p>
        </w:tc>
        <w:tc>
          <w:tcPr>
            <w:tcW w:w="1444" w:type="dxa"/>
            <w:tcBorders>
              <w:tl2br w:val="nil"/>
              <w:tr2bl w:val="nil"/>
            </w:tcBorders>
            <w:shd w:val="clear" w:color="auto" w:fill="auto"/>
            <w:noWrap/>
            <w:vAlign w:val="center"/>
          </w:tcPr>
          <w:p w14:paraId="1435CE5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749543B3">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p>
        </w:tc>
      </w:tr>
      <w:tr w14:paraId="3E0975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2" w:hRule="atLeast"/>
        </w:trPr>
        <w:tc>
          <w:tcPr>
            <w:tcW w:w="972" w:type="dxa"/>
            <w:tcBorders>
              <w:tl2br w:val="nil"/>
              <w:tr2bl w:val="nil"/>
            </w:tcBorders>
            <w:shd w:val="clear" w:color="auto" w:fill="auto"/>
            <w:vAlign w:val="center"/>
          </w:tcPr>
          <w:p w14:paraId="7E73B419">
            <w:pPr>
              <w:keepNext w:val="0"/>
              <w:keepLines w:val="0"/>
              <w:widowControl/>
              <w:suppressLineNumbers w:val="0"/>
              <w:ind w:firstLine="210" w:firstLineChars="10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6 </w:t>
            </w:r>
          </w:p>
        </w:tc>
        <w:tc>
          <w:tcPr>
            <w:tcW w:w="2340" w:type="dxa"/>
            <w:tcBorders>
              <w:tl2br w:val="nil"/>
              <w:tr2bl w:val="nil"/>
            </w:tcBorders>
            <w:shd w:val="clear" w:color="auto" w:fill="auto"/>
            <w:noWrap/>
            <w:vAlign w:val="center"/>
          </w:tcPr>
          <w:p w14:paraId="599AC0E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mm</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高</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不锈钢脚线</w:t>
            </w:r>
          </w:p>
        </w:tc>
        <w:tc>
          <w:tcPr>
            <w:tcW w:w="4607" w:type="dxa"/>
            <w:tcBorders>
              <w:tl2br w:val="nil"/>
              <w:tr2bl w:val="nil"/>
            </w:tcBorders>
            <w:shd w:val="clear" w:color="auto" w:fill="auto"/>
            <w:vAlign w:val="center"/>
          </w:tcPr>
          <w:p w14:paraId="4A5B88C4">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1、名称:10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mm</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高</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不锈钢脚线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2、材质：12mm多层板基层、1.0厚304不锈钢</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3、含主材、辅材、人工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4、具体要求详见图纸</w:t>
            </w:r>
          </w:p>
        </w:tc>
        <w:tc>
          <w:tcPr>
            <w:tcW w:w="853" w:type="dxa"/>
            <w:tcBorders>
              <w:tl2br w:val="nil"/>
              <w:tr2bl w:val="nil"/>
            </w:tcBorders>
            <w:shd w:val="clear" w:color="auto" w:fill="auto"/>
            <w:noWrap/>
            <w:vAlign w:val="center"/>
          </w:tcPr>
          <w:p w14:paraId="6BD4FF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321" w:type="dxa"/>
            <w:tcBorders>
              <w:tl2br w:val="nil"/>
              <w:tr2bl w:val="nil"/>
            </w:tcBorders>
            <w:shd w:val="clear" w:color="auto" w:fill="auto"/>
            <w:noWrap/>
            <w:vAlign w:val="center"/>
          </w:tcPr>
          <w:p w14:paraId="6ED56A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75.04</w:t>
            </w:r>
          </w:p>
        </w:tc>
        <w:tc>
          <w:tcPr>
            <w:tcW w:w="1444" w:type="dxa"/>
            <w:tcBorders>
              <w:tl2br w:val="nil"/>
              <w:tr2bl w:val="nil"/>
            </w:tcBorders>
            <w:shd w:val="clear" w:color="auto" w:fill="auto"/>
            <w:noWrap/>
            <w:vAlign w:val="center"/>
          </w:tcPr>
          <w:p w14:paraId="7671C8F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2EC1B643">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p>
        </w:tc>
      </w:tr>
      <w:tr w14:paraId="704634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2" w:hRule="atLeast"/>
        </w:trPr>
        <w:tc>
          <w:tcPr>
            <w:tcW w:w="972" w:type="dxa"/>
            <w:tcBorders>
              <w:tl2br w:val="nil"/>
              <w:tr2bl w:val="nil"/>
            </w:tcBorders>
            <w:shd w:val="clear" w:color="auto" w:fill="auto"/>
            <w:vAlign w:val="center"/>
          </w:tcPr>
          <w:p w14:paraId="105FEE94">
            <w:pPr>
              <w:keepNext w:val="0"/>
              <w:keepLines w:val="0"/>
              <w:widowControl/>
              <w:suppressLineNumbers w:val="0"/>
              <w:ind w:firstLine="210" w:firstLineChars="10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2340" w:type="dxa"/>
            <w:tcBorders>
              <w:tl2br w:val="nil"/>
              <w:tr2bl w:val="nil"/>
            </w:tcBorders>
            <w:shd w:val="clear" w:color="auto" w:fill="auto"/>
            <w:noWrap/>
            <w:vAlign w:val="center"/>
          </w:tcPr>
          <w:p w14:paraId="5E225CE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玻璃隔断</w:t>
            </w:r>
          </w:p>
        </w:tc>
        <w:tc>
          <w:tcPr>
            <w:tcW w:w="4607" w:type="dxa"/>
            <w:tcBorders>
              <w:tl2br w:val="nil"/>
              <w:tr2bl w:val="nil"/>
            </w:tcBorders>
            <w:shd w:val="clear" w:color="auto" w:fill="auto"/>
            <w:vAlign w:val="center"/>
          </w:tcPr>
          <w:p w14:paraId="57662BFB">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1、名称:玻璃隔断</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2、国标12mm钢化玻璃隔断，含钢骨架、钢化玻璃、不锈钢包边、所有五金、辅材</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人工及</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图纸的全部内容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，具体做法详见图纸     </w:t>
            </w:r>
          </w:p>
        </w:tc>
        <w:tc>
          <w:tcPr>
            <w:tcW w:w="853" w:type="dxa"/>
            <w:tcBorders>
              <w:tl2br w:val="nil"/>
              <w:tr2bl w:val="nil"/>
            </w:tcBorders>
            <w:shd w:val="clear" w:color="auto" w:fill="auto"/>
            <w:noWrap/>
            <w:vAlign w:val="center"/>
          </w:tcPr>
          <w:p w14:paraId="5B0ACC2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1321" w:type="dxa"/>
            <w:tcBorders>
              <w:tl2br w:val="nil"/>
              <w:tr2bl w:val="nil"/>
            </w:tcBorders>
            <w:shd w:val="clear" w:color="auto" w:fill="auto"/>
            <w:noWrap/>
            <w:vAlign w:val="center"/>
          </w:tcPr>
          <w:p w14:paraId="6B679F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82.76</w:t>
            </w:r>
          </w:p>
        </w:tc>
        <w:tc>
          <w:tcPr>
            <w:tcW w:w="1444" w:type="dxa"/>
            <w:tcBorders>
              <w:tl2br w:val="nil"/>
              <w:tr2bl w:val="nil"/>
            </w:tcBorders>
            <w:shd w:val="clear" w:color="auto" w:fill="auto"/>
            <w:noWrap/>
            <w:vAlign w:val="center"/>
          </w:tcPr>
          <w:p w14:paraId="399E9F3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1BA601BF">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p>
        </w:tc>
      </w:tr>
      <w:tr w14:paraId="020364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2" w:hRule="atLeast"/>
        </w:trPr>
        <w:tc>
          <w:tcPr>
            <w:tcW w:w="972" w:type="dxa"/>
            <w:tcBorders>
              <w:tl2br w:val="nil"/>
              <w:tr2bl w:val="nil"/>
            </w:tcBorders>
            <w:shd w:val="clear" w:color="auto" w:fill="auto"/>
            <w:vAlign w:val="center"/>
          </w:tcPr>
          <w:p w14:paraId="1DC7D8D3">
            <w:pPr>
              <w:keepNext w:val="0"/>
              <w:keepLines w:val="0"/>
              <w:widowControl/>
              <w:suppressLineNumbers w:val="0"/>
              <w:ind w:firstLine="210" w:firstLineChars="10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2340" w:type="dxa"/>
            <w:tcBorders>
              <w:tl2br w:val="nil"/>
              <w:tr2bl w:val="nil"/>
            </w:tcBorders>
            <w:shd w:val="clear" w:color="auto" w:fill="auto"/>
            <w:noWrap/>
            <w:vAlign w:val="center"/>
          </w:tcPr>
          <w:p w14:paraId="310E473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顶深灰色涂料 </w:t>
            </w:r>
          </w:p>
        </w:tc>
        <w:tc>
          <w:tcPr>
            <w:tcW w:w="4607" w:type="dxa"/>
            <w:tcBorders>
              <w:tl2br w:val="nil"/>
              <w:tr2bl w:val="nil"/>
            </w:tcBorders>
            <w:shd w:val="clear" w:color="auto" w:fill="auto"/>
            <w:vAlign w:val="center"/>
          </w:tcPr>
          <w:p w14:paraId="71A53161">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顶深灰色涂料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1、部位 ：房间顶部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2、黑色乳胶漆二遍，保证均匀，颜色由建设单位认可后施工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3、含原顶部所有器具、设备拆除或下降</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4、含辅材和人工</w:t>
            </w:r>
          </w:p>
          <w:p w14:paraId="52BB9565">
            <w:pPr>
              <w:pStyle w:val="2"/>
              <w:ind w:left="0" w:leftChars="0" w:firstLine="0" w:firstLineChars="0"/>
              <w:rPr>
                <w:rFonts w:hint="eastAsia"/>
                <w:color w:val="000000" w:themeColor="text1"/>
                <w14:textFill>
                  <w14:solidFill>
                    <w14:schemeClr w14:val="tx1"/>
                  </w14:solidFill>
                </w14:textFill>
              </w:rPr>
            </w:pPr>
            <w:r>
              <w:rPr>
                <w:rFonts w:hint="eastAsia" w:cs="宋体"/>
                <w:i w:val="0"/>
                <w:iCs w:val="0"/>
                <w:color w:val="000000" w:themeColor="text1"/>
                <w:kern w:val="0"/>
                <w:sz w:val="21"/>
                <w:szCs w:val="21"/>
                <w:highlight w:val="none"/>
                <w:u w:val="none"/>
                <w:lang w:val="en-US" w:eastAsia="zh-CN" w:bidi="ar"/>
                <w14:textFill>
                  <w14:solidFill>
                    <w14:schemeClr w14:val="tx1"/>
                  </w14:solidFill>
                </w14:textFill>
              </w:rPr>
              <w:t>5、备注：立邦、三棵树、多乐士</w:t>
            </w:r>
          </w:p>
        </w:tc>
        <w:tc>
          <w:tcPr>
            <w:tcW w:w="853" w:type="dxa"/>
            <w:tcBorders>
              <w:tl2br w:val="nil"/>
              <w:tr2bl w:val="nil"/>
            </w:tcBorders>
            <w:shd w:val="clear" w:color="auto" w:fill="auto"/>
            <w:noWrap/>
            <w:vAlign w:val="center"/>
          </w:tcPr>
          <w:p w14:paraId="3B2C63D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1321" w:type="dxa"/>
            <w:tcBorders>
              <w:tl2br w:val="nil"/>
              <w:tr2bl w:val="nil"/>
            </w:tcBorders>
            <w:shd w:val="clear" w:color="auto" w:fill="auto"/>
            <w:noWrap/>
            <w:vAlign w:val="center"/>
          </w:tcPr>
          <w:p w14:paraId="5887D8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359.75</w:t>
            </w:r>
          </w:p>
        </w:tc>
        <w:tc>
          <w:tcPr>
            <w:tcW w:w="1444" w:type="dxa"/>
            <w:tcBorders>
              <w:tl2br w:val="nil"/>
              <w:tr2bl w:val="nil"/>
            </w:tcBorders>
            <w:shd w:val="clear" w:color="auto" w:fill="auto"/>
            <w:noWrap/>
            <w:vAlign w:val="center"/>
          </w:tcPr>
          <w:p w14:paraId="15841AA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2BCD38E7">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p>
        </w:tc>
      </w:tr>
      <w:tr w14:paraId="739335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2" w:hRule="atLeast"/>
        </w:trPr>
        <w:tc>
          <w:tcPr>
            <w:tcW w:w="972" w:type="dxa"/>
            <w:tcBorders>
              <w:tl2br w:val="nil"/>
              <w:tr2bl w:val="nil"/>
            </w:tcBorders>
            <w:shd w:val="clear" w:color="auto" w:fill="auto"/>
            <w:vAlign w:val="center"/>
          </w:tcPr>
          <w:p w14:paraId="7D91A1B8">
            <w:pPr>
              <w:keepNext w:val="0"/>
              <w:keepLines w:val="0"/>
              <w:widowControl/>
              <w:suppressLineNumbers w:val="0"/>
              <w:ind w:firstLine="210" w:firstLineChars="10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2340" w:type="dxa"/>
            <w:tcBorders>
              <w:tl2br w:val="nil"/>
              <w:tr2bl w:val="nil"/>
            </w:tcBorders>
            <w:shd w:val="clear" w:color="auto" w:fill="auto"/>
            <w:noWrap/>
            <w:vAlign w:val="center"/>
          </w:tcPr>
          <w:p w14:paraId="43050B9A">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墙面喷刷涂料</w:t>
            </w:r>
          </w:p>
        </w:tc>
        <w:tc>
          <w:tcPr>
            <w:tcW w:w="4607" w:type="dxa"/>
            <w:tcBorders>
              <w:tl2br w:val="nil"/>
              <w:tr2bl w:val="nil"/>
            </w:tcBorders>
            <w:shd w:val="clear" w:color="auto" w:fill="auto"/>
            <w:vAlign w:val="center"/>
          </w:tcPr>
          <w:p w14:paraId="60C56915">
            <w:pPr>
              <w:keepNext w:val="0"/>
              <w:keepLines w:val="0"/>
              <w:widowControl/>
              <w:numPr>
                <w:ilvl w:val="0"/>
                <w:numId w:val="15"/>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名称:墙面喷刷涂料（含上口局部深色）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2、原破损部位铲除打磨、墙面批腻子二遍、乳胶漆二遍，含辅材和人工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3、施工过程中需对原室内设备成品保护</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4、具体做法详见图纸</w:t>
            </w:r>
          </w:p>
          <w:p w14:paraId="2020FDE7">
            <w:pPr>
              <w:pStyle w:val="2"/>
              <w:numPr>
                <w:ilvl w:val="0"/>
                <w:numId w:val="0"/>
              </w:numPr>
              <w:rPr>
                <w:rFonts w:hint="eastAsia"/>
                <w:color w:val="000000" w:themeColor="text1"/>
                <w14:textFill>
                  <w14:solidFill>
                    <w14:schemeClr w14:val="tx1"/>
                  </w14:solidFill>
                </w14:textFill>
              </w:rPr>
            </w:pPr>
            <w:r>
              <w:rPr>
                <w:rFonts w:hint="eastAsia" w:cs="宋体"/>
                <w:i w:val="0"/>
                <w:iCs w:val="0"/>
                <w:color w:val="000000" w:themeColor="text1"/>
                <w:kern w:val="0"/>
                <w:sz w:val="21"/>
                <w:szCs w:val="21"/>
                <w:highlight w:val="none"/>
                <w:u w:val="none"/>
                <w:lang w:val="en-US" w:eastAsia="zh-CN" w:bidi="ar"/>
                <w14:textFill>
                  <w14:solidFill>
                    <w14:schemeClr w14:val="tx1"/>
                  </w14:solidFill>
                </w14:textFill>
              </w:rPr>
              <w:t>5、备注：立邦、三棵树、多乐士</w:t>
            </w:r>
          </w:p>
        </w:tc>
        <w:tc>
          <w:tcPr>
            <w:tcW w:w="853" w:type="dxa"/>
            <w:tcBorders>
              <w:tl2br w:val="nil"/>
              <w:tr2bl w:val="nil"/>
            </w:tcBorders>
            <w:shd w:val="clear" w:color="auto" w:fill="auto"/>
            <w:noWrap/>
            <w:vAlign w:val="center"/>
          </w:tcPr>
          <w:p w14:paraId="1D2ECA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1321" w:type="dxa"/>
            <w:tcBorders>
              <w:tl2br w:val="nil"/>
              <w:tr2bl w:val="nil"/>
            </w:tcBorders>
            <w:shd w:val="clear" w:color="auto" w:fill="auto"/>
            <w:noWrap/>
            <w:vAlign w:val="center"/>
          </w:tcPr>
          <w:p w14:paraId="50334A2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155.45</w:t>
            </w:r>
          </w:p>
        </w:tc>
        <w:tc>
          <w:tcPr>
            <w:tcW w:w="1444" w:type="dxa"/>
            <w:tcBorders>
              <w:tl2br w:val="nil"/>
              <w:tr2bl w:val="nil"/>
            </w:tcBorders>
            <w:shd w:val="clear" w:color="auto" w:fill="auto"/>
            <w:noWrap/>
            <w:vAlign w:val="center"/>
          </w:tcPr>
          <w:p w14:paraId="12F37CB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3C55CAB7">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p>
        </w:tc>
      </w:tr>
      <w:tr w14:paraId="6BCC22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2" w:hRule="atLeast"/>
        </w:trPr>
        <w:tc>
          <w:tcPr>
            <w:tcW w:w="972" w:type="dxa"/>
            <w:tcBorders>
              <w:tl2br w:val="nil"/>
              <w:tr2bl w:val="nil"/>
            </w:tcBorders>
            <w:shd w:val="clear" w:color="auto" w:fill="auto"/>
            <w:vAlign w:val="center"/>
          </w:tcPr>
          <w:p w14:paraId="4D0E67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2340" w:type="dxa"/>
            <w:tcBorders>
              <w:tl2br w:val="nil"/>
              <w:tr2bl w:val="nil"/>
            </w:tcBorders>
            <w:shd w:val="clear" w:color="auto" w:fill="auto"/>
            <w:noWrap/>
            <w:vAlign w:val="center"/>
          </w:tcPr>
          <w:p w14:paraId="344C0F1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无框玻璃门及门套</w:t>
            </w:r>
          </w:p>
        </w:tc>
        <w:tc>
          <w:tcPr>
            <w:tcW w:w="4607" w:type="dxa"/>
            <w:tcBorders>
              <w:tl2br w:val="nil"/>
              <w:tr2bl w:val="nil"/>
            </w:tcBorders>
            <w:shd w:val="clear" w:color="auto" w:fill="auto"/>
            <w:vAlign w:val="center"/>
          </w:tcPr>
          <w:p w14:paraId="53A6EC63">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1、名称:玻璃门及不锈钢门套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2、规格2200*1800（其中一樘2200*2300）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3、含钢骨架、1.0厚</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304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不锈钢门套</w:t>
            </w:r>
            <w:r>
              <w:rPr>
                <w:rStyle w:val="181"/>
                <w:color w:val="000000" w:themeColor="text1"/>
                <w:highlight w:val="none"/>
                <w:lang w:val="en-US" w:eastAsia="zh-CN" w:bidi="ar"/>
                <w14:textFill>
                  <w14:solidFill>
                    <w14:schemeClr w14:val="tx1"/>
                  </w14:solidFill>
                </w14:textFill>
              </w:rPr>
              <w:t>、</w:t>
            </w:r>
            <w:r>
              <w:rPr>
                <w:rStyle w:val="181"/>
                <w:b w:val="0"/>
                <w:bCs/>
                <w:color w:val="000000" w:themeColor="text1"/>
                <w:highlight w:val="none"/>
                <w:lang w:val="en-US" w:eastAsia="zh-CN" w:bidi="ar"/>
                <w14:textFill>
                  <w14:solidFill>
                    <w14:schemeClr w14:val="tx1"/>
                  </w14:solidFill>
                </w14:textFill>
              </w:rPr>
              <w:t>智能锁（另</w:t>
            </w:r>
            <w:r>
              <w:rPr>
                <w:rStyle w:val="181"/>
                <w:rFonts w:hint="eastAsia"/>
                <w:b w:val="0"/>
                <w:bCs/>
                <w:color w:val="000000" w:themeColor="text1"/>
                <w:highlight w:val="none"/>
                <w:lang w:val="en-US" w:eastAsia="zh-CN" w:bidi="ar"/>
                <w14:textFill>
                  <w14:solidFill>
                    <w14:schemeClr w14:val="tx1"/>
                  </w14:solidFill>
                </w14:textFill>
              </w:rPr>
              <w:t>加</w:t>
            </w:r>
            <w:r>
              <w:rPr>
                <w:rStyle w:val="181"/>
                <w:b w:val="0"/>
                <w:bCs/>
                <w:color w:val="000000" w:themeColor="text1"/>
                <w:highlight w:val="none"/>
                <w:lang w:val="en-US" w:eastAsia="zh-CN" w:bidi="ar"/>
                <w14:textFill>
                  <w14:solidFill>
                    <w14:schemeClr w14:val="tx1"/>
                  </w14:solidFill>
                </w14:textFill>
              </w:rPr>
              <w:t>2套智能</w:t>
            </w:r>
            <w:r>
              <w:rPr>
                <w:rStyle w:val="181"/>
                <w:rFonts w:hint="eastAsia"/>
                <w:b w:val="0"/>
                <w:bCs/>
                <w:color w:val="000000" w:themeColor="text1"/>
                <w:highlight w:val="none"/>
                <w:lang w:val="en-US" w:eastAsia="zh-CN" w:bidi="ar"/>
                <w14:textFill>
                  <w14:solidFill>
                    <w14:schemeClr w14:val="tx1"/>
                  </w14:solidFill>
                </w14:textFill>
              </w:rPr>
              <w:t>锁（111、113室），</w:t>
            </w:r>
            <w:r>
              <w:rPr>
                <w:rStyle w:val="181"/>
                <w:b w:val="0"/>
                <w:bCs/>
                <w:color w:val="000000" w:themeColor="text1"/>
                <w:highlight w:val="none"/>
                <w:lang w:val="en-US" w:eastAsia="zh-CN" w:bidi="ar"/>
                <w14:textFill>
                  <w14:solidFill>
                    <w14:schemeClr w14:val="tx1"/>
                  </w14:solidFill>
                </w14:textFill>
              </w:rPr>
              <w:t>共7套）、</w:t>
            </w:r>
            <w:r>
              <w:rPr>
                <w:rStyle w:val="185"/>
                <w:color w:val="000000" w:themeColor="text1"/>
                <w:highlight w:val="none"/>
                <w:lang w:val="en-US" w:eastAsia="zh-CN" w:bidi="ar"/>
                <w14:textFill>
                  <w14:solidFill>
                    <w14:schemeClr w14:val="tx1"/>
                  </w14:solidFill>
                </w14:textFill>
              </w:rPr>
              <w:t>各类五金、安装费、辅材和所有费用</w:t>
            </w:r>
          </w:p>
        </w:tc>
        <w:tc>
          <w:tcPr>
            <w:tcW w:w="853" w:type="dxa"/>
            <w:tcBorders>
              <w:tl2br w:val="nil"/>
              <w:tr2bl w:val="nil"/>
            </w:tcBorders>
            <w:shd w:val="clear" w:color="auto" w:fill="auto"/>
            <w:noWrap/>
            <w:vAlign w:val="center"/>
          </w:tcPr>
          <w:p w14:paraId="2B120E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樘</w:t>
            </w:r>
          </w:p>
        </w:tc>
        <w:tc>
          <w:tcPr>
            <w:tcW w:w="1321" w:type="dxa"/>
            <w:tcBorders>
              <w:tl2br w:val="nil"/>
              <w:tr2bl w:val="nil"/>
            </w:tcBorders>
            <w:shd w:val="clear" w:color="auto" w:fill="auto"/>
            <w:noWrap/>
            <w:vAlign w:val="center"/>
          </w:tcPr>
          <w:p w14:paraId="716E0C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444" w:type="dxa"/>
            <w:tcBorders>
              <w:tl2br w:val="nil"/>
              <w:tr2bl w:val="nil"/>
            </w:tcBorders>
            <w:shd w:val="clear" w:color="auto" w:fill="auto"/>
            <w:noWrap/>
            <w:vAlign w:val="center"/>
          </w:tcPr>
          <w:p w14:paraId="1AC80BD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4EF6D6B0">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p>
        </w:tc>
      </w:tr>
      <w:tr w14:paraId="0AB589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2" w:hRule="atLeast"/>
        </w:trPr>
        <w:tc>
          <w:tcPr>
            <w:tcW w:w="972" w:type="dxa"/>
            <w:tcBorders>
              <w:tl2br w:val="nil"/>
              <w:tr2bl w:val="nil"/>
            </w:tcBorders>
            <w:shd w:val="clear" w:color="auto" w:fill="auto"/>
            <w:vAlign w:val="center"/>
          </w:tcPr>
          <w:p w14:paraId="42A42E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2340" w:type="dxa"/>
            <w:tcBorders>
              <w:tl2br w:val="nil"/>
              <w:tr2bl w:val="nil"/>
            </w:tcBorders>
            <w:shd w:val="clear" w:color="auto" w:fill="auto"/>
            <w:noWrap/>
            <w:vAlign w:val="center"/>
          </w:tcPr>
          <w:p w14:paraId="18F10DD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作品展示柜</w:t>
            </w:r>
          </w:p>
        </w:tc>
        <w:tc>
          <w:tcPr>
            <w:tcW w:w="4607" w:type="dxa"/>
            <w:tcBorders>
              <w:tl2br w:val="nil"/>
              <w:tr2bl w:val="nil"/>
            </w:tcBorders>
            <w:shd w:val="clear" w:color="auto" w:fill="auto"/>
            <w:vAlign w:val="center"/>
          </w:tcPr>
          <w:p w14:paraId="3D24AC2A">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1、名称:展示柜2200*2400（具体按图施工和报价,按投影面积）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2、面层品种、规格、品牌、颜色:E1级1.8cm以上厚生态板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3、压条材料种类、规格:机器封边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4、人工及辅材</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5、具体做法详见图纸</w:t>
            </w:r>
          </w:p>
        </w:tc>
        <w:tc>
          <w:tcPr>
            <w:tcW w:w="853" w:type="dxa"/>
            <w:tcBorders>
              <w:tl2br w:val="nil"/>
              <w:tr2bl w:val="nil"/>
            </w:tcBorders>
            <w:shd w:val="clear" w:color="auto" w:fill="auto"/>
            <w:noWrap/>
            <w:vAlign w:val="center"/>
          </w:tcPr>
          <w:p w14:paraId="24C699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1321" w:type="dxa"/>
            <w:tcBorders>
              <w:tl2br w:val="nil"/>
              <w:tr2bl w:val="nil"/>
            </w:tcBorders>
            <w:shd w:val="clear" w:color="auto" w:fill="auto"/>
            <w:noWrap/>
            <w:vAlign w:val="center"/>
          </w:tcPr>
          <w:p w14:paraId="21B7FB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5.28</w:t>
            </w:r>
          </w:p>
        </w:tc>
        <w:tc>
          <w:tcPr>
            <w:tcW w:w="1444" w:type="dxa"/>
            <w:tcBorders>
              <w:tl2br w:val="nil"/>
              <w:tr2bl w:val="nil"/>
            </w:tcBorders>
            <w:shd w:val="clear" w:color="auto" w:fill="auto"/>
            <w:noWrap/>
            <w:vAlign w:val="center"/>
          </w:tcPr>
          <w:p w14:paraId="2DA3318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78338BA3">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p>
        </w:tc>
      </w:tr>
      <w:tr w14:paraId="626175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2" w:hRule="atLeast"/>
        </w:trPr>
        <w:tc>
          <w:tcPr>
            <w:tcW w:w="972" w:type="dxa"/>
            <w:tcBorders>
              <w:tl2br w:val="nil"/>
              <w:tr2bl w:val="nil"/>
            </w:tcBorders>
            <w:shd w:val="clear" w:color="auto" w:fill="auto"/>
            <w:vAlign w:val="center"/>
          </w:tcPr>
          <w:p w14:paraId="47C030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2340" w:type="dxa"/>
            <w:tcBorders>
              <w:tl2br w:val="nil"/>
              <w:tr2bl w:val="nil"/>
            </w:tcBorders>
            <w:shd w:val="clear" w:color="auto" w:fill="auto"/>
            <w:noWrap/>
            <w:vAlign w:val="center"/>
          </w:tcPr>
          <w:p w14:paraId="0CBC29E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工具耗材柜</w:t>
            </w:r>
          </w:p>
        </w:tc>
        <w:tc>
          <w:tcPr>
            <w:tcW w:w="4607" w:type="dxa"/>
            <w:tcBorders>
              <w:tl2br w:val="nil"/>
              <w:tr2bl w:val="nil"/>
            </w:tcBorders>
            <w:shd w:val="clear" w:color="auto" w:fill="auto"/>
            <w:vAlign w:val="center"/>
          </w:tcPr>
          <w:p w14:paraId="7105169E">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1、名称:单面成品工具柜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2、面层品种、规格、品牌、颜色::E1级1.8cm以上厚成品生态板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3、压条材料种类、规格:机器封边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4、人工及辅材（含柜门）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5、具体做法详见图纸</w:t>
            </w:r>
          </w:p>
        </w:tc>
        <w:tc>
          <w:tcPr>
            <w:tcW w:w="853" w:type="dxa"/>
            <w:tcBorders>
              <w:tl2br w:val="nil"/>
              <w:tr2bl w:val="nil"/>
            </w:tcBorders>
            <w:shd w:val="clear" w:color="auto" w:fill="auto"/>
            <w:noWrap/>
            <w:vAlign w:val="center"/>
          </w:tcPr>
          <w:p w14:paraId="68DDA4A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321" w:type="dxa"/>
            <w:tcBorders>
              <w:tl2br w:val="nil"/>
              <w:tr2bl w:val="nil"/>
            </w:tcBorders>
            <w:shd w:val="clear" w:color="auto" w:fill="auto"/>
            <w:noWrap/>
            <w:vAlign w:val="center"/>
          </w:tcPr>
          <w:p w14:paraId="4A2ABC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4.8</w:t>
            </w:r>
          </w:p>
        </w:tc>
        <w:tc>
          <w:tcPr>
            <w:tcW w:w="1444" w:type="dxa"/>
            <w:tcBorders>
              <w:tl2br w:val="nil"/>
              <w:tr2bl w:val="nil"/>
            </w:tcBorders>
            <w:shd w:val="clear" w:color="auto" w:fill="auto"/>
            <w:noWrap/>
            <w:vAlign w:val="center"/>
          </w:tcPr>
          <w:p w14:paraId="4D7CDDB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0B417F12">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p>
        </w:tc>
      </w:tr>
      <w:tr w14:paraId="27F185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2" w:hRule="atLeast"/>
        </w:trPr>
        <w:tc>
          <w:tcPr>
            <w:tcW w:w="972" w:type="dxa"/>
            <w:tcBorders>
              <w:tl2br w:val="nil"/>
              <w:tr2bl w:val="nil"/>
            </w:tcBorders>
            <w:shd w:val="clear" w:color="auto" w:fill="auto"/>
            <w:vAlign w:val="center"/>
          </w:tcPr>
          <w:p w14:paraId="7F0CEC8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2340" w:type="dxa"/>
            <w:tcBorders>
              <w:tl2br w:val="nil"/>
              <w:tr2bl w:val="nil"/>
            </w:tcBorders>
            <w:shd w:val="clear" w:color="auto" w:fill="auto"/>
            <w:noWrap/>
            <w:vAlign w:val="center"/>
          </w:tcPr>
          <w:p w14:paraId="4AFE1F13">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背景墙</w:t>
            </w:r>
          </w:p>
        </w:tc>
        <w:tc>
          <w:tcPr>
            <w:tcW w:w="4607" w:type="dxa"/>
            <w:tcBorders>
              <w:tl2br w:val="nil"/>
              <w:tr2bl w:val="nil"/>
            </w:tcBorders>
            <w:shd w:val="clear" w:color="auto" w:fill="auto"/>
            <w:vAlign w:val="center"/>
          </w:tcPr>
          <w:p w14:paraId="4D3C0217">
            <w:pPr>
              <w:keepNext w:val="0"/>
              <w:keepLines w:val="0"/>
              <w:widowControl/>
              <w:numPr>
                <w:ilvl w:val="0"/>
                <w:numId w:val="16"/>
              </w:numPr>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背景墙（含墙面</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造型、PVC画面及文字，具体参照效果图由施工单位与建设方使用单位对接，画面及文字内容自行优化后方可实施，满足建设方使用功能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2、面层：铝塑板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3、基层：15mm阻燃板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4、龙骨：木龙骨</w:t>
            </w:r>
          </w:p>
          <w:p w14:paraId="5B213381">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5、文字材质：12mm厚PVC</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、防火要求满足规范要求</w:t>
            </w:r>
          </w:p>
        </w:tc>
        <w:tc>
          <w:tcPr>
            <w:tcW w:w="853" w:type="dxa"/>
            <w:tcBorders>
              <w:tl2br w:val="nil"/>
              <w:tr2bl w:val="nil"/>
            </w:tcBorders>
            <w:shd w:val="clear" w:color="auto" w:fill="auto"/>
            <w:noWrap/>
            <w:vAlign w:val="center"/>
          </w:tcPr>
          <w:p w14:paraId="17CFA2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1321" w:type="dxa"/>
            <w:tcBorders>
              <w:tl2br w:val="nil"/>
              <w:tr2bl w:val="nil"/>
            </w:tcBorders>
            <w:shd w:val="clear" w:color="auto" w:fill="auto"/>
            <w:noWrap/>
            <w:vAlign w:val="center"/>
          </w:tcPr>
          <w:p w14:paraId="77925FC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35.34</w:t>
            </w:r>
          </w:p>
        </w:tc>
        <w:tc>
          <w:tcPr>
            <w:tcW w:w="1444" w:type="dxa"/>
            <w:tcBorders>
              <w:tl2br w:val="nil"/>
              <w:tr2bl w:val="nil"/>
            </w:tcBorders>
            <w:shd w:val="clear" w:color="auto" w:fill="auto"/>
            <w:noWrap/>
            <w:vAlign w:val="center"/>
          </w:tcPr>
          <w:p w14:paraId="514D427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6DB31FBB">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p>
        </w:tc>
      </w:tr>
      <w:tr w14:paraId="41434A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2" w:hRule="atLeast"/>
        </w:trPr>
        <w:tc>
          <w:tcPr>
            <w:tcW w:w="972" w:type="dxa"/>
            <w:tcBorders>
              <w:tl2br w:val="nil"/>
              <w:tr2bl w:val="nil"/>
            </w:tcBorders>
            <w:shd w:val="clear" w:color="auto" w:fill="auto"/>
            <w:vAlign w:val="center"/>
          </w:tcPr>
          <w:p w14:paraId="1689F9DE">
            <w:pPr>
              <w:jc w:val="center"/>
              <w:rPr>
                <w:rFonts w:hint="eastAsia" w:ascii="微软雅黑" w:hAnsi="微软雅黑" w:eastAsia="微软雅黑" w:cs="微软雅黑"/>
                <w:b/>
                <w:bCs/>
                <w:i w:val="0"/>
                <w:iCs w:val="0"/>
                <w:color w:val="000000" w:themeColor="text1"/>
                <w:sz w:val="24"/>
                <w:szCs w:val="24"/>
                <w:highlight w:val="none"/>
                <w:u w:val="none"/>
                <w:lang w:eastAsia="zh-CN"/>
                <w14:textFill>
                  <w14:solidFill>
                    <w14:schemeClr w14:val="tx1"/>
                  </w14:solidFill>
                </w14:textFill>
              </w:rPr>
            </w:pPr>
            <w:r>
              <w:rPr>
                <w:rFonts w:hint="eastAsia" w:ascii="微软雅黑" w:hAnsi="微软雅黑" w:eastAsia="微软雅黑" w:cs="微软雅黑"/>
                <w:b/>
                <w:bCs/>
                <w:i w:val="0"/>
                <w:iCs w:val="0"/>
                <w:color w:val="000000" w:themeColor="text1"/>
                <w:sz w:val="24"/>
                <w:szCs w:val="24"/>
                <w:highlight w:val="none"/>
                <w:u w:val="none"/>
                <w:lang w:eastAsia="zh-CN"/>
                <w14:textFill>
                  <w14:solidFill>
                    <w14:schemeClr w14:val="tx1"/>
                  </w14:solidFill>
                </w14:textFill>
              </w:rPr>
              <w:t>（</w:t>
            </w:r>
            <w:r>
              <w:rPr>
                <w:rFonts w:hint="eastAsia" w:ascii="微软雅黑" w:hAnsi="微软雅黑" w:eastAsia="微软雅黑" w:cs="微软雅黑"/>
                <w:b/>
                <w:bCs/>
                <w:i w:val="0"/>
                <w:iCs w:val="0"/>
                <w:color w:val="000000" w:themeColor="text1"/>
                <w:sz w:val="24"/>
                <w:szCs w:val="24"/>
                <w:highlight w:val="none"/>
                <w:u w:val="none"/>
                <w:lang w:val="en-US" w:eastAsia="zh-CN"/>
                <w14:textFill>
                  <w14:solidFill>
                    <w14:schemeClr w14:val="tx1"/>
                  </w14:solidFill>
                </w14:textFill>
              </w:rPr>
              <w:t>二</w:t>
            </w:r>
            <w:r>
              <w:rPr>
                <w:rFonts w:hint="eastAsia" w:ascii="微软雅黑" w:hAnsi="微软雅黑" w:eastAsia="微软雅黑" w:cs="微软雅黑"/>
                <w:b/>
                <w:bCs/>
                <w:i w:val="0"/>
                <w:iCs w:val="0"/>
                <w:color w:val="000000" w:themeColor="text1"/>
                <w:sz w:val="24"/>
                <w:szCs w:val="24"/>
                <w:highlight w:val="none"/>
                <w:u w:val="none"/>
                <w:lang w:eastAsia="zh-CN"/>
                <w14:textFill>
                  <w14:solidFill>
                    <w14:schemeClr w14:val="tx1"/>
                  </w14:solidFill>
                </w14:textFill>
              </w:rPr>
              <w:t>）</w:t>
            </w:r>
          </w:p>
        </w:tc>
        <w:tc>
          <w:tcPr>
            <w:tcW w:w="6947" w:type="dxa"/>
            <w:gridSpan w:val="2"/>
            <w:tcBorders>
              <w:tl2br w:val="nil"/>
              <w:tr2bl w:val="nil"/>
            </w:tcBorders>
            <w:shd w:val="clear" w:color="auto" w:fill="auto"/>
            <w:noWrap/>
            <w:vAlign w:val="center"/>
          </w:tcPr>
          <w:p w14:paraId="6FBAC12C">
            <w:pPr>
              <w:jc w:val="left"/>
              <w:rPr>
                <w:rFonts w:hint="eastAsia" w:ascii="微软雅黑" w:hAnsi="微软雅黑" w:eastAsia="微软雅黑" w:cs="微软雅黑"/>
                <w:b/>
                <w:bCs/>
                <w:i w:val="0"/>
                <w:iCs w:val="0"/>
                <w:color w:val="000000" w:themeColor="text1"/>
                <w:sz w:val="24"/>
                <w:szCs w:val="24"/>
                <w:highlight w:val="none"/>
                <w:u w:val="none"/>
                <w14:textFill>
                  <w14:solidFill>
                    <w14:schemeClr w14:val="tx1"/>
                  </w14:solidFill>
                </w14:textFill>
              </w:rPr>
            </w:pPr>
            <w:r>
              <w:rPr>
                <w:rFonts w:hint="eastAsia" w:ascii="微软雅黑" w:hAnsi="微软雅黑" w:eastAsia="微软雅黑" w:cs="微软雅黑"/>
                <w:b/>
                <w:bCs/>
                <w:i w:val="0"/>
                <w:iCs w:val="0"/>
                <w:color w:val="000000" w:themeColor="text1"/>
                <w:kern w:val="0"/>
                <w:sz w:val="24"/>
                <w:szCs w:val="24"/>
                <w:highlight w:val="none"/>
                <w:u w:val="none"/>
                <w:lang w:val="en-US" w:eastAsia="zh-CN" w:bidi="ar"/>
                <w14:textFill>
                  <w14:solidFill>
                    <w14:schemeClr w14:val="tx1"/>
                  </w14:solidFill>
                </w14:textFill>
              </w:rPr>
              <w:t>安装部分</w:t>
            </w:r>
          </w:p>
        </w:tc>
        <w:tc>
          <w:tcPr>
            <w:tcW w:w="853" w:type="dxa"/>
            <w:tcBorders>
              <w:tl2br w:val="nil"/>
              <w:tr2bl w:val="nil"/>
            </w:tcBorders>
            <w:shd w:val="clear" w:color="auto" w:fill="auto"/>
            <w:noWrap/>
            <w:vAlign w:val="center"/>
          </w:tcPr>
          <w:p w14:paraId="32719301">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21" w:type="dxa"/>
            <w:tcBorders>
              <w:tl2br w:val="nil"/>
              <w:tr2bl w:val="nil"/>
            </w:tcBorders>
            <w:shd w:val="clear" w:color="auto" w:fill="auto"/>
            <w:noWrap/>
            <w:vAlign w:val="center"/>
          </w:tcPr>
          <w:p w14:paraId="7327278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44" w:type="dxa"/>
            <w:tcBorders>
              <w:tl2br w:val="nil"/>
              <w:tr2bl w:val="nil"/>
            </w:tcBorders>
            <w:shd w:val="clear" w:color="auto" w:fill="auto"/>
            <w:noWrap/>
            <w:vAlign w:val="center"/>
          </w:tcPr>
          <w:p w14:paraId="5F48C2B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0F7686ED">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p>
        </w:tc>
      </w:tr>
      <w:tr w14:paraId="577C53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2" w:hRule="atLeast"/>
        </w:trPr>
        <w:tc>
          <w:tcPr>
            <w:tcW w:w="972" w:type="dxa"/>
            <w:tcBorders>
              <w:tl2br w:val="nil"/>
              <w:tr2bl w:val="nil"/>
            </w:tcBorders>
            <w:shd w:val="clear" w:color="auto" w:fill="auto"/>
            <w:vAlign w:val="center"/>
          </w:tcPr>
          <w:p w14:paraId="07F493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2340" w:type="dxa"/>
            <w:tcBorders>
              <w:tl2br w:val="nil"/>
              <w:tr2bl w:val="nil"/>
            </w:tcBorders>
            <w:shd w:val="clear" w:color="auto" w:fill="auto"/>
            <w:noWrap/>
            <w:vAlign w:val="center"/>
          </w:tcPr>
          <w:p w14:paraId="3DEA0416">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配电箱</w:t>
            </w:r>
          </w:p>
        </w:tc>
        <w:tc>
          <w:tcPr>
            <w:tcW w:w="4607" w:type="dxa"/>
            <w:tcBorders>
              <w:tl2br w:val="nil"/>
              <w:tr2bl w:val="nil"/>
            </w:tcBorders>
            <w:shd w:val="clear" w:color="auto" w:fill="auto"/>
            <w:vAlign w:val="center"/>
          </w:tcPr>
          <w:p w14:paraId="678A7C1D">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1、名称:配电箱（按现场需要改造）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2、品牌（正泰、德力西、施耐德）</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3、投标人自行踏勘情况，综合考虑涉及安装、调试等情况，满足建设单位要求，结算不另调整相关费用</w:t>
            </w:r>
          </w:p>
        </w:tc>
        <w:tc>
          <w:tcPr>
            <w:tcW w:w="853" w:type="dxa"/>
            <w:tcBorders>
              <w:tl2br w:val="nil"/>
              <w:tr2bl w:val="nil"/>
            </w:tcBorders>
            <w:shd w:val="clear" w:color="auto" w:fill="auto"/>
            <w:noWrap/>
            <w:vAlign w:val="center"/>
          </w:tcPr>
          <w:p w14:paraId="40EC144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1321" w:type="dxa"/>
            <w:tcBorders>
              <w:tl2br w:val="nil"/>
              <w:tr2bl w:val="nil"/>
            </w:tcBorders>
            <w:shd w:val="clear" w:color="auto" w:fill="auto"/>
            <w:noWrap/>
            <w:vAlign w:val="center"/>
          </w:tcPr>
          <w:p w14:paraId="53A591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444" w:type="dxa"/>
            <w:tcBorders>
              <w:tl2br w:val="nil"/>
              <w:tr2bl w:val="nil"/>
            </w:tcBorders>
            <w:shd w:val="clear" w:color="auto" w:fill="auto"/>
            <w:noWrap/>
            <w:vAlign w:val="center"/>
          </w:tcPr>
          <w:p w14:paraId="6F630DC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196D8569">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p>
        </w:tc>
      </w:tr>
      <w:tr w14:paraId="5DF95C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2" w:hRule="atLeast"/>
        </w:trPr>
        <w:tc>
          <w:tcPr>
            <w:tcW w:w="972" w:type="dxa"/>
            <w:tcBorders>
              <w:tl2br w:val="nil"/>
              <w:tr2bl w:val="nil"/>
            </w:tcBorders>
            <w:shd w:val="clear" w:color="auto" w:fill="auto"/>
            <w:vAlign w:val="center"/>
          </w:tcPr>
          <w:p w14:paraId="0D7B70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40" w:type="dxa"/>
            <w:tcBorders>
              <w:tl2br w:val="nil"/>
              <w:tr2bl w:val="nil"/>
            </w:tcBorders>
            <w:shd w:val="clear" w:color="auto" w:fill="auto"/>
            <w:noWrap/>
            <w:vAlign w:val="center"/>
          </w:tcPr>
          <w:p w14:paraId="01EDE8C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网络机柜</w:t>
            </w:r>
          </w:p>
        </w:tc>
        <w:tc>
          <w:tcPr>
            <w:tcW w:w="4607" w:type="dxa"/>
            <w:tcBorders>
              <w:tl2br w:val="nil"/>
              <w:tr2bl w:val="nil"/>
            </w:tcBorders>
            <w:shd w:val="clear" w:color="auto" w:fill="auto"/>
            <w:vAlign w:val="center"/>
          </w:tcPr>
          <w:p w14:paraId="6B70E8B3">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1、名称:网络机柜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2、规格（600*600*800 据现场位置需求布置）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3、含内部设备，满足现场实际使用需要保护功能。</w:t>
            </w:r>
          </w:p>
        </w:tc>
        <w:tc>
          <w:tcPr>
            <w:tcW w:w="853" w:type="dxa"/>
            <w:tcBorders>
              <w:tl2br w:val="nil"/>
              <w:tr2bl w:val="nil"/>
            </w:tcBorders>
            <w:shd w:val="clear" w:color="auto" w:fill="auto"/>
            <w:noWrap/>
            <w:vAlign w:val="center"/>
          </w:tcPr>
          <w:p w14:paraId="518FAD1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321" w:type="dxa"/>
            <w:tcBorders>
              <w:tl2br w:val="nil"/>
              <w:tr2bl w:val="nil"/>
            </w:tcBorders>
            <w:shd w:val="clear" w:color="auto" w:fill="auto"/>
            <w:noWrap/>
            <w:vAlign w:val="center"/>
          </w:tcPr>
          <w:p w14:paraId="45742F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444" w:type="dxa"/>
            <w:tcBorders>
              <w:tl2br w:val="nil"/>
              <w:tr2bl w:val="nil"/>
            </w:tcBorders>
            <w:shd w:val="clear" w:color="auto" w:fill="auto"/>
            <w:noWrap/>
            <w:vAlign w:val="center"/>
          </w:tcPr>
          <w:p w14:paraId="109910F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5C739980">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p>
        </w:tc>
      </w:tr>
      <w:tr w14:paraId="67EF22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2" w:hRule="atLeast"/>
        </w:trPr>
        <w:tc>
          <w:tcPr>
            <w:tcW w:w="972" w:type="dxa"/>
            <w:tcBorders>
              <w:tl2br w:val="nil"/>
              <w:tr2bl w:val="nil"/>
            </w:tcBorders>
            <w:shd w:val="clear" w:color="auto" w:fill="auto"/>
            <w:vAlign w:val="center"/>
          </w:tcPr>
          <w:p w14:paraId="4139D8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2340" w:type="dxa"/>
            <w:tcBorders>
              <w:tl2br w:val="nil"/>
              <w:tr2bl w:val="nil"/>
            </w:tcBorders>
            <w:shd w:val="clear" w:color="auto" w:fill="auto"/>
            <w:noWrap/>
            <w:vAlign w:val="center"/>
          </w:tcPr>
          <w:p w14:paraId="0A88E290">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配管 </w:t>
            </w:r>
          </w:p>
        </w:tc>
        <w:tc>
          <w:tcPr>
            <w:tcW w:w="4607" w:type="dxa"/>
            <w:tcBorders>
              <w:tl2br w:val="nil"/>
              <w:tr2bl w:val="nil"/>
            </w:tcBorders>
            <w:shd w:val="clear" w:color="auto" w:fill="auto"/>
            <w:vAlign w:val="center"/>
          </w:tcPr>
          <w:p w14:paraId="7DB2BB14">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1、名称:配管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2、名称:电线管（结合现场实际需要）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3、规格: PVC16或PVC20或PVC25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4、配置形式:暗配及静电地板下安装（暗装时含必要时开槽、开洞恢复、封堵、人工等费用，吊顶内安装含必须固定支撑架等费用）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5、备注:满足校方使用要求，符合验收规范的相关规定</w:t>
            </w:r>
          </w:p>
        </w:tc>
        <w:tc>
          <w:tcPr>
            <w:tcW w:w="853" w:type="dxa"/>
            <w:tcBorders>
              <w:tl2br w:val="nil"/>
              <w:tr2bl w:val="nil"/>
            </w:tcBorders>
            <w:shd w:val="clear" w:color="auto" w:fill="auto"/>
            <w:noWrap/>
            <w:vAlign w:val="center"/>
          </w:tcPr>
          <w:p w14:paraId="2EF96F5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321" w:type="dxa"/>
            <w:tcBorders>
              <w:tl2br w:val="nil"/>
              <w:tr2bl w:val="nil"/>
            </w:tcBorders>
            <w:shd w:val="clear" w:color="auto" w:fill="auto"/>
            <w:noWrap/>
            <w:vAlign w:val="center"/>
          </w:tcPr>
          <w:p w14:paraId="148DBC2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300</w:t>
            </w:r>
          </w:p>
        </w:tc>
        <w:tc>
          <w:tcPr>
            <w:tcW w:w="1444" w:type="dxa"/>
            <w:tcBorders>
              <w:tl2br w:val="nil"/>
              <w:tr2bl w:val="nil"/>
            </w:tcBorders>
            <w:shd w:val="clear" w:color="auto" w:fill="auto"/>
            <w:noWrap/>
            <w:vAlign w:val="center"/>
          </w:tcPr>
          <w:p w14:paraId="72F9E5C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7FF4C375">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p>
        </w:tc>
      </w:tr>
      <w:tr w14:paraId="701AC8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2" w:hRule="atLeast"/>
        </w:trPr>
        <w:tc>
          <w:tcPr>
            <w:tcW w:w="972" w:type="dxa"/>
            <w:tcBorders>
              <w:tl2br w:val="nil"/>
              <w:tr2bl w:val="nil"/>
            </w:tcBorders>
            <w:shd w:val="clear" w:color="auto" w:fill="auto"/>
            <w:vAlign w:val="center"/>
          </w:tcPr>
          <w:p w14:paraId="48DA77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2340" w:type="dxa"/>
            <w:tcBorders>
              <w:tl2br w:val="nil"/>
              <w:tr2bl w:val="nil"/>
            </w:tcBorders>
            <w:shd w:val="clear" w:color="auto" w:fill="auto"/>
            <w:noWrap/>
            <w:vAlign w:val="center"/>
          </w:tcPr>
          <w:p w14:paraId="562D3B2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配线</w:t>
            </w:r>
          </w:p>
        </w:tc>
        <w:tc>
          <w:tcPr>
            <w:tcW w:w="4607" w:type="dxa"/>
            <w:tcBorders>
              <w:tl2br w:val="nil"/>
              <w:tr2bl w:val="nil"/>
            </w:tcBorders>
            <w:shd w:val="clear" w:color="auto" w:fill="auto"/>
            <w:vAlign w:val="center"/>
          </w:tcPr>
          <w:p w14:paraId="67466AAB">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 配线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2、型号:ZR-BV2.5mm2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3、材质:铜（国标）铜芯线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4、配线部位:管内、墙体、吊顶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5、备注:</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远东、江南、上上</w:t>
            </w:r>
          </w:p>
        </w:tc>
        <w:tc>
          <w:tcPr>
            <w:tcW w:w="853" w:type="dxa"/>
            <w:tcBorders>
              <w:tl2br w:val="nil"/>
              <w:tr2bl w:val="nil"/>
            </w:tcBorders>
            <w:shd w:val="clear" w:color="auto" w:fill="auto"/>
            <w:noWrap/>
            <w:vAlign w:val="center"/>
          </w:tcPr>
          <w:p w14:paraId="01A3F7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321" w:type="dxa"/>
            <w:tcBorders>
              <w:tl2br w:val="nil"/>
              <w:tr2bl w:val="nil"/>
            </w:tcBorders>
            <w:shd w:val="clear" w:color="auto" w:fill="auto"/>
            <w:noWrap/>
            <w:vAlign w:val="center"/>
          </w:tcPr>
          <w:p w14:paraId="3B41B0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900</w:t>
            </w:r>
          </w:p>
        </w:tc>
        <w:tc>
          <w:tcPr>
            <w:tcW w:w="1444" w:type="dxa"/>
            <w:tcBorders>
              <w:tl2br w:val="nil"/>
              <w:tr2bl w:val="nil"/>
            </w:tcBorders>
            <w:shd w:val="clear" w:color="auto" w:fill="auto"/>
            <w:noWrap/>
            <w:vAlign w:val="center"/>
          </w:tcPr>
          <w:p w14:paraId="5FB3623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1B6170D0">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p>
        </w:tc>
      </w:tr>
      <w:tr w14:paraId="59AA70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2" w:hRule="atLeast"/>
        </w:trPr>
        <w:tc>
          <w:tcPr>
            <w:tcW w:w="972" w:type="dxa"/>
            <w:tcBorders>
              <w:tl2br w:val="nil"/>
              <w:tr2bl w:val="nil"/>
            </w:tcBorders>
            <w:shd w:val="clear" w:color="auto" w:fill="auto"/>
            <w:vAlign w:val="center"/>
          </w:tcPr>
          <w:p w14:paraId="4BBD18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40" w:type="dxa"/>
            <w:tcBorders>
              <w:tl2br w:val="nil"/>
              <w:tr2bl w:val="nil"/>
            </w:tcBorders>
            <w:shd w:val="clear" w:color="auto" w:fill="auto"/>
            <w:noWrap/>
            <w:vAlign w:val="center"/>
          </w:tcPr>
          <w:p w14:paraId="166A5A33">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配线</w:t>
            </w:r>
          </w:p>
        </w:tc>
        <w:tc>
          <w:tcPr>
            <w:tcW w:w="4607" w:type="dxa"/>
            <w:tcBorders>
              <w:tl2br w:val="nil"/>
              <w:tr2bl w:val="nil"/>
            </w:tcBorders>
            <w:shd w:val="clear" w:color="auto" w:fill="auto"/>
            <w:vAlign w:val="center"/>
          </w:tcPr>
          <w:p w14:paraId="4EF049B4">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 配线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2、型号:ZR-BV4mm2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3、材质:铜（国标）铜芯线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4、配线部位:空调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5、备注:</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远东、江南、上上</w:t>
            </w:r>
          </w:p>
        </w:tc>
        <w:tc>
          <w:tcPr>
            <w:tcW w:w="853" w:type="dxa"/>
            <w:tcBorders>
              <w:tl2br w:val="nil"/>
              <w:tr2bl w:val="nil"/>
            </w:tcBorders>
            <w:shd w:val="clear" w:color="auto" w:fill="auto"/>
            <w:noWrap/>
            <w:vAlign w:val="center"/>
          </w:tcPr>
          <w:p w14:paraId="065181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321" w:type="dxa"/>
            <w:tcBorders>
              <w:tl2br w:val="nil"/>
              <w:tr2bl w:val="nil"/>
            </w:tcBorders>
            <w:shd w:val="clear" w:color="auto" w:fill="auto"/>
            <w:noWrap/>
            <w:vAlign w:val="center"/>
          </w:tcPr>
          <w:p w14:paraId="4AD19C22">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500</w:t>
            </w:r>
          </w:p>
        </w:tc>
        <w:tc>
          <w:tcPr>
            <w:tcW w:w="1444" w:type="dxa"/>
            <w:tcBorders>
              <w:tl2br w:val="nil"/>
              <w:tr2bl w:val="nil"/>
            </w:tcBorders>
            <w:shd w:val="clear" w:color="auto" w:fill="auto"/>
            <w:noWrap/>
            <w:vAlign w:val="center"/>
          </w:tcPr>
          <w:p w14:paraId="69385BA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060CBA5F">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p>
        </w:tc>
      </w:tr>
      <w:tr w14:paraId="3A9AE0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2" w:hRule="atLeast"/>
        </w:trPr>
        <w:tc>
          <w:tcPr>
            <w:tcW w:w="972" w:type="dxa"/>
            <w:tcBorders>
              <w:tl2br w:val="nil"/>
              <w:tr2bl w:val="nil"/>
            </w:tcBorders>
            <w:shd w:val="clear" w:color="auto" w:fill="auto"/>
            <w:vAlign w:val="center"/>
          </w:tcPr>
          <w:p w14:paraId="227F04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19</w:t>
            </w:r>
          </w:p>
        </w:tc>
        <w:tc>
          <w:tcPr>
            <w:tcW w:w="2340" w:type="dxa"/>
            <w:tcBorders>
              <w:tl2br w:val="nil"/>
              <w:tr2bl w:val="nil"/>
            </w:tcBorders>
            <w:shd w:val="clear" w:color="auto" w:fill="auto"/>
            <w:noWrap/>
            <w:vAlign w:val="center"/>
          </w:tcPr>
          <w:p w14:paraId="79022CD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配线</w:t>
            </w:r>
          </w:p>
        </w:tc>
        <w:tc>
          <w:tcPr>
            <w:tcW w:w="4607" w:type="dxa"/>
            <w:tcBorders>
              <w:tl2br w:val="nil"/>
              <w:tr2bl w:val="nil"/>
            </w:tcBorders>
            <w:shd w:val="clear" w:color="auto" w:fill="auto"/>
            <w:vAlign w:val="center"/>
          </w:tcPr>
          <w:p w14:paraId="29D3572B">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 配线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2、型号:ZR-BV6mm2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3、材质:铜（国标）铜芯线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4、配线部位:空调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5、备注:</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远东、江南、上上</w:t>
            </w:r>
          </w:p>
        </w:tc>
        <w:tc>
          <w:tcPr>
            <w:tcW w:w="853" w:type="dxa"/>
            <w:tcBorders>
              <w:tl2br w:val="nil"/>
              <w:tr2bl w:val="nil"/>
            </w:tcBorders>
            <w:shd w:val="clear" w:color="auto" w:fill="auto"/>
            <w:noWrap/>
            <w:vAlign w:val="center"/>
          </w:tcPr>
          <w:p w14:paraId="75211D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321" w:type="dxa"/>
            <w:tcBorders>
              <w:tl2br w:val="nil"/>
              <w:tr2bl w:val="nil"/>
            </w:tcBorders>
            <w:shd w:val="clear" w:color="auto" w:fill="auto"/>
            <w:noWrap/>
            <w:vAlign w:val="center"/>
          </w:tcPr>
          <w:p w14:paraId="703204A6">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300</w:t>
            </w:r>
          </w:p>
        </w:tc>
        <w:tc>
          <w:tcPr>
            <w:tcW w:w="1444" w:type="dxa"/>
            <w:tcBorders>
              <w:tl2br w:val="nil"/>
              <w:tr2bl w:val="nil"/>
            </w:tcBorders>
            <w:shd w:val="clear" w:color="auto" w:fill="auto"/>
            <w:noWrap/>
            <w:vAlign w:val="center"/>
          </w:tcPr>
          <w:p w14:paraId="479D826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009FB828">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p>
        </w:tc>
      </w:tr>
      <w:tr w14:paraId="62949A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2" w:hRule="atLeast"/>
        </w:trPr>
        <w:tc>
          <w:tcPr>
            <w:tcW w:w="972" w:type="dxa"/>
            <w:tcBorders>
              <w:tl2br w:val="nil"/>
              <w:tr2bl w:val="nil"/>
            </w:tcBorders>
            <w:shd w:val="clear" w:color="auto" w:fill="auto"/>
            <w:vAlign w:val="center"/>
          </w:tcPr>
          <w:p w14:paraId="629EF86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2340" w:type="dxa"/>
            <w:tcBorders>
              <w:tl2br w:val="nil"/>
              <w:tr2bl w:val="nil"/>
            </w:tcBorders>
            <w:shd w:val="clear" w:color="auto" w:fill="auto"/>
            <w:noWrap/>
            <w:vAlign w:val="center"/>
          </w:tcPr>
          <w:p w14:paraId="0181D4B3">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网线</w:t>
            </w:r>
          </w:p>
        </w:tc>
        <w:tc>
          <w:tcPr>
            <w:tcW w:w="4607" w:type="dxa"/>
            <w:tcBorders>
              <w:tl2br w:val="nil"/>
              <w:tr2bl w:val="nil"/>
            </w:tcBorders>
            <w:shd w:val="clear" w:color="auto" w:fill="auto"/>
            <w:vAlign w:val="center"/>
          </w:tcPr>
          <w:p w14:paraId="5E698141">
            <w:pPr>
              <w:keepNext w:val="0"/>
              <w:keepLines w:val="0"/>
              <w:widowControl/>
              <w:numPr>
                <w:ilvl w:val="0"/>
                <w:numId w:val="17"/>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名称:网线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2、名称:六类8芯网线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3、材质:国标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4、安装方式:暗装</w:t>
            </w:r>
          </w:p>
          <w:p w14:paraId="7730B331">
            <w:pPr>
              <w:pStyle w:val="2"/>
              <w:numPr>
                <w:ilvl w:val="0"/>
                <w:numId w:val="0"/>
              </w:numPr>
              <w:rPr>
                <w:rFonts w:hint="eastAsia"/>
                <w:color w:val="000000" w:themeColor="text1"/>
                <w14:textFill>
                  <w14:solidFill>
                    <w14:schemeClr w14:val="tx1"/>
                  </w14:solidFill>
                </w14:textFill>
              </w:rPr>
            </w:pPr>
            <w:r>
              <w:rPr>
                <w:rFonts w:hint="eastAsia" w:cs="宋体"/>
                <w:i w:val="0"/>
                <w:iCs w:val="0"/>
                <w:color w:val="000000" w:themeColor="text1"/>
                <w:kern w:val="0"/>
                <w:sz w:val="21"/>
                <w:szCs w:val="21"/>
                <w:highlight w:val="none"/>
                <w:u w:val="none"/>
                <w:lang w:val="en-US" w:eastAsia="zh-CN" w:bidi="ar"/>
                <w14:textFill>
                  <w14:solidFill>
                    <w14:schemeClr w14:val="tx1"/>
                  </w14:solidFill>
                </w14:textFill>
              </w:rPr>
              <w:t>5、备注：东强、康普、一舟</w:t>
            </w:r>
          </w:p>
        </w:tc>
        <w:tc>
          <w:tcPr>
            <w:tcW w:w="853" w:type="dxa"/>
            <w:tcBorders>
              <w:tl2br w:val="nil"/>
              <w:tr2bl w:val="nil"/>
            </w:tcBorders>
            <w:shd w:val="clear" w:color="auto" w:fill="auto"/>
            <w:noWrap/>
            <w:vAlign w:val="center"/>
          </w:tcPr>
          <w:p w14:paraId="3163A7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321" w:type="dxa"/>
            <w:tcBorders>
              <w:tl2br w:val="nil"/>
              <w:tr2bl w:val="nil"/>
            </w:tcBorders>
            <w:shd w:val="clear" w:color="auto" w:fill="auto"/>
            <w:noWrap/>
            <w:vAlign w:val="center"/>
          </w:tcPr>
          <w:p w14:paraId="3154BD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600</w:t>
            </w:r>
          </w:p>
        </w:tc>
        <w:tc>
          <w:tcPr>
            <w:tcW w:w="1444" w:type="dxa"/>
            <w:tcBorders>
              <w:tl2br w:val="nil"/>
              <w:tr2bl w:val="nil"/>
            </w:tcBorders>
            <w:shd w:val="clear" w:color="auto" w:fill="auto"/>
            <w:noWrap/>
            <w:vAlign w:val="center"/>
          </w:tcPr>
          <w:p w14:paraId="3961B5C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18E123C3">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p>
        </w:tc>
      </w:tr>
      <w:tr w14:paraId="508550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2" w:hRule="atLeast"/>
        </w:trPr>
        <w:tc>
          <w:tcPr>
            <w:tcW w:w="972" w:type="dxa"/>
            <w:tcBorders>
              <w:tl2br w:val="nil"/>
              <w:tr2bl w:val="nil"/>
            </w:tcBorders>
            <w:shd w:val="clear" w:color="auto" w:fill="auto"/>
            <w:vAlign w:val="center"/>
          </w:tcPr>
          <w:p w14:paraId="3F1B2E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w:t>
            </w:r>
          </w:p>
        </w:tc>
        <w:tc>
          <w:tcPr>
            <w:tcW w:w="2340" w:type="dxa"/>
            <w:tcBorders>
              <w:tl2br w:val="nil"/>
              <w:tr2bl w:val="nil"/>
            </w:tcBorders>
            <w:shd w:val="clear" w:color="auto" w:fill="auto"/>
            <w:noWrap/>
            <w:vAlign w:val="center"/>
          </w:tcPr>
          <w:p w14:paraId="7822860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LED应急照明灯</w:t>
            </w:r>
          </w:p>
        </w:tc>
        <w:tc>
          <w:tcPr>
            <w:tcW w:w="4607" w:type="dxa"/>
            <w:tcBorders>
              <w:tl2br w:val="nil"/>
              <w:tr2bl w:val="nil"/>
            </w:tcBorders>
            <w:shd w:val="clear" w:color="auto" w:fill="auto"/>
            <w:vAlign w:val="center"/>
          </w:tcPr>
          <w:p w14:paraId="7C9188A1">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1、名称:LED应急照明灯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2、型号:双头灯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3、安装形式:壁装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4、最终灯具的样式、</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品牌、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色温等参数必须经建设单位</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认</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可后采购安装</w:t>
            </w:r>
          </w:p>
        </w:tc>
        <w:tc>
          <w:tcPr>
            <w:tcW w:w="853" w:type="dxa"/>
            <w:tcBorders>
              <w:tl2br w:val="nil"/>
              <w:tr2bl w:val="nil"/>
            </w:tcBorders>
            <w:shd w:val="clear" w:color="auto" w:fill="auto"/>
            <w:noWrap/>
            <w:vAlign w:val="center"/>
          </w:tcPr>
          <w:p w14:paraId="480B4C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321" w:type="dxa"/>
            <w:tcBorders>
              <w:tl2br w:val="nil"/>
              <w:tr2bl w:val="nil"/>
            </w:tcBorders>
            <w:shd w:val="clear" w:color="auto" w:fill="auto"/>
            <w:noWrap/>
            <w:vAlign w:val="center"/>
          </w:tcPr>
          <w:p w14:paraId="2F28DF3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444" w:type="dxa"/>
            <w:tcBorders>
              <w:tl2br w:val="nil"/>
              <w:tr2bl w:val="nil"/>
            </w:tcBorders>
            <w:shd w:val="clear" w:color="auto" w:fill="auto"/>
            <w:noWrap/>
            <w:vAlign w:val="center"/>
          </w:tcPr>
          <w:p w14:paraId="06085D2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7543DCD0">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p>
        </w:tc>
      </w:tr>
      <w:tr w14:paraId="2B2ACC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2" w:hRule="atLeast"/>
        </w:trPr>
        <w:tc>
          <w:tcPr>
            <w:tcW w:w="972" w:type="dxa"/>
            <w:tcBorders>
              <w:tl2br w:val="nil"/>
              <w:tr2bl w:val="nil"/>
            </w:tcBorders>
            <w:shd w:val="clear" w:color="auto" w:fill="auto"/>
            <w:vAlign w:val="center"/>
          </w:tcPr>
          <w:p w14:paraId="5577AF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2340" w:type="dxa"/>
            <w:tcBorders>
              <w:tl2br w:val="nil"/>
              <w:tr2bl w:val="nil"/>
            </w:tcBorders>
            <w:shd w:val="clear" w:color="auto" w:fill="auto"/>
            <w:noWrap/>
            <w:vAlign w:val="center"/>
          </w:tcPr>
          <w:p w14:paraId="57A524C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灯具照明</w:t>
            </w:r>
          </w:p>
        </w:tc>
        <w:tc>
          <w:tcPr>
            <w:tcW w:w="4607" w:type="dxa"/>
            <w:tcBorders>
              <w:tl2br w:val="nil"/>
              <w:tr2bl w:val="nil"/>
            </w:tcBorders>
            <w:shd w:val="clear" w:color="auto" w:fill="auto"/>
            <w:vAlign w:val="center"/>
          </w:tcPr>
          <w:p w14:paraId="03B3853F">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1、名称:灯具照明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2、型号:100*1200LED平板吊线灯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3、安装形式:吊装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4、最终灯具的样式、</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品牌、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色温等参数必须经建设单位</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认</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可后采购安装</w:t>
            </w:r>
          </w:p>
        </w:tc>
        <w:tc>
          <w:tcPr>
            <w:tcW w:w="853" w:type="dxa"/>
            <w:tcBorders>
              <w:tl2br w:val="nil"/>
              <w:tr2bl w:val="nil"/>
            </w:tcBorders>
            <w:shd w:val="clear" w:color="auto" w:fill="auto"/>
            <w:noWrap/>
            <w:vAlign w:val="center"/>
          </w:tcPr>
          <w:p w14:paraId="20FE03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321" w:type="dxa"/>
            <w:tcBorders>
              <w:tl2br w:val="nil"/>
              <w:tr2bl w:val="nil"/>
            </w:tcBorders>
            <w:shd w:val="clear" w:color="auto" w:fill="auto"/>
            <w:noWrap/>
            <w:vAlign w:val="center"/>
          </w:tcPr>
          <w:p w14:paraId="746E9F6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w:t>
            </w:r>
          </w:p>
        </w:tc>
        <w:tc>
          <w:tcPr>
            <w:tcW w:w="1444" w:type="dxa"/>
            <w:tcBorders>
              <w:tl2br w:val="nil"/>
              <w:tr2bl w:val="nil"/>
            </w:tcBorders>
            <w:shd w:val="clear" w:color="auto" w:fill="auto"/>
            <w:noWrap/>
            <w:vAlign w:val="center"/>
          </w:tcPr>
          <w:p w14:paraId="4A16F1E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142FA24D">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p>
        </w:tc>
      </w:tr>
      <w:tr w14:paraId="0BA8CD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2" w:hRule="atLeast"/>
        </w:trPr>
        <w:tc>
          <w:tcPr>
            <w:tcW w:w="972" w:type="dxa"/>
            <w:tcBorders>
              <w:tl2br w:val="nil"/>
              <w:tr2bl w:val="nil"/>
            </w:tcBorders>
            <w:shd w:val="clear" w:color="auto" w:fill="auto"/>
            <w:vAlign w:val="center"/>
          </w:tcPr>
          <w:p w14:paraId="5A2E966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w:t>
            </w:r>
          </w:p>
        </w:tc>
        <w:tc>
          <w:tcPr>
            <w:tcW w:w="2340" w:type="dxa"/>
            <w:tcBorders>
              <w:tl2br w:val="nil"/>
              <w:tr2bl w:val="nil"/>
            </w:tcBorders>
            <w:shd w:val="clear" w:color="auto" w:fill="auto"/>
            <w:noWrap/>
            <w:vAlign w:val="center"/>
          </w:tcPr>
          <w:p w14:paraId="7A4AD16A">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照明开关</w:t>
            </w:r>
          </w:p>
        </w:tc>
        <w:tc>
          <w:tcPr>
            <w:tcW w:w="4607" w:type="dxa"/>
            <w:tcBorders>
              <w:tl2br w:val="nil"/>
              <w:tr2bl w:val="nil"/>
            </w:tcBorders>
            <w:shd w:val="clear" w:color="auto" w:fill="auto"/>
            <w:vAlign w:val="center"/>
          </w:tcPr>
          <w:p w14:paraId="74CDAA26">
            <w:pPr>
              <w:keepNext w:val="0"/>
              <w:keepLines w:val="0"/>
              <w:widowControl/>
              <w:numPr>
                <w:ilvl w:val="0"/>
                <w:numId w:val="18"/>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名称:照明开关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2、名称:单控单联开关</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3、材质:塑料、阻燃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4、安装方式:暗装</w:t>
            </w:r>
          </w:p>
          <w:p w14:paraId="6DB11DCA">
            <w:pPr>
              <w:pStyle w:val="2"/>
              <w:numPr>
                <w:ilvl w:val="0"/>
                <w:numId w:val="0"/>
              </w:numPr>
              <w:rPr>
                <w:rFonts w:hint="eastAsia"/>
                <w:color w:val="000000" w:themeColor="text1"/>
                <w14:textFill>
                  <w14:solidFill>
                    <w14:schemeClr w14:val="tx1"/>
                  </w14:solidFill>
                </w14:textFill>
              </w:rPr>
            </w:pPr>
            <w:r>
              <w:rPr>
                <w:rFonts w:hint="eastAsia" w:cs="宋体"/>
                <w:i w:val="0"/>
                <w:iCs w:val="0"/>
                <w:color w:val="000000" w:themeColor="text1"/>
                <w:kern w:val="0"/>
                <w:sz w:val="21"/>
                <w:szCs w:val="21"/>
                <w:highlight w:val="none"/>
                <w:u w:val="none"/>
                <w:lang w:val="en-US" w:eastAsia="zh-CN" w:bidi="ar"/>
                <w14:textFill>
                  <w14:solidFill>
                    <w14:schemeClr w14:val="tx1"/>
                  </w14:solidFill>
                </w14:textFill>
              </w:rPr>
              <w:t>5、备注：正泰、飞雕、西蒙</w:t>
            </w:r>
          </w:p>
        </w:tc>
        <w:tc>
          <w:tcPr>
            <w:tcW w:w="853" w:type="dxa"/>
            <w:tcBorders>
              <w:tl2br w:val="nil"/>
              <w:tr2bl w:val="nil"/>
            </w:tcBorders>
            <w:shd w:val="clear" w:color="auto" w:fill="auto"/>
            <w:noWrap/>
            <w:vAlign w:val="center"/>
          </w:tcPr>
          <w:p w14:paraId="28B4FC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321" w:type="dxa"/>
            <w:tcBorders>
              <w:tl2br w:val="nil"/>
              <w:tr2bl w:val="nil"/>
            </w:tcBorders>
            <w:shd w:val="clear" w:color="auto" w:fill="auto"/>
            <w:noWrap/>
            <w:vAlign w:val="center"/>
          </w:tcPr>
          <w:p w14:paraId="3F3B5F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444" w:type="dxa"/>
            <w:tcBorders>
              <w:tl2br w:val="nil"/>
              <w:tr2bl w:val="nil"/>
            </w:tcBorders>
            <w:shd w:val="clear" w:color="auto" w:fill="auto"/>
            <w:noWrap/>
            <w:vAlign w:val="center"/>
          </w:tcPr>
          <w:p w14:paraId="15BF3B9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2EFB3DE5">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p>
        </w:tc>
      </w:tr>
      <w:tr w14:paraId="2ADEAD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2" w:hRule="atLeast"/>
        </w:trPr>
        <w:tc>
          <w:tcPr>
            <w:tcW w:w="972" w:type="dxa"/>
            <w:tcBorders>
              <w:tl2br w:val="nil"/>
              <w:tr2bl w:val="nil"/>
            </w:tcBorders>
            <w:shd w:val="clear" w:color="auto" w:fill="auto"/>
            <w:vAlign w:val="center"/>
          </w:tcPr>
          <w:p w14:paraId="44C7B7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2340" w:type="dxa"/>
            <w:tcBorders>
              <w:tl2br w:val="nil"/>
              <w:tr2bl w:val="nil"/>
            </w:tcBorders>
            <w:shd w:val="clear" w:color="auto" w:fill="auto"/>
            <w:noWrap/>
            <w:vAlign w:val="center"/>
          </w:tcPr>
          <w:p w14:paraId="3CAF1BC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照明开关</w:t>
            </w:r>
          </w:p>
        </w:tc>
        <w:tc>
          <w:tcPr>
            <w:tcW w:w="4607" w:type="dxa"/>
            <w:tcBorders>
              <w:tl2br w:val="nil"/>
              <w:tr2bl w:val="nil"/>
            </w:tcBorders>
            <w:shd w:val="clear" w:color="auto" w:fill="auto"/>
            <w:vAlign w:val="center"/>
          </w:tcPr>
          <w:p w14:paraId="354D0CF7">
            <w:pPr>
              <w:keepNext w:val="0"/>
              <w:keepLines w:val="0"/>
              <w:widowControl/>
              <w:numPr>
                <w:ilvl w:val="0"/>
                <w:numId w:val="19"/>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名称:照明开关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2、名称:双控单联开关</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3、材质:塑料、阻燃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4、安装方式:暗装</w:t>
            </w:r>
          </w:p>
          <w:p w14:paraId="70D03CDD">
            <w:pPr>
              <w:pStyle w:val="2"/>
              <w:numPr>
                <w:ilvl w:val="0"/>
                <w:numId w:val="0"/>
              </w:numPr>
              <w:rPr>
                <w:rFonts w:hint="eastAsia"/>
                <w:color w:val="000000" w:themeColor="text1"/>
                <w14:textFill>
                  <w14:solidFill>
                    <w14:schemeClr w14:val="tx1"/>
                  </w14:solidFill>
                </w14:textFill>
              </w:rPr>
            </w:pPr>
            <w:r>
              <w:rPr>
                <w:rFonts w:hint="eastAsia" w:cs="宋体"/>
                <w:i w:val="0"/>
                <w:iCs w:val="0"/>
                <w:color w:val="000000" w:themeColor="text1"/>
                <w:kern w:val="0"/>
                <w:sz w:val="21"/>
                <w:szCs w:val="21"/>
                <w:highlight w:val="none"/>
                <w:u w:val="none"/>
                <w:lang w:val="en-US" w:eastAsia="zh-CN" w:bidi="ar"/>
                <w14:textFill>
                  <w14:solidFill>
                    <w14:schemeClr w14:val="tx1"/>
                  </w14:solidFill>
                </w14:textFill>
              </w:rPr>
              <w:t>5、备注：正泰、飞雕、西蒙</w:t>
            </w:r>
          </w:p>
        </w:tc>
        <w:tc>
          <w:tcPr>
            <w:tcW w:w="853" w:type="dxa"/>
            <w:tcBorders>
              <w:tl2br w:val="nil"/>
              <w:tr2bl w:val="nil"/>
            </w:tcBorders>
            <w:shd w:val="clear" w:color="auto" w:fill="auto"/>
            <w:noWrap/>
            <w:vAlign w:val="center"/>
          </w:tcPr>
          <w:p w14:paraId="58F72D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321" w:type="dxa"/>
            <w:tcBorders>
              <w:tl2br w:val="nil"/>
              <w:tr2bl w:val="nil"/>
            </w:tcBorders>
            <w:shd w:val="clear" w:color="auto" w:fill="auto"/>
            <w:noWrap/>
            <w:vAlign w:val="center"/>
          </w:tcPr>
          <w:p w14:paraId="058B86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444" w:type="dxa"/>
            <w:tcBorders>
              <w:tl2br w:val="nil"/>
              <w:tr2bl w:val="nil"/>
            </w:tcBorders>
            <w:shd w:val="clear" w:color="auto" w:fill="auto"/>
            <w:noWrap/>
            <w:vAlign w:val="center"/>
          </w:tcPr>
          <w:p w14:paraId="177EC2E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7EEA1EE7">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p>
        </w:tc>
      </w:tr>
      <w:tr w14:paraId="6D0580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2" w:hRule="atLeast"/>
        </w:trPr>
        <w:tc>
          <w:tcPr>
            <w:tcW w:w="972" w:type="dxa"/>
            <w:tcBorders>
              <w:tl2br w:val="nil"/>
              <w:tr2bl w:val="nil"/>
            </w:tcBorders>
            <w:shd w:val="clear" w:color="auto" w:fill="auto"/>
            <w:vAlign w:val="center"/>
          </w:tcPr>
          <w:p w14:paraId="2D619A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w:t>
            </w:r>
          </w:p>
        </w:tc>
        <w:tc>
          <w:tcPr>
            <w:tcW w:w="2340" w:type="dxa"/>
            <w:tcBorders>
              <w:tl2br w:val="nil"/>
              <w:tr2bl w:val="nil"/>
            </w:tcBorders>
            <w:shd w:val="clear" w:color="auto" w:fill="auto"/>
            <w:noWrap/>
            <w:vAlign w:val="center"/>
          </w:tcPr>
          <w:p w14:paraId="423A9A9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五孔插座</w:t>
            </w:r>
          </w:p>
        </w:tc>
        <w:tc>
          <w:tcPr>
            <w:tcW w:w="4607" w:type="dxa"/>
            <w:tcBorders>
              <w:tl2br w:val="nil"/>
              <w:tr2bl w:val="nil"/>
            </w:tcBorders>
            <w:shd w:val="clear" w:color="auto" w:fill="auto"/>
            <w:vAlign w:val="center"/>
          </w:tcPr>
          <w:p w14:paraId="49020F66">
            <w:pPr>
              <w:keepNext w:val="0"/>
              <w:keepLines w:val="0"/>
              <w:widowControl/>
              <w:numPr>
                <w:ilvl w:val="0"/>
                <w:numId w:val="2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名称:五孔插座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2、材质:塑料、阻燃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3、安装方式:暗装</w:t>
            </w:r>
          </w:p>
          <w:p w14:paraId="3DC56C0B">
            <w:pPr>
              <w:pStyle w:val="2"/>
              <w:numPr>
                <w:ilvl w:val="0"/>
                <w:numId w:val="0"/>
              </w:numPr>
              <w:rPr>
                <w:rFonts w:hint="eastAsia"/>
                <w:color w:val="000000" w:themeColor="text1"/>
                <w14:textFill>
                  <w14:solidFill>
                    <w14:schemeClr w14:val="tx1"/>
                  </w14:solidFill>
                </w14:textFill>
              </w:rPr>
            </w:pPr>
            <w:r>
              <w:rPr>
                <w:rFonts w:hint="eastAsia" w:cs="宋体"/>
                <w:i w:val="0"/>
                <w:iCs w:val="0"/>
                <w:color w:val="000000" w:themeColor="text1"/>
                <w:kern w:val="0"/>
                <w:sz w:val="21"/>
                <w:szCs w:val="21"/>
                <w:highlight w:val="none"/>
                <w:u w:val="none"/>
                <w:lang w:val="en-US" w:eastAsia="zh-CN" w:bidi="ar"/>
                <w14:textFill>
                  <w14:solidFill>
                    <w14:schemeClr w14:val="tx1"/>
                  </w14:solidFill>
                </w14:textFill>
              </w:rPr>
              <w:t>4、备注：正泰、飞雕、西蒙</w:t>
            </w:r>
          </w:p>
        </w:tc>
        <w:tc>
          <w:tcPr>
            <w:tcW w:w="853" w:type="dxa"/>
            <w:tcBorders>
              <w:tl2br w:val="nil"/>
              <w:tr2bl w:val="nil"/>
            </w:tcBorders>
            <w:shd w:val="clear" w:color="auto" w:fill="auto"/>
            <w:noWrap/>
            <w:vAlign w:val="center"/>
          </w:tcPr>
          <w:p w14:paraId="079BAF6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321" w:type="dxa"/>
            <w:tcBorders>
              <w:tl2br w:val="nil"/>
              <w:tr2bl w:val="nil"/>
            </w:tcBorders>
            <w:shd w:val="clear" w:color="auto" w:fill="auto"/>
            <w:noWrap/>
            <w:vAlign w:val="center"/>
          </w:tcPr>
          <w:p w14:paraId="4C01B4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1444" w:type="dxa"/>
            <w:tcBorders>
              <w:tl2br w:val="nil"/>
              <w:tr2bl w:val="nil"/>
            </w:tcBorders>
            <w:shd w:val="clear" w:color="auto" w:fill="auto"/>
            <w:noWrap/>
            <w:vAlign w:val="center"/>
          </w:tcPr>
          <w:p w14:paraId="3D76A40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22C32867">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p>
        </w:tc>
      </w:tr>
      <w:tr w14:paraId="5A1B28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2" w:hRule="atLeast"/>
        </w:trPr>
        <w:tc>
          <w:tcPr>
            <w:tcW w:w="972" w:type="dxa"/>
            <w:tcBorders>
              <w:tl2br w:val="nil"/>
              <w:tr2bl w:val="nil"/>
            </w:tcBorders>
            <w:shd w:val="clear" w:color="auto" w:fill="auto"/>
            <w:vAlign w:val="center"/>
          </w:tcPr>
          <w:p w14:paraId="3DC4C5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w:t>
            </w:r>
          </w:p>
        </w:tc>
        <w:tc>
          <w:tcPr>
            <w:tcW w:w="2340" w:type="dxa"/>
            <w:tcBorders>
              <w:tl2br w:val="nil"/>
              <w:tr2bl w:val="nil"/>
            </w:tcBorders>
            <w:shd w:val="clear" w:color="auto" w:fill="auto"/>
            <w:noWrap/>
            <w:vAlign w:val="center"/>
          </w:tcPr>
          <w:p w14:paraId="5733536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空调专用箱</w:t>
            </w:r>
          </w:p>
        </w:tc>
        <w:tc>
          <w:tcPr>
            <w:tcW w:w="4607" w:type="dxa"/>
            <w:tcBorders>
              <w:tl2br w:val="nil"/>
              <w:tr2bl w:val="nil"/>
            </w:tcBorders>
            <w:shd w:val="clear" w:color="auto" w:fill="auto"/>
            <w:vAlign w:val="center"/>
          </w:tcPr>
          <w:p w14:paraId="6BDCAF32">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1、名称:5匹空调专用箱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2、材质:塑料、阻燃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3、安装方式:暗装</w:t>
            </w:r>
          </w:p>
        </w:tc>
        <w:tc>
          <w:tcPr>
            <w:tcW w:w="853" w:type="dxa"/>
            <w:tcBorders>
              <w:tl2br w:val="nil"/>
              <w:tr2bl w:val="nil"/>
            </w:tcBorders>
            <w:shd w:val="clear" w:color="auto" w:fill="auto"/>
            <w:noWrap/>
            <w:vAlign w:val="center"/>
          </w:tcPr>
          <w:p w14:paraId="2E709D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321" w:type="dxa"/>
            <w:tcBorders>
              <w:tl2br w:val="nil"/>
              <w:tr2bl w:val="nil"/>
            </w:tcBorders>
            <w:shd w:val="clear" w:color="auto" w:fill="auto"/>
            <w:noWrap/>
            <w:vAlign w:val="center"/>
          </w:tcPr>
          <w:p w14:paraId="78EC025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444" w:type="dxa"/>
            <w:tcBorders>
              <w:tl2br w:val="nil"/>
              <w:tr2bl w:val="nil"/>
            </w:tcBorders>
            <w:shd w:val="clear" w:color="auto" w:fill="auto"/>
            <w:noWrap/>
            <w:vAlign w:val="center"/>
          </w:tcPr>
          <w:p w14:paraId="59F65DF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3E7D6782">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p>
        </w:tc>
      </w:tr>
      <w:tr w14:paraId="55FB49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2" w:hRule="atLeast"/>
        </w:trPr>
        <w:tc>
          <w:tcPr>
            <w:tcW w:w="972" w:type="dxa"/>
            <w:tcBorders>
              <w:tl2br w:val="nil"/>
              <w:tr2bl w:val="nil"/>
            </w:tcBorders>
            <w:shd w:val="clear" w:color="auto" w:fill="auto"/>
            <w:vAlign w:val="center"/>
          </w:tcPr>
          <w:p w14:paraId="700D78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w:t>
            </w:r>
          </w:p>
        </w:tc>
        <w:tc>
          <w:tcPr>
            <w:tcW w:w="2340" w:type="dxa"/>
            <w:tcBorders>
              <w:tl2br w:val="nil"/>
              <w:tr2bl w:val="nil"/>
            </w:tcBorders>
            <w:shd w:val="clear" w:color="auto" w:fill="auto"/>
            <w:noWrap/>
            <w:vAlign w:val="center"/>
          </w:tcPr>
          <w:p w14:paraId="609385C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网络插座</w:t>
            </w:r>
          </w:p>
        </w:tc>
        <w:tc>
          <w:tcPr>
            <w:tcW w:w="4607" w:type="dxa"/>
            <w:tcBorders>
              <w:tl2br w:val="nil"/>
              <w:tr2bl w:val="nil"/>
            </w:tcBorders>
            <w:shd w:val="clear" w:color="auto" w:fill="auto"/>
            <w:vAlign w:val="center"/>
          </w:tcPr>
          <w:p w14:paraId="72E6F176">
            <w:pPr>
              <w:keepNext w:val="0"/>
              <w:keepLines w:val="0"/>
              <w:widowControl/>
              <w:numPr>
                <w:ilvl w:val="0"/>
                <w:numId w:val="21"/>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名称:网络插座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2、材质:塑料、阻燃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3、安装方式:暗装</w:t>
            </w:r>
          </w:p>
          <w:p w14:paraId="7AEEF456">
            <w:pPr>
              <w:pStyle w:val="2"/>
              <w:numPr>
                <w:ilvl w:val="0"/>
                <w:numId w:val="0"/>
              </w:numPr>
              <w:rPr>
                <w:rFonts w:hint="eastAsia"/>
                <w:color w:val="000000" w:themeColor="text1"/>
                <w14:textFill>
                  <w14:solidFill>
                    <w14:schemeClr w14:val="tx1"/>
                  </w14:solidFill>
                </w14:textFill>
              </w:rPr>
            </w:pPr>
            <w:r>
              <w:rPr>
                <w:rFonts w:hint="eastAsia" w:cs="宋体"/>
                <w:i w:val="0"/>
                <w:iCs w:val="0"/>
                <w:color w:val="000000" w:themeColor="text1"/>
                <w:kern w:val="0"/>
                <w:sz w:val="21"/>
                <w:szCs w:val="21"/>
                <w:highlight w:val="none"/>
                <w:u w:val="none"/>
                <w:lang w:val="en-US" w:eastAsia="zh-CN" w:bidi="ar"/>
                <w14:textFill>
                  <w14:solidFill>
                    <w14:schemeClr w14:val="tx1"/>
                  </w14:solidFill>
                </w14:textFill>
              </w:rPr>
              <w:t>4、备注：正泰、飞雕、西蒙</w:t>
            </w:r>
          </w:p>
        </w:tc>
        <w:tc>
          <w:tcPr>
            <w:tcW w:w="853" w:type="dxa"/>
            <w:tcBorders>
              <w:tl2br w:val="nil"/>
              <w:tr2bl w:val="nil"/>
            </w:tcBorders>
            <w:shd w:val="clear" w:color="auto" w:fill="auto"/>
            <w:noWrap/>
            <w:vAlign w:val="center"/>
          </w:tcPr>
          <w:p w14:paraId="0B4107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321" w:type="dxa"/>
            <w:tcBorders>
              <w:tl2br w:val="nil"/>
              <w:tr2bl w:val="nil"/>
            </w:tcBorders>
            <w:shd w:val="clear" w:color="auto" w:fill="auto"/>
            <w:noWrap/>
            <w:vAlign w:val="center"/>
          </w:tcPr>
          <w:p w14:paraId="4F47BE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444" w:type="dxa"/>
            <w:tcBorders>
              <w:tl2br w:val="nil"/>
              <w:tr2bl w:val="nil"/>
            </w:tcBorders>
            <w:shd w:val="clear" w:color="auto" w:fill="auto"/>
            <w:noWrap/>
            <w:vAlign w:val="center"/>
          </w:tcPr>
          <w:p w14:paraId="0E24803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63C2A1EA">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p>
        </w:tc>
      </w:tr>
      <w:tr w14:paraId="49AF33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2" w:hRule="atLeast"/>
        </w:trPr>
        <w:tc>
          <w:tcPr>
            <w:tcW w:w="972" w:type="dxa"/>
            <w:tcBorders>
              <w:tl2br w:val="nil"/>
              <w:tr2bl w:val="nil"/>
            </w:tcBorders>
            <w:shd w:val="clear" w:color="auto" w:fill="auto"/>
            <w:vAlign w:val="center"/>
          </w:tcPr>
          <w:p w14:paraId="2522A66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w:t>
            </w:r>
          </w:p>
        </w:tc>
        <w:tc>
          <w:tcPr>
            <w:tcW w:w="2340" w:type="dxa"/>
            <w:tcBorders>
              <w:tl2br w:val="nil"/>
              <w:tr2bl w:val="nil"/>
            </w:tcBorders>
            <w:shd w:val="clear" w:color="auto" w:fill="auto"/>
            <w:noWrap/>
            <w:vAlign w:val="center"/>
          </w:tcPr>
          <w:p w14:paraId="124F8F4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网络铜地插</w:t>
            </w:r>
          </w:p>
        </w:tc>
        <w:tc>
          <w:tcPr>
            <w:tcW w:w="4607" w:type="dxa"/>
            <w:tcBorders>
              <w:tl2br w:val="nil"/>
              <w:tr2bl w:val="nil"/>
            </w:tcBorders>
            <w:shd w:val="clear" w:color="auto" w:fill="auto"/>
            <w:vAlign w:val="center"/>
          </w:tcPr>
          <w:p w14:paraId="6C1A443C">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1、名称:网络铜地插 （TCL、嘉美、欧普）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2、材质:阻燃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3、安装方式:暗装</w:t>
            </w:r>
          </w:p>
        </w:tc>
        <w:tc>
          <w:tcPr>
            <w:tcW w:w="853" w:type="dxa"/>
            <w:tcBorders>
              <w:tl2br w:val="nil"/>
              <w:tr2bl w:val="nil"/>
            </w:tcBorders>
            <w:shd w:val="clear" w:color="auto" w:fill="auto"/>
            <w:noWrap/>
            <w:vAlign w:val="center"/>
          </w:tcPr>
          <w:p w14:paraId="205702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321" w:type="dxa"/>
            <w:tcBorders>
              <w:tl2br w:val="nil"/>
              <w:tr2bl w:val="nil"/>
            </w:tcBorders>
            <w:shd w:val="clear" w:color="auto" w:fill="auto"/>
            <w:noWrap/>
            <w:vAlign w:val="center"/>
          </w:tcPr>
          <w:p w14:paraId="3B50F7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444" w:type="dxa"/>
            <w:tcBorders>
              <w:tl2br w:val="nil"/>
              <w:tr2bl w:val="nil"/>
            </w:tcBorders>
            <w:shd w:val="clear" w:color="auto" w:fill="auto"/>
            <w:noWrap/>
            <w:vAlign w:val="center"/>
          </w:tcPr>
          <w:p w14:paraId="1795C66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2D7C79CA">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p>
        </w:tc>
      </w:tr>
      <w:tr w14:paraId="7755D5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2" w:hRule="atLeast"/>
        </w:trPr>
        <w:tc>
          <w:tcPr>
            <w:tcW w:w="972" w:type="dxa"/>
            <w:tcBorders>
              <w:tl2br w:val="nil"/>
              <w:tr2bl w:val="nil"/>
            </w:tcBorders>
            <w:shd w:val="clear" w:color="auto" w:fill="auto"/>
            <w:vAlign w:val="center"/>
          </w:tcPr>
          <w:p w14:paraId="7799E4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w:t>
            </w:r>
          </w:p>
        </w:tc>
        <w:tc>
          <w:tcPr>
            <w:tcW w:w="2340" w:type="dxa"/>
            <w:tcBorders>
              <w:tl2br w:val="nil"/>
              <w:tr2bl w:val="nil"/>
            </w:tcBorders>
            <w:shd w:val="clear" w:color="auto" w:fill="auto"/>
            <w:noWrap/>
            <w:vAlign w:val="center"/>
          </w:tcPr>
          <w:p w14:paraId="34D2E826">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铜地插</w:t>
            </w:r>
          </w:p>
        </w:tc>
        <w:tc>
          <w:tcPr>
            <w:tcW w:w="4607" w:type="dxa"/>
            <w:tcBorders>
              <w:tl2br w:val="nil"/>
              <w:tr2bl w:val="nil"/>
            </w:tcBorders>
            <w:shd w:val="clear" w:color="auto" w:fill="auto"/>
            <w:vAlign w:val="center"/>
          </w:tcPr>
          <w:p w14:paraId="5E21CA48">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1、名称:网络双孔铜地插  （TCL、嘉美、欧普）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2、材质:阻燃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3、安装方式:暗装</w:t>
            </w:r>
          </w:p>
        </w:tc>
        <w:tc>
          <w:tcPr>
            <w:tcW w:w="853" w:type="dxa"/>
            <w:tcBorders>
              <w:tl2br w:val="nil"/>
              <w:tr2bl w:val="nil"/>
            </w:tcBorders>
            <w:shd w:val="clear" w:color="auto" w:fill="auto"/>
            <w:noWrap/>
            <w:vAlign w:val="center"/>
          </w:tcPr>
          <w:p w14:paraId="14E2C3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321" w:type="dxa"/>
            <w:tcBorders>
              <w:tl2br w:val="nil"/>
              <w:tr2bl w:val="nil"/>
            </w:tcBorders>
            <w:shd w:val="clear" w:color="auto" w:fill="auto"/>
            <w:noWrap/>
            <w:vAlign w:val="center"/>
          </w:tcPr>
          <w:p w14:paraId="5590D6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5</w:t>
            </w:r>
          </w:p>
        </w:tc>
        <w:tc>
          <w:tcPr>
            <w:tcW w:w="1444" w:type="dxa"/>
            <w:tcBorders>
              <w:tl2br w:val="nil"/>
              <w:tr2bl w:val="nil"/>
            </w:tcBorders>
            <w:shd w:val="clear" w:color="auto" w:fill="auto"/>
            <w:noWrap/>
            <w:vAlign w:val="center"/>
          </w:tcPr>
          <w:p w14:paraId="4CA10BD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413ED376">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p>
        </w:tc>
      </w:tr>
      <w:tr w14:paraId="2AB789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2" w:hRule="atLeast"/>
        </w:trPr>
        <w:tc>
          <w:tcPr>
            <w:tcW w:w="972" w:type="dxa"/>
            <w:tcBorders>
              <w:tl2br w:val="nil"/>
              <w:tr2bl w:val="nil"/>
            </w:tcBorders>
            <w:shd w:val="clear" w:color="auto" w:fill="auto"/>
            <w:vAlign w:val="center"/>
          </w:tcPr>
          <w:p w14:paraId="71647C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2340" w:type="dxa"/>
            <w:tcBorders>
              <w:tl2br w:val="nil"/>
              <w:tr2bl w:val="nil"/>
            </w:tcBorders>
            <w:shd w:val="clear" w:color="auto" w:fill="auto"/>
            <w:noWrap/>
            <w:vAlign w:val="center"/>
          </w:tcPr>
          <w:p w14:paraId="729ACA8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接线盒、开关盒</w:t>
            </w:r>
          </w:p>
        </w:tc>
        <w:tc>
          <w:tcPr>
            <w:tcW w:w="4607" w:type="dxa"/>
            <w:tcBorders>
              <w:tl2br w:val="nil"/>
              <w:tr2bl w:val="nil"/>
            </w:tcBorders>
            <w:shd w:val="clear" w:color="auto" w:fill="auto"/>
            <w:vAlign w:val="center"/>
          </w:tcPr>
          <w:p w14:paraId="3C804C84">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1、名称:接线盒、开关盒</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2、材质:塑料</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3、规格:86型</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4、安装形式:暗配</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5、考虑线盒开洞修复等费用</w:t>
            </w:r>
          </w:p>
        </w:tc>
        <w:tc>
          <w:tcPr>
            <w:tcW w:w="853" w:type="dxa"/>
            <w:tcBorders>
              <w:tl2br w:val="nil"/>
              <w:tr2bl w:val="nil"/>
            </w:tcBorders>
            <w:shd w:val="clear" w:color="auto" w:fill="auto"/>
            <w:noWrap/>
            <w:vAlign w:val="center"/>
          </w:tcPr>
          <w:p w14:paraId="234FF2D9">
            <w:pPr>
              <w:keepNext w:val="0"/>
              <w:keepLines w:val="0"/>
              <w:widowControl/>
              <w:suppressLineNumbers w:val="0"/>
              <w:ind w:firstLine="210" w:firstLineChars="10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321" w:type="dxa"/>
            <w:tcBorders>
              <w:tl2br w:val="nil"/>
              <w:tr2bl w:val="nil"/>
            </w:tcBorders>
            <w:shd w:val="clear" w:color="auto" w:fill="auto"/>
            <w:noWrap/>
            <w:vAlign w:val="center"/>
          </w:tcPr>
          <w:p w14:paraId="4AEBA4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76</w:t>
            </w:r>
          </w:p>
        </w:tc>
        <w:tc>
          <w:tcPr>
            <w:tcW w:w="1444" w:type="dxa"/>
            <w:tcBorders>
              <w:tl2br w:val="nil"/>
              <w:tr2bl w:val="nil"/>
            </w:tcBorders>
            <w:shd w:val="clear" w:color="auto" w:fill="auto"/>
            <w:noWrap/>
            <w:vAlign w:val="center"/>
          </w:tcPr>
          <w:p w14:paraId="2F34AFC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6477A0EF">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p>
        </w:tc>
      </w:tr>
      <w:tr w14:paraId="38F1C6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2" w:hRule="atLeast"/>
        </w:trPr>
        <w:tc>
          <w:tcPr>
            <w:tcW w:w="972" w:type="dxa"/>
            <w:tcBorders>
              <w:tl2br w:val="nil"/>
              <w:tr2bl w:val="nil"/>
            </w:tcBorders>
            <w:shd w:val="clear" w:color="auto" w:fill="auto"/>
            <w:vAlign w:val="center"/>
          </w:tcPr>
          <w:p w14:paraId="69E5F8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31</w:t>
            </w:r>
          </w:p>
        </w:tc>
        <w:tc>
          <w:tcPr>
            <w:tcW w:w="2340" w:type="dxa"/>
            <w:tcBorders>
              <w:tl2br w:val="nil"/>
              <w:tr2bl w:val="nil"/>
            </w:tcBorders>
            <w:shd w:val="clear" w:color="auto" w:fill="auto"/>
            <w:noWrap/>
            <w:vAlign w:val="center"/>
          </w:tcPr>
          <w:p w14:paraId="2C3E7792">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脚手架</w:t>
            </w:r>
          </w:p>
        </w:tc>
        <w:tc>
          <w:tcPr>
            <w:tcW w:w="4607" w:type="dxa"/>
            <w:tcBorders>
              <w:tl2br w:val="nil"/>
              <w:tr2bl w:val="nil"/>
            </w:tcBorders>
            <w:shd w:val="clear" w:color="auto" w:fill="auto"/>
            <w:vAlign w:val="center"/>
          </w:tcPr>
          <w:p w14:paraId="49E81114">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1、名称:脚手架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2、该项包死、结算时不调整</w:t>
            </w:r>
          </w:p>
        </w:tc>
        <w:tc>
          <w:tcPr>
            <w:tcW w:w="853" w:type="dxa"/>
            <w:tcBorders>
              <w:tl2br w:val="nil"/>
              <w:tr2bl w:val="nil"/>
            </w:tcBorders>
            <w:shd w:val="clear" w:color="auto" w:fill="auto"/>
            <w:noWrap/>
            <w:vAlign w:val="center"/>
          </w:tcPr>
          <w:p w14:paraId="0495D7E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1321" w:type="dxa"/>
            <w:tcBorders>
              <w:tl2br w:val="nil"/>
              <w:tr2bl w:val="nil"/>
            </w:tcBorders>
            <w:shd w:val="clear" w:color="auto" w:fill="auto"/>
            <w:noWrap/>
            <w:vAlign w:val="center"/>
          </w:tcPr>
          <w:p w14:paraId="5A89D5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444" w:type="dxa"/>
            <w:tcBorders>
              <w:tl2br w:val="nil"/>
              <w:tr2bl w:val="nil"/>
            </w:tcBorders>
            <w:shd w:val="clear" w:color="auto" w:fill="auto"/>
            <w:noWrap/>
            <w:vAlign w:val="center"/>
          </w:tcPr>
          <w:p w14:paraId="19DAC06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7D46313E">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p>
        </w:tc>
      </w:tr>
      <w:tr w14:paraId="73D21E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2" w:hRule="atLeast"/>
        </w:trPr>
        <w:tc>
          <w:tcPr>
            <w:tcW w:w="972" w:type="dxa"/>
            <w:tcBorders>
              <w:tl2br w:val="nil"/>
              <w:tr2bl w:val="nil"/>
            </w:tcBorders>
            <w:shd w:val="clear" w:color="auto" w:fill="auto"/>
            <w:vAlign w:val="center"/>
          </w:tcPr>
          <w:p w14:paraId="58A660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32</w:t>
            </w:r>
          </w:p>
        </w:tc>
        <w:tc>
          <w:tcPr>
            <w:tcW w:w="2340" w:type="dxa"/>
            <w:tcBorders>
              <w:tl2br w:val="nil"/>
              <w:tr2bl w:val="nil"/>
            </w:tcBorders>
            <w:shd w:val="clear" w:color="auto" w:fill="auto"/>
            <w:noWrap/>
            <w:vAlign w:val="center"/>
          </w:tcPr>
          <w:p w14:paraId="193AC15E">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其他</w:t>
            </w:r>
          </w:p>
        </w:tc>
        <w:tc>
          <w:tcPr>
            <w:tcW w:w="4607" w:type="dxa"/>
            <w:tcBorders>
              <w:tl2br w:val="nil"/>
              <w:tr2bl w:val="nil"/>
            </w:tcBorders>
            <w:shd w:val="clear" w:color="auto" w:fill="auto"/>
            <w:vAlign w:val="center"/>
          </w:tcPr>
          <w:p w14:paraId="5C63B5A2">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原有电气、消防、其他安装设备按照现有设计拆除整改、防护封堵，凿补墙槽及墙洞，调试运行、投标人认为完成该项内容所增加项，施工必须满足验收，所增加一切费用综合考虑（不含大型机器、设备拆除搬运）</w:t>
            </w:r>
          </w:p>
        </w:tc>
        <w:tc>
          <w:tcPr>
            <w:tcW w:w="853" w:type="dxa"/>
            <w:tcBorders>
              <w:tl2br w:val="nil"/>
              <w:tr2bl w:val="nil"/>
            </w:tcBorders>
            <w:shd w:val="clear" w:color="auto" w:fill="auto"/>
            <w:noWrap/>
            <w:vAlign w:val="center"/>
          </w:tcPr>
          <w:p w14:paraId="4B69FB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1321" w:type="dxa"/>
            <w:tcBorders>
              <w:tl2br w:val="nil"/>
              <w:tr2bl w:val="nil"/>
            </w:tcBorders>
            <w:shd w:val="clear" w:color="auto" w:fill="auto"/>
            <w:noWrap/>
            <w:vAlign w:val="center"/>
          </w:tcPr>
          <w:p w14:paraId="3424B5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444" w:type="dxa"/>
            <w:tcBorders>
              <w:tl2br w:val="nil"/>
              <w:tr2bl w:val="nil"/>
            </w:tcBorders>
            <w:shd w:val="clear" w:color="auto" w:fill="auto"/>
            <w:noWrap/>
            <w:vAlign w:val="center"/>
          </w:tcPr>
          <w:p w14:paraId="7A04713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7E375543">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p>
        </w:tc>
      </w:tr>
      <w:tr w14:paraId="3BA536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2" w:hRule="atLeast"/>
        </w:trPr>
        <w:tc>
          <w:tcPr>
            <w:tcW w:w="972" w:type="dxa"/>
            <w:tcBorders>
              <w:tl2br w:val="nil"/>
              <w:tr2bl w:val="nil"/>
            </w:tcBorders>
            <w:shd w:val="clear" w:color="auto" w:fill="auto"/>
            <w:vAlign w:val="center"/>
          </w:tcPr>
          <w:p w14:paraId="402ACF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w:t>
            </w:r>
          </w:p>
        </w:tc>
        <w:tc>
          <w:tcPr>
            <w:tcW w:w="2340" w:type="dxa"/>
            <w:tcBorders>
              <w:tl2br w:val="nil"/>
              <w:tr2bl w:val="nil"/>
            </w:tcBorders>
            <w:shd w:val="clear" w:color="auto" w:fill="auto"/>
            <w:noWrap/>
            <w:vAlign w:val="center"/>
          </w:tcPr>
          <w:p w14:paraId="5E69D81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强弱电电路工资</w:t>
            </w:r>
          </w:p>
        </w:tc>
        <w:tc>
          <w:tcPr>
            <w:tcW w:w="4607" w:type="dxa"/>
            <w:tcBorders>
              <w:tl2br w:val="nil"/>
              <w:tr2bl w:val="nil"/>
            </w:tcBorders>
            <w:shd w:val="clear" w:color="auto" w:fill="auto"/>
            <w:vAlign w:val="center"/>
          </w:tcPr>
          <w:p w14:paraId="41836D54">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强弱电电路工资 （安套内面积计价）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 配管、配线、上下水管、排水管、开关、灯具、桥架、电缆等所有工序（结合现场实际需要结合图纸施工）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2、备注:</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含</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电路配套辅材</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满足校方使用要求，符合验收规范的相关规定。</w:t>
            </w:r>
          </w:p>
        </w:tc>
        <w:tc>
          <w:tcPr>
            <w:tcW w:w="853" w:type="dxa"/>
            <w:tcBorders>
              <w:tl2br w:val="nil"/>
              <w:tr2bl w:val="nil"/>
            </w:tcBorders>
            <w:shd w:val="clear" w:color="auto" w:fill="auto"/>
            <w:noWrap/>
            <w:vAlign w:val="center"/>
          </w:tcPr>
          <w:p w14:paraId="0A7DE201">
            <w:pPr>
              <w:keepNext w:val="0"/>
              <w:keepLines w:val="0"/>
              <w:widowControl/>
              <w:suppressLineNumbers w:val="0"/>
              <w:ind w:firstLine="210" w:firstLineChars="10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1321" w:type="dxa"/>
            <w:tcBorders>
              <w:tl2br w:val="nil"/>
              <w:tr2bl w:val="nil"/>
            </w:tcBorders>
            <w:shd w:val="clear" w:color="auto" w:fill="auto"/>
            <w:noWrap/>
            <w:vAlign w:val="center"/>
          </w:tcPr>
          <w:p w14:paraId="5EDD232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303.5</w:t>
            </w:r>
          </w:p>
        </w:tc>
        <w:tc>
          <w:tcPr>
            <w:tcW w:w="1444" w:type="dxa"/>
            <w:tcBorders>
              <w:tl2br w:val="nil"/>
              <w:tr2bl w:val="nil"/>
            </w:tcBorders>
            <w:shd w:val="clear" w:color="auto" w:fill="auto"/>
            <w:noWrap/>
            <w:vAlign w:val="center"/>
          </w:tcPr>
          <w:p w14:paraId="4496B6E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5A81C068">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p>
        </w:tc>
      </w:tr>
      <w:tr w14:paraId="0F6D42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2" w:hRule="atLeast"/>
        </w:trPr>
        <w:tc>
          <w:tcPr>
            <w:tcW w:w="972" w:type="dxa"/>
            <w:tcBorders>
              <w:tl2br w:val="nil"/>
              <w:tr2bl w:val="nil"/>
            </w:tcBorders>
            <w:shd w:val="clear" w:color="auto" w:fill="auto"/>
            <w:vAlign w:val="center"/>
          </w:tcPr>
          <w:p w14:paraId="07B3D324">
            <w:pPr>
              <w:keepNext w:val="0"/>
              <w:keepLines w:val="0"/>
              <w:widowControl/>
              <w:suppressLineNumbers w:val="0"/>
              <w:jc w:val="left"/>
              <w:textAlignment w:val="center"/>
              <w:rPr>
                <w:rFonts w:hint="eastAsia" w:ascii="微软雅黑" w:hAnsi="微软雅黑" w:eastAsia="微软雅黑" w:cs="微软雅黑"/>
                <w:b/>
                <w:bCs/>
                <w:i w:val="0"/>
                <w:iCs w:val="0"/>
                <w:color w:val="000000" w:themeColor="text1"/>
                <w:sz w:val="24"/>
                <w:szCs w:val="24"/>
                <w:highlight w:val="none"/>
                <w:u w:val="none"/>
                <w:lang w:eastAsia="zh-CN"/>
                <w14:textFill>
                  <w14:solidFill>
                    <w14:schemeClr w14:val="tx1"/>
                  </w14:solidFill>
                </w14:textFill>
              </w:rPr>
            </w:pPr>
            <w:r>
              <w:rPr>
                <w:rFonts w:hint="eastAsia" w:ascii="微软雅黑" w:hAnsi="微软雅黑" w:eastAsia="微软雅黑" w:cs="微软雅黑"/>
                <w:b/>
                <w:bCs/>
                <w:i w:val="0"/>
                <w:iCs w:val="0"/>
                <w:color w:val="000000" w:themeColor="text1"/>
                <w:sz w:val="24"/>
                <w:szCs w:val="24"/>
                <w:highlight w:val="none"/>
                <w:u w:val="none"/>
                <w:lang w:eastAsia="zh-CN"/>
                <w14:textFill>
                  <w14:solidFill>
                    <w14:schemeClr w14:val="tx1"/>
                  </w14:solidFill>
                </w14:textFill>
              </w:rPr>
              <w:t>（</w:t>
            </w:r>
            <w:r>
              <w:rPr>
                <w:rFonts w:hint="eastAsia" w:ascii="微软雅黑" w:hAnsi="微软雅黑" w:eastAsia="微软雅黑" w:cs="微软雅黑"/>
                <w:b/>
                <w:bCs/>
                <w:i w:val="0"/>
                <w:iCs w:val="0"/>
                <w:color w:val="000000" w:themeColor="text1"/>
                <w:sz w:val="24"/>
                <w:szCs w:val="24"/>
                <w:highlight w:val="none"/>
                <w:u w:val="none"/>
                <w:lang w:val="en-US" w:eastAsia="zh-CN"/>
                <w14:textFill>
                  <w14:solidFill>
                    <w14:schemeClr w14:val="tx1"/>
                  </w14:solidFill>
                </w14:textFill>
              </w:rPr>
              <w:t>三</w:t>
            </w:r>
            <w:r>
              <w:rPr>
                <w:rFonts w:hint="eastAsia" w:ascii="微软雅黑" w:hAnsi="微软雅黑" w:eastAsia="微软雅黑" w:cs="微软雅黑"/>
                <w:b/>
                <w:bCs/>
                <w:i w:val="0"/>
                <w:iCs w:val="0"/>
                <w:color w:val="000000" w:themeColor="text1"/>
                <w:sz w:val="24"/>
                <w:szCs w:val="24"/>
                <w:highlight w:val="none"/>
                <w:u w:val="none"/>
                <w:lang w:eastAsia="zh-CN"/>
                <w14:textFill>
                  <w14:solidFill>
                    <w14:schemeClr w14:val="tx1"/>
                  </w14:solidFill>
                </w14:textFill>
              </w:rPr>
              <w:t>）</w:t>
            </w:r>
          </w:p>
        </w:tc>
        <w:tc>
          <w:tcPr>
            <w:tcW w:w="6947" w:type="dxa"/>
            <w:gridSpan w:val="2"/>
            <w:tcBorders>
              <w:tl2br w:val="nil"/>
              <w:tr2bl w:val="nil"/>
            </w:tcBorders>
            <w:shd w:val="clear" w:color="auto" w:fill="auto"/>
            <w:noWrap/>
            <w:vAlign w:val="center"/>
          </w:tcPr>
          <w:p w14:paraId="6B974F89">
            <w:pPr>
              <w:keepNext w:val="0"/>
              <w:keepLines w:val="0"/>
              <w:widowControl/>
              <w:suppressLineNumbers w:val="0"/>
              <w:jc w:val="left"/>
              <w:textAlignment w:val="center"/>
              <w:rPr>
                <w:rFonts w:hint="eastAsia" w:ascii="微软雅黑" w:hAnsi="微软雅黑" w:eastAsia="微软雅黑" w:cs="微软雅黑"/>
                <w:b/>
                <w:bCs/>
                <w:i w:val="0"/>
                <w:iCs w:val="0"/>
                <w:color w:val="000000" w:themeColor="text1"/>
                <w:sz w:val="24"/>
                <w:szCs w:val="24"/>
                <w:highlight w:val="none"/>
                <w:u w:val="none"/>
                <w:lang w:val="en-US" w:eastAsia="zh-CN"/>
                <w14:textFill>
                  <w14:solidFill>
                    <w14:schemeClr w14:val="tx1"/>
                  </w14:solidFill>
                </w14:textFill>
              </w:rPr>
            </w:pPr>
            <w:r>
              <w:rPr>
                <w:rFonts w:hint="eastAsia" w:ascii="微软雅黑" w:hAnsi="微软雅黑" w:eastAsia="微软雅黑" w:cs="微软雅黑"/>
                <w:b/>
                <w:bCs/>
                <w:i w:val="0"/>
                <w:iCs w:val="0"/>
                <w:color w:val="000000" w:themeColor="text1"/>
                <w:sz w:val="24"/>
                <w:szCs w:val="24"/>
                <w:highlight w:val="none"/>
                <w:u w:val="none"/>
                <w:lang w:val="en-US" w:eastAsia="zh-CN"/>
                <w14:textFill>
                  <w14:solidFill>
                    <w14:schemeClr w14:val="tx1"/>
                  </w14:solidFill>
                </w14:textFill>
              </w:rPr>
              <w:t>设计部分</w:t>
            </w:r>
          </w:p>
        </w:tc>
        <w:tc>
          <w:tcPr>
            <w:tcW w:w="853" w:type="dxa"/>
            <w:tcBorders>
              <w:tl2br w:val="nil"/>
              <w:tr2bl w:val="nil"/>
            </w:tcBorders>
            <w:shd w:val="clear" w:color="auto" w:fill="auto"/>
            <w:noWrap/>
            <w:vAlign w:val="center"/>
          </w:tcPr>
          <w:p w14:paraId="48A95F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21" w:type="dxa"/>
            <w:tcBorders>
              <w:tl2br w:val="nil"/>
              <w:tr2bl w:val="nil"/>
            </w:tcBorders>
            <w:shd w:val="clear" w:color="auto" w:fill="auto"/>
            <w:noWrap/>
            <w:vAlign w:val="center"/>
          </w:tcPr>
          <w:p w14:paraId="59AF383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44" w:type="dxa"/>
            <w:tcBorders>
              <w:tl2br w:val="nil"/>
              <w:tr2bl w:val="nil"/>
            </w:tcBorders>
            <w:shd w:val="clear" w:color="auto" w:fill="auto"/>
            <w:noWrap/>
            <w:vAlign w:val="center"/>
          </w:tcPr>
          <w:p w14:paraId="5849BB4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293726EE">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p>
        </w:tc>
      </w:tr>
      <w:tr w14:paraId="19AEAD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2" w:hRule="atLeast"/>
        </w:trPr>
        <w:tc>
          <w:tcPr>
            <w:tcW w:w="972" w:type="dxa"/>
            <w:tcBorders>
              <w:tl2br w:val="nil"/>
              <w:tr2bl w:val="nil"/>
            </w:tcBorders>
            <w:shd w:val="clear" w:color="auto" w:fill="auto"/>
            <w:vAlign w:val="center"/>
          </w:tcPr>
          <w:p w14:paraId="11330BC7">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34</w:t>
            </w:r>
          </w:p>
        </w:tc>
        <w:tc>
          <w:tcPr>
            <w:tcW w:w="2340" w:type="dxa"/>
            <w:tcBorders>
              <w:tl2br w:val="nil"/>
              <w:tr2bl w:val="nil"/>
            </w:tcBorders>
            <w:shd w:val="clear" w:color="auto" w:fill="auto"/>
            <w:noWrap/>
            <w:vAlign w:val="center"/>
          </w:tcPr>
          <w:p w14:paraId="6B1DE71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设计费</w:t>
            </w:r>
          </w:p>
        </w:tc>
        <w:tc>
          <w:tcPr>
            <w:tcW w:w="4607" w:type="dxa"/>
            <w:tcBorders>
              <w:tl2br w:val="nil"/>
              <w:tr2bl w:val="nil"/>
            </w:tcBorders>
            <w:shd w:val="clear" w:color="auto" w:fill="auto"/>
            <w:vAlign w:val="center"/>
          </w:tcPr>
          <w:p w14:paraId="5E9C6657">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提供施工图、清单、跟踪服务、该项作为不可竞争费（不可调整），由中标单位工程验收合格后支付给设计单位。</w:t>
            </w:r>
          </w:p>
        </w:tc>
        <w:tc>
          <w:tcPr>
            <w:tcW w:w="853" w:type="dxa"/>
            <w:tcBorders>
              <w:tl2br w:val="nil"/>
              <w:tr2bl w:val="nil"/>
            </w:tcBorders>
            <w:shd w:val="clear" w:color="auto" w:fill="auto"/>
            <w:noWrap/>
            <w:vAlign w:val="center"/>
          </w:tcPr>
          <w:p w14:paraId="2667182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1321" w:type="dxa"/>
            <w:tcBorders>
              <w:tl2br w:val="nil"/>
              <w:tr2bl w:val="nil"/>
            </w:tcBorders>
            <w:shd w:val="clear" w:color="auto" w:fill="auto"/>
            <w:noWrap/>
            <w:vAlign w:val="center"/>
          </w:tcPr>
          <w:p w14:paraId="1EBA3D3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444" w:type="dxa"/>
            <w:tcBorders>
              <w:tl2br w:val="nil"/>
              <w:tr2bl w:val="nil"/>
            </w:tcBorders>
            <w:shd w:val="clear" w:color="auto" w:fill="auto"/>
            <w:noWrap/>
            <w:vAlign w:val="center"/>
          </w:tcPr>
          <w:p w14:paraId="285719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7300</w:t>
            </w:r>
          </w:p>
        </w:tc>
        <w:tc>
          <w:tcPr>
            <w:tcW w:w="1834" w:type="dxa"/>
            <w:tcBorders>
              <w:tl2br w:val="nil"/>
              <w:tr2bl w:val="nil"/>
            </w:tcBorders>
            <w:shd w:val="clear" w:color="auto" w:fill="auto"/>
            <w:vAlign w:val="center"/>
          </w:tcPr>
          <w:p w14:paraId="43E9506E">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7300</w:t>
            </w:r>
          </w:p>
        </w:tc>
      </w:tr>
      <w:tr w14:paraId="103CB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47" w:hRule="atLeast"/>
        </w:trPr>
        <w:tc>
          <w:tcPr>
            <w:tcW w:w="972" w:type="dxa"/>
            <w:tcBorders>
              <w:tl2br w:val="nil"/>
              <w:tr2bl w:val="nil"/>
            </w:tcBorders>
            <w:shd w:val="clear" w:color="auto" w:fill="auto"/>
            <w:vAlign w:val="center"/>
          </w:tcPr>
          <w:p w14:paraId="0CE62FD8">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40" w:type="dxa"/>
            <w:tcBorders>
              <w:tl2br w:val="nil"/>
              <w:tr2bl w:val="nil"/>
            </w:tcBorders>
            <w:shd w:val="clear" w:color="auto" w:fill="auto"/>
            <w:noWrap/>
            <w:vAlign w:val="center"/>
          </w:tcPr>
          <w:p w14:paraId="34E709CD">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小计（元）</w:t>
            </w:r>
          </w:p>
        </w:tc>
        <w:tc>
          <w:tcPr>
            <w:tcW w:w="4607" w:type="dxa"/>
            <w:tcBorders>
              <w:tl2br w:val="nil"/>
              <w:tr2bl w:val="nil"/>
            </w:tcBorders>
            <w:shd w:val="clear" w:color="auto" w:fill="auto"/>
            <w:vAlign w:val="center"/>
          </w:tcPr>
          <w:p w14:paraId="59AEE8B1">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853" w:type="dxa"/>
            <w:tcBorders>
              <w:tl2br w:val="nil"/>
              <w:tr2bl w:val="nil"/>
            </w:tcBorders>
            <w:shd w:val="clear" w:color="auto" w:fill="auto"/>
            <w:noWrap/>
            <w:vAlign w:val="center"/>
          </w:tcPr>
          <w:p w14:paraId="41F240A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21" w:type="dxa"/>
            <w:tcBorders>
              <w:tl2br w:val="nil"/>
              <w:tr2bl w:val="nil"/>
            </w:tcBorders>
            <w:shd w:val="clear" w:color="auto" w:fill="auto"/>
            <w:noWrap/>
            <w:vAlign w:val="center"/>
          </w:tcPr>
          <w:p w14:paraId="199B78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44" w:type="dxa"/>
            <w:tcBorders>
              <w:tl2br w:val="nil"/>
              <w:tr2bl w:val="nil"/>
            </w:tcBorders>
            <w:shd w:val="clear" w:color="auto" w:fill="auto"/>
            <w:noWrap/>
            <w:vAlign w:val="center"/>
          </w:tcPr>
          <w:p w14:paraId="46349C3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34" w:type="dxa"/>
            <w:tcBorders>
              <w:tl2br w:val="nil"/>
              <w:tr2bl w:val="nil"/>
            </w:tcBorders>
            <w:shd w:val="clear" w:color="auto" w:fill="auto"/>
            <w:vAlign w:val="center"/>
          </w:tcPr>
          <w:p w14:paraId="05FE64AC">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p>
        </w:tc>
      </w:tr>
      <w:tr w14:paraId="10EEA9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2" w:hRule="atLeast"/>
        </w:trPr>
        <w:tc>
          <w:tcPr>
            <w:tcW w:w="972" w:type="dxa"/>
            <w:tcBorders>
              <w:tl2br w:val="nil"/>
              <w:tr2bl w:val="nil"/>
            </w:tcBorders>
            <w:shd w:val="clear" w:color="auto" w:fill="auto"/>
            <w:vAlign w:val="center"/>
          </w:tcPr>
          <w:p w14:paraId="3C0DC3FE">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40" w:type="dxa"/>
            <w:tcBorders>
              <w:tl2br w:val="nil"/>
              <w:tr2bl w:val="nil"/>
            </w:tcBorders>
            <w:shd w:val="clear" w:color="auto" w:fill="auto"/>
            <w:noWrap/>
            <w:vAlign w:val="center"/>
          </w:tcPr>
          <w:p w14:paraId="6049E174">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合计</w:t>
            </w:r>
          </w:p>
        </w:tc>
        <w:tc>
          <w:tcPr>
            <w:tcW w:w="10059" w:type="dxa"/>
            <w:gridSpan w:val="5"/>
            <w:tcBorders>
              <w:tl2br w:val="nil"/>
              <w:tr2bl w:val="nil"/>
            </w:tcBorders>
            <w:shd w:val="clear" w:color="auto" w:fill="auto"/>
            <w:vAlign w:val="center"/>
          </w:tcPr>
          <w:p w14:paraId="3BEC9DEF">
            <w:pPr>
              <w:keepNext w:val="0"/>
              <w:keepLines w:val="0"/>
              <w:widowControl/>
              <w:suppressLineNumbers w:val="0"/>
              <w:spacing w:line="360" w:lineRule="auto"/>
              <w:jc w:val="both"/>
              <w:textAlignment w:val="cente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大写：</w:t>
            </w:r>
          </w:p>
          <w:p w14:paraId="01CF9AAB">
            <w:pPr>
              <w:pStyle w:val="2"/>
              <w:spacing w:line="360" w:lineRule="auto"/>
              <w:ind w:left="0" w:leftChars="0" w:firstLine="0" w:firstLineChars="0"/>
              <w:rPr>
                <w:rFonts w:hint="default"/>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小写：</w:t>
            </w:r>
          </w:p>
        </w:tc>
      </w:tr>
      <w:tr w14:paraId="0E036E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0" w:hRule="atLeast"/>
        </w:trPr>
        <w:tc>
          <w:tcPr>
            <w:tcW w:w="13371" w:type="dxa"/>
            <w:gridSpan w:val="7"/>
            <w:tcBorders>
              <w:tl2br w:val="nil"/>
              <w:tr2bl w:val="nil"/>
            </w:tcBorders>
            <w:shd w:val="clear" w:color="auto" w:fill="auto"/>
            <w:vAlign w:val="center"/>
          </w:tcPr>
          <w:p w14:paraId="233FBBB4">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说明：1、全费用综合单价包括了招标范围内的所有内容交付使用前的全部费用，综合单价包括采购费（含辅材）及损耗、人工、机械、材料、运输、装卸、现场保管、安装调试费、管理费、利润、规费、税金、矛盾协调、总承包服务费、机械进退场、赶工措施费、保洁、建筑垃圾清运出校园等一切相关的所有费用，投标人投标全费用综合单价中必须包含现行有关规定的费率计取现场安全文明施工措施费基本费1.7%、扬尘污染防治增加费0.22%，为完成本项目发生的所有措施项目费、管理费、利润、规费（包括环境保护税0.1%、社会保险费2.4%、住房公积金0.42%、和税金9%），文明施工措施费需经盐城市工程造价管理处核定，以核定费率计算，结算时其差价部分予以扣回。投标人自行现场勘察，确保本项目满足设计及规范要求，上述清单中如有描述不全的，投标人报价时需充分考虑入上述全费用单价中，中标后竣工结算时全费用单价不予调整，各投标人要充分考虑，结算时数量按实结算。</w:t>
            </w:r>
          </w:p>
          <w:p w14:paraId="2EBE2E34">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各投标人在投标前必须对施工现场进行详细踏勘，如有疑问及时向招标人提出，否则由此引起的一切风险均由投标人自行承担。每项清单必须报全费用单价，如有一项漏报，视同该项为让利免费提供。为完成本项目而必须发生的、但清单中未列明的相关费用也由各投标人自行综合考虑分摊含进投标报价中，结算时不再另增任何费用。</w:t>
            </w:r>
          </w:p>
          <w:p w14:paraId="2ABE4D29">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3、工程竣工验收前，中标人必须将工程施工所产生的垃圾及时清运出校园。</w:t>
            </w:r>
          </w:p>
          <w:p w14:paraId="6291ED87">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具体施工时根据甲方要求执行，各投标人投标前必须自行对工程施工现场和周围环境进行踏勘，充分了解工地位置、情况、道路、储存空间、装卸限制以及任何其他足以影响承包价的情况，任何因忽视或误解工地情况而导致的索赔或工期延长申请将不被批准。</w:t>
            </w:r>
          </w:p>
          <w:p w14:paraId="5B7DB3DD">
            <w:pPr>
              <w:keepNext w:val="0"/>
              <w:keepLines w:val="0"/>
              <w:widowControl/>
              <w:suppressLineNumbers w:val="0"/>
              <w:jc w:val="left"/>
              <w:textAlignment w:val="center"/>
              <w:rPr>
                <w:rFonts w:hint="eastAsia" w:ascii="微软雅黑" w:hAnsi="微软雅黑" w:eastAsia="微软雅黑" w:cs="微软雅黑"/>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5、施工过程所消耗的水电费用，由水表和电表的所有权人甲方缴纳。</w:t>
            </w:r>
          </w:p>
        </w:tc>
      </w:tr>
    </w:tbl>
    <w:p w14:paraId="0EAAF633">
      <w:pPr>
        <w:spacing w:line="280" w:lineRule="atLeast"/>
        <w:ind w:firstLine="210" w:firstLineChars="100"/>
        <w:jc w:val="left"/>
        <w:rPr>
          <w:rFonts w:ascii="宋体" w:hAnsi="宋体" w:cs="宋体"/>
          <w:color w:val="000000" w:themeColor="text1"/>
          <w:kern w:val="0"/>
          <w:szCs w:val="21"/>
          <w:highlight w:val="none"/>
          <w14:textFill>
            <w14:solidFill>
              <w14:schemeClr w14:val="tx1"/>
            </w14:solidFill>
          </w14:textFill>
        </w:rPr>
      </w:pPr>
    </w:p>
    <w:p w14:paraId="341CDAB7">
      <w:pPr>
        <w:pStyle w:val="26"/>
        <w:ind w:left="0" w:leftChars="0" w:firstLine="0" w:firstLineChars="0"/>
        <w:jc w:val="right"/>
        <w:rPr>
          <w:rFonts w:ascii="宋体" w:hAnsi="宋体" w:eastAsia="宋体" w:cs="宋体"/>
          <w:color w:val="000000" w:themeColor="text1"/>
          <w:highlight w:val="none"/>
          <w14:textFill>
            <w14:solidFill>
              <w14:schemeClr w14:val="tx1"/>
            </w14:solidFill>
          </w14:textFill>
        </w:rPr>
      </w:pPr>
    </w:p>
    <w:p w14:paraId="595C5E2A">
      <w:pPr>
        <w:pStyle w:val="26"/>
        <w:ind w:left="0" w:leftChars="0" w:firstLine="0" w:firstLineChars="0"/>
        <w:rPr>
          <w:rFonts w:ascii="宋体" w:hAnsi="宋体" w:eastAsia="宋体" w:cs="宋体"/>
          <w:color w:val="000000" w:themeColor="text1"/>
          <w:highlight w:val="none"/>
          <w14:textFill>
            <w14:solidFill>
              <w14:schemeClr w14:val="tx1"/>
            </w14:solidFill>
          </w14:textFill>
        </w:rPr>
      </w:pPr>
    </w:p>
    <w:p w14:paraId="6D1412E7">
      <w:pPr>
        <w:ind w:firstLine="5040" w:firstLineChars="24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投标人全称（加盖公章）：               </w:t>
      </w:r>
    </w:p>
    <w:p w14:paraId="207E98E4">
      <w:pPr>
        <w:ind w:firstLine="5040" w:firstLineChars="24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法定代表人或授权代表（签字）：              </w:t>
      </w:r>
    </w:p>
    <w:p w14:paraId="6913CD70">
      <w:pPr>
        <w:ind w:firstLine="5250" w:firstLineChars="25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年     月     日</w:t>
      </w:r>
    </w:p>
    <w:p w14:paraId="0B7A25A6">
      <w:pPr>
        <w:pStyle w:val="148"/>
        <w:jc w:val="both"/>
        <w:rPr>
          <w:rStyle w:val="54"/>
          <w:rFonts w:ascii="宋体" w:hAnsi="宋体" w:cs="宋体"/>
          <w:color w:val="000000" w:themeColor="text1"/>
          <w:highlight w:val="none"/>
          <w14:textFill>
            <w14:solidFill>
              <w14:schemeClr w14:val="tx1"/>
            </w14:solidFill>
          </w14:textFill>
        </w:rPr>
        <w:sectPr>
          <w:pgSz w:w="16838" w:h="11906" w:orient="landscape"/>
          <w:pgMar w:top="1366" w:right="1417" w:bottom="1587" w:left="1417" w:header="851" w:footer="907" w:gutter="0"/>
          <w:pgBorders>
            <w:top w:val="none" w:sz="0" w:space="0"/>
            <w:left w:val="none" w:sz="0" w:space="0"/>
            <w:bottom w:val="none" w:sz="0" w:space="0"/>
            <w:right w:val="none" w:sz="0" w:space="0"/>
          </w:pgBorders>
          <w:cols w:space="0" w:num="1"/>
          <w:titlePg/>
          <w:rtlGutter w:val="0"/>
          <w:docGrid w:type="lines" w:linePitch="298" w:charSpace="0"/>
        </w:sectPr>
      </w:pPr>
    </w:p>
    <w:p w14:paraId="3DE7A63B">
      <w:pPr>
        <w:numPr>
          <w:ilvl w:val="0"/>
          <w:numId w:val="0"/>
        </w:numPr>
        <w:jc w:val="cente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招标文件中规定要求提供的证明材料和供应商认为需要提供的其他材料</w:t>
      </w:r>
    </w:p>
    <w:p w14:paraId="42B9B44E">
      <w:pPr>
        <w:pStyle w:val="148"/>
        <w:jc w:val="both"/>
        <w:rPr>
          <w:rStyle w:val="54"/>
          <w:rFonts w:ascii="宋体" w:hAnsi="宋体" w:cs="宋体"/>
          <w:color w:val="000000" w:themeColor="text1"/>
          <w:highlight w:val="none"/>
          <w14:textFill>
            <w14:solidFill>
              <w14:schemeClr w14:val="tx1"/>
            </w14:solidFill>
          </w14:textFill>
        </w:rPr>
      </w:pPr>
    </w:p>
    <w:sectPr>
      <w:pgSz w:w="11906" w:h="16838"/>
      <w:pgMar w:top="1417" w:right="1587" w:bottom="1417" w:left="1366" w:header="851" w:footer="907" w:gutter="0"/>
      <w:pgBorders>
        <w:top w:val="none" w:sz="0" w:space="0"/>
        <w:left w:val="none" w:sz="0" w:space="0"/>
        <w:bottom w:val="none" w:sz="0" w:space="0"/>
        <w:right w:val="none" w:sz="0" w:space="0"/>
      </w:pgBorders>
      <w:cols w:space="0" w:num="1"/>
      <w:titlePg/>
      <w:rtlGutter w:val="0"/>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20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59DC2">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707CB">
    <w:pPr>
      <w:pStyle w:val="1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Text Box 103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4EC9FB3C">
                          <w:pPr>
                            <w:pStyle w:val="18"/>
                          </w:pPr>
                          <w:r>
                            <w:fldChar w:fldCharType="begin"/>
                          </w:r>
                          <w:r>
                            <w:instrText xml:space="preserve"> PAGE  \* MERGEFORMAT </w:instrText>
                          </w:r>
                          <w:r>
                            <w:fldChar w:fldCharType="separate"/>
                          </w:r>
                          <w:r>
                            <w:t>64</w:t>
                          </w:r>
                          <w:r>
                            <w:fldChar w:fldCharType="end"/>
                          </w:r>
                        </w:p>
                      </w:txbxContent>
                    </wps:txbx>
                    <wps:bodyPr rot="0" vert="horz" wrap="none" lIns="0" tIns="0" rIns="0" bIns="0" anchor="t" anchorCtr="0" upright="1">
                      <a:spAutoFit/>
                    </wps:bodyPr>
                  </wps:wsp>
                </a:graphicData>
              </a:graphic>
            </wp:anchor>
          </w:drawing>
        </mc:Choice>
        <mc:Fallback>
          <w:pict>
            <v:shape id="Text Box 1035"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V+SdAAAAADAQAADwAAAAAAAAABACAAAAAiAAAAZHJzL2Rvd25yZXYueG1s&#10;UEsBAhQAFAAAAAgAh07iQMs42R4AAgAAEgQAAA4AAAAAAAAAAQAgAAAAHwEAAGRycy9lMm9Eb2Mu&#10;eG1sUEsFBgAAAAAGAAYAWQEAAJEFAAAAAA==&#10;">
              <v:fill on="f" focussize="0,0"/>
              <v:stroke on="f"/>
              <v:imagedata o:title=""/>
              <o:lock v:ext="edit" aspectratio="f"/>
              <v:textbox inset="0mm,0mm,0mm,0mm" style="mso-fit-shape-to-text:t;">
                <w:txbxContent>
                  <w:p w14:paraId="4EC9FB3C">
                    <w:pPr>
                      <w:pStyle w:val="18"/>
                    </w:pPr>
                    <w:r>
                      <w:fldChar w:fldCharType="begin"/>
                    </w:r>
                    <w:r>
                      <w:instrText xml:space="preserve"> PAGE  \* MERGEFORMAT </w:instrText>
                    </w:r>
                    <w:r>
                      <w:fldChar w:fldCharType="separate"/>
                    </w:r>
                    <w:r>
                      <w:t>64</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54FD0C05">
                          <w:pPr>
                            <w:pStyle w:val="1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J4loek3AgAAYwQAAA4AAAAAAAAAAQAgAAAAIQEAAGRycy9lMm9Eb2Mu&#10;eG1sUEsFBgAAAAAGAAYAWQEAAMoFAAAAAA==&#10;">
              <v:fill on="f" focussize="0,0"/>
              <v:stroke on="f" weight="0.5pt"/>
              <v:imagedata o:title=""/>
              <o:lock v:ext="edit" aspectratio="f"/>
              <v:textbox inset="0mm,0mm,0mm,0mm" style="mso-fit-shape-to-text:t;">
                <w:txbxContent>
                  <w:p w14:paraId="54FD0C05">
                    <w:pPr>
                      <w:pStyle w:val="1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2553D">
    <w:pPr>
      <w:pStyle w:val="18"/>
      <w:jc w:val="both"/>
    </w:pPr>
  </w:p>
  <w:p w14:paraId="0EFC5704">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117CE">
    <w:pPr>
      <w:pStyle w:val="18"/>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103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192522CD">
                          <w:pPr>
                            <w:pStyle w:val="18"/>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Text Box 103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ql5uc8AAAAFAQAADwAAAAAAAAABACAAAAAiAAAAZHJzL2Rvd25yZXYueG1sUEsBAhQA&#10;FAAAAAgAh07iQBC1I0X7AQAAFAQAAA4AAAAAAAAAAQAgAAAAHgEAAGRycy9lMm9Eb2MueG1sUEsF&#10;BgAAAAAGAAYAWQEAAIsFAAAAAA==&#10;">
              <v:fill on="f" focussize="0,0"/>
              <v:stroke on="f"/>
              <v:imagedata o:title=""/>
              <o:lock v:ext="edit" aspectratio="f"/>
              <v:textbox inset="0mm,0mm,0mm,0mm" style="mso-fit-shape-to-text:t;">
                <w:txbxContent>
                  <w:p w14:paraId="192522CD">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769F3">
    <w:pPr>
      <w:pStyle w:val="18"/>
      <w:jc w:val="both"/>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57785" cy="131445"/>
              <wp:effectExtent l="0" t="0" r="0" b="0"/>
              <wp:wrapNone/>
              <wp:docPr id="6" name="Text Box 103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49E4D81E">
                          <w:pPr>
                            <w:pStyle w:val="18"/>
                          </w:pPr>
                          <w:r>
                            <w:fldChar w:fldCharType="begin"/>
                          </w:r>
                          <w:r>
                            <w:instrText xml:space="preserve"> PAGE  \* MERGEFORMAT </w:instrText>
                          </w:r>
                          <w:r>
                            <w:fldChar w:fldCharType="separate"/>
                          </w:r>
                          <w:r>
                            <w:t>33</w:t>
                          </w:r>
                          <w:r>
                            <w:fldChar w:fldCharType="end"/>
                          </w:r>
                        </w:p>
                      </w:txbxContent>
                    </wps:txbx>
                    <wps:bodyPr rot="0" vert="horz" wrap="none" lIns="0" tIns="0" rIns="0" bIns="0" anchor="t" anchorCtr="0" upright="1">
                      <a:spAutoFit/>
                    </wps:bodyPr>
                  </wps:wsp>
                </a:graphicData>
              </a:graphic>
            </wp:anchor>
          </w:drawing>
        </mc:Choice>
        <mc:Fallback>
          <w:pict>
            <v:shape id="Text Box 1038" o:spid="_x0000_s1026" o:spt="202" type="#_x0000_t202" style="position:absolute;left:0pt;margin-top:0pt;height:10.35pt;width:4.55pt;mso-position-horizontal:center;mso-position-horizontal-relative:margin;mso-wrap-style:none;z-index:25166643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Pi91E0AAAAAIBAAAPAAAAAAAAAAEAIAAAACIAAABkcnMvZG93bnJldi54&#10;bWxQSwECFAAUAAAACACHTuJApPMsvgICAAARBAAADgAAAAAAAAABACAAAAAfAQAAZHJzL2Uyb0Rv&#10;Yy54bWxQSwUGAAAAAAYABgBZAQAAkwUAAAAA&#10;">
              <v:fill on="f" focussize="0,0"/>
              <v:stroke on="f"/>
              <v:imagedata o:title=""/>
              <o:lock v:ext="edit" aspectratio="f"/>
              <v:textbox inset="0mm,0mm,0mm,0mm" style="mso-fit-shape-to-text:t;">
                <w:txbxContent>
                  <w:p w14:paraId="49E4D81E">
                    <w:pPr>
                      <w:pStyle w:val="18"/>
                    </w:pPr>
                    <w:r>
                      <w:fldChar w:fldCharType="begin"/>
                    </w:r>
                    <w:r>
                      <w:instrText xml:space="preserve"> PAGE  \* MERGEFORMAT </w:instrText>
                    </w:r>
                    <w:r>
                      <w:fldChar w:fldCharType="separate"/>
                    </w:r>
                    <w:r>
                      <w:t>33</w:t>
                    </w:r>
                    <w:r>
                      <w:fldChar w:fldCharType="end"/>
                    </w:r>
                  </w:p>
                </w:txbxContent>
              </v:textbox>
            </v:shape>
          </w:pict>
        </mc:Fallback>
      </mc:AlternateContent>
    </w:r>
  </w:p>
  <w:p w14:paraId="48CBFF50">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030FD">
    <w:pPr>
      <w:pStyle w:val="18"/>
      <w:jc w:val="center"/>
      <w:rPr>
        <w:b/>
        <w:i/>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8"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4FE7E193">
                          <w:pPr>
                            <w:pStyle w:val="18"/>
                          </w:pPr>
                          <w:r>
                            <w:fldChar w:fldCharType="begin"/>
                          </w:r>
                          <w:r>
                            <w:instrText xml:space="preserve"> PAGE  \* MERGEFORMAT </w:instrText>
                          </w:r>
                          <w:r>
                            <w:fldChar w:fldCharType="separate"/>
                          </w:r>
                          <w:r>
                            <w:t>32</w:t>
                          </w:r>
                          <w: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PlfknQAAAAAwEAAA8AAAAAAAAAAQAgAAAAIgAAAGRycy9kb3ducmV2Lnht&#10;bFBLAQIUABQAAAAIAIdO4kBvYB62AQIAABIEAAAOAAAAAAAAAAEAIAAAAB8BAABkcnMvZTJvRG9j&#10;LnhtbFBLBQYAAAAABgAGAFkBAACSBQAAAAA=&#10;">
              <v:fill on="f" focussize="0,0"/>
              <v:stroke on="f"/>
              <v:imagedata o:title=""/>
              <o:lock v:ext="edit" aspectratio="f"/>
              <v:textbox inset="0mm,0mm,0mm,0mm" style="mso-fit-shape-to-text:t;">
                <w:txbxContent>
                  <w:p w14:paraId="4FE7E193">
                    <w:pPr>
                      <w:pStyle w:val="1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DA37C">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262890"/>
              <wp:effectExtent l="0" t="0" r="0" b="0"/>
              <wp:wrapNone/>
              <wp:docPr id="3" name="文本框 3"/>
              <wp:cNvGraphicFramePr/>
              <a:graphic xmlns:a="http://schemas.openxmlformats.org/drawingml/2006/main">
                <a:graphicData uri="http://schemas.microsoft.com/office/word/2010/wordprocessingShape">
                  <wps:wsp>
                    <wps:cNvSpPr txBox="1"/>
                    <wps:spPr bwMode="auto">
                      <a:xfrm>
                        <a:off x="0" y="0"/>
                        <a:ext cx="247650" cy="262890"/>
                      </a:xfrm>
                      <a:prstGeom prst="rect">
                        <a:avLst/>
                      </a:prstGeom>
                      <a:noFill/>
                      <a:ln>
                        <a:noFill/>
                      </a:ln>
                      <a:effectLst/>
                    </wps:spPr>
                    <wps:txbx>
                      <w:txbxContent>
                        <w:p w14:paraId="324604D0">
                          <w:pPr>
                            <w:pStyle w:val="18"/>
                          </w:pPr>
                          <w:r>
                            <w:fldChar w:fldCharType="begin"/>
                          </w:r>
                          <w:r>
                            <w:instrText xml:space="preserve"> PAGE  \* MERGEFORMAT </w:instrText>
                          </w:r>
                          <w:r>
                            <w:fldChar w:fldCharType="separate"/>
                          </w:r>
                          <w:r>
                            <w:t>46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0.7pt;width:19.5pt;mso-position-horizontal:center;mso-position-horizontal-relative:margin;mso-wrap-style:none;z-index:251659264;mso-width-relative:page;mso-height-relative:page;" filled="f" stroked="f" coordsize="21600,21600" o:gfxdata="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CUTQ0QAAAAMBAAAPAAAAAAAA&#10;AAEAIAAAACIAAABkcnMvZG93bnJldi54bWxQSwECFAAUAAAACACHTuJAqe8pS+ABAACzAwAADgAA&#10;AAAAAAABACAAAAAgAQAAZHJzL2Uyb0RvYy54bWxQSwUGAAAAAAYABgBZAQAAcgUAAAAA&#10;">
              <v:fill on="f" focussize="0,0"/>
              <v:stroke on="f"/>
              <v:imagedata o:title=""/>
              <o:lock v:ext="edit" aspectratio="f"/>
              <v:textbox inset="0mm,0mm,0mm,0mm" style="mso-fit-shape-to-text:t;">
                <w:txbxContent>
                  <w:p w14:paraId="324604D0">
                    <w:pPr>
                      <w:pStyle w:val="18"/>
                    </w:pPr>
                    <w:r>
                      <w:fldChar w:fldCharType="begin"/>
                    </w:r>
                    <w:r>
                      <w:instrText xml:space="preserve"> PAGE  \* MERGEFORMAT </w:instrText>
                    </w:r>
                    <w:r>
                      <w:fldChar w:fldCharType="separate"/>
                    </w:r>
                    <w:r>
                      <w:t>46</w:t>
                    </w:r>
                    <w:r>
                      <w:fldChar w:fldCharType="end"/>
                    </w:r>
                  </w:p>
                </w:txbxContent>
              </v:textbox>
            </v:shape>
          </w:pict>
        </mc:Fallback>
      </mc:AlternateContent>
    </w:r>
  </w:p>
  <w:p w14:paraId="130B881D"/>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122A2">
    <w:pPr>
      <w:pStyle w:val="18"/>
      <w:framePr w:wrap="around" w:vAnchor="text" w:hAnchor="margin" w:xAlign="center" w:y="1"/>
      <w:rPr>
        <w:rStyle w:val="31"/>
      </w:rPr>
    </w:pPr>
    <w:r>
      <w:fldChar w:fldCharType="begin"/>
    </w:r>
    <w:r>
      <w:rPr>
        <w:rStyle w:val="31"/>
      </w:rPr>
      <w:instrText xml:space="preserve">PAGE  </w:instrText>
    </w:r>
    <w:r>
      <w:fldChar w:fldCharType="separate"/>
    </w:r>
    <w:r>
      <w:rPr>
        <w:rStyle w:val="31"/>
      </w:rPr>
      <w:t>1</w:t>
    </w:r>
    <w:r>
      <w:fldChar w:fldCharType="end"/>
    </w:r>
  </w:p>
  <w:p w14:paraId="4E9B1808">
    <w:pPr>
      <w:pStyle w:val="18"/>
    </w:pPr>
  </w:p>
  <w:p w14:paraId="2FCB0B9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15400">
    <w:pPr>
      <w:pStyle w:val="1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Text Box 103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67B869CA">
                          <w:pPr>
                            <w:pStyle w:val="18"/>
                          </w:pPr>
                          <w:r>
                            <w:fldChar w:fldCharType="begin"/>
                          </w:r>
                          <w:r>
                            <w:instrText xml:space="preserve"> PAGE  \* MERGEFORMAT </w:instrText>
                          </w:r>
                          <w:r>
                            <w:fldChar w:fldCharType="separate"/>
                          </w:r>
                          <w:r>
                            <w:t>63</w:t>
                          </w:r>
                          <w:r>
                            <w:fldChar w:fldCharType="end"/>
                          </w:r>
                        </w:p>
                      </w:txbxContent>
                    </wps:txbx>
                    <wps:bodyPr rot="0" vert="horz" wrap="none" lIns="0" tIns="0" rIns="0" bIns="0" anchor="t" anchorCtr="0" upright="1">
                      <a:spAutoFit/>
                    </wps:bodyPr>
                  </wps:wsp>
                </a:graphicData>
              </a:graphic>
            </wp:anchor>
          </w:drawing>
        </mc:Choice>
        <mc:Fallback>
          <w:pict>
            <v:shape id="Text Box 1033"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PlfknQAAAAAwEAAA8AAAAAAAAAAQAgAAAAIgAAAGRycy9kb3ducmV2Lnht&#10;bFBLAQIUABQAAAAIAIdO4kDVI0YnAQIAABIEAAAOAAAAAAAAAAEAIAAAAB8BAABkcnMvZTJvRG9j&#10;LnhtbFBLBQYAAAAABgAGAFkBAACSBQAAAAA=&#10;">
              <v:fill on="f" focussize="0,0"/>
              <v:stroke on="f"/>
              <v:imagedata o:title=""/>
              <o:lock v:ext="edit" aspectratio="f"/>
              <v:textbox inset="0mm,0mm,0mm,0mm" style="mso-fit-shape-to-text:t;">
                <w:txbxContent>
                  <w:p w14:paraId="67B869CA">
                    <w:pPr>
                      <w:pStyle w:val="18"/>
                    </w:pPr>
                    <w:r>
                      <w:fldChar w:fldCharType="begin"/>
                    </w:r>
                    <w:r>
                      <w:instrText xml:space="preserve"> PAGE  \* MERGEFORMAT </w:instrText>
                    </w:r>
                    <w:r>
                      <w:fldChar w:fldCharType="separate"/>
                    </w:r>
                    <w:r>
                      <w:t>63</w:t>
                    </w:r>
                    <w:r>
                      <w:fldChar w:fldCharType="end"/>
                    </w:r>
                  </w:p>
                </w:txbxContent>
              </v:textbox>
            </v:shape>
          </w:pict>
        </mc:Fallback>
      </mc:AlternateContent>
    </w:r>
  </w:p>
  <w:p w14:paraId="437FB75B">
    <w:pPr>
      <w:pStyle w:val="1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15380">
    <w:pPr>
      <w:pStyle w:val="18"/>
      <w:rPr>
        <w:b/>
        <w:i/>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3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4EE4EEAC">
                          <w:pPr>
                            <w:pStyle w:val="18"/>
                          </w:pPr>
                          <w:r>
                            <w:fldChar w:fldCharType="begin"/>
                          </w:r>
                          <w:r>
                            <w:instrText xml:space="preserve"> PAGE  \* MERGEFORMAT </w:instrText>
                          </w:r>
                          <w:r>
                            <w:fldChar w:fldCharType="separate"/>
                          </w:r>
                          <w:r>
                            <w:t>68</w:t>
                          </w:r>
                          <w:r>
                            <w:fldChar w:fldCharType="end"/>
                          </w:r>
                        </w:p>
                      </w:txbxContent>
                    </wps:txbx>
                    <wps:bodyPr rot="0" vert="horz" wrap="none" lIns="0" tIns="0" rIns="0" bIns="0" anchor="t" anchorCtr="0" upright="1">
                      <a:spAutoFit/>
                    </wps:bodyPr>
                  </wps:wsp>
                </a:graphicData>
              </a:graphic>
            </wp:anchor>
          </w:drawing>
        </mc:Choice>
        <mc:Fallback>
          <w:pict>
            <v:shape id="Text Box 103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OqXm5zwAAAAUBAAAPAAAAAAAAAAEAIAAAACIAAABkcnMvZG93bnJldi54bWxQSwECFAAU&#10;AAAACACHTuJAvfn3sfoBAAAUBAAADgAAAAAAAAABACAAAAAeAQAAZHJzL2Uyb0RvYy54bWxQSwUG&#10;AAAAAAYABgBZAQAAigUAAAAA&#10;">
              <v:fill on="f" focussize="0,0"/>
              <v:stroke on="f"/>
              <v:imagedata o:title=""/>
              <o:lock v:ext="edit" aspectratio="f"/>
              <v:textbox inset="0mm,0mm,0mm,0mm" style="mso-fit-shape-to-text:t;">
                <w:txbxContent>
                  <w:p w14:paraId="4EE4EEAC">
                    <w:pPr>
                      <w:pStyle w:val="18"/>
                    </w:pPr>
                    <w:r>
                      <w:fldChar w:fldCharType="begin"/>
                    </w:r>
                    <w:r>
                      <w:instrText xml:space="preserve"> PAGE  \* MERGEFORMAT </w:instrText>
                    </w:r>
                    <w:r>
                      <w:fldChar w:fldCharType="separate"/>
                    </w:r>
                    <w:r>
                      <w:t>68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BC64E">
    <w:pPr>
      <w:pStyle w:val="19"/>
      <w:rPr>
        <w:rFonts w:ascii="隶书" w:hAnsi="隶书" w:eastAsia="隶书" w:cs="隶书"/>
        <w:sz w:val="24"/>
        <w:szCs w:val="24"/>
      </w:rPr>
    </w:pPr>
    <w:r>
      <w:rPr>
        <w:rFonts w:hint="eastAsia" w:ascii="隶书" w:hAnsi="隶书" w:eastAsia="隶书" w:cs="隶书"/>
        <w:sz w:val="24"/>
        <w:szCs w:val="24"/>
      </w:rPr>
      <w:t>2022-000W招标文件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3837A">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85F35">
    <w:pPr>
      <w:pStyle w:val="19"/>
    </w:pPr>
    <w:r>
      <w:rPr>
        <w:rFonts w:hint="eastAsia" w:ascii="隶书" w:hAnsi="隶书" w:eastAsia="隶书" w:cs="隶书"/>
        <w:sz w:val="24"/>
        <w:szCs w:val="24"/>
        <w:lang w:eastAsia="zh-CN"/>
      </w:rPr>
      <w:t xml:space="preserve">2024-033J </w:t>
    </w:r>
    <w:r>
      <w:rPr>
        <w:rFonts w:hint="eastAsia" w:ascii="隶书" w:hAnsi="隶书" w:eastAsia="隶书" w:cs="隶书"/>
        <w:sz w:val="24"/>
        <w:szCs w:val="24"/>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54541">
    <w:pPr>
      <w:pStyle w:val="19"/>
      <w:pBdr>
        <w:bottom w:val="single" w:color="auto" w:sz="4" w:space="0"/>
      </w:pBdr>
      <w:rPr>
        <w:rFonts w:ascii="隶书" w:hAnsi="隶书" w:eastAsia="隶书" w:cs="隶书"/>
        <w:sz w:val="24"/>
        <w:szCs w:val="24"/>
      </w:rPr>
    </w:pPr>
    <w:r>
      <w:rPr>
        <w:rFonts w:hint="eastAsia" w:ascii="隶书" w:hAnsi="隶书" w:eastAsia="隶书" w:cs="隶书"/>
        <w:sz w:val="24"/>
        <w:szCs w:val="24"/>
        <w:lang w:eastAsia="zh-CN"/>
      </w:rPr>
      <w:t xml:space="preserve">2024-033J </w:t>
    </w:r>
    <w:r>
      <w:rPr>
        <w:rFonts w:hint="eastAsia" w:ascii="隶书" w:hAnsi="隶书" w:eastAsia="隶书" w:cs="隶书"/>
        <w:sz w:val="24"/>
        <w:szCs w:val="24"/>
      </w:rPr>
      <w:t>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462C7">
    <w:pPr>
      <w:pStyle w:val="19"/>
      <w:pBdr>
        <w:bottom w:val="single" w:color="auto" w:sz="4" w:space="0"/>
      </w:pBdr>
      <w:rPr>
        <w:rFonts w:ascii="隶书" w:hAnsi="隶书" w:eastAsia="隶书" w:cs="隶书"/>
        <w:sz w:val="24"/>
        <w:szCs w:val="24"/>
      </w:rPr>
    </w:pPr>
    <w:r>
      <w:rPr>
        <w:rFonts w:hint="eastAsia" w:ascii="隶书" w:hAnsi="隶书" w:eastAsia="隶书" w:cs="隶书"/>
        <w:sz w:val="24"/>
        <w:szCs w:val="24"/>
        <w:lang w:eastAsia="zh-CN"/>
      </w:rPr>
      <w:t xml:space="preserve">2024-033J </w:t>
    </w:r>
    <w:r>
      <w:rPr>
        <w:rFonts w:hint="eastAsia" w:ascii="隶书" w:hAnsi="隶书" w:eastAsia="隶书" w:cs="隶书"/>
        <w:sz w:val="24"/>
        <w:szCs w:val="24"/>
      </w:rPr>
      <w:t>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437DB">
    <w:pPr>
      <w:pStyle w:val="24"/>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rPr>
    </w:pPr>
    <w:r>
      <w:rPr>
        <w:rFonts w:hint="eastAsia" w:ascii="Times New Roman" w:hAnsi="Times New Roman" w:eastAsia="隶书" w:cs="Times New Roman"/>
        <w:spacing w:val="40"/>
        <w:kern w:val="2"/>
        <w:sz w:val="21"/>
        <w:lang w:eastAsia="zh-CN"/>
      </w:rPr>
      <w:t xml:space="preserve">2024-033J </w:t>
    </w:r>
    <w:r>
      <w:rPr>
        <w:rFonts w:hint="eastAsia" w:ascii="Times New Roman" w:hAnsi="隶书" w:eastAsia="隶书" w:cs="隶书"/>
        <w:color w:val="000000"/>
        <w:spacing w:val="40"/>
        <w:kern w:val="2"/>
        <w:sz w:val="21"/>
      </w:rPr>
      <w:t>招标文件</w:t>
    </w:r>
  </w:p>
  <w:p w14:paraId="6E982B48">
    <w:pPr>
      <w:pStyle w:val="1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54D9A">
    <w:pPr>
      <w:pStyle w:val="19"/>
    </w:pPr>
    <w:r>
      <w:rPr>
        <w:rFonts w:hint="eastAsia" w:ascii="隶书" w:hAnsi="隶书" w:eastAsia="隶书" w:cs="隶书"/>
        <w:sz w:val="24"/>
        <w:szCs w:val="24"/>
        <w:lang w:eastAsia="zh-CN"/>
      </w:rPr>
      <w:t xml:space="preserve">2024-033J </w:t>
    </w:r>
    <w:r>
      <w:rPr>
        <w:rFonts w:hint="eastAsia" w:ascii="隶书" w:hAnsi="隶书" w:eastAsia="隶书" w:cs="隶书"/>
        <w:sz w:val="24"/>
        <w:szCs w:val="24"/>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EE69E"/>
    <w:multiLevelType w:val="singleLevel"/>
    <w:tmpl w:val="833EE69E"/>
    <w:lvl w:ilvl="0" w:tentative="0">
      <w:start w:val="1"/>
      <w:numFmt w:val="decimal"/>
      <w:suff w:val="nothing"/>
      <w:lvlText w:val="%1、"/>
      <w:lvlJc w:val="left"/>
    </w:lvl>
  </w:abstractNum>
  <w:abstractNum w:abstractNumId="1">
    <w:nsid w:val="8EDFCEE1"/>
    <w:multiLevelType w:val="singleLevel"/>
    <w:tmpl w:val="8EDFCEE1"/>
    <w:lvl w:ilvl="0" w:tentative="0">
      <w:start w:val="1"/>
      <w:numFmt w:val="decimal"/>
      <w:suff w:val="nothing"/>
      <w:lvlText w:val="%1、"/>
      <w:lvlJc w:val="left"/>
    </w:lvl>
  </w:abstractNum>
  <w:abstractNum w:abstractNumId="2">
    <w:nsid w:val="B4F662B5"/>
    <w:multiLevelType w:val="singleLevel"/>
    <w:tmpl w:val="B4F662B5"/>
    <w:lvl w:ilvl="0" w:tentative="0">
      <w:start w:val="1"/>
      <w:numFmt w:val="chineseCounting"/>
      <w:suff w:val="nothing"/>
      <w:lvlText w:val="（%1）"/>
      <w:lvlJc w:val="left"/>
      <w:rPr>
        <w:rFonts w:hint="eastAsia"/>
      </w:rPr>
    </w:lvl>
  </w:abstractNum>
  <w:abstractNum w:abstractNumId="3">
    <w:nsid w:val="C9A14E3C"/>
    <w:multiLevelType w:val="singleLevel"/>
    <w:tmpl w:val="C9A14E3C"/>
    <w:lvl w:ilvl="0" w:tentative="0">
      <w:start w:val="1"/>
      <w:numFmt w:val="decimal"/>
      <w:suff w:val="nothing"/>
      <w:lvlText w:val="%1、"/>
      <w:lvlJc w:val="left"/>
    </w:lvl>
  </w:abstractNum>
  <w:abstractNum w:abstractNumId="4">
    <w:nsid w:val="D3FFF982"/>
    <w:multiLevelType w:val="singleLevel"/>
    <w:tmpl w:val="D3FFF982"/>
    <w:lvl w:ilvl="0" w:tentative="0">
      <w:start w:val="1"/>
      <w:numFmt w:val="decimal"/>
      <w:suff w:val="nothing"/>
      <w:lvlText w:val="%1、"/>
      <w:lvlJc w:val="left"/>
    </w:lvl>
  </w:abstractNum>
  <w:abstractNum w:abstractNumId="5">
    <w:nsid w:val="D8CE53DA"/>
    <w:multiLevelType w:val="singleLevel"/>
    <w:tmpl w:val="D8CE53DA"/>
    <w:lvl w:ilvl="0" w:tentative="0">
      <w:start w:val="1"/>
      <w:numFmt w:val="decimal"/>
      <w:suff w:val="nothing"/>
      <w:lvlText w:val="%1、"/>
      <w:lvlJc w:val="left"/>
    </w:lvl>
  </w:abstractNum>
  <w:abstractNum w:abstractNumId="6">
    <w:nsid w:val="DD0E4EE2"/>
    <w:multiLevelType w:val="singleLevel"/>
    <w:tmpl w:val="DD0E4EE2"/>
    <w:lvl w:ilvl="0" w:tentative="0">
      <w:start w:val="1"/>
      <w:numFmt w:val="decimal"/>
      <w:suff w:val="nothing"/>
      <w:lvlText w:val="%1、"/>
      <w:lvlJc w:val="left"/>
    </w:lvl>
  </w:abstractNum>
  <w:abstractNum w:abstractNumId="7">
    <w:nsid w:val="F2EAF85A"/>
    <w:multiLevelType w:val="singleLevel"/>
    <w:tmpl w:val="F2EAF85A"/>
    <w:lvl w:ilvl="0" w:tentative="0">
      <w:start w:val="2"/>
      <w:numFmt w:val="chineseCounting"/>
      <w:suff w:val="nothing"/>
      <w:lvlText w:val="%1、"/>
      <w:lvlJc w:val="left"/>
      <w:rPr>
        <w:rFonts w:hint="eastAsia"/>
      </w:rPr>
    </w:lvl>
  </w:abstractNum>
  <w:abstractNum w:abstractNumId="8">
    <w:nsid w:val="02197E5C"/>
    <w:multiLevelType w:val="singleLevel"/>
    <w:tmpl w:val="02197E5C"/>
    <w:lvl w:ilvl="0" w:tentative="0">
      <w:start w:val="1"/>
      <w:numFmt w:val="decimal"/>
      <w:suff w:val="nothing"/>
      <w:lvlText w:val="%1、"/>
      <w:lvlJc w:val="left"/>
    </w:lvl>
  </w:abstractNum>
  <w:abstractNum w:abstractNumId="9">
    <w:nsid w:val="03D62ECE"/>
    <w:multiLevelType w:val="multilevel"/>
    <w:tmpl w:val="03D62ECE"/>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0">
    <w:nsid w:val="06784D56"/>
    <w:multiLevelType w:val="singleLevel"/>
    <w:tmpl w:val="06784D56"/>
    <w:lvl w:ilvl="0" w:tentative="0">
      <w:start w:val="1"/>
      <w:numFmt w:val="upperLetter"/>
      <w:pStyle w:val="92"/>
      <w:lvlText w:val="附录%1."/>
      <w:lvlJc w:val="left"/>
      <w:pPr>
        <w:tabs>
          <w:tab w:val="left" w:pos="907"/>
        </w:tabs>
        <w:ind w:left="907" w:hanging="907"/>
        <w:textAlignment w:val="baseline"/>
      </w:pPr>
    </w:lvl>
  </w:abstractNum>
  <w:abstractNum w:abstractNumId="11">
    <w:nsid w:val="09FDD665"/>
    <w:multiLevelType w:val="singleLevel"/>
    <w:tmpl w:val="09FDD665"/>
    <w:lvl w:ilvl="0" w:tentative="0">
      <w:start w:val="1"/>
      <w:numFmt w:val="decimal"/>
      <w:suff w:val="nothing"/>
      <w:lvlText w:val="%1、"/>
      <w:lvlJc w:val="left"/>
    </w:lvl>
  </w:abstractNum>
  <w:abstractNum w:abstractNumId="12">
    <w:nsid w:val="0B76E6EE"/>
    <w:multiLevelType w:val="singleLevel"/>
    <w:tmpl w:val="0B76E6EE"/>
    <w:lvl w:ilvl="0" w:tentative="0">
      <w:start w:val="1"/>
      <w:numFmt w:val="decimal"/>
      <w:suff w:val="nothing"/>
      <w:lvlText w:val="%1、"/>
      <w:lvlJc w:val="left"/>
    </w:lvl>
  </w:abstractNum>
  <w:abstractNum w:abstractNumId="13">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14">
    <w:nsid w:val="2B186400"/>
    <w:multiLevelType w:val="singleLevel"/>
    <w:tmpl w:val="2B186400"/>
    <w:lvl w:ilvl="0" w:tentative="0">
      <w:start w:val="1"/>
      <w:numFmt w:val="decimal"/>
      <w:suff w:val="nothing"/>
      <w:lvlText w:val="%1、"/>
      <w:lvlJc w:val="left"/>
    </w:lvl>
  </w:abstractNum>
  <w:abstractNum w:abstractNumId="15">
    <w:nsid w:val="38FBAFDF"/>
    <w:multiLevelType w:val="singleLevel"/>
    <w:tmpl w:val="38FBAFDF"/>
    <w:lvl w:ilvl="0" w:tentative="0">
      <w:start w:val="1"/>
      <w:numFmt w:val="decimal"/>
      <w:suff w:val="nothing"/>
      <w:lvlText w:val="%1、"/>
      <w:lvlJc w:val="left"/>
    </w:lvl>
  </w:abstractNum>
  <w:abstractNum w:abstractNumId="16">
    <w:nsid w:val="394DBE50"/>
    <w:multiLevelType w:val="singleLevel"/>
    <w:tmpl w:val="394DBE50"/>
    <w:lvl w:ilvl="0" w:tentative="0">
      <w:start w:val="1"/>
      <w:numFmt w:val="decimal"/>
      <w:suff w:val="nothing"/>
      <w:lvlText w:val="%1、"/>
      <w:lvlJc w:val="left"/>
    </w:lvl>
  </w:abstractNum>
  <w:abstractNum w:abstractNumId="17">
    <w:nsid w:val="420C153B"/>
    <w:multiLevelType w:val="multilevel"/>
    <w:tmpl w:val="420C153B"/>
    <w:lvl w:ilvl="0" w:tentative="0">
      <w:start w:val="1"/>
      <w:numFmt w:val="decimal"/>
      <w:pStyle w:val="142"/>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18">
    <w:nsid w:val="5279BA5E"/>
    <w:multiLevelType w:val="singleLevel"/>
    <w:tmpl w:val="5279BA5E"/>
    <w:lvl w:ilvl="0" w:tentative="0">
      <w:start w:val="1"/>
      <w:numFmt w:val="decimal"/>
      <w:suff w:val="nothing"/>
      <w:lvlText w:val="%1、"/>
      <w:lvlJc w:val="left"/>
    </w:lvl>
  </w:abstractNum>
  <w:abstractNum w:abstractNumId="19">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50"/>
      <w:suff w:val="nothing"/>
      <w:lvlText w:val=""/>
      <w:lvlJc w:val="left"/>
      <w:pPr>
        <w:ind w:left="0" w:firstLine="0"/>
        <w:textAlignment w:val="baseline"/>
      </w:pPr>
    </w:lvl>
    <w:lvl w:ilvl="6" w:tentative="0">
      <w:start w:val="1"/>
      <w:numFmt w:val="decimal"/>
      <w:pStyle w:val="51"/>
      <w:suff w:val="nothing"/>
      <w:lvlText w:val=""/>
      <w:lvlJc w:val="left"/>
      <w:pPr>
        <w:ind w:left="0" w:firstLine="0"/>
        <w:textAlignment w:val="baseline"/>
      </w:pPr>
    </w:lvl>
    <w:lvl w:ilvl="7" w:tentative="0">
      <w:start w:val="1"/>
      <w:numFmt w:val="decimal"/>
      <w:pStyle w:val="52"/>
      <w:suff w:val="nothing"/>
      <w:lvlText w:val=""/>
      <w:lvlJc w:val="left"/>
      <w:pPr>
        <w:ind w:left="0" w:firstLine="0"/>
        <w:textAlignment w:val="baseline"/>
      </w:pPr>
    </w:lvl>
    <w:lvl w:ilvl="8" w:tentative="0">
      <w:start w:val="1"/>
      <w:numFmt w:val="decimal"/>
      <w:pStyle w:val="53"/>
      <w:suff w:val="nothing"/>
      <w:lvlText w:val=""/>
      <w:lvlJc w:val="left"/>
      <w:pPr>
        <w:ind w:left="0" w:firstLine="0"/>
        <w:textAlignment w:val="baseline"/>
      </w:pPr>
    </w:lvl>
  </w:abstractNum>
  <w:abstractNum w:abstractNumId="20">
    <w:nsid w:val="61066123"/>
    <w:multiLevelType w:val="multilevel"/>
    <w:tmpl w:val="61066123"/>
    <w:lvl w:ilvl="0" w:tentative="0">
      <w:start w:val="1"/>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9"/>
  </w:num>
  <w:num w:numId="2">
    <w:abstractNumId w:val="10"/>
  </w:num>
  <w:num w:numId="3">
    <w:abstractNumId w:val="17"/>
  </w:num>
  <w:num w:numId="4">
    <w:abstractNumId w:val="2"/>
  </w:num>
  <w:num w:numId="5">
    <w:abstractNumId w:val="7"/>
  </w:num>
  <w:num w:numId="6">
    <w:abstractNumId w:val="13"/>
  </w:num>
  <w:num w:numId="7">
    <w:abstractNumId w:val="20"/>
  </w:num>
  <w:num w:numId="8">
    <w:abstractNumId w:val="9"/>
  </w:num>
  <w:num w:numId="9">
    <w:abstractNumId w:val="8"/>
  </w:num>
  <w:num w:numId="10">
    <w:abstractNumId w:val="14"/>
  </w:num>
  <w:num w:numId="11">
    <w:abstractNumId w:val="6"/>
  </w:num>
  <w:num w:numId="12">
    <w:abstractNumId w:val="12"/>
  </w:num>
  <w:num w:numId="13">
    <w:abstractNumId w:val="5"/>
  </w:num>
  <w:num w:numId="14">
    <w:abstractNumId w:val="0"/>
  </w:num>
  <w:num w:numId="15">
    <w:abstractNumId w:val="18"/>
  </w:num>
  <w:num w:numId="16">
    <w:abstractNumId w:val="11"/>
  </w:num>
  <w:num w:numId="17">
    <w:abstractNumId w:val="4"/>
  </w:num>
  <w:num w:numId="18">
    <w:abstractNumId w:val="15"/>
  </w:num>
  <w:num w:numId="19">
    <w:abstractNumId w:val="3"/>
  </w:num>
  <w:num w:numId="20">
    <w:abstractNumId w:val="1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rawingGridVerticalSpacing w:val="149"/>
  <w:displayHorizontalDrawingGridEvery w:val="1"/>
  <w:displayVerticalDrawingGridEvery w:val="1"/>
  <w:doNotUseMarginsForDrawingGridOrigin w:val="1"/>
  <w:drawingGridHorizontalOrigin w:val="1800"/>
  <w:drawingGridVerticalOrigin w:val="1440"/>
  <w:noPunctuationKerning w:val="1"/>
  <w:characterSpacingControl w:val="doNotCompress"/>
  <w:hdrShapeDefaults>
    <o:shapelayout v:ext="edit">
      <o:idmap v:ext="edit" data="1"/>
    </o:shapelayout>
  </w:hdrShapeDefault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ZmIxY2ZiNzg0NjFkYTM1MDM1ZjljNjg4M2E1YWMifQ=="/>
  </w:docVars>
  <w:rsids>
    <w:rsidRoot w:val="00F868A9"/>
    <w:rsid w:val="00003AB4"/>
    <w:rsid w:val="0004133F"/>
    <w:rsid w:val="00045760"/>
    <w:rsid w:val="000570EF"/>
    <w:rsid w:val="0007632E"/>
    <w:rsid w:val="00091821"/>
    <w:rsid w:val="000B38C7"/>
    <w:rsid w:val="000E2680"/>
    <w:rsid w:val="00103D13"/>
    <w:rsid w:val="0011280D"/>
    <w:rsid w:val="00131057"/>
    <w:rsid w:val="001726A6"/>
    <w:rsid w:val="00177C98"/>
    <w:rsid w:val="001925C5"/>
    <w:rsid w:val="001A2403"/>
    <w:rsid w:val="001C492C"/>
    <w:rsid w:val="001D5807"/>
    <w:rsid w:val="00217C7C"/>
    <w:rsid w:val="00223C79"/>
    <w:rsid w:val="00233923"/>
    <w:rsid w:val="00241131"/>
    <w:rsid w:val="002745BB"/>
    <w:rsid w:val="00275521"/>
    <w:rsid w:val="002800DE"/>
    <w:rsid w:val="00280514"/>
    <w:rsid w:val="002931A2"/>
    <w:rsid w:val="002A07A1"/>
    <w:rsid w:val="002A0A4F"/>
    <w:rsid w:val="002C41D3"/>
    <w:rsid w:val="003118E6"/>
    <w:rsid w:val="003220F7"/>
    <w:rsid w:val="00325BAB"/>
    <w:rsid w:val="0033044B"/>
    <w:rsid w:val="003367B6"/>
    <w:rsid w:val="00360929"/>
    <w:rsid w:val="00374345"/>
    <w:rsid w:val="003A223F"/>
    <w:rsid w:val="003A63FB"/>
    <w:rsid w:val="003A7ED9"/>
    <w:rsid w:val="003C4320"/>
    <w:rsid w:val="003D4620"/>
    <w:rsid w:val="00410119"/>
    <w:rsid w:val="004112BF"/>
    <w:rsid w:val="00417286"/>
    <w:rsid w:val="00426342"/>
    <w:rsid w:val="004269CB"/>
    <w:rsid w:val="004521C1"/>
    <w:rsid w:val="004558DC"/>
    <w:rsid w:val="00467A1B"/>
    <w:rsid w:val="00472EDC"/>
    <w:rsid w:val="00475E78"/>
    <w:rsid w:val="004772F8"/>
    <w:rsid w:val="004A24CE"/>
    <w:rsid w:val="004C48B9"/>
    <w:rsid w:val="004D0D5A"/>
    <w:rsid w:val="004D2539"/>
    <w:rsid w:val="004D2FC9"/>
    <w:rsid w:val="004D573F"/>
    <w:rsid w:val="004E2324"/>
    <w:rsid w:val="004F3B21"/>
    <w:rsid w:val="00513033"/>
    <w:rsid w:val="005277A9"/>
    <w:rsid w:val="005352A8"/>
    <w:rsid w:val="00544757"/>
    <w:rsid w:val="0056746E"/>
    <w:rsid w:val="005B06C2"/>
    <w:rsid w:val="005B2CFB"/>
    <w:rsid w:val="005F2F02"/>
    <w:rsid w:val="005F3329"/>
    <w:rsid w:val="006047B2"/>
    <w:rsid w:val="00606780"/>
    <w:rsid w:val="00606EFE"/>
    <w:rsid w:val="00623144"/>
    <w:rsid w:val="006308FE"/>
    <w:rsid w:val="00637636"/>
    <w:rsid w:val="006B0AC7"/>
    <w:rsid w:val="006C13AB"/>
    <w:rsid w:val="006E3A7B"/>
    <w:rsid w:val="00721560"/>
    <w:rsid w:val="007265F3"/>
    <w:rsid w:val="0073771C"/>
    <w:rsid w:val="0074306C"/>
    <w:rsid w:val="00780C34"/>
    <w:rsid w:val="00782B4B"/>
    <w:rsid w:val="00791354"/>
    <w:rsid w:val="007B3E85"/>
    <w:rsid w:val="0081482D"/>
    <w:rsid w:val="00814D01"/>
    <w:rsid w:val="00826C38"/>
    <w:rsid w:val="008307F9"/>
    <w:rsid w:val="00860E15"/>
    <w:rsid w:val="00864D58"/>
    <w:rsid w:val="00891713"/>
    <w:rsid w:val="00896A11"/>
    <w:rsid w:val="008C14CD"/>
    <w:rsid w:val="008C29CC"/>
    <w:rsid w:val="008D617C"/>
    <w:rsid w:val="008E3DAB"/>
    <w:rsid w:val="009069A2"/>
    <w:rsid w:val="00913371"/>
    <w:rsid w:val="009343EF"/>
    <w:rsid w:val="00953A5F"/>
    <w:rsid w:val="0097078B"/>
    <w:rsid w:val="0099206B"/>
    <w:rsid w:val="00994655"/>
    <w:rsid w:val="009C11B1"/>
    <w:rsid w:val="00A1183C"/>
    <w:rsid w:val="00A3339C"/>
    <w:rsid w:val="00A41EC5"/>
    <w:rsid w:val="00A51F32"/>
    <w:rsid w:val="00A6255B"/>
    <w:rsid w:val="00AA7C70"/>
    <w:rsid w:val="00AE15AF"/>
    <w:rsid w:val="00AE261D"/>
    <w:rsid w:val="00AE59E2"/>
    <w:rsid w:val="00AF2F44"/>
    <w:rsid w:val="00AF368F"/>
    <w:rsid w:val="00AF482F"/>
    <w:rsid w:val="00B357E1"/>
    <w:rsid w:val="00B715BD"/>
    <w:rsid w:val="00B719DD"/>
    <w:rsid w:val="00B8533E"/>
    <w:rsid w:val="00BA7076"/>
    <w:rsid w:val="00BC3E9F"/>
    <w:rsid w:val="00BD3C99"/>
    <w:rsid w:val="00BE5F88"/>
    <w:rsid w:val="00C05334"/>
    <w:rsid w:val="00C157C0"/>
    <w:rsid w:val="00C31CC3"/>
    <w:rsid w:val="00C37A67"/>
    <w:rsid w:val="00C601CD"/>
    <w:rsid w:val="00C945B7"/>
    <w:rsid w:val="00CB1BB5"/>
    <w:rsid w:val="00CC6812"/>
    <w:rsid w:val="00CC72B1"/>
    <w:rsid w:val="00CD691E"/>
    <w:rsid w:val="00CE7317"/>
    <w:rsid w:val="00D358BD"/>
    <w:rsid w:val="00D57961"/>
    <w:rsid w:val="00D613B4"/>
    <w:rsid w:val="00D676B7"/>
    <w:rsid w:val="00D71667"/>
    <w:rsid w:val="00D7365D"/>
    <w:rsid w:val="00D75F94"/>
    <w:rsid w:val="00DA2A97"/>
    <w:rsid w:val="00DD536A"/>
    <w:rsid w:val="00DE7A25"/>
    <w:rsid w:val="00DF61E5"/>
    <w:rsid w:val="00E0626D"/>
    <w:rsid w:val="00E124F9"/>
    <w:rsid w:val="00E4006C"/>
    <w:rsid w:val="00E675DD"/>
    <w:rsid w:val="00E742E3"/>
    <w:rsid w:val="00E918E1"/>
    <w:rsid w:val="00E9328D"/>
    <w:rsid w:val="00EA1A99"/>
    <w:rsid w:val="00EA2ECC"/>
    <w:rsid w:val="00EC1238"/>
    <w:rsid w:val="00EE1E73"/>
    <w:rsid w:val="00F01858"/>
    <w:rsid w:val="00F05A81"/>
    <w:rsid w:val="00F11B14"/>
    <w:rsid w:val="00F3123B"/>
    <w:rsid w:val="00F5340F"/>
    <w:rsid w:val="00F539A2"/>
    <w:rsid w:val="00F661FE"/>
    <w:rsid w:val="00F66810"/>
    <w:rsid w:val="00F868A9"/>
    <w:rsid w:val="00F944E6"/>
    <w:rsid w:val="00FA774C"/>
    <w:rsid w:val="00FA7AFD"/>
    <w:rsid w:val="00FC6185"/>
    <w:rsid w:val="00FD0CEF"/>
    <w:rsid w:val="00FE6BDE"/>
    <w:rsid w:val="00FF1275"/>
    <w:rsid w:val="00FF194A"/>
    <w:rsid w:val="00FF1E0C"/>
    <w:rsid w:val="01940476"/>
    <w:rsid w:val="01A15B08"/>
    <w:rsid w:val="01AF4254"/>
    <w:rsid w:val="01F50449"/>
    <w:rsid w:val="020866C9"/>
    <w:rsid w:val="02094A42"/>
    <w:rsid w:val="021013D5"/>
    <w:rsid w:val="0284056C"/>
    <w:rsid w:val="02AB3D4B"/>
    <w:rsid w:val="031F6792"/>
    <w:rsid w:val="03664EA1"/>
    <w:rsid w:val="04082AD7"/>
    <w:rsid w:val="045F6B9B"/>
    <w:rsid w:val="048A02DF"/>
    <w:rsid w:val="048F7652"/>
    <w:rsid w:val="05334E23"/>
    <w:rsid w:val="055A58A5"/>
    <w:rsid w:val="05777F14"/>
    <w:rsid w:val="05790131"/>
    <w:rsid w:val="05D13100"/>
    <w:rsid w:val="05E53B14"/>
    <w:rsid w:val="06AA3A95"/>
    <w:rsid w:val="06EF7CF0"/>
    <w:rsid w:val="077C4CBC"/>
    <w:rsid w:val="08677D62"/>
    <w:rsid w:val="08C118B6"/>
    <w:rsid w:val="08FC324B"/>
    <w:rsid w:val="09136485"/>
    <w:rsid w:val="097E7AC3"/>
    <w:rsid w:val="0A896F97"/>
    <w:rsid w:val="0AE41970"/>
    <w:rsid w:val="0BA17C72"/>
    <w:rsid w:val="0C821421"/>
    <w:rsid w:val="0C994360"/>
    <w:rsid w:val="0CB15BB1"/>
    <w:rsid w:val="0D1402F2"/>
    <w:rsid w:val="0D7132B0"/>
    <w:rsid w:val="0D7B4325"/>
    <w:rsid w:val="0E261538"/>
    <w:rsid w:val="0E3B0AA4"/>
    <w:rsid w:val="0E9B0DDB"/>
    <w:rsid w:val="0F5541A7"/>
    <w:rsid w:val="0FAA45B0"/>
    <w:rsid w:val="103E44D3"/>
    <w:rsid w:val="1041184B"/>
    <w:rsid w:val="10837167"/>
    <w:rsid w:val="11195798"/>
    <w:rsid w:val="11C53F90"/>
    <w:rsid w:val="11F94916"/>
    <w:rsid w:val="12082FD7"/>
    <w:rsid w:val="1265181D"/>
    <w:rsid w:val="12B329CF"/>
    <w:rsid w:val="13165211"/>
    <w:rsid w:val="134F427F"/>
    <w:rsid w:val="1357757B"/>
    <w:rsid w:val="13631AD8"/>
    <w:rsid w:val="1394626A"/>
    <w:rsid w:val="13B81E24"/>
    <w:rsid w:val="13E73007"/>
    <w:rsid w:val="143173CA"/>
    <w:rsid w:val="14C23004"/>
    <w:rsid w:val="15376E13"/>
    <w:rsid w:val="15EB1115"/>
    <w:rsid w:val="16EF70BF"/>
    <w:rsid w:val="17173172"/>
    <w:rsid w:val="172123D6"/>
    <w:rsid w:val="18041C24"/>
    <w:rsid w:val="18AE66DE"/>
    <w:rsid w:val="18CB084B"/>
    <w:rsid w:val="18FE29CF"/>
    <w:rsid w:val="190453A1"/>
    <w:rsid w:val="1945415A"/>
    <w:rsid w:val="19632832"/>
    <w:rsid w:val="19B05279"/>
    <w:rsid w:val="19D21F7E"/>
    <w:rsid w:val="1A353970"/>
    <w:rsid w:val="1ACE4623"/>
    <w:rsid w:val="1B0E4A1F"/>
    <w:rsid w:val="1B2A6182"/>
    <w:rsid w:val="1B336F50"/>
    <w:rsid w:val="1B7B3068"/>
    <w:rsid w:val="1BC2228E"/>
    <w:rsid w:val="1BCB2C50"/>
    <w:rsid w:val="1BDF0FD2"/>
    <w:rsid w:val="1C4A5552"/>
    <w:rsid w:val="1C7D77A6"/>
    <w:rsid w:val="1C9B22E3"/>
    <w:rsid w:val="1DA73FC9"/>
    <w:rsid w:val="1DEF65CF"/>
    <w:rsid w:val="1E9675D8"/>
    <w:rsid w:val="1EBA0E38"/>
    <w:rsid w:val="1EE97818"/>
    <w:rsid w:val="1F2B6305"/>
    <w:rsid w:val="20B10327"/>
    <w:rsid w:val="20D65FDF"/>
    <w:rsid w:val="20D6799C"/>
    <w:rsid w:val="20DD736E"/>
    <w:rsid w:val="20E97AC1"/>
    <w:rsid w:val="21931DA4"/>
    <w:rsid w:val="21F8049E"/>
    <w:rsid w:val="225D0766"/>
    <w:rsid w:val="230A6FF9"/>
    <w:rsid w:val="23571659"/>
    <w:rsid w:val="23B833C4"/>
    <w:rsid w:val="24313F27"/>
    <w:rsid w:val="24B6415E"/>
    <w:rsid w:val="25593628"/>
    <w:rsid w:val="25795E15"/>
    <w:rsid w:val="2580449D"/>
    <w:rsid w:val="25963607"/>
    <w:rsid w:val="25CA7E76"/>
    <w:rsid w:val="25E2097F"/>
    <w:rsid w:val="26461511"/>
    <w:rsid w:val="26571970"/>
    <w:rsid w:val="266B04F3"/>
    <w:rsid w:val="26E77117"/>
    <w:rsid w:val="273E668C"/>
    <w:rsid w:val="27452101"/>
    <w:rsid w:val="27673BD9"/>
    <w:rsid w:val="27845BBD"/>
    <w:rsid w:val="27C52CB5"/>
    <w:rsid w:val="27F35805"/>
    <w:rsid w:val="2805529A"/>
    <w:rsid w:val="284E1359"/>
    <w:rsid w:val="28DC1054"/>
    <w:rsid w:val="29B66D63"/>
    <w:rsid w:val="29C81BEB"/>
    <w:rsid w:val="2AB033FD"/>
    <w:rsid w:val="2C8D1691"/>
    <w:rsid w:val="2C9B25B1"/>
    <w:rsid w:val="2CBD0772"/>
    <w:rsid w:val="2D433E79"/>
    <w:rsid w:val="2D5232F0"/>
    <w:rsid w:val="2D65606C"/>
    <w:rsid w:val="2EB102D0"/>
    <w:rsid w:val="2ED17DCD"/>
    <w:rsid w:val="2EE63891"/>
    <w:rsid w:val="2EFB2475"/>
    <w:rsid w:val="2F1F4980"/>
    <w:rsid w:val="2F3565C7"/>
    <w:rsid w:val="2F492214"/>
    <w:rsid w:val="2F8669B9"/>
    <w:rsid w:val="2FE73D65"/>
    <w:rsid w:val="2FEE50F3"/>
    <w:rsid w:val="2FF1648B"/>
    <w:rsid w:val="3076600E"/>
    <w:rsid w:val="307F7677"/>
    <w:rsid w:val="31176B77"/>
    <w:rsid w:val="33E50EAD"/>
    <w:rsid w:val="341235B3"/>
    <w:rsid w:val="34140770"/>
    <w:rsid w:val="352A6E66"/>
    <w:rsid w:val="35877A81"/>
    <w:rsid w:val="359632B9"/>
    <w:rsid w:val="359A7184"/>
    <w:rsid w:val="35B7640A"/>
    <w:rsid w:val="35BB5A78"/>
    <w:rsid w:val="36080591"/>
    <w:rsid w:val="3744261E"/>
    <w:rsid w:val="3772660A"/>
    <w:rsid w:val="37FE45D5"/>
    <w:rsid w:val="3872122D"/>
    <w:rsid w:val="387555EA"/>
    <w:rsid w:val="3896260D"/>
    <w:rsid w:val="38CF3E86"/>
    <w:rsid w:val="39755785"/>
    <w:rsid w:val="3A1219DE"/>
    <w:rsid w:val="3A1E0383"/>
    <w:rsid w:val="3A60234C"/>
    <w:rsid w:val="3A8C4051"/>
    <w:rsid w:val="3B006970"/>
    <w:rsid w:val="3B5326F5"/>
    <w:rsid w:val="3BCB58D4"/>
    <w:rsid w:val="3C876977"/>
    <w:rsid w:val="3E0024E3"/>
    <w:rsid w:val="3E037FB0"/>
    <w:rsid w:val="3E0554C3"/>
    <w:rsid w:val="3E0702BE"/>
    <w:rsid w:val="3E55459C"/>
    <w:rsid w:val="3F183ABD"/>
    <w:rsid w:val="4032153F"/>
    <w:rsid w:val="40396E60"/>
    <w:rsid w:val="404B79F8"/>
    <w:rsid w:val="404E3DFB"/>
    <w:rsid w:val="411B02BD"/>
    <w:rsid w:val="4142108B"/>
    <w:rsid w:val="41B63597"/>
    <w:rsid w:val="41C33B10"/>
    <w:rsid w:val="41D76922"/>
    <w:rsid w:val="42557B5A"/>
    <w:rsid w:val="427B4E0F"/>
    <w:rsid w:val="42C45082"/>
    <w:rsid w:val="43277756"/>
    <w:rsid w:val="448C0AE7"/>
    <w:rsid w:val="44C30D5C"/>
    <w:rsid w:val="453D4F37"/>
    <w:rsid w:val="459D47D3"/>
    <w:rsid w:val="461012F9"/>
    <w:rsid w:val="468F36CE"/>
    <w:rsid w:val="46FF285D"/>
    <w:rsid w:val="472C4FB8"/>
    <w:rsid w:val="47434C3C"/>
    <w:rsid w:val="477544A9"/>
    <w:rsid w:val="47D77DC3"/>
    <w:rsid w:val="480D1B18"/>
    <w:rsid w:val="482F5C14"/>
    <w:rsid w:val="488F2B38"/>
    <w:rsid w:val="48A57EC2"/>
    <w:rsid w:val="49D24CE6"/>
    <w:rsid w:val="4A770195"/>
    <w:rsid w:val="4A875AD1"/>
    <w:rsid w:val="4ABE6E0A"/>
    <w:rsid w:val="4AFB3155"/>
    <w:rsid w:val="4AFB3500"/>
    <w:rsid w:val="4B187796"/>
    <w:rsid w:val="4C043151"/>
    <w:rsid w:val="4C27138A"/>
    <w:rsid w:val="4CC36B68"/>
    <w:rsid w:val="4CDF4FD7"/>
    <w:rsid w:val="4CEE3EB8"/>
    <w:rsid w:val="4D2F7C0C"/>
    <w:rsid w:val="4D8959A6"/>
    <w:rsid w:val="4E703810"/>
    <w:rsid w:val="4EA84FF4"/>
    <w:rsid w:val="4F615B6C"/>
    <w:rsid w:val="4F8922EB"/>
    <w:rsid w:val="4FC31F86"/>
    <w:rsid w:val="4FE00F57"/>
    <w:rsid w:val="4FE71012"/>
    <w:rsid w:val="4FEA69E5"/>
    <w:rsid w:val="4FF67155"/>
    <w:rsid w:val="50067498"/>
    <w:rsid w:val="503A01F1"/>
    <w:rsid w:val="5166622D"/>
    <w:rsid w:val="51DC4586"/>
    <w:rsid w:val="52922B1F"/>
    <w:rsid w:val="52E74C30"/>
    <w:rsid w:val="534665F2"/>
    <w:rsid w:val="53582700"/>
    <w:rsid w:val="535B5D4C"/>
    <w:rsid w:val="53D00760"/>
    <w:rsid w:val="53DB1BAB"/>
    <w:rsid w:val="53F655BE"/>
    <w:rsid w:val="54C806C5"/>
    <w:rsid w:val="556E620B"/>
    <w:rsid w:val="56151867"/>
    <w:rsid w:val="57016C0B"/>
    <w:rsid w:val="57D909E0"/>
    <w:rsid w:val="58172077"/>
    <w:rsid w:val="58DA4F39"/>
    <w:rsid w:val="59DD74BB"/>
    <w:rsid w:val="59E469A0"/>
    <w:rsid w:val="5A902780"/>
    <w:rsid w:val="5ACD0FBF"/>
    <w:rsid w:val="5B570B4A"/>
    <w:rsid w:val="5BE80287"/>
    <w:rsid w:val="5C01420A"/>
    <w:rsid w:val="5C172F4C"/>
    <w:rsid w:val="5C2B17E4"/>
    <w:rsid w:val="5C2B35EA"/>
    <w:rsid w:val="5C4A749D"/>
    <w:rsid w:val="5CAB212A"/>
    <w:rsid w:val="5CCD4DBA"/>
    <w:rsid w:val="5D4647ED"/>
    <w:rsid w:val="5D51151E"/>
    <w:rsid w:val="5DBA104D"/>
    <w:rsid w:val="5E284F41"/>
    <w:rsid w:val="5FBE0534"/>
    <w:rsid w:val="5FE20012"/>
    <w:rsid w:val="5FEB0458"/>
    <w:rsid w:val="5FF4555F"/>
    <w:rsid w:val="60FB0A31"/>
    <w:rsid w:val="61000E2D"/>
    <w:rsid w:val="6150149C"/>
    <w:rsid w:val="61A26709"/>
    <w:rsid w:val="620339A9"/>
    <w:rsid w:val="620E4996"/>
    <w:rsid w:val="622D342E"/>
    <w:rsid w:val="623936FD"/>
    <w:rsid w:val="6281274A"/>
    <w:rsid w:val="6303194F"/>
    <w:rsid w:val="63465250"/>
    <w:rsid w:val="63483C8F"/>
    <w:rsid w:val="637E2D0B"/>
    <w:rsid w:val="63E15DFA"/>
    <w:rsid w:val="63E27DDC"/>
    <w:rsid w:val="640D6BEF"/>
    <w:rsid w:val="64787384"/>
    <w:rsid w:val="650125BE"/>
    <w:rsid w:val="653B59DE"/>
    <w:rsid w:val="65F938CF"/>
    <w:rsid w:val="67D074C0"/>
    <w:rsid w:val="67E64767"/>
    <w:rsid w:val="681206DC"/>
    <w:rsid w:val="687674CE"/>
    <w:rsid w:val="689C3C7A"/>
    <w:rsid w:val="689E2536"/>
    <w:rsid w:val="68EF2D67"/>
    <w:rsid w:val="68F024D8"/>
    <w:rsid w:val="68F142E6"/>
    <w:rsid w:val="69142D6C"/>
    <w:rsid w:val="692A771C"/>
    <w:rsid w:val="6A8F43E4"/>
    <w:rsid w:val="6A984F03"/>
    <w:rsid w:val="6ADF6879"/>
    <w:rsid w:val="6B08451F"/>
    <w:rsid w:val="6BA77477"/>
    <w:rsid w:val="6BB04F86"/>
    <w:rsid w:val="6BF552E2"/>
    <w:rsid w:val="6C023CAE"/>
    <w:rsid w:val="6D05497A"/>
    <w:rsid w:val="6D6C2BD8"/>
    <w:rsid w:val="6E3A0F28"/>
    <w:rsid w:val="6E5A5127"/>
    <w:rsid w:val="6EB62D31"/>
    <w:rsid w:val="6F1572A0"/>
    <w:rsid w:val="6F370BF8"/>
    <w:rsid w:val="704F3A4E"/>
    <w:rsid w:val="706C1141"/>
    <w:rsid w:val="707149AA"/>
    <w:rsid w:val="70DF36C1"/>
    <w:rsid w:val="70E01B39"/>
    <w:rsid w:val="712C0DAB"/>
    <w:rsid w:val="71733B4C"/>
    <w:rsid w:val="71FB09CF"/>
    <w:rsid w:val="72BA3B44"/>
    <w:rsid w:val="73383726"/>
    <w:rsid w:val="73923A4E"/>
    <w:rsid w:val="73E906CA"/>
    <w:rsid w:val="740C6421"/>
    <w:rsid w:val="74253AE1"/>
    <w:rsid w:val="74A5063C"/>
    <w:rsid w:val="75241FEA"/>
    <w:rsid w:val="752F59CE"/>
    <w:rsid w:val="756048F2"/>
    <w:rsid w:val="758F5CF3"/>
    <w:rsid w:val="75E5766A"/>
    <w:rsid w:val="76744918"/>
    <w:rsid w:val="76925C59"/>
    <w:rsid w:val="76BE394D"/>
    <w:rsid w:val="76C05D43"/>
    <w:rsid w:val="76CB0355"/>
    <w:rsid w:val="76E23ED7"/>
    <w:rsid w:val="76E30B32"/>
    <w:rsid w:val="7710100F"/>
    <w:rsid w:val="78D9133E"/>
    <w:rsid w:val="797D5EA1"/>
    <w:rsid w:val="79F44681"/>
    <w:rsid w:val="7A1268B5"/>
    <w:rsid w:val="7B2D3BB7"/>
    <w:rsid w:val="7B4231CA"/>
    <w:rsid w:val="7B545202"/>
    <w:rsid w:val="7B842C03"/>
    <w:rsid w:val="7C14555E"/>
    <w:rsid w:val="7C292536"/>
    <w:rsid w:val="7E074257"/>
    <w:rsid w:val="7E514D2D"/>
    <w:rsid w:val="7E753B3C"/>
    <w:rsid w:val="7E891110"/>
    <w:rsid w:val="7E924469"/>
    <w:rsid w:val="7F6E0198"/>
    <w:rsid w:val="7FA51F7A"/>
    <w:rsid w:val="7FE963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1"/>
    <w:next w:val="1"/>
    <w:autoRedefine/>
    <w:qFormat/>
    <w:uiPriority w:val="0"/>
    <w:pPr>
      <w:keepLines/>
      <w:spacing w:before="260" w:after="260" w:line="416" w:lineRule="auto"/>
      <w:outlineLvl w:val="1"/>
    </w:pPr>
    <w:rPr>
      <w:rFonts w:ascii="Arial" w:hAnsi="Arial" w:eastAsia="幼圆" w:cs="Arial"/>
      <w:sz w:val="44"/>
      <w:szCs w:val="44"/>
    </w:rPr>
  </w:style>
  <w:style w:type="paragraph" w:styleId="5">
    <w:name w:val="heading 3"/>
    <w:basedOn w:val="1"/>
    <w:next w:val="1"/>
    <w:autoRedefine/>
    <w:qFormat/>
    <w:uiPriority w:val="1"/>
    <w:pPr>
      <w:spacing w:line="357" w:lineRule="exact"/>
      <w:ind w:left="774"/>
      <w:outlineLvl w:val="2"/>
    </w:pPr>
    <w:rPr>
      <w:b/>
      <w:bCs/>
      <w:sz w:val="28"/>
      <w:szCs w:val="28"/>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ind w:firstLine="560" w:firstLineChars="200"/>
    </w:pPr>
    <w:rPr>
      <w:rFonts w:ascii="宋体" w:hAnsi="宋体" w:cs="Times New Roman"/>
      <w:sz w:val="28"/>
    </w:rPr>
  </w:style>
  <w:style w:type="paragraph" w:styleId="7">
    <w:name w:val="Normal Indent"/>
    <w:basedOn w:val="1"/>
    <w:autoRedefine/>
    <w:qFormat/>
    <w:uiPriority w:val="0"/>
    <w:pPr>
      <w:ind w:firstLine="420"/>
    </w:pPr>
  </w:style>
  <w:style w:type="paragraph" w:styleId="8">
    <w:name w:val="caption"/>
    <w:next w:val="1"/>
    <w:qFormat/>
    <w:uiPriority w:val="0"/>
    <w:pPr>
      <w:widowControl w:val="0"/>
      <w:spacing w:line="520" w:lineRule="exact"/>
      <w:ind w:firstLine="200"/>
      <w:jc w:val="both"/>
    </w:pPr>
    <w:rPr>
      <w:rFonts w:ascii="Arial" w:hAnsi="Arial" w:eastAsia="黑体" w:cs="Times New Roman"/>
      <w:lang w:val="en-US" w:eastAsia="zh-CN" w:bidi="ar-SA"/>
    </w:rPr>
  </w:style>
  <w:style w:type="paragraph" w:styleId="9">
    <w:name w:val="annotation text"/>
    <w:basedOn w:val="1"/>
    <w:autoRedefine/>
    <w:qFormat/>
    <w:uiPriority w:val="0"/>
    <w:pPr>
      <w:jc w:val="left"/>
    </w:pPr>
  </w:style>
  <w:style w:type="paragraph" w:styleId="10">
    <w:name w:val="Body Text"/>
    <w:basedOn w:val="1"/>
    <w:next w:val="1"/>
    <w:qFormat/>
    <w:uiPriority w:val="1"/>
    <w:rPr>
      <w:sz w:val="28"/>
      <w:szCs w:val="28"/>
    </w:rPr>
  </w:style>
  <w:style w:type="paragraph" w:styleId="11">
    <w:name w:val="Body Text Indent"/>
    <w:basedOn w:val="1"/>
    <w:next w:val="12"/>
    <w:autoRedefine/>
    <w:qFormat/>
    <w:uiPriority w:val="0"/>
    <w:pPr>
      <w:ind w:firstLine="645"/>
    </w:pPr>
    <w:rPr>
      <w:rFonts w:ascii="楷体_GB2312" w:eastAsia="楷体_GB2312"/>
      <w:sz w:val="32"/>
      <w:szCs w:val="32"/>
    </w:rPr>
  </w:style>
  <w:style w:type="paragraph" w:styleId="12">
    <w:name w:val="envelope return"/>
    <w:basedOn w:val="1"/>
    <w:qFormat/>
    <w:uiPriority w:val="0"/>
    <w:pPr>
      <w:snapToGrid w:val="0"/>
    </w:pPr>
    <w:rPr>
      <w:rFonts w:ascii="Arial" w:hAnsi="Arial"/>
    </w:rPr>
  </w:style>
  <w:style w:type="paragraph" w:styleId="13">
    <w:name w:val="Block Text"/>
    <w:basedOn w:val="1"/>
    <w:next w:val="1"/>
    <w:autoRedefine/>
    <w:qFormat/>
    <w:uiPriority w:val="99"/>
    <w:pPr>
      <w:spacing w:after="120"/>
      <w:ind w:left="1440" w:leftChars="700" w:right="1440" w:rightChars="700"/>
    </w:pPr>
  </w:style>
  <w:style w:type="paragraph" w:styleId="14">
    <w:name w:val="index 4"/>
    <w:basedOn w:val="1"/>
    <w:next w:val="1"/>
    <w:autoRedefine/>
    <w:unhideWhenUsed/>
    <w:qFormat/>
    <w:uiPriority w:val="99"/>
    <w:pPr>
      <w:ind w:left="600" w:leftChars="600"/>
    </w:pPr>
    <w:rPr>
      <w:rFonts w:ascii="Verdana" w:hAnsi="Verdana"/>
      <w:szCs w:val="20"/>
    </w:rPr>
  </w:style>
  <w:style w:type="paragraph" w:styleId="15">
    <w:name w:val="Plain Text"/>
    <w:basedOn w:val="1"/>
    <w:qFormat/>
    <w:uiPriority w:val="0"/>
    <w:rPr>
      <w:rFonts w:ascii="宋体" w:hAnsi="Courier New"/>
    </w:rPr>
  </w:style>
  <w:style w:type="paragraph" w:styleId="16">
    <w:name w:val="Date"/>
    <w:basedOn w:val="1"/>
    <w:next w:val="1"/>
    <w:qFormat/>
    <w:uiPriority w:val="0"/>
    <w:rPr>
      <w:sz w:val="24"/>
      <w:szCs w:val="24"/>
    </w:rPr>
  </w:style>
  <w:style w:type="paragraph" w:styleId="17">
    <w:name w:val="Balloon Text"/>
    <w:basedOn w:val="1"/>
    <w:link w:val="156"/>
    <w:qFormat/>
    <w:uiPriority w:val="0"/>
    <w:rPr>
      <w:sz w:val="18"/>
      <w:szCs w:val="18"/>
    </w:rPr>
  </w:style>
  <w:style w:type="paragraph" w:styleId="18">
    <w:name w:val="footer"/>
    <w:basedOn w:val="1"/>
    <w:link w:val="83"/>
    <w:qFormat/>
    <w:uiPriority w:val="0"/>
    <w:pPr>
      <w:tabs>
        <w:tab w:val="center" w:pos="4153"/>
        <w:tab w:val="right" w:pos="8306"/>
      </w:tabs>
      <w:snapToGrid w:val="0"/>
      <w:jc w:val="left"/>
    </w:pPr>
    <w:rPr>
      <w:sz w:val="18"/>
      <w:szCs w:val="18"/>
    </w:rPr>
  </w:style>
  <w:style w:type="paragraph" w:styleId="19">
    <w:name w:val="header"/>
    <w:basedOn w:val="1"/>
    <w:link w:val="84"/>
    <w:autoRedefine/>
    <w:qFormat/>
    <w:uiPriority w:val="0"/>
    <w:pPr>
      <w:pBdr>
        <w:bottom w:val="single" w:color="000000" w:sz="6" w:space="1"/>
      </w:pBdr>
      <w:tabs>
        <w:tab w:val="center" w:pos="4153"/>
        <w:tab w:val="right" w:pos="8306"/>
      </w:tabs>
      <w:snapToGrid w:val="0"/>
      <w:jc w:val="center"/>
    </w:pPr>
    <w:rPr>
      <w:sz w:val="18"/>
      <w:szCs w:val="18"/>
    </w:rPr>
  </w:style>
  <w:style w:type="paragraph" w:styleId="20">
    <w:name w:val="List"/>
    <w:basedOn w:val="1"/>
    <w:autoRedefine/>
    <w:qFormat/>
    <w:uiPriority w:val="0"/>
    <w:pPr>
      <w:ind w:left="200" w:hanging="200" w:hangingChars="200"/>
    </w:pPr>
  </w:style>
  <w:style w:type="paragraph" w:styleId="21">
    <w:name w:val="toc 6"/>
    <w:basedOn w:val="1"/>
    <w:next w:val="1"/>
    <w:qFormat/>
    <w:uiPriority w:val="39"/>
    <w:pPr>
      <w:ind w:left="1050"/>
      <w:jc w:val="left"/>
    </w:pPr>
  </w:style>
  <w:style w:type="paragraph" w:styleId="22">
    <w:name w:val="Body Text Indent 3"/>
    <w:basedOn w:val="1"/>
    <w:autoRedefine/>
    <w:qFormat/>
    <w:uiPriority w:val="0"/>
    <w:pPr>
      <w:spacing w:after="120"/>
      <w:ind w:left="420" w:leftChars="200"/>
    </w:pPr>
    <w:rPr>
      <w:sz w:val="16"/>
    </w:rPr>
  </w:style>
  <w:style w:type="paragraph" w:styleId="23">
    <w:name w:val="toc 2"/>
    <w:basedOn w:val="1"/>
    <w:next w:val="1"/>
    <w:qFormat/>
    <w:uiPriority w:val="0"/>
    <w:pPr>
      <w:ind w:left="210"/>
      <w:jc w:val="left"/>
    </w:pPr>
    <w:rPr>
      <w:smallCaps/>
      <w:sz w:val="20"/>
      <w:szCs w:val="20"/>
    </w:rPr>
  </w:style>
  <w:style w:type="paragraph" w:styleId="24">
    <w:name w:val="Normal (Web)"/>
    <w:basedOn w:val="1"/>
    <w:autoRedefine/>
    <w:qFormat/>
    <w:uiPriority w:val="99"/>
    <w:pPr>
      <w:spacing w:before="100" w:beforeAutospacing="1" w:after="100" w:afterAutospacing="1"/>
      <w:jc w:val="left"/>
    </w:pPr>
    <w:rPr>
      <w:rFonts w:ascii="宋体" w:hAnsi="宋体" w:cs="宋体"/>
      <w:kern w:val="0"/>
      <w:sz w:val="24"/>
    </w:rPr>
  </w:style>
  <w:style w:type="paragraph" w:styleId="25">
    <w:name w:val="Body Text First Indent"/>
    <w:basedOn w:val="1"/>
    <w:next w:val="21"/>
    <w:qFormat/>
    <w:uiPriority w:val="99"/>
    <w:pPr>
      <w:ind w:firstLine="420" w:firstLineChars="100"/>
    </w:pPr>
  </w:style>
  <w:style w:type="paragraph" w:styleId="26">
    <w:name w:val="Body Text First Indent 2"/>
    <w:basedOn w:val="11"/>
    <w:autoRedefine/>
    <w:qFormat/>
    <w:uiPriority w:val="0"/>
    <w:pPr>
      <w:spacing w:line="360" w:lineRule="auto"/>
      <w:ind w:firstLine="420" w:firstLineChars="200"/>
    </w:pPr>
    <w:rPr>
      <w:rFonts w:ascii="宋体" w:hAnsi="宋体" w:eastAsia="宋体"/>
      <w:sz w:val="21"/>
      <w:szCs w:val="20"/>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autoRedefine/>
    <w:qFormat/>
    <w:uiPriority w:val="0"/>
    <w:rPr>
      <w:rFonts w:cs="Times New Roman"/>
      <w:b/>
      <w:bCs/>
    </w:rPr>
  </w:style>
  <w:style w:type="character" w:styleId="31">
    <w:name w:val="page number"/>
    <w:basedOn w:val="29"/>
    <w:qFormat/>
    <w:uiPriority w:val="0"/>
  </w:style>
  <w:style w:type="character" w:styleId="32">
    <w:name w:val="FollowedHyperlink"/>
    <w:autoRedefine/>
    <w:qFormat/>
    <w:uiPriority w:val="0"/>
    <w:rPr>
      <w:color w:val="800080"/>
    </w:rPr>
  </w:style>
  <w:style w:type="character" w:styleId="33">
    <w:name w:val="Emphasis"/>
    <w:qFormat/>
    <w:uiPriority w:val="0"/>
  </w:style>
  <w:style w:type="character" w:styleId="34">
    <w:name w:val="Hyperlink"/>
    <w:qFormat/>
    <w:uiPriority w:val="0"/>
    <w:rPr>
      <w:color w:val="0000FF"/>
    </w:rPr>
  </w:style>
  <w:style w:type="character" w:styleId="35">
    <w:name w:val="annotation reference"/>
    <w:basedOn w:val="29"/>
    <w:autoRedefine/>
    <w:qFormat/>
    <w:uiPriority w:val="0"/>
    <w:rPr>
      <w:sz w:val="21"/>
      <w:szCs w:val="21"/>
    </w:rPr>
  </w:style>
  <w:style w:type="paragraph" w:customStyle="1" w:styleId="36">
    <w:name w:val="标题 411"/>
    <w:basedOn w:val="1"/>
    <w:next w:val="1"/>
    <w:qFormat/>
    <w:uiPriority w:val="99"/>
    <w:pPr>
      <w:keepNext/>
      <w:keepLines/>
      <w:spacing w:before="280" w:after="290" w:line="372" w:lineRule="auto"/>
      <w:outlineLvl w:val="3"/>
    </w:pPr>
    <w:rPr>
      <w:rFonts w:ascii="Arial" w:hAnsi="Arial" w:eastAsia="黑体"/>
      <w:b/>
      <w:sz w:val="28"/>
      <w:szCs w:val="20"/>
    </w:rPr>
  </w:style>
  <w:style w:type="paragraph" w:customStyle="1" w:styleId="37">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9">
    <w:name w:val="BlockQuote"/>
    <w:basedOn w:val="1"/>
    <w:autoRedefine/>
    <w:qFormat/>
    <w:uiPriority w:val="0"/>
    <w:pPr>
      <w:spacing w:after="120"/>
      <w:ind w:left="1440" w:leftChars="700" w:right="1440" w:rightChars="700"/>
    </w:pPr>
  </w:style>
  <w:style w:type="paragraph" w:customStyle="1" w:styleId="40">
    <w:name w:val="一级条标题"/>
    <w:basedOn w:val="41"/>
    <w:next w:val="42"/>
    <w:autoRedefine/>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41">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42">
    <w:name w:val="段"/>
    <w:next w:val="43"/>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43">
    <w:name w:val="正文 A"/>
    <w:next w:val="42"/>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44">
    <w:name w:val="Heading1"/>
    <w:basedOn w:val="1"/>
    <w:next w:val="1"/>
    <w:link w:val="72"/>
    <w:autoRedefine/>
    <w:qFormat/>
    <w:uiPriority w:val="0"/>
    <w:pPr>
      <w:keepNext/>
      <w:jc w:val="center"/>
    </w:pPr>
    <w:rPr>
      <w:rFonts w:ascii="楷体_GB2312" w:eastAsia="楷体_GB2312"/>
      <w:sz w:val="28"/>
      <w:szCs w:val="28"/>
    </w:rPr>
  </w:style>
  <w:style w:type="paragraph" w:customStyle="1" w:styleId="45">
    <w:name w:val="Heading2"/>
    <w:basedOn w:val="1"/>
    <w:next w:val="46"/>
    <w:autoRedefine/>
    <w:qFormat/>
    <w:uiPriority w:val="0"/>
    <w:pPr>
      <w:keepNext/>
      <w:keepLines/>
      <w:spacing w:before="260" w:after="260" w:line="416" w:lineRule="auto"/>
      <w:jc w:val="center"/>
    </w:pPr>
    <w:rPr>
      <w:rFonts w:ascii="Arial" w:hAnsi="Arial" w:eastAsia="幼圆" w:cs="Arial"/>
      <w:b/>
      <w:bCs/>
      <w:sz w:val="44"/>
      <w:szCs w:val="44"/>
    </w:rPr>
  </w:style>
  <w:style w:type="paragraph" w:customStyle="1" w:styleId="46">
    <w:name w:val="NormalIndent"/>
    <w:basedOn w:val="1"/>
    <w:link w:val="74"/>
    <w:autoRedefine/>
    <w:qFormat/>
    <w:uiPriority w:val="0"/>
    <w:pPr>
      <w:ind w:firstLine="420"/>
    </w:pPr>
  </w:style>
  <w:style w:type="paragraph" w:customStyle="1" w:styleId="47">
    <w:name w:val="Heading3"/>
    <w:basedOn w:val="1"/>
    <w:next w:val="46"/>
    <w:link w:val="75"/>
    <w:autoRedefine/>
    <w:qFormat/>
    <w:uiPriority w:val="0"/>
    <w:pPr>
      <w:keepNext/>
      <w:keepLines/>
      <w:spacing w:before="260" w:after="260" w:line="416" w:lineRule="auto"/>
    </w:pPr>
    <w:rPr>
      <w:rFonts w:cs="Times New Roman"/>
      <w:b/>
      <w:bCs/>
      <w:sz w:val="32"/>
      <w:szCs w:val="32"/>
    </w:rPr>
  </w:style>
  <w:style w:type="paragraph" w:customStyle="1" w:styleId="48">
    <w:name w:val="Heading4"/>
    <w:basedOn w:val="1"/>
    <w:next w:val="46"/>
    <w:link w:val="76"/>
    <w:autoRedefine/>
    <w:qFormat/>
    <w:uiPriority w:val="0"/>
    <w:pPr>
      <w:keepNext/>
      <w:keepLines/>
      <w:spacing w:before="280" w:after="290" w:line="376" w:lineRule="auto"/>
    </w:pPr>
    <w:rPr>
      <w:rFonts w:ascii="Cambria" w:hAnsi="Cambria"/>
      <w:b/>
      <w:sz w:val="28"/>
      <w:szCs w:val="28"/>
    </w:rPr>
  </w:style>
  <w:style w:type="paragraph" w:customStyle="1" w:styleId="49">
    <w:name w:val="Heading5"/>
    <w:basedOn w:val="1"/>
    <w:next w:val="1"/>
    <w:autoRedefine/>
    <w:qFormat/>
    <w:uiPriority w:val="0"/>
    <w:pPr>
      <w:keepNext/>
    </w:pPr>
    <w:rPr>
      <w:rFonts w:ascii="宋体"/>
      <w:color w:val="000000"/>
      <w:kern w:val="0"/>
      <w:sz w:val="28"/>
      <w:szCs w:val="28"/>
    </w:rPr>
  </w:style>
  <w:style w:type="paragraph" w:customStyle="1" w:styleId="50">
    <w:name w:val="Heading6"/>
    <w:basedOn w:val="1"/>
    <w:next w:val="1"/>
    <w:autoRedefine/>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51">
    <w:name w:val="Heading7"/>
    <w:basedOn w:val="1"/>
    <w:next w:val="1"/>
    <w:autoRedefine/>
    <w:qFormat/>
    <w:uiPriority w:val="0"/>
    <w:pPr>
      <w:keepNext/>
      <w:keepLines/>
      <w:numPr>
        <w:ilvl w:val="6"/>
        <w:numId w:val="1"/>
      </w:numPr>
      <w:spacing w:before="240" w:after="64" w:line="320" w:lineRule="auto"/>
    </w:pPr>
    <w:rPr>
      <w:rFonts w:cs="Times New Roman"/>
      <w:b/>
      <w:bCs/>
      <w:sz w:val="24"/>
      <w:szCs w:val="24"/>
    </w:rPr>
  </w:style>
  <w:style w:type="paragraph" w:customStyle="1" w:styleId="52">
    <w:name w:val="Heading8"/>
    <w:basedOn w:val="1"/>
    <w:next w:val="1"/>
    <w:autoRedefine/>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53">
    <w:name w:val="Heading9"/>
    <w:basedOn w:val="1"/>
    <w:next w:val="1"/>
    <w:autoRedefine/>
    <w:qFormat/>
    <w:uiPriority w:val="0"/>
    <w:pPr>
      <w:keepNext/>
      <w:keepLines/>
      <w:numPr>
        <w:ilvl w:val="8"/>
        <w:numId w:val="1"/>
      </w:numPr>
      <w:spacing w:before="240" w:after="64" w:line="320" w:lineRule="auto"/>
    </w:pPr>
    <w:rPr>
      <w:rFonts w:ascii="Arial" w:hAnsi="Arial" w:eastAsia="黑体"/>
    </w:rPr>
  </w:style>
  <w:style w:type="character" w:customStyle="1" w:styleId="54">
    <w:name w:val="NormalCharacter"/>
    <w:autoRedefine/>
    <w:semiHidden/>
    <w:qFormat/>
    <w:uiPriority w:val="0"/>
  </w:style>
  <w:style w:type="table" w:customStyle="1" w:styleId="55">
    <w:name w:val="TableNormal"/>
    <w:autoRedefine/>
    <w:semiHidden/>
    <w:qFormat/>
    <w:uiPriority w:val="0"/>
    <w:tblPr>
      <w:tblCellMar>
        <w:top w:w="0" w:type="dxa"/>
        <w:left w:w="0" w:type="dxa"/>
        <w:bottom w:w="0" w:type="dxa"/>
        <w:right w:w="0" w:type="dxa"/>
      </w:tblCellMar>
    </w:tblPr>
  </w:style>
  <w:style w:type="character" w:customStyle="1" w:styleId="56">
    <w:name w:val="htmlSamp"/>
    <w:autoRedefine/>
    <w:qFormat/>
    <w:uiPriority w:val="0"/>
    <w:rPr>
      <w:rFonts w:ascii="monospace" w:hAnsi="monospace" w:eastAsia="monospace"/>
    </w:rPr>
  </w:style>
  <w:style w:type="character" w:customStyle="1" w:styleId="57">
    <w:name w:val="PageNumber"/>
    <w:basedOn w:val="54"/>
    <w:autoRedefine/>
    <w:qFormat/>
    <w:uiPriority w:val="0"/>
  </w:style>
  <w:style w:type="character" w:customStyle="1" w:styleId="58">
    <w:name w:val="HtmlVar"/>
    <w:autoRedefine/>
    <w:qFormat/>
    <w:uiPriority w:val="0"/>
  </w:style>
  <w:style w:type="character" w:customStyle="1" w:styleId="59">
    <w:name w:val="HtmlKbd"/>
    <w:autoRedefine/>
    <w:qFormat/>
    <w:uiPriority w:val="0"/>
    <w:rPr>
      <w:rFonts w:ascii="monospace" w:hAnsi="monospace" w:eastAsia="monospace"/>
      <w:sz w:val="20"/>
    </w:rPr>
  </w:style>
  <w:style w:type="character" w:customStyle="1" w:styleId="60">
    <w:name w:val="HtmlDfn"/>
    <w:autoRedefine/>
    <w:qFormat/>
    <w:uiPriority w:val="0"/>
  </w:style>
  <w:style w:type="character" w:customStyle="1" w:styleId="61">
    <w:name w:val="HtmlCite"/>
    <w:autoRedefine/>
    <w:qFormat/>
    <w:uiPriority w:val="0"/>
  </w:style>
  <w:style w:type="character" w:customStyle="1" w:styleId="62">
    <w:name w:val="HtmlAcronym"/>
    <w:basedOn w:val="54"/>
    <w:autoRedefine/>
    <w:qFormat/>
    <w:uiPriority w:val="0"/>
  </w:style>
  <w:style w:type="character" w:customStyle="1" w:styleId="63">
    <w:name w:val="HtmlTt"/>
    <w:autoRedefine/>
    <w:qFormat/>
    <w:uiPriority w:val="0"/>
    <w:rPr>
      <w:rFonts w:ascii="monospace" w:hAnsi="monospace" w:eastAsia="monospace"/>
      <w:sz w:val="20"/>
    </w:rPr>
  </w:style>
  <w:style w:type="character" w:customStyle="1" w:styleId="64">
    <w:name w:val="AnnotationReference"/>
    <w:autoRedefine/>
    <w:semiHidden/>
    <w:qFormat/>
    <w:uiPriority w:val="0"/>
    <w:rPr>
      <w:sz w:val="21"/>
      <w:szCs w:val="21"/>
    </w:rPr>
  </w:style>
  <w:style w:type="character" w:customStyle="1" w:styleId="65">
    <w:name w:val="HtmlCode"/>
    <w:autoRedefine/>
    <w:qFormat/>
    <w:uiPriority w:val="0"/>
    <w:rPr>
      <w:rFonts w:ascii="monospace" w:hAnsi="monospace" w:eastAsia="monospace"/>
      <w:sz w:val="20"/>
    </w:rPr>
  </w:style>
  <w:style w:type="character" w:customStyle="1" w:styleId="66">
    <w:name w:val="UserStyle_0"/>
    <w:link w:val="67"/>
    <w:autoRedefine/>
    <w:qFormat/>
    <w:locked/>
    <w:uiPriority w:val="0"/>
    <w:rPr>
      <w:rFonts w:ascii="Calibri" w:hAnsi="Calibri"/>
      <w:sz w:val="24"/>
      <w:szCs w:val="24"/>
      <w:lang w:eastAsia="en-US" w:bidi="en-US"/>
    </w:rPr>
  </w:style>
  <w:style w:type="paragraph" w:customStyle="1" w:styleId="67">
    <w:name w:val="UserStyle_1"/>
    <w:basedOn w:val="1"/>
    <w:link w:val="66"/>
    <w:autoRedefine/>
    <w:qFormat/>
    <w:uiPriority w:val="0"/>
    <w:pPr>
      <w:ind w:left="720"/>
      <w:contextualSpacing/>
      <w:jc w:val="left"/>
    </w:pPr>
    <w:rPr>
      <w:kern w:val="0"/>
      <w:sz w:val="24"/>
      <w:szCs w:val="24"/>
      <w:lang w:eastAsia="en-US" w:bidi="en-US"/>
    </w:rPr>
  </w:style>
  <w:style w:type="character" w:customStyle="1" w:styleId="68">
    <w:name w:val="UserStyle_2"/>
    <w:basedOn w:val="54"/>
    <w:autoRedefine/>
    <w:qFormat/>
    <w:uiPriority w:val="0"/>
  </w:style>
  <w:style w:type="character" w:customStyle="1" w:styleId="69">
    <w:name w:val="UserStyle_3"/>
    <w:basedOn w:val="54"/>
    <w:autoRedefine/>
    <w:qFormat/>
    <w:uiPriority w:val="0"/>
  </w:style>
  <w:style w:type="character" w:customStyle="1" w:styleId="70">
    <w:name w:val="UserStyle_4"/>
    <w:link w:val="71"/>
    <w:autoRedefine/>
    <w:qFormat/>
    <w:uiPriority w:val="0"/>
    <w:rPr>
      <w:rFonts w:eastAsia="宋体"/>
      <w:kern w:val="2"/>
      <w:sz w:val="21"/>
      <w:szCs w:val="21"/>
      <w:lang w:val="en-US" w:eastAsia="zh-CN" w:bidi="ar-SA"/>
    </w:rPr>
  </w:style>
  <w:style w:type="paragraph" w:customStyle="1" w:styleId="71">
    <w:name w:val="NavPane"/>
    <w:basedOn w:val="1"/>
    <w:link w:val="70"/>
    <w:autoRedefine/>
    <w:semiHidden/>
    <w:qFormat/>
    <w:uiPriority w:val="0"/>
    <w:pPr>
      <w:shd w:val="clear" w:color="auto" w:fill="000080"/>
    </w:pPr>
  </w:style>
  <w:style w:type="character" w:customStyle="1" w:styleId="72">
    <w:name w:val="UserStyle_5"/>
    <w:link w:val="44"/>
    <w:autoRedefine/>
    <w:qFormat/>
    <w:uiPriority w:val="0"/>
    <w:rPr>
      <w:rFonts w:ascii="楷体_GB2312" w:eastAsia="楷体_GB2312"/>
      <w:kern w:val="2"/>
      <w:sz w:val="28"/>
      <w:szCs w:val="28"/>
    </w:rPr>
  </w:style>
  <w:style w:type="character" w:customStyle="1" w:styleId="73">
    <w:name w:val="UserStyle_6"/>
    <w:autoRedefine/>
    <w:qFormat/>
    <w:uiPriority w:val="0"/>
    <w:rPr>
      <w:color w:val="999999"/>
    </w:rPr>
  </w:style>
  <w:style w:type="character" w:customStyle="1" w:styleId="74">
    <w:name w:val="UserStyle_7"/>
    <w:link w:val="46"/>
    <w:autoRedefine/>
    <w:qFormat/>
    <w:uiPriority w:val="0"/>
    <w:rPr>
      <w:kern w:val="2"/>
      <w:sz w:val="21"/>
      <w:szCs w:val="21"/>
    </w:rPr>
  </w:style>
  <w:style w:type="character" w:customStyle="1" w:styleId="75">
    <w:name w:val="UserStyle_8"/>
    <w:link w:val="47"/>
    <w:autoRedefine/>
    <w:qFormat/>
    <w:uiPriority w:val="0"/>
    <w:rPr>
      <w:rFonts w:eastAsia="宋体" w:cs="Times New Roman"/>
      <w:b/>
      <w:bCs/>
      <w:kern w:val="2"/>
      <w:sz w:val="32"/>
      <w:szCs w:val="32"/>
      <w:lang w:val="en-US" w:eastAsia="zh-CN" w:bidi="ar-SA"/>
    </w:rPr>
  </w:style>
  <w:style w:type="character" w:customStyle="1" w:styleId="76">
    <w:name w:val="UserStyle_9"/>
    <w:link w:val="48"/>
    <w:autoRedefine/>
    <w:qFormat/>
    <w:uiPriority w:val="0"/>
    <w:rPr>
      <w:rFonts w:ascii="Cambria" w:hAnsi="Cambria" w:eastAsia="宋体"/>
      <w:b/>
      <w:kern w:val="2"/>
      <w:sz w:val="28"/>
      <w:szCs w:val="28"/>
    </w:rPr>
  </w:style>
  <w:style w:type="character" w:customStyle="1" w:styleId="77">
    <w:name w:val="UserStyle_10"/>
    <w:link w:val="78"/>
    <w:autoRedefine/>
    <w:semiHidden/>
    <w:qFormat/>
    <w:uiPriority w:val="0"/>
    <w:rPr>
      <w:kern w:val="2"/>
      <w:sz w:val="21"/>
      <w:szCs w:val="21"/>
    </w:rPr>
  </w:style>
  <w:style w:type="paragraph" w:customStyle="1" w:styleId="78">
    <w:name w:val="AnnotationText"/>
    <w:basedOn w:val="1"/>
    <w:link w:val="77"/>
    <w:autoRedefine/>
    <w:semiHidden/>
    <w:qFormat/>
    <w:uiPriority w:val="0"/>
    <w:pPr>
      <w:jc w:val="left"/>
    </w:pPr>
  </w:style>
  <w:style w:type="character" w:customStyle="1" w:styleId="79">
    <w:name w:val="UserStyle_11"/>
    <w:link w:val="80"/>
    <w:autoRedefine/>
    <w:qFormat/>
    <w:uiPriority w:val="0"/>
    <w:rPr>
      <w:rFonts w:ascii="宋体" w:hAnsi="Courier New"/>
      <w:kern w:val="2"/>
      <w:sz w:val="21"/>
      <w:szCs w:val="21"/>
    </w:rPr>
  </w:style>
  <w:style w:type="paragraph" w:customStyle="1" w:styleId="80">
    <w:name w:val="PlainText"/>
    <w:basedOn w:val="1"/>
    <w:link w:val="79"/>
    <w:autoRedefine/>
    <w:qFormat/>
    <w:uiPriority w:val="0"/>
    <w:rPr>
      <w:rFonts w:ascii="宋体" w:hAnsi="Courier New"/>
    </w:rPr>
  </w:style>
  <w:style w:type="character" w:customStyle="1" w:styleId="81">
    <w:name w:val="UserStyle_12"/>
    <w:link w:val="82"/>
    <w:autoRedefine/>
    <w:semiHidden/>
    <w:qFormat/>
    <w:uiPriority w:val="0"/>
    <w:rPr>
      <w:kern w:val="2"/>
      <w:sz w:val="18"/>
      <w:szCs w:val="18"/>
    </w:rPr>
  </w:style>
  <w:style w:type="paragraph" w:customStyle="1" w:styleId="82">
    <w:name w:val="Acetate"/>
    <w:basedOn w:val="1"/>
    <w:link w:val="81"/>
    <w:autoRedefine/>
    <w:semiHidden/>
    <w:qFormat/>
    <w:uiPriority w:val="0"/>
    <w:rPr>
      <w:sz w:val="18"/>
      <w:szCs w:val="18"/>
    </w:rPr>
  </w:style>
  <w:style w:type="character" w:customStyle="1" w:styleId="83">
    <w:name w:val="页脚 Char"/>
    <w:link w:val="18"/>
    <w:autoRedefine/>
    <w:qFormat/>
    <w:uiPriority w:val="0"/>
    <w:rPr>
      <w:kern w:val="2"/>
      <w:sz w:val="18"/>
      <w:szCs w:val="18"/>
    </w:rPr>
  </w:style>
  <w:style w:type="character" w:customStyle="1" w:styleId="84">
    <w:name w:val="页眉 Char"/>
    <w:link w:val="19"/>
    <w:autoRedefine/>
    <w:qFormat/>
    <w:uiPriority w:val="0"/>
    <w:rPr>
      <w:kern w:val="2"/>
      <w:sz w:val="18"/>
      <w:szCs w:val="18"/>
    </w:rPr>
  </w:style>
  <w:style w:type="character" w:customStyle="1" w:styleId="85">
    <w:name w:val="UserStyle_15"/>
    <w:autoRedefine/>
    <w:qFormat/>
    <w:uiPriority w:val="0"/>
    <w:rPr>
      <w:rFonts w:ascii="宋体" w:hAnsi="宋体" w:eastAsia="宋体"/>
      <w:sz w:val="28"/>
      <w:szCs w:val="28"/>
      <w:lang w:val="en-US" w:eastAsia="zh-CN" w:bidi="ar-SA"/>
    </w:rPr>
  </w:style>
  <w:style w:type="character" w:customStyle="1" w:styleId="86">
    <w:name w:val="UserStyle_16"/>
    <w:basedOn w:val="54"/>
    <w:autoRedefine/>
    <w:qFormat/>
    <w:uiPriority w:val="0"/>
    <w:rPr>
      <w:rFonts w:ascii="宋体" w:hAnsi="宋体" w:eastAsia="宋体"/>
      <w:color w:val="000000"/>
      <w:sz w:val="22"/>
      <w:szCs w:val="22"/>
    </w:rPr>
  </w:style>
  <w:style w:type="character" w:customStyle="1" w:styleId="87">
    <w:name w:val="UserStyle_17"/>
    <w:autoRedefine/>
    <w:qFormat/>
    <w:uiPriority w:val="0"/>
    <w:rPr>
      <w:shd w:val="clear" w:color="auto" w:fill="EEEEEE"/>
    </w:rPr>
  </w:style>
  <w:style w:type="character" w:customStyle="1" w:styleId="88">
    <w:name w:val="UserStyle_18"/>
    <w:link w:val="89"/>
    <w:autoRedefine/>
    <w:qFormat/>
    <w:uiPriority w:val="0"/>
    <w:rPr>
      <w:rFonts w:ascii="Tahoma" w:hAnsi="Tahoma" w:eastAsia="宋体"/>
      <w:kern w:val="2"/>
      <w:sz w:val="24"/>
      <w:szCs w:val="24"/>
      <w:lang w:val="en-US" w:eastAsia="zh-CN" w:bidi="ar-SA"/>
    </w:rPr>
  </w:style>
  <w:style w:type="paragraph" w:customStyle="1" w:styleId="89">
    <w:name w:val="UserStyle_19"/>
    <w:basedOn w:val="71"/>
    <w:link w:val="88"/>
    <w:autoRedefine/>
    <w:qFormat/>
    <w:uiPriority w:val="0"/>
    <w:pPr>
      <w:snapToGrid w:val="0"/>
      <w:spacing w:line="360" w:lineRule="auto"/>
    </w:pPr>
    <w:rPr>
      <w:rFonts w:ascii="Tahoma" w:hAnsi="Tahoma"/>
      <w:sz w:val="24"/>
      <w:szCs w:val="24"/>
    </w:rPr>
  </w:style>
  <w:style w:type="character" w:customStyle="1" w:styleId="90">
    <w:name w:val="UserStyle_20"/>
    <w:autoRedefine/>
    <w:qFormat/>
    <w:uiPriority w:val="0"/>
    <w:rPr>
      <w:rFonts w:eastAsia="宋体"/>
      <w:b/>
      <w:spacing w:val="-2"/>
      <w:sz w:val="24"/>
      <w:lang w:val="en-US" w:eastAsia="zh-CN" w:bidi="ar-SA"/>
    </w:rPr>
  </w:style>
  <w:style w:type="character" w:customStyle="1" w:styleId="91">
    <w:name w:val="UserStyle_21"/>
    <w:link w:val="92"/>
    <w:autoRedefine/>
    <w:qFormat/>
    <w:uiPriority w:val="0"/>
    <w:rPr>
      <w:b/>
      <w:kern w:val="2"/>
      <w:sz w:val="30"/>
      <w:szCs w:val="28"/>
      <w:lang w:val="en-US" w:eastAsia="zh-CN" w:bidi="ar-SA"/>
    </w:rPr>
  </w:style>
  <w:style w:type="paragraph" w:customStyle="1" w:styleId="92">
    <w:name w:val="UserStyle_22"/>
    <w:next w:val="1"/>
    <w:link w:val="91"/>
    <w:autoRedefine/>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93">
    <w:name w:val="UserStyle_23"/>
    <w:basedOn w:val="54"/>
    <w:autoRedefine/>
    <w:qFormat/>
    <w:uiPriority w:val="0"/>
  </w:style>
  <w:style w:type="paragraph" w:customStyle="1" w:styleId="94">
    <w:name w:val="TOC4"/>
    <w:basedOn w:val="1"/>
    <w:next w:val="1"/>
    <w:autoRedefine/>
    <w:semiHidden/>
    <w:qFormat/>
    <w:uiPriority w:val="0"/>
    <w:pPr>
      <w:ind w:left="630"/>
      <w:jc w:val="left"/>
    </w:pPr>
  </w:style>
  <w:style w:type="paragraph" w:customStyle="1" w:styleId="95">
    <w:name w:val="TOC1"/>
    <w:basedOn w:val="1"/>
    <w:next w:val="1"/>
    <w:autoRedefine/>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96">
    <w:name w:val="BodyTextIndent2"/>
    <w:basedOn w:val="1"/>
    <w:autoRedefine/>
    <w:qFormat/>
    <w:uiPriority w:val="0"/>
    <w:pPr>
      <w:ind w:left="630" w:firstLine="645"/>
    </w:pPr>
    <w:rPr>
      <w:rFonts w:ascii="Arial" w:hAnsi="Arial" w:eastAsia="仿宋_GB2312"/>
      <w:sz w:val="32"/>
      <w:szCs w:val="32"/>
    </w:rPr>
  </w:style>
  <w:style w:type="paragraph" w:customStyle="1" w:styleId="97">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98">
    <w:name w:val="EnvelopeReturn"/>
    <w:basedOn w:val="1"/>
    <w:qFormat/>
    <w:uiPriority w:val="0"/>
    <w:pPr>
      <w:snapToGrid w:val="0"/>
    </w:pPr>
    <w:rPr>
      <w:rFonts w:ascii="Arial" w:hAnsi="Arial"/>
    </w:rPr>
  </w:style>
  <w:style w:type="paragraph" w:customStyle="1" w:styleId="99">
    <w:name w:val="BodyTextIndent"/>
    <w:basedOn w:val="1"/>
    <w:next w:val="98"/>
    <w:autoRedefine/>
    <w:qFormat/>
    <w:uiPriority w:val="0"/>
    <w:pPr>
      <w:ind w:firstLine="645"/>
    </w:pPr>
    <w:rPr>
      <w:rFonts w:ascii="楷体_GB2312" w:eastAsia="楷体_GB2312"/>
      <w:sz w:val="32"/>
      <w:szCs w:val="32"/>
    </w:rPr>
  </w:style>
  <w:style w:type="paragraph" w:customStyle="1" w:styleId="100">
    <w:name w:val="BodyText3"/>
    <w:basedOn w:val="1"/>
    <w:qFormat/>
    <w:uiPriority w:val="0"/>
    <w:rPr>
      <w:rFonts w:ascii="仿宋_GB2312" w:hAnsi="Arial" w:eastAsia="仿宋_GB2312"/>
      <w:sz w:val="32"/>
      <w:szCs w:val="32"/>
    </w:rPr>
  </w:style>
  <w:style w:type="paragraph" w:customStyle="1" w:styleId="101">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102">
    <w:name w:val="List2"/>
    <w:basedOn w:val="1"/>
    <w:autoRedefine/>
    <w:qFormat/>
    <w:uiPriority w:val="0"/>
    <w:pPr>
      <w:ind w:left="100" w:leftChars="200" w:hanging="200" w:hangingChars="200"/>
    </w:pPr>
  </w:style>
  <w:style w:type="paragraph" w:customStyle="1" w:styleId="103">
    <w:name w:val="List3"/>
    <w:basedOn w:val="1"/>
    <w:autoRedefine/>
    <w:qFormat/>
    <w:uiPriority w:val="0"/>
    <w:pPr>
      <w:ind w:left="100" w:leftChars="400" w:hanging="200" w:hangingChars="200"/>
    </w:pPr>
  </w:style>
  <w:style w:type="paragraph" w:customStyle="1" w:styleId="104">
    <w:name w:val="Index1"/>
    <w:basedOn w:val="1"/>
    <w:next w:val="1"/>
    <w:semiHidden/>
    <w:qFormat/>
    <w:uiPriority w:val="0"/>
    <w:pPr>
      <w:spacing w:line="240" w:lineRule="atLeast"/>
    </w:pPr>
    <w:rPr>
      <w:rFonts w:cs="Times New Roman"/>
      <w:b/>
      <w:bCs/>
    </w:rPr>
  </w:style>
  <w:style w:type="paragraph" w:customStyle="1" w:styleId="105">
    <w:name w:val="BodyText2"/>
    <w:basedOn w:val="1"/>
    <w:autoRedefine/>
    <w:qFormat/>
    <w:uiPriority w:val="0"/>
    <w:pPr>
      <w:jc w:val="center"/>
    </w:pPr>
    <w:rPr>
      <w:rFonts w:ascii="楷体_GB2312" w:eastAsia="楷体_GB2312"/>
      <w:sz w:val="28"/>
      <w:szCs w:val="28"/>
    </w:rPr>
  </w:style>
  <w:style w:type="paragraph" w:customStyle="1" w:styleId="106">
    <w:name w:val="ToCaption"/>
    <w:basedOn w:val="1"/>
    <w:next w:val="1"/>
    <w:autoRedefine/>
    <w:semiHidden/>
    <w:qFormat/>
    <w:uiPriority w:val="0"/>
    <w:pPr>
      <w:ind w:left="840" w:hanging="420"/>
    </w:pPr>
  </w:style>
  <w:style w:type="paragraph" w:customStyle="1" w:styleId="107">
    <w:name w:val="BodyTextIndent3"/>
    <w:basedOn w:val="1"/>
    <w:autoRedefine/>
    <w:qFormat/>
    <w:uiPriority w:val="0"/>
    <w:pPr>
      <w:ind w:left="645" w:firstLine="645"/>
    </w:pPr>
    <w:rPr>
      <w:rFonts w:ascii="Arial" w:hAnsi="Arial" w:eastAsia="仿宋_GB2312"/>
      <w:color w:val="FFFF00"/>
      <w:sz w:val="32"/>
      <w:szCs w:val="32"/>
    </w:rPr>
  </w:style>
  <w:style w:type="paragraph" w:customStyle="1" w:styleId="108">
    <w:name w:val="TOC6"/>
    <w:basedOn w:val="1"/>
    <w:next w:val="1"/>
    <w:autoRedefine/>
    <w:semiHidden/>
    <w:qFormat/>
    <w:uiPriority w:val="0"/>
    <w:pPr>
      <w:ind w:left="1050"/>
      <w:jc w:val="left"/>
    </w:pPr>
  </w:style>
  <w:style w:type="paragraph" w:customStyle="1" w:styleId="109">
    <w:name w:val="BodyText1I2"/>
    <w:basedOn w:val="99"/>
    <w:qFormat/>
    <w:uiPriority w:val="0"/>
    <w:pPr>
      <w:spacing w:line="360" w:lineRule="auto"/>
      <w:ind w:firstLine="420" w:firstLineChars="200"/>
    </w:pPr>
    <w:rPr>
      <w:rFonts w:ascii="宋体" w:hAnsi="宋体" w:eastAsia="宋体"/>
      <w:sz w:val="21"/>
      <w:szCs w:val="20"/>
    </w:rPr>
  </w:style>
  <w:style w:type="paragraph" w:customStyle="1" w:styleId="110">
    <w:name w:val="AnnotationSubject"/>
    <w:basedOn w:val="78"/>
    <w:next w:val="78"/>
    <w:autoRedefine/>
    <w:semiHidden/>
    <w:qFormat/>
    <w:uiPriority w:val="0"/>
    <w:rPr>
      <w:rFonts w:cs="Times New Roman"/>
      <w:b/>
      <w:bCs/>
    </w:rPr>
  </w:style>
  <w:style w:type="paragraph" w:customStyle="1" w:styleId="111">
    <w:name w:val="TOC2"/>
    <w:basedOn w:val="1"/>
    <w:next w:val="1"/>
    <w:autoRedefine/>
    <w:semiHidden/>
    <w:qFormat/>
    <w:uiPriority w:val="0"/>
    <w:pPr>
      <w:ind w:left="210"/>
      <w:jc w:val="left"/>
    </w:pPr>
    <w:rPr>
      <w:smallCaps/>
      <w:szCs w:val="24"/>
    </w:rPr>
  </w:style>
  <w:style w:type="paragraph" w:customStyle="1" w:styleId="112">
    <w:name w:val="TOC8"/>
    <w:basedOn w:val="1"/>
    <w:next w:val="1"/>
    <w:autoRedefine/>
    <w:semiHidden/>
    <w:qFormat/>
    <w:uiPriority w:val="0"/>
    <w:pPr>
      <w:ind w:left="1470"/>
      <w:jc w:val="left"/>
    </w:pPr>
  </w:style>
  <w:style w:type="paragraph" w:customStyle="1" w:styleId="113">
    <w:name w:val="TOC7"/>
    <w:basedOn w:val="1"/>
    <w:next w:val="1"/>
    <w:autoRedefine/>
    <w:semiHidden/>
    <w:qFormat/>
    <w:uiPriority w:val="0"/>
    <w:pPr>
      <w:ind w:left="1260"/>
      <w:jc w:val="left"/>
    </w:pPr>
  </w:style>
  <w:style w:type="paragraph" w:customStyle="1" w:styleId="114">
    <w:name w:val="BodyText"/>
    <w:basedOn w:val="1"/>
    <w:autoRedefine/>
    <w:qFormat/>
    <w:uiPriority w:val="0"/>
    <w:rPr>
      <w:rFonts w:ascii="楷体_GB2312" w:hAnsi="Arial" w:eastAsia="楷体_GB2312"/>
      <w:sz w:val="28"/>
      <w:szCs w:val="28"/>
    </w:rPr>
  </w:style>
  <w:style w:type="paragraph" w:customStyle="1" w:styleId="115">
    <w:name w:val="TOC9"/>
    <w:basedOn w:val="1"/>
    <w:next w:val="1"/>
    <w:autoRedefine/>
    <w:semiHidden/>
    <w:qFormat/>
    <w:uiPriority w:val="0"/>
    <w:pPr>
      <w:ind w:left="1680"/>
      <w:jc w:val="left"/>
    </w:pPr>
  </w:style>
  <w:style w:type="paragraph" w:customStyle="1" w:styleId="116">
    <w:name w:val="TOC3"/>
    <w:basedOn w:val="1"/>
    <w:next w:val="1"/>
    <w:autoRedefine/>
    <w:semiHidden/>
    <w:qFormat/>
    <w:uiPriority w:val="0"/>
    <w:pPr>
      <w:ind w:left="420"/>
      <w:jc w:val="left"/>
    </w:pPr>
    <w:rPr>
      <w:i/>
      <w:iCs/>
      <w:szCs w:val="24"/>
    </w:rPr>
  </w:style>
  <w:style w:type="paragraph" w:customStyle="1" w:styleId="117">
    <w:name w:val="TOC5"/>
    <w:basedOn w:val="1"/>
    <w:next w:val="1"/>
    <w:semiHidden/>
    <w:qFormat/>
    <w:uiPriority w:val="0"/>
    <w:pPr>
      <w:ind w:left="840"/>
      <w:jc w:val="left"/>
    </w:pPr>
  </w:style>
  <w:style w:type="paragraph" w:customStyle="1" w:styleId="118">
    <w:name w:val="UserStyle_24"/>
    <w:basedOn w:val="1"/>
    <w:autoRedefine/>
    <w:qFormat/>
    <w:uiPriority w:val="0"/>
    <w:pPr>
      <w:spacing w:before="100" w:beforeAutospacing="1" w:after="100" w:afterAutospacing="1"/>
      <w:jc w:val="left"/>
    </w:pPr>
    <w:rPr>
      <w:rFonts w:ascii="宋体" w:hAnsi="宋体"/>
      <w:kern w:val="0"/>
      <w:sz w:val="24"/>
      <w:szCs w:val="24"/>
    </w:rPr>
  </w:style>
  <w:style w:type="paragraph" w:customStyle="1" w:styleId="119">
    <w:name w:val="UserStyle_25"/>
    <w:basedOn w:val="1"/>
    <w:autoRedefine/>
    <w:qFormat/>
    <w:uiPriority w:val="0"/>
    <w:pPr>
      <w:spacing w:before="100" w:beforeAutospacing="1" w:after="100" w:afterAutospacing="1"/>
      <w:jc w:val="left"/>
    </w:pPr>
    <w:rPr>
      <w:rFonts w:ascii="宋体" w:hAnsi="宋体"/>
      <w:kern w:val="0"/>
      <w:sz w:val="28"/>
      <w:szCs w:val="28"/>
    </w:rPr>
  </w:style>
  <w:style w:type="paragraph" w:customStyle="1" w:styleId="120">
    <w:name w:val="179"/>
    <w:basedOn w:val="1"/>
    <w:autoRedefine/>
    <w:qFormat/>
    <w:uiPriority w:val="0"/>
    <w:pPr>
      <w:ind w:left="720"/>
      <w:contextualSpacing/>
      <w:jc w:val="left"/>
    </w:pPr>
    <w:rPr>
      <w:rFonts w:ascii="Calibri" w:hAnsi="Calibri"/>
      <w:kern w:val="0"/>
      <w:sz w:val="24"/>
      <w:szCs w:val="24"/>
      <w:lang w:eastAsia="en-US" w:bidi="en-US"/>
    </w:rPr>
  </w:style>
  <w:style w:type="paragraph" w:customStyle="1" w:styleId="121">
    <w:name w:val="UserStyle_26"/>
    <w:basedOn w:val="1"/>
    <w:autoRedefine/>
    <w:qFormat/>
    <w:uiPriority w:val="0"/>
    <w:pPr>
      <w:tabs>
        <w:tab w:val="left" w:pos="-720"/>
      </w:tabs>
    </w:pPr>
    <w:rPr>
      <w:spacing w:val="-3"/>
      <w:kern w:val="0"/>
      <w:sz w:val="24"/>
      <w:szCs w:val="20"/>
      <w:lang w:val="en-AU" w:eastAsia="en-US"/>
    </w:rPr>
  </w:style>
  <w:style w:type="paragraph" w:customStyle="1" w:styleId="122">
    <w:name w:val="UserStyle_27"/>
    <w:basedOn w:val="1"/>
    <w:next w:val="1"/>
    <w:autoRedefine/>
    <w:qFormat/>
    <w:uiPriority w:val="0"/>
    <w:pPr>
      <w:jc w:val="center"/>
    </w:pPr>
    <w:rPr>
      <w:sz w:val="24"/>
    </w:rPr>
  </w:style>
  <w:style w:type="paragraph" w:customStyle="1" w:styleId="123">
    <w:name w:val="UserStyle_28"/>
    <w:basedOn w:val="1"/>
    <w:autoRedefine/>
    <w:qFormat/>
    <w:uiPriority w:val="0"/>
    <w:pPr>
      <w:jc w:val="left"/>
    </w:pPr>
    <w:rPr>
      <w:kern w:val="0"/>
      <w:sz w:val="20"/>
      <w:szCs w:val="20"/>
      <w:lang w:val="de-DE" w:eastAsia="de-DE"/>
    </w:rPr>
  </w:style>
  <w:style w:type="paragraph" w:customStyle="1" w:styleId="124">
    <w:name w:val="UserStyle_29"/>
    <w:basedOn w:val="1"/>
    <w:qFormat/>
    <w:uiPriority w:val="0"/>
    <w:pPr>
      <w:tabs>
        <w:tab w:val="left" w:pos="360"/>
      </w:tabs>
      <w:ind w:firstLine="200" w:firstLineChars="200"/>
    </w:pPr>
    <w:rPr>
      <w:sz w:val="28"/>
      <w:szCs w:val="30"/>
    </w:rPr>
  </w:style>
  <w:style w:type="paragraph" w:customStyle="1" w:styleId="125">
    <w:name w:val="UserStyle_30"/>
    <w:basedOn w:val="1"/>
    <w:autoRedefine/>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26">
    <w:name w:val="UserStyle_31"/>
    <w:basedOn w:val="1"/>
    <w:next w:val="1"/>
    <w:autoRedefine/>
    <w:qFormat/>
    <w:uiPriority w:val="0"/>
    <w:pPr>
      <w:snapToGrid w:val="0"/>
      <w:spacing w:line="590" w:lineRule="atLeast"/>
      <w:ind w:firstLine="624"/>
    </w:pPr>
    <w:rPr>
      <w:rFonts w:ascii="方正黑体_GBK" w:eastAsia="方正黑体_GBK"/>
      <w:kern w:val="0"/>
      <w:sz w:val="32"/>
      <w:szCs w:val="32"/>
    </w:rPr>
  </w:style>
  <w:style w:type="paragraph" w:customStyle="1" w:styleId="127">
    <w:name w:val="UserStyle_32"/>
    <w:basedOn w:val="1"/>
    <w:next w:val="1"/>
    <w:autoRedefine/>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8">
    <w:name w:val="UserStyle_33"/>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9">
    <w:name w:val="UserStyle_34"/>
    <w:basedOn w:val="1"/>
    <w:autoRedefine/>
    <w:qFormat/>
    <w:uiPriority w:val="0"/>
    <w:pPr>
      <w:spacing w:before="100" w:beforeAutospacing="1" w:after="100" w:afterAutospacing="1"/>
      <w:jc w:val="left"/>
    </w:pPr>
    <w:rPr>
      <w:rFonts w:ascii="宋体" w:hAnsi="宋体"/>
      <w:kern w:val="0"/>
      <w:sz w:val="28"/>
      <w:szCs w:val="28"/>
      <w:u w:val="single"/>
    </w:rPr>
  </w:style>
  <w:style w:type="paragraph" w:customStyle="1" w:styleId="130">
    <w:name w:val="UserStyle_35"/>
    <w:basedOn w:val="122"/>
    <w:autoRedefine/>
    <w:qFormat/>
    <w:uiPriority w:val="0"/>
    <w:pPr>
      <w:jc w:val="left"/>
    </w:pPr>
  </w:style>
  <w:style w:type="paragraph" w:customStyle="1" w:styleId="131">
    <w:name w:val="UserStyle_36"/>
    <w:basedOn w:val="1"/>
    <w:autoRedefine/>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2">
    <w:name w:val="UserStyle_37"/>
    <w:autoRedefine/>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33">
    <w:name w:val="UserStyle_38"/>
    <w:basedOn w:val="1"/>
    <w:autoRedefine/>
    <w:qFormat/>
    <w:uiPriority w:val="0"/>
    <w:pPr>
      <w:spacing w:before="120"/>
      <w:jc w:val="left"/>
    </w:pPr>
    <w:rPr>
      <w:rFonts w:cs="Times New Roman"/>
      <w:bCs/>
      <w:kern w:val="0"/>
      <w:sz w:val="20"/>
      <w:szCs w:val="20"/>
      <w:lang w:val="de-DE" w:eastAsia="de-DE"/>
    </w:rPr>
  </w:style>
  <w:style w:type="paragraph" w:customStyle="1" w:styleId="134">
    <w:name w:val="UserStyle_39"/>
    <w:basedOn w:val="71"/>
    <w:autoRedefine/>
    <w:qFormat/>
    <w:uiPriority w:val="0"/>
    <w:pPr>
      <w:snapToGrid w:val="0"/>
      <w:spacing w:line="360" w:lineRule="auto"/>
    </w:pPr>
    <w:rPr>
      <w:rFonts w:ascii="Tahoma" w:hAnsi="Tahoma"/>
      <w:sz w:val="24"/>
      <w:szCs w:val="24"/>
    </w:rPr>
  </w:style>
  <w:style w:type="paragraph" w:customStyle="1" w:styleId="135">
    <w:name w:val="UserStyle_40"/>
    <w:basedOn w:val="1"/>
    <w:autoRedefine/>
    <w:qFormat/>
    <w:uiPriority w:val="0"/>
    <w:pPr>
      <w:spacing w:before="100" w:beforeAutospacing="1" w:after="100" w:afterAutospacing="1"/>
      <w:jc w:val="left"/>
    </w:pPr>
    <w:rPr>
      <w:rFonts w:ascii="宋体" w:hAnsi="宋体"/>
      <w:kern w:val="0"/>
      <w:sz w:val="18"/>
      <w:szCs w:val="18"/>
    </w:rPr>
  </w:style>
  <w:style w:type="paragraph" w:customStyle="1" w:styleId="136">
    <w:name w:val="UserStyle_41"/>
    <w:basedOn w:val="1"/>
    <w:autoRedefine/>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7">
    <w:name w:val="UserStyle_42"/>
    <w:basedOn w:val="1"/>
    <w:autoRedefine/>
    <w:qFormat/>
    <w:uiPriority w:val="0"/>
    <w:pPr>
      <w:snapToGrid w:val="0"/>
      <w:jc w:val="left"/>
    </w:pPr>
    <w:rPr>
      <w:rFonts w:ascii="Arial Unicode MS" w:hAnsi="Arial Unicode MS"/>
      <w:szCs w:val="24"/>
    </w:rPr>
  </w:style>
  <w:style w:type="paragraph" w:customStyle="1" w:styleId="138">
    <w:name w:val="UserStyle_43"/>
    <w:basedOn w:val="1"/>
    <w:next w:val="1"/>
    <w:autoRedefine/>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9">
    <w:name w:val="UserStyle_44"/>
    <w:basedOn w:val="1"/>
    <w:autoRedefine/>
    <w:qFormat/>
    <w:uiPriority w:val="0"/>
    <w:pPr>
      <w:spacing w:before="120" w:after="120" w:line="360" w:lineRule="auto"/>
      <w:ind w:firstLine="480"/>
      <w:jc w:val="left"/>
    </w:pPr>
    <w:rPr>
      <w:rFonts w:ascii="Arial" w:hAnsi="Arial"/>
      <w:kern w:val="0"/>
      <w:sz w:val="24"/>
      <w:szCs w:val="24"/>
    </w:rPr>
  </w:style>
  <w:style w:type="paragraph" w:customStyle="1" w:styleId="140">
    <w:name w:val="UserStyle_45"/>
    <w:basedOn w:val="71"/>
    <w:autoRedefine/>
    <w:qFormat/>
    <w:uiPriority w:val="0"/>
    <w:rPr>
      <w:rFonts w:ascii="Tahoma" w:hAnsi="Tahoma"/>
      <w:sz w:val="24"/>
      <w:szCs w:val="24"/>
    </w:rPr>
  </w:style>
  <w:style w:type="paragraph" w:customStyle="1" w:styleId="141">
    <w:name w:val="UserStyle_46"/>
    <w:basedOn w:val="1"/>
    <w:autoRedefine/>
    <w:qFormat/>
    <w:uiPriority w:val="0"/>
    <w:pPr>
      <w:spacing w:line="360" w:lineRule="auto"/>
    </w:pPr>
    <w:rPr>
      <w:kern w:val="0"/>
      <w:sz w:val="24"/>
      <w:szCs w:val="20"/>
    </w:rPr>
  </w:style>
  <w:style w:type="paragraph" w:customStyle="1" w:styleId="142">
    <w:name w:val="UserStyle_47"/>
    <w:basedOn w:val="1"/>
    <w:autoRedefine/>
    <w:qFormat/>
    <w:uiPriority w:val="0"/>
    <w:pPr>
      <w:numPr>
        <w:ilvl w:val="0"/>
        <w:numId w:val="3"/>
      </w:numPr>
    </w:pPr>
    <w:rPr>
      <w:rFonts w:ascii="宋体" w:hAnsi="宋体"/>
      <w:kern w:val="0"/>
    </w:rPr>
  </w:style>
  <w:style w:type="paragraph" w:customStyle="1" w:styleId="143">
    <w:name w:val="UserStyle_48"/>
    <w:basedOn w:val="1"/>
    <w:autoRedefine/>
    <w:qFormat/>
    <w:uiPriority w:val="0"/>
    <w:pPr>
      <w:spacing w:after="160" w:line="240" w:lineRule="exact"/>
      <w:jc w:val="left"/>
    </w:pPr>
    <w:rPr>
      <w:rFonts w:ascii="Verdana" w:hAnsi="Verdana"/>
      <w:kern w:val="0"/>
      <w:sz w:val="20"/>
      <w:szCs w:val="20"/>
      <w:lang w:eastAsia="en-US"/>
    </w:rPr>
  </w:style>
  <w:style w:type="paragraph" w:customStyle="1" w:styleId="144">
    <w:name w:val="UserStyle_49"/>
    <w:basedOn w:val="1"/>
    <w:autoRedefine/>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45">
    <w:name w:val="UserStyle_50"/>
    <w:basedOn w:val="1"/>
    <w:autoRedefine/>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46">
    <w:name w:val="UserStyle_51"/>
    <w:basedOn w:val="1"/>
    <w:autoRedefine/>
    <w:qFormat/>
    <w:uiPriority w:val="0"/>
    <w:pPr>
      <w:spacing w:after="160" w:line="240" w:lineRule="exact"/>
      <w:jc w:val="left"/>
    </w:pPr>
    <w:rPr>
      <w:rFonts w:ascii="Verdana" w:hAnsi="Verdana"/>
      <w:kern w:val="0"/>
      <w:sz w:val="20"/>
      <w:szCs w:val="20"/>
      <w:lang w:eastAsia="en-US"/>
    </w:rPr>
  </w:style>
  <w:style w:type="paragraph" w:customStyle="1" w:styleId="147">
    <w:name w:val="UserStyle_52"/>
    <w:basedOn w:val="1"/>
    <w:next w:val="107"/>
    <w:autoRedefine/>
    <w:qFormat/>
    <w:uiPriority w:val="0"/>
    <w:pPr>
      <w:spacing w:line="360" w:lineRule="auto"/>
      <w:ind w:firstLine="420"/>
    </w:pPr>
    <w:rPr>
      <w:color w:val="FF0000"/>
      <w:sz w:val="24"/>
      <w:szCs w:val="24"/>
    </w:rPr>
  </w:style>
  <w:style w:type="paragraph" w:customStyle="1" w:styleId="148">
    <w:name w:val="UserStyle_53"/>
    <w:autoRedefine/>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9">
    <w:name w:val="UserStyle_54"/>
    <w:basedOn w:val="1"/>
    <w:next w:val="114"/>
    <w:autoRedefine/>
    <w:qFormat/>
    <w:uiPriority w:val="0"/>
    <w:pPr>
      <w:spacing w:after="120"/>
    </w:pPr>
    <w:rPr>
      <w:rFonts w:ascii="宋体" w:hAnsi="Arial" w:cs="Times New Roman"/>
      <w:bCs/>
      <w:iCs/>
      <w:szCs w:val="24"/>
    </w:rPr>
  </w:style>
  <w:style w:type="paragraph" w:customStyle="1" w:styleId="150">
    <w:name w:val="Null"/>
    <w:autoRedefine/>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51">
    <w:name w:val="UserStyle_55"/>
    <w:basedOn w:val="1"/>
    <w:autoRedefine/>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52">
    <w:name w:val="TableGrid"/>
    <w:basedOn w:val="55"/>
    <w:autoRedefine/>
    <w:qFormat/>
    <w:uiPriority w:val="0"/>
    <w:tblPr>
      <w:tblCellMar>
        <w:top w:w="0" w:type="dxa"/>
        <w:left w:w="0" w:type="dxa"/>
        <w:bottom w:w="0" w:type="dxa"/>
        <w:right w:w="0" w:type="dxa"/>
      </w:tblCellMar>
    </w:tblPr>
  </w:style>
  <w:style w:type="paragraph" w:styleId="153">
    <w:name w:val="List Paragraph"/>
    <w:basedOn w:val="1"/>
    <w:autoRedefine/>
    <w:qFormat/>
    <w:uiPriority w:val="34"/>
    <w:pPr>
      <w:ind w:left="720"/>
      <w:contextualSpacing/>
      <w:jc w:val="left"/>
    </w:pPr>
    <w:rPr>
      <w:rFonts w:ascii="Calibri" w:hAnsi="Calibri"/>
      <w:kern w:val="0"/>
      <w:sz w:val="24"/>
      <w:lang w:eastAsia="en-US" w:bidi="en-US"/>
    </w:rPr>
  </w:style>
  <w:style w:type="paragraph" w:customStyle="1" w:styleId="154">
    <w:name w:val="flName"/>
    <w:basedOn w:val="1"/>
    <w:autoRedefine/>
    <w:qFormat/>
    <w:uiPriority w:val="0"/>
    <w:pPr>
      <w:adjustRightInd w:val="0"/>
      <w:spacing w:before="320" w:after="160" w:line="360" w:lineRule="atLeast"/>
      <w:jc w:val="center"/>
    </w:pPr>
    <w:rPr>
      <w:rFonts w:ascii="Arial" w:eastAsia="黑体"/>
      <w:kern w:val="0"/>
      <w:sz w:val="32"/>
      <w:szCs w:val="20"/>
    </w:rPr>
  </w:style>
  <w:style w:type="paragraph" w:customStyle="1" w:styleId="155">
    <w:name w:val="正文1"/>
    <w:basedOn w:val="1"/>
    <w:autoRedefine/>
    <w:qFormat/>
    <w:uiPriority w:val="0"/>
    <w:pPr>
      <w:spacing w:line="440" w:lineRule="exact"/>
      <w:ind w:right="-167" w:rightChars="-167"/>
    </w:pPr>
    <w:rPr>
      <w:b/>
    </w:rPr>
  </w:style>
  <w:style w:type="character" w:customStyle="1" w:styleId="156">
    <w:name w:val="批注框文本 Char"/>
    <w:basedOn w:val="29"/>
    <w:link w:val="17"/>
    <w:qFormat/>
    <w:uiPriority w:val="0"/>
    <w:rPr>
      <w:rFonts w:cstheme="minorBidi"/>
      <w:kern w:val="2"/>
      <w:sz w:val="18"/>
      <w:szCs w:val="18"/>
    </w:rPr>
  </w:style>
  <w:style w:type="character" w:customStyle="1" w:styleId="157">
    <w:name w:val="nth-of-type(2)"/>
    <w:basedOn w:val="29"/>
    <w:qFormat/>
    <w:uiPriority w:val="0"/>
  </w:style>
  <w:style w:type="character" w:customStyle="1" w:styleId="158">
    <w:name w:val="nth-of-type(2)1"/>
    <w:basedOn w:val="29"/>
    <w:qFormat/>
    <w:uiPriority w:val="0"/>
  </w:style>
  <w:style w:type="character" w:customStyle="1" w:styleId="159">
    <w:name w:val="nth-of-type(2)2"/>
    <w:basedOn w:val="29"/>
    <w:qFormat/>
    <w:uiPriority w:val="0"/>
  </w:style>
  <w:style w:type="character" w:customStyle="1" w:styleId="160">
    <w:name w:val="nth-of-type(2)3"/>
    <w:basedOn w:val="29"/>
    <w:qFormat/>
    <w:uiPriority w:val="0"/>
  </w:style>
  <w:style w:type="character" w:customStyle="1" w:styleId="161">
    <w:name w:val="nth-of-type(1)"/>
    <w:basedOn w:val="29"/>
    <w:qFormat/>
    <w:uiPriority w:val="0"/>
  </w:style>
  <w:style w:type="character" w:customStyle="1" w:styleId="162">
    <w:name w:val="nth-of-type(1)1"/>
    <w:basedOn w:val="29"/>
    <w:qFormat/>
    <w:uiPriority w:val="0"/>
  </w:style>
  <w:style w:type="character" w:customStyle="1" w:styleId="163">
    <w:name w:val="nth-of-type(1)2"/>
    <w:basedOn w:val="29"/>
    <w:qFormat/>
    <w:uiPriority w:val="0"/>
  </w:style>
  <w:style w:type="character" w:customStyle="1" w:styleId="164">
    <w:name w:val="first-of-type"/>
    <w:basedOn w:val="29"/>
    <w:qFormat/>
    <w:uiPriority w:val="0"/>
  </w:style>
  <w:style w:type="character" w:customStyle="1" w:styleId="165">
    <w:name w:val="first-of-type1"/>
    <w:basedOn w:val="29"/>
    <w:qFormat/>
    <w:uiPriority w:val="0"/>
  </w:style>
  <w:style w:type="character" w:customStyle="1" w:styleId="166">
    <w:name w:val="apple-converted-space"/>
    <w:basedOn w:val="29"/>
    <w:qFormat/>
    <w:uiPriority w:val="0"/>
  </w:style>
  <w:style w:type="paragraph" w:customStyle="1" w:styleId="167">
    <w:name w:val="纯文本1"/>
    <w:basedOn w:val="1"/>
    <w:qFormat/>
    <w:uiPriority w:val="0"/>
    <w:rPr>
      <w:rFonts w:ascii="宋体" w:hAnsi="Courier New"/>
      <w:sz w:val="28"/>
    </w:rPr>
  </w:style>
  <w:style w:type="paragraph" w:customStyle="1" w:styleId="168">
    <w:name w:val="Table Paragraph"/>
    <w:basedOn w:val="1"/>
    <w:qFormat/>
    <w:uiPriority w:val="1"/>
    <w:rPr>
      <w:rFonts w:cs="Times New Roman"/>
      <w:szCs w:val="24"/>
    </w:rPr>
  </w:style>
  <w:style w:type="paragraph" w:customStyle="1" w:styleId="169">
    <w:name w:val="WPSOffice手动目录 1"/>
    <w:qFormat/>
    <w:uiPriority w:val="0"/>
    <w:rPr>
      <w:rFonts w:ascii="Times New Roman" w:hAnsi="Times New Roman" w:eastAsia="宋体" w:cs="Times New Roman"/>
      <w:lang w:val="en-US" w:eastAsia="zh-CN" w:bidi="ar-SA"/>
    </w:rPr>
  </w:style>
  <w:style w:type="paragraph" w:customStyle="1" w:styleId="170">
    <w:name w:val="z-窗体顶端1"/>
    <w:basedOn w:val="1"/>
    <w:next w:val="1"/>
    <w:qFormat/>
    <w:uiPriority w:val="0"/>
    <w:pPr>
      <w:pBdr>
        <w:bottom w:val="single" w:color="auto" w:sz="6" w:space="1"/>
      </w:pBdr>
      <w:jc w:val="center"/>
    </w:pPr>
    <w:rPr>
      <w:rFonts w:ascii="Arial"/>
      <w:vanish/>
      <w:sz w:val="16"/>
    </w:rPr>
  </w:style>
  <w:style w:type="paragraph" w:customStyle="1" w:styleId="171">
    <w:name w:val="正文0"/>
    <w:basedOn w:val="1"/>
    <w:qFormat/>
    <w:uiPriority w:val="0"/>
    <w:pPr>
      <w:spacing w:line="360" w:lineRule="auto"/>
      <w:ind w:firstLine="424" w:firstLineChars="202"/>
      <w:jc w:val="left"/>
      <w:textAlignment w:val="center"/>
    </w:pPr>
    <w:rPr>
      <w:rFonts w:ascii="Arial" w:hAnsi="Arial" w:eastAsia="新宋体" w:cs="Times New Roman"/>
    </w:rPr>
  </w:style>
  <w:style w:type="paragraph" w:customStyle="1" w:styleId="172">
    <w:name w:val="列出段落1"/>
    <w:basedOn w:val="1"/>
    <w:qFormat/>
    <w:uiPriority w:val="0"/>
    <w:pPr>
      <w:ind w:left="720"/>
      <w:contextualSpacing/>
      <w:jc w:val="left"/>
    </w:pPr>
    <w:rPr>
      <w:rFonts w:ascii="Calibri" w:hAnsi="Calibri"/>
      <w:kern w:val="0"/>
      <w:sz w:val="24"/>
      <w:szCs w:val="24"/>
      <w:lang w:eastAsia="en-US" w:bidi="en-US"/>
    </w:rPr>
  </w:style>
  <w:style w:type="paragraph" w:customStyle="1" w:styleId="173">
    <w:name w:val="Char"/>
    <w:basedOn w:val="1"/>
    <w:qFormat/>
    <w:uiPriority w:val="0"/>
    <w:pPr>
      <w:tabs>
        <w:tab w:val="left" w:pos="360"/>
      </w:tabs>
      <w:ind w:firstLine="200" w:firstLineChars="200"/>
    </w:pPr>
    <w:rPr>
      <w:sz w:val="28"/>
      <w:szCs w:val="30"/>
    </w:rPr>
  </w:style>
  <w:style w:type="paragraph" w:customStyle="1" w:styleId="174">
    <w:name w:val="普通正文"/>
    <w:basedOn w:val="1"/>
    <w:qFormat/>
    <w:uiPriority w:val="0"/>
    <w:pPr>
      <w:adjustRightInd w:val="0"/>
      <w:spacing w:before="120" w:after="120" w:line="360" w:lineRule="auto"/>
      <w:ind w:firstLine="480"/>
      <w:jc w:val="left"/>
    </w:pPr>
    <w:rPr>
      <w:rFonts w:ascii="Arial" w:hAnsi="Arial"/>
      <w:kern w:val="0"/>
      <w:sz w:val="24"/>
      <w:szCs w:val="24"/>
    </w:rPr>
  </w:style>
  <w:style w:type="paragraph" w:customStyle="1" w:styleId="175">
    <w:name w:val="列出段落3"/>
    <w:basedOn w:val="1"/>
    <w:qFormat/>
    <w:uiPriority w:val="99"/>
    <w:pPr>
      <w:ind w:firstLine="420" w:firstLineChars="200"/>
    </w:pPr>
    <w:rPr>
      <w:rFonts w:cs="Times New Roman"/>
      <w:szCs w:val="24"/>
    </w:rPr>
  </w:style>
  <w:style w:type="paragraph" w:customStyle="1" w:styleId="176">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77">
    <w:name w:val="正文116"/>
    <w:basedOn w:val="1"/>
    <w:qFormat/>
    <w:uiPriority w:val="0"/>
    <w:pPr>
      <w:adjustRightInd w:val="0"/>
      <w:spacing w:line="318" w:lineRule="atLeast"/>
      <w:ind w:left="369" w:firstLine="369" w:firstLineChars="200"/>
    </w:pPr>
    <w:rPr>
      <w:rFonts w:ascii="宋体" w:hAnsi="宋体" w:cs="宋体"/>
      <w:szCs w:val="20"/>
    </w:rPr>
  </w:style>
  <w:style w:type="paragraph" w:customStyle="1" w:styleId="17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9">
    <w:name w:val="列出段落2"/>
    <w:basedOn w:val="1"/>
    <w:qFormat/>
    <w:uiPriority w:val="0"/>
    <w:pPr>
      <w:ind w:firstLine="420"/>
    </w:pPr>
    <w:rPr>
      <w:rFonts w:ascii="Calibri" w:hAnsi="Calibri"/>
      <w:szCs w:val="22"/>
    </w:rPr>
  </w:style>
  <w:style w:type="paragraph" w:customStyle="1" w:styleId="180">
    <w:name w:val="列出段落4"/>
    <w:basedOn w:val="1"/>
    <w:qFormat/>
    <w:uiPriority w:val="99"/>
    <w:pPr>
      <w:ind w:firstLine="420"/>
    </w:pPr>
    <w:rPr>
      <w:rFonts w:ascii="Calibri" w:hAnsi="Calibri"/>
      <w:szCs w:val="22"/>
    </w:rPr>
  </w:style>
  <w:style w:type="character" w:customStyle="1" w:styleId="181">
    <w:name w:val="font21"/>
    <w:basedOn w:val="29"/>
    <w:qFormat/>
    <w:uiPriority w:val="0"/>
    <w:rPr>
      <w:rFonts w:hint="eastAsia" w:ascii="宋体" w:hAnsi="宋体" w:eastAsia="宋体" w:cs="宋体"/>
      <w:b/>
      <w:color w:val="000000"/>
      <w:sz w:val="20"/>
      <w:szCs w:val="20"/>
      <w:u w:val="none"/>
    </w:rPr>
  </w:style>
  <w:style w:type="character" w:customStyle="1" w:styleId="182">
    <w:name w:val="font71"/>
    <w:basedOn w:val="29"/>
    <w:qFormat/>
    <w:uiPriority w:val="0"/>
    <w:rPr>
      <w:rFonts w:hint="eastAsia" w:ascii="宋体" w:hAnsi="宋体" w:eastAsia="宋体" w:cs="宋体"/>
      <w:b/>
      <w:color w:val="FF0000"/>
      <w:sz w:val="20"/>
      <w:szCs w:val="20"/>
      <w:u w:val="none"/>
    </w:rPr>
  </w:style>
  <w:style w:type="character" w:customStyle="1" w:styleId="183">
    <w:name w:val="font81"/>
    <w:basedOn w:val="29"/>
    <w:qFormat/>
    <w:uiPriority w:val="0"/>
    <w:rPr>
      <w:rFonts w:hint="eastAsia" w:ascii="宋体" w:hAnsi="宋体" w:eastAsia="宋体" w:cs="宋体"/>
      <w:b/>
      <w:color w:val="538DD5"/>
      <w:sz w:val="20"/>
      <w:szCs w:val="20"/>
      <w:u w:val="none"/>
    </w:rPr>
  </w:style>
  <w:style w:type="paragraph" w:customStyle="1" w:styleId="184">
    <w:name w:val="列出段落21"/>
    <w:basedOn w:val="1"/>
    <w:qFormat/>
    <w:uiPriority w:val="0"/>
    <w:pPr>
      <w:spacing w:line="240" w:lineRule="auto"/>
      <w:ind w:firstLine="420"/>
    </w:pPr>
    <w:rPr>
      <w:rFonts w:ascii="Calibri" w:hAnsi="Calibri"/>
      <w:sz w:val="21"/>
      <w:szCs w:val="22"/>
    </w:rPr>
  </w:style>
  <w:style w:type="character" w:customStyle="1" w:styleId="185">
    <w:name w:val="font11"/>
    <w:basedOn w:val="2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ycgy</Company>
  <Pages>64</Pages>
  <Words>28772</Words>
  <Characters>30775</Characters>
  <Lines>306</Lines>
  <Paragraphs>86</Paragraphs>
  <TotalTime>108</TotalTime>
  <ScaleCrop>false</ScaleCrop>
  <LinksUpToDate>false</LinksUpToDate>
  <CharactersWithSpaces>33768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2024-06-15T08:12:00Z</dcterms:created>
  <dc:creator>Administrator</dc:creator>
  <cp:lastModifiedBy>赵萌</cp:lastModifiedBy>
  <cp:lastPrinted>2022-11-29T08:36:00Z</cp:lastPrinted>
  <dcterms:modified xsi:type="dcterms:W3CDTF">2024-08-08T01:58:07Z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4FE7EF384F264A7AA8EAA71E592F2EFE_13</vt:lpwstr>
  </property>
</Properties>
</file>