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BCFC6B">
      <w:pPr>
        <w:pStyle w:val="2"/>
        <w:tabs>
          <w:tab w:val="left" w:pos="0"/>
          <w:tab w:val="left" w:pos="3165"/>
          <w:tab w:val="center" w:pos="4153"/>
        </w:tabs>
        <w:autoSpaceDE w:val="0"/>
        <w:autoSpaceDN w:val="0"/>
        <w:adjustRightInd w:val="0"/>
        <w:spacing w:line="360" w:lineRule="auto"/>
        <w:rPr>
          <w:rFonts w:ascii="宋体" w:hAnsi="宋体" w:eastAsia="宋体" w:cs="宋体"/>
          <w:b/>
          <w:bCs/>
          <w:color w:val="000000" w:themeColor="text1"/>
          <w:sz w:val="24"/>
          <w:szCs w:val="24"/>
          <w14:textFill>
            <w14:solidFill>
              <w14:schemeClr w14:val="tx1"/>
            </w14:solidFill>
          </w14:textFill>
        </w:rPr>
      </w:pPr>
      <w:bookmarkStart w:id="0" w:name="OLE_LINK1"/>
      <w:bookmarkStart w:id="1" w:name="_Toc35393789"/>
      <w:bookmarkStart w:id="2" w:name="_Toc28359001"/>
      <w:r>
        <w:rPr>
          <w:rFonts w:hint="eastAsia" w:ascii="宋体" w:hAnsi="宋体" w:eastAsia="宋体" w:cs="宋体"/>
          <w:b/>
          <w:bCs/>
          <w:color w:val="000000" w:themeColor="text1"/>
          <w:sz w:val="24"/>
          <w:szCs w:val="24"/>
          <w14:textFill>
            <w14:solidFill>
              <w14:schemeClr w14:val="tx1"/>
            </w14:solidFill>
          </w14:textFill>
        </w:rPr>
        <w:t>盐城工业职业技术学院</w:t>
      </w:r>
      <w:bookmarkEnd w:id="0"/>
      <w:r>
        <w:rPr>
          <w:rFonts w:hint="eastAsia" w:ascii="宋体" w:hAnsi="宋体" w:eastAsia="宋体" w:cs="宋体"/>
          <w:b/>
          <w:bCs/>
          <w:color w:val="000000" w:themeColor="text1"/>
          <w:sz w:val="24"/>
          <w:szCs w:val="24"/>
          <w:lang w:eastAsia="zh-CN"/>
          <w14:textFill>
            <w14:solidFill>
              <w14:schemeClr w14:val="tx1"/>
            </w14:solidFill>
          </w14:textFill>
        </w:rPr>
        <w:t>工业中心举升机等设备移位及安装调试服务</w:t>
      </w:r>
      <w:r>
        <w:rPr>
          <w:rFonts w:hint="eastAsia" w:ascii="宋体" w:hAnsi="宋体" w:eastAsia="宋体" w:cs="宋体"/>
          <w:b/>
          <w:bCs/>
          <w:color w:val="000000" w:themeColor="text1"/>
          <w:sz w:val="24"/>
          <w:szCs w:val="24"/>
          <w14:textFill>
            <w14:solidFill>
              <w14:schemeClr w14:val="tx1"/>
            </w14:solidFill>
          </w14:textFill>
        </w:rPr>
        <w:t>询价公告</w:t>
      </w:r>
      <w:bookmarkEnd w:id="1"/>
      <w:bookmarkEnd w:id="2"/>
    </w:p>
    <w:p w14:paraId="3F853965">
      <w:pPr>
        <w:pBdr>
          <w:top w:val="single" w:color="auto" w:sz="4" w:space="1"/>
          <w:left w:val="single" w:color="auto" w:sz="4" w:space="4"/>
          <w:bottom w:val="single" w:color="auto" w:sz="4" w:space="1"/>
          <w:right w:val="single" w:color="auto" w:sz="4" w:space="4"/>
        </w:pBd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项目概况</w:t>
      </w:r>
    </w:p>
    <w:p w14:paraId="1BE14CD0">
      <w:pPr>
        <w:pBdr>
          <w:top w:val="single" w:color="auto" w:sz="4" w:space="1"/>
          <w:left w:val="single" w:color="auto" w:sz="4" w:space="4"/>
          <w:bottom w:val="single" w:color="auto" w:sz="4" w:space="1"/>
          <w:right w:val="single" w:color="auto" w:sz="4" w:space="4"/>
        </w:pBd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u w:val="single"/>
          <w14:textFill>
            <w14:solidFill>
              <w14:schemeClr w14:val="tx1"/>
            </w14:solidFill>
          </w14:textFill>
        </w:rPr>
        <w:t>盐城工业职业技术学院</w:t>
      </w:r>
      <w:r>
        <w:rPr>
          <w:rFonts w:hint="eastAsia" w:ascii="宋体" w:hAnsi="宋体" w:eastAsia="宋体" w:cs="宋体"/>
          <w:color w:val="000000" w:themeColor="text1"/>
          <w:sz w:val="24"/>
          <w:u w:val="single"/>
          <w:lang w:eastAsia="zh-CN"/>
          <w14:textFill>
            <w14:solidFill>
              <w14:schemeClr w14:val="tx1"/>
            </w14:solidFill>
          </w14:textFill>
        </w:rPr>
        <w:t>工业中心举升机等设备移位及安装调试服务</w:t>
      </w:r>
      <w:r>
        <w:rPr>
          <w:rFonts w:hint="eastAsia" w:ascii="宋体" w:hAnsi="宋体" w:eastAsia="宋体" w:cs="宋体"/>
          <w:color w:val="000000" w:themeColor="text1"/>
          <w:sz w:val="24"/>
          <w14:textFill>
            <w14:solidFill>
              <w14:schemeClr w14:val="tx1"/>
            </w14:solidFill>
          </w14:textFill>
        </w:rPr>
        <w:t>采购招标项目的潜在投标人应在</w:t>
      </w:r>
      <w:r>
        <w:rPr>
          <w:rFonts w:hint="eastAsia" w:ascii="宋体" w:hAnsi="宋体" w:eastAsia="宋体" w:cs="宋体"/>
          <w:color w:val="000000" w:themeColor="text1"/>
          <w:sz w:val="24"/>
          <w:u w:val="single"/>
          <w14:textFill>
            <w14:solidFill>
              <w14:schemeClr w14:val="tx1"/>
            </w14:solidFill>
          </w14:textFill>
        </w:rPr>
        <w:t xml:space="preserve">盐城工业职业技术学院招标采购网 </w:t>
      </w:r>
      <w:r>
        <w:rPr>
          <w:rFonts w:hint="eastAsia" w:ascii="宋体" w:hAnsi="宋体" w:eastAsia="宋体" w:cs="宋体"/>
          <w:color w:val="000000" w:themeColor="text1"/>
          <w:sz w:val="24"/>
          <w14:textFill>
            <w14:solidFill>
              <w14:schemeClr w14:val="tx1"/>
            </w14:solidFill>
          </w14:textFill>
        </w:rPr>
        <w:t>获取招标文件，并于</w:t>
      </w:r>
      <w:r>
        <w:rPr>
          <w:rFonts w:hint="eastAsia" w:ascii="宋体" w:hAnsi="宋体" w:eastAsia="宋体" w:cs="宋体"/>
          <w:color w:val="000000" w:themeColor="text1"/>
          <w:sz w:val="24"/>
          <w:u w:val="single"/>
          <w14:textFill>
            <w14:solidFill>
              <w14:schemeClr w14:val="tx1"/>
            </w14:solidFill>
          </w14:textFill>
        </w:rPr>
        <w:t>2026</w:t>
      </w:r>
      <w:r>
        <w:rPr>
          <w:rFonts w:hint="eastAsia" w:ascii="宋体" w:hAnsi="宋体" w:eastAsia="宋体" w:cs="宋体"/>
          <w:bCs/>
          <w:color w:val="000000" w:themeColor="text1"/>
          <w:sz w:val="24"/>
          <w:u w:val="single"/>
          <w14:textFill>
            <w14:solidFill>
              <w14:schemeClr w14:val="tx1"/>
            </w14:solidFill>
          </w14:textFill>
        </w:rPr>
        <w:t>年</w:t>
      </w:r>
      <w:r>
        <w:rPr>
          <w:rFonts w:hint="eastAsia" w:ascii="宋体" w:hAnsi="宋体" w:eastAsia="宋体" w:cs="宋体"/>
          <w:bCs/>
          <w:color w:val="000000" w:themeColor="text1"/>
          <w:sz w:val="24"/>
          <w:u w:val="single"/>
          <w:lang w:val="en-US" w:eastAsia="zh-CN"/>
          <w14:textFill>
            <w14:solidFill>
              <w14:schemeClr w14:val="tx1"/>
            </w14:solidFill>
          </w14:textFill>
        </w:rPr>
        <w:t>8</w:t>
      </w:r>
      <w:r>
        <w:rPr>
          <w:rFonts w:hint="eastAsia" w:ascii="宋体" w:hAnsi="宋体" w:eastAsia="宋体" w:cs="宋体"/>
          <w:bCs/>
          <w:color w:val="000000" w:themeColor="text1"/>
          <w:sz w:val="24"/>
          <w:u w:val="single"/>
          <w14:textFill>
            <w14:solidFill>
              <w14:schemeClr w14:val="tx1"/>
            </w14:solidFill>
          </w14:textFill>
        </w:rPr>
        <w:t>月</w:t>
      </w:r>
      <w:r>
        <w:rPr>
          <w:rFonts w:hint="eastAsia" w:ascii="宋体" w:hAnsi="宋体" w:eastAsia="宋体" w:cs="宋体"/>
          <w:bCs/>
          <w:color w:val="000000" w:themeColor="text1"/>
          <w:sz w:val="24"/>
          <w:u w:val="single"/>
          <w:lang w:val="en-US" w:eastAsia="zh-CN"/>
          <w14:textFill>
            <w14:solidFill>
              <w14:schemeClr w14:val="tx1"/>
            </w14:solidFill>
          </w14:textFill>
        </w:rPr>
        <w:t>7</w:t>
      </w:r>
      <w:r>
        <w:rPr>
          <w:rFonts w:hint="eastAsia" w:ascii="宋体" w:hAnsi="宋体" w:eastAsia="宋体" w:cs="宋体"/>
          <w:bCs/>
          <w:color w:val="000000" w:themeColor="text1"/>
          <w:sz w:val="24"/>
          <w:u w:val="single"/>
          <w14:textFill>
            <w14:solidFill>
              <w14:schemeClr w14:val="tx1"/>
            </w14:solidFill>
          </w14:textFill>
        </w:rPr>
        <w:t>日</w:t>
      </w:r>
      <w:r>
        <w:rPr>
          <w:rFonts w:hint="eastAsia" w:ascii="宋体" w:hAnsi="宋体" w:eastAsia="宋体" w:cs="宋体"/>
          <w:bCs/>
          <w:color w:val="000000" w:themeColor="text1"/>
          <w:sz w:val="24"/>
          <w:u w:val="single"/>
          <w:lang w:val="en-US" w:eastAsia="zh-CN"/>
          <w14:textFill>
            <w14:solidFill>
              <w14:schemeClr w14:val="tx1"/>
            </w14:solidFill>
          </w14:textFill>
        </w:rPr>
        <w:t>9</w:t>
      </w:r>
      <w:r>
        <w:rPr>
          <w:rFonts w:hint="eastAsia" w:ascii="宋体" w:hAnsi="宋体" w:eastAsia="宋体" w:cs="宋体"/>
          <w:bCs/>
          <w:color w:val="000000" w:themeColor="text1"/>
          <w:sz w:val="24"/>
          <w:u w:val="single"/>
          <w14:textFill>
            <w14:solidFill>
              <w14:schemeClr w14:val="tx1"/>
            </w14:solidFill>
          </w14:textFill>
        </w:rPr>
        <w:t>点</w:t>
      </w:r>
      <w:r>
        <w:rPr>
          <w:rFonts w:hint="eastAsia" w:ascii="宋体" w:hAnsi="宋体" w:eastAsia="宋体" w:cs="宋体"/>
          <w:bCs/>
          <w:color w:val="000000" w:themeColor="text1"/>
          <w:sz w:val="24"/>
          <w:u w:val="single"/>
          <w:lang w:val="en-US" w:eastAsia="zh-CN"/>
          <w14:textFill>
            <w14:solidFill>
              <w14:schemeClr w14:val="tx1"/>
            </w14:solidFill>
          </w14:textFill>
        </w:rPr>
        <w:t>30分</w:t>
      </w:r>
      <w:r>
        <w:rPr>
          <w:rFonts w:hint="eastAsia" w:ascii="宋体" w:hAnsi="宋体" w:eastAsia="宋体" w:cs="宋体"/>
          <w:bCs/>
          <w:color w:val="000000" w:themeColor="text1"/>
          <w:sz w:val="24"/>
          <w:u w:val="single"/>
          <w14:textFill>
            <w14:solidFill>
              <w14:schemeClr w14:val="tx1"/>
            </w14:solidFill>
          </w14:textFill>
        </w:rPr>
        <w:t>前（</w:t>
      </w:r>
      <w:r>
        <w:rPr>
          <w:rFonts w:hint="eastAsia" w:ascii="宋体" w:hAnsi="宋体" w:eastAsia="宋体" w:cs="宋体"/>
          <w:bCs/>
          <w:color w:val="000000" w:themeColor="text1"/>
          <w:sz w:val="24"/>
          <w14:textFill>
            <w14:solidFill>
              <w14:schemeClr w14:val="tx1"/>
            </w14:solidFill>
          </w14:textFill>
        </w:rPr>
        <w:t>北京时间）前递交投标文件</w:t>
      </w:r>
      <w:r>
        <w:rPr>
          <w:rFonts w:hint="eastAsia" w:ascii="宋体" w:hAnsi="宋体" w:eastAsia="宋体" w:cs="宋体"/>
          <w:color w:val="000000" w:themeColor="text1"/>
          <w:sz w:val="24"/>
          <w14:textFill>
            <w14:solidFill>
              <w14:schemeClr w14:val="tx1"/>
            </w14:solidFill>
          </w14:textFill>
        </w:rPr>
        <w:t>。</w:t>
      </w:r>
    </w:p>
    <w:p w14:paraId="714D7885">
      <w:pPr>
        <w:spacing w:line="360" w:lineRule="auto"/>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一、项目基本情况</w:t>
      </w:r>
    </w:p>
    <w:p w14:paraId="44CE1883">
      <w:pPr>
        <w:spacing w:line="360" w:lineRule="auto"/>
        <w:ind w:firstLine="480" w:firstLineChars="200"/>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项目编号：</w:t>
      </w:r>
      <w:r>
        <w:rPr>
          <w:rFonts w:hint="eastAsia" w:ascii="宋体" w:hAnsi="宋体" w:eastAsia="宋体" w:cs="宋体"/>
          <w:color w:val="000000" w:themeColor="text1"/>
          <w:sz w:val="24"/>
          <w:lang w:val="en-US" w:eastAsia="zh-CN"/>
          <w14:textFill>
            <w14:solidFill>
              <w14:schemeClr w14:val="tx1"/>
            </w14:solidFill>
          </w14:textFill>
        </w:rPr>
        <w:t>2026ZX-050</w:t>
      </w:r>
    </w:p>
    <w:p w14:paraId="14B3B000">
      <w:pPr>
        <w:spacing w:line="360" w:lineRule="auto"/>
        <w:ind w:firstLine="480" w:firstLineChars="2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项目名称：盐城工业职业技术学院</w:t>
      </w:r>
      <w:r>
        <w:rPr>
          <w:rFonts w:hint="eastAsia" w:ascii="宋体" w:hAnsi="宋体" w:eastAsia="宋体" w:cs="宋体"/>
          <w:color w:val="000000" w:themeColor="text1"/>
          <w:sz w:val="24"/>
          <w:lang w:eastAsia="zh-CN"/>
          <w14:textFill>
            <w14:solidFill>
              <w14:schemeClr w14:val="tx1"/>
            </w14:solidFill>
          </w14:textFill>
        </w:rPr>
        <w:t>工业中心举升机等设备移位及安装调试服务</w:t>
      </w:r>
    </w:p>
    <w:p w14:paraId="57CC93EB">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采购方式：询价(满足招标要求的情况下，低价中标）</w:t>
      </w:r>
    </w:p>
    <w:p w14:paraId="4D8DB200">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预算金额：</w:t>
      </w:r>
      <w:r>
        <w:rPr>
          <w:rFonts w:hint="eastAsia" w:ascii="宋体" w:hAnsi="宋体" w:eastAsia="宋体" w:cs="宋体"/>
          <w:color w:val="000000" w:themeColor="text1"/>
          <w:sz w:val="24"/>
          <w:lang w:val="en-US" w:eastAsia="zh-CN"/>
          <w14:textFill>
            <w14:solidFill>
              <w14:schemeClr w14:val="tx1"/>
            </w14:solidFill>
          </w14:textFill>
        </w:rPr>
        <w:t>4.97</w:t>
      </w:r>
      <w:r>
        <w:rPr>
          <w:rFonts w:hint="eastAsia" w:ascii="宋体" w:hAnsi="宋体" w:eastAsia="宋体" w:cs="宋体"/>
          <w:color w:val="000000" w:themeColor="text1"/>
          <w:sz w:val="24"/>
          <w14:textFill>
            <w14:solidFill>
              <w14:schemeClr w14:val="tx1"/>
            </w14:solidFill>
          </w14:textFill>
        </w:rPr>
        <w:t>万元。</w:t>
      </w:r>
    </w:p>
    <w:p w14:paraId="0E23806C">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采购需求：</w:t>
      </w:r>
      <w:r>
        <w:rPr>
          <w:rFonts w:hint="eastAsia" w:ascii="宋体" w:hAnsi="宋体" w:eastAsia="宋体" w:cs="宋体"/>
          <w:color w:val="000000" w:themeColor="text1"/>
          <w:sz w:val="24"/>
          <w:lang w:val="en-US" w:eastAsia="zh-CN"/>
          <w14:textFill>
            <w14:solidFill>
              <w14:schemeClr w14:val="tx1"/>
            </w14:solidFill>
          </w14:textFill>
        </w:rPr>
        <w:t>拟对</w:t>
      </w:r>
      <w:r>
        <w:rPr>
          <w:rFonts w:hint="eastAsia" w:ascii="宋体" w:hAnsi="宋体" w:eastAsia="宋体" w:cs="宋体"/>
          <w:color w:val="000000" w:themeColor="text1"/>
          <w:sz w:val="24"/>
          <w:lang w:eastAsia="zh-CN"/>
          <w14:textFill>
            <w14:solidFill>
              <w14:schemeClr w14:val="tx1"/>
            </w14:solidFill>
          </w14:textFill>
        </w:rPr>
        <w:t>工业中心举升机等设备移位及安装调试服务</w:t>
      </w:r>
      <w:r>
        <w:rPr>
          <w:rFonts w:hint="eastAsia" w:ascii="宋体" w:hAnsi="宋体" w:eastAsia="宋体" w:cs="宋体"/>
          <w:color w:val="000000" w:themeColor="text1"/>
          <w:sz w:val="24"/>
          <w:lang w:val="en-US" w:eastAsia="zh-CN"/>
          <w14:textFill>
            <w14:solidFill>
              <w14:schemeClr w14:val="tx1"/>
            </w14:solidFill>
          </w14:textFill>
        </w:rPr>
        <w:t>进行采购。</w:t>
      </w:r>
      <w:r>
        <w:rPr>
          <w:rFonts w:hint="eastAsia" w:ascii="宋体" w:hAnsi="宋体" w:eastAsia="宋体" w:cs="宋体"/>
          <w:color w:val="000000" w:themeColor="text1"/>
          <w:sz w:val="24"/>
          <w14:textFill>
            <w14:solidFill>
              <w14:schemeClr w14:val="tx1"/>
            </w14:solidFill>
          </w14:textFill>
        </w:rPr>
        <w:t>具体采购参数要求见询价文件，采购人保留对上述采购范围及内容进行适当调整的权利。</w:t>
      </w:r>
    </w:p>
    <w:p w14:paraId="1A8A0EDF">
      <w:pPr>
        <w:spacing w:line="360" w:lineRule="auto"/>
        <w:ind w:firstLine="480" w:firstLineChars="200"/>
        <w:rPr>
          <w:rFonts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供货期限：中标</w:t>
      </w:r>
      <w:r>
        <w:rPr>
          <w:rFonts w:hint="eastAsia" w:ascii="宋体" w:hAnsi="宋体" w:eastAsia="宋体" w:cs="宋体"/>
          <w:color w:val="000000" w:themeColor="text1"/>
          <w:sz w:val="24"/>
          <w:lang w:val="en-US" w:eastAsia="zh-CN"/>
          <w14:textFill>
            <w14:solidFill>
              <w14:schemeClr w14:val="tx1"/>
            </w14:solidFill>
          </w14:textFill>
        </w:rPr>
        <w:t>签订合同</w:t>
      </w:r>
      <w:r>
        <w:rPr>
          <w:rFonts w:hint="eastAsia" w:ascii="宋体" w:hAnsi="宋体" w:eastAsia="宋体" w:cs="宋体"/>
          <w:color w:val="000000" w:themeColor="text1"/>
          <w:sz w:val="24"/>
          <w14:textFill>
            <w14:solidFill>
              <w14:schemeClr w14:val="tx1"/>
            </w14:solidFill>
          </w14:textFill>
        </w:rPr>
        <w:t>后</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30日历天完成</w:t>
      </w:r>
      <w:r>
        <w:rPr>
          <w:rFonts w:hint="eastAsia" w:ascii="宋体" w:hAnsi="宋体" w:eastAsia="宋体" w:cs="宋体"/>
          <w:color w:val="000000" w:themeColor="text1"/>
          <w:sz w:val="24"/>
          <w14:textFill>
            <w14:solidFill>
              <w14:schemeClr w14:val="tx1"/>
            </w14:solidFill>
          </w14:textFill>
        </w:rPr>
        <w:t>。</w:t>
      </w:r>
    </w:p>
    <w:p w14:paraId="3712C6D0">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本项目不接受联合体投标，不接受近期（一年内）无正当理由放弃我校采购项目中标资格的单位投标，不接受近三年内在我校招标采购活动中围标串标的单位投标。</w:t>
      </w:r>
    </w:p>
    <w:p w14:paraId="0ABFAE9E">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二、申请人的资格要求：</w:t>
      </w:r>
    </w:p>
    <w:p w14:paraId="0188A181">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1.依据《中华人民共和国政府采购法》第二十二条规定，并提供下列材料；</w:t>
      </w:r>
    </w:p>
    <w:p w14:paraId="234705D7">
      <w:pPr>
        <w:spacing w:line="360" w:lineRule="auto"/>
        <w:ind w:firstLine="480" w:firstLineChars="200"/>
        <w:rPr>
          <w:rFonts w:ascii="宋体" w:hAnsi="宋体" w:cs="宋体"/>
          <w:color w:val="000000"/>
          <w:sz w:val="24"/>
        </w:rPr>
      </w:pPr>
      <w:bookmarkStart w:id="3" w:name="_Toc28359004"/>
      <w:bookmarkStart w:id="4" w:name="_Toc28359081"/>
      <w:r>
        <w:rPr>
          <w:rFonts w:hint="eastAsia" w:ascii="宋体" w:hAnsi="宋体" w:cs="宋体"/>
          <w:color w:val="000000"/>
          <w:sz w:val="24"/>
        </w:rPr>
        <w:t>（1）法人或者其他组织的营业执照等证明文件，自然人的身份证明；</w:t>
      </w:r>
    </w:p>
    <w:p w14:paraId="00C55A25">
      <w:pPr>
        <w:spacing w:line="360" w:lineRule="auto"/>
        <w:ind w:firstLine="480" w:firstLineChars="200"/>
        <w:rPr>
          <w:rFonts w:ascii="宋体" w:hAnsi="宋体" w:cs="宋体"/>
          <w:color w:val="000000"/>
          <w:sz w:val="24"/>
        </w:rPr>
      </w:pPr>
      <w:r>
        <w:rPr>
          <w:rFonts w:hint="eastAsia" w:ascii="宋体" w:hAnsi="宋体" w:cs="宋体"/>
          <w:color w:val="000000"/>
          <w:sz w:val="24"/>
        </w:rPr>
        <w:t>（2）上一年度（2025年）的财务报表（成立不满一年不需提供）；</w:t>
      </w:r>
    </w:p>
    <w:p w14:paraId="52B69E36">
      <w:pPr>
        <w:spacing w:line="360" w:lineRule="auto"/>
        <w:ind w:firstLine="480" w:firstLineChars="200"/>
        <w:rPr>
          <w:rFonts w:ascii="宋体" w:hAnsi="宋体" w:cs="宋体"/>
          <w:color w:val="000000"/>
          <w:sz w:val="24"/>
        </w:rPr>
      </w:pPr>
      <w:r>
        <w:rPr>
          <w:rFonts w:hint="eastAsia" w:ascii="宋体" w:hAnsi="宋体" w:cs="宋体"/>
          <w:color w:val="000000"/>
          <w:sz w:val="24"/>
        </w:rPr>
        <w:t>（3）依法缴纳税收和社会保障资金的相关材料，依法免税或不需要缴纳社会保障资金的，应提供相应文件证明材料；</w:t>
      </w:r>
    </w:p>
    <w:p w14:paraId="35CF9E32">
      <w:pPr>
        <w:spacing w:line="360" w:lineRule="auto"/>
        <w:ind w:firstLine="480" w:firstLineChars="200"/>
        <w:rPr>
          <w:rFonts w:ascii="宋体" w:hAnsi="宋体" w:cs="宋体"/>
          <w:color w:val="000000"/>
          <w:sz w:val="24"/>
        </w:rPr>
      </w:pPr>
      <w:r>
        <w:rPr>
          <w:rFonts w:hint="eastAsia" w:ascii="宋体" w:hAnsi="宋体" w:cs="宋体"/>
          <w:color w:val="000000"/>
          <w:sz w:val="24"/>
        </w:rPr>
        <w:t>（4）具备履行合同所必需的设备和专业技术能力的书面声明；</w:t>
      </w:r>
    </w:p>
    <w:p w14:paraId="31A88F78">
      <w:pPr>
        <w:spacing w:line="360" w:lineRule="auto"/>
        <w:ind w:firstLine="480" w:firstLineChars="200"/>
        <w:rPr>
          <w:rFonts w:ascii="宋体" w:hAnsi="宋体" w:cs="宋体"/>
          <w:color w:val="000000"/>
          <w:sz w:val="24"/>
        </w:rPr>
      </w:pPr>
      <w:r>
        <w:rPr>
          <w:rFonts w:hint="eastAsia" w:ascii="宋体" w:hAnsi="宋体" w:cs="宋体"/>
          <w:color w:val="000000"/>
          <w:sz w:val="24"/>
        </w:rPr>
        <w:t>（5）参加采购活动前3年内在经营活动中没有重大违法记录的书面声明；</w:t>
      </w:r>
    </w:p>
    <w:p w14:paraId="62483E4C">
      <w:pPr>
        <w:spacing w:line="360" w:lineRule="auto"/>
        <w:ind w:firstLine="480" w:firstLineChars="200"/>
        <w:rPr>
          <w:rFonts w:ascii="宋体" w:hAnsi="宋体" w:eastAsia="宋体" w:cs="宋体"/>
          <w:sz w:val="24"/>
        </w:rPr>
      </w:pPr>
      <w:r>
        <w:rPr>
          <w:rFonts w:hint="eastAsia" w:ascii="宋体" w:hAnsi="宋体" w:eastAsia="宋体" w:cs="宋体"/>
          <w:sz w:val="24"/>
        </w:rPr>
        <w:t>2.本项目的特定资格要求：</w:t>
      </w:r>
      <w:bookmarkStart w:id="5" w:name="_Toc35393792"/>
      <w:bookmarkStart w:id="6" w:name="_Toc35393623"/>
    </w:p>
    <w:p w14:paraId="253E7BA8">
      <w:pPr>
        <w:spacing w:line="360" w:lineRule="auto"/>
        <w:ind w:firstLine="480" w:firstLineChars="200"/>
        <w:rPr>
          <w:rFonts w:ascii="宋体" w:hAnsi="宋体" w:eastAsia="宋体" w:cs="宋体"/>
          <w:sz w:val="24"/>
        </w:rPr>
      </w:pPr>
      <w:r>
        <w:rPr>
          <w:rFonts w:hint="eastAsia" w:ascii="宋体" w:hAnsi="宋体" w:eastAsia="宋体" w:cs="宋体"/>
          <w:sz w:val="24"/>
        </w:rPr>
        <w:t>（1）未被“信用中国”网站（www.creditchina.gov.cn）列入失信被执行人、重大税收违法案件当事人名单、政府采购严重失信行为记录名单。</w:t>
      </w:r>
    </w:p>
    <w:p w14:paraId="6D2566DF">
      <w:pPr>
        <w:spacing w:line="360" w:lineRule="auto"/>
        <w:ind w:firstLine="480" w:firstLineChars="200"/>
        <w:rPr>
          <w:rFonts w:ascii="宋体" w:hAnsi="宋体" w:eastAsia="宋体" w:cs="宋体"/>
          <w:sz w:val="24"/>
        </w:rPr>
      </w:pPr>
      <w:r>
        <w:rPr>
          <w:rFonts w:hint="eastAsia" w:ascii="宋体" w:hAnsi="宋体" w:eastAsia="宋体" w:cs="宋体"/>
          <w:sz w:val="24"/>
        </w:rPr>
        <w:t>（2）单位负责人为同一人或者存在直接控股、管理关系的不同供应商，不得参加同一合同项下的政府采购活动。</w:t>
      </w:r>
    </w:p>
    <w:p w14:paraId="72F07F9A">
      <w:pPr>
        <w:spacing w:line="360" w:lineRule="auto"/>
        <w:ind w:firstLine="480" w:firstLineChars="200"/>
        <w:rPr>
          <w:rFonts w:ascii="宋体" w:hAnsi="宋体" w:eastAsia="宋体" w:cs="宋体"/>
          <w:sz w:val="24"/>
        </w:rPr>
      </w:pPr>
      <w:r>
        <w:rPr>
          <w:rFonts w:hint="eastAsia" w:ascii="宋体" w:hAnsi="宋体" w:eastAsia="宋体" w:cs="宋体"/>
          <w:sz w:val="24"/>
        </w:rPr>
        <w:t>三、获取采购文件</w:t>
      </w:r>
      <w:bookmarkEnd w:id="3"/>
      <w:bookmarkEnd w:id="4"/>
      <w:bookmarkEnd w:id="5"/>
      <w:bookmarkEnd w:id="6"/>
    </w:p>
    <w:p w14:paraId="0C2C711C">
      <w:pPr>
        <w:spacing w:line="360" w:lineRule="auto"/>
        <w:ind w:firstLine="480" w:firstLineChars="200"/>
        <w:rPr>
          <w:rFonts w:ascii="宋体" w:hAnsi="宋体" w:eastAsia="宋体" w:cs="宋体"/>
          <w:color w:val="000000"/>
          <w:sz w:val="24"/>
        </w:rPr>
      </w:pPr>
      <w:r>
        <w:rPr>
          <w:rFonts w:hint="eastAsia" w:ascii="宋体" w:hAnsi="宋体" w:eastAsia="宋体" w:cs="宋体"/>
          <w:sz w:val="24"/>
        </w:rPr>
        <w:t>时间：自公告之日起</w:t>
      </w:r>
      <w:r>
        <w:rPr>
          <w:rFonts w:hint="eastAsia" w:ascii="宋体" w:hAnsi="宋体" w:eastAsia="宋体" w:cs="宋体"/>
          <w:color w:val="000000"/>
          <w:sz w:val="24"/>
        </w:rPr>
        <w:t>至投标截止时间前1日</w:t>
      </w:r>
    </w:p>
    <w:p w14:paraId="2AC0011B">
      <w:pPr>
        <w:spacing w:line="360" w:lineRule="auto"/>
        <w:ind w:firstLine="480" w:firstLineChars="200"/>
        <w:rPr>
          <w:rFonts w:hint="default" w:ascii="宋体" w:hAnsi="宋体" w:cs="宋体" w:eastAsiaTheme="minorEastAsia"/>
          <w:color w:val="000000"/>
          <w:sz w:val="24"/>
          <w:lang w:val="en-US" w:eastAsia="zh-CN"/>
        </w:rPr>
      </w:pPr>
      <w:r>
        <w:rPr>
          <w:rFonts w:hint="eastAsia" w:ascii="宋体" w:hAnsi="宋体" w:eastAsia="宋体" w:cs="宋体"/>
          <w:color w:val="000000"/>
          <w:sz w:val="24"/>
        </w:rPr>
        <w:t>地点：</w:t>
      </w:r>
      <w:r>
        <w:rPr>
          <w:rFonts w:hint="eastAsia" w:ascii="宋体" w:hAnsi="宋体" w:cs="宋体"/>
          <w:color w:val="000000"/>
          <w:sz w:val="24"/>
        </w:rPr>
        <w:t>盐城工业职业技术学院</w:t>
      </w:r>
      <w:r>
        <w:rPr>
          <w:rFonts w:hint="eastAsia" w:ascii="宋体" w:hAnsi="宋体" w:cs="宋体"/>
          <w:color w:val="000000"/>
          <w:sz w:val="24"/>
          <w:lang w:val="en-US" w:eastAsia="zh-CN"/>
        </w:rPr>
        <w:t>招标采购网</w:t>
      </w:r>
    </w:p>
    <w:p w14:paraId="2ADC50C9">
      <w:pPr>
        <w:spacing w:line="360" w:lineRule="auto"/>
        <w:ind w:firstLine="480" w:firstLineChars="200"/>
        <w:rPr>
          <w:rFonts w:ascii="宋体" w:hAnsi="宋体" w:cs="宋体"/>
          <w:color w:val="000000"/>
          <w:sz w:val="24"/>
        </w:rPr>
      </w:pPr>
      <w:r>
        <w:rPr>
          <w:rFonts w:hint="eastAsia" w:ascii="宋体" w:hAnsi="宋体" w:eastAsia="宋体" w:cs="宋体"/>
          <w:color w:val="000000"/>
          <w:sz w:val="24"/>
        </w:rPr>
        <w:t>方式：</w:t>
      </w:r>
      <w:r>
        <w:rPr>
          <w:rFonts w:hint="eastAsia" w:ascii="宋体" w:hAnsi="宋体" w:cs="宋体"/>
          <w:color w:val="000000"/>
          <w:sz w:val="24"/>
        </w:rPr>
        <w:t>符合资格要求的投标人可自行下载采购文件，采购文件见盐城工业职业技术学院招标采购网公告附件。</w:t>
      </w:r>
    </w:p>
    <w:p w14:paraId="193413C6">
      <w:pPr>
        <w:spacing w:line="360" w:lineRule="auto"/>
        <w:ind w:firstLine="480" w:firstLineChars="200"/>
        <w:rPr>
          <w:rFonts w:ascii="宋体" w:hAnsi="宋体" w:eastAsia="宋体" w:cs="宋体"/>
          <w:color w:val="000000"/>
          <w:sz w:val="24"/>
        </w:rPr>
      </w:pPr>
      <w:r>
        <w:rPr>
          <w:rFonts w:hint="eastAsia" w:ascii="宋体" w:hAnsi="宋体" w:eastAsia="宋体" w:cs="宋体"/>
          <w:color w:val="000000"/>
          <w:sz w:val="24"/>
        </w:rPr>
        <w:t>售价：免费</w:t>
      </w:r>
    </w:p>
    <w:p w14:paraId="1916B5AF">
      <w:pPr>
        <w:spacing w:line="360" w:lineRule="auto"/>
        <w:ind w:firstLine="480" w:firstLineChars="200"/>
        <w:rPr>
          <w:rFonts w:ascii="宋体" w:hAnsi="宋体" w:eastAsia="宋体" w:cs="宋体"/>
          <w:bCs/>
          <w:color w:val="000000" w:themeColor="text1"/>
          <w:sz w:val="24"/>
          <w14:textFill>
            <w14:solidFill>
              <w14:schemeClr w14:val="tx1"/>
            </w14:solidFill>
          </w14:textFill>
        </w:rPr>
      </w:pPr>
      <w:bookmarkStart w:id="7" w:name="_Toc28359005"/>
      <w:bookmarkStart w:id="8" w:name="_Toc35393624"/>
      <w:bookmarkStart w:id="9" w:name="_Toc35393793"/>
      <w:bookmarkStart w:id="10" w:name="_Toc28359082"/>
      <w:r>
        <w:rPr>
          <w:rFonts w:hint="eastAsia" w:ascii="宋体" w:hAnsi="宋体" w:eastAsia="宋体" w:cs="宋体"/>
          <w:bCs/>
          <w:color w:val="000000" w:themeColor="text1"/>
          <w:sz w:val="24"/>
          <w14:textFill>
            <w14:solidFill>
              <w14:schemeClr w14:val="tx1"/>
            </w14:solidFill>
          </w14:textFill>
        </w:rPr>
        <w:t>四、</w:t>
      </w:r>
      <w:bookmarkEnd w:id="7"/>
      <w:bookmarkEnd w:id="8"/>
      <w:bookmarkEnd w:id="9"/>
      <w:bookmarkEnd w:id="10"/>
      <w:r>
        <w:rPr>
          <w:rFonts w:hint="eastAsia" w:ascii="宋体" w:hAnsi="宋体" w:eastAsia="宋体" w:cs="宋体"/>
          <w:bCs/>
          <w:color w:val="000000" w:themeColor="text1"/>
          <w:sz w:val="24"/>
          <w14:textFill>
            <w14:solidFill>
              <w14:schemeClr w14:val="tx1"/>
            </w14:solidFill>
          </w14:textFill>
        </w:rPr>
        <w:t>响应文件提交</w:t>
      </w:r>
    </w:p>
    <w:p w14:paraId="16058E37">
      <w:pPr>
        <w:spacing w:line="360" w:lineRule="auto"/>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提交时间：2026年</w:t>
      </w:r>
      <w:r>
        <w:rPr>
          <w:rFonts w:hint="eastAsia" w:ascii="宋体" w:hAnsi="宋体" w:eastAsia="宋体" w:cs="宋体"/>
          <w:bCs/>
          <w:color w:val="000000" w:themeColor="text1"/>
          <w:sz w:val="24"/>
          <w:lang w:val="en-US" w:eastAsia="zh-CN"/>
          <w14:textFill>
            <w14:solidFill>
              <w14:schemeClr w14:val="tx1"/>
            </w14:solidFill>
          </w14:textFill>
        </w:rPr>
        <w:t>8</w:t>
      </w:r>
      <w:r>
        <w:rPr>
          <w:rFonts w:hint="eastAsia" w:ascii="宋体" w:hAnsi="宋体" w:eastAsia="宋体" w:cs="宋体"/>
          <w:bCs/>
          <w:color w:val="000000" w:themeColor="text1"/>
          <w:sz w:val="24"/>
          <w14:textFill>
            <w14:solidFill>
              <w14:schemeClr w14:val="tx1"/>
            </w14:solidFill>
          </w14:textFill>
        </w:rPr>
        <w:t>月</w:t>
      </w:r>
      <w:r>
        <w:rPr>
          <w:rFonts w:hint="eastAsia" w:ascii="宋体" w:hAnsi="宋体" w:eastAsia="宋体" w:cs="宋体"/>
          <w:bCs/>
          <w:color w:val="000000" w:themeColor="text1"/>
          <w:sz w:val="24"/>
          <w:lang w:val="en-US" w:eastAsia="zh-CN"/>
          <w14:textFill>
            <w14:solidFill>
              <w14:schemeClr w14:val="tx1"/>
            </w14:solidFill>
          </w14:textFill>
        </w:rPr>
        <w:t>7</w:t>
      </w:r>
      <w:r>
        <w:rPr>
          <w:rFonts w:hint="eastAsia" w:ascii="宋体" w:hAnsi="宋体" w:eastAsia="宋体" w:cs="宋体"/>
          <w:bCs/>
          <w:color w:val="000000" w:themeColor="text1"/>
          <w:sz w:val="24"/>
          <w14:textFill>
            <w14:solidFill>
              <w14:schemeClr w14:val="tx1"/>
            </w14:solidFill>
          </w14:textFill>
        </w:rPr>
        <w:t>日</w:t>
      </w:r>
      <w:r>
        <w:rPr>
          <w:rFonts w:hint="eastAsia" w:ascii="宋体" w:hAnsi="宋体" w:eastAsia="宋体" w:cs="宋体"/>
          <w:bCs/>
          <w:color w:val="000000" w:themeColor="text1"/>
          <w:sz w:val="24"/>
          <w:lang w:val="en-US" w:eastAsia="zh-CN"/>
          <w14:textFill>
            <w14:solidFill>
              <w14:schemeClr w14:val="tx1"/>
            </w14:solidFill>
          </w14:textFill>
        </w:rPr>
        <w:t>9</w:t>
      </w:r>
      <w:r>
        <w:rPr>
          <w:rFonts w:hint="eastAsia" w:ascii="宋体" w:hAnsi="宋体" w:eastAsia="宋体" w:cs="宋体"/>
          <w:bCs/>
          <w:color w:val="000000" w:themeColor="text1"/>
          <w:sz w:val="24"/>
          <w14:textFill>
            <w14:solidFill>
              <w14:schemeClr w14:val="tx1"/>
            </w14:solidFill>
          </w14:textFill>
        </w:rPr>
        <w:t>点</w:t>
      </w:r>
      <w:r>
        <w:rPr>
          <w:rFonts w:hint="eastAsia" w:ascii="宋体" w:hAnsi="宋体" w:eastAsia="宋体" w:cs="宋体"/>
          <w:bCs/>
          <w:color w:val="000000" w:themeColor="text1"/>
          <w:sz w:val="24"/>
          <w:lang w:val="en-US" w:eastAsia="zh-CN"/>
          <w14:textFill>
            <w14:solidFill>
              <w14:schemeClr w14:val="tx1"/>
            </w14:solidFill>
          </w14:textFill>
        </w:rPr>
        <w:t>-9点30分</w:t>
      </w:r>
      <w:r>
        <w:rPr>
          <w:rFonts w:hint="eastAsia" w:ascii="宋体" w:hAnsi="宋体" w:eastAsia="宋体" w:cs="宋体"/>
          <w:bCs/>
          <w:color w:val="000000" w:themeColor="text1"/>
          <w:sz w:val="24"/>
          <w14:textFill>
            <w14:solidFill>
              <w14:schemeClr w14:val="tx1"/>
            </w14:solidFill>
          </w14:textFill>
        </w:rPr>
        <w:t>（北京时间）</w:t>
      </w:r>
    </w:p>
    <w:p w14:paraId="639151D0">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盐城工业职业技术学院解放南路285号工业中心一楼</w:t>
      </w:r>
      <w:r>
        <w:rPr>
          <w:rFonts w:ascii="宋体" w:hAnsi="宋体" w:eastAsia="宋体" w:cs="宋体"/>
          <w:color w:val="000000" w:themeColor="text1"/>
          <w:sz w:val="24"/>
          <w14:textFill>
            <w14:solidFill>
              <w14:schemeClr w14:val="tx1"/>
            </w14:solidFill>
          </w14:textFill>
        </w:rPr>
        <w:t>营销大厅</w:t>
      </w:r>
    </w:p>
    <w:p w14:paraId="0AB36DEA">
      <w:pPr>
        <w:spacing w:line="360" w:lineRule="auto"/>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五、公开期限</w:t>
      </w:r>
    </w:p>
    <w:p w14:paraId="7012CEBC">
      <w:pPr>
        <w:spacing w:line="360" w:lineRule="auto"/>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自本公告发布之日起3个工作日</w:t>
      </w:r>
    </w:p>
    <w:p w14:paraId="74D4FFBC">
      <w:pPr>
        <w:spacing w:line="360" w:lineRule="auto"/>
        <w:ind w:firstLine="480" w:firstLineChars="200"/>
        <w:rPr>
          <w:rFonts w:ascii="宋体" w:hAnsi="宋体" w:eastAsia="宋体" w:cs="宋体"/>
          <w:color w:val="000000" w:themeColor="text1"/>
          <w:sz w:val="24"/>
          <w14:textFill>
            <w14:solidFill>
              <w14:schemeClr w14:val="tx1"/>
            </w14:solidFill>
          </w14:textFill>
        </w:rPr>
      </w:pPr>
      <w:bookmarkStart w:id="11" w:name="_Toc28359085"/>
      <w:bookmarkStart w:id="12" w:name="_Toc28359008"/>
      <w:bookmarkStart w:id="13" w:name="_Toc35393627"/>
      <w:bookmarkStart w:id="14" w:name="_Toc35393796"/>
      <w:r>
        <w:rPr>
          <w:rFonts w:hint="eastAsia" w:ascii="宋体" w:hAnsi="宋体" w:eastAsia="宋体" w:cs="宋体"/>
          <w:color w:val="000000" w:themeColor="text1"/>
          <w:sz w:val="24"/>
          <w14:textFill>
            <w14:solidFill>
              <w14:schemeClr w14:val="tx1"/>
            </w14:solidFill>
          </w14:textFill>
        </w:rPr>
        <w:t>六、其他补充事宜</w:t>
      </w:r>
    </w:p>
    <w:p w14:paraId="5AD03880">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1.有关本次招标的事项若存在变动或修改，敬请及时关注“盐城工业职业技术学院招标采购网”发布的信息更正公告。响应文件制作份数要求：正本份数：1份，副本份数：2份。</w:t>
      </w:r>
    </w:p>
    <w:p w14:paraId="31D96483">
      <w:pPr>
        <w:spacing w:line="360" w:lineRule="auto"/>
        <w:ind w:firstLine="480" w:firstLineChars="200"/>
        <w:rPr>
          <w:rFonts w:hint="eastAsia" w:ascii="宋体" w:hAnsi="宋体" w:cs="宋体"/>
          <w:color w:val="000000"/>
          <w:sz w:val="24"/>
        </w:rPr>
      </w:pPr>
      <w:r>
        <w:rPr>
          <w:rFonts w:hint="eastAsia" w:ascii="宋体" w:hAnsi="宋体" w:eastAsia="宋体" w:cs="宋体"/>
          <w:color w:val="000000" w:themeColor="text1"/>
          <w:sz w:val="24"/>
          <w14:textFill>
            <w14:solidFill>
              <w14:schemeClr w14:val="tx1"/>
            </w14:solidFill>
          </w14:textFill>
        </w:rPr>
        <w:t>2.</w:t>
      </w:r>
      <w:r>
        <w:rPr>
          <w:rFonts w:hint="eastAsia" w:ascii="宋体" w:hAnsi="宋体" w:cs="宋体"/>
          <w:color w:val="000000"/>
          <w:sz w:val="24"/>
        </w:rPr>
        <w:t>报价须包括</w:t>
      </w:r>
      <w:r>
        <w:rPr>
          <w:rFonts w:hint="eastAsia" w:ascii="宋体" w:hAnsi="宋体" w:cs="宋体"/>
          <w:color w:val="000000"/>
          <w:sz w:val="24"/>
          <w:lang w:val="en-US" w:eastAsia="zh-CN"/>
        </w:rPr>
        <w:t>所需全部辅材物料、电气辅料、调试、安装、保养、现场开孔、开槽、孔洞封堵修复、设备搬运、全程设备保护等所有工序及产生的一切费用（包含税费），均全部包含在投标报价内，由中标单位全权负责承担。</w:t>
      </w:r>
      <w:r>
        <w:rPr>
          <w:rFonts w:hint="eastAsia" w:ascii="宋体" w:hAnsi="宋体" w:cs="宋体"/>
          <w:color w:val="000000"/>
          <w:sz w:val="24"/>
        </w:rPr>
        <w:t>不得高于预算金额，否则为无效报价。</w:t>
      </w:r>
    </w:p>
    <w:p w14:paraId="0411C68A">
      <w:pPr>
        <w:spacing w:line="360" w:lineRule="auto"/>
        <w:ind w:firstLine="480" w:firstLineChars="200"/>
        <w:rPr>
          <w:rFonts w:hint="eastAsia" w:ascii="宋体" w:hAnsi="宋体" w:cs="宋体"/>
          <w:color w:val="000000"/>
          <w:sz w:val="24"/>
          <w:lang w:val="en-US" w:eastAsia="zh-CN"/>
        </w:rPr>
      </w:pPr>
      <w:r>
        <w:rPr>
          <w:rFonts w:hint="eastAsia" w:ascii="宋体" w:hAnsi="宋体" w:cs="宋体"/>
          <w:color w:val="000000"/>
          <w:sz w:val="24"/>
          <w:lang w:val="en-US" w:eastAsia="zh-CN"/>
        </w:rPr>
        <w:t>3.</w:t>
      </w:r>
      <w:r>
        <w:rPr>
          <w:rFonts w:hint="eastAsia" w:ascii="宋体" w:hAnsi="宋体" w:cs="宋体"/>
          <w:color w:val="000000"/>
          <w:sz w:val="24"/>
        </w:rPr>
        <w:t>付款方式，</w:t>
      </w:r>
      <w:r>
        <w:rPr>
          <w:rFonts w:hint="eastAsia" w:ascii="宋体" w:hAnsi="宋体" w:cs="宋体"/>
          <w:color w:val="000000"/>
          <w:sz w:val="24"/>
          <w:lang w:val="en-US" w:eastAsia="zh-CN"/>
        </w:rPr>
        <w:t>招标范围内容全部完成并经安装调试、培训结束，验收合格后付总价的95%；质保期满无质量问题付清尾款。</w:t>
      </w:r>
      <w:r>
        <w:rPr>
          <w:rFonts w:hint="eastAsia" w:ascii="宋体" w:hAnsi="宋体" w:cs="宋体"/>
          <w:color w:val="000000"/>
          <w:sz w:val="24"/>
        </w:rPr>
        <w:t>中标单位须出具与其营业执照名称相一致的</w:t>
      </w:r>
      <w:r>
        <w:rPr>
          <w:rFonts w:hint="eastAsia" w:ascii="宋体" w:hAnsi="宋体" w:cs="宋体"/>
          <w:color w:val="000000"/>
          <w:sz w:val="24"/>
          <w:lang w:eastAsia="zh-CN"/>
        </w:rPr>
        <w:t>正规税务</w:t>
      </w:r>
      <w:r>
        <w:rPr>
          <w:rFonts w:hint="eastAsia" w:ascii="宋体" w:hAnsi="宋体" w:cs="宋体"/>
          <w:color w:val="000000"/>
          <w:sz w:val="24"/>
        </w:rPr>
        <w:t>发票。</w:t>
      </w:r>
    </w:p>
    <w:p w14:paraId="756CEE92">
      <w:pPr>
        <w:spacing w:line="360" w:lineRule="auto"/>
        <w:ind w:firstLine="480" w:firstLineChars="200"/>
      </w:pPr>
      <w:r>
        <w:rPr>
          <w:rFonts w:hint="eastAsia" w:ascii="宋体" w:hAnsi="宋体" w:cs="宋体"/>
          <w:color w:val="000000"/>
          <w:sz w:val="24"/>
          <w:lang w:val="en-US" w:eastAsia="zh-CN"/>
        </w:rPr>
        <w:t>4.质保要求：质保期一年。</w:t>
      </w:r>
    </w:p>
    <w:p w14:paraId="14E9C7F1">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5</w:t>
      </w:r>
      <w:r>
        <w:rPr>
          <w:rFonts w:hint="eastAsia" w:ascii="宋体" w:hAnsi="宋体" w:eastAsia="宋体" w:cs="宋体"/>
          <w:color w:val="000000" w:themeColor="text1"/>
          <w:sz w:val="24"/>
          <w14:textFill>
            <w14:solidFill>
              <w14:schemeClr w14:val="tx1"/>
            </w14:solidFill>
          </w14:textFill>
        </w:rPr>
        <w:t>.经评委认定，报价明显低于成本价的评委有权要求其作出合理解释，若理由不充分可作为无效标处理。</w:t>
      </w:r>
    </w:p>
    <w:p w14:paraId="32C5BA92">
      <w:pPr>
        <w:spacing w:line="360" w:lineRule="auto"/>
        <w:ind w:firstLine="480" w:firstLineChars="200"/>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lang w:val="en-US" w:eastAsia="zh-CN"/>
          <w14:textFill>
            <w14:solidFill>
              <w14:schemeClr w14:val="tx1"/>
            </w14:solidFill>
          </w14:textFill>
        </w:rPr>
        <w:t>6</w:t>
      </w:r>
      <w:r>
        <w:rPr>
          <w:rFonts w:hint="eastAsia" w:ascii="宋体" w:hAnsi="宋体" w:eastAsia="宋体" w:cs="宋体"/>
          <w:color w:val="000000" w:themeColor="text1"/>
          <w:kern w:val="0"/>
          <w:sz w:val="24"/>
          <w14:textFill>
            <w14:solidFill>
              <w14:schemeClr w14:val="tx1"/>
            </w14:solidFill>
          </w14:textFill>
        </w:rPr>
        <w:t>.中标后，中标单位无正当理由弃标，一年内不接受其参与学校的任何采购活动。</w:t>
      </w:r>
    </w:p>
    <w:p w14:paraId="080B3F57">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val="en-US" w:eastAsia="zh-CN"/>
          <w14:textFill>
            <w14:solidFill>
              <w14:schemeClr w14:val="tx1"/>
            </w14:solidFill>
          </w14:textFill>
        </w:rPr>
        <w:t xml:space="preserve"> 7.现场踏勘：潜在服务商根据需要可与项目联系人联系，须在</w:t>
      </w:r>
      <w:r>
        <w:rPr>
          <w:rFonts w:hint="eastAsia" w:ascii="宋体" w:hAnsi="宋体" w:eastAsia="宋体" w:cs="宋体"/>
          <w:bCs/>
          <w:color w:val="000000" w:themeColor="text1"/>
          <w:sz w:val="24"/>
          <w14:textFill>
            <w14:solidFill>
              <w14:schemeClr w14:val="tx1"/>
            </w14:solidFill>
          </w14:textFill>
        </w:rPr>
        <w:t>2026年</w:t>
      </w:r>
      <w:r>
        <w:rPr>
          <w:rFonts w:hint="eastAsia" w:ascii="宋体" w:hAnsi="宋体" w:eastAsia="宋体" w:cs="宋体"/>
          <w:bCs/>
          <w:color w:val="000000" w:themeColor="text1"/>
          <w:sz w:val="24"/>
          <w:lang w:val="en-US" w:eastAsia="zh-CN"/>
          <w14:textFill>
            <w14:solidFill>
              <w14:schemeClr w14:val="tx1"/>
            </w14:solidFill>
          </w14:textFill>
        </w:rPr>
        <w:t>8</w:t>
      </w:r>
      <w:r>
        <w:rPr>
          <w:rFonts w:hint="eastAsia" w:ascii="宋体" w:hAnsi="宋体" w:eastAsia="宋体" w:cs="宋体"/>
          <w:bCs/>
          <w:color w:val="000000" w:themeColor="text1"/>
          <w:sz w:val="24"/>
          <w14:textFill>
            <w14:solidFill>
              <w14:schemeClr w14:val="tx1"/>
            </w14:solidFill>
          </w14:textFill>
        </w:rPr>
        <w:t>月</w:t>
      </w:r>
      <w:r>
        <w:rPr>
          <w:rFonts w:hint="eastAsia" w:ascii="宋体" w:hAnsi="宋体" w:eastAsia="宋体" w:cs="宋体"/>
          <w:bCs/>
          <w:color w:val="000000" w:themeColor="text1"/>
          <w:sz w:val="24"/>
          <w:lang w:val="en-US" w:eastAsia="zh-CN"/>
          <w14:textFill>
            <w14:solidFill>
              <w14:schemeClr w14:val="tx1"/>
            </w14:solidFill>
          </w14:textFill>
        </w:rPr>
        <w:t xml:space="preserve"> 5 </w:t>
      </w:r>
      <w:r>
        <w:rPr>
          <w:rFonts w:hint="eastAsia" w:ascii="宋体" w:hAnsi="宋体" w:eastAsia="宋体" w:cs="宋体"/>
          <w:bCs/>
          <w:color w:val="000000" w:themeColor="text1"/>
          <w:sz w:val="24"/>
          <w14:textFill>
            <w14:solidFill>
              <w14:schemeClr w14:val="tx1"/>
            </w14:solidFill>
          </w14:textFill>
        </w:rPr>
        <w:t>日</w:t>
      </w:r>
      <w:r>
        <w:rPr>
          <w:rFonts w:hint="eastAsia" w:ascii="宋体" w:hAnsi="宋体" w:eastAsia="宋体" w:cs="宋体"/>
          <w:bCs/>
          <w:color w:val="000000" w:themeColor="text1"/>
          <w:sz w:val="24"/>
          <w:lang w:val="en-US" w:eastAsia="zh-CN"/>
          <w14:textFill>
            <w14:solidFill>
              <w14:schemeClr w14:val="tx1"/>
            </w14:solidFill>
          </w14:textFill>
        </w:rPr>
        <w:t xml:space="preserve"> 15</w:t>
      </w:r>
      <w:r>
        <w:rPr>
          <w:rFonts w:hint="eastAsia" w:ascii="宋体" w:hAnsi="宋体" w:eastAsia="宋体" w:cs="宋体"/>
          <w:bCs/>
          <w:color w:val="000000" w:themeColor="text1"/>
          <w:sz w:val="24"/>
          <w14:textFill>
            <w14:solidFill>
              <w14:schemeClr w14:val="tx1"/>
            </w14:solidFill>
          </w14:textFill>
        </w:rPr>
        <w:t>点</w:t>
      </w:r>
      <w:r>
        <w:rPr>
          <w:rFonts w:hint="eastAsia" w:ascii="宋体" w:hAnsi="宋体" w:eastAsia="宋体" w:cs="宋体"/>
          <w:bCs/>
          <w:color w:val="000000" w:themeColor="text1"/>
          <w:sz w:val="24"/>
          <w:lang w:val="en-US" w:eastAsia="zh-CN"/>
          <w14:textFill>
            <w14:solidFill>
              <w14:schemeClr w14:val="tx1"/>
            </w14:solidFill>
          </w14:textFill>
        </w:rPr>
        <w:t>-</w:t>
      </w:r>
      <w:r>
        <w:rPr>
          <w:rFonts w:hint="eastAsia" w:ascii="宋体" w:hAnsi="宋体" w:eastAsia="宋体" w:cs="宋体"/>
          <w:bCs/>
          <w:color w:val="000000" w:themeColor="text1"/>
          <w:sz w:val="24"/>
          <w14:textFill>
            <w14:solidFill>
              <w14:schemeClr w14:val="tx1"/>
            </w14:solidFill>
          </w14:textFill>
        </w:rPr>
        <w:t>2026年</w:t>
      </w:r>
      <w:r>
        <w:rPr>
          <w:rFonts w:hint="eastAsia" w:ascii="宋体" w:hAnsi="宋体" w:eastAsia="宋体" w:cs="宋体"/>
          <w:bCs/>
          <w:color w:val="000000" w:themeColor="text1"/>
          <w:sz w:val="24"/>
          <w:lang w:val="en-US" w:eastAsia="zh-CN"/>
          <w14:textFill>
            <w14:solidFill>
              <w14:schemeClr w14:val="tx1"/>
            </w14:solidFill>
          </w14:textFill>
        </w:rPr>
        <w:t>8</w:t>
      </w:r>
      <w:r>
        <w:rPr>
          <w:rFonts w:hint="eastAsia" w:ascii="宋体" w:hAnsi="宋体" w:eastAsia="宋体" w:cs="宋体"/>
          <w:bCs/>
          <w:color w:val="000000" w:themeColor="text1"/>
          <w:sz w:val="24"/>
          <w14:textFill>
            <w14:solidFill>
              <w14:schemeClr w14:val="tx1"/>
            </w14:solidFill>
          </w14:textFill>
        </w:rPr>
        <w:t>月</w:t>
      </w:r>
      <w:r>
        <w:rPr>
          <w:rFonts w:hint="eastAsia" w:ascii="宋体" w:hAnsi="宋体" w:eastAsia="宋体" w:cs="宋体"/>
          <w:bCs/>
          <w:color w:val="000000" w:themeColor="text1"/>
          <w:sz w:val="24"/>
          <w:lang w:val="en-US" w:eastAsia="zh-CN"/>
          <w14:textFill>
            <w14:solidFill>
              <w14:schemeClr w14:val="tx1"/>
            </w14:solidFill>
          </w14:textFill>
        </w:rPr>
        <w:t xml:space="preserve"> 5 </w:t>
      </w:r>
      <w:r>
        <w:rPr>
          <w:rFonts w:hint="eastAsia" w:ascii="宋体" w:hAnsi="宋体" w:eastAsia="宋体" w:cs="宋体"/>
          <w:bCs/>
          <w:color w:val="000000" w:themeColor="text1"/>
          <w:sz w:val="24"/>
          <w14:textFill>
            <w14:solidFill>
              <w14:schemeClr w14:val="tx1"/>
            </w14:solidFill>
          </w14:textFill>
        </w:rPr>
        <w:t>日</w:t>
      </w:r>
      <w:r>
        <w:rPr>
          <w:rFonts w:hint="eastAsia" w:ascii="宋体" w:hAnsi="宋体" w:eastAsia="宋体" w:cs="宋体"/>
          <w:bCs/>
          <w:color w:val="000000" w:themeColor="text1"/>
          <w:sz w:val="24"/>
          <w:lang w:val="en-US" w:eastAsia="zh-CN"/>
          <w14:textFill>
            <w14:solidFill>
              <w14:schemeClr w14:val="tx1"/>
            </w14:solidFill>
          </w14:textFill>
        </w:rPr>
        <w:t xml:space="preserve"> 17 点</w:t>
      </w:r>
      <w:r>
        <w:rPr>
          <w:rFonts w:hint="eastAsia" w:ascii="宋体" w:hAnsi="宋体" w:eastAsia="宋体" w:cs="宋体"/>
          <w:bCs/>
          <w:color w:val="000000" w:themeColor="text1"/>
          <w:sz w:val="24"/>
          <w14:textFill>
            <w14:solidFill>
              <w14:schemeClr w14:val="tx1"/>
            </w14:solidFill>
          </w14:textFill>
        </w:rPr>
        <w:t>（北京时间）</w:t>
      </w:r>
      <w:r>
        <w:rPr>
          <w:rFonts w:hint="eastAsia" w:ascii="宋体" w:hAnsi="宋体" w:eastAsia="宋体" w:cs="宋体"/>
          <w:color w:val="000000" w:themeColor="text1"/>
          <w:kern w:val="0"/>
          <w:sz w:val="24"/>
          <w:lang w:val="en-US" w:eastAsia="zh-CN"/>
          <w14:textFill>
            <w14:solidFill>
              <w14:schemeClr w14:val="tx1"/>
            </w14:solidFill>
          </w14:textFill>
        </w:rPr>
        <w:t>对现场和周围环境进行踏勘，充分了解服务位置、情况、道路、内容、要求、拆装调试限制以及任何其他足以影响服务价的情况如举升机、尾气净化抽排系统新安装位置、尺寸等具体情况</w:t>
      </w:r>
      <w:bookmarkStart w:id="15" w:name="_GoBack"/>
      <w:bookmarkEnd w:id="15"/>
      <w:r>
        <w:rPr>
          <w:rFonts w:hint="eastAsia" w:ascii="宋体" w:hAnsi="宋体" w:eastAsia="宋体" w:cs="宋体"/>
          <w:color w:val="000000" w:themeColor="text1"/>
          <w:kern w:val="0"/>
          <w:sz w:val="24"/>
          <w:lang w:val="en-US" w:eastAsia="zh-CN"/>
          <w14:textFill>
            <w14:solidFill>
              <w14:schemeClr w14:val="tx1"/>
            </w14:solidFill>
          </w14:textFill>
        </w:rPr>
        <w:t>，需要满足建设单位要求，结算不另调整相关费用。</w:t>
      </w:r>
    </w:p>
    <w:p w14:paraId="36AA1D02">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七、对本次招标提出询问，请按以下方式联系。</w:t>
      </w:r>
    </w:p>
    <w:p w14:paraId="6DF6833C">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1.采购人信息</w:t>
      </w:r>
    </w:p>
    <w:p w14:paraId="17B868C4">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名    称：盐城工业职业技术学院</w:t>
      </w:r>
    </w:p>
    <w:p w14:paraId="1FC63562">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地    址：江苏省盐城市盐都区解放南路285号</w:t>
      </w:r>
    </w:p>
    <w:p w14:paraId="15454427">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联 系 人：魏老师 </w:t>
      </w:r>
    </w:p>
    <w:p w14:paraId="55C0F107">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联系电话：</w:t>
      </w:r>
      <w:r>
        <w:rPr>
          <w:rFonts w:hint="eastAsia" w:ascii="宋体" w:hAnsi="宋体" w:cs="宋体"/>
          <w:color w:val="000000"/>
          <w:sz w:val="24"/>
        </w:rPr>
        <w:t>1</w:t>
      </w:r>
      <w:r>
        <w:rPr>
          <w:rFonts w:ascii="宋体" w:hAnsi="宋体" w:cs="宋体"/>
          <w:color w:val="000000"/>
          <w:sz w:val="24"/>
        </w:rPr>
        <w:t>8862011086</w:t>
      </w:r>
    </w:p>
    <w:bookmarkEnd w:id="11"/>
    <w:bookmarkEnd w:id="12"/>
    <w:bookmarkEnd w:id="13"/>
    <w:bookmarkEnd w:id="14"/>
    <w:p w14:paraId="0201237E">
      <w:pPr>
        <w:widowControl/>
        <w:jc w:val="left"/>
        <w:rPr>
          <w:rFonts w:ascii="宋体" w:hAnsi="宋体" w:eastAsia="宋体" w:cs="宋体"/>
          <w:color w:val="000000" w:themeColor="text1"/>
          <w:sz w:val="30"/>
          <w:szCs w:val="30"/>
          <w14:textFill>
            <w14:solidFill>
              <w14:schemeClr w14:val="tx1"/>
            </w14:solidFill>
          </w14:textFill>
        </w:rPr>
      </w:pPr>
    </w:p>
    <w:p w14:paraId="6F9C387C">
      <w:pPr>
        <w:widowControl/>
        <w:jc w:val="left"/>
        <w:rPr>
          <w:rFonts w:ascii="宋体" w:hAnsi="宋体" w:eastAsia="宋体" w:cs="宋体"/>
          <w:color w:val="000000" w:themeColor="text1"/>
          <w:sz w:val="30"/>
          <w:szCs w:val="30"/>
          <w14:textFill>
            <w14:solidFill>
              <w14:schemeClr w14:val="tx1"/>
            </w14:solidFill>
          </w14:textFill>
        </w:rPr>
      </w:pPr>
    </w:p>
    <w:p w14:paraId="3F31269B">
      <w:pPr>
        <w:widowControl/>
        <w:jc w:val="left"/>
        <w:rPr>
          <w:rFonts w:ascii="宋体" w:hAnsi="宋体" w:eastAsia="宋体" w:cs="宋体"/>
          <w:color w:val="000000" w:themeColor="text1"/>
          <w:sz w:val="30"/>
          <w:szCs w:val="30"/>
          <w14:textFill>
            <w14:solidFill>
              <w14:schemeClr w14:val="tx1"/>
            </w14:solidFill>
          </w14:textFill>
        </w:rPr>
      </w:pPr>
    </w:p>
    <w:p w14:paraId="4A9204E9">
      <w:pPr>
        <w:widowControl/>
        <w:jc w:val="left"/>
        <w:rPr>
          <w:rFonts w:ascii="宋体" w:hAnsi="宋体" w:eastAsia="宋体" w:cs="宋体"/>
          <w:color w:val="000000" w:themeColor="text1"/>
          <w:sz w:val="30"/>
          <w:szCs w:val="30"/>
          <w14:textFill>
            <w14:solidFill>
              <w14:schemeClr w14:val="tx1"/>
            </w14:solidFill>
          </w14:textFill>
        </w:rPr>
      </w:pPr>
    </w:p>
    <w:p w14:paraId="03FA3959">
      <w:pPr>
        <w:widowControl/>
        <w:jc w:val="left"/>
        <w:rPr>
          <w:rFonts w:ascii="宋体" w:hAnsi="宋体" w:eastAsia="宋体" w:cs="宋体"/>
          <w:color w:val="000000" w:themeColor="text1"/>
          <w:sz w:val="30"/>
          <w:szCs w:val="30"/>
          <w14:textFill>
            <w14:solidFill>
              <w14:schemeClr w14:val="tx1"/>
            </w14:solidFill>
          </w14:textFill>
        </w:rPr>
      </w:pPr>
    </w:p>
    <w:p w14:paraId="163D2B84">
      <w:pPr>
        <w:widowControl/>
        <w:jc w:val="left"/>
        <w:rPr>
          <w:rFonts w:ascii="宋体" w:hAnsi="宋体" w:eastAsia="宋体" w:cs="宋体"/>
          <w:color w:val="000000" w:themeColor="text1"/>
          <w:sz w:val="30"/>
          <w:szCs w:val="30"/>
          <w14:textFill>
            <w14:solidFill>
              <w14:schemeClr w14:val="tx1"/>
            </w14:solidFill>
          </w14:textFill>
        </w:rPr>
      </w:pPr>
    </w:p>
    <w:p w14:paraId="4F29CABE">
      <w:pPr>
        <w:widowControl/>
        <w:jc w:val="left"/>
        <w:rPr>
          <w:rFonts w:ascii="宋体" w:hAnsi="宋体" w:eastAsia="宋体" w:cs="宋体"/>
          <w:color w:val="000000" w:themeColor="text1"/>
          <w:sz w:val="30"/>
          <w:szCs w:val="30"/>
          <w14:textFill>
            <w14:solidFill>
              <w14:schemeClr w14:val="tx1"/>
            </w14:solidFill>
          </w14:textFill>
        </w:rPr>
      </w:pPr>
    </w:p>
    <w:p w14:paraId="1A91851E">
      <w:pPr>
        <w:widowControl/>
        <w:jc w:val="left"/>
        <w:rPr>
          <w:rFonts w:ascii="宋体" w:hAnsi="宋体" w:eastAsia="宋体" w:cs="宋体"/>
          <w:color w:val="000000" w:themeColor="text1"/>
          <w:sz w:val="30"/>
          <w:szCs w:val="30"/>
          <w14:textFill>
            <w14:solidFill>
              <w14:schemeClr w14:val="tx1"/>
            </w14:solidFill>
          </w14:textFill>
        </w:rPr>
      </w:pPr>
    </w:p>
    <w:p w14:paraId="5380F32E">
      <w:pPr>
        <w:widowControl/>
        <w:jc w:val="left"/>
        <w:rPr>
          <w:rFonts w:ascii="宋体" w:hAnsi="宋体" w:eastAsia="宋体" w:cs="宋体"/>
          <w:color w:val="000000" w:themeColor="text1"/>
          <w:sz w:val="30"/>
          <w:szCs w:val="30"/>
          <w14:textFill>
            <w14:solidFill>
              <w14:schemeClr w14:val="tx1"/>
            </w14:solidFill>
          </w14:textFill>
        </w:rPr>
      </w:pPr>
    </w:p>
    <w:p w14:paraId="5AA8E2DB">
      <w:pPr>
        <w:widowControl/>
        <w:jc w:val="left"/>
        <w:rPr>
          <w:rFonts w:ascii="宋体" w:hAnsi="宋体" w:eastAsia="宋体" w:cs="宋体"/>
          <w:color w:val="000000" w:themeColor="text1"/>
          <w:sz w:val="30"/>
          <w:szCs w:val="30"/>
          <w14:textFill>
            <w14:solidFill>
              <w14:schemeClr w14:val="tx1"/>
            </w14:solidFill>
          </w14:textFill>
        </w:rPr>
      </w:pPr>
    </w:p>
    <w:p w14:paraId="3C27316F">
      <w:pPr>
        <w:widowControl/>
        <w:jc w:val="left"/>
        <w:rPr>
          <w:rFonts w:ascii="宋体" w:hAnsi="宋体" w:eastAsia="宋体" w:cs="宋体"/>
          <w:color w:val="000000" w:themeColor="text1"/>
          <w:sz w:val="30"/>
          <w:szCs w:val="30"/>
          <w14:textFill>
            <w14:solidFill>
              <w14:schemeClr w14:val="tx1"/>
            </w14:solidFill>
          </w14:textFill>
        </w:rPr>
      </w:pPr>
    </w:p>
    <w:p w14:paraId="21CAE1BF">
      <w:pPr>
        <w:widowControl/>
        <w:jc w:val="left"/>
        <w:rPr>
          <w:rFonts w:ascii="宋体" w:hAnsi="宋体" w:eastAsia="宋体" w:cs="宋体"/>
          <w:color w:val="000000" w:themeColor="text1"/>
          <w:sz w:val="30"/>
          <w:szCs w:val="30"/>
          <w14:textFill>
            <w14:solidFill>
              <w14:schemeClr w14:val="tx1"/>
            </w14:solidFill>
          </w14:textFill>
        </w:rPr>
      </w:pPr>
    </w:p>
    <w:p w14:paraId="3040386D">
      <w:pPr>
        <w:widowControl/>
        <w:jc w:val="left"/>
        <w:rPr>
          <w:rFonts w:ascii="宋体" w:hAnsi="宋体" w:eastAsia="宋体" w:cs="宋体"/>
          <w:color w:val="000000" w:themeColor="text1"/>
          <w:sz w:val="30"/>
          <w:szCs w:val="30"/>
          <w14:textFill>
            <w14:solidFill>
              <w14:schemeClr w14:val="tx1"/>
            </w14:solidFill>
          </w14:textFill>
        </w:rPr>
      </w:pPr>
    </w:p>
    <w:p w14:paraId="6A541D93">
      <w:pPr>
        <w:widowControl/>
        <w:jc w:val="left"/>
        <w:rPr>
          <w:rFonts w:ascii="宋体" w:hAnsi="宋体" w:eastAsia="宋体" w:cs="宋体"/>
          <w:color w:val="000000" w:themeColor="text1"/>
          <w:sz w:val="30"/>
          <w:szCs w:val="30"/>
          <w14:textFill>
            <w14:solidFill>
              <w14:schemeClr w14:val="tx1"/>
            </w14:solidFill>
          </w14:textFill>
        </w:rPr>
      </w:pPr>
    </w:p>
    <w:p w14:paraId="27C5BC6D">
      <w:pPr>
        <w:widowControl/>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30"/>
          <w:szCs w:val="30"/>
          <w14:textFill>
            <w14:solidFill>
              <w14:schemeClr w14:val="tx1"/>
            </w14:solidFill>
          </w14:textFill>
        </w:rPr>
        <w:t>附件：</w:t>
      </w:r>
    </w:p>
    <w:p w14:paraId="22DD3D9B">
      <w:pPr>
        <w:pStyle w:val="3"/>
        <w:spacing w:line="360" w:lineRule="auto"/>
        <w:jc w:val="center"/>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投标文件要求</w:t>
      </w:r>
    </w:p>
    <w:p w14:paraId="34C8ECA3">
      <w:pPr>
        <w:pStyle w:val="3"/>
        <w:spacing w:line="360" w:lineRule="auto"/>
        <w:rPr>
          <w:rFonts w:ascii="宋体" w:hAnsi="宋体" w:eastAsia="宋体" w:cs="宋体"/>
          <w:b w:val="0"/>
          <w:bCs w:val="0"/>
          <w:color w:val="000000" w:themeColor="text1"/>
          <w:sz w:val="24"/>
          <w:szCs w:val="24"/>
          <w14:textFill>
            <w14:solidFill>
              <w14:schemeClr w14:val="tx1"/>
            </w14:solidFill>
          </w14:textFill>
        </w:rPr>
      </w:pPr>
    </w:p>
    <w:p w14:paraId="484B96F8">
      <w:pPr>
        <w:snapToGrid w:val="0"/>
        <w:spacing w:before="50" w:after="156" w:afterLines="50" w:line="360" w:lineRule="auto"/>
        <w:jc w:val="left"/>
        <w:rPr>
          <w:rFonts w:ascii="宋体" w:hAnsi="宋体" w:cs="宋体"/>
          <w:color w:val="000000"/>
          <w:sz w:val="24"/>
        </w:rPr>
      </w:pPr>
      <w:r>
        <w:rPr>
          <w:rFonts w:hint="eastAsia" w:ascii="宋体" w:hAnsi="宋体" w:cs="宋体"/>
          <w:color w:val="000000"/>
          <w:sz w:val="24"/>
        </w:rPr>
        <w:t>文件1 法人或者其他组织的营业执照等证明文件，自然人的身份证明（复印件）</w:t>
      </w:r>
    </w:p>
    <w:p w14:paraId="31630CF1">
      <w:pPr>
        <w:snapToGrid w:val="0"/>
        <w:spacing w:before="50" w:after="156" w:afterLines="50" w:line="360" w:lineRule="auto"/>
        <w:jc w:val="left"/>
        <w:rPr>
          <w:rFonts w:ascii="宋体" w:hAnsi="宋体" w:cs="宋体"/>
          <w:color w:val="000000"/>
          <w:sz w:val="24"/>
        </w:rPr>
      </w:pPr>
      <w:r>
        <w:rPr>
          <w:rFonts w:hint="eastAsia" w:ascii="宋体" w:hAnsi="宋体" w:cs="宋体"/>
          <w:color w:val="000000"/>
          <w:sz w:val="24"/>
        </w:rPr>
        <w:t>文件2 上一年度（2025年）财务状况报表（复印件，成立不满一年不需提供）</w:t>
      </w:r>
    </w:p>
    <w:p w14:paraId="412B9094">
      <w:pPr>
        <w:snapToGrid w:val="0"/>
        <w:spacing w:before="50" w:after="156" w:afterLines="50" w:line="360" w:lineRule="auto"/>
        <w:jc w:val="left"/>
        <w:rPr>
          <w:rFonts w:ascii="宋体" w:hAnsi="宋体" w:cs="宋体"/>
          <w:color w:val="000000"/>
          <w:sz w:val="24"/>
        </w:rPr>
      </w:pPr>
      <w:r>
        <w:rPr>
          <w:rFonts w:hint="eastAsia" w:ascii="宋体" w:hAnsi="宋体" w:cs="宋体"/>
          <w:color w:val="000000"/>
          <w:sz w:val="24"/>
        </w:rPr>
        <w:t>文件3 依法缴纳税收和社会保障资金的相关材料（复印件）</w:t>
      </w:r>
    </w:p>
    <w:p w14:paraId="11D519DF">
      <w:pPr>
        <w:snapToGrid w:val="0"/>
        <w:spacing w:before="50" w:after="156" w:afterLines="50" w:line="360" w:lineRule="auto"/>
        <w:jc w:val="left"/>
        <w:rPr>
          <w:rFonts w:ascii="宋体" w:hAnsi="宋体" w:cs="宋体"/>
          <w:color w:val="000000"/>
          <w:sz w:val="24"/>
        </w:rPr>
      </w:pPr>
      <w:r>
        <w:rPr>
          <w:rFonts w:hint="eastAsia" w:ascii="宋体" w:hAnsi="宋体" w:cs="宋体"/>
          <w:color w:val="000000"/>
          <w:sz w:val="24"/>
        </w:rPr>
        <w:t>文件4 具备履行合同所必需的设备和专业技术能力的书面声明</w:t>
      </w:r>
    </w:p>
    <w:p w14:paraId="556B33BA">
      <w:pPr>
        <w:snapToGrid w:val="0"/>
        <w:spacing w:before="50" w:after="156" w:afterLines="50" w:line="360" w:lineRule="auto"/>
        <w:jc w:val="left"/>
        <w:rPr>
          <w:rFonts w:ascii="宋体" w:hAnsi="宋体" w:cs="宋体"/>
          <w:color w:val="000000"/>
          <w:sz w:val="24"/>
        </w:rPr>
      </w:pPr>
      <w:r>
        <w:rPr>
          <w:rFonts w:hint="eastAsia" w:ascii="宋体" w:hAnsi="宋体" w:cs="宋体"/>
          <w:color w:val="000000"/>
          <w:sz w:val="24"/>
        </w:rPr>
        <w:t>文件5 参加政府采购活动前 3 年内在经营活动中没有重大违法记录的书面声明</w:t>
      </w:r>
    </w:p>
    <w:p w14:paraId="0C4D67E9">
      <w:pPr>
        <w:snapToGrid w:val="0"/>
        <w:spacing w:before="50" w:after="156" w:afterLines="50" w:line="360" w:lineRule="auto"/>
        <w:jc w:val="left"/>
        <w:rPr>
          <w:rFonts w:ascii="宋体" w:hAnsi="宋体" w:cs="宋体"/>
          <w:color w:val="000000"/>
          <w:sz w:val="24"/>
        </w:rPr>
      </w:pPr>
      <w:r>
        <w:rPr>
          <w:rFonts w:hint="eastAsia" w:ascii="宋体" w:hAnsi="宋体" w:cs="宋体"/>
          <w:color w:val="000000"/>
          <w:sz w:val="24"/>
        </w:rPr>
        <w:t>文件6 法人授权书(法人投标也需填写，不可只盖章）</w:t>
      </w:r>
    </w:p>
    <w:p w14:paraId="43DE069C">
      <w:pPr>
        <w:snapToGrid w:val="0"/>
        <w:spacing w:before="50" w:after="156" w:afterLines="50" w:line="360" w:lineRule="auto"/>
        <w:jc w:val="left"/>
        <w:rPr>
          <w:rFonts w:ascii="宋体" w:hAnsi="宋体" w:cs="宋体"/>
          <w:color w:val="000000"/>
          <w:sz w:val="24"/>
        </w:rPr>
      </w:pPr>
      <w:r>
        <w:rPr>
          <w:rFonts w:hint="eastAsia" w:ascii="宋体" w:hAnsi="宋体" w:cs="宋体"/>
          <w:color w:val="000000"/>
          <w:sz w:val="24"/>
        </w:rPr>
        <w:t>文件7报价表</w:t>
      </w:r>
    </w:p>
    <w:p w14:paraId="32A3463D">
      <w:pPr>
        <w:snapToGrid w:val="0"/>
        <w:spacing w:before="50" w:after="156" w:afterLines="50" w:line="360" w:lineRule="auto"/>
        <w:jc w:val="left"/>
        <w:rPr>
          <w:rFonts w:ascii="宋体" w:hAnsi="宋体" w:cs="宋体"/>
          <w:color w:val="000000"/>
          <w:sz w:val="24"/>
        </w:rPr>
      </w:pPr>
      <w:r>
        <w:rPr>
          <w:rFonts w:hint="eastAsia" w:ascii="宋体" w:hAnsi="宋体" w:cs="宋体"/>
          <w:color w:val="000000"/>
          <w:sz w:val="24"/>
        </w:rPr>
        <w:t>文件8询价文件中规定要求提供的证明材料和投标人认为需要提供的其他材料</w:t>
      </w:r>
    </w:p>
    <w:p w14:paraId="706F1E92">
      <w:pPr>
        <w:snapToGrid w:val="0"/>
        <w:spacing w:before="50" w:after="156" w:afterLines="50" w:line="360" w:lineRule="auto"/>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以上文件均需加盖单位公章，正本一份副本两份</w:t>
      </w:r>
    </w:p>
    <w:p w14:paraId="00A37B47">
      <w:pPr>
        <w:snapToGrid w:val="0"/>
        <w:spacing w:before="120" w:after="120" w:line="360" w:lineRule="auto"/>
        <w:jc w:val="center"/>
        <w:rPr>
          <w:rFonts w:ascii="宋体" w:hAnsi="宋体" w:eastAsia="宋体" w:cs="宋体"/>
          <w:color w:val="000000" w:themeColor="text1"/>
          <w:sz w:val="24"/>
          <w14:textFill>
            <w14:solidFill>
              <w14:schemeClr w14:val="tx1"/>
            </w14:solidFill>
          </w14:textFill>
        </w:rPr>
      </w:pPr>
    </w:p>
    <w:p w14:paraId="16D2A355">
      <w:pPr>
        <w:pStyle w:val="5"/>
        <w:rPr>
          <w:rFonts w:ascii="宋体" w:hAnsi="宋体" w:eastAsia="宋体" w:cs="宋体"/>
          <w:color w:val="000000" w:themeColor="text1"/>
          <w:sz w:val="24"/>
          <w14:textFill>
            <w14:solidFill>
              <w14:schemeClr w14:val="tx1"/>
            </w14:solidFill>
          </w14:textFill>
        </w:rPr>
      </w:pPr>
    </w:p>
    <w:p w14:paraId="16C08C43">
      <w:pPr>
        <w:rPr>
          <w:rFonts w:ascii="宋体" w:hAnsi="宋体" w:eastAsia="宋体" w:cs="宋体"/>
          <w:color w:val="000000" w:themeColor="text1"/>
          <w:sz w:val="24"/>
          <w14:textFill>
            <w14:solidFill>
              <w14:schemeClr w14:val="tx1"/>
            </w14:solidFill>
          </w14:textFill>
        </w:rPr>
      </w:pPr>
    </w:p>
    <w:p w14:paraId="7633E1A5">
      <w:pPr>
        <w:spacing w:line="360" w:lineRule="auto"/>
        <w:rPr>
          <w:rFonts w:ascii="宋体" w:hAnsi="宋体" w:eastAsia="宋体" w:cs="宋体"/>
          <w:b/>
          <w:bCs/>
          <w:color w:val="000000" w:themeColor="text1"/>
          <w:sz w:val="24"/>
          <w14:textFill>
            <w14:solidFill>
              <w14:schemeClr w14:val="tx1"/>
            </w14:solidFill>
          </w14:textFill>
        </w:rPr>
      </w:pPr>
    </w:p>
    <w:p w14:paraId="0489E99F">
      <w:pPr>
        <w:pStyle w:val="3"/>
        <w:spacing w:line="360" w:lineRule="auto"/>
        <w:rPr>
          <w:rFonts w:ascii="宋体" w:hAnsi="宋体" w:eastAsia="宋体" w:cs="宋体"/>
          <w:b w:val="0"/>
          <w:bCs w:val="0"/>
          <w:color w:val="000000" w:themeColor="text1"/>
          <w:sz w:val="24"/>
          <w:szCs w:val="24"/>
          <w14:textFill>
            <w14:solidFill>
              <w14:schemeClr w14:val="tx1"/>
            </w14:solidFill>
          </w14:textFill>
        </w:rPr>
      </w:pPr>
    </w:p>
    <w:p w14:paraId="3E1036E1">
      <w:pPr>
        <w:pStyle w:val="4"/>
        <w:spacing w:line="360" w:lineRule="auto"/>
        <w:rPr>
          <w:rFonts w:ascii="宋体" w:hAnsi="宋体" w:eastAsia="宋体" w:cs="宋体"/>
          <w:color w:val="000000" w:themeColor="text1"/>
          <w:sz w:val="24"/>
          <w14:textFill>
            <w14:solidFill>
              <w14:schemeClr w14:val="tx1"/>
            </w14:solidFill>
          </w14:textFill>
        </w:rPr>
      </w:pPr>
    </w:p>
    <w:p w14:paraId="53B628B9">
      <w:pPr>
        <w:pStyle w:val="4"/>
        <w:spacing w:line="360" w:lineRule="auto"/>
        <w:rPr>
          <w:rFonts w:ascii="宋体" w:hAnsi="宋体" w:eastAsia="宋体" w:cs="宋体"/>
          <w:color w:val="000000" w:themeColor="text1"/>
          <w:sz w:val="24"/>
          <w14:textFill>
            <w14:solidFill>
              <w14:schemeClr w14:val="tx1"/>
            </w14:solidFill>
          </w14:textFill>
        </w:rPr>
      </w:pPr>
    </w:p>
    <w:p w14:paraId="36311599">
      <w:pPr>
        <w:pStyle w:val="6"/>
        <w:ind w:left="0" w:leftChars="0" w:right="1470"/>
        <w:rPr>
          <w:rFonts w:ascii="宋体" w:hAnsi="宋体" w:cs="宋体"/>
          <w:color w:val="000000" w:themeColor="text1"/>
          <w:sz w:val="28"/>
          <w:szCs w:val="28"/>
          <w14:textFill>
            <w14:solidFill>
              <w14:schemeClr w14:val="tx1"/>
            </w14:solidFill>
          </w14:textFill>
        </w:rPr>
      </w:pPr>
    </w:p>
    <w:p w14:paraId="41FB4CFF">
      <w:pPr>
        <w:spacing w:line="520" w:lineRule="exact"/>
        <w:jc w:val="right"/>
        <w:rPr>
          <w:rFonts w:ascii="宋体" w:hAnsi="宋体" w:eastAsia="宋体" w:cs="宋体"/>
          <w:color w:val="000000" w:themeColor="text1"/>
          <w:spacing w:val="20"/>
          <w:sz w:val="28"/>
          <w:szCs w:val="28"/>
          <w:u w:val="single"/>
          <w14:textFill>
            <w14:solidFill>
              <w14:schemeClr w14:val="tx1"/>
            </w14:solidFill>
          </w14:textFill>
        </w:rPr>
      </w:pPr>
    </w:p>
    <w:p w14:paraId="7B4A968C">
      <w:pPr>
        <w:spacing w:line="520" w:lineRule="exact"/>
        <w:jc w:val="right"/>
        <w:rPr>
          <w:rFonts w:ascii="宋体" w:hAnsi="宋体" w:eastAsia="宋体" w:cs="宋体"/>
          <w:color w:val="000000" w:themeColor="text1"/>
          <w:spacing w:val="20"/>
          <w:sz w:val="28"/>
          <w:szCs w:val="28"/>
          <w14:textFill>
            <w14:solidFill>
              <w14:schemeClr w14:val="tx1"/>
            </w14:solidFill>
          </w14:textFill>
        </w:rPr>
      </w:pPr>
      <w:r>
        <w:rPr>
          <w:rFonts w:hint="eastAsia" w:ascii="宋体" w:hAnsi="宋体" w:eastAsia="宋体" w:cs="宋体"/>
          <w:color w:val="000000" w:themeColor="text1"/>
          <w:spacing w:val="20"/>
          <w:sz w:val="28"/>
          <w:szCs w:val="28"/>
          <w:u w:val="single"/>
          <w14:textFill>
            <w14:solidFill>
              <w14:schemeClr w14:val="tx1"/>
            </w14:solidFill>
          </w14:textFill>
        </w:rPr>
        <w:t xml:space="preserve">   </w:t>
      </w:r>
      <w:r>
        <w:rPr>
          <w:rFonts w:hint="eastAsia" w:ascii="宋体" w:hAnsi="宋体" w:eastAsia="宋体" w:cs="宋体"/>
          <w:color w:val="000000" w:themeColor="text1"/>
          <w:spacing w:val="20"/>
          <w:sz w:val="28"/>
          <w:szCs w:val="28"/>
          <w14:textFill>
            <w14:solidFill>
              <w14:schemeClr w14:val="tx1"/>
            </w14:solidFill>
          </w14:textFill>
        </w:rPr>
        <w:t>本</w:t>
      </w:r>
    </w:p>
    <w:p w14:paraId="7376CB40">
      <w:pPr>
        <w:rPr>
          <w:rFonts w:ascii="宋体" w:hAnsi="宋体" w:eastAsia="宋体" w:cs="宋体"/>
          <w:color w:val="000000" w:themeColor="text1"/>
          <w:spacing w:val="20"/>
          <w:sz w:val="28"/>
          <w:szCs w:val="28"/>
          <w14:textFill>
            <w14:solidFill>
              <w14:schemeClr w14:val="tx1"/>
            </w14:solidFill>
          </w14:textFill>
        </w:rPr>
      </w:pPr>
    </w:p>
    <w:p w14:paraId="222860A7">
      <w:pPr>
        <w:spacing w:line="360" w:lineRule="auto"/>
        <w:ind w:firstLine="2168" w:firstLineChars="600"/>
        <w:rPr>
          <w:rFonts w:ascii="宋体" w:hAnsi="宋体" w:eastAsia="宋体" w:cs="宋体"/>
          <w:b/>
          <w:bCs/>
          <w:color w:val="000000" w:themeColor="text1"/>
          <w:kern w:val="0"/>
          <w:sz w:val="36"/>
          <w:szCs w:val="44"/>
          <w14:textFill>
            <w14:solidFill>
              <w14:schemeClr w14:val="tx1"/>
            </w14:solidFill>
          </w14:textFill>
        </w:rPr>
      </w:pPr>
    </w:p>
    <w:p w14:paraId="13804CFA">
      <w:pPr>
        <w:jc w:val="center"/>
        <w:rPr>
          <w:rFonts w:ascii="楷体" w:hAnsi="楷体" w:eastAsia="楷体" w:cs="楷体"/>
          <w:b/>
          <w:bCs/>
          <w:color w:val="000000" w:themeColor="text1"/>
          <w:kern w:val="0"/>
          <w:sz w:val="36"/>
          <w:szCs w:val="44"/>
          <w14:textFill>
            <w14:solidFill>
              <w14:schemeClr w14:val="tx1"/>
            </w14:solidFill>
          </w14:textFill>
        </w:rPr>
      </w:pPr>
      <w:r>
        <w:rPr>
          <w:rFonts w:hint="eastAsia" w:ascii="楷体" w:hAnsi="楷体" w:eastAsia="楷体" w:cs="楷体"/>
          <w:b/>
          <w:bCs/>
          <w:color w:val="000000" w:themeColor="text1"/>
          <w:kern w:val="0"/>
          <w:sz w:val="36"/>
          <w:szCs w:val="44"/>
          <w14:textFill>
            <w14:solidFill>
              <w14:schemeClr w14:val="tx1"/>
            </w14:solidFill>
          </w14:textFill>
        </w:rPr>
        <w:t>盐城工业职业技术学院</w:t>
      </w:r>
    </w:p>
    <w:p w14:paraId="30838FA1">
      <w:pPr>
        <w:jc w:val="center"/>
        <w:rPr>
          <w:rFonts w:hint="eastAsia" w:ascii="楷体" w:hAnsi="楷体" w:eastAsia="楷体" w:cs="楷体"/>
          <w:b/>
          <w:bCs/>
          <w:color w:val="000000" w:themeColor="text1"/>
          <w:kern w:val="0"/>
          <w:sz w:val="36"/>
          <w:szCs w:val="44"/>
          <w:lang w:eastAsia="zh-CN"/>
          <w14:textFill>
            <w14:solidFill>
              <w14:schemeClr w14:val="tx1"/>
            </w14:solidFill>
          </w14:textFill>
        </w:rPr>
      </w:pPr>
      <w:r>
        <w:rPr>
          <w:rFonts w:hint="eastAsia" w:ascii="楷体" w:hAnsi="楷体" w:eastAsia="楷体" w:cs="楷体"/>
          <w:b/>
          <w:bCs/>
          <w:color w:val="000000" w:themeColor="text1"/>
          <w:kern w:val="0"/>
          <w:sz w:val="36"/>
          <w:szCs w:val="44"/>
          <w:lang w:eastAsia="zh-CN"/>
          <w14:textFill>
            <w14:solidFill>
              <w14:schemeClr w14:val="tx1"/>
            </w14:solidFill>
          </w14:textFill>
        </w:rPr>
        <w:t>工业中心举升机等设备移位及安装调试服务</w:t>
      </w:r>
    </w:p>
    <w:p w14:paraId="2FF02CD2">
      <w:pPr>
        <w:jc w:val="center"/>
        <w:rPr>
          <w:rFonts w:ascii="楷体" w:hAnsi="楷体" w:eastAsia="楷体" w:cs="楷体"/>
          <w:b/>
          <w:bCs/>
          <w:color w:val="000000" w:themeColor="text1"/>
          <w:spacing w:val="-20"/>
          <w:sz w:val="72"/>
          <w:szCs w:val="72"/>
          <w14:textFill>
            <w14:solidFill>
              <w14:schemeClr w14:val="tx1"/>
            </w14:solidFill>
          </w14:textFill>
        </w:rPr>
      </w:pPr>
    </w:p>
    <w:p w14:paraId="2EAE9989">
      <w:pPr>
        <w:jc w:val="center"/>
        <w:rPr>
          <w:rFonts w:ascii="楷体" w:hAnsi="楷体" w:eastAsia="楷体" w:cs="楷体"/>
          <w:b/>
          <w:bCs/>
          <w:color w:val="000000" w:themeColor="text1"/>
          <w:spacing w:val="-20"/>
          <w:sz w:val="72"/>
          <w:szCs w:val="72"/>
          <w14:textFill>
            <w14:solidFill>
              <w14:schemeClr w14:val="tx1"/>
            </w14:solidFill>
          </w14:textFill>
        </w:rPr>
      </w:pPr>
      <w:r>
        <w:rPr>
          <w:rFonts w:hint="eastAsia" w:ascii="楷体" w:hAnsi="楷体" w:eastAsia="楷体" w:cs="楷体"/>
          <w:b/>
          <w:bCs/>
          <w:color w:val="000000" w:themeColor="text1"/>
          <w:spacing w:val="-20"/>
          <w:sz w:val="72"/>
          <w:szCs w:val="72"/>
          <w14:textFill>
            <w14:solidFill>
              <w14:schemeClr w14:val="tx1"/>
            </w14:solidFill>
          </w14:textFill>
        </w:rPr>
        <w:t>投 标 文 件</w:t>
      </w:r>
    </w:p>
    <w:p w14:paraId="46EB0BE1">
      <w:pPr>
        <w:spacing w:line="240" w:lineRule="exact"/>
        <w:ind w:firstLine="2240" w:firstLineChars="800"/>
        <w:rPr>
          <w:rFonts w:ascii="楷体" w:hAnsi="楷体" w:eastAsia="楷体" w:cs="楷体"/>
          <w:color w:val="000000" w:themeColor="text1"/>
          <w:sz w:val="28"/>
          <w:szCs w:val="28"/>
          <w14:textFill>
            <w14:solidFill>
              <w14:schemeClr w14:val="tx1"/>
            </w14:solidFill>
          </w14:textFill>
        </w:rPr>
      </w:pPr>
    </w:p>
    <w:p w14:paraId="177C1B63">
      <w:pPr>
        <w:rPr>
          <w:rFonts w:ascii="楷体" w:hAnsi="楷体" w:eastAsia="楷体" w:cs="楷体"/>
          <w:color w:val="000000" w:themeColor="text1"/>
          <w:sz w:val="28"/>
          <w:szCs w:val="28"/>
          <w:u w:val="single"/>
          <w14:textFill>
            <w14:solidFill>
              <w14:schemeClr w14:val="tx1"/>
            </w14:solidFill>
          </w14:textFill>
        </w:rPr>
      </w:pPr>
    </w:p>
    <w:p w14:paraId="0FD5F4FC">
      <w:pPr>
        <w:tabs>
          <w:tab w:val="left" w:pos="7140"/>
        </w:tabs>
        <w:spacing w:line="560" w:lineRule="exact"/>
        <w:rPr>
          <w:rFonts w:ascii="楷体" w:hAnsi="楷体" w:eastAsia="楷体" w:cs="楷体"/>
          <w:color w:val="000000" w:themeColor="text1"/>
          <w:sz w:val="28"/>
          <w:szCs w:val="28"/>
          <w14:textFill>
            <w14:solidFill>
              <w14:schemeClr w14:val="tx1"/>
            </w14:solidFill>
          </w14:textFill>
        </w:rPr>
      </w:pPr>
    </w:p>
    <w:p w14:paraId="3B0D0328">
      <w:pPr>
        <w:tabs>
          <w:tab w:val="left" w:pos="7140"/>
        </w:tabs>
        <w:spacing w:line="560" w:lineRule="exact"/>
        <w:ind w:firstLine="1104" w:firstLineChars="345"/>
        <w:rPr>
          <w:rFonts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投标人名称:</w:t>
      </w:r>
      <w:r>
        <w:rPr>
          <w:rFonts w:hint="eastAsia" w:ascii="楷体" w:hAnsi="楷体" w:eastAsia="楷体" w:cs="楷体"/>
          <w:color w:val="000000" w:themeColor="text1"/>
          <w:sz w:val="32"/>
          <w:szCs w:val="32"/>
          <w:u w:val="single"/>
          <w14:textFill>
            <w14:solidFill>
              <w14:schemeClr w14:val="tx1"/>
            </w14:solidFill>
          </w14:textFill>
        </w:rPr>
        <w:t xml:space="preserve">                      </w:t>
      </w:r>
      <w:r>
        <w:rPr>
          <w:rFonts w:hint="eastAsia" w:ascii="楷体" w:hAnsi="楷体" w:eastAsia="楷体" w:cs="楷体"/>
          <w:color w:val="000000" w:themeColor="text1"/>
          <w:sz w:val="32"/>
          <w:szCs w:val="32"/>
          <w14:textFill>
            <w14:solidFill>
              <w14:schemeClr w14:val="tx1"/>
            </w14:solidFill>
          </w14:textFill>
        </w:rPr>
        <w:t xml:space="preserve">(盖章) </w:t>
      </w:r>
    </w:p>
    <w:p w14:paraId="22FDDB30">
      <w:pPr>
        <w:spacing w:line="560" w:lineRule="exact"/>
        <w:ind w:firstLine="629"/>
        <w:rPr>
          <w:rFonts w:ascii="楷体" w:hAnsi="楷体" w:eastAsia="楷体" w:cs="楷体"/>
          <w:color w:val="000000" w:themeColor="text1"/>
          <w:sz w:val="32"/>
          <w:szCs w:val="32"/>
          <w14:textFill>
            <w14:solidFill>
              <w14:schemeClr w14:val="tx1"/>
            </w14:solidFill>
          </w14:textFill>
        </w:rPr>
      </w:pPr>
    </w:p>
    <w:p w14:paraId="7AE990A0">
      <w:pPr>
        <w:spacing w:line="560" w:lineRule="exact"/>
        <w:ind w:firstLine="1104" w:firstLineChars="345"/>
        <w:rPr>
          <w:rFonts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法定代表人或委托代理人:</w:t>
      </w:r>
      <w:r>
        <w:rPr>
          <w:rFonts w:hint="eastAsia" w:ascii="楷体" w:hAnsi="楷体" w:eastAsia="楷体" w:cs="楷体"/>
          <w:color w:val="000000" w:themeColor="text1"/>
          <w:sz w:val="32"/>
          <w:szCs w:val="32"/>
          <w:u w:val="single"/>
          <w14:textFill>
            <w14:solidFill>
              <w14:schemeClr w14:val="tx1"/>
            </w14:solidFill>
          </w14:textFill>
        </w:rPr>
        <w:t xml:space="preserve">        </w:t>
      </w:r>
      <w:r>
        <w:rPr>
          <w:rFonts w:hint="eastAsia" w:ascii="楷体" w:hAnsi="楷体" w:eastAsia="楷体" w:cs="楷体"/>
          <w:color w:val="000000" w:themeColor="text1"/>
          <w:sz w:val="32"/>
          <w:szCs w:val="32"/>
          <w14:textFill>
            <w14:solidFill>
              <w14:schemeClr w14:val="tx1"/>
            </w14:solidFill>
          </w14:textFill>
        </w:rPr>
        <w:t xml:space="preserve">(签字或盖章) </w:t>
      </w:r>
    </w:p>
    <w:p w14:paraId="42373332">
      <w:pPr>
        <w:spacing w:line="560" w:lineRule="exact"/>
        <w:ind w:firstLine="629"/>
        <w:rPr>
          <w:rFonts w:ascii="楷体" w:hAnsi="楷体" w:eastAsia="楷体" w:cs="楷体"/>
          <w:color w:val="000000" w:themeColor="text1"/>
          <w:sz w:val="32"/>
          <w:szCs w:val="32"/>
          <w:u w:val="single"/>
          <w14:textFill>
            <w14:solidFill>
              <w14:schemeClr w14:val="tx1"/>
            </w14:solidFill>
          </w14:textFill>
        </w:rPr>
      </w:pPr>
    </w:p>
    <w:p w14:paraId="1A7287B4">
      <w:pPr>
        <w:tabs>
          <w:tab w:val="left" w:pos="1995"/>
        </w:tabs>
        <w:spacing w:line="560" w:lineRule="exact"/>
        <w:ind w:firstLine="2160" w:firstLineChars="675"/>
        <w:rPr>
          <w:rFonts w:ascii="楷体" w:hAnsi="楷体" w:eastAsia="楷体" w:cs="楷体"/>
          <w:color w:val="000000" w:themeColor="text1"/>
          <w:sz w:val="32"/>
          <w:szCs w:val="32"/>
          <w14:textFill>
            <w14:solidFill>
              <w14:schemeClr w14:val="tx1"/>
            </w14:solidFill>
          </w14:textFill>
        </w:rPr>
      </w:pPr>
    </w:p>
    <w:p w14:paraId="29E481B9">
      <w:pPr>
        <w:pStyle w:val="6"/>
        <w:ind w:left="1470" w:right="1470"/>
        <w:rPr>
          <w:rFonts w:ascii="楷体" w:hAnsi="楷体" w:eastAsia="楷体" w:cs="楷体"/>
          <w:color w:val="000000" w:themeColor="text1"/>
          <w14:textFill>
            <w14:solidFill>
              <w14:schemeClr w14:val="tx1"/>
            </w14:solidFill>
          </w14:textFill>
        </w:rPr>
      </w:pPr>
    </w:p>
    <w:p w14:paraId="674F97D0">
      <w:pPr>
        <w:tabs>
          <w:tab w:val="left" w:pos="1995"/>
        </w:tabs>
        <w:spacing w:line="560" w:lineRule="exact"/>
        <w:ind w:firstLine="2160" w:firstLineChars="675"/>
        <w:rPr>
          <w:rFonts w:ascii="楷体" w:hAnsi="楷体" w:eastAsia="楷体" w:cs="楷体"/>
          <w:color w:val="000000" w:themeColor="text1"/>
          <w:sz w:val="32"/>
          <w:szCs w:val="32"/>
          <w14:textFill>
            <w14:solidFill>
              <w14:schemeClr w14:val="tx1"/>
            </w14:solidFill>
          </w14:textFill>
        </w:rPr>
      </w:pPr>
    </w:p>
    <w:p w14:paraId="6AEFF050">
      <w:pPr>
        <w:tabs>
          <w:tab w:val="left" w:pos="1995"/>
        </w:tabs>
        <w:spacing w:line="560" w:lineRule="exact"/>
        <w:ind w:firstLine="2160" w:firstLineChars="675"/>
        <w:rPr>
          <w:rFonts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日期：        年    月    日</w:t>
      </w:r>
    </w:p>
    <w:p w14:paraId="294D5AB7">
      <w:pPr>
        <w:pStyle w:val="4"/>
        <w:rPr>
          <w:rFonts w:ascii="宋体" w:hAnsi="宋体" w:eastAsia="宋体" w:cs="宋体"/>
          <w:color w:val="000000" w:themeColor="text1"/>
          <w:sz w:val="24"/>
          <w14:textFill>
            <w14:solidFill>
              <w14:schemeClr w14:val="tx1"/>
            </w14:solidFill>
          </w14:textFill>
        </w:rPr>
      </w:pPr>
    </w:p>
    <w:p w14:paraId="55A76242">
      <w:pPr>
        <w:pStyle w:val="4"/>
        <w:spacing w:line="360" w:lineRule="auto"/>
        <w:rPr>
          <w:rFonts w:ascii="宋体" w:hAnsi="宋体" w:eastAsia="宋体" w:cs="宋体"/>
          <w:color w:val="000000" w:themeColor="text1"/>
          <w:sz w:val="24"/>
          <w14:textFill>
            <w14:solidFill>
              <w14:schemeClr w14:val="tx1"/>
            </w14:solidFill>
          </w14:textFill>
        </w:rPr>
      </w:pPr>
    </w:p>
    <w:p w14:paraId="4317F5D4">
      <w:pPr>
        <w:pStyle w:val="4"/>
        <w:spacing w:line="360" w:lineRule="auto"/>
        <w:rPr>
          <w:rFonts w:ascii="宋体" w:hAnsi="宋体" w:eastAsia="宋体" w:cs="宋体"/>
          <w:color w:val="000000" w:themeColor="text1"/>
          <w:sz w:val="24"/>
          <w14:textFill>
            <w14:solidFill>
              <w14:schemeClr w14:val="tx1"/>
            </w14:solidFill>
          </w14:textFill>
        </w:rPr>
      </w:pPr>
    </w:p>
    <w:p w14:paraId="0D364B10">
      <w:pPr>
        <w:pStyle w:val="4"/>
        <w:spacing w:line="360" w:lineRule="auto"/>
        <w:ind w:firstLine="0"/>
        <w:rPr>
          <w:rFonts w:ascii="宋体" w:hAnsi="宋体" w:eastAsia="宋体" w:cs="宋体"/>
          <w:color w:val="000000" w:themeColor="text1"/>
          <w:sz w:val="24"/>
          <w14:textFill>
            <w14:solidFill>
              <w14:schemeClr w14:val="tx1"/>
            </w14:solidFill>
          </w14:textFill>
        </w:rPr>
      </w:pPr>
    </w:p>
    <w:p w14:paraId="1B693410">
      <w:pPr>
        <w:pStyle w:val="3"/>
        <w:spacing w:line="360" w:lineRule="auto"/>
        <w:jc w:val="both"/>
        <w:rPr>
          <w:rFonts w:ascii="宋体" w:hAnsi="宋体" w:eastAsia="宋体" w:cs="宋体"/>
          <w:color w:val="000000" w:themeColor="text1"/>
          <w:sz w:val="24"/>
          <w:szCs w:val="24"/>
          <w14:textFill>
            <w14:solidFill>
              <w14:schemeClr w14:val="tx1"/>
            </w14:solidFill>
          </w14:textFill>
        </w:rPr>
      </w:pPr>
    </w:p>
    <w:p w14:paraId="4EF00F69">
      <w:pPr>
        <w:pStyle w:val="3"/>
        <w:spacing w:line="360" w:lineRule="auto"/>
        <w:jc w:val="center"/>
        <w:rPr>
          <w:rFonts w:ascii="宋体" w:hAnsi="宋体" w:eastAsia="宋体" w:cs="宋体"/>
          <w:color w:val="000000" w:themeColor="text1"/>
          <w:sz w:val="24"/>
          <w:szCs w:val="24"/>
          <w14:textFill>
            <w14:solidFill>
              <w14:schemeClr w14:val="tx1"/>
            </w14:solidFill>
          </w14:textFill>
        </w:rPr>
      </w:pPr>
    </w:p>
    <w:p w14:paraId="0F1CE5CF">
      <w:pPr>
        <w:pStyle w:val="3"/>
        <w:spacing w:line="360" w:lineRule="auto"/>
        <w:jc w:val="center"/>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具备履行合同所必需的设备和专业技术能力的书面声明（格式）</w:t>
      </w:r>
    </w:p>
    <w:p w14:paraId="6B30C5B4">
      <w:pPr>
        <w:spacing w:line="360" w:lineRule="auto"/>
        <w:ind w:firstLine="492"/>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我公司郑重声明：我公司具备履行本项采购合同所必需的设备和专业技术能力，为履行本项采购合同我公司具备如下主要设备和主要专业技术能力：</w:t>
      </w:r>
    </w:p>
    <w:p w14:paraId="14F22BBC">
      <w:pPr>
        <w:spacing w:line="360" w:lineRule="auto"/>
        <w:ind w:firstLine="492"/>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主要设备有：  。</w:t>
      </w:r>
    </w:p>
    <w:p w14:paraId="7D83A4BC">
      <w:pPr>
        <w:spacing w:line="360" w:lineRule="auto"/>
        <w:ind w:firstLine="492"/>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主要专业技术能力有：   。</w:t>
      </w:r>
    </w:p>
    <w:p w14:paraId="4BDD5F57">
      <w:pPr>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投标单位名称（公章）：</w:t>
      </w:r>
    </w:p>
    <w:p w14:paraId="5F85C877">
      <w:pPr>
        <w:spacing w:line="360" w:lineRule="auto"/>
        <w:rPr>
          <w:rFonts w:ascii="宋体" w:hAnsi="宋体" w:eastAsia="宋体" w:cs="宋体"/>
          <w:color w:val="000000" w:themeColor="text1"/>
          <w:sz w:val="24"/>
          <w14:textFill>
            <w14:solidFill>
              <w14:schemeClr w14:val="tx1"/>
            </w14:solidFill>
          </w14:textFill>
        </w:rPr>
      </w:pPr>
    </w:p>
    <w:p w14:paraId="5342D4D3">
      <w:pPr>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日期：     年  月   日</w:t>
      </w:r>
    </w:p>
    <w:p w14:paraId="7723F8AD">
      <w:pPr>
        <w:pStyle w:val="4"/>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br w:type="page"/>
      </w:r>
    </w:p>
    <w:p w14:paraId="4CFF5C7A">
      <w:pPr>
        <w:pStyle w:val="4"/>
        <w:spacing w:line="360" w:lineRule="auto"/>
        <w:rPr>
          <w:rFonts w:ascii="宋体" w:hAnsi="宋体" w:eastAsia="宋体" w:cs="宋体"/>
          <w:color w:val="000000" w:themeColor="text1"/>
          <w:sz w:val="24"/>
          <w14:textFill>
            <w14:solidFill>
              <w14:schemeClr w14:val="tx1"/>
            </w14:solidFill>
          </w14:textFill>
        </w:rPr>
      </w:pPr>
    </w:p>
    <w:p w14:paraId="41B2FBDB">
      <w:pPr>
        <w:pStyle w:val="3"/>
        <w:spacing w:line="360" w:lineRule="auto"/>
        <w:jc w:val="center"/>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参加采购活动前 3 年内在经营活动中没有重大违法记录的书面声明（格式）</w:t>
      </w:r>
    </w:p>
    <w:p w14:paraId="64C2158C">
      <w:pPr>
        <w:spacing w:line="360" w:lineRule="auto"/>
        <w:rPr>
          <w:rFonts w:ascii="宋体" w:hAnsi="宋体" w:eastAsia="宋体" w:cs="宋体"/>
          <w:b/>
          <w:bCs/>
          <w:color w:val="000000" w:themeColor="text1"/>
          <w:sz w:val="24"/>
          <w14:textFill>
            <w14:solidFill>
              <w14:schemeClr w14:val="tx1"/>
            </w14:solidFill>
          </w14:textFill>
        </w:rPr>
      </w:pPr>
    </w:p>
    <w:p w14:paraId="08E76CB3">
      <w:pPr>
        <w:spacing w:line="360" w:lineRule="auto"/>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声  明</w:t>
      </w:r>
    </w:p>
    <w:p w14:paraId="63875D74">
      <w:pPr>
        <w:spacing w:line="360" w:lineRule="auto"/>
        <w:rPr>
          <w:rFonts w:ascii="宋体" w:hAnsi="宋体" w:eastAsia="宋体" w:cs="宋体"/>
          <w:color w:val="000000" w:themeColor="text1"/>
          <w:sz w:val="24"/>
          <w14:textFill>
            <w14:solidFill>
              <w14:schemeClr w14:val="tx1"/>
            </w14:solidFill>
          </w14:textFill>
        </w:rPr>
      </w:pPr>
    </w:p>
    <w:p w14:paraId="7ADF8714">
      <w:pPr>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我公司郑重声明：参加本次采购活动前 3 年内，我公司在经营活动中没有因违法经营受到刑事处罚或者责令停产停业、吊销许可证或者执照、较大数额罚款等行政处罚。</w:t>
      </w:r>
    </w:p>
    <w:p w14:paraId="0379813F">
      <w:pPr>
        <w:spacing w:line="360" w:lineRule="auto"/>
        <w:ind w:firstLine="4080" w:firstLineChars="17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投标单位名称（公章）：</w:t>
      </w:r>
    </w:p>
    <w:p w14:paraId="0E3D8C17">
      <w:pPr>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w:t>
      </w:r>
    </w:p>
    <w:p w14:paraId="249D67AA">
      <w:pPr>
        <w:spacing w:line="360" w:lineRule="auto"/>
        <w:ind w:firstLine="4080" w:firstLineChars="17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授权代表签字：</w:t>
      </w:r>
    </w:p>
    <w:p w14:paraId="05385887">
      <w:pPr>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w:t>
      </w:r>
    </w:p>
    <w:p w14:paraId="7D2CBF77">
      <w:pPr>
        <w:spacing w:line="360" w:lineRule="auto"/>
        <w:ind w:firstLine="4320" w:firstLineChars="18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日期：年月日</w:t>
      </w:r>
    </w:p>
    <w:p w14:paraId="778BF2BC">
      <w:pPr>
        <w:spacing w:line="360" w:lineRule="auto"/>
        <w:rPr>
          <w:rFonts w:ascii="宋体" w:hAnsi="宋体" w:eastAsia="宋体" w:cs="宋体"/>
          <w:color w:val="000000" w:themeColor="text1"/>
          <w:sz w:val="24"/>
          <w14:textFill>
            <w14:solidFill>
              <w14:schemeClr w14:val="tx1"/>
            </w14:solidFill>
          </w14:textFill>
        </w:rPr>
      </w:pPr>
    </w:p>
    <w:p w14:paraId="382C9921">
      <w:pPr>
        <w:spacing w:line="360" w:lineRule="auto"/>
        <w:rPr>
          <w:rFonts w:ascii="宋体" w:hAnsi="宋体" w:eastAsia="宋体" w:cs="宋体"/>
          <w:color w:val="000000" w:themeColor="text1"/>
          <w:sz w:val="24"/>
          <w14:textFill>
            <w14:solidFill>
              <w14:schemeClr w14:val="tx1"/>
            </w14:solidFill>
          </w14:textFill>
        </w:rPr>
      </w:pPr>
    </w:p>
    <w:p w14:paraId="6652EF4F">
      <w:pPr>
        <w:spacing w:line="360" w:lineRule="auto"/>
        <w:rPr>
          <w:rFonts w:ascii="宋体" w:hAnsi="宋体" w:eastAsia="宋体" w:cs="宋体"/>
          <w:color w:val="000000" w:themeColor="text1"/>
          <w:sz w:val="24"/>
          <w14:textFill>
            <w14:solidFill>
              <w14:schemeClr w14:val="tx1"/>
            </w14:solidFill>
          </w14:textFill>
        </w:rPr>
      </w:pPr>
    </w:p>
    <w:p w14:paraId="5B0CA3F8">
      <w:pPr>
        <w:spacing w:line="360" w:lineRule="auto"/>
        <w:rPr>
          <w:rFonts w:ascii="宋体" w:hAnsi="宋体" w:eastAsia="宋体" w:cs="宋体"/>
          <w:color w:val="000000" w:themeColor="text1"/>
          <w:sz w:val="24"/>
          <w14:textFill>
            <w14:solidFill>
              <w14:schemeClr w14:val="tx1"/>
            </w14:solidFill>
          </w14:textFill>
        </w:rPr>
      </w:pPr>
    </w:p>
    <w:p w14:paraId="3351CBD1">
      <w:pPr>
        <w:spacing w:line="360" w:lineRule="auto"/>
        <w:rPr>
          <w:rFonts w:ascii="宋体" w:hAnsi="宋体" w:eastAsia="宋体" w:cs="宋体"/>
          <w:color w:val="000000" w:themeColor="text1"/>
          <w:sz w:val="24"/>
          <w14:textFill>
            <w14:solidFill>
              <w14:schemeClr w14:val="tx1"/>
            </w14:solidFill>
          </w14:textFill>
        </w:rPr>
      </w:pPr>
    </w:p>
    <w:p w14:paraId="782F2335">
      <w:pPr>
        <w:spacing w:line="360" w:lineRule="auto"/>
        <w:rPr>
          <w:rFonts w:ascii="宋体" w:hAnsi="宋体" w:eastAsia="宋体" w:cs="宋体"/>
          <w:color w:val="000000" w:themeColor="text1"/>
          <w:sz w:val="24"/>
          <w14:textFill>
            <w14:solidFill>
              <w14:schemeClr w14:val="tx1"/>
            </w14:solidFill>
          </w14:textFill>
        </w:rPr>
      </w:pPr>
    </w:p>
    <w:p w14:paraId="7E60C163">
      <w:pPr>
        <w:spacing w:line="360" w:lineRule="auto"/>
        <w:rPr>
          <w:rFonts w:ascii="宋体" w:hAnsi="宋体" w:eastAsia="宋体" w:cs="宋体"/>
          <w:color w:val="000000" w:themeColor="text1"/>
          <w:sz w:val="24"/>
          <w14:textFill>
            <w14:solidFill>
              <w14:schemeClr w14:val="tx1"/>
            </w14:solidFill>
          </w14:textFill>
        </w:rPr>
      </w:pPr>
    </w:p>
    <w:p w14:paraId="6F04CDEA">
      <w:pPr>
        <w:spacing w:line="360" w:lineRule="auto"/>
        <w:rPr>
          <w:rFonts w:ascii="宋体" w:hAnsi="宋体" w:eastAsia="宋体" w:cs="宋体"/>
          <w:color w:val="000000" w:themeColor="text1"/>
          <w:sz w:val="24"/>
          <w14:textFill>
            <w14:solidFill>
              <w14:schemeClr w14:val="tx1"/>
            </w14:solidFill>
          </w14:textFill>
        </w:rPr>
      </w:pPr>
    </w:p>
    <w:p w14:paraId="3CEFA842">
      <w:pPr>
        <w:spacing w:line="360" w:lineRule="auto"/>
        <w:rPr>
          <w:rFonts w:ascii="宋体" w:hAnsi="宋体" w:eastAsia="宋体" w:cs="宋体"/>
          <w:color w:val="000000" w:themeColor="text1"/>
          <w:sz w:val="24"/>
          <w14:textFill>
            <w14:solidFill>
              <w14:schemeClr w14:val="tx1"/>
            </w14:solidFill>
          </w14:textFill>
        </w:rPr>
      </w:pPr>
    </w:p>
    <w:p w14:paraId="26335081">
      <w:pPr>
        <w:spacing w:line="360" w:lineRule="auto"/>
        <w:rPr>
          <w:rFonts w:ascii="宋体" w:hAnsi="宋体" w:eastAsia="宋体" w:cs="宋体"/>
          <w:color w:val="000000" w:themeColor="text1"/>
          <w:sz w:val="24"/>
          <w14:textFill>
            <w14:solidFill>
              <w14:schemeClr w14:val="tx1"/>
            </w14:solidFill>
          </w14:textFill>
        </w:rPr>
      </w:pPr>
    </w:p>
    <w:p w14:paraId="704B14D5">
      <w:pPr>
        <w:spacing w:line="360" w:lineRule="auto"/>
        <w:rPr>
          <w:rFonts w:ascii="宋体" w:hAnsi="宋体" w:eastAsia="宋体" w:cs="宋体"/>
          <w:color w:val="000000" w:themeColor="text1"/>
          <w:sz w:val="24"/>
          <w14:textFill>
            <w14:solidFill>
              <w14:schemeClr w14:val="tx1"/>
            </w14:solidFill>
          </w14:textFill>
        </w:rPr>
      </w:pPr>
    </w:p>
    <w:p w14:paraId="363B520B">
      <w:pPr>
        <w:spacing w:line="360" w:lineRule="auto"/>
        <w:rPr>
          <w:rFonts w:ascii="宋体" w:hAnsi="宋体" w:eastAsia="宋体" w:cs="宋体"/>
          <w:color w:val="000000" w:themeColor="text1"/>
          <w:sz w:val="24"/>
          <w14:textFill>
            <w14:solidFill>
              <w14:schemeClr w14:val="tx1"/>
            </w14:solidFill>
          </w14:textFill>
        </w:rPr>
      </w:pPr>
    </w:p>
    <w:p w14:paraId="3DED7915">
      <w:pPr>
        <w:spacing w:line="360" w:lineRule="auto"/>
        <w:rPr>
          <w:rFonts w:ascii="宋体" w:hAnsi="宋体" w:eastAsia="宋体" w:cs="宋体"/>
          <w:color w:val="000000" w:themeColor="text1"/>
          <w:sz w:val="24"/>
          <w14:textFill>
            <w14:solidFill>
              <w14:schemeClr w14:val="tx1"/>
            </w14:solidFill>
          </w14:textFill>
        </w:rPr>
      </w:pPr>
    </w:p>
    <w:p w14:paraId="00AFD179">
      <w:pPr>
        <w:spacing w:line="360" w:lineRule="auto"/>
        <w:rPr>
          <w:rFonts w:ascii="宋体" w:hAnsi="宋体" w:eastAsia="宋体" w:cs="宋体"/>
          <w:color w:val="000000" w:themeColor="text1"/>
          <w:sz w:val="24"/>
          <w14:textFill>
            <w14:solidFill>
              <w14:schemeClr w14:val="tx1"/>
            </w14:solidFill>
          </w14:textFill>
        </w:rPr>
      </w:pPr>
    </w:p>
    <w:p w14:paraId="48DD5409">
      <w:pPr>
        <w:spacing w:line="360" w:lineRule="auto"/>
        <w:rPr>
          <w:rFonts w:ascii="宋体" w:hAnsi="宋体" w:eastAsia="宋体" w:cs="宋体"/>
          <w:color w:val="000000" w:themeColor="text1"/>
          <w:sz w:val="24"/>
          <w14:textFill>
            <w14:solidFill>
              <w14:schemeClr w14:val="tx1"/>
            </w14:solidFill>
          </w14:textFill>
        </w:rPr>
      </w:pPr>
    </w:p>
    <w:p w14:paraId="3AE0C70A">
      <w:pPr>
        <w:spacing w:line="360" w:lineRule="auto"/>
        <w:rPr>
          <w:rFonts w:ascii="宋体" w:hAnsi="宋体" w:eastAsia="宋体" w:cs="宋体"/>
          <w:color w:val="000000" w:themeColor="text1"/>
          <w:sz w:val="24"/>
          <w14:textFill>
            <w14:solidFill>
              <w14:schemeClr w14:val="tx1"/>
            </w14:solidFill>
          </w14:textFill>
        </w:rPr>
      </w:pPr>
    </w:p>
    <w:p w14:paraId="1E97A9FF">
      <w:pPr>
        <w:pStyle w:val="3"/>
        <w:spacing w:line="360" w:lineRule="auto"/>
        <w:jc w:val="center"/>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法人授权书（格式）</w:t>
      </w:r>
    </w:p>
    <w:p w14:paraId="35553B0E">
      <w:pPr>
        <w:snapToGrid w:val="0"/>
        <w:spacing w:line="360" w:lineRule="auto"/>
        <w:rPr>
          <w:rFonts w:ascii="宋体" w:hAnsi="宋体" w:eastAsia="宋体" w:cs="宋体"/>
          <w:color w:val="000000" w:themeColor="text1"/>
          <w:sz w:val="24"/>
          <w14:textFill>
            <w14:solidFill>
              <w14:schemeClr w14:val="tx1"/>
            </w14:solidFill>
          </w14:textFill>
        </w:rPr>
      </w:pPr>
    </w:p>
    <w:p w14:paraId="048A3069">
      <w:pPr>
        <w:snapToGrid w:val="0"/>
        <w:spacing w:line="360" w:lineRule="auto"/>
        <w:ind w:firstLine="615"/>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本授权书声明：______________公司的_________（法定代表人姓名）_________职务代表本公司授权_________（被授权人的姓名）_________(职务)为本公司的合法投标代表，就参加</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（编号）号标的内容的投标、签订合同以及合同的执行、完成和纠纷处理，以本公司名义处理一切与之有关的事务。</w:t>
      </w:r>
    </w:p>
    <w:p w14:paraId="75712DB8">
      <w:pPr>
        <w:spacing w:line="360" w:lineRule="auto"/>
        <w:ind w:firstLine="645"/>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本授权书于年月日签字生效，特此声明。</w:t>
      </w:r>
    </w:p>
    <w:p w14:paraId="1A1C2625">
      <w:pPr>
        <w:spacing w:line="360" w:lineRule="auto"/>
        <w:ind w:firstLine="720" w:firstLineChars="3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法定代表人签字：                             </w:t>
      </w:r>
    </w:p>
    <w:p w14:paraId="24C54BCB">
      <w:pPr>
        <w:spacing w:line="360" w:lineRule="auto"/>
        <w:rPr>
          <w:rFonts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职    务：</w:t>
      </w:r>
    </w:p>
    <w:p w14:paraId="1B714B5A">
      <w:pPr>
        <w:spacing w:line="360" w:lineRule="auto"/>
        <w:rPr>
          <w:rFonts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单位名称：</w:t>
      </w:r>
    </w:p>
    <w:p w14:paraId="5CBBC238">
      <w:pPr>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地    址：</w:t>
      </w:r>
    </w:p>
    <w:p w14:paraId="2290BC74">
      <w:pPr>
        <w:spacing w:line="360" w:lineRule="auto"/>
        <w:rPr>
          <w:rFonts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投标代表（被授权人）签字：</w:t>
      </w:r>
    </w:p>
    <w:p w14:paraId="720AF877">
      <w:pPr>
        <w:spacing w:line="360" w:lineRule="auto"/>
        <w:rPr>
          <w:rFonts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职    务： </w:t>
      </w:r>
    </w:p>
    <w:p w14:paraId="75BFE0B4">
      <w:pPr>
        <w:spacing w:line="360" w:lineRule="auto"/>
        <w:rPr>
          <w:rFonts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单位名称： </w:t>
      </w:r>
    </w:p>
    <w:p w14:paraId="26447A34">
      <w:pPr>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地    址： </w:t>
      </w:r>
    </w:p>
    <w:p w14:paraId="4F9C6041">
      <w:pPr>
        <w:spacing w:line="360" w:lineRule="auto"/>
        <w:rPr>
          <w:rFonts w:ascii="宋体" w:hAnsi="宋体" w:eastAsia="宋体" w:cs="宋体"/>
          <w:color w:val="000000" w:themeColor="text1"/>
          <w:sz w:val="24"/>
          <w14:textFill>
            <w14:solidFill>
              <w14:schemeClr w14:val="tx1"/>
            </w14:solidFill>
          </w14:textFill>
        </w:rPr>
      </w:pPr>
    </w:p>
    <w:p w14:paraId="7BA77B17">
      <w:pPr>
        <w:spacing w:line="360" w:lineRule="auto"/>
        <w:rPr>
          <w:rFonts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投标人（单位公章）：</w:t>
      </w:r>
    </w:p>
    <w:p w14:paraId="0FB891EF">
      <w:pPr>
        <w:spacing w:line="360" w:lineRule="auto"/>
        <w:outlineLvl w:val="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日    期： </w:t>
      </w:r>
    </w:p>
    <w:p w14:paraId="2EFC6108">
      <w:pPr>
        <w:snapToGrid w:val="0"/>
        <w:spacing w:before="120" w:after="120" w:line="360" w:lineRule="auto"/>
        <w:jc w:val="center"/>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br w:type="page"/>
      </w:r>
    </w:p>
    <w:p w14:paraId="57D2B66A">
      <w:pPr>
        <w:snapToGrid w:val="0"/>
        <w:spacing w:line="360" w:lineRule="auto"/>
        <w:jc w:val="center"/>
        <w:rPr>
          <w:rFonts w:hint="eastAsia" w:ascii="宋体" w:hAnsi="宋体" w:eastAsia="宋体" w:cs="宋体"/>
          <w:b w:val="0"/>
          <w:bCs/>
          <w:color w:val="000000" w:themeColor="text1"/>
          <w:sz w:val="24"/>
          <w:lang w:eastAsia="zh-CN"/>
          <w14:textFill>
            <w14:solidFill>
              <w14:schemeClr w14:val="tx1"/>
            </w14:solidFill>
          </w14:textFill>
        </w:rPr>
      </w:pPr>
      <w:r>
        <w:rPr>
          <w:rFonts w:hint="eastAsia" w:ascii="宋体" w:hAnsi="宋体" w:eastAsia="宋体" w:cs="宋体"/>
          <w:b w:val="0"/>
          <w:bCs/>
          <w:color w:val="000000" w:themeColor="text1"/>
          <w:sz w:val="24"/>
          <w14:textFill>
            <w14:solidFill>
              <w14:schemeClr w14:val="tx1"/>
            </w14:solidFill>
          </w14:textFill>
        </w:rPr>
        <w:t>盐城工业职业技术学院</w:t>
      </w:r>
      <w:r>
        <w:rPr>
          <w:rFonts w:hint="eastAsia" w:ascii="宋体" w:hAnsi="宋体" w:eastAsia="宋体" w:cs="宋体"/>
          <w:b w:val="0"/>
          <w:bCs/>
          <w:color w:val="000000" w:themeColor="text1"/>
          <w:sz w:val="24"/>
          <w:lang w:eastAsia="zh-CN"/>
          <w14:textFill>
            <w14:solidFill>
              <w14:schemeClr w14:val="tx1"/>
            </w14:solidFill>
          </w14:textFill>
        </w:rPr>
        <w:t>工业中心举升机等设备移位及安装调试服务</w:t>
      </w:r>
      <w:r>
        <w:rPr>
          <w:rFonts w:hint="eastAsia" w:ascii="宋体" w:hAnsi="宋体" w:eastAsia="宋体" w:cs="宋体"/>
          <w:b w:val="0"/>
          <w:bCs/>
          <w:color w:val="000000" w:themeColor="text1"/>
          <w:sz w:val="24"/>
          <w14:textFill>
            <w14:solidFill>
              <w14:schemeClr w14:val="tx1"/>
            </w14:solidFill>
          </w14:textFill>
        </w:rPr>
        <w:t>报价表</w:t>
      </w:r>
      <w:r>
        <w:rPr>
          <w:rFonts w:hint="eastAsia" w:ascii="宋体" w:hAnsi="宋体" w:eastAsia="宋体" w:cs="宋体"/>
          <w:b w:val="0"/>
          <w:bCs/>
          <w:color w:val="000000" w:themeColor="text1"/>
          <w:sz w:val="24"/>
          <w:lang w:eastAsia="zh-CN"/>
          <w14:textFill>
            <w14:solidFill>
              <w14:schemeClr w14:val="tx1"/>
            </w14:solidFill>
          </w14:textFill>
        </w:rPr>
        <w:t>（</w:t>
      </w:r>
      <w:r>
        <w:rPr>
          <w:rFonts w:hint="eastAsia" w:ascii="宋体" w:hAnsi="宋体" w:eastAsia="宋体" w:cs="宋体"/>
          <w:b w:val="0"/>
          <w:bCs/>
          <w:color w:val="000000" w:themeColor="text1"/>
          <w:sz w:val="24"/>
          <w:lang w:val="en-US" w:eastAsia="zh-CN"/>
          <w14:textFill>
            <w14:solidFill>
              <w14:schemeClr w14:val="tx1"/>
            </w14:solidFill>
          </w14:textFill>
        </w:rPr>
        <w:t>2026ZX-050</w:t>
      </w:r>
      <w:r>
        <w:rPr>
          <w:rFonts w:hint="eastAsia" w:ascii="宋体" w:hAnsi="宋体" w:eastAsia="宋体" w:cs="宋体"/>
          <w:b w:val="0"/>
          <w:bCs/>
          <w:color w:val="000000" w:themeColor="text1"/>
          <w:sz w:val="24"/>
          <w:lang w:eastAsia="zh-CN"/>
          <w14:textFill>
            <w14:solidFill>
              <w14:schemeClr w14:val="tx1"/>
            </w14:solidFill>
          </w14:textFill>
        </w:rPr>
        <w:t>）</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0"/>
        <w:gridCol w:w="970"/>
        <w:gridCol w:w="4541"/>
        <w:gridCol w:w="623"/>
        <w:gridCol w:w="869"/>
        <w:gridCol w:w="889"/>
      </w:tblGrid>
      <w:tr w14:paraId="0B636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692" w:type="dxa"/>
            <w:vAlign w:val="center"/>
          </w:tcPr>
          <w:p w14:paraId="109975A8">
            <w:pPr>
              <w:widowControl/>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序号</w:t>
            </w:r>
          </w:p>
        </w:tc>
        <w:tc>
          <w:tcPr>
            <w:tcW w:w="1134" w:type="dxa"/>
            <w:vAlign w:val="center"/>
          </w:tcPr>
          <w:p w14:paraId="49A3CCA0">
            <w:pPr>
              <w:widowControl/>
              <w:jc w:val="center"/>
              <w:textAlignment w:val="center"/>
              <w:rPr>
                <w:rFonts w:hint="eastAsia" w:ascii="宋体" w:hAnsi="宋体" w:eastAsia="宋体" w:cs="宋体"/>
                <w:color w:val="000000" w:themeColor="text1"/>
                <w:kern w:val="0"/>
                <w:sz w:val="21"/>
                <w:szCs w:val="21"/>
                <w:lang w:bidi="ar"/>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服务</w:t>
            </w:r>
          </w:p>
          <w:p w14:paraId="4A78C91F">
            <w:pPr>
              <w:widowControl/>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名称</w:t>
            </w:r>
          </w:p>
        </w:tc>
        <w:tc>
          <w:tcPr>
            <w:tcW w:w="5404" w:type="dxa"/>
            <w:vAlign w:val="center"/>
          </w:tcPr>
          <w:p w14:paraId="6FB962C0">
            <w:pPr>
              <w:widowControl/>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技术要求/参数</w:t>
            </w:r>
          </w:p>
        </w:tc>
        <w:tc>
          <w:tcPr>
            <w:tcW w:w="683" w:type="dxa"/>
            <w:vAlign w:val="center"/>
          </w:tcPr>
          <w:p w14:paraId="7AD403A3">
            <w:pPr>
              <w:widowControl/>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数量</w:t>
            </w:r>
          </w:p>
        </w:tc>
        <w:tc>
          <w:tcPr>
            <w:tcW w:w="876" w:type="dxa"/>
            <w:vAlign w:val="center"/>
          </w:tcPr>
          <w:p w14:paraId="1B5FB5CC">
            <w:pPr>
              <w:widowControl/>
              <w:jc w:val="center"/>
              <w:textAlignment w:val="center"/>
              <w:rPr>
                <w:rFonts w:hint="eastAsia" w:ascii="宋体" w:hAnsi="宋体" w:eastAsia="宋体" w:cs="宋体"/>
                <w:color w:val="000000" w:themeColor="text1"/>
                <w:kern w:val="0"/>
                <w:sz w:val="21"/>
                <w:szCs w:val="21"/>
                <w:lang w:bidi="ar"/>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单价</w:t>
            </w:r>
          </w:p>
          <w:p w14:paraId="7F4CF344">
            <w:pPr>
              <w:widowControl/>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（元）</w:t>
            </w:r>
          </w:p>
        </w:tc>
        <w:tc>
          <w:tcPr>
            <w:tcW w:w="901" w:type="dxa"/>
            <w:vAlign w:val="center"/>
          </w:tcPr>
          <w:p w14:paraId="0EC9701C">
            <w:pPr>
              <w:widowControl/>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lang w:bidi="ar"/>
                <w14:textFill>
                  <w14:solidFill>
                    <w14:schemeClr w14:val="tx1"/>
                  </w14:solidFill>
                </w14:textFill>
              </w:rPr>
              <w:t>价格</w:t>
            </w:r>
            <w:r>
              <w:rPr>
                <w:rFonts w:hint="eastAsia" w:ascii="宋体" w:hAnsi="宋体" w:eastAsia="宋体" w:cs="宋体"/>
                <w:color w:val="000000" w:themeColor="text1"/>
                <w:kern w:val="0"/>
                <w:sz w:val="21"/>
                <w:szCs w:val="21"/>
                <w:lang w:bidi="ar"/>
                <w14:textFill>
                  <w14:solidFill>
                    <w14:schemeClr w14:val="tx1"/>
                  </w14:solidFill>
                </w14:textFill>
              </w:rPr>
              <w:br w:type="textWrapping"/>
            </w:r>
            <w:r>
              <w:rPr>
                <w:rFonts w:hint="eastAsia" w:ascii="宋体" w:hAnsi="宋体" w:eastAsia="宋体" w:cs="宋体"/>
                <w:color w:val="000000" w:themeColor="text1"/>
                <w:kern w:val="0"/>
                <w:sz w:val="21"/>
                <w:szCs w:val="21"/>
                <w:lang w:bidi="ar"/>
                <w14:textFill>
                  <w14:solidFill>
                    <w14:schemeClr w14:val="tx1"/>
                  </w14:solidFill>
                </w14:textFill>
              </w:rPr>
              <w:t>（元）</w:t>
            </w:r>
          </w:p>
        </w:tc>
      </w:tr>
      <w:tr w14:paraId="6851F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52606F4">
            <w:pPr>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1134" w:type="dxa"/>
            <w:vAlign w:val="center"/>
          </w:tcPr>
          <w:p w14:paraId="319F519D">
            <w:pPr>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举升机等移位及安装调试</w:t>
            </w:r>
          </w:p>
        </w:tc>
        <w:tc>
          <w:tcPr>
            <w:tcW w:w="5404" w:type="dxa"/>
            <w:vAlign w:val="center"/>
          </w:tcPr>
          <w:p w14:paraId="63AE8502">
            <w:pPr>
              <w:keepNext w:val="0"/>
              <w:keepLines w:val="0"/>
              <w:widowControl/>
              <w:suppressLineNumbers w:val="0"/>
              <w:spacing w:line="240" w:lineRule="auto"/>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一、举升机拆卸（型号：AH-8330，地藏式小剪6台；AH-6240 子母大剪1台）</w:t>
            </w:r>
            <w:r>
              <w:rPr>
                <w:rFonts w:hint="eastAsia" w:ascii="宋体" w:hAnsi="宋体" w:eastAsia="宋体" w:cs="宋体"/>
                <w:b/>
                <w:bCs/>
                <w:color w:val="000000" w:themeColor="text1"/>
                <w:sz w:val="21"/>
                <w:szCs w:val="21"/>
                <w:lang w:val="en-US" w:eastAsia="zh-CN"/>
                <w14:textFill>
                  <w14:solidFill>
                    <w14:schemeClr w14:val="tx1"/>
                  </w14:solidFill>
                </w14:textFill>
              </w:rPr>
              <w:br w:type="textWrapping"/>
            </w:r>
            <w:r>
              <w:rPr>
                <w:rFonts w:hint="eastAsia" w:ascii="宋体" w:hAnsi="宋体" w:eastAsia="宋体" w:cs="宋体"/>
                <w:color w:val="000000" w:themeColor="text1"/>
                <w:sz w:val="21"/>
                <w:szCs w:val="21"/>
                <w:lang w:val="en-US" w:eastAsia="zh-CN"/>
                <w14:textFill>
                  <w14:solidFill>
                    <w14:schemeClr w14:val="tx1"/>
                  </w14:solidFill>
                </w14:textFill>
              </w:rPr>
              <w:t>总体要求：切断7台举升机等设备电源和气源，对每台设备的电源线、信号线、气管逐一编号标记，便于后续快速准确接线。拆除设备与旧坑基的连接螺栓，将举升机主体及液压泵站、控制箱等附属部件整体拆解分离，使用铲车分批搬运至新场地指定区域。搬运过程中对液压管路接口采用专用堵头封堵，防止灰尘杂物进入油路系统，拆下的螺栓等配件分类装箱保管，及时清理垃圾。</w:t>
            </w:r>
            <w:r>
              <w:rPr>
                <w:rFonts w:hint="eastAsia" w:ascii="宋体" w:hAnsi="宋体" w:eastAsia="宋体" w:cs="宋体"/>
                <w:b/>
                <w:bCs/>
                <w:color w:val="000000" w:themeColor="text1"/>
                <w:sz w:val="21"/>
                <w:szCs w:val="21"/>
                <w:lang w:val="en-US" w:eastAsia="zh-CN"/>
                <w14:textFill>
                  <w14:solidFill>
                    <w14:schemeClr w14:val="tx1"/>
                  </w14:solidFill>
                </w14:textFill>
              </w:rPr>
              <w:br w:type="textWrapping"/>
            </w:r>
            <w:r>
              <w:rPr>
                <w:rFonts w:hint="eastAsia" w:ascii="宋体" w:hAnsi="宋体" w:eastAsia="宋体" w:cs="宋体"/>
                <w:b/>
                <w:bCs/>
                <w:color w:val="000000" w:themeColor="text1"/>
                <w:sz w:val="21"/>
                <w:szCs w:val="21"/>
                <w:lang w:val="en-US" w:eastAsia="zh-CN"/>
                <w14:textFill>
                  <w14:solidFill>
                    <w14:schemeClr w14:val="tx1"/>
                  </w14:solidFill>
                </w14:textFill>
              </w:rPr>
              <w:t>（一）准备作业要求</w:t>
            </w:r>
            <w:r>
              <w:rPr>
                <w:rFonts w:hint="eastAsia" w:ascii="宋体" w:hAnsi="宋体" w:eastAsia="宋体" w:cs="宋体"/>
                <w:color w:val="000000" w:themeColor="text1"/>
                <w:sz w:val="21"/>
                <w:szCs w:val="21"/>
                <w:lang w:val="en-US" w:eastAsia="zh-CN"/>
                <w14:textFill>
                  <w14:solidFill>
                    <w14:schemeClr w14:val="tx1"/>
                  </w14:solidFill>
                </w14:textFill>
              </w:rPr>
              <w:br w:type="textWrapping"/>
            </w:r>
            <w:r>
              <w:rPr>
                <w:rFonts w:hint="eastAsia" w:ascii="宋体" w:hAnsi="宋体" w:eastAsia="宋体" w:cs="宋体"/>
                <w:color w:val="000000" w:themeColor="text1"/>
                <w:sz w:val="21"/>
                <w:szCs w:val="21"/>
                <w:lang w:val="en-US" w:eastAsia="zh-CN"/>
                <w14:textFill>
                  <w14:solidFill>
                    <w14:schemeClr w14:val="tx1"/>
                  </w14:solidFill>
                </w14:textFill>
              </w:rPr>
              <w:t>1.施工前对每个单台设备进行空载试运行检查，记录设备原始运行状态，确认设备工况完好后开始拆卸作业；</w:t>
            </w:r>
          </w:p>
          <w:p w14:paraId="3F0F9829">
            <w:pPr>
              <w:keepNext w:val="0"/>
              <w:keepLines w:val="0"/>
              <w:widowControl/>
              <w:suppressLineNumbers w:val="0"/>
              <w:spacing w:line="240" w:lineRule="auto"/>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2.彻底切断设备总电源、气源，对液压系统进行完全泄压、油缸回落归零，释放管路残余压力，杜绝带压、带电拆卸风险；</w:t>
            </w:r>
          </w:p>
          <w:p w14:paraId="6585C439">
            <w:pPr>
              <w:keepNext w:val="0"/>
              <w:keepLines w:val="0"/>
              <w:widowControl/>
              <w:suppressLineNumbers w:val="0"/>
              <w:spacing w:line="240" w:lineRule="auto"/>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3.对设备机身、剪臂、平台、基坑区域进行全面清洁，清除油污、泥沙、杂物，避免拆卸过程杂质进入阀体、油缸内部。</w:t>
            </w:r>
          </w:p>
          <w:p w14:paraId="7B03840D">
            <w:pPr>
              <w:keepNext w:val="0"/>
              <w:keepLines w:val="0"/>
              <w:widowControl/>
              <w:suppressLineNumbers w:val="0"/>
              <w:spacing w:line="240" w:lineRule="auto"/>
              <w:jc w:val="left"/>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（二）电气系统拆卸要求</w:t>
            </w:r>
          </w:p>
          <w:p w14:paraId="38255546">
            <w:pPr>
              <w:spacing w:line="24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1.拆除设备380V主电源回路、控制线路、急停线路、限位感应线路，逐一标记线号、端子位置，分类规整收纳；</w:t>
            </w:r>
          </w:p>
          <w:p w14:paraId="197B7693">
            <w:pPr>
              <w:spacing w:line="24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2.拆卸电控箱、控制面板、电源线缆、接地保护线，严禁硬拉硬拽、撕扯线缆，杜绝线缆绝缘层破损、端子变形；</w:t>
            </w:r>
          </w:p>
          <w:p w14:paraId="4E1F4954">
            <w:pPr>
              <w:spacing w:line="24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3.保留原厂线路接头、端子、护套，所有电气配件单独打包防护，做好机型编号标识，避免混装丢失。</w:t>
            </w:r>
          </w:p>
          <w:p w14:paraId="070381CB">
            <w:pPr>
              <w:keepNext w:val="0"/>
              <w:keepLines w:val="0"/>
              <w:widowControl/>
              <w:suppressLineNumbers w:val="0"/>
              <w:spacing w:line="240" w:lineRule="auto"/>
              <w:jc w:val="left"/>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（三）气路系统拆卸要求</w:t>
            </w:r>
          </w:p>
          <w:p w14:paraId="5E52C0DC">
            <w:pPr>
              <w:spacing w:line="24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1.关闭总供气阀门，排空管路残余气压，拆卸设备进气接头、分支气管、油水分离器、气动控制阀组；</w:t>
            </w:r>
          </w:p>
          <w:p w14:paraId="50FCB685">
            <w:pPr>
              <w:spacing w:line="24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2.拆卸气管、气阀、过滤装置时轻拆轻取，杜绝管路折断、接口滑丝、密封胶圈损坏；</w:t>
            </w:r>
          </w:p>
          <w:p w14:paraId="23D012F1">
            <w:pPr>
              <w:spacing w:line="24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3.气动精密配件单独密封包装，防止灰尘、油污进入，保证二次安装后气动解锁、锁止功能正常。</w:t>
            </w:r>
          </w:p>
          <w:p w14:paraId="0B149DD2">
            <w:pPr>
              <w:spacing w:line="24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（四）液压系统拆卸要求</w:t>
            </w:r>
            <w:r>
              <w:rPr>
                <w:rFonts w:hint="eastAsia" w:ascii="宋体" w:hAnsi="宋体" w:eastAsia="宋体" w:cs="宋体"/>
                <w:color w:val="000000" w:themeColor="text1"/>
                <w:sz w:val="21"/>
                <w:szCs w:val="21"/>
                <w:lang w:val="en-US" w:eastAsia="zh-CN"/>
                <w14:textFill>
                  <w14:solidFill>
                    <w14:schemeClr w14:val="tx1"/>
                  </w14:solidFill>
                </w14:textFill>
              </w:rPr>
              <w:br w:type="textWrapping"/>
            </w:r>
            <w:r>
              <w:rPr>
                <w:rFonts w:hint="eastAsia" w:ascii="宋体" w:hAnsi="宋体" w:eastAsia="宋体" w:cs="宋体"/>
                <w:color w:val="000000" w:themeColor="text1"/>
                <w:sz w:val="21"/>
                <w:szCs w:val="21"/>
                <w:lang w:val="en-US" w:eastAsia="zh-CN"/>
                <w14:textFill>
                  <w14:solidFill>
                    <w14:schemeClr w14:val="tx1"/>
                  </w14:solidFill>
                </w14:textFill>
              </w:rPr>
              <w:t>1.设备完全落位归零、系统泄压完成后，逐一拆卸液压进回油管、液压接头、阀组接口；</w:t>
            </w:r>
          </w:p>
          <w:p w14:paraId="61EAE3F5">
            <w:pPr>
              <w:spacing w:line="24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2.拆卸过程全程接油、收油，规范回收残余液压油，杜绝油污污染实训场地地面及基坑；</w:t>
            </w:r>
          </w:p>
          <w:p w14:paraId="095B9D0F">
            <w:pPr>
              <w:spacing w:line="24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3.油缸、油管、液压阀组接口拆卸后立即使用专用堵头、密封帽封堵，防止灰尘、水汽进入油路系统，避免后期油路堵塞、阀体锈蚀；</w:t>
            </w:r>
          </w:p>
          <w:p w14:paraId="5ECD6DA4">
            <w:pPr>
              <w:spacing w:line="24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4.严禁暴力掰扯液压管路，杜绝油管折裂、接头滑丝、油缸密封损伤。</w:t>
            </w:r>
            <w:r>
              <w:rPr>
                <w:rFonts w:hint="eastAsia" w:ascii="宋体" w:hAnsi="宋体" w:eastAsia="宋体" w:cs="宋体"/>
                <w:color w:val="000000" w:themeColor="text1"/>
                <w:sz w:val="21"/>
                <w:szCs w:val="21"/>
                <w:lang w:val="en-US" w:eastAsia="zh-CN"/>
                <w14:textFill>
                  <w14:solidFill>
                    <w14:schemeClr w14:val="tx1"/>
                  </w14:solidFill>
                </w14:textFill>
              </w:rPr>
              <w:br w:type="textWrapping"/>
            </w:r>
            <w:r>
              <w:rPr>
                <w:rFonts w:hint="eastAsia" w:ascii="宋体" w:hAnsi="宋体" w:eastAsia="宋体" w:cs="宋体"/>
                <w:b/>
                <w:bCs/>
                <w:color w:val="000000" w:themeColor="text1"/>
                <w:sz w:val="21"/>
                <w:szCs w:val="21"/>
                <w:lang w:val="en-US" w:eastAsia="zh-CN"/>
                <w14:textFill>
                  <w14:solidFill>
                    <w14:schemeClr w14:val="tx1"/>
                  </w14:solidFill>
                </w14:textFill>
              </w:rPr>
              <w:t>（五）机械主体结构拆卸要求</w:t>
            </w:r>
          </w:p>
          <w:p w14:paraId="6046931D">
            <w:pPr>
              <w:spacing w:line="24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1.拆解剪臂结构时做好对位标记，保证零部件原位匹配，杜绝错装、错位；</w:t>
            </w:r>
          </w:p>
          <w:p w14:paraId="1799E808">
            <w:pPr>
              <w:spacing w:line="24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2.整机拆解过程保护机身漆面、钢结构、铰接点位，无敲击变形、无磕碰掉漆、无结构损伤；</w:t>
            </w:r>
          </w:p>
          <w:p w14:paraId="09BFC456">
            <w:pPr>
              <w:spacing w:line="24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3.所有螺栓、垫片、销轴、卡扣等小配件按机型分类收纳、编号封装，做到配件齐全、无丢失、无损坏。</w:t>
            </w:r>
            <w:r>
              <w:rPr>
                <w:rFonts w:hint="eastAsia" w:ascii="宋体" w:hAnsi="宋体" w:eastAsia="宋体" w:cs="宋体"/>
                <w:color w:val="000000" w:themeColor="text1"/>
                <w:sz w:val="21"/>
                <w:szCs w:val="21"/>
                <w:lang w:val="en-US" w:eastAsia="zh-CN"/>
                <w14:textFill>
                  <w14:solidFill>
                    <w14:schemeClr w14:val="tx1"/>
                  </w14:solidFill>
                </w14:textFill>
              </w:rPr>
              <w:br w:type="textWrapping"/>
            </w:r>
            <w:r>
              <w:rPr>
                <w:rFonts w:hint="eastAsia" w:ascii="宋体" w:hAnsi="宋体" w:eastAsia="宋体" w:cs="宋体"/>
                <w:b/>
                <w:bCs/>
                <w:color w:val="000000" w:themeColor="text1"/>
                <w:sz w:val="21"/>
                <w:szCs w:val="21"/>
                <w:lang w:val="en-US" w:eastAsia="zh-CN"/>
                <w14:textFill>
                  <w14:solidFill>
                    <w14:schemeClr w14:val="tx1"/>
                  </w14:solidFill>
                </w14:textFill>
              </w:rPr>
              <w:t>（六）成品保护与打包转运要求</w:t>
            </w:r>
            <w:r>
              <w:rPr>
                <w:rFonts w:hint="eastAsia" w:ascii="宋体" w:hAnsi="宋体" w:eastAsia="宋体" w:cs="宋体"/>
                <w:color w:val="000000" w:themeColor="text1"/>
                <w:sz w:val="21"/>
                <w:szCs w:val="21"/>
                <w:lang w:val="en-US" w:eastAsia="zh-CN"/>
                <w14:textFill>
                  <w14:solidFill>
                    <w14:schemeClr w14:val="tx1"/>
                  </w14:solidFill>
                </w14:textFill>
              </w:rPr>
              <w:br w:type="textWrapping"/>
            </w:r>
            <w:r>
              <w:rPr>
                <w:rFonts w:hint="eastAsia" w:ascii="宋体" w:hAnsi="宋体" w:eastAsia="宋体" w:cs="宋体"/>
                <w:color w:val="000000" w:themeColor="text1"/>
                <w:sz w:val="21"/>
                <w:szCs w:val="21"/>
                <w:lang w:val="en-US" w:eastAsia="zh-CN"/>
                <w14:textFill>
                  <w14:solidFill>
                    <w14:schemeClr w14:val="tx1"/>
                  </w14:solidFill>
                </w14:textFill>
              </w:rPr>
              <w:t>1.机身主体、剪臂、平台采用防震、防撞、防潮材料全包防护，避免转运过程变形、磨损、受潮锈蚀；</w:t>
            </w:r>
          </w:p>
          <w:p w14:paraId="05537223">
            <w:pPr>
              <w:spacing w:line="24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2.精密电控元件、气动阀组、液压配件单独独立包装，做好防震防水处理；</w:t>
            </w:r>
          </w:p>
          <w:p w14:paraId="3712EE4C">
            <w:pPr>
              <w:spacing w:line="240" w:lineRule="auto"/>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3.每台设备配件统一归类、编号贴标，做到一机一包、清单对应，确保二次安装配件完整配套。</w:t>
            </w:r>
            <w:r>
              <w:rPr>
                <w:rFonts w:hint="eastAsia" w:ascii="宋体" w:hAnsi="宋体" w:eastAsia="宋体" w:cs="宋体"/>
                <w:color w:val="000000" w:themeColor="text1"/>
                <w:sz w:val="21"/>
                <w:szCs w:val="21"/>
                <w:lang w:val="en-US" w:eastAsia="zh-CN"/>
                <w14:textFill>
                  <w14:solidFill>
                    <w14:schemeClr w14:val="tx1"/>
                  </w14:solidFill>
                </w14:textFill>
              </w:rPr>
              <w:br w:type="textWrapping"/>
            </w:r>
            <w:r>
              <w:rPr>
                <w:rFonts w:hint="eastAsia" w:ascii="宋体" w:hAnsi="宋体" w:eastAsia="宋体" w:cs="宋体"/>
                <w:b/>
                <w:bCs/>
                <w:color w:val="000000" w:themeColor="text1"/>
                <w:sz w:val="21"/>
                <w:szCs w:val="21"/>
                <w:lang w:val="en-US" w:eastAsia="zh-CN"/>
                <w14:textFill>
                  <w14:solidFill>
                    <w14:schemeClr w14:val="tx1"/>
                  </w14:solidFill>
                </w14:textFill>
              </w:rPr>
              <w:t>二、举升机坑基预置（型号：AH-8330，地藏式小剪6台；AH-6240 子母大剪1台）</w:t>
            </w:r>
          </w:p>
          <w:p w14:paraId="0E6348E4">
            <w:pPr>
              <w:spacing w:line="240" w:lineRule="auto"/>
              <w:rPr>
                <w:rFonts w:hint="eastAsia" w:ascii="宋体" w:hAnsi="宋体" w:eastAsia="宋体" w:cs="宋体"/>
                <w:color w:val="000000" w:themeColor="text1"/>
                <w:kern w:val="2"/>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（一）AH-8330地藏式小剪举升机基坑要求</w:t>
            </w:r>
            <w:r>
              <w:rPr>
                <w:rFonts w:hint="eastAsia" w:ascii="宋体" w:hAnsi="宋体" w:eastAsia="宋体" w:cs="宋体"/>
                <w:color w:val="000000" w:themeColor="text1"/>
                <w:kern w:val="2"/>
                <w:sz w:val="21"/>
                <w:szCs w:val="21"/>
                <w:lang w:val="en-US" w:eastAsia="zh-CN"/>
                <w14:textFill>
                  <w14:solidFill>
                    <w14:schemeClr w14:val="tx1"/>
                  </w14:solidFill>
                </w14:textFill>
              </w:rPr>
              <w:br w:type="textWrapping"/>
            </w:r>
            <w:r>
              <w:rPr>
                <w:rFonts w:hint="eastAsia" w:ascii="宋体" w:hAnsi="宋体" w:eastAsia="宋体" w:cs="宋体"/>
                <w:color w:val="000000" w:themeColor="text1"/>
                <w:kern w:val="2"/>
                <w:sz w:val="21"/>
                <w:szCs w:val="21"/>
                <w:lang w:val="en-US" w:eastAsia="zh-CN"/>
                <w14:textFill>
                  <w14:solidFill>
                    <w14:schemeClr w14:val="tx1"/>
                  </w14:solidFill>
                </w14:textFill>
              </w:rPr>
              <w:t>1.基坑开挖尺寸：长1.550-1.600m、宽 0.55-0.6m、深0.33-0.350m‌，深度可适度加深，且需预留安装间隙。</w:t>
            </w:r>
            <w:r>
              <w:rPr>
                <w:rFonts w:hint="eastAsia" w:ascii="宋体" w:hAnsi="宋体" w:eastAsia="宋体" w:cs="宋体"/>
                <w:color w:val="000000" w:themeColor="text1"/>
                <w:kern w:val="2"/>
                <w:sz w:val="21"/>
                <w:szCs w:val="21"/>
                <w:lang w:val="en-US" w:eastAsia="zh-CN"/>
                <w14:textFill>
                  <w14:solidFill>
                    <w14:schemeClr w14:val="tx1"/>
                  </w14:solidFill>
                </w14:textFill>
              </w:rPr>
              <w:br w:type="textWrapping"/>
            </w:r>
            <w:r>
              <w:rPr>
                <w:rFonts w:hint="eastAsia" w:ascii="宋体" w:hAnsi="宋体" w:eastAsia="宋体" w:cs="宋体"/>
                <w:color w:val="000000" w:themeColor="text1"/>
                <w:kern w:val="2"/>
                <w:sz w:val="21"/>
                <w:szCs w:val="21"/>
                <w:lang w:val="en-US" w:eastAsia="zh-CN"/>
                <w14:textFill>
                  <w14:solidFill>
                    <w14:schemeClr w14:val="tx1"/>
                  </w14:solidFill>
                </w14:textFill>
              </w:rPr>
              <w:t>2.基础浇筑厚度：底部混凝土垫层厚度≥20cm，保证设备承重基底稳固</w:t>
            </w:r>
          </w:p>
          <w:p w14:paraId="1E64DECC">
            <w:pPr>
              <w:spacing w:line="240" w:lineRule="auto"/>
              <w:rPr>
                <w:rFonts w:hint="eastAsia" w:ascii="宋体" w:hAnsi="宋体" w:eastAsia="宋体" w:cs="宋体"/>
                <w:color w:val="000000" w:themeColor="text1"/>
                <w:kern w:val="2"/>
                <w:sz w:val="21"/>
                <w:szCs w:val="21"/>
                <w:lang w:val="en-US" w:eastAsia="zh-CN"/>
                <w14:textFill>
                  <w14:solidFill>
                    <w14:schemeClr w14:val="tx1"/>
                  </w14:solidFill>
                </w14:textFill>
              </w:rPr>
            </w:pPr>
            <w:r>
              <w:rPr>
                <w:rFonts w:hint="eastAsia" w:ascii="宋体" w:hAnsi="宋体" w:eastAsia="宋体" w:cs="宋体"/>
                <w:color w:val="000000" w:themeColor="text1"/>
                <w:kern w:val="2"/>
                <w:sz w:val="21"/>
                <w:szCs w:val="21"/>
                <w:lang w:val="en-US" w:eastAsia="zh-CN"/>
                <w14:textFill>
                  <w14:solidFill>
                    <w14:schemeClr w14:val="tx1"/>
                  </w14:solidFill>
                </w14:textFill>
              </w:rPr>
              <w:t>3.基坑结构要求：坑壁垂直规整、无塌方、无松动浮土，坑底平整夯实，高低误差≤3mm/m</w:t>
            </w:r>
          </w:p>
          <w:p w14:paraId="0AB0211B">
            <w:pPr>
              <w:spacing w:line="240" w:lineRule="auto"/>
              <w:rPr>
                <w:rFonts w:hint="eastAsia" w:ascii="宋体" w:hAnsi="宋体" w:eastAsia="宋体" w:cs="宋体"/>
                <w:color w:val="000000" w:themeColor="text1"/>
                <w:kern w:val="2"/>
                <w:sz w:val="21"/>
                <w:szCs w:val="21"/>
                <w:lang w:val="en-US" w:eastAsia="zh-CN"/>
                <w14:textFill>
                  <w14:solidFill>
                    <w14:schemeClr w14:val="tx1"/>
                  </w14:solidFill>
                </w14:textFill>
              </w:rPr>
            </w:pPr>
            <w:r>
              <w:rPr>
                <w:rFonts w:hint="eastAsia" w:ascii="宋体" w:hAnsi="宋体" w:eastAsia="宋体" w:cs="宋体"/>
                <w:color w:val="000000" w:themeColor="text1"/>
                <w:kern w:val="2"/>
                <w:sz w:val="21"/>
                <w:szCs w:val="21"/>
                <w:lang w:val="en-US" w:eastAsia="zh-CN"/>
                <w14:textFill>
                  <w14:solidFill>
                    <w14:schemeClr w14:val="tx1"/>
                  </w14:solidFill>
                </w14:textFill>
              </w:rPr>
              <w:t>4.工位间距：预留车辆进出、实训操作、设备检修安全空间</w:t>
            </w:r>
            <w:r>
              <w:rPr>
                <w:rFonts w:hint="eastAsia" w:ascii="宋体" w:hAnsi="宋体" w:eastAsia="宋体" w:cs="宋体"/>
                <w:color w:val="000000" w:themeColor="text1"/>
                <w:kern w:val="2"/>
                <w:sz w:val="21"/>
                <w:szCs w:val="21"/>
                <w:lang w:val="en-US" w:eastAsia="zh-CN"/>
                <w14:textFill>
                  <w14:solidFill>
                    <w14:schemeClr w14:val="tx1"/>
                  </w14:solidFill>
                </w14:textFill>
              </w:rPr>
              <w:br w:type="textWrapping"/>
            </w:r>
            <w:r>
              <w:rPr>
                <w:rFonts w:hint="eastAsia" w:ascii="宋体" w:hAnsi="宋体" w:eastAsia="宋体" w:cs="宋体"/>
                <w:b/>
                <w:bCs/>
                <w:color w:val="000000" w:themeColor="text1"/>
                <w:sz w:val="21"/>
                <w:szCs w:val="21"/>
                <w:lang w:val="en-US" w:eastAsia="zh-CN"/>
                <w14:textFill>
                  <w14:solidFill>
                    <w14:schemeClr w14:val="tx1"/>
                  </w14:solidFill>
                </w14:textFill>
              </w:rPr>
              <w:t>（二）AH-6240 地藏式子母大剪基坑要求</w:t>
            </w:r>
            <w:r>
              <w:rPr>
                <w:rFonts w:hint="eastAsia" w:ascii="宋体" w:hAnsi="宋体" w:eastAsia="宋体" w:cs="宋体"/>
                <w:color w:val="000000" w:themeColor="text1"/>
                <w:kern w:val="2"/>
                <w:sz w:val="21"/>
                <w:szCs w:val="21"/>
                <w:lang w:val="en-US" w:eastAsia="zh-CN"/>
                <w14:textFill>
                  <w14:solidFill>
                    <w14:schemeClr w14:val="tx1"/>
                  </w14:solidFill>
                </w14:textFill>
              </w:rPr>
              <w:br w:type="textWrapping"/>
            </w:r>
            <w:r>
              <w:rPr>
                <w:rFonts w:hint="eastAsia" w:ascii="宋体" w:hAnsi="宋体" w:eastAsia="宋体" w:cs="宋体"/>
                <w:color w:val="000000" w:themeColor="text1"/>
                <w:kern w:val="2"/>
                <w:sz w:val="21"/>
                <w:szCs w:val="21"/>
                <w:lang w:val="en-US" w:eastAsia="zh-CN"/>
                <w14:textFill>
                  <w14:solidFill>
                    <w14:schemeClr w14:val="tx1"/>
                  </w14:solidFill>
                </w14:textFill>
              </w:rPr>
              <w:t>1.基坑开挖尺寸：长 4.7-4.9m、宽0.7-0.9m 、 深 0.35-0.45m，</w:t>
            </w:r>
            <w:r>
              <w:rPr>
                <w:rFonts w:hint="eastAsia" w:ascii="宋体" w:hAnsi="宋体" w:eastAsia="宋体" w:cs="宋体"/>
                <w:color w:val="000000" w:themeColor="text1"/>
                <w:kern w:val="2"/>
                <w:sz w:val="21"/>
                <w:szCs w:val="21"/>
                <w14:textFill>
                  <w14:solidFill>
                    <w14:schemeClr w14:val="tx1"/>
                  </w14:solidFill>
                </w14:textFill>
              </w:rPr>
              <w:t>深度可适度加深</w:t>
            </w:r>
            <w:r>
              <w:rPr>
                <w:rFonts w:hint="eastAsia" w:ascii="宋体" w:hAnsi="宋体" w:eastAsia="宋体" w:cs="宋体"/>
                <w:color w:val="000000" w:themeColor="text1"/>
                <w:kern w:val="2"/>
                <w:sz w:val="21"/>
                <w:szCs w:val="21"/>
                <w:lang w:val="en-US" w:eastAsia="zh-CN"/>
                <w14:textFill>
                  <w14:solidFill>
                    <w14:schemeClr w14:val="tx1"/>
                  </w14:solidFill>
                </w14:textFill>
              </w:rPr>
              <w:t>且需预留安装间隙。</w:t>
            </w:r>
            <w:r>
              <w:rPr>
                <w:rFonts w:hint="eastAsia" w:ascii="宋体" w:hAnsi="宋体" w:eastAsia="宋体" w:cs="宋体"/>
                <w:color w:val="000000" w:themeColor="text1"/>
                <w:kern w:val="2"/>
                <w:sz w:val="21"/>
                <w:szCs w:val="21"/>
                <w:lang w:val="en-US" w:eastAsia="zh-CN"/>
                <w14:textFill>
                  <w14:solidFill>
                    <w14:schemeClr w14:val="tx1"/>
                  </w14:solidFill>
                </w14:textFill>
              </w:rPr>
              <w:br w:type="textWrapping"/>
            </w:r>
            <w:r>
              <w:rPr>
                <w:rFonts w:hint="eastAsia" w:ascii="宋体" w:hAnsi="宋体" w:eastAsia="宋体" w:cs="宋体"/>
                <w:color w:val="000000" w:themeColor="text1"/>
                <w:kern w:val="2"/>
                <w:sz w:val="21"/>
                <w:szCs w:val="21"/>
                <w:lang w:val="en-US" w:eastAsia="zh-CN"/>
                <w14:textFill>
                  <w14:solidFill>
                    <w14:schemeClr w14:val="tx1"/>
                  </w14:solidFill>
                </w14:textFill>
              </w:rPr>
              <w:t>2.基础浇筑厚度：底部混凝土厚度≥20cm，保障高精度四轮定位实训承重、防沉降要求</w:t>
            </w:r>
          </w:p>
          <w:p w14:paraId="7A442F64">
            <w:pPr>
              <w:spacing w:line="240" w:lineRule="auto"/>
              <w:rPr>
                <w:rFonts w:hint="eastAsia" w:ascii="宋体" w:hAnsi="宋体" w:eastAsia="宋体" w:cs="宋体"/>
                <w:color w:val="000000" w:themeColor="text1"/>
                <w:kern w:val="2"/>
                <w:sz w:val="21"/>
                <w:szCs w:val="21"/>
                <w:lang w:val="en-US" w:eastAsia="zh-CN"/>
                <w14:textFill>
                  <w14:solidFill>
                    <w14:schemeClr w14:val="tx1"/>
                  </w14:solidFill>
                </w14:textFill>
              </w:rPr>
            </w:pPr>
            <w:r>
              <w:rPr>
                <w:rFonts w:hint="eastAsia" w:ascii="宋体" w:hAnsi="宋体" w:eastAsia="宋体" w:cs="宋体"/>
                <w:color w:val="000000" w:themeColor="text1"/>
                <w:kern w:val="2"/>
                <w:sz w:val="21"/>
                <w:szCs w:val="21"/>
                <w:lang w:val="en-US" w:eastAsia="zh-CN"/>
                <w14:textFill>
                  <w14:solidFill>
                    <w14:schemeClr w14:val="tx1"/>
                  </w14:solidFill>
                </w14:textFill>
              </w:rPr>
              <w:t>3.基坑结构要求：坑壁垂直规整、无塌方、无松动浮土，坑底平整夯实，高低误差≤3mm/m，杜绝后期平台倾斜、同步度偏差。</w:t>
            </w:r>
            <w:r>
              <w:rPr>
                <w:rFonts w:hint="eastAsia" w:ascii="宋体" w:hAnsi="宋体" w:eastAsia="宋体" w:cs="宋体"/>
                <w:color w:val="000000" w:themeColor="text1"/>
                <w:kern w:val="2"/>
                <w:sz w:val="21"/>
                <w:szCs w:val="21"/>
                <w:lang w:val="en-US" w:eastAsia="zh-CN"/>
                <w14:textFill>
                  <w14:solidFill>
                    <w14:schemeClr w14:val="tx1"/>
                  </w14:solidFill>
                </w14:textFill>
              </w:rPr>
              <w:br w:type="textWrapping"/>
            </w:r>
            <w:r>
              <w:rPr>
                <w:rFonts w:hint="eastAsia" w:ascii="宋体" w:hAnsi="宋体" w:eastAsia="宋体" w:cs="宋体"/>
                <w:b/>
                <w:bCs/>
                <w:color w:val="000000" w:themeColor="text1"/>
                <w:sz w:val="21"/>
                <w:szCs w:val="21"/>
                <w:lang w:val="en-US" w:eastAsia="zh-CN"/>
                <w14:textFill>
                  <w14:solidFill>
                    <w14:schemeClr w14:val="tx1"/>
                  </w14:solidFill>
                </w14:textFill>
              </w:rPr>
              <w:t>（三）基坑预置要求</w:t>
            </w:r>
            <w:r>
              <w:rPr>
                <w:rFonts w:hint="eastAsia" w:ascii="宋体" w:hAnsi="宋体" w:eastAsia="宋体" w:cs="宋体"/>
                <w:color w:val="000000" w:themeColor="text1"/>
                <w:kern w:val="2"/>
                <w:sz w:val="21"/>
                <w:szCs w:val="21"/>
                <w:lang w:val="en-US" w:eastAsia="zh-CN"/>
                <w14:textFill>
                  <w14:solidFill>
                    <w14:schemeClr w14:val="tx1"/>
                  </w14:solidFill>
                </w14:textFill>
              </w:rPr>
              <w:br w:type="textWrapping"/>
            </w:r>
            <w:r>
              <w:rPr>
                <w:rFonts w:hint="eastAsia" w:ascii="宋体" w:hAnsi="宋体" w:eastAsia="宋体" w:cs="宋体"/>
                <w:color w:val="000000" w:themeColor="text1"/>
                <w:kern w:val="2"/>
                <w:sz w:val="21"/>
                <w:szCs w:val="21"/>
                <w:lang w:val="en-US" w:eastAsia="zh-CN"/>
                <w14:textFill>
                  <w14:solidFill>
                    <w14:schemeClr w14:val="tx1"/>
                  </w14:solidFill>
                </w14:textFill>
              </w:rPr>
              <w:t>1.人工配合机械精细开挖，杜绝超挖、乱挖、扩挖；开挖完成后对坑底、坑壁分层夯实，清除浮土、杂物、淤泥，基底密实无松动，杜绝后期沉降变形。</w:t>
            </w:r>
            <w:r>
              <w:rPr>
                <w:rFonts w:hint="eastAsia" w:ascii="宋体" w:hAnsi="宋体" w:eastAsia="宋体" w:cs="宋体"/>
                <w:color w:val="000000" w:themeColor="text1"/>
                <w:kern w:val="2"/>
                <w:sz w:val="21"/>
                <w:szCs w:val="21"/>
                <w:lang w:val="en-US" w:eastAsia="zh-CN"/>
                <w14:textFill>
                  <w14:solidFill>
                    <w14:schemeClr w14:val="tx1"/>
                  </w14:solidFill>
                </w14:textFill>
              </w:rPr>
              <w:br w:type="textWrapping"/>
            </w:r>
            <w:r>
              <w:rPr>
                <w:rFonts w:hint="eastAsia" w:ascii="宋体" w:hAnsi="宋体" w:eastAsia="宋体" w:cs="宋体"/>
                <w:color w:val="000000" w:themeColor="text1"/>
                <w:kern w:val="2"/>
                <w:sz w:val="21"/>
                <w:szCs w:val="21"/>
                <w:lang w:val="en-US" w:eastAsia="zh-CN"/>
                <w14:textFill>
                  <w14:solidFill>
                    <w14:schemeClr w14:val="tx1"/>
                  </w14:solidFill>
                </w14:textFill>
              </w:rPr>
              <w:t>2.所有基坑基础混凝土强度等级不低于C30，密实振捣、无蜂窝、麻面、空鼓、开裂缺陷。坑底分层夯实至密实状态，坑底及四周绑扎钢筋网，钢筋规格φ10～φ14mm，间距200～300mm，确保混凝土结构强度。在坑基中间位置及机箱下方预埋110PVC管道，作为液压管路和线缆的穿线通道，管道接口密封牢固防止混凝土浆液渗入堵塞。混凝土一次性连续浇筑，底部厚度20cm，四周围护墙体厚度5cm，使用插入式振捣棒振捣密实，表面抹平压光。浇筑完成后覆盖保湿养护，养护期不少于7天，期间严禁在坑基上放置任何重物或进行其他作业。</w:t>
            </w:r>
            <w:r>
              <w:rPr>
                <w:rFonts w:hint="eastAsia" w:ascii="宋体" w:hAnsi="宋体" w:eastAsia="宋体" w:cs="宋体"/>
                <w:color w:val="000000" w:themeColor="text1"/>
                <w:kern w:val="2"/>
                <w:sz w:val="21"/>
                <w:szCs w:val="21"/>
                <w:lang w:val="en-US" w:eastAsia="zh-CN"/>
                <w14:textFill>
                  <w14:solidFill>
                    <w14:schemeClr w14:val="tx1"/>
                  </w14:solidFill>
                </w14:textFill>
              </w:rPr>
              <w:br w:type="textWrapping"/>
            </w:r>
            <w:r>
              <w:rPr>
                <w:rFonts w:hint="eastAsia" w:ascii="宋体" w:hAnsi="宋体" w:eastAsia="宋体" w:cs="宋体"/>
                <w:color w:val="000000" w:themeColor="text1"/>
                <w:kern w:val="2"/>
                <w:sz w:val="21"/>
                <w:szCs w:val="21"/>
                <w:lang w:val="en-US" w:eastAsia="zh-CN"/>
                <w14:textFill>
                  <w14:solidFill>
                    <w14:schemeClr w14:val="tx1"/>
                  </w14:solidFill>
                </w14:textFill>
              </w:rPr>
              <w:t>3.基坑包边加固：所有地藏基坑上口采用L40等边角钢全包边加固，角钢与混凝土密实锚固，边角顺直平整，防止基坑边缘破损、开裂、掉边。</w:t>
            </w:r>
            <w:r>
              <w:rPr>
                <w:rFonts w:hint="eastAsia" w:ascii="宋体" w:hAnsi="宋体" w:eastAsia="宋体" w:cs="宋体"/>
                <w:color w:val="000000" w:themeColor="text1"/>
                <w:kern w:val="2"/>
                <w:sz w:val="21"/>
                <w:szCs w:val="21"/>
                <w:lang w:val="en-US" w:eastAsia="zh-CN"/>
                <w14:textFill>
                  <w14:solidFill>
                    <w14:schemeClr w14:val="tx1"/>
                  </w14:solidFill>
                </w14:textFill>
              </w:rPr>
              <w:br w:type="textWrapping"/>
            </w:r>
            <w:r>
              <w:rPr>
                <w:rFonts w:hint="eastAsia" w:ascii="宋体" w:hAnsi="宋体" w:eastAsia="宋体" w:cs="宋体"/>
                <w:color w:val="000000" w:themeColor="text1"/>
                <w:kern w:val="2"/>
                <w:sz w:val="21"/>
                <w:szCs w:val="21"/>
                <w:lang w:val="en-US" w:eastAsia="zh-CN"/>
                <w14:textFill>
                  <w14:solidFill>
                    <w14:schemeClr w14:val="tx1"/>
                  </w14:solidFill>
                </w14:textFill>
              </w:rPr>
              <w:t>4.地面衔接处理：基坑上口与实训地面衔接平顺，无高低差、无台阶，适配PVC地坪铺设及实训车辆通行。</w:t>
            </w:r>
            <w:r>
              <w:rPr>
                <w:rFonts w:hint="eastAsia" w:ascii="宋体" w:hAnsi="宋体" w:eastAsia="宋体" w:cs="宋体"/>
                <w:color w:val="000000" w:themeColor="text1"/>
                <w:kern w:val="2"/>
                <w:sz w:val="21"/>
                <w:szCs w:val="21"/>
                <w:lang w:val="en-US" w:eastAsia="zh-CN"/>
                <w14:textFill>
                  <w14:solidFill>
                    <w14:schemeClr w14:val="tx1"/>
                  </w14:solidFill>
                </w14:textFill>
              </w:rPr>
              <w:br w:type="textWrapping"/>
            </w:r>
            <w:r>
              <w:rPr>
                <w:rFonts w:hint="eastAsia" w:ascii="宋体" w:hAnsi="宋体" w:eastAsia="宋体" w:cs="宋体"/>
                <w:b/>
                <w:bCs/>
                <w:color w:val="000000" w:themeColor="text1"/>
                <w:sz w:val="21"/>
                <w:szCs w:val="21"/>
                <w:lang w:val="en-US" w:eastAsia="zh-CN"/>
                <w14:textFill>
                  <w14:solidFill>
                    <w14:schemeClr w14:val="tx1"/>
                  </w14:solidFill>
                </w14:textFill>
              </w:rPr>
              <w:t>（四）电气、液压及气路管路要求</w:t>
            </w:r>
            <w:r>
              <w:rPr>
                <w:rFonts w:hint="eastAsia" w:ascii="宋体" w:hAnsi="宋体" w:eastAsia="宋体" w:cs="宋体"/>
                <w:color w:val="000000" w:themeColor="text1"/>
                <w:kern w:val="2"/>
                <w:sz w:val="21"/>
                <w:szCs w:val="21"/>
                <w:lang w:val="en-US" w:eastAsia="zh-CN"/>
                <w14:textFill>
                  <w14:solidFill>
                    <w14:schemeClr w14:val="tx1"/>
                  </w14:solidFill>
                </w14:textFill>
              </w:rPr>
              <w:br w:type="textWrapping"/>
            </w:r>
            <w:r>
              <w:rPr>
                <w:rFonts w:hint="eastAsia" w:ascii="宋体" w:hAnsi="宋体" w:eastAsia="宋体" w:cs="宋体"/>
                <w:color w:val="000000" w:themeColor="text1"/>
                <w:kern w:val="2"/>
                <w:sz w:val="21"/>
                <w:szCs w:val="21"/>
                <w:lang w:val="en-US" w:eastAsia="zh-CN"/>
                <w14:textFill>
                  <w14:solidFill>
                    <w14:schemeClr w14:val="tx1"/>
                  </w14:solidFill>
                </w14:textFill>
              </w:rPr>
              <w:t>1.电气线管技术要求：每台举升机基坑预埋≥DN50阻燃PVC穿线管2根，用于主电源、控制线路穿线；管线平直无弯折、无堵塞，管口打磨光滑，两端预留充足接线长度，管线全程暗敷、隐蔽规整。</w:t>
            </w:r>
          </w:p>
          <w:p w14:paraId="1C7F8358">
            <w:pPr>
              <w:spacing w:line="240" w:lineRule="auto"/>
              <w:rPr>
                <w:rFonts w:hint="eastAsia" w:ascii="宋体" w:hAnsi="宋体" w:eastAsia="宋体" w:cs="宋体"/>
                <w:color w:val="000000" w:themeColor="text1"/>
                <w:kern w:val="2"/>
                <w:sz w:val="21"/>
                <w:szCs w:val="21"/>
                <w:lang w:val="en-US" w:eastAsia="zh-CN"/>
                <w14:textFill>
                  <w14:solidFill>
                    <w14:schemeClr w14:val="tx1"/>
                  </w14:solidFill>
                </w14:textFill>
              </w:rPr>
            </w:pPr>
            <w:r>
              <w:rPr>
                <w:rFonts w:hint="eastAsia" w:ascii="宋体" w:hAnsi="宋体" w:eastAsia="宋体" w:cs="宋体"/>
                <w:color w:val="000000" w:themeColor="text1"/>
                <w:kern w:val="2"/>
                <w:sz w:val="21"/>
                <w:szCs w:val="21"/>
                <w:lang w:val="en-US" w:eastAsia="zh-CN"/>
                <w14:textFill>
                  <w14:solidFill>
                    <w14:schemeClr w14:val="tx1"/>
                  </w14:solidFill>
                </w14:textFill>
              </w:rPr>
              <w:t>2.液压、气路技术要求：大剪基坑中间位置预留管路穿线孔，距离基坑前端700mm-800mm位置设置管路通道，满足液压油管、气管穿行需求；管路通道通畅无堵塞，密封防护到位。</w:t>
            </w:r>
          </w:p>
          <w:p w14:paraId="6FF933BA">
            <w:pPr>
              <w:spacing w:line="240" w:lineRule="auto"/>
              <w:rPr>
                <w:rFonts w:hint="eastAsia" w:ascii="宋体" w:hAnsi="宋体" w:eastAsia="宋体" w:cs="宋体"/>
                <w:color w:val="000000" w:themeColor="text1"/>
                <w:kern w:val="2"/>
                <w:sz w:val="21"/>
                <w:szCs w:val="21"/>
                <w:lang w:val="en-US" w:eastAsia="zh-CN"/>
                <w14:textFill>
                  <w14:solidFill>
                    <w14:schemeClr w14:val="tx1"/>
                  </w14:solidFill>
                </w14:textFill>
              </w:rPr>
            </w:pPr>
            <w:r>
              <w:rPr>
                <w:rFonts w:hint="eastAsia" w:ascii="宋体" w:hAnsi="宋体" w:eastAsia="宋体" w:cs="宋体"/>
                <w:color w:val="000000" w:themeColor="text1"/>
                <w:kern w:val="2"/>
                <w:sz w:val="21"/>
                <w:szCs w:val="21"/>
                <w:lang w:val="en-US" w:eastAsia="zh-CN"/>
                <w14:textFill>
                  <w14:solidFill>
                    <w14:schemeClr w14:val="tx1"/>
                  </w14:solidFill>
                </w14:textFill>
              </w:rPr>
              <w:t>3.接电技术要求：沿规划路径敷设200米380V三相四线电缆，为7台举升机分别安装独立小配电箱，每台举升机单独供电控制。电缆全程穿PVR保护管敷设，线槽在90°转弯处采用双45°弯头过渡以减少线缆折损。穿墙位置进行开墙孔作业，穿墙管两端加装绝缘护圈。每个配电箱内配置总开关、分路开关及漏电保护器，箱体可靠接地。所有电气设备（含举升机电机、控制箱）均用专用接地线与PE排相连，接地电阻符合规范要求。线路敷设完成后逐路进行绝缘电阻测试，通电前逐项核对相序和接线正确性。</w:t>
            </w:r>
          </w:p>
          <w:p w14:paraId="39655F03">
            <w:pPr>
              <w:keepNext w:val="0"/>
              <w:keepLines w:val="0"/>
              <w:widowControl/>
              <w:suppressLineNumbers w:val="0"/>
              <w:spacing w:line="240" w:lineRule="auto"/>
              <w:jc w:val="left"/>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（五）防水防潮技术要求</w:t>
            </w:r>
          </w:p>
          <w:p w14:paraId="50089D74">
            <w:pPr>
              <w:spacing w:line="240" w:lineRule="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1.基坑底面、内壁、阴阳角整体做双层防渗防水处理，涂刷专用车间防水防渗涂层，无漏刷、无起皮、无空鼓。</w:t>
            </w:r>
          </w:p>
          <w:p w14:paraId="0F31292A">
            <w:pPr>
              <w:spacing w:line="240" w:lineRule="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2.阻断地下潮气、地面渗水渗透，杜绝设备液压部件、电气元件受潮锈蚀、短路故障，适配实训车间长期潮湿工况。</w:t>
            </w:r>
          </w:p>
          <w:p w14:paraId="1D53FE3A">
            <w:pPr>
              <w:spacing w:line="240" w:lineRule="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3.防水施工完成后做闭水试验，无渗水、无返潮。</w:t>
            </w:r>
          </w:p>
          <w:p w14:paraId="0E891F57">
            <w:pPr>
              <w:keepNext w:val="0"/>
              <w:keepLines w:val="0"/>
              <w:widowControl/>
              <w:suppressLineNumbers w:val="0"/>
              <w:spacing w:line="240" w:lineRule="auto"/>
              <w:jc w:val="left"/>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三、举升机安装及调试（品牌型号：安徽佳航AH-8330，地藏式小剪6台；安徽佳航AH-6240 子母大剪1台）</w:t>
            </w:r>
          </w:p>
          <w:p w14:paraId="31B49FEE">
            <w:pPr>
              <w:keepNext w:val="0"/>
              <w:keepLines w:val="0"/>
              <w:widowControl/>
              <w:suppressLineNumbers w:val="0"/>
              <w:spacing w:line="240" w:lineRule="auto"/>
              <w:jc w:val="left"/>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（一）整机机械安装工艺要求</w:t>
            </w:r>
          </w:p>
          <w:p w14:paraId="1FBD7EF6">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1.严格按照安徽佳航原厂装配标准复位安装设备，剪臂、销轴、滑块、锁止齿板等核心结构对位精准，所有地脚螺栓、连接固件逐一复紧，无松动、无虚位、无错装。</w:t>
            </w:r>
          </w:p>
          <w:p w14:paraId="499F4B49">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2.液压管路精准对接，密封件全部复位完好，规范完成整机油路排气作业，杜绝油路进气、设备升降抖动、漂移、异响问题，所有接口无渗漏、无泄压。</w:t>
            </w:r>
          </w:p>
          <w:p w14:paraId="1B2DD727">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3.电气线路按照原端子、原线号精准复位对接，线路防护到位，绝缘良好。杜绝错接、虚接、短路隐患，电控面板、感应元件安装端正牢固。</w:t>
            </w:r>
          </w:p>
          <w:p w14:paraId="6191156D">
            <w:pPr>
              <w:keepNext w:val="0"/>
              <w:keepLines w:val="0"/>
              <w:widowControl/>
              <w:suppressLineNumbers w:val="0"/>
              <w:spacing w:before="0" w:beforeAutospacing="0" w:after="0" w:afterAutospacing="0" w:line="240" w:lineRule="auto"/>
              <w:ind w:left="0" w:right="0"/>
              <w:jc w:val="left"/>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4.所有拆卸配件、防护零件完整复位，设备整体结构、外观恢复原厂状态，无配件缺失、无结构损伤。</w:t>
            </w:r>
            <w:r>
              <w:rPr>
                <w:rFonts w:hint="eastAsia" w:ascii="宋体" w:hAnsi="宋体" w:eastAsia="宋体" w:cs="宋体"/>
                <w:color w:val="000000" w:themeColor="text1"/>
                <w:kern w:val="2"/>
                <w:sz w:val="21"/>
                <w:szCs w:val="21"/>
                <w:lang w:val="en-US" w:eastAsia="zh-CN" w:bidi="ar"/>
                <w14:textFill>
                  <w14:solidFill>
                    <w14:schemeClr w14:val="tx1"/>
                  </w14:solidFill>
                </w14:textFill>
              </w:rPr>
              <w:br w:type="textWrapping"/>
            </w:r>
            <w:r>
              <w:rPr>
                <w:rFonts w:hint="eastAsia" w:ascii="宋体" w:hAnsi="宋体" w:eastAsia="宋体" w:cs="宋体"/>
                <w:b/>
                <w:bCs/>
                <w:color w:val="000000" w:themeColor="text1"/>
                <w:sz w:val="21"/>
                <w:szCs w:val="21"/>
                <w:lang w:val="en-US" w:eastAsia="zh-CN"/>
                <w14:textFill>
                  <w14:solidFill>
                    <w14:schemeClr w14:val="tx1"/>
                  </w14:solidFill>
                </w14:textFill>
              </w:rPr>
              <w:t>（二）AH-8330小剪举升机调试校准</w:t>
            </w:r>
          </w:p>
          <w:p w14:paraId="467887F7">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1.开展不低于5次空载、额定负载循环升降测试，设备全程运行平稳、无异响、无抖动、无偏移、无卡顿。</w:t>
            </w:r>
          </w:p>
          <w:p w14:paraId="6796200B">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2.逐一测试机械自锁、气动解锁、紧急下降、过载保护、断电自锁等安全功能，确保响应灵敏、动作可靠、100%达标。</w:t>
            </w:r>
          </w:p>
          <w:p w14:paraId="076F46BF">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3.校准液压系统压力、供气系统压力，各项参数匹配原厂标准，水电气联动运行稳定无异常。</w:t>
            </w:r>
          </w:p>
          <w:p w14:paraId="42AE5D90">
            <w:pPr>
              <w:keepNext w:val="0"/>
              <w:keepLines w:val="0"/>
              <w:widowControl/>
              <w:suppressLineNumbers w:val="0"/>
              <w:spacing w:line="240" w:lineRule="auto"/>
              <w:jc w:val="left"/>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（三）AH-6240子母大剪举升机调试校准</w:t>
            </w:r>
          </w:p>
          <w:p w14:paraId="6D8ACBDC">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1.重点校准子母双平台水平度、同步度，设备前后、左右水平误差≤2mm，双平台升降同步无高低差、无偏移、无跑偏。</w:t>
            </w:r>
          </w:p>
          <w:p w14:paraId="152243F3">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2.精细调试液压平衡阀组，保证双平台升降速度均匀、受力均衡，满载运行稳定无抖动。</w:t>
            </w:r>
          </w:p>
          <w:p w14:paraId="74E94577">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3.适配汽车四轮定位实训高精度使用需求，整机精度、平稳度、同步性达到原厂新机标准。</w:t>
            </w:r>
          </w:p>
          <w:p w14:paraId="5B5CE7B8">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4.全工况测试电控、气控、液压保护等所有功能，确保系统联动正常、安全可靠。</w:t>
            </w:r>
          </w:p>
          <w:p w14:paraId="12A8D5BE">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（四）维保要求</w:t>
            </w:r>
            <w:r>
              <w:rPr>
                <w:rFonts w:hint="eastAsia" w:ascii="宋体" w:hAnsi="宋体" w:eastAsia="宋体" w:cs="宋体"/>
                <w:color w:val="000000" w:themeColor="text1"/>
                <w:kern w:val="2"/>
                <w:sz w:val="21"/>
                <w:szCs w:val="21"/>
                <w:lang w:val="en-US" w:eastAsia="zh-CN" w:bidi="ar"/>
                <w14:textFill>
                  <w14:solidFill>
                    <w14:schemeClr w14:val="tx1"/>
                  </w14:solidFill>
                </w14:textFill>
              </w:rPr>
              <w:br w:type="textWrapping"/>
            </w:r>
            <w:r>
              <w:rPr>
                <w:rFonts w:hint="eastAsia" w:ascii="宋体" w:hAnsi="宋体" w:eastAsia="宋体" w:cs="宋体"/>
                <w:color w:val="000000" w:themeColor="text1"/>
                <w:kern w:val="2"/>
                <w:sz w:val="21"/>
                <w:szCs w:val="21"/>
                <w:lang w:val="en-US" w:eastAsia="zh-CN" w:bidi="ar"/>
                <w14:textFill>
                  <w14:solidFill>
                    <w14:schemeClr w14:val="tx1"/>
                  </w14:solidFill>
                </w14:textFill>
              </w:rPr>
              <w:t>1.设备安装调试完成后，开展整机竣工保养：液压系统补油排气、气路排污清洁、所有运动铰接点位加注专用润滑油脂、全车固件二次复紧、电路全面复检。</w:t>
            </w:r>
            <w:r>
              <w:rPr>
                <w:rFonts w:hint="eastAsia" w:ascii="宋体" w:hAnsi="宋体" w:eastAsia="宋体" w:cs="宋体"/>
                <w:color w:val="000000" w:themeColor="text1"/>
                <w:kern w:val="2"/>
                <w:sz w:val="21"/>
                <w:szCs w:val="21"/>
                <w:lang w:val="en-US" w:eastAsia="zh-CN" w:bidi="ar"/>
                <w14:textFill>
                  <w14:solidFill>
                    <w14:schemeClr w14:val="tx1"/>
                  </w14:solidFill>
                </w14:textFill>
              </w:rPr>
              <w:br w:type="textWrapping"/>
            </w:r>
            <w:r>
              <w:rPr>
                <w:rFonts w:hint="eastAsia" w:ascii="宋体" w:hAnsi="宋体" w:eastAsia="宋体" w:cs="宋体"/>
                <w:color w:val="000000" w:themeColor="text1"/>
                <w:kern w:val="2"/>
                <w:sz w:val="21"/>
                <w:szCs w:val="21"/>
                <w:lang w:val="en-US" w:eastAsia="zh-CN" w:bidi="ar"/>
                <w14:textFill>
                  <w14:solidFill>
                    <w14:schemeClr w14:val="tx1"/>
                  </w14:solidFill>
                </w14:textFill>
              </w:rPr>
              <w:t>2.彻底清理基坑、设备内部油污、杂物、积水，对设备钢结构、裸露固件做防锈、防潮防护处理。</w:t>
            </w:r>
          </w:p>
          <w:p w14:paraId="186304EF">
            <w:pPr>
              <w:spacing w:line="24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四、尾气抽排系统移位技术要求</w:t>
            </w:r>
            <w:r>
              <w:rPr>
                <w:rFonts w:hint="eastAsia" w:ascii="宋体" w:hAnsi="宋体" w:eastAsia="宋体" w:cs="宋体"/>
                <w:color w:val="000000" w:themeColor="text1"/>
                <w:sz w:val="21"/>
                <w:szCs w:val="21"/>
                <w:lang w:val="en-US" w:eastAsia="zh-CN"/>
                <w14:textFill>
                  <w14:solidFill>
                    <w14:schemeClr w14:val="tx1"/>
                  </w14:solidFill>
                </w14:textFill>
              </w:rPr>
              <w:br w:type="textWrapping"/>
            </w:r>
            <w:r>
              <w:rPr>
                <w:rFonts w:hint="eastAsia" w:ascii="宋体" w:hAnsi="宋体" w:eastAsia="宋体" w:cs="宋体"/>
                <w:b/>
                <w:bCs/>
                <w:color w:val="000000" w:themeColor="text1"/>
                <w:sz w:val="21"/>
                <w:szCs w:val="21"/>
                <w:lang w:val="en-US" w:eastAsia="zh-CN"/>
                <w14:textFill>
                  <w14:solidFill>
                    <w14:schemeClr w14:val="tx1"/>
                  </w14:solidFill>
                </w14:textFill>
              </w:rPr>
              <w:t>（一）拆卸技术要求</w:t>
            </w:r>
            <w:r>
              <w:rPr>
                <w:rFonts w:hint="eastAsia" w:ascii="宋体" w:hAnsi="宋体" w:eastAsia="宋体" w:cs="宋体"/>
                <w:color w:val="000000" w:themeColor="text1"/>
                <w:sz w:val="21"/>
                <w:szCs w:val="21"/>
                <w:lang w:val="en-US" w:eastAsia="zh-CN"/>
                <w14:textFill>
                  <w14:solidFill>
                    <w14:schemeClr w14:val="tx1"/>
                  </w14:solidFill>
                </w14:textFill>
              </w:rPr>
              <w:br w:type="textWrapping"/>
            </w:r>
            <w:r>
              <w:rPr>
                <w:rFonts w:hint="eastAsia" w:ascii="宋体" w:hAnsi="宋体" w:eastAsia="宋体" w:cs="宋体"/>
                <w:color w:val="000000" w:themeColor="text1"/>
                <w:sz w:val="21"/>
                <w:szCs w:val="21"/>
                <w:lang w:val="en-US" w:eastAsia="zh-CN"/>
                <w14:textFill>
                  <w14:solidFill>
                    <w14:schemeClr w14:val="tx1"/>
                  </w14:solidFill>
                </w14:textFill>
              </w:rPr>
              <w:t xml:space="preserve">    施工单位需采用无损拆卸工艺，严禁暴力拆解，保证所有结构件、精密配件完好可二次利用，具体要求如下：</w:t>
            </w:r>
          </w:p>
          <w:p w14:paraId="6B5E9C15">
            <w:pPr>
              <w:spacing w:line="24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1.施工前切断设备总电源，关停风机控制系统，确认设备完全断电后方可开展拆卸作业，杜绝带电操作安全隐患。</w:t>
            </w:r>
          </w:p>
          <w:p w14:paraId="1AE1F509">
            <w:pPr>
              <w:spacing w:line="24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2.按照“先电气、后风机、再管路轨道”的顺序分步拆卸，先拆除电控线路、风机接线、控制开关，逐一标记线号、端子位置，分类规整收纳。</w:t>
            </w:r>
          </w:p>
          <w:p w14:paraId="692192D8">
            <w:pPr>
              <w:spacing w:line="24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3.拆卸风机、软管、滑动小车等活动配件，单独打包防护；依次拆卸轨道端盖、密封条、轨道拼接接头、吊顶吊具，逐段拆解铝合金滑道。</w:t>
            </w:r>
          </w:p>
          <w:p w14:paraId="3E2A1E69">
            <w:pPr>
              <w:spacing w:line="24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4.所有螺丝、挂件、密封小件分类封装、编号贴标，杜绝丢失、混装；铝合金轨道轻拆轻放，杜绝磕碰变形、划伤、弯折。</w:t>
            </w:r>
          </w:p>
          <w:p w14:paraId="187E91D5">
            <w:pPr>
              <w:spacing w:line="24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5.拆卸完成后清理旧场地吊顶、墙面残留固件、杂物垃圾，复原旧场地整洁状态。</w:t>
            </w:r>
          </w:p>
          <w:p w14:paraId="08E30F8B">
            <w:pPr>
              <w:spacing w:line="24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（二）安装要求</w:t>
            </w:r>
            <w:r>
              <w:rPr>
                <w:rFonts w:hint="eastAsia" w:ascii="宋体" w:hAnsi="宋体" w:eastAsia="宋体" w:cs="宋体"/>
                <w:color w:val="000000" w:themeColor="text1"/>
                <w:sz w:val="21"/>
                <w:szCs w:val="21"/>
                <w:lang w:val="en-US" w:eastAsia="zh-CN"/>
                <w14:textFill>
                  <w14:solidFill>
                    <w14:schemeClr w14:val="tx1"/>
                  </w14:solidFill>
                </w14:textFill>
              </w:rPr>
              <w:br w:type="textWrapping"/>
            </w:r>
            <w:r>
              <w:rPr>
                <w:rFonts w:hint="eastAsia" w:ascii="宋体" w:hAnsi="宋体" w:eastAsia="宋体" w:cs="宋体"/>
                <w:color w:val="000000" w:themeColor="text1"/>
                <w:sz w:val="21"/>
                <w:szCs w:val="21"/>
                <w:lang w:val="en-US" w:eastAsia="zh-CN"/>
                <w14:textFill>
                  <w14:solidFill>
                    <w14:schemeClr w14:val="tx1"/>
                  </w14:solidFill>
                </w14:textFill>
              </w:rPr>
              <w:t>1.轨道安装要求</w:t>
            </w:r>
          </w:p>
          <w:p w14:paraId="6A3369EF">
            <w:pPr>
              <w:spacing w:line="24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（1）根据指定2个新实训场地工位布局进行适应性精准定位放线，铝合金轨道整体排布顺直、间距均匀，轨道水平度误差≤2mm/m，无倾斜、无扭曲。</w:t>
            </w:r>
          </w:p>
          <w:p w14:paraId="5896AACF">
            <w:pPr>
              <w:spacing w:line="24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（2）轨道拼接缝隙严密平整，高低无错台，接缝密封到位，杜绝漏风、积灰问题；全套橡胶密封条完整复位、贴合紧密，无松动、无脱落。</w:t>
            </w:r>
          </w:p>
          <w:p w14:paraId="3ABB5125">
            <w:pPr>
              <w:spacing w:line="24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（3）轨道拼接缝隙严密平整，高低无错台，接缝密封到位，杜绝漏风、积灰问题；全套橡胶密封条完整复位、贴合紧密，无松动、无脱落。</w:t>
            </w:r>
          </w:p>
          <w:p w14:paraId="006CC602">
            <w:pPr>
              <w:spacing w:line="24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（4）轨道首尾端盖安装密封严实，防尘、防杂物进入轨道内部，保障小车滑动工况稳定。</w:t>
            </w:r>
          </w:p>
          <w:p w14:paraId="44CEC5DA">
            <w:pPr>
              <w:spacing w:line="24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2.滑动系统安装要求</w:t>
            </w:r>
            <w:r>
              <w:rPr>
                <w:rFonts w:hint="eastAsia" w:ascii="宋体" w:hAnsi="宋体" w:eastAsia="宋体" w:cs="宋体"/>
                <w:color w:val="000000" w:themeColor="text1"/>
                <w:sz w:val="21"/>
                <w:szCs w:val="21"/>
                <w:lang w:val="en-US" w:eastAsia="zh-CN"/>
                <w14:textFill>
                  <w14:solidFill>
                    <w14:schemeClr w14:val="tx1"/>
                  </w14:solidFill>
                </w14:textFill>
              </w:rPr>
              <w:br w:type="textWrapping"/>
            </w:r>
            <w:r>
              <w:rPr>
                <w:rFonts w:hint="eastAsia" w:ascii="宋体" w:hAnsi="宋体" w:eastAsia="宋体" w:cs="宋体"/>
                <w:color w:val="000000" w:themeColor="text1"/>
                <w:sz w:val="21"/>
                <w:szCs w:val="21"/>
                <w:lang w:val="en-US" w:eastAsia="zh-CN"/>
                <w14:textFill>
                  <w14:solidFill>
                    <w14:schemeClr w14:val="tx1"/>
                  </w14:solidFill>
                </w14:textFill>
              </w:rPr>
              <w:t>（1）滑动小车装配精准，滚轮与轨道贴合良好，全程推拉滑动顺畅、静音无卡顿、无跑偏、无卡滞故障。</w:t>
            </w:r>
            <w:r>
              <w:rPr>
                <w:rFonts w:hint="eastAsia" w:ascii="宋体" w:hAnsi="宋体" w:eastAsia="宋体" w:cs="宋体"/>
                <w:color w:val="000000" w:themeColor="text1"/>
                <w:sz w:val="21"/>
                <w:szCs w:val="21"/>
                <w:lang w:val="en-US" w:eastAsia="zh-CN"/>
                <w14:textFill>
                  <w14:solidFill>
                    <w14:schemeClr w14:val="tx1"/>
                  </w14:solidFill>
                </w14:textFill>
              </w:rPr>
              <w:br w:type="textWrapping"/>
            </w:r>
            <w:r>
              <w:rPr>
                <w:rFonts w:hint="eastAsia" w:ascii="宋体" w:hAnsi="宋体" w:eastAsia="宋体" w:cs="宋体"/>
                <w:color w:val="000000" w:themeColor="text1"/>
                <w:sz w:val="21"/>
                <w:szCs w:val="21"/>
                <w:lang w:val="en-US" w:eastAsia="zh-CN"/>
                <w14:textFill>
                  <w14:solidFill>
                    <w14:schemeClr w14:val="tx1"/>
                  </w14:solidFill>
                </w14:textFill>
              </w:rPr>
              <w:t>（2）软管连接牢固、密封严密，伸缩自如，无扭曲、无挤压、无漏气，适配车辆移动作业行程。</w:t>
            </w:r>
          </w:p>
          <w:p w14:paraId="66F9A2EC">
            <w:pPr>
              <w:spacing w:line="24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3.风机及管路安装要求</w:t>
            </w:r>
          </w:p>
          <w:p w14:paraId="35001523">
            <w:pPr>
              <w:spacing w:line="24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（1）抽排风机固定稳固，减震措施到位，运行无剧烈震动、无共振异响；风机进出风管路对接密封严实，无漏风、无泄压。</w:t>
            </w:r>
          </w:p>
          <w:p w14:paraId="07FC6301">
            <w:pPr>
              <w:spacing w:line="24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（2）整体排风管路走向规整、固定牢靠，管路无死弯、无塌陷，排风通畅，满足多工位同时尾气抽排需求。</w:t>
            </w:r>
            <w:r>
              <w:rPr>
                <w:rFonts w:hint="eastAsia" w:ascii="宋体" w:hAnsi="宋体" w:eastAsia="宋体" w:cs="宋体"/>
                <w:color w:val="000000" w:themeColor="text1"/>
                <w:sz w:val="21"/>
                <w:szCs w:val="21"/>
                <w:lang w:val="en-US" w:eastAsia="zh-CN"/>
                <w14:textFill>
                  <w14:solidFill>
                    <w14:schemeClr w14:val="tx1"/>
                  </w14:solidFill>
                </w14:textFill>
              </w:rPr>
              <w:br w:type="textWrapping"/>
            </w:r>
            <w:r>
              <w:rPr>
                <w:rFonts w:hint="eastAsia" w:ascii="宋体" w:hAnsi="宋体" w:eastAsia="宋体" w:cs="宋体"/>
                <w:color w:val="000000" w:themeColor="text1"/>
                <w:sz w:val="21"/>
                <w:szCs w:val="21"/>
                <w:lang w:val="en-US" w:eastAsia="zh-CN"/>
                <w14:textFill>
                  <w14:solidFill>
                    <w14:schemeClr w14:val="tx1"/>
                  </w14:solidFill>
                </w14:textFill>
              </w:rPr>
              <w:t>3.电气要求</w:t>
            </w:r>
            <w:r>
              <w:rPr>
                <w:rFonts w:hint="eastAsia" w:ascii="宋体" w:hAnsi="宋体" w:eastAsia="宋体" w:cs="宋体"/>
                <w:color w:val="000000" w:themeColor="text1"/>
                <w:sz w:val="21"/>
                <w:szCs w:val="21"/>
                <w:lang w:val="en-US" w:eastAsia="zh-CN"/>
                <w14:textFill>
                  <w14:solidFill>
                    <w14:schemeClr w14:val="tx1"/>
                  </w14:solidFill>
                </w14:textFill>
              </w:rPr>
              <w:br w:type="textWrapping"/>
            </w:r>
            <w:r>
              <w:rPr>
                <w:rFonts w:hint="eastAsia" w:ascii="宋体" w:hAnsi="宋体" w:eastAsia="宋体" w:cs="宋体"/>
                <w:color w:val="000000" w:themeColor="text1"/>
                <w:sz w:val="21"/>
                <w:szCs w:val="21"/>
                <w:lang w:val="en-US" w:eastAsia="zh-CN"/>
                <w14:textFill>
                  <w14:solidFill>
                    <w14:schemeClr w14:val="tx1"/>
                  </w14:solidFill>
                </w14:textFill>
              </w:rPr>
              <w:t>（1）设备采用220V常规市电供电，线路采用国标阻燃线缆，布线规整、穿管防护，无裸露杂乱线路。</w:t>
            </w:r>
          </w:p>
          <w:p w14:paraId="0310E45C">
            <w:pPr>
              <w:spacing w:line="24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（2）独立配置开关及过载、短路保护装置，接线牢固、绝缘完好，接地可靠，杜绝漏电、电气故障隐患。</w:t>
            </w:r>
          </w:p>
          <w:p w14:paraId="05AAF55B">
            <w:pPr>
              <w:spacing w:line="24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（3）控制系统启停灵敏、响应迅速，风机启停、运行状态稳定，适配实训高频启停作业。</w:t>
            </w:r>
          </w:p>
          <w:p w14:paraId="7847ADA2">
            <w:pPr>
              <w:spacing w:line="24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4.调试要求</w:t>
            </w:r>
            <w:r>
              <w:rPr>
                <w:rFonts w:hint="eastAsia" w:ascii="宋体" w:hAnsi="宋体" w:eastAsia="宋体" w:cs="宋体"/>
                <w:color w:val="000000" w:themeColor="text1"/>
                <w:sz w:val="21"/>
                <w:szCs w:val="21"/>
                <w:lang w:val="en-US" w:eastAsia="zh-CN"/>
                <w14:textFill>
                  <w14:solidFill>
                    <w14:schemeClr w14:val="tx1"/>
                  </w14:solidFill>
                </w14:textFill>
              </w:rPr>
              <w:br w:type="textWrapping"/>
            </w:r>
            <w:r>
              <w:rPr>
                <w:rFonts w:hint="eastAsia" w:ascii="宋体" w:hAnsi="宋体" w:eastAsia="宋体" w:cs="宋体"/>
                <w:color w:val="000000" w:themeColor="text1"/>
                <w:sz w:val="21"/>
                <w:szCs w:val="21"/>
                <w:lang w:val="en-US" w:eastAsia="zh-CN"/>
                <w14:textFill>
                  <w14:solidFill>
                    <w14:schemeClr w14:val="tx1"/>
                  </w14:solidFill>
                </w14:textFill>
              </w:rPr>
              <w:t>（1）安装完成后进行全程空载试运行，检查轨道滑动、小车移动、软管伸缩、风机运行状态，确保整机运行平稳、无异响、无故障。</w:t>
            </w:r>
          </w:p>
          <w:p w14:paraId="22341DE6">
            <w:pPr>
              <w:spacing w:line="24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（2）开展尾气抽排模拟实训测试，系统风量充足、排风迅速，管路无漏气、无倒灌，尾气收集、排放效果达标。</w:t>
            </w:r>
          </w:p>
          <w:p w14:paraId="15FA8513">
            <w:pPr>
              <w:spacing w:line="24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（3）调试电气控制系统，保护功能灵敏有效，设备启停顺畅，各项运行参数达到原设备出厂标准。</w:t>
            </w:r>
          </w:p>
          <w:p w14:paraId="383D905D">
            <w:pPr>
              <w:spacing w:line="24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（4）对所有固件、轨道、密封件、管路进行二次复检紧固，排查隐患，保证系统长期稳定运行。</w:t>
            </w:r>
          </w:p>
          <w:p w14:paraId="2C5716A5">
            <w:pPr>
              <w:spacing w:line="400" w:lineRule="exact"/>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五、场地复原及成品保护要求</w:t>
            </w:r>
          </w:p>
          <w:p w14:paraId="4C44F2A3">
            <w:pPr>
              <w:spacing w:line="24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（一）施工全过程做好成品保护，避免原有设备、墙面、吊顶磕碰损坏；所有旧设备配件完整复用，无丢失、无报废、无遗漏。</w:t>
            </w:r>
          </w:p>
          <w:p w14:paraId="68CF7245">
            <w:pPr>
              <w:spacing w:line="24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（二）施工完成后彻底清理施工垃圾、杂物、粉尘，规整实训场地，恢复场地干净整洁、规整有序的教学环境。</w:t>
            </w:r>
            <w:r>
              <w:rPr>
                <w:rFonts w:hint="eastAsia" w:ascii="宋体" w:hAnsi="宋体" w:eastAsia="宋体" w:cs="宋体"/>
                <w:color w:val="000000" w:themeColor="text1"/>
                <w:sz w:val="21"/>
                <w:szCs w:val="21"/>
                <w:lang w:val="en-US" w:eastAsia="zh-CN"/>
                <w14:textFill>
                  <w14:solidFill>
                    <w14:schemeClr w14:val="tx1"/>
                  </w14:solidFill>
                </w14:textFill>
              </w:rPr>
              <w:br w:type="textWrapping"/>
            </w:r>
            <w:r>
              <w:rPr>
                <w:rFonts w:hint="eastAsia" w:ascii="宋体" w:hAnsi="宋体" w:eastAsia="宋体" w:cs="宋体"/>
                <w:color w:val="000000" w:themeColor="text1"/>
                <w:sz w:val="21"/>
                <w:szCs w:val="21"/>
                <w:lang w:val="en-US" w:eastAsia="zh-CN"/>
                <w14:textFill>
                  <w14:solidFill>
                    <w14:schemeClr w14:val="tx1"/>
                  </w14:solidFill>
                </w14:textFill>
              </w:rPr>
              <w:t>六</w:t>
            </w:r>
            <w:r>
              <w:rPr>
                <w:rFonts w:hint="eastAsia" w:ascii="宋体" w:hAnsi="宋体" w:eastAsia="宋体" w:cs="宋体"/>
                <w:b/>
                <w:bCs/>
                <w:color w:val="000000" w:themeColor="text1"/>
                <w:sz w:val="21"/>
                <w:szCs w:val="21"/>
                <w:lang w:val="en-US" w:eastAsia="zh-CN"/>
                <w14:textFill>
                  <w14:solidFill>
                    <w14:schemeClr w14:val="tx1"/>
                  </w14:solidFill>
                </w14:textFill>
              </w:rPr>
              <w:t>、质量与安全</w:t>
            </w:r>
            <w:r>
              <w:rPr>
                <w:rFonts w:hint="eastAsia" w:ascii="宋体" w:hAnsi="宋体" w:eastAsia="宋体" w:cs="宋体"/>
                <w:b/>
                <w:bCs/>
                <w:color w:val="000000" w:themeColor="text1"/>
                <w:sz w:val="21"/>
                <w:szCs w:val="21"/>
                <w:lang w:val="en-US" w:eastAsia="zh-CN"/>
                <w14:textFill>
                  <w14:solidFill>
                    <w14:schemeClr w14:val="tx1"/>
                  </w14:solidFill>
                </w14:textFill>
              </w:rPr>
              <w:br w:type="textWrapping"/>
            </w:r>
            <w:r>
              <w:rPr>
                <w:rFonts w:hint="eastAsia" w:ascii="宋体" w:hAnsi="宋体" w:eastAsia="宋体" w:cs="宋体"/>
                <w:b/>
                <w:bCs/>
                <w:color w:val="000000" w:themeColor="text1"/>
                <w:sz w:val="21"/>
                <w:szCs w:val="21"/>
                <w:lang w:val="en-US" w:eastAsia="zh-CN"/>
                <w14:textFill>
                  <w14:solidFill>
                    <w14:schemeClr w14:val="tx1"/>
                  </w14:solidFill>
                </w14:textFill>
              </w:rPr>
              <w:t xml:space="preserve">   </w:t>
            </w:r>
            <w:r>
              <w:rPr>
                <w:rFonts w:hint="eastAsia" w:ascii="宋体" w:hAnsi="宋体" w:eastAsia="宋体" w:cs="宋体"/>
                <w:color w:val="000000" w:themeColor="text1"/>
                <w:sz w:val="21"/>
                <w:szCs w:val="21"/>
                <w:lang w:val="en-US" w:eastAsia="zh-CN"/>
                <w14:textFill>
                  <w14:solidFill>
                    <w14:schemeClr w14:val="tx1"/>
                  </w14:solidFill>
                </w14:textFill>
              </w:rPr>
              <w:t>质量控制方面，所有进场材料须附合格证及检测报告，钢筋绑扎、管道预埋等隐蔽工程须经采购人现场验收签字后方可浇筑混凝土，坑基成型尺寸偏差控制在移机设备原厂安装要求以内，混凝土养护期不少于7天，电气绝缘电阻值符合规范要求。</w:t>
            </w:r>
          </w:p>
          <w:p w14:paraId="23C47002">
            <w:pPr>
              <w:spacing w:line="24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安全管理方面，所有人员进入现场须正确佩戴安全防护用品，吊装作业设专人统一指挥、严禁吊物下方站人或通行，电气作业须持证电工操作并严格执行断电挂牌制度，动火作业办理审批手续并配备灭火器材。现场配备急救箱和消防器材，制定触电、机械伤害、高处坠落等事故应急处置流程，发生突发情况第一时间启动预案并上报。</w:t>
            </w:r>
          </w:p>
        </w:tc>
        <w:tc>
          <w:tcPr>
            <w:tcW w:w="683" w:type="dxa"/>
            <w:vAlign w:val="center"/>
          </w:tcPr>
          <w:p w14:paraId="55A4D904">
            <w:pPr>
              <w:jc w:val="center"/>
              <w:rPr>
                <w:rFonts w:hint="eastAsia" w:ascii="宋体" w:hAnsi="宋体" w:eastAsia="宋体" w:cs="宋体"/>
                <w:color w:val="000000" w:themeColor="text1"/>
                <w:sz w:val="21"/>
                <w:szCs w:val="21"/>
                <w14:textFill>
                  <w14:solidFill>
                    <w14:schemeClr w14:val="tx1"/>
                  </w14:solidFill>
                </w14:textFill>
              </w:rPr>
            </w:pPr>
          </w:p>
        </w:tc>
        <w:tc>
          <w:tcPr>
            <w:tcW w:w="876" w:type="dxa"/>
            <w:vAlign w:val="center"/>
          </w:tcPr>
          <w:p w14:paraId="33F37852">
            <w:pPr>
              <w:jc w:val="center"/>
              <w:rPr>
                <w:rFonts w:hint="eastAsia" w:ascii="宋体" w:hAnsi="宋体" w:eastAsia="宋体" w:cs="宋体"/>
                <w:color w:val="000000" w:themeColor="text1"/>
                <w:sz w:val="21"/>
                <w:szCs w:val="21"/>
                <w14:textFill>
                  <w14:solidFill>
                    <w14:schemeClr w14:val="tx1"/>
                  </w14:solidFill>
                </w14:textFill>
              </w:rPr>
            </w:pPr>
          </w:p>
        </w:tc>
        <w:tc>
          <w:tcPr>
            <w:tcW w:w="901" w:type="dxa"/>
            <w:vAlign w:val="center"/>
          </w:tcPr>
          <w:p w14:paraId="7D298DC3">
            <w:pPr>
              <w:jc w:val="center"/>
              <w:rPr>
                <w:rFonts w:hint="eastAsia" w:ascii="宋体" w:hAnsi="宋体" w:eastAsia="宋体" w:cs="宋体"/>
                <w:color w:val="000000" w:themeColor="text1"/>
                <w:sz w:val="21"/>
                <w:szCs w:val="21"/>
                <w14:textFill>
                  <w14:solidFill>
                    <w14:schemeClr w14:val="tx1"/>
                  </w14:solidFill>
                </w14:textFill>
              </w:rPr>
            </w:pPr>
          </w:p>
        </w:tc>
      </w:tr>
    </w:tbl>
    <w:p w14:paraId="1AEA3C7A">
      <w:pPr>
        <w:rPr>
          <w:rFonts w:ascii="宋体" w:hAnsi="宋体" w:eastAsia="宋体" w:cs="宋体"/>
          <w:color w:val="000000" w:themeColor="text1"/>
          <w14:textFill>
            <w14:solidFill>
              <w14:schemeClr w14:val="tx1"/>
            </w14:solidFill>
          </w14:textFill>
        </w:rPr>
      </w:pPr>
    </w:p>
    <w:p w14:paraId="472F66A8">
      <w:pP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注明：</w:t>
      </w:r>
    </w:p>
    <w:p w14:paraId="1C00A2E0">
      <w:pPr>
        <w:numPr>
          <w:ilvl w:val="0"/>
          <w:numId w:val="1"/>
        </w:numPr>
        <w:adjustRightInd w:val="0"/>
        <w:snapToGrid w:val="0"/>
        <w:spacing w:line="360" w:lineRule="auto"/>
        <w:rPr>
          <w:rFonts w:ascii="宋体" w:hAnsi="宋体" w:eastAsia="宋体" w:cs="宋体"/>
          <w:szCs w:val="21"/>
        </w:rPr>
      </w:pPr>
      <w:r>
        <w:rPr>
          <w:rFonts w:hint="eastAsia" w:ascii="宋体" w:hAnsi="宋体" w:eastAsia="宋体" w:cs="宋体"/>
          <w:szCs w:val="21"/>
        </w:rPr>
        <w:t>本次报价为全费用报价，报价需要包含</w:t>
      </w:r>
      <w:r>
        <w:rPr>
          <w:rFonts w:hint="eastAsia" w:ascii="宋体" w:hAnsi="宋体" w:eastAsia="宋体" w:cs="宋体"/>
          <w:szCs w:val="21"/>
          <w:lang w:val="en-US" w:eastAsia="zh-CN"/>
        </w:rPr>
        <w:t>全部辅材物料、电气辅料、调试、安装、保养、现场开孔、开槽、孔洞封堵修复、设备搬运、全程设备保护等所有工序及产生的一切费用（包含税费）</w:t>
      </w:r>
      <w:r>
        <w:rPr>
          <w:rFonts w:hint="eastAsia" w:ascii="宋体" w:hAnsi="宋体" w:eastAsia="宋体" w:cs="宋体"/>
          <w:szCs w:val="21"/>
        </w:rPr>
        <w:t>；</w:t>
      </w:r>
    </w:p>
    <w:p w14:paraId="459605BF">
      <w:pPr>
        <w:numPr>
          <w:ilvl w:val="0"/>
          <w:numId w:val="1"/>
        </w:numPr>
        <w:adjustRightInd w:val="0"/>
        <w:snapToGrid w:val="0"/>
        <w:spacing w:line="360" w:lineRule="auto"/>
        <w:rPr>
          <w:rFonts w:ascii="宋体" w:hAnsi="宋体" w:eastAsia="宋体" w:cs="宋体"/>
          <w:szCs w:val="21"/>
        </w:rPr>
      </w:pPr>
      <w:r>
        <w:rPr>
          <w:rFonts w:hint="eastAsia" w:ascii="宋体" w:hAnsi="宋体" w:eastAsia="宋体" w:cs="宋体"/>
          <w:szCs w:val="21"/>
        </w:rPr>
        <w:t>具体细节</w:t>
      </w:r>
      <w:r>
        <w:rPr>
          <w:rFonts w:ascii="宋体" w:hAnsi="宋体" w:eastAsia="宋体" w:cs="宋体"/>
          <w:szCs w:val="21"/>
        </w:rPr>
        <w:t>需求</w:t>
      </w:r>
      <w:r>
        <w:rPr>
          <w:rFonts w:hint="eastAsia" w:ascii="宋体" w:hAnsi="宋体" w:eastAsia="宋体" w:cs="宋体"/>
          <w:szCs w:val="21"/>
        </w:rPr>
        <w:t>以甲方需求为准。</w:t>
      </w:r>
    </w:p>
    <w:p w14:paraId="5CA14840">
      <w:pPr>
        <w:numPr>
          <w:ilvl w:val="0"/>
          <w:numId w:val="1"/>
        </w:numPr>
        <w:adjustRightInd w:val="0"/>
        <w:snapToGrid w:val="0"/>
        <w:spacing w:line="360" w:lineRule="auto"/>
        <w:rPr>
          <w:rFonts w:ascii="宋体" w:hAnsi="宋体" w:eastAsia="宋体" w:cs="宋体"/>
          <w:szCs w:val="21"/>
        </w:rPr>
      </w:pPr>
      <w:r>
        <w:rPr>
          <w:rFonts w:hint="eastAsia" w:ascii="宋体" w:hAnsi="宋体" w:eastAsia="宋体" w:cs="宋体"/>
          <w:szCs w:val="21"/>
        </w:rPr>
        <w:t>质保期一年</w:t>
      </w:r>
    </w:p>
    <w:p w14:paraId="10B36AF6">
      <w:pPr>
        <w:spacing w:line="400" w:lineRule="exact"/>
        <w:rPr>
          <w:rFonts w:ascii="宋体" w:hAnsi="宋体" w:eastAsia="宋体" w:cs="宋体"/>
          <w:color w:val="000000" w:themeColor="text1"/>
          <w:sz w:val="24"/>
          <w14:textFill>
            <w14:solidFill>
              <w14:schemeClr w14:val="tx1"/>
            </w14:solidFill>
          </w14:textFill>
        </w:rPr>
      </w:pPr>
    </w:p>
    <w:p w14:paraId="71485545">
      <w:pPr>
        <w:spacing w:line="400" w:lineRule="exac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投标单位（单位公章）：</w:t>
      </w:r>
    </w:p>
    <w:p w14:paraId="55202B28">
      <w:pPr>
        <w:spacing w:line="400" w:lineRule="exact"/>
        <w:ind w:firstLine="4440" w:firstLineChars="1850"/>
        <w:rPr>
          <w:rFonts w:ascii="宋体" w:hAnsi="宋体" w:eastAsia="宋体" w:cs="宋体"/>
          <w:color w:val="000000" w:themeColor="text1"/>
          <w:sz w:val="24"/>
          <w14:textFill>
            <w14:solidFill>
              <w14:schemeClr w14:val="tx1"/>
            </w14:solidFill>
          </w14:textFill>
        </w:rPr>
      </w:pPr>
    </w:p>
    <w:p w14:paraId="1AC71EE9">
      <w:pPr>
        <w:spacing w:line="40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授权代表（签字）：</w:t>
      </w:r>
    </w:p>
    <w:p w14:paraId="373A3B81">
      <w:pPr>
        <w:spacing w:line="400" w:lineRule="exac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联系方式：                                 </w:t>
      </w:r>
    </w:p>
    <w:p w14:paraId="0A0366E1">
      <w:pPr>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日    期：</w:t>
      </w:r>
    </w:p>
    <w:p w14:paraId="4E43FBB8">
      <w:pPr>
        <w:rPr>
          <w:rFonts w:ascii="宋体" w:hAnsi="宋体" w:eastAsia="宋体" w:cs="宋体"/>
          <w:color w:val="000000" w:themeColor="text1"/>
          <w14:textFill>
            <w14:solidFill>
              <w14:schemeClr w14:val="tx1"/>
            </w14:solidFill>
          </w14:textFill>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CBEDB">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E1B03D">
                          <w:pPr>
                            <w:pStyle w:val="8"/>
                          </w:pPr>
                          <w:r>
                            <w:t xml:space="preserve">第 </w:t>
                          </w:r>
                          <w:r>
                            <w:fldChar w:fldCharType="begin"/>
                          </w:r>
                          <w:r>
                            <w:instrText xml:space="preserve"> PAGE  \* MERGEFORMAT </w:instrText>
                          </w:r>
                          <w:r>
                            <w:fldChar w:fldCharType="separate"/>
                          </w:r>
                          <w:r>
                            <w:t>12</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AE1B03D">
                    <w:pPr>
                      <w:pStyle w:val="8"/>
                    </w:pPr>
                    <w:r>
                      <w:t xml:space="preserve">第 </w:t>
                    </w:r>
                    <w:r>
                      <w:fldChar w:fldCharType="begin"/>
                    </w:r>
                    <w:r>
                      <w:instrText xml:space="preserve"> PAGE  \* MERGEFORMAT </w:instrText>
                    </w:r>
                    <w:r>
                      <w:fldChar w:fldCharType="separate"/>
                    </w:r>
                    <w:r>
                      <w:t>12</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CEE46">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7982BE"/>
    <w:multiLevelType w:val="singleLevel"/>
    <w:tmpl w:val="3A7982B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NiZmIxY2ZiNzg0NjFkYTM1MDM1ZjljNjg4M2E1YWMifQ=="/>
    <w:docVar w:name="KSO_WPS_MARK_KEY" w:val="342c11b6-f8c9-4ce6-a137-75f9d1dc273c"/>
  </w:docVars>
  <w:rsids>
    <w:rsidRoot w:val="5C8043D1"/>
    <w:rsid w:val="000816AC"/>
    <w:rsid w:val="000B2454"/>
    <w:rsid w:val="000B72C0"/>
    <w:rsid w:val="000E297E"/>
    <w:rsid w:val="00113739"/>
    <w:rsid w:val="00131A86"/>
    <w:rsid w:val="00135DEC"/>
    <w:rsid w:val="00163346"/>
    <w:rsid w:val="00177C13"/>
    <w:rsid w:val="00181898"/>
    <w:rsid w:val="001A13EE"/>
    <w:rsid w:val="001B1FD7"/>
    <w:rsid w:val="001B727F"/>
    <w:rsid w:val="001E15B1"/>
    <w:rsid w:val="00217310"/>
    <w:rsid w:val="00233C2F"/>
    <w:rsid w:val="00245DDA"/>
    <w:rsid w:val="00275EE0"/>
    <w:rsid w:val="00285CB6"/>
    <w:rsid w:val="002A40EC"/>
    <w:rsid w:val="003408A6"/>
    <w:rsid w:val="00342382"/>
    <w:rsid w:val="003E09B4"/>
    <w:rsid w:val="004510E7"/>
    <w:rsid w:val="004621AE"/>
    <w:rsid w:val="004665D1"/>
    <w:rsid w:val="00470018"/>
    <w:rsid w:val="004834EA"/>
    <w:rsid w:val="004C7954"/>
    <w:rsid w:val="004F11B3"/>
    <w:rsid w:val="00540978"/>
    <w:rsid w:val="0057029F"/>
    <w:rsid w:val="005B4B97"/>
    <w:rsid w:val="005F26EB"/>
    <w:rsid w:val="00600C5B"/>
    <w:rsid w:val="006369C5"/>
    <w:rsid w:val="00682C7F"/>
    <w:rsid w:val="00697F19"/>
    <w:rsid w:val="006D5550"/>
    <w:rsid w:val="006E089E"/>
    <w:rsid w:val="006E1D49"/>
    <w:rsid w:val="006E4D8A"/>
    <w:rsid w:val="00716EC7"/>
    <w:rsid w:val="00730466"/>
    <w:rsid w:val="00783BBA"/>
    <w:rsid w:val="007B3D32"/>
    <w:rsid w:val="00805185"/>
    <w:rsid w:val="00820775"/>
    <w:rsid w:val="00844ACD"/>
    <w:rsid w:val="008528D5"/>
    <w:rsid w:val="00861E05"/>
    <w:rsid w:val="00891B58"/>
    <w:rsid w:val="00895D53"/>
    <w:rsid w:val="008B5A90"/>
    <w:rsid w:val="008C77AB"/>
    <w:rsid w:val="008D556F"/>
    <w:rsid w:val="008E4BF7"/>
    <w:rsid w:val="009720A3"/>
    <w:rsid w:val="009B525F"/>
    <w:rsid w:val="009C2BB6"/>
    <w:rsid w:val="009F09A5"/>
    <w:rsid w:val="00A1627E"/>
    <w:rsid w:val="00A23FD9"/>
    <w:rsid w:val="00AA4C09"/>
    <w:rsid w:val="00AE4105"/>
    <w:rsid w:val="00AE6939"/>
    <w:rsid w:val="00B12897"/>
    <w:rsid w:val="00B55BA2"/>
    <w:rsid w:val="00B724EA"/>
    <w:rsid w:val="00BC2CED"/>
    <w:rsid w:val="00BD271D"/>
    <w:rsid w:val="00BF0996"/>
    <w:rsid w:val="00C16B11"/>
    <w:rsid w:val="00C17A35"/>
    <w:rsid w:val="00C44C86"/>
    <w:rsid w:val="00C8722A"/>
    <w:rsid w:val="00CC547F"/>
    <w:rsid w:val="00CF0EC1"/>
    <w:rsid w:val="00D24D38"/>
    <w:rsid w:val="00D332A5"/>
    <w:rsid w:val="00D92531"/>
    <w:rsid w:val="00DC6BDB"/>
    <w:rsid w:val="00DF7B33"/>
    <w:rsid w:val="00E14F25"/>
    <w:rsid w:val="00E244AF"/>
    <w:rsid w:val="00E4546D"/>
    <w:rsid w:val="00E45D3D"/>
    <w:rsid w:val="00F5286A"/>
    <w:rsid w:val="00F60553"/>
    <w:rsid w:val="00FD565E"/>
    <w:rsid w:val="01FB32DD"/>
    <w:rsid w:val="02FF3A95"/>
    <w:rsid w:val="05393ADB"/>
    <w:rsid w:val="05FD4A2B"/>
    <w:rsid w:val="06377522"/>
    <w:rsid w:val="064E3BC7"/>
    <w:rsid w:val="074E123D"/>
    <w:rsid w:val="088551C2"/>
    <w:rsid w:val="09404DE2"/>
    <w:rsid w:val="0B241A5B"/>
    <w:rsid w:val="0E666AB2"/>
    <w:rsid w:val="0F017D99"/>
    <w:rsid w:val="0F962961"/>
    <w:rsid w:val="107A1E28"/>
    <w:rsid w:val="117D68B3"/>
    <w:rsid w:val="1370180A"/>
    <w:rsid w:val="164818D6"/>
    <w:rsid w:val="18277578"/>
    <w:rsid w:val="187B3870"/>
    <w:rsid w:val="1B416F1B"/>
    <w:rsid w:val="1BB00F4A"/>
    <w:rsid w:val="1BE9529D"/>
    <w:rsid w:val="1C66181C"/>
    <w:rsid w:val="1D2A333A"/>
    <w:rsid w:val="1D7E6B66"/>
    <w:rsid w:val="1F025F8C"/>
    <w:rsid w:val="1FC12871"/>
    <w:rsid w:val="208E3844"/>
    <w:rsid w:val="23226CDC"/>
    <w:rsid w:val="25A109CB"/>
    <w:rsid w:val="28BE7072"/>
    <w:rsid w:val="29A46D71"/>
    <w:rsid w:val="2B6126EA"/>
    <w:rsid w:val="2C361D24"/>
    <w:rsid w:val="2C535132"/>
    <w:rsid w:val="2ED3693B"/>
    <w:rsid w:val="30E233FF"/>
    <w:rsid w:val="321B6A8D"/>
    <w:rsid w:val="32D22AAA"/>
    <w:rsid w:val="337E678E"/>
    <w:rsid w:val="34B247E1"/>
    <w:rsid w:val="35032464"/>
    <w:rsid w:val="3523659D"/>
    <w:rsid w:val="36580C5A"/>
    <w:rsid w:val="37822942"/>
    <w:rsid w:val="38183B0F"/>
    <w:rsid w:val="3826608C"/>
    <w:rsid w:val="38B35D48"/>
    <w:rsid w:val="3B8748CB"/>
    <w:rsid w:val="3B8D230E"/>
    <w:rsid w:val="3B914B85"/>
    <w:rsid w:val="3E423D59"/>
    <w:rsid w:val="409557A2"/>
    <w:rsid w:val="418F5DB5"/>
    <w:rsid w:val="42726D6D"/>
    <w:rsid w:val="42CA6F76"/>
    <w:rsid w:val="42E64F34"/>
    <w:rsid w:val="44431713"/>
    <w:rsid w:val="445A4C3B"/>
    <w:rsid w:val="44620ADE"/>
    <w:rsid w:val="44926EA6"/>
    <w:rsid w:val="45CB10C6"/>
    <w:rsid w:val="47611BCD"/>
    <w:rsid w:val="4852728E"/>
    <w:rsid w:val="487C0590"/>
    <w:rsid w:val="493F188E"/>
    <w:rsid w:val="4A0F09CA"/>
    <w:rsid w:val="4AC3354E"/>
    <w:rsid w:val="4ACD4F6B"/>
    <w:rsid w:val="4B7C52F1"/>
    <w:rsid w:val="4BAD0EA9"/>
    <w:rsid w:val="4C414C4E"/>
    <w:rsid w:val="4C606FE9"/>
    <w:rsid w:val="4C7E1E38"/>
    <w:rsid w:val="4CBE0D38"/>
    <w:rsid w:val="4D2E23BC"/>
    <w:rsid w:val="4D753E19"/>
    <w:rsid w:val="4F701171"/>
    <w:rsid w:val="506D17EC"/>
    <w:rsid w:val="51D56923"/>
    <w:rsid w:val="52440F67"/>
    <w:rsid w:val="534E407B"/>
    <w:rsid w:val="56597428"/>
    <w:rsid w:val="56C578B8"/>
    <w:rsid w:val="576BF751"/>
    <w:rsid w:val="583F2114"/>
    <w:rsid w:val="59D870E8"/>
    <w:rsid w:val="5AFBE010"/>
    <w:rsid w:val="5C794269"/>
    <w:rsid w:val="5C8043D1"/>
    <w:rsid w:val="5C8C2636"/>
    <w:rsid w:val="5CDA1694"/>
    <w:rsid w:val="5DEE4B45"/>
    <w:rsid w:val="5E3F518A"/>
    <w:rsid w:val="5E833494"/>
    <w:rsid w:val="5FC5111D"/>
    <w:rsid w:val="6397577C"/>
    <w:rsid w:val="63A31B91"/>
    <w:rsid w:val="63C24AE2"/>
    <w:rsid w:val="66131B57"/>
    <w:rsid w:val="67BC385E"/>
    <w:rsid w:val="68D85C5B"/>
    <w:rsid w:val="68FE6FFA"/>
    <w:rsid w:val="698616F6"/>
    <w:rsid w:val="69B56499"/>
    <w:rsid w:val="6B8E7841"/>
    <w:rsid w:val="6C1D3EA5"/>
    <w:rsid w:val="6CEB428D"/>
    <w:rsid w:val="6D2B0290"/>
    <w:rsid w:val="6E625D89"/>
    <w:rsid w:val="6E63108F"/>
    <w:rsid w:val="6EDB70C8"/>
    <w:rsid w:val="6F3A54C7"/>
    <w:rsid w:val="70283DF7"/>
    <w:rsid w:val="711A1350"/>
    <w:rsid w:val="71910630"/>
    <w:rsid w:val="73D7717F"/>
    <w:rsid w:val="741504A3"/>
    <w:rsid w:val="75005B12"/>
    <w:rsid w:val="75792336"/>
    <w:rsid w:val="75A2672B"/>
    <w:rsid w:val="786D3455"/>
    <w:rsid w:val="790E6C04"/>
    <w:rsid w:val="7A873E92"/>
    <w:rsid w:val="7BF569A5"/>
    <w:rsid w:val="7BFA2717"/>
    <w:rsid w:val="7CBE4AD3"/>
    <w:rsid w:val="7DAA266D"/>
    <w:rsid w:val="7F6B2780"/>
    <w:rsid w:val="7FFBA5A3"/>
    <w:rsid w:val="EE9E22FF"/>
    <w:rsid w:val="FBA36DBD"/>
    <w:rsid w:val="FE7DBC0C"/>
    <w:rsid w:val="FFD7C85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jc w:val="center"/>
      <w:outlineLvl w:val="0"/>
    </w:pPr>
    <w:rPr>
      <w:rFonts w:ascii="楷体_GB2312" w:eastAsia="楷体_GB2312"/>
      <w:sz w:val="28"/>
      <w:szCs w:val="28"/>
    </w:rPr>
  </w:style>
  <w:style w:type="paragraph" w:styleId="3">
    <w:name w:val="heading 3"/>
    <w:basedOn w:val="1"/>
    <w:next w:val="4"/>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6">
    <w:name w:val="Block Text"/>
    <w:basedOn w:val="1"/>
    <w:unhideWhenUsed/>
    <w:qFormat/>
    <w:uiPriority w:val="99"/>
    <w:pPr>
      <w:spacing w:after="120"/>
      <w:ind w:left="1440" w:leftChars="700" w:right="1440" w:rightChars="700"/>
    </w:pPr>
    <w:rPr>
      <w:rFonts w:ascii="Times New Roman" w:hAnsi="Times New Roman" w:eastAsia="宋体" w:cs="Times New Roman"/>
      <w:szCs w:val="21"/>
    </w:rPr>
  </w:style>
  <w:style w:type="paragraph" w:styleId="7">
    <w:name w:val="Plain Text"/>
    <w:basedOn w:val="1"/>
    <w:qFormat/>
    <w:uiPriority w:val="99"/>
    <w:rPr>
      <w:rFonts w:ascii="宋体" w:hAnsi="Courier New"/>
    </w:rPr>
  </w:style>
  <w:style w:type="paragraph" w:styleId="8">
    <w:name w:val="footer"/>
    <w:basedOn w:val="1"/>
    <w:qFormat/>
    <w:uiPriority w:val="0"/>
    <w:pPr>
      <w:tabs>
        <w:tab w:val="center" w:pos="4153"/>
        <w:tab w:val="right" w:pos="8306"/>
      </w:tabs>
      <w:snapToGrid w:val="0"/>
      <w:jc w:val="left"/>
    </w:pPr>
    <w:rPr>
      <w:sz w:val="18"/>
      <w:szCs w:val="20"/>
    </w:rPr>
  </w:style>
  <w:style w:type="paragraph" w:styleId="9">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basedOn w:val="13"/>
    <w:qFormat/>
    <w:uiPriority w:val="0"/>
  </w:style>
  <w:style w:type="character" w:styleId="15">
    <w:name w:val="FollowedHyperlink"/>
    <w:basedOn w:val="13"/>
    <w:qFormat/>
    <w:uiPriority w:val="0"/>
    <w:rPr>
      <w:color w:val="000000"/>
      <w:u w:val="none"/>
    </w:rPr>
  </w:style>
  <w:style w:type="character" w:styleId="16">
    <w:name w:val="Hyperlink"/>
    <w:basedOn w:val="13"/>
    <w:qFormat/>
    <w:uiPriority w:val="0"/>
    <w:rPr>
      <w:color w:val="000000"/>
      <w:u w:val="none"/>
    </w:rPr>
  </w:style>
  <w:style w:type="paragraph" w:customStyle="1" w:styleId="1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8">
    <w:name w:val="页眉 Char"/>
    <w:basedOn w:val="13"/>
    <w:link w:val="9"/>
    <w:qFormat/>
    <w:uiPriority w:val="0"/>
    <w:rPr>
      <w:rFonts w:asciiTheme="minorHAnsi" w:hAnsiTheme="minorHAnsi" w:eastAsiaTheme="minorEastAsia" w:cstheme="minorBidi"/>
      <w:kern w:val="2"/>
      <w:sz w:val="18"/>
      <w:szCs w:val="18"/>
    </w:rPr>
  </w:style>
  <w:style w:type="paragraph" w:styleId="19">
    <w:name w:val="List Paragraph"/>
    <w:basedOn w:val="1"/>
    <w:unhideWhenUsed/>
    <w:qFormat/>
    <w:uiPriority w:val="99"/>
    <w:pPr>
      <w:ind w:firstLine="420" w:firstLineChars="200"/>
    </w:pPr>
  </w:style>
  <w:style w:type="character" w:customStyle="1" w:styleId="20">
    <w:name w:val="item-name"/>
    <w:basedOn w:val="13"/>
    <w:qFormat/>
    <w:uiPriority w:val="0"/>
  </w:style>
  <w:style w:type="character" w:customStyle="1" w:styleId="21">
    <w:name w:val="item-name1"/>
    <w:basedOn w:val="13"/>
    <w:qFormat/>
    <w:uiPriority w:val="0"/>
  </w:style>
  <w:style w:type="character" w:customStyle="1" w:styleId="22">
    <w:name w:val="level01"/>
    <w:basedOn w:val="13"/>
    <w:qFormat/>
    <w:uiPriority w:val="0"/>
  </w:style>
  <w:style w:type="character" w:customStyle="1" w:styleId="23">
    <w:name w:val="button"/>
    <w:basedOn w:val="13"/>
    <w:qFormat/>
    <w:uiPriority w:val="0"/>
  </w:style>
  <w:style w:type="character" w:customStyle="1" w:styleId="24">
    <w:name w:val="tmpztreemove_arrow"/>
    <w:basedOn w:val="13"/>
    <w:qFormat/>
    <w:uiPriority w:val="0"/>
  </w:style>
  <w:style w:type="character" w:customStyle="1" w:styleId="25">
    <w:name w:val="font_page1"/>
    <w:basedOn w:val="13"/>
    <w:qFormat/>
    <w:uiPriority w:val="0"/>
    <w:rPr>
      <w:b/>
      <w:color w:val="225D98"/>
      <w:sz w:val="33"/>
      <w:szCs w:val="33"/>
    </w:rPr>
  </w:style>
  <w:style w:type="character" w:customStyle="1" w:styleId="26">
    <w:name w:val="font21"/>
    <w:basedOn w:val="13"/>
    <w:qFormat/>
    <w:uiPriority w:val="0"/>
    <w:rPr>
      <w:rFonts w:hint="eastAsia" w:ascii="宋体" w:hAnsi="宋体" w:eastAsia="宋体" w:cs="宋体"/>
      <w:color w:val="000000"/>
      <w:sz w:val="21"/>
      <w:szCs w:val="21"/>
      <w:u w:val="none"/>
    </w:rPr>
  </w:style>
  <w:style w:type="character" w:customStyle="1" w:styleId="27">
    <w:name w:val="font31"/>
    <w:basedOn w:val="13"/>
    <w:qFormat/>
    <w:uiPriority w:val="0"/>
    <w:rPr>
      <w:rFonts w:hint="default" w:ascii="Calibri" w:hAnsi="Calibri" w:cs="Calibri"/>
      <w:color w:val="000000"/>
      <w:sz w:val="21"/>
      <w:szCs w:val="21"/>
      <w:u w:val="none"/>
    </w:rPr>
  </w:style>
  <w:style w:type="character" w:customStyle="1" w:styleId="28">
    <w:name w:val="font11"/>
    <w:basedOn w:val="13"/>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15</Pages>
  <Words>6945</Words>
  <Characters>7337</Characters>
  <Lines>44</Lines>
  <Paragraphs>12</Paragraphs>
  <TotalTime>5</TotalTime>
  <ScaleCrop>false</ScaleCrop>
  <LinksUpToDate>false</LinksUpToDate>
  <CharactersWithSpaces>7708</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2021-06-03T03:34:00Z</dcterms:created>
  <dc:creator>Samsung</dc:creator>
  <cp:lastModifiedBy>陈安柱</cp:lastModifiedBy>
  <cp:lastPrinted>2021-06-04T00:18:00Z</cp:lastPrinted>
  <dcterms:modified xsi:type="dcterms:W3CDTF">2026-08-03T02:13:07Z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D30613FD13588936FD9A3C6AF0C66653_43</vt:lpwstr>
  </property>
  <property fmtid="{D5CDD505-2E9C-101B-9397-08002B2CF9AE}" pid="4" name="KSOTemplateDocerSaveRecord">
    <vt:lpwstr>eyJoZGlkIjoiNjY2ZWQ3YTA2ZTA1ZGFmMzQ5NjQwZmVkZDA1NzhhM2QiLCJ1c2VySWQiOiIyNDk0NTEyNTUifQ==</vt:lpwstr>
  </property>
</Properties>
</file>