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项目编号：2020-007S</w:t>
      </w: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szCs w:val="36"/>
        </w:rPr>
      </w:pPr>
      <w:r>
        <w:rPr>
          <w:rFonts w:hint="eastAsia" w:ascii="宋体" w:hAnsi="宋体" w:cs="宋体"/>
          <w:b/>
          <w:sz w:val="36"/>
          <w:szCs w:val="36"/>
        </w:rPr>
        <w:t xml:space="preserve">项目名称：盐城工业职业技术学院信息与安全学院LED显示屏项目 </w:t>
      </w: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江苏双清工程造价咨询有限公司</w:t>
      </w:r>
    </w:p>
    <w:p>
      <w:pPr>
        <w:jc w:val="center"/>
        <w:rPr>
          <w:rFonts w:ascii="宋体" w:hAnsi="宋体" w:cs="宋体"/>
          <w:sz w:val="36"/>
          <w:szCs w:val="36"/>
        </w:rPr>
      </w:pPr>
      <w:r>
        <w:rPr>
          <w:rFonts w:hint="eastAsia" w:ascii="宋体" w:hAnsi="宋体" w:cs="宋体"/>
          <w:sz w:val="36"/>
          <w:szCs w:val="36"/>
        </w:rPr>
        <w:t xml:space="preserve"> 2020年</w:t>
      </w:r>
      <w:r>
        <w:rPr>
          <w:rFonts w:hint="eastAsia" w:ascii="宋体" w:hAnsi="宋体" w:cs="宋体"/>
          <w:sz w:val="36"/>
          <w:szCs w:val="36"/>
          <w:lang w:val="en-US" w:eastAsia="zh-CN"/>
        </w:rPr>
        <w:t>6</w:t>
      </w:r>
      <w:r>
        <w:rPr>
          <w:rFonts w:hint="eastAsia" w:ascii="宋体" w:hAnsi="宋体" w:cs="宋体"/>
          <w:sz w:val="36"/>
          <w:szCs w:val="36"/>
        </w:rPr>
        <w:t>月</w:t>
      </w:r>
      <w:r>
        <w:rPr>
          <w:rFonts w:hint="eastAsia" w:ascii="宋体" w:hAnsi="宋体" w:cs="宋体"/>
          <w:sz w:val="36"/>
          <w:szCs w:val="36"/>
          <w:lang w:val="en-US" w:eastAsia="zh-CN"/>
        </w:rPr>
        <w:t>10</w:t>
      </w:r>
      <w:r>
        <w:rPr>
          <w:rFonts w:hint="eastAsia" w:ascii="宋体" w:hAnsi="宋体" w:cs="宋体"/>
          <w:sz w:val="36"/>
          <w:szCs w:val="36"/>
        </w:rPr>
        <w:t>日</w:t>
      </w:r>
    </w:p>
    <w:p>
      <w:pPr>
        <w:spacing w:line="480" w:lineRule="auto"/>
        <w:jc w:val="center"/>
        <w:outlineLvl w:val="0"/>
        <w:rPr>
          <w:rFonts w:ascii="宋体" w:hAnsi="宋体" w:cs="宋体"/>
          <w:b/>
          <w:sz w:val="44"/>
        </w:rPr>
        <w:sectPr>
          <w:headerReference r:id="rId3" w:type="default"/>
          <w:footerReference r:id="rId4" w:type="default"/>
          <w:footerReference r:id="rId5" w:type="even"/>
          <w:pgSz w:w="11906" w:h="16838"/>
          <w:pgMar w:top="1418" w:right="1588" w:bottom="1418" w:left="1365" w:header="851" w:footer="907" w:gutter="0"/>
          <w:pgNumType w:fmt="numberInDash" w:start="0"/>
          <w:cols w:space="720" w:num="1"/>
          <w:docGrid w:type="lines" w:linePitch="290" w:charSpace="0"/>
        </w:sectPr>
      </w:pPr>
      <w:bookmarkStart w:id="0" w:name="_Toc120614210"/>
      <w:bookmarkStart w:id="1" w:name="_Toc20823272"/>
      <w:bookmarkStart w:id="2" w:name="_Toc16938516"/>
      <w:bookmarkStart w:id="3" w:name="_Toc479757206"/>
      <w:bookmarkStart w:id="4" w:name="_Toc513029200"/>
      <w:bookmarkStart w:id="5" w:name="_Toc523127445"/>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4"/>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ascii="宋体" w:hAnsi="宋体" w:cs="宋体"/>
          <w:sz w:val="36"/>
        </w:rPr>
      </w:pPr>
      <w:r>
        <w:rPr>
          <w:rFonts w:hint="eastAsia" w:ascii="宋体" w:hAnsi="宋体" w:cs="宋体"/>
          <w:sz w:val="36"/>
        </w:rPr>
        <w:t>项目需求……………………………………</w:t>
      </w:r>
    </w:p>
    <w:p>
      <w:pPr>
        <w:numPr>
          <w:ilvl w:val="0"/>
          <w:numId w:val="4"/>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ascii="宋体" w:hAns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both"/>
        <w:rPr>
          <w:rFonts w:ascii="宋体" w:hAnsi="宋体" w:eastAsia="宋体" w:cs="宋体"/>
          <w:sz w:val="21"/>
          <w:szCs w:val="21"/>
        </w:rPr>
      </w:pPr>
    </w:p>
    <w:p>
      <w:pPr>
        <w:rPr>
          <w:rFonts w:ascii="宋体" w:hAnsi="宋体" w:cs="宋体"/>
        </w:rPr>
      </w:pPr>
    </w:p>
    <w:p>
      <w:pPr>
        <w:rPr>
          <w:rFonts w:ascii="宋体" w:hAnsi="宋体" w:cs="宋体"/>
        </w:rPr>
      </w:pPr>
    </w:p>
    <w:p>
      <w:pPr>
        <w:pStyle w:val="3"/>
        <w:rPr>
          <w:rFonts w:ascii="宋体" w:hAnsi="宋体" w:eastAsia="宋体" w:cs="宋体"/>
          <w:bCs/>
          <w:sz w:val="44"/>
          <w:szCs w:val="44"/>
        </w:rPr>
      </w:pPr>
      <w:r>
        <w:rPr>
          <w:rFonts w:hint="eastAsia" w:ascii="宋体" w:hAnsi="宋体" w:eastAsia="宋体" w:cs="宋体"/>
          <w:sz w:val="44"/>
          <w:szCs w:val="44"/>
        </w:rPr>
        <w:t xml:space="preserve">第一章  </w:t>
      </w:r>
      <w:bookmarkEnd w:id="0"/>
      <w:r>
        <w:rPr>
          <w:rFonts w:hint="eastAsia" w:ascii="宋体" w:hAnsi="宋体" w:eastAsia="宋体" w:cs="宋体"/>
          <w:sz w:val="44"/>
          <w:szCs w:val="44"/>
        </w:rPr>
        <w:t>招标公告</w:t>
      </w:r>
    </w:p>
    <w:p>
      <w:pPr>
        <w:tabs>
          <w:tab w:val="left" w:pos="900"/>
        </w:tabs>
        <w:spacing w:line="500" w:lineRule="exact"/>
        <w:ind w:firstLine="480" w:firstLineChars="200"/>
        <w:rPr>
          <w:rFonts w:ascii="宋体" w:hAnsi="宋体" w:cs="宋体"/>
          <w:sz w:val="24"/>
        </w:rPr>
      </w:pPr>
      <w:r>
        <w:rPr>
          <w:rFonts w:hint="eastAsia" w:ascii="宋体" w:hAnsi="宋体" w:cs="宋体"/>
          <w:sz w:val="24"/>
        </w:rPr>
        <w:t>根据盐城工业职业技术学院下达的采购计划，江苏双清工程造价咨询有限公司受盐城工业职业技术学院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w:t>
      </w:r>
      <w:r>
        <w:rPr>
          <w:rFonts w:hint="eastAsia" w:ascii="宋体" w:hAnsi="宋体" w:cs="宋体"/>
          <w:bCs/>
          <w:sz w:val="24"/>
        </w:rPr>
        <w:t>信息与安全学院LED显示屏项目</w:t>
      </w:r>
      <w:r>
        <w:rPr>
          <w:rFonts w:hint="eastAsia" w:ascii="宋体" w:hAnsi="宋体" w:cs="宋体"/>
          <w:sz w:val="24"/>
        </w:rPr>
        <w:t>进行公开招标采购，现欢迎符合相关条件的合格供应商投标。</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一、招标项目名称及编号</w:t>
      </w:r>
    </w:p>
    <w:p>
      <w:pPr>
        <w:tabs>
          <w:tab w:val="left" w:pos="900"/>
        </w:tabs>
        <w:spacing w:line="500" w:lineRule="exact"/>
        <w:ind w:firstLine="480" w:firstLineChars="200"/>
        <w:rPr>
          <w:rFonts w:ascii="宋体" w:hAnsi="宋体" w:cs="宋体"/>
          <w:sz w:val="24"/>
        </w:rPr>
      </w:pPr>
      <w:r>
        <w:rPr>
          <w:rFonts w:hint="eastAsia" w:ascii="宋体" w:hAnsi="宋体" w:cs="宋体"/>
          <w:sz w:val="24"/>
        </w:rPr>
        <w:t>项目名称：盐城工业职业技术学院信息与安全学院LED显示屏项目</w:t>
      </w:r>
    </w:p>
    <w:p>
      <w:pPr>
        <w:tabs>
          <w:tab w:val="left" w:pos="900"/>
        </w:tabs>
        <w:spacing w:line="500" w:lineRule="exact"/>
        <w:ind w:firstLine="480" w:firstLineChars="200"/>
        <w:rPr>
          <w:rFonts w:ascii="宋体" w:hAnsi="宋体" w:cs="宋体"/>
          <w:sz w:val="24"/>
        </w:rPr>
      </w:pPr>
      <w:r>
        <w:rPr>
          <w:rFonts w:hint="eastAsia" w:ascii="宋体" w:hAnsi="宋体" w:cs="宋体"/>
          <w:sz w:val="24"/>
        </w:rPr>
        <w:t>标书编号：2020-007S</w:t>
      </w:r>
    </w:p>
    <w:p>
      <w:pPr>
        <w:tabs>
          <w:tab w:val="left" w:pos="900"/>
        </w:tabs>
        <w:spacing w:line="500" w:lineRule="exact"/>
        <w:ind w:firstLine="482" w:firstLineChars="200"/>
        <w:rPr>
          <w:rFonts w:ascii="宋体" w:hAnsi="宋体" w:cs="宋体"/>
          <w:sz w:val="24"/>
        </w:rPr>
      </w:pPr>
      <w:r>
        <w:rPr>
          <w:rFonts w:hint="eastAsia" w:ascii="宋体" w:hAnsi="宋体" w:cs="宋体"/>
          <w:b/>
          <w:bCs/>
          <w:sz w:val="24"/>
        </w:rPr>
        <w:t>二、招标项目（简要说明）及预算金额</w:t>
      </w:r>
    </w:p>
    <w:p>
      <w:pPr>
        <w:tabs>
          <w:tab w:val="left" w:pos="900"/>
        </w:tabs>
        <w:spacing w:line="500" w:lineRule="exact"/>
        <w:ind w:firstLine="480" w:firstLineChars="200"/>
        <w:rPr>
          <w:rFonts w:ascii="宋体" w:hAnsi="宋体" w:cs="宋体"/>
          <w:sz w:val="24"/>
        </w:rPr>
      </w:pPr>
      <w:r>
        <w:rPr>
          <w:rFonts w:hint="eastAsia" w:ascii="宋体" w:hAnsi="宋体" w:cs="宋体"/>
          <w:sz w:val="24"/>
        </w:rPr>
        <w:t>1、招标范围及内容：盐城工业职业技术学院信息与安全学院LED显示屏系统设备材料的采购、供应、运输、线路敷设、安装、调试、验收交付、售前售后等伴随服务。具体详见工程量清单，招标人保留对上述招标范围进行适当调整的权利。</w:t>
      </w:r>
    </w:p>
    <w:p>
      <w:pPr>
        <w:tabs>
          <w:tab w:val="left" w:pos="900"/>
        </w:tabs>
        <w:spacing w:line="500" w:lineRule="exact"/>
        <w:ind w:firstLine="480" w:firstLineChars="200"/>
        <w:rPr>
          <w:rFonts w:ascii="宋体" w:hAnsi="宋体" w:cs="宋体"/>
          <w:sz w:val="24"/>
        </w:rPr>
      </w:pPr>
      <w:r>
        <w:rPr>
          <w:rFonts w:hint="eastAsia" w:ascii="宋体" w:hAnsi="宋体" w:cs="宋体"/>
          <w:sz w:val="24"/>
        </w:rPr>
        <w:t>2、预算价约10万元；投标人的投标报价不得超过预算价。</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三、供应商资格要求</w:t>
      </w:r>
    </w:p>
    <w:p>
      <w:pPr>
        <w:snapToGrid w:val="0"/>
        <w:spacing w:line="500" w:lineRule="exact"/>
        <w:ind w:firstLine="480" w:firstLineChars="200"/>
        <w:rPr>
          <w:rFonts w:ascii="宋体" w:hAnsi="宋体" w:cs="宋体"/>
          <w:sz w:val="24"/>
        </w:rPr>
      </w:pPr>
      <w:r>
        <w:rPr>
          <w:rFonts w:hint="eastAsia" w:ascii="宋体" w:hAnsi="宋体" w:cs="宋体"/>
          <w:sz w:val="24"/>
        </w:rPr>
        <w:t>（一）符合政府采购法第二十二条第一款规定的条件，并提供下列材料：</w:t>
      </w:r>
    </w:p>
    <w:p>
      <w:pPr>
        <w:snapToGrid w:val="0"/>
        <w:spacing w:line="500" w:lineRule="exact"/>
        <w:ind w:firstLine="480" w:firstLineChars="200"/>
        <w:rPr>
          <w:rFonts w:ascii="宋体" w:hAnsi="宋体" w:cs="宋体"/>
          <w:sz w:val="24"/>
        </w:rPr>
      </w:pPr>
      <w:r>
        <w:rPr>
          <w:rFonts w:hint="eastAsia" w:ascii="宋体" w:hAnsi="宋体" w:cs="宋体"/>
          <w:sz w:val="24"/>
        </w:rPr>
        <w:t>1、法人或者其他组织的营业执照等证明文件，自然人的身份证明；</w:t>
      </w:r>
    </w:p>
    <w:p>
      <w:pPr>
        <w:snapToGrid w:val="0"/>
        <w:spacing w:line="500" w:lineRule="exact"/>
        <w:ind w:firstLine="480" w:firstLineChars="200"/>
        <w:rPr>
          <w:rFonts w:ascii="宋体" w:hAnsi="宋体" w:cs="宋体"/>
          <w:sz w:val="24"/>
        </w:rPr>
      </w:pPr>
      <w:r>
        <w:rPr>
          <w:rFonts w:hint="eastAsia" w:ascii="宋体" w:hAnsi="宋体" w:cs="宋体"/>
          <w:sz w:val="24"/>
        </w:rPr>
        <w:t>2、上一年度的财务报表（成立不满一年不需提供）；</w:t>
      </w:r>
    </w:p>
    <w:p>
      <w:pPr>
        <w:snapToGrid w:val="0"/>
        <w:spacing w:line="500" w:lineRule="exact"/>
        <w:ind w:firstLine="480" w:firstLineChars="200"/>
        <w:rPr>
          <w:rFonts w:ascii="宋体" w:hAnsi="宋体" w:cs="宋体"/>
          <w:sz w:val="24"/>
        </w:rPr>
      </w:pPr>
      <w:r>
        <w:rPr>
          <w:rFonts w:hint="eastAsia" w:ascii="宋体" w:hAnsi="宋体" w:cs="宋体"/>
          <w:sz w:val="24"/>
        </w:rPr>
        <w:t>3、依法缴纳税收和社会保障资金的相关材料；</w:t>
      </w:r>
    </w:p>
    <w:p>
      <w:pPr>
        <w:snapToGrid w:val="0"/>
        <w:spacing w:line="500" w:lineRule="exact"/>
        <w:ind w:firstLine="480" w:firstLineChars="200"/>
        <w:rPr>
          <w:rFonts w:ascii="宋体" w:hAnsi="宋体" w:cs="宋体"/>
          <w:sz w:val="24"/>
        </w:rPr>
      </w:pPr>
      <w:r>
        <w:rPr>
          <w:rFonts w:hint="eastAsia" w:ascii="宋体" w:hAnsi="宋体" w:cs="宋体"/>
          <w:sz w:val="24"/>
        </w:rPr>
        <w:t>4、具备履行合同所必需的设备和专业技术能力的书面声明；</w:t>
      </w:r>
    </w:p>
    <w:p>
      <w:pPr>
        <w:snapToGrid w:val="0"/>
        <w:spacing w:line="500" w:lineRule="exact"/>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ascii="宋体" w:hAnsi="宋体" w:cs="宋体"/>
          <w:bCs/>
          <w:sz w:val="24"/>
          <w:u w:val="single"/>
        </w:rPr>
      </w:pPr>
      <w:r>
        <w:rPr>
          <w:rFonts w:hint="eastAsia" w:ascii="宋体" w:hAnsi="宋体" w:cs="宋体"/>
          <w:bCs/>
          <w:sz w:val="24"/>
        </w:rPr>
        <w:t>（二）其他资格条件：</w:t>
      </w:r>
    </w:p>
    <w:p>
      <w:pPr>
        <w:snapToGrid w:val="0"/>
        <w:spacing w:line="500" w:lineRule="exact"/>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pPr>
        <w:spacing w:line="500" w:lineRule="exact"/>
        <w:ind w:firstLine="480" w:firstLineChars="200"/>
        <w:rPr>
          <w:rFonts w:ascii="宋体" w:hAnsi="宋体" w:cs="宋体"/>
          <w:bCs/>
          <w:sz w:val="24"/>
        </w:rPr>
      </w:pPr>
      <w:r>
        <w:rPr>
          <w:rFonts w:hint="eastAsia" w:ascii="宋体" w:hAnsi="宋体" w:cs="宋体"/>
          <w:bCs/>
          <w:sz w:val="24"/>
        </w:rPr>
        <w:t>（三）本项目</w:t>
      </w:r>
      <w:r>
        <w:rPr>
          <w:rFonts w:hint="eastAsia" w:ascii="宋体" w:hAnsi="宋体" w:cs="宋体"/>
          <w:bCs/>
          <w:sz w:val="24"/>
          <w:u w:val="single"/>
        </w:rPr>
        <w:t>不接受</w:t>
      </w:r>
      <w:r>
        <w:rPr>
          <w:rFonts w:hint="eastAsia" w:ascii="宋体" w:hAnsi="宋体" w:cs="宋体"/>
          <w:bCs/>
          <w:sz w:val="24"/>
        </w:rPr>
        <w:t>联合体投标；</w:t>
      </w:r>
    </w:p>
    <w:p>
      <w:pPr>
        <w:spacing w:line="500" w:lineRule="exact"/>
        <w:ind w:firstLine="482" w:firstLineChars="200"/>
        <w:rPr>
          <w:rFonts w:ascii="宋体" w:hAnsi="宋体" w:cs="宋体"/>
          <w:b/>
          <w:bCs/>
          <w:sz w:val="24"/>
          <w:szCs w:val="24"/>
        </w:rPr>
      </w:pPr>
      <w:r>
        <w:rPr>
          <w:rFonts w:hint="eastAsia" w:ascii="宋体" w:hAnsi="宋体" w:cs="宋体"/>
          <w:b/>
          <w:bCs/>
          <w:sz w:val="24"/>
        </w:rPr>
        <w:t>四、</w:t>
      </w:r>
      <w:r>
        <w:rPr>
          <w:rFonts w:hint="eastAsia" w:ascii="宋体" w:hAnsi="宋体" w:cs="宋体"/>
          <w:b/>
          <w:bCs/>
          <w:sz w:val="24"/>
          <w:szCs w:val="24"/>
        </w:rPr>
        <w:t>招标文件提供信息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Style w:val="55"/>
          <w:rFonts w:hint="default" w:ascii="宋体" w:hAnsi="宋体" w:eastAsia="宋体" w:cs="宋体"/>
          <w:color w:val="auto"/>
          <w:sz w:val="24"/>
        </w:rPr>
        <w:t>310920981@qq.com</w:t>
      </w:r>
      <w:r>
        <w:rPr>
          <w:rStyle w:val="55"/>
          <w:rFonts w:hint="default" w:ascii="宋体" w:hAnsi="宋体" w:eastAsia="宋体" w:cs="宋体"/>
          <w:color w:val="auto"/>
          <w:sz w:val="24"/>
        </w:rPr>
        <w:fldChar w:fldCharType="end"/>
      </w:r>
      <w:r>
        <w:rPr>
          <w:rFonts w:hint="eastAsia" w:ascii="宋体" w:hAnsi="宋体" w:cs="宋体"/>
          <w:sz w:val="24"/>
        </w:rPr>
        <w:t>）。</w:t>
      </w:r>
    </w:p>
    <w:p>
      <w:pPr>
        <w:tabs>
          <w:tab w:val="left" w:pos="900"/>
        </w:tabs>
        <w:spacing w:line="500" w:lineRule="exact"/>
        <w:ind w:firstLine="480" w:firstLineChars="200"/>
        <w:rPr>
          <w:rFonts w:ascii="宋体" w:hAnsi="宋体" w:cs="宋体"/>
          <w:sz w:val="24"/>
        </w:rPr>
      </w:pPr>
      <w:r>
        <w:rPr>
          <w:rFonts w:hint="eastAsia" w:ascii="宋体" w:hAnsi="宋体" w:cs="宋体"/>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五、投标文件接收信息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投标文件接收时间：2020年6月</w:t>
      </w:r>
      <w:r>
        <w:rPr>
          <w:rFonts w:hint="eastAsia" w:ascii="宋体" w:hAnsi="宋体" w:cs="宋体"/>
          <w:sz w:val="24"/>
          <w:lang w:val="en-US" w:eastAsia="zh-CN"/>
        </w:rPr>
        <w:t>30</w:t>
      </w:r>
      <w:r>
        <w:rPr>
          <w:rFonts w:hint="eastAsia" w:ascii="宋体" w:hAnsi="宋体" w:cs="宋体"/>
          <w:sz w:val="24"/>
        </w:rPr>
        <w:t>日14：30时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投标文件接收截止时间：2020年6月</w:t>
      </w:r>
      <w:r>
        <w:rPr>
          <w:rFonts w:hint="eastAsia" w:ascii="宋体" w:hAnsi="宋体" w:cs="宋体"/>
          <w:sz w:val="24"/>
          <w:lang w:val="en-US" w:eastAsia="zh-CN"/>
        </w:rPr>
        <w:t>30</w:t>
      </w:r>
      <w:r>
        <w:rPr>
          <w:rFonts w:hint="eastAsia" w:ascii="宋体" w:hAnsi="宋体" w:cs="宋体"/>
          <w:sz w:val="24"/>
        </w:rPr>
        <w:t>日15：00时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投标文件接收地点：盐城工业职业技术学院（盐城市解放南路285号）后勤服务中心四楼402开标室。</w:t>
      </w:r>
    </w:p>
    <w:p>
      <w:pPr>
        <w:tabs>
          <w:tab w:val="left" w:pos="900"/>
        </w:tabs>
        <w:spacing w:line="500" w:lineRule="exact"/>
        <w:ind w:firstLine="480" w:firstLineChars="200"/>
        <w:rPr>
          <w:rFonts w:ascii="宋体" w:hAnsi="宋体" w:cs="宋体"/>
          <w:sz w:val="24"/>
        </w:rPr>
      </w:pPr>
      <w:r>
        <w:rPr>
          <w:rFonts w:hint="eastAsia" w:ascii="宋体" w:hAnsi="宋体" w:cs="宋体"/>
          <w:sz w:val="24"/>
        </w:rPr>
        <w:t>六、开标有关信息</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开标时间：2020年6月</w:t>
      </w:r>
      <w:r>
        <w:rPr>
          <w:rFonts w:hint="eastAsia" w:ascii="宋体" w:hAnsi="宋体" w:cs="宋体"/>
          <w:sz w:val="24"/>
          <w:lang w:val="en-US" w:eastAsia="zh-CN"/>
        </w:rPr>
        <w:t>30</w:t>
      </w:r>
      <w:r>
        <w:rPr>
          <w:rFonts w:hint="eastAsia" w:ascii="宋体" w:hAnsi="宋体" w:cs="宋体"/>
          <w:sz w:val="24"/>
        </w:rPr>
        <w:t>日15：00时</w:t>
      </w:r>
    </w:p>
    <w:p>
      <w:pPr>
        <w:tabs>
          <w:tab w:val="left" w:pos="900"/>
        </w:tabs>
        <w:spacing w:line="500" w:lineRule="exact"/>
        <w:ind w:firstLine="480" w:firstLineChars="200"/>
        <w:rPr>
          <w:rFonts w:ascii="宋体" w:hAnsi="宋体" w:cs="宋体"/>
          <w:sz w:val="24"/>
        </w:rPr>
      </w:pPr>
      <w:r>
        <w:rPr>
          <w:rFonts w:hint="eastAsia" w:ascii="宋体" w:hAnsi="宋体" w:cs="宋体"/>
          <w:sz w:val="24"/>
        </w:rPr>
        <w:t>开标地点：盐城工业职业技术学院（盐城市解放南路285号）后勤服务中心四楼402开标室。</w:t>
      </w:r>
    </w:p>
    <w:p>
      <w:pPr>
        <w:tabs>
          <w:tab w:val="left" w:pos="900"/>
        </w:tabs>
        <w:spacing w:line="500" w:lineRule="exact"/>
        <w:ind w:firstLine="482" w:firstLineChars="200"/>
        <w:rPr>
          <w:rFonts w:ascii="宋体" w:hAnsi="宋体" w:cs="宋体"/>
          <w:b/>
          <w:bCs/>
          <w:sz w:val="24"/>
        </w:rPr>
      </w:pPr>
      <w:r>
        <w:rPr>
          <w:rFonts w:hint="eastAsia" w:ascii="宋体" w:hAnsi="宋体" w:cs="宋体"/>
          <w:b/>
          <w:bCs/>
          <w:sz w:val="24"/>
        </w:rPr>
        <w:t>七、本次招标联系事项</w:t>
      </w:r>
    </w:p>
    <w:p>
      <w:pPr>
        <w:tabs>
          <w:tab w:val="left" w:pos="900"/>
        </w:tabs>
        <w:spacing w:line="500" w:lineRule="exact"/>
        <w:ind w:firstLine="480" w:firstLineChars="200"/>
        <w:rPr>
          <w:rFonts w:ascii="宋体" w:hAnsi="宋体" w:cs="宋体"/>
          <w:sz w:val="24"/>
        </w:rPr>
      </w:pPr>
      <w:r>
        <w:rPr>
          <w:rFonts w:hint="eastAsia" w:ascii="宋体" w:hAnsi="宋体" w:cs="宋体"/>
          <w:sz w:val="24"/>
        </w:rPr>
        <w:t>（一）采购人项目联系人：王国军，联系电话：88583938；</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采购人招标联系人：赵萌，联系电话：0518-88588707；</w:t>
      </w:r>
    </w:p>
    <w:p>
      <w:pPr>
        <w:tabs>
          <w:tab w:val="left" w:pos="900"/>
        </w:tabs>
        <w:spacing w:line="500" w:lineRule="exact"/>
        <w:ind w:firstLine="480" w:firstLineChars="200"/>
        <w:rPr>
          <w:rFonts w:ascii="宋体" w:hAnsi="宋体" w:cs="宋体"/>
          <w:sz w:val="24"/>
        </w:rPr>
      </w:pPr>
      <w:r>
        <w:rPr>
          <w:rFonts w:hint="eastAsia" w:ascii="宋体" w:hAnsi="宋体" w:cs="宋体"/>
          <w:sz w:val="24"/>
        </w:rPr>
        <w:t>采购人地址：盐城工业职业技术学院后勤服务中心四楼405室；</w:t>
      </w:r>
    </w:p>
    <w:p>
      <w:pPr>
        <w:tabs>
          <w:tab w:val="left" w:pos="900"/>
        </w:tabs>
        <w:spacing w:line="50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pacing w:line="500" w:lineRule="exact"/>
        <w:ind w:firstLine="482" w:firstLineChars="200"/>
        <w:rPr>
          <w:rFonts w:ascii="宋体" w:hAnsi="宋体" w:cs="宋体"/>
          <w:b/>
          <w:sz w:val="24"/>
        </w:rPr>
      </w:pPr>
      <w:r>
        <w:rPr>
          <w:rFonts w:hint="eastAsia" w:ascii="宋体" w:hAnsi="宋体" w:cs="宋体"/>
          <w:b/>
          <w:sz w:val="24"/>
        </w:rPr>
        <w:t>八、投标文件制作份数要求</w:t>
      </w:r>
    </w:p>
    <w:p>
      <w:pPr>
        <w:spacing w:line="500" w:lineRule="exact"/>
        <w:ind w:firstLine="480" w:firstLineChars="200"/>
        <w:rPr>
          <w:rFonts w:ascii="宋体" w:hAnsi="宋体" w:cs="宋体"/>
          <w:sz w:val="24"/>
        </w:rPr>
      </w:pPr>
      <w:r>
        <w:rPr>
          <w:rFonts w:hint="eastAsia" w:ascii="宋体" w:hAnsi="宋体" w:cs="宋体"/>
          <w:sz w:val="24"/>
        </w:rPr>
        <w:t>正本份数：1份，副本份数：4份。</w:t>
      </w:r>
    </w:p>
    <w:p>
      <w:pPr>
        <w:spacing w:line="500" w:lineRule="exact"/>
        <w:ind w:firstLine="482" w:firstLineChars="200"/>
        <w:rPr>
          <w:rFonts w:ascii="宋体" w:hAnsi="宋体" w:cs="宋体"/>
          <w:b/>
          <w:bCs/>
          <w:sz w:val="24"/>
        </w:rPr>
      </w:pPr>
      <w:r>
        <w:rPr>
          <w:rFonts w:hint="eastAsia" w:ascii="宋体" w:hAnsi="宋体" w:cs="宋体"/>
          <w:b/>
          <w:bCs/>
          <w:sz w:val="24"/>
        </w:rPr>
        <w:t>九、本次招标投标保证金</w:t>
      </w:r>
    </w:p>
    <w:p>
      <w:pPr>
        <w:spacing w:line="500" w:lineRule="exact"/>
        <w:ind w:firstLine="480" w:firstLineChars="200"/>
        <w:outlineLvl w:val="1"/>
        <w:rPr>
          <w:rFonts w:ascii="宋体" w:hAnsi="宋体" w:cs="宋体"/>
          <w:sz w:val="24"/>
        </w:rPr>
      </w:pPr>
      <w:r>
        <w:rPr>
          <w:rFonts w:hint="eastAsia" w:ascii="宋体" w:hAnsi="宋体" w:cs="宋体"/>
          <w:sz w:val="24"/>
        </w:rPr>
        <w:t>本次投标收取保证金。本次投标保证金金额为人民币</w:t>
      </w:r>
      <w:r>
        <w:rPr>
          <w:rFonts w:hint="eastAsia" w:ascii="宋体" w:hAnsi="宋体" w:cs="宋体"/>
          <w:sz w:val="24"/>
          <w:u w:val="single"/>
        </w:rPr>
        <w:t>贰仟元整</w:t>
      </w:r>
      <w:r>
        <w:rPr>
          <w:rFonts w:hint="eastAsia" w:ascii="宋体" w:hAnsi="宋体" w:cs="宋体"/>
          <w:sz w:val="24"/>
        </w:rPr>
        <w:t>，投标保证金必须在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500" w:lineRule="exact"/>
        <w:ind w:firstLine="482"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，各投标人将有效银行本票（或银行汇票）原件带至开标现场交工作人员核验，未按上述要求交纳投标保证金的，</w:t>
      </w:r>
      <w:r>
        <w:rPr>
          <w:rFonts w:hint="eastAsia" w:ascii="宋体" w:hAnsi="宋体" w:cs="宋体"/>
          <w:sz w:val="24"/>
        </w:rPr>
        <w:t>将被视为非响应性投标而予以拒绝。</w:t>
      </w:r>
    </w:p>
    <w:p>
      <w:pPr>
        <w:spacing w:line="500" w:lineRule="exact"/>
        <w:ind w:firstLine="480" w:firstLineChars="200"/>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ascii="宋体" w:hAnsi="宋体" w:cs="宋体"/>
          <w:kern w:val="0"/>
          <w:sz w:val="24"/>
        </w:rPr>
      </w:pPr>
    </w:p>
    <w:p>
      <w:pPr>
        <w:spacing w:line="500" w:lineRule="exact"/>
        <w:ind w:firstLine="480" w:firstLineChars="200"/>
        <w:outlineLvl w:val="1"/>
        <w:rPr>
          <w:rFonts w:ascii="宋体" w:hAnsi="宋体" w:cs="宋体"/>
          <w:kern w:val="0"/>
          <w:sz w:val="24"/>
        </w:rPr>
      </w:pPr>
    </w:p>
    <w:p>
      <w:pPr>
        <w:spacing w:line="500" w:lineRule="exact"/>
        <w:ind w:firstLine="480" w:firstLineChars="200"/>
        <w:rPr>
          <w:rFonts w:ascii="宋体" w:hAnsi="宋体" w:cs="宋体"/>
          <w:sz w:val="24"/>
        </w:rPr>
      </w:pPr>
    </w:p>
    <w:p>
      <w:pPr>
        <w:spacing w:line="500" w:lineRule="exact"/>
        <w:ind w:firstLine="480" w:firstLineChars="200"/>
        <w:jc w:val="right"/>
        <w:rPr>
          <w:rFonts w:ascii="宋体" w:hAnsi="宋体" w:cs="宋体"/>
          <w:sz w:val="24"/>
        </w:rPr>
      </w:pPr>
      <w:r>
        <w:rPr>
          <w:rFonts w:hint="eastAsia" w:ascii="宋体" w:hAnsi="宋体" w:cs="宋体"/>
          <w:sz w:val="24"/>
          <w:szCs w:val="24"/>
        </w:rPr>
        <w:t xml:space="preserve">                                        盐城工业职业技术学院</w:t>
      </w:r>
      <w:r>
        <w:rPr>
          <w:rFonts w:hint="eastAsia" w:ascii="宋体" w:hAnsi="宋体" w:cs="宋体"/>
          <w:sz w:val="24"/>
        </w:rPr>
        <w:t xml:space="preserve">                        </w:t>
      </w:r>
    </w:p>
    <w:p>
      <w:pPr>
        <w:spacing w:line="500" w:lineRule="exact"/>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szCs w:val="24"/>
        </w:rPr>
        <w:t>江苏双清工程造价咨询有限公司</w:t>
      </w:r>
      <w:r>
        <w:rPr>
          <w:rFonts w:hint="eastAsia" w:ascii="宋体" w:hAnsi="宋体" w:cs="宋体"/>
          <w:sz w:val="24"/>
        </w:rPr>
        <w:t xml:space="preserve">                                             </w:t>
      </w:r>
    </w:p>
    <w:p>
      <w:pPr>
        <w:spacing w:line="500" w:lineRule="exact"/>
        <w:ind w:firstLine="480" w:firstLineChars="200"/>
        <w:jc w:val="right"/>
        <w:rPr>
          <w:rFonts w:ascii="宋体" w:hAnsi="宋体" w:cs="宋体"/>
          <w:sz w:val="24"/>
        </w:rPr>
      </w:pPr>
      <w:r>
        <w:rPr>
          <w:rFonts w:hint="eastAsia" w:ascii="宋体" w:hAnsi="宋体" w:cs="宋体"/>
          <w:sz w:val="24"/>
        </w:rPr>
        <w:t>2020年</w:t>
      </w:r>
      <w:r>
        <w:rPr>
          <w:rFonts w:hint="eastAsia" w:ascii="宋体" w:hAnsi="宋体" w:cs="宋体"/>
          <w:sz w:val="24"/>
          <w:lang w:val="en-US" w:eastAsia="zh-CN"/>
        </w:rPr>
        <w:t>6</w:t>
      </w:r>
      <w:bookmarkStart w:id="185" w:name="_GoBack"/>
      <w:bookmarkEnd w:id="185"/>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p>
    <w:p>
      <w:pPr>
        <w:jc w:val="center"/>
        <w:rPr>
          <w:rFonts w:ascii="宋体" w:hAnsi="宋体" w:cs="宋体"/>
        </w:rPr>
      </w:pPr>
      <w:bookmarkStart w:id="6" w:name="_Toc120614211"/>
      <w:r>
        <w:rPr>
          <w:rFonts w:hint="eastAsia" w:ascii="宋体" w:hAnsi="宋体" w:cs="宋体"/>
        </w:rPr>
        <w:br w:type="page"/>
      </w:r>
    </w:p>
    <w:p>
      <w:pPr>
        <w:pStyle w:val="4"/>
        <w:rPr>
          <w:rFonts w:ascii="宋体" w:hAnsi="宋体" w:eastAsia="宋体" w:cs="宋体"/>
          <w:b w:val="0"/>
          <w:bCs w:val="0"/>
        </w:rPr>
      </w:pPr>
      <w:r>
        <w:rPr>
          <w:rFonts w:hint="eastAsia" w:ascii="宋体" w:hAnsi="宋体" w:eastAsia="宋体" w:cs="宋体"/>
        </w:rPr>
        <w:t xml:space="preserve">第二章  </w:t>
      </w:r>
      <w:bookmarkEnd w:id="1"/>
      <w:bookmarkEnd w:id="2"/>
      <w:bookmarkEnd w:id="3"/>
      <w:bookmarkEnd w:id="4"/>
      <w:bookmarkEnd w:id="5"/>
      <w:bookmarkEnd w:id="6"/>
      <w:bookmarkStart w:id="7" w:name="_Toc16938518"/>
      <w:bookmarkStart w:id="8" w:name="_Toc120614213"/>
      <w:bookmarkStart w:id="9" w:name="_Toc20823274"/>
      <w:bookmarkStart w:id="10" w:name="_Toc513029202"/>
      <w:r>
        <w:rPr>
          <w:rFonts w:hint="eastAsia" w:ascii="宋体" w:hAnsi="宋体" w:eastAsia="宋体" w:cs="宋体"/>
        </w:rPr>
        <w:t>投标人须知</w:t>
      </w:r>
      <w:bookmarkEnd w:id="7"/>
      <w:bookmarkEnd w:id="8"/>
      <w:bookmarkEnd w:id="9"/>
      <w:bookmarkEnd w:id="10"/>
    </w:p>
    <w:p>
      <w:pPr>
        <w:pStyle w:val="6"/>
        <w:spacing w:before="0" w:after="0" w:line="440" w:lineRule="exact"/>
        <w:ind w:firstLine="643" w:firstLineChars="200"/>
        <w:rPr>
          <w:rFonts w:ascii="宋体" w:hAnsi="宋体" w:cs="宋体"/>
        </w:rPr>
      </w:pPr>
      <w:bookmarkStart w:id="11" w:name="_Toc20823275"/>
      <w:bookmarkStart w:id="12" w:name="_Toc120614214"/>
      <w:bookmarkStart w:id="13" w:name="_Toc16938519"/>
      <w:bookmarkStart w:id="14" w:name="_Toc513029203"/>
      <w:r>
        <w:rPr>
          <w:rFonts w:hint="eastAsia" w:ascii="宋体" w:hAnsi="宋体" w:cs="宋体"/>
        </w:rPr>
        <w:t>一、总则</w:t>
      </w:r>
      <w:bookmarkEnd w:id="11"/>
      <w:bookmarkEnd w:id="12"/>
      <w:bookmarkEnd w:id="13"/>
      <w:bookmarkEnd w:id="14"/>
    </w:p>
    <w:p>
      <w:pPr>
        <w:pStyle w:val="2"/>
        <w:spacing w:before="0" w:after="0" w:line="440" w:lineRule="exact"/>
        <w:ind w:firstLine="560" w:firstLineChars="200"/>
        <w:rPr>
          <w:rFonts w:ascii="宋体" w:hAnsi="宋体" w:eastAsia="宋体" w:cs="宋体"/>
          <w:b w:val="0"/>
          <w:bCs w:val="0"/>
        </w:rPr>
      </w:pPr>
      <w:bookmarkStart w:id="15" w:name="_Hlt16619475"/>
      <w:bookmarkEnd w:id="15"/>
      <w:bookmarkStart w:id="16" w:name="_Toc458694821"/>
      <w:bookmarkStart w:id="17" w:name="_Toc513029204"/>
      <w:bookmarkStart w:id="18" w:name="_Toc20823276"/>
      <w:bookmarkStart w:id="19" w:name="_Toc16938520"/>
      <w:r>
        <w:rPr>
          <w:rFonts w:hint="eastAsia" w:ascii="宋体" w:hAnsi="宋体" w:eastAsia="宋体" w:cs="宋体"/>
          <w:b w:val="0"/>
          <w:bCs w:val="0"/>
        </w:rPr>
        <w:t>1</w:t>
      </w:r>
      <w:bookmarkEnd w:id="16"/>
      <w:r>
        <w:rPr>
          <w:rFonts w:hint="eastAsia" w:ascii="宋体" w:hAnsi="宋体" w:eastAsia="宋体" w:cs="宋体"/>
          <w:b w:val="0"/>
          <w:bCs w:val="0"/>
        </w:rPr>
        <w:t>、招标方式</w:t>
      </w:r>
      <w:bookmarkEnd w:id="17"/>
      <w:bookmarkEnd w:id="18"/>
      <w:bookmarkEnd w:id="19"/>
    </w:p>
    <w:p>
      <w:pPr>
        <w:spacing w:line="44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pPr>
        <w:pStyle w:val="2"/>
        <w:spacing w:before="0" w:after="0" w:line="440" w:lineRule="exact"/>
        <w:ind w:firstLine="560" w:firstLineChars="200"/>
        <w:rPr>
          <w:rFonts w:ascii="宋体" w:hAnsi="宋体" w:eastAsia="宋体" w:cs="宋体"/>
          <w:b w:val="0"/>
          <w:bCs w:val="0"/>
        </w:rPr>
      </w:pPr>
      <w:bookmarkStart w:id="20" w:name="_Toc513029205"/>
      <w:bookmarkStart w:id="21" w:name="_Toc16938521"/>
      <w:bookmarkStart w:id="22" w:name="_Toc20823277"/>
      <w:r>
        <w:rPr>
          <w:rFonts w:hint="eastAsia" w:ascii="宋体" w:hAnsi="宋体" w:eastAsia="宋体" w:cs="宋体"/>
          <w:b w:val="0"/>
          <w:bCs w:val="0"/>
        </w:rPr>
        <w:t>2、合格的投标人</w:t>
      </w:r>
      <w:bookmarkEnd w:id="20"/>
      <w:bookmarkEnd w:id="21"/>
      <w:bookmarkEnd w:id="22"/>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2"/>
        <w:spacing w:before="0" w:after="0" w:line="440" w:lineRule="exact"/>
        <w:ind w:firstLine="560" w:firstLineChars="200"/>
        <w:rPr>
          <w:rFonts w:ascii="宋体" w:hAnsi="宋体" w:eastAsia="宋体" w:cs="宋体"/>
          <w:b w:val="0"/>
          <w:bCs w:val="0"/>
        </w:rPr>
      </w:pPr>
      <w:bookmarkStart w:id="23" w:name="_Toc513029206"/>
      <w:bookmarkStart w:id="24" w:name="_Toc20823278"/>
      <w:bookmarkStart w:id="25" w:name="_Toc16938522"/>
      <w:r>
        <w:rPr>
          <w:rFonts w:hint="eastAsia" w:ascii="宋体" w:hAnsi="宋体" w:eastAsia="宋体" w:cs="宋体"/>
          <w:b w:val="0"/>
          <w:bCs w:val="0"/>
        </w:rPr>
        <w:t>3、适用法律</w:t>
      </w:r>
      <w:bookmarkEnd w:id="23"/>
      <w:bookmarkEnd w:id="24"/>
      <w:bookmarkEnd w:id="25"/>
    </w:p>
    <w:p>
      <w:pPr>
        <w:spacing w:line="44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pPr>
        <w:pStyle w:val="2"/>
        <w:spacing w:before="0" w:after="0" w:line="440" w:lineRule="exact"/>
        <w:ind w:firstLine="560" w:firstLineChars="200"/>
        <w:rPr>
          <w:rFonts w:ascii="宋体" w:hAnsi="宋体" w:eastAsia="宋体" w:cs="宋体"/>
          <w:b w:val="0"/>
          <w:bCs w:val="0"/>
        </w:rPr>
      </w:pPr>
      <w:bookmarkStart w:id="26" w:name="_Toc462564067"/>
      <w:bookmarkStart w:id="27" w:name="_Toc513029207"/>
      <w:bookmarkStart w:id="28" w:name="_Toc20823279"/>
      <w:bookmarkStart w:id="29" w:name="_Toc16938523"/>
      <w:r>
        <w:rPr>
          <w:rFonts w:hint="eastAsia" w:ascii="宋体" w:hAnsi="宋体" w:eastAsia="宋体" w:cs="宋体"/>
          <w:b w:val="0"/>
          <w:bCs w:val="0"/>
        </w:rPr>
        <w:t>4、投标费用</w:t>
      </w:r>
      <w:bookmarkEnd w:id="26"/>
      <w:bookmarkEnd w:id="27"/>
      <w:bookmarkEnd w:id="28"/>
      <w:bookmarkEnd w:id="29"/>
    </w:p>
    <w:p>
      <w:pPr>
        <w:spacing w:line="440" w:lineRule="exact"/>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rPr>
      </w:pPr>
      <w:r>
        <w:rPr>
          <w:rFonts w:hint="eastAsia" w:ascii="宋体" w:hAnsi="宋体" w:cs="宋体"/>
          <w:sz w:val="24"/>
        </w:rPr>
        <w:t>4.2本项目中标人与采购人签订合同前，须向采购代理机构支付招标代理服务费，收费标准按中标价的1.5%×42%计取（如低于3000元的直接按3000元计取）；上述费用由各投标人在投标时自行综合考虑分摊含进投标报价中，且不得单列。</w:t>
      </w:r>
    </w:p>
    <w:p>
      <w:pPr>
        <w:pStyle w:val="2"/>
        <w:spacing w:before="0" w:after="0" w:line="440" w:lineRule="exact"/>
        <w:ind w:firstLine="602" w:firstLineChars="200"/>
        <w:rPr>
          <w:rFonts w:ascii="宋体" w:hAnsi="宋体" w:eastAsia="宋体" w:cs="宋体"/>
          <w:b w:val="0"/>
          <w:bCs w:val="0"/>
        </w:rPr>
      </w:pPr>
      <w:r>
        <w:rPr>
          <w:rFonts w:hint="eastAsia" w:ascii="宋体" w:hAnsi="宋体" w:eastAsia="宋体" w:cs="宋体"/>
          <w:sz w:val="30"/>
        </w:rPr>
        <w:t>5、</w:t>
      </w:r>
      <w:r>
        <w:rPr>
          <w:rFonts w:hint="eastAsia" w:ascii="宋体" w:hAnsi="宋体" w:eastAsia="宋体" w:cs="宋体"/>
          <w:b w:val="0"/>
          <w:bCs w:val="0"/>
        </w:rPr>
        <w:t>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6"/>
        <w:spacing w:before="0" w:after="0" w:line="440" w:lineRule="exact"/>
        <w:ind w:firstLine="643" w:firstLineChars="200"/>
        <w:rPr>
          <w:rFonts w:ascii="宋体" w:hAnsi="宋体" w:cs="宋体"/>
        </w:rPr>
      </w:pPr>
      <w:bookmarkStart w:id="30" w:name="_Toc120614215"/>
      <w:bookmarkStart w:id="31" w:name="_Toc513029209"/>
      <w:bookmarkStart w:id="32" w:name="_Toc20823281"/>
      <w:bookmarkStart w:id="33" w:name="_Toc16938525"/>
      <w:r>
        <w:rPr>
          <w:rFonts w:hint="eastAsia" w:ascii="宋体" w:hAnsi="宋体" w:cs="宋体"/>
        </w:rPr>
        <w:t>二、招标文件</w:t>
      </w:r>
      <w:bookmarkEnd w:id="30"/>
      <w:bookmarkEnd w:id="31"/>
      <w:bookmarkEnd w:id="32"/>
      <w:bookmarkEnd w:id="33"/>
    </w:p>
    <w:p>
      <w:pPr>
        <w:pStyle w:val="2"/>
        <w:spacing w:before="0" w:after="0" w:line="440" w:lineRule="exact"/>
        <w:ind w:firstLine="560" w:firstLineChars="200"/>
        <w:rPr>
          <w:rFonts w:ascii="宋体" w:hAnsi="宋体" w:eastAsia="宋体" w:cs="宋体"/>
          <w:b w:val="0"/>
          <w:bCs w:val="0"/>
        </w:rPr>
      </w:pPr>
      <w:bookmarkStart w:id="34" w:name="_Toc16938526"/>
      <w:bookmarkStart w:id="35" w:name="_Toc513029210"/>
      <w:bookmarkStart w:id="36" w:name="_Toc20823282"/>
      <w:r>
        <w:rPr>
          <w:rFonts w:hint="eastAsia" w:ascii="宋体" w:hAnsi="宋体" w:eastAsia="宋体" w:cs="宋体"/>
          <w:b w:val="0"/>
          <w:bCs w:val="0"/>
        </w:rPr>
        <w:t>7、招标文件构成</w:t>
      </w:r>
      <w:bookmarkEnd w:id="34"/>
      <w:bookmarkEnd w:id="35"/>
      <w:bookmarkEnd w:id="36"/>
    </w:p>
    <w:p>
      <w:pPr>
        <w:spacing w:line="440" w:lineRule="exact"/>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rPr>
      </w:pPr>
      <w:r>
        <w:rPr>
          <w:rFonts w:hint="eastAsia" w:ascii="宋体" w:hAnsi="宋体" w:cs="宋体"/>
          <w:sz w:val="24"/>
        </w:rPr>
        <w:t>请仔细检查招标文件是否齐全，如有缺漏请立即与</w:t>
      </w:r>
      <w:r>
        <w:rPr>
          <w:rFonts w:hint="eastAsia" w:ascii="宋体" w:hAnsi="宋体" w:cs="宋体"/>
          <w:sz w:val="24"/>
          <w:szCs w:val="24"/>
        </w:rPr>
        <w:t>采购人或采购代理机构</w:t>
      </w:r>
      <w:r>
        <w:rPr>
          <w:rFonts w:hint="eastAsia" w:ascii="宋体" w:hAnsi="宋体" w:cs="宋体"/>
          <w:sz w:val="24"/>
        </w:rPr>
        <w:t>联系解决。</w:t>
      </w:r>
    </w:p>
    <w:p>
      <w:pPr>
        <w:spacing w:line="440" w:lineRule="exact"/>
        <w:ind w:firstLine="480" w:firstLineChars="200"/>
        <w:rPr>
          <w:rFonts w:ascii="宋体" w:hAnsi="宋体" w:cs="宋体"/>
          <w:sz w:val="24"/>
        </w:rPr>
      </w:pPr>
      <w:r>
        <w:rPr>
          <w:rFonts w:hint="eastAsia" w:ascii="宋体" w:hAnsi="宋体" w:cs="宋体"/>
          <w:bCs/>
          <w:sz w:val="24"/>
        </w:rPr>
        <w:t>7.2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560" w:firstLineChars="200"/>
        <w:rPr>
          <w:rFonts w:ascii="宋体" w:hAnsi="宋体" w:eastAsia="宋体" w:cs="宋体"/>
          <w:b w:val="0"/>
          <w:bCs w:val="0"/>
        </w:rPr>
      </w:pPr>
      <w:bookmarkStart w:id="37" w:name="_Toc20823283"/>
      <w:bookmarkStart w:id="38" w:name="_Toc462564070"/>
      <w:bookmarkStart w:id="39" w:name="_Toc16938527"/>
      <w:bookmarkStart w:id="40" w:name="_Toc513029211"/>
      <w:r>
        <w:rPr>
          <w:rFonts w:hint="eastAsia" w:ascii="宋体" w:hAnsi="宋体" w:eastAsia="宋体" w:cs="宋体"/>
          <w:b w:val="0"/>
          <w:bCs w:val="0"/>
        </w:rPr>
        <w:t>8、招标文件的</w:t>
      </w:r>
      <w:bookmarkEnd w:id="37"/>
      <w:bookmarkEnd w:id="38"/>
      <w:bookmarkEnd w:id="39"/>
      <w:bookmarkEnd w:id="40"/>
      <w:r>
        <w:rPr>
          <w:rFonts w:hint="eastAsia" w:ascii="宋体" w:hAnsi="宋体" w:eastAsia="宋体" w:cs="宋体"/>
          <w:b w:val="0"/>
          <w:bCs w:val="0"/>
        </w:rPr>
        <w:t>询问</w:t>
      </w:r>
    </w:p>
    <w:p>
      <w:pPr>
        <w:spacing w:line="440" w:lineRule="exact"/>
        <w:ind w:firstLine="480" w:firstLineChars="200"/>
        <w:rPr>
          <w:rFonts w:ascii="宋体" w:hAnsi="宋体" w:cs="宋体"/>
          <w:sz w:val="24"/>
          <w:szCs w:val="24"/>
        </w:rPr>
      </w:pPr>
      <w:r>
        <w:rPr>
          <w:rFonts w:hint="eastAsia" w:ascii="宋体" w:hAnsi="宋体" w:cs="宋体"/>
          <w:bCs/>
          <w:sz w:val="24"/>
        </w:rPr>
        <w:t>8.1</w:t>
      </w:r>
      <w:r>
        <w:rPr>
          <w:rFonts w:hint="eastAsia" w:ascii="宋体" w:hAnsi="宋体" w:cs="宋体"/>
          <w:sz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w:t>
      </w:r>
      <w:r>
        <w:rPr>
          <w:rFonts w:hint="eastAsia" w:ascii="宋体" w:hAnsi="宋体" w:cs="宋体"/>
          <w:sz w:val="24"/>
        </w:rPr>
        <w:t>按招标公告中的通讯地址，向采购代理机构或采购人提出。</w:t>
      </w:r>
    </w:p>
    <w:p>
      <w:pPr>
        <w:pStyle w:val="2"/>
        <w:spacing w:before="0" w:after="0" w:line="440" w:lineRule="exact"/>
        <w:ind w:firstLine="560" w:firstLineChars="200"/>
        <w:rPr>
          <w:rFonts w:ascii="宋体" w:hAnsi="宋体" w:eastAsia="宋体" w:cs="宋体"/>
          <w:b w:val="0"/>
          <w:bCs w:val="0"/>
        </w:rPr>
      </w:pPr>
      <w:bookmarkStart w:id="41" w:name="_Toc20823284"/>
      <w:bookmarkStart w:id="42" w:name="_Toc513029212"/>
      <w:bookmarkStart w:id="43" w:name="_Toc16938528"/>
      <w:bookmarkStart w:id="44" w:name="_Toc462564071"/>
      <w:r>
        <w:rPr>
          <w:rFonts w:hint="eastAsia" w:ascii="宋体" w:hAnsi="宋体" w:eastAsia="宋体" w:cs="宋体"/>
          <w:b w:val="0"/>
          <w:bCs w:val="0"/>
        </w:rPr>
        <w:t>9、招标文件的修改</w:t>
      </w:r>
      <w:bookmarkEnd w:id="41"/>
      <w:bookmarkEnd w:id="42"/>
      <w:bookmarkEnd w:id="43"/>
      <w:bookmarkEnd w:id="44"/>
    </w:p>
    <w:p>
      <w:pPr>
        <w:spacing w:line="440" w:lineRule="exact"/>
        <w:ind w:firstLine="480" w:firstLineChars="200"/>
        <w:rPr>
          <w:rFonts w:ascii="宋体" w:hAnsi="宋体" w:cs="宋体"/>
          <w:sz w:val="24"/>
        </w:rPr>
      </w:pPr>
      <w:r>
        <w:rPr>
          <w:rFonts w:hint="eastAsia" w:ascii="宋体" w:hAnsi="宋体" w:cs="宋体"/>
          <w:bCs/>
          <w:sz w:val="24"/>
        </w:rPr>
        <w:t>9.1</w:t>
      </w:r>
      <w:r>
        <w:rPr>
          <w:rFonts w:hint="eastAsia" w:ascii="宋体" w:hAnsi="宋体" w:cs="宋体"/>
          <w:sz w:val="24"/>
        </w:rPr>
        <w:t xml:space="preserve"> 在投标截止时间三天前，采购人或采购代理机构可以对招标文件进行修改。</w:t>
      </w:r>
    </w:p>
    <w:p>
      <w:pPr>
        <w:spacing w:line="440" w:lineRule="exact"/>
        <w:ind w:firstLine="480" w:firstLineChars="200"/>
        <w:rPr>
          <w:rFonts w:ascii="宋体" w:hAnsi="宋体" w:cs="宋体"/>
          <w:sz w:val="28"/>
        </w:rPr>
      </w:pPr>
      <w:r>
        <w:rPr>
          <w:rFonts w:hint="eastAsia" w:ascii="宋体" w:hAnsi="宋体" w:cs="宋体"/>
          <w:bCs/>
          <w:sz w:val="24"/>
        </w:rPr>
        <w:t>9.2</w:t>
      </w:r>
      <w:r>
        <w:rPr>
          <w:rFonts w:hint="eastAsia" w:ascii="宋体" w:hAnsi="宋体" w:cs="宋体"/>
          <w:sz w:val="24"/>
        </w:rPr>
        <w:t>采购人</w:t>
      </w:r>
      <w:r>
        <w:rPr>
          <w:rFonts w:hint="eastAsia" w:ascii="宋体" w:hAnsi="宋体" w:cs="宋体"/>
          <w:sz w:val="24"/>
          <w:szCs w:val="24"/>
        </w:rPr>
        <w:t>有权依法</w:t>
      </w:r>
      <w:r>
        <w:rPr>
          <w:rFonts w:hint="eastAsia" w:ascii="宋体" w:hAnsi="宋体" w:cs="宋体"/>
          <w:sz w:val="24"/>
        </w:rPr>
        <w:t>推迟投标截止日期和开标日期。</w:t>
      </w:r>
    </w:p>
    <w:p>
      <w:pPr>
        <w:spacing w:line="440" w:lineRule="exact"/>
        <w:ind w:firstLine="480" w:firstLineChars="200"/>
        <w:rPr>
          <w:rFonts w:ascii="宋体" w:hAnsi="宋体" w:cs="宋体"/>
          <w:sz w:val="24"/>
        </w:rPr>
      </w:pPr>
      <w:r>
        <w:rPr>
          <w:rFonts w:hint="eastAsia" w:ascii="宋体" w:hAnsi="宋体" w:cs="宋体"/>
          <w:bCs/>
          <w:sz w:val="24"/>
        </w:rPr>
        <w:t>9.3</w:t>
      </w:r>
      <w:r>
        <w:rPr>
          <w:rFonts w:hint="eastAsia" w:ascii="宋体" w:hAnsi="宋体" w:cs="宋体"/>
          <w:sz w:val="24"/>
        </w:rPr>
        <w:t>招标文件的修改将在</w:t>
      </w:r>
      <w:r>
        <w:rPr>
          <w:rFonts w:hint="eastAsia" w:ascii="宋体" w:hAnsi="宋体" w:cs="宋体"/>
          <w:bCs/>
          <w:sz w:val="24"/>
        </w:rPr>
        <w:t>“盐城市政府采购网”和“盐城工业职业技术学院招标采购网”</w:t>
      </w:r>
      <w:r>
        <w:rPr>
          <w:rFonts w:hint="eastAsia" w:ascii="宋体" w:hAnsi="宋体" w:cs="宋体"/>
          <w:sz w:val="24"/>
        </w:rPr>
        <w:t>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6"/>
        <w:spacing w:before="0" w:after="0" w:line="440" w:lineRule="exact"/>
        <w:ind w:firstLine="643" w:firstLineChars="200"/>
        <w:rPr>
          <w:rFonts w:ascii="宋体" w:hAnsi="宋体" w:cs="宋体"/>
        </w:rPr>
      </w:pPr>
      <w:bookmarkStart w:id="45" w:name="_Toc120614216"/>
      <w:bookmarkStart w:id="46" w:name="_Toc16938529"/>
      <w:bookmarkStart w:id="47" w:name="_Toc462564072"/>
      <w:bookmarkStart w:id="48" w:name="_Toc513029213"/>
      <w:bookmarkStart w:id="49" w:name="_Toc20823285"/>
      <w:r>
        <w:rPr>
          <w:rFonts w:hint="eastAsia" w:ascii="宋体" w:hAnsi="宋体" w:cs="宋体"/>
        </w:rPr>
        <w:t>三、投标文件的编制</w:t>
      </w:r>
      <w:bookmarkEnd w:id="45"/>
      <w:bookmarkEnd w:id="46"/>
      <w:bookmarkEnd w:id="47"/>
      <w:bookmarkEnd w:id="48"/>
      <w:bookmarkEnd w:id="49"/>
    </w:p>
    <w:p>
      <w:pPr>
        <w:pStyle w:val="2"/>
        <w:spacing w:before="0" w:after="0" w:line="440" w:lineRule="exact"/>
        <w:ind w:firstLine="560" w:firstLineChars="200"/>
        <w:rPr>
          <w:rFonts w:ascii="宋体" w:hAnsi="宋体" w:eastAsia="宋体" w:cs="宋体"/>
          <w:bCs w:val="0"/>
        </w:rPr>
      </w:pPr>
      <w:bookmarkStart w:id="50" w:name="_Toc16938530"/>
      <w:bookmarkStart w:id="51" w:name="_Toc20823286"/>
      <w:bookmarkStart w:id="52" w:name="_Toc462564073"/>
      <w:bookmarkStart w:id="53" w:name="_Toc513029214"/>
      <w:r>
        <w:rPr>
          <w:rFonts w:hint="eastAsia" w:ascii="宋体" w:hAnsi="宋体" w:eastAsia="宋体" w:cs="宋体"/>
          <w:b w:val="0"/>
          <w:bCs w:val="0"/>
        </w:rPr>
        <w:t>10、投标文件的语言及度量衡单位</w:t>
      </w:r>
      <w:bookmarkEnd w:id="50"/>
      <w:bookmarkEnd w:id="51"/>
      <w:bookmarkEnd w:id="52"/>
      <w:bookmarkEnd w:id="53"/>
    </w:p>
    <w:p>
      <w:pPr>
        <w:spacing w:line="440" w:lineRule="exact"/>
        <w:ind w:firstLine="480" w:firstLineChars="200"/>
        <w:rPr>
          <w:rFonts w:ascii="宋体" w:hAnsi="宋体" w:cs="宋体"/>
          <w:sz w:val="24"/>
        </w:rPr>
      </w:pPr>
      <w:r>
        <w:rPr>
          <w:rFonts w:hint="eastAsia" w:ascii="宋体" w:hAnsi="宋体" w:cs="宋体"/>
          <w:bCs/>
          <w:sz w:val="24"/>
        </w:rPr>
        <w:t>10.1</w:t>
      </w:r>
      <w:r>
        <w:rPr>
          <w:rFonts w:hint="eastAsia" w:ascii="宋体" w:hAnsi="宋体" w:cs="宋体"/>
          <w:sz w:val="24"/>
        </w:rPr>
        <w:t xml:space="preserve"> 投标人提交的投标文件以及投标人与采购人或采购代理机构就有关投标的所有来往通知、函件和文件均应使用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bCs/>
          <w:sz w:val="24"/>
        </w:rPr>
        <w:t>10.2</w:t>
      </w:r>
      <w:r>
        <w:rPr>
          <w:rFonts w:hint="eastAsia" w:ascii="宋体" w:hAnsi="宋体" w:cs="宋体"/>
          <w:sz w:val="24"/>
        </w:rPr>
        <w:t xml:space="preserve"> 除技术性能另有规定外，投标文件所使用的度量衡单位，均须采用国家法定计量单位。</w:t>
      </w:r>
    </w:p>
    <w:p>
      <w:pPr>
        <w:pStyle w:val="2"/>
        <w:spacing w:before="0" w:after="0" w:line="440" w:lineRule="exact"/>
        <w:ind w:firstLine="560" w:firstLineChars="200"/>
        <w:rPr>
          <w:rFonts w:ascii="宋体" w:hAnsi="宋体" w:eastAsia="宋体" w:cs="宋体"/>
          <w:b w:val="0"/>
          <w:bCs w:val="0"/>
        </w:rPr>
      </w:pPr>
      <w:bookmarkStart w:id="54" w:name="_Toc20823287"/>
      <w:bookmarkStart w:id="55" w:name="_Toc16938531"/>
      <w:bookmarkStart w:id="56" w:name="_Toc462564074"/>
      <w:bookmarkStart w:id="57" w:name="_Toc513029215"/>
      <w:r>
        <w:rPr>
          <w:rFonts w:hint="eastAsia" w:ascii="宋体" w:hAnsi="宋体" w:eastAsia="宋体" w:cs="宋体"/>
          <w:b w:val="0"/>
          <w:bCs w:val="0"/>
        </w:rPr>
        <w:t>11、投标文件构成</w:t>
      </w:r>
      <w:bookmarkEnd w:id="54"/>
      <w:bookmarkEnd w:id="55"/>
      <w:bookmarkEnd w:id="56"/>
      <w:bookmarkEnd w:id="57"/>
    </w:p>
    <w:p>
      <w:pPr>
        <w:spacing w:line="440" w:lineRule="exact"/>
        <w:ind w:firstLine="480" w:firstLineChars="200"/>
        <w:rPr>
          <w:rFonts w:ascii="宋体" w:hAnsi="宋体" w:cs="宋体"/>
          <w:sz w:val="24"/>
        </w:rPr>
      </w:pPr>
      <w:r>
        <w:rPr>
          <w:rFonts w:hint="eastAsia" w:ascii="宋体" w:hAnsi="宋体" w:cs="宋体"/>
          <w:bCs/>
          <w:sz w:val="24"/>
        </w:rPr>
        <w:t>11.1</w:t>
      </w:r>
      <w:r>
        <w:rPr>
          <w:rFonts w:hint="eastAsia" w:ascii="宋体" w:hAnsi="宋体" w:cs="宋体"/>
          <w:sz w:val="24"/>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hAnsi="宋体" w:cs="宋体"/>
          <w:sz w:val="24"/>
        </w:rPr>
      </w:pPr>
      <w:r>
        <w:rPr>
          <w:rFonts w:hint="eastAsia" w:ascii="宋体" w:hAnsi="宋体" w:cs="宋体"/>
          <w:sz w:val="24"/>
        </w:rPr>
        <w:t>11.2</w:t>
      </w:r>
      <w:r>
        <w:rPr>
          <w:rFonts w:hint="eastAsia" w:ascii="宋体" w:hAnsi="宋体" w:cs="宋体"/>
          <w:b/>
          <w:sz w:val="24"/>
        </w:rPr>
        <w:t xml:space="preserve"> </w:t>
      </w:r>
      <w:r>
        <w:rPr>
          <w:rFonts w:hint="eastAsia" w:ascii="宋体" w:hAnsi="宋体" w:cs="宋体"/>
          <w:sz w:val="24"/>
        </w:rPr>
        <w:t>投标人应将投标文件按顺序装订成册，并编制投标文件资料目录。</w:t>
      </w:r>
    </w:p>
    <w:p>
      <w:pPr>
        <w:pStyle w:val="2"/>
        <w:spacing w:before="0" w:after="0" w:line="440" w:lineRule="exact"/>
        <w:ind w:firstLine="560" w:firstLineChars="200"/>
        <w:rPr>
          <w:rFonts w:ascii="宋体" w:hAnsi="宋体" w:eastAsia="宋体" w:cs="宋体"/>
          <w:b w:val="0"/>
          <w:bCs w:val="0"/>
        </w:rPr>
      </w:pPr>
      <w:bookmarkStart w:id="58" w:name="_Hlt26668975"/>
      <w:bookmarkEnd w:id="58"/>
      <w:bookmarkStart w:id="59" w:name="_Hlt26954838"/>
      <w:bookmarkEnd w:id="59"/>
      <w:bookmarkStart w:id="60" w:name="_Hlt26670360"/>
      <w:bookmarkEnd w:id="60"/>
      <w:bookmarkStart w:id="61" w:name="_Toc49090509"/>
      <w:bookmarkStart w:id="62" w:name="_Toc513029219"/>
      <w:bookmarkStart w:id="63" w:name="_Toc14577357"/>
      <w:bookmarkStart w:id="64" w:name="_Toc14577354"/>
      <w:bookmarkStart w:id="65" w:name="_Toc49090507"/>
      <w:bookmarkStart w:id="66" w:name="_Toc513029216"/>
      <w:r>
        <w:rPr>
          <w:rFonts w:hint="eastAsia" w:ascii="宋体" w:hAnsi="宋体" w:eastAsia="宋体" w:cs="宋体"/>
          <w:b w:val="0"/>
          <w:bCs w:val="0"/>
        </w:rPr>
        <w:t>12、证明投标人资格及符合招标文件规定的文件</w:t>
      </w:r>
      <w:bookmarkEnd w:id="61"/>
      <w:bookmarkEnd w:id="62"/>
      <w:bookmarkEnd w:id="63"/>
    </w:p>
    <w:p>
      <w:pPr>
        <w:spacing w:line="440" w:lineRule="exact"/>
        <w:ind w:firstLine="480" w:firstLineChars="200"/>
        <w:rPr>
          <w:rFonts w:ascii="宋体" w:hAnsi="宋体" w:cs="宋体"/>
          <w:sz w:val="24"/>
        </w:rPr>
      </w:pPr>
      <w:r>
        <w:rPr>
          <w:rFonts w:hint="eastAsia" w:ascii="宋体" w:hAnsi="宋体" w:cs="宋体"/>
          <w:sz w:val="24"/>
        </w:rPr>
        <w:t>12.1</w:t>
      </w:r>
      <w:bookmarkStart w:id="67" w:name="_Hlt26668999"/>
      <w:bookmarkEnd w:id="67"/>
      <w:r>
        <w:rPr>
          <w:rFonts w:hint="eastAsia" w:ascii="宋体" w:hAnsi="宋体" w:cs="宋体"/>
          <w:sz w:val="24"/>
        </w:rPr>
        <w:t>投标人应按要求提交资格证明文件及符合招标文件规定的文件。</w:t>
      </w:r>
    </w:p>
    <w:p>
      <w:pPr>
        <w:spacing w:line="440" w:lineRule="exact"/>
        <w:ind w:firstLine="480" w:firstLineChars="200"/>
        <w:rPr>
          <w:rFonts w:ascii="宋体" w:hAnsi="宋体" w:cs="宋体"/>
          <w:sz w:val="24"/>
        </w:rPr>
      </w:pPr>
      <w:r>
        <w:rPr>
          <w:rFonts w:hint="eastAsia" w:ascii="宋体" w:hAnsi="宋体" w:cs="宋体"/>
          <w:sz w:val="24"/>
        </w:rPr>
        <w:t>12.2投标人应提交证明其有资格参加投标和中标后有能力独立履行合同的文件。</w:t>
      </w:r>
    </w:p>
    <w:p>
      <w:pPr>
        <w:spacing w:line="440" w:lineRule="exact"/>
        <w:ind w:firstLine="480" w:firstLineChars="200"/>
        <w:rPr>
          <w:rFonts w:ascii="宋体" w:hAnsi="宋体" w:cs="宋体"/>
          <w:sz w:val="24"/>
        </w:rPr>
      </w:pPr>
      <w:r>
        <w:rPr>
          <w:rFonts w:hint="eastAsia" w:ascii="宋体" w:hAnsi="宋体" w:cs="宋体"/>
          <w:sz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rPr>
        <w:t>。</w:t>
      </w:r>
    </w:p>
    <w:bookmarkEnd w:id="64"/>
    <w:bookmarkEnd w:id="65"/>
    <w:bookmarkEnd w:id="66"/>
    <w:p>
      <w:pPr>
        <w:pStyle w:val="2"/>
        <w:spacing w:before="0" w:after="0" w:line="440" w:lineRule="exact"/>
        <w:ind w:firstLine="560" w:firstLineChars="200"/>
        <w:rPr>
          <w:rFonts w:ascii="宋体" w:hAnsi="宋体" w:eastAsia="宋体" w:cs="宋体"/>
          <w:b w:val="0"/>
          <w:bCs w:val="0"/>
        </w:rPr>
      </w:pPr>
      <w:bookmarkStart w:id="68" w:name="_Toc14577355"/>
      <w:bookmarkStart w:id="69" w:name="_Toc49090508"/>
      <w:r>
        <w:rPr>
          <w:rFonts w:hint="eastAsia" w:ascii="宋体" w:hAnsi="宋体" w:eastAsia="宋体" w:cs="宋体"/>
          <w:b w:val="0"/>
          <w:bCs w:val="0"/>
        </w:rPr>
        <w:t>13、供货一览表和投标配置与分项报价</w:t>
      </w:r>
      <w:bookmarkEnd w:id="68"/>
      <w:bookmarkStart w:id="70" w:name="_Hlt26670373"/>
      <w:bookmarkEnd w:id="70"/>
      <w:r>
        <w:rPr>
          <w:rFonts w:hint="eastAsia" w:ascii="宋体" w:hAnsi="宋体" w:eastAsia="宋体" w:cs="宋体"/>
          <w:b w:val="0"/>
          <w:bCs w:val="0"/>
        </w:rPr>
        <w:t>表</w:t>
      </w:r>
      <w:bookmarkEnd w:id="69"/>
    </w:p>
    <w:p>
      <w:pPr>
        <w:spacing w:line="440" w:lineRule="exact"/>
        <w:ind w:firstLine="480" w:firstLineChars="200"/>
        <w:rPr>
          <w:rFonts w:ascii="宋体" w:hAnsi="宋体" w:cs="宋体"/>
          <w:bCs/>
          <w:sz w:val="24"/>
        </w:rPr>
      </w:pPr>
      <w:r>
        <w:rPr>
          <w:rFonts w:hint="eastAsia" w:ascii="宋体" w:hAnsi="宋体" w:cs="宋体"/>
          <w:bCs/>
          <w:sz w:val="24"/>
        </w:rPr>
        <w:t>13.1</w:t>
      </w:r>
      <w:r>
        <w:rPr>
          <w:rFonts w:hint="eastAsia" w:ascii="宋体" w:hAnsi="宋体" w:cs="宋体"/>
          <w:sz w:val="24"/>
        </w:rPr>
        <w:t xml:space="preserve"> 投</w:t>
      </w:r>
      <w:bookmarkStart w:id="71" w:name="_Hlt26954840"/>
      <w:bookmarkEnd w:id="71"/>
      <w:r>
        <w:rPr>
          <w:rFonts w:hint="eastAsia" w:ascii="宋体" w:hAnsi="宋体" w:cs="宋体"/>
          <w:sz w:val="24"/>
        </w:rPr>
        <w:t>标人应按照招标文件规定格式填报供货一览表、投标配置与分项报价表</w:t>
      </w:r>
      <w:bookmarkStart w:id="72" w:name="_Hlt26670399"/>
      <w:bookmarkEnd w:id="72"/>
      <w:r>
        <w:rPr>
          <w:rFonts w:hint="eastAsia" w:ascii="宋体" w:hAnsi="宋体" w:cs="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rPr>
      </w:pPr>
      <w:r>
        <w:rPr>
          <w:rFonts w:hint="eastAsia" w:ascii="宋体" w:hAnsi="宋体" w:cs="宋体"/>
          <w:bCs/>
          <w:sz w:val="24"/>
        </w:rPr>
        <w:t>13.2</w:t>
      </w:r>
      <w:r>
        <w:rPr>
          <w:rFonts w:hint="eastAsia" w:ascii="宋体" w:hAnsi="宋体" w:cs="宋体"/>
          <w:sz w:val="24"/>
        </w:rPr>
        <w:t xml:space="preserve"> 标的物</w:t>
      </w:r>
    </w:p>
    <w:p>
      <w:pPr>
        <w:spacing w:line="440" w:lineRule="exact"/>
        <w:ind w:firstLine="480" w:firstLineChars="200"/>
        <w:rPr>
          <w:rFonts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440" w:lineRule="exact"/>
        <w:ind w:firstLine="480" w:firstLineChars="200"/>
        <w:rPr>
          <w:rFonts w:ascii="宋体" w:hAnsi="宋体" w:cs="宋体"/>
          <w:bCs/>
          <w:sz w:val="24"/>
        </w:rPr>
      </w:pPr>
      <w:r>
        <w:rPr>
          <w:rFonts w:hint="eastAsia" w:ascii="宋体" w:hAnsi="宋体" w:cs="宋体"/>
          <w:sz w:val="24"/>
        </w:rPr>
        <w:t>13.3</w:t>
      </w:r>
      <w:r>
        <w:rPr>
          <w:rFonts w:hint="eastAsia" w:ascii="宋体" w:hAnsi="宋体" w:cs="宋体"/>
          <w:bCs/>
          <w:sz w:val="24"/>
        </w:rPr>
        <w:t>有关费用处理</w:t>
      </w:r>
    </w:p>
    <w:p>
      <w:pPr>
        <w:spacing w:line="440" w:lineRule="exact"/>
        <w:ind w:firstLine="480" w:firstLineChars="200"/>
        <w:rPr>
          <w:rFonts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rPr>
      </w:pPr>
      <w:r>
        <w:rPr>
          <w:rFonts w:hint="eastAsia" w:ascii="宋体" w:hAnsi="宋体" w:cs="宋体"/>
          <w:sz w:val="24"/>
        </w:rPr>
        <w:t>13.4</w:t>
      </w:r>
      <w:r>
        <w:rPr>
          <w:rFonts w:hint="eastAsia" w:ascii="宋体" w:hAnsi="宋体" w:cs="宋体"/>
          <w:bCs/>
          <w:sz w:val="24"/>
        </w:rPr>
        <w:t>其它费用处理</w:t>
      </w:r>
    </w:p>
    <w:p>
      <w:pPr>
        <w:spacing w:line="440" w:lineRule="exact"/>
        <w:ind w:firstLine="480" w:firstLineChars="200"/>
        <w:rPr>
          <w:rFonts w:ascii="宋体" w:hAnsi="宋体" w:cs="宋体"/>
          <w:bCs/>
          <w:sz w:val="24"/>
        </w:rPr>
      </w:pPr>
      <w:r>
        <w:rPr>
          <w:rFonts w:hint="eastAsia" w:ascii="宋体" w:hAnsi="宋体" w:cs="宋体"/>
          <w:bCs/>
          <w:sz w:val="24"/>
        </w:rPr>
        <w:t>招标文件未列明，而投标人认为必需的费用也需列入报价。</w:t>
      </w:r>
    </w:p>
    <w:p>
      <w:pPr>
        <w:spacing w:line="440" w:lineRule="exact"/>
        <w:ind w:firstLine="480" w:firstLineChars="200"/>
        <w:rPr>
          <w:rFonts w:ascii="宋体" w:hAnsi="宋体" w:cs="宋体"/>
          <w:bCs/>
          <w:sz w:val="24"/>
        </w:rPr>
      </w:pPr>
      <w:r>
        <w:rPr>
          <w:rFonts w:hint="eastAsia" w:ascii="宋体" w:hAnsi="宋体" w:cs="宋体"/>
          <w:sz w:val="24"/>
        </w:rPr>
        <w:t>13.5</w:t>
      </w:r>
      <w:r>
        <w:rPr>
          <w:rFonts w:hint="eastAsia" w:ascii="宋体" w:hAnsi="宋体" w:cs="宋体"/>
          <w:bCs/>
          <w:sz w:val="24"/>
        </w:rPr>
        <w:t>投标货币</w:t>
      </w:r>
    </w:p>
    <w:p>
      <w:pPr>
        <w:spacing w:line="440" w:lineRule="exact"/>
        <w:ind w:firstLine="480" w:firstLineChars="200"/>
        <w:rPr>
          <w:rFonts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440" w:lineRule="exact"/>
        <w:ind w:firstLine="480" w:firstLineChars="200"/>
        <w:rPr>
          <w:rFonts w:ascii="宋体" w:hAnsi="宋体" w:cs="宋体"/>
          <w:sz w:val="24"/>
        </w:rPr>
      </w:pPr>
      <w:r>
        <w:rPr>
          <w:rFonts w:hint="eastAsia" w:ascii="宋体" w:hAnsi="宋体" w:cs="宋体"/>
          <w:sz w:val="24"/>
        </w:rPr>
        <w:t>13.6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40" w:lineRule="exact"/>
        <w:ind w:firstLine="480" w:firstLineChars="200"/>
        <w:rPr>
          <w:rFonts w:ascii="宋体" w:hAnsi="宋体" w:cs="宋体"/>
          <w:bCs/>
          <w:sz w:val="24"/>
        </w:rPr>
      </w:pPr>
      <w:bookmarkStart w:id="73" w:name="_Hlt26954844"/>
      <w:bookmarkEnd w:id="73"/>
      <w:bookmarkStart w:id="74" w:name="_Hlt26954842"/>
      <w:bookmarkEnd w:id="74"/>
      <w:bookmarkStart w:id="75" w:name="_Hlt26670425"/>
      <w:bookmarkEnd w:id="75"/>
      <w:bookmarkStart w:id="76" w:name="_Hlt26670403"/>
      <w:bookmarkEnd w:id="76"/>
      <w:bookmarkStart w:id="77" w:name="_Hlt26668983"/>
      <w:bookmarkEnd w:id="7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买方需求的货物价格</w:t>
      </w:r>
      <w:r>
        <w:rPr>
          <w:rFonts w:hint="eastAsia" w:ascii="宋体" w:hAnsi="宋体" w:cs="宋体"/>
          <w:sz w:val="24"/>
        </w:rPr>
        <w:t>、</w:t>
      </w:r>
      <w:r>
        <w:rPr>
          <w:rFonts w:hint="eastAsia" w:ascii="宋体" w:hAnsi="宋体" w:cs="宋体"/>
          <w:bCs/>
          <w:sz w:val="24"/>
        </w:rPr>
        <w:t>质量保证费用、培训费用及售后服务费用，项目在指定地点、环境交付、安装、调试、验收所需费用和所有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4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bookmarkStart w:id="78" w:name="_Hlt26954846"/>
      <w:bookmarkEnd w:id="78"/>
      <w:bookmarkStart w:id="79" w:name="_Hlt26670486"/>
      <w:bookmarkEnd w:id="79"/>
      <w:bookmarkStart w:id="80" w:name="_Hlt26954731"/>
      <w:bookmarkEnd w:id="80"/>
      <w:bookmarkStart w:id="81" w:name="_Hlt26670482"/>
      <w:bookmarkEnd w:id="81"/>
      <w:bookmarkStart w:id="82" w:name="_Hlt26954848"/>
      <w:bookmarkEnd w:id="82"/>
    </w:p>
    <w:p>
      <w:pPr>
        <w:spacing w:line="440" w:lineRule="exact"/>
        <w:ind w:firstLine="560" w:firstLineChars="200"/>
        <w:rPr>
          <w:rFonts w:ascii="宋体" w:hAnsi="宋体" w:cs="宋体"/>
          <w:bCs/>
          <w:sz w:val="24"/>
        </w:rPr>
      </w:pPr>
      <w:r>
        <w:rPr>
          <w:rFonts w:hint="eastAsia" w:ascii="宋体" w:hAnsi="宋体" w:cs="宋体"/>
          <w:bCs/>
          <w:sz w:val="28"/>
          <w:szCs w:val="28"/>
        </w:rPr>
        <w:t>14</w:t>
      </w:r>
      <w:r>
        <w:rPr>
          <w:rFonts w:hint="eastAsia" w:ascii="宋体" w:hAnsi="宋体" w:cs="宋体"/>
          <w:b/>
          <w:bCs/>
        </w:rPr>
        <w:t>、</w:t>
      </w:r>
      <w:r>
        <w:rPr>
          <w:rFonts w:hint="eastAsia" w:ascii="宋体" w:hAnsi="宋体" w:cs="宋体"/>
          <w:sz w:val="28"/>
          <w:szCs w:val="28"/>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bCs/>
          <w:sz w:val="24"/>
          <w:lang w:val="zh-CN"/>
        </w:rPr>
        <w:t>14.1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ascii="宋体" w:hAnsi="宋体" w:cs="宋体"/>
          <w:bCs/>
          <w:sz w:val="24"/>
          <w:lang w:val="zh-CN"/>
        </w:rPr>
      </w:pPr>
      <w:r>
        <w:rPr>
          <w:rFonts w:hint="eastAsia" w:ascii="宋体" w:hAnsi="宋体" w:cs="宋体"/>
          <w:bCs/>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bCs/>
          <w:sz w:val="24"/>
          <w:lang w:val="zh-CN"/>
        </w:rPr>
      </w:pPr>
      <w:r>
        <w:rPr>
          <w:rFonts w:hint="eastAsia" w:ascii="宋体" w:hAnsi="宋体" w:cs="宋体"/>
          <w:bCs/>
          <w:sz w:val="24"/>
          <w:szCs w:val="24"/>
        </w:rPr>
        <w:t>15、1投标人的服务承诺应按不低于招标文件中商务要求的标准。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560" w:firstLineChars="200"/>
        <w:rPr>
          <w:rFonts w:ascii="宋体" w:hAnsi="宋体" w:eastAsia="宋体" w:cs="宋体"/>
          <w:b w:val="0"/>
          <w:bCs w:val="0"/>
        </w:rPr>
      </w:pPr>
      <w:bookmarkStart w:id="83" w:name="_Toc49090510"/>
      <w:bookmarkStart w:id="84" w:name="_Toc14577359"/>
      <w:r>
        <w:rPr>
          <w:rFonts w:hint="eastAsia" w:ascii="宋体" w:hAnsi="宋体" w:eastAsia="宋体" w:cs="宋体"/>
          <w:b w:val="0"/>
          <w:bCs w:val="0"/>
        </w:rPr>
        <w:t>16、投标函和开标一览表</w:t>
      </w:r>
    </w:p>
    <w:p>
      <w:pPr>
        <w:spacing w:line="440" w:lineRule="exact"/>
        <w:ind w:firstLine="480" w:firstLineChars="200"/>
        <w:rPr>
          <w:rFonts w:ascii="宋体" w:hAnsi="宋体" w:cs="宋体"/>
          <w:sz w:val="24"/>
        </w:rPr>
      </w:pPr>
      <w:r>
        <w:rPr>
          <w:rFonts w:hint="eastAsia" w:ascii="宋体" w:hAnsi="宋体" w:cs="宋体"/>
          <w:bCs/>
          <w:sz w:val="24"/>
        </w:rPr>
        <w:t>16.1</w:t>
      </w:r>
      <w:r>
        <w:rPr>
          <w:rFonts w:hint="eastAsia" w:ascii="宋体" w:hAnsi="宋体" w:cs="宋体"/>
          <w:sz w:val="24"/>
        </w:rPr>
        <w:t xml:space="preserve"> 投标人应按照招标文件中提供的格式完整、正确填写投标函、开标一览表。</w:t>
      </w:r>
    </w:p>
    <w:p>
      <w:pPr>
        <w:spacing w:line="440" w:lineRule="exact"/>
        <w:ind w:firstLine="480" w:firstLineChars="200"/>
        <w:rPr>
          <w:rFonts w:ascii="宋体" w:hAnsi="宋体" w:cs="宋体"/>
          <w:sz w:val="24"/>
        </w:rPr>
      </w:pPr>
      <w:r>
        <w:rPr>
          <w:rFonts w:hint="eastAsia" w:ascii="宋体" w:hAnsi="宋体" w:cs="宋体"/>
          <w:bCs/>
          <w:sz w:val="24"/>
        </w:rPr>
        <w:t>16.2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17、投标保证金</w:t>
      </w:r>
      <w:bookmarkEnd w:id="83"/>
      <w:bookmarkEnd w:id="84"/>
    </w:p>
    <w:p>
      <w:pPr>
        <w:spacing w:line="440" w:lineRule="exact"/>
        <w:ind w:firstLine="480" w:firstLineChars="200"/>
        <w:rPr>
          <w:rFonts w:ascii="宋体" w:hAnsi="宋体" w:cs="宋体"/>
          <w:bCs/>
          <w:sz w:val="24"/>
        </w:rPr>
      </w:pPr>
      <w:r>
        <w:rPr>
          <w:rFonts w:hint="eastAsia" w:ascii="宋体" w:hAnsi="宋体" w:cs="宋体"/>
          <w:sz w:val="24"/>
        </w:rPr>
        <w:t>17.1</w:t>
      </w:r>
      <w:r>
        <w:rPr>
          <w:rFonts w:hint="eastAsia" w:ascii="宋体" w:hAnsi="宋体" w:cs="宋体"/>
          <w:bCs/>
          <w:sz w:val="24"/>
        </w:rPr>
        <w:t xml:space="preserve"> 投标人提交的投标保证金必须在投标截止时间前送达，并作为其投标的组成部分。</w:t>
      </w:r>
    </w:p>
    <w:p>
      <w:pPr>
        <w:spacing w:line="440" w:lineRule="exact"/>
        <w:ind w:firstLine="480" w:firstLineChars="200"/>
        <w:rPr>
          <w:rFonts w:ascii="宋体" w:hAnsi="宋体" w:cs="宋体"/>
          <w:bCs/>
          <w:sz w:val="24"/>
          <w:szCs w:val="24"/>
        </w:rPr>
      </w:pPr>
      <w:r>
        <w:rPr>
          <w:rFonts w:hint="eastAsia" w:ascii="宋体" w:hAnsi="宋体" w:cs="宋体"/>
          <w:sz w:val="24"/>
        </w:rPr>
        <w:t>17.2</w:t>
      </w:r>
      <w:r>
        <w:rPr>
          <w:rFonts w:hint="eastAsia" w:ascii="宋体" w:hAnsi="宋体" w:cs="宋体"/>
          <w:bCs/>
          <w:sz w:val="24"/>
        </w:rPr>
        <w:t>在开标时，对于未按要求提交投标保证金的投标无效，</w:t>
      </w:r>
      <w:r>
        <w:rPr>
          <w:rFonts w:hint="eastAsia" w:ascii="宋体" w:hAnsi="宋体" w:cs="宋体"/>
          <w:sz w:val="24"/>
        </w:rPr>
        <w:t>采购人或采购代理机构</w:t>
      </w:r>
      <w:r>
        <w:rPr>
          <w:rFonts w:hint="eastAsia" w:ascii="宋体" w:hAnsi="宋体" w:cs="宋体"/>
          <w:bCs/>
          <w:sz w:val="24"/>
        </w:rPr>
        <w:t>拒绝接收其投标文件。</w:t>
      </w:r>
    </w:p>
    <w:p>
      <w:pPr>
        <w:spacing w:line="440" w:lineRule="exact"/>
        <w:ind w:firstLine="480" w:firstLineChars="200"/>
        <w:rPr>
          <w:rFonts w:ascii="宋体" w:hAnsi="宋体" w:cs="宋体"/>
          <w:sz w:val="24"/>
        </w:rPr>
      </w:pPr>
      <w:r>
        <w:rPr>
          <w:rFonts w:hint="eastAsia" w:ascii="宋体" w:hAnsi="宋体" w:cs="宋体"/>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hAnsi="宋体" w:cs="宋体"/>
          <w:bCs/>
          <w:sz w:val="24"/>
        </w:rPr>
      </w:pPr>
      <w:r>
        <w:rPr>
          <w:rFonts w:hint="eastAsia" w:ascii="宋体" w:hAnsi="宋体" w:cs="宋体"/>
          <w:bCs/>
          <w:sz w:val="24"/>
        </w:rPr>
        <w:t>未中标的投标人的投标保证金，将在中标通知书发出之日起5个工作内退还，不计利息。</w:t>
      </w:r>
    </w:p>
    <w:p>
      <w:pPr>
        <w:spacing w:line="440" w:lineRule="exact"/>
        <w:ind w:firstLine="480" w:firstLineChars="200"/>
        <w:rPr>
          <w:rFonts w:ascii="宋体" w:hAnsi="宋体" w:cs="宋体"/>
          <w:bCs/>
          <w:sz w:val="24"/>
        </w:rPr>
      </w:pPr>
      <w:r>
        <w:rPr>
          <w:rFonts w:hint="eastAsia" w:ascii="宋体" w:hAnsi="宋体" w:cs="宋体"/>
          <w:sz w:val="24"/>
        </w:rPr>
        <w:t>17.4</w:t>
      </w:r>
      <w:r>
        <w:rPr>
          <w:rFonts w:hint="eastAsia" w:ascii="宋体" w:hAnsi="宋体" w:cs="宋体"/>
          <w:bCs/>
          <w:sz w:val="24"/>
        </w:rPr>
        <w:t>签订合同时，中标人须向采购人交纳履约保证金,于合同履行后无息退还。</w:t>
      </w:r>
    </w:p>
    <w:p>
      <w:pPr>
        <w:spacing w:line="440" w:lineRule="exact"/>
        <w:ind w:firstLine="482" w:firstLineChars="200"/>
        <w:rPr>
          <w:rFonts w:ascii="宋体" w:hAnsi="宋体" w:cs="宋体"/>
          <w:b/>
          <w:bCs/>
          <w:sz w:val="24"/>
        </w:rPr>
      </w:pPr>
      <w:r>
        <w:rPr>
          <w:rFonts w:hint="eastAsia" w:ascii="宋体" w:hAnsi="宋体" w:cs="宋体"/>
          <w:b/>
          <w:sz w:val="24"/>
        </w:rPr>
        <w:t>17.5</w:t>
      </w:r>
      <w:r>
        <w:rPr>
          <w:rFonts w:hint="eastAsia" w:ascii="宋体" w:hAnsi="宋体" w:cs="宋体"/>
          <w:b/>
          <w:bCs/>
          <w:sz w:val="24"/>
        </w:rPr>
        <w:t xml:space="preserve"> 下列任何情况发生时，投标保证金将不予退还：</w:t>
      </w:r>
    </w:p>
    <w:p>
      <w:pPr>
        <w:spacing w:line="440" w:lineRule="exact"/>
        <w:ind w:firstLine="480" w:firstLineChars="200"/>
        <w:rPr>
          <w:rFonts w:ascii="宋体" w:hAnsi="宋体" w:cs="宋体"/>
          <w:bCs/>
          <w:sz w:val="24"/>
        </w:rPr>
      </w:pPr>
      <w:r>
        <w:rPr>
          <w:rFonts w:hint="eastAsia" w:ascii="宋体" w:hAnsi="宋体" w:cs="宋体"/>
          <w:bCs/>
          <w:sz w:val="24"/>
        </w:rPr>
        <w:t>（1）投标人在投标有效期内撤回其投标；</w:t>
      </w:r>
    </w:p>
    <w:p>
      <w:pPr>
        <w:spacing w:line="440" w:lineRule="exact"/>
        <w:ind w:firstLine="480" w:firstLineChars="200"/>
        <w:rPr>
          <w:rFonts w:ascii="宋体" w:hAnsi="宋体" w:cs="宋体"/>
          <w:bCs/>
          <w:sz w:val="24"/>
        </w:rPr>
      </w:pPr>
      <w:r>
        <w:rPr>
          <w:rFonts w:hint="eastAsia" w:ascii="宋体" w:hAnsi="宋体" w:cs="宋体"/>
          <w:bCs/>
          <w:sz w:val="24"/>
        </w:rPr>
        <w:t>（2）投标人提供的有关资料、资格证明文件被确认是不真实的；</w:t>
      </w:r>
    </w:p>
    <w:p>
      <w:pPr>
        <w:spacing w:line="440" w:lineRule="exact"/>
        <w:ind w:firstLine="480" w:firstLineChars="200"/>
        <w:rPr>
          <w:rFonts w:ascii="宋体" w:hAnsi="宋体" w:cs="宋体"/>
          <w:sz w:val="24"/>
          <w:szCs w:val="24"/>
        </w:rPr>
      </w:pPr>
      <w:r>
        <w:rPr>
          <w:rFonts w:hint="eastAsia" w:ascii="宋体" w:hAnsi="宋体" w:cs="宋体"/>
          <w:sz w:val="24"/>
          <w:szCs w:val="24"/>
        </w:rPr>
        <w:t>（3） 投标人之间被证实有串通（统一哄抬价格）、欺诈行为；</w:t>
      </w:r>
    </w:p>
    <w:p>
      <w:pPr>
        <w:spacing w:line="440" w:lineRule="exact"/>
        <w:ind w:firstLine="480" w:firstLineChars="200"/>
        <w:rPr>
          <w:rFonts w:ascii="宋体" w:hAnsi="宋体" w:cs="宋体"/>
          <w:sz w:val="24"/>
          <w:szCs w:val="24"/>
        </w:rPr>
      </w:pPr>
      <w:r>
        <w:rPr>
          <w:rFonts w:hint="eastAsia" w:ascii="宋体" w:hAnsi="宋体" w:cs="宋体"/>
          <w:sz w:val="24"/>
          <w:szCs w:val="24"/>
        </w:rPr>
        <w:t>（4） 投标人被证明有妨碍其他人公平竞争、损害</w:t>
      </w:r>
      <w:r>
        <w:rPr>
          <w:rFonts w:hint="eastAsia" w:ascii="宋体" w:hAnsi="宋体" w:cs="宋体"/>
          <w:sz w:val="24"/>
        </w:rPr>
        <w:t>采购人或采购代理机构</w:t>
      </w:r>
      <w:r>
        <w:rPr>
          <w:rFonts w:hint="eastAsia" w:ascii="宋体" w:hAnsi="宋体" w:cs="宋体"/>
          <w:sz w:val="24"/>
          <w:szCs w:val="24"/>
        </w:rPr>
        <w:t>或者其他投标人合法权益的；</w:t>
      </w:r>
    </w:p>
    <w:p>
      <w:pPr>
        <w:pStyle w:val="2"/>
        <w:spacing w:before="0" w:after="0" w:line="440" w:lineRule="exact"/>
        <w:ind w:firstLine="560" w:firstLineChars="200"/>
        <w:rPr>
          <w:rFonts w:ascii="宋体" w:hAnsi="宋体" w:eastAsia="宋体" w:cs="宋体"/>
          <w:b w:val="0"/>
          <w:bCs w:val="0"/>
        </w:rPr>
      </w:pPr>
      <w:bookmarkStart w:id="85" w:name="_Hlt26670489"/>
      <w:bookmarkEnd w:id="85"/>
      <w:bookmarkStart w:id="86" w:name="_Hlt26954734"/>
      <w:bookmarkEnd w:id="86"/>
      <w:bookmarkStart w:id="87" w:name="_Hlt26954850"/>
      <w:bookmarkEnd w:id="87"/>
      <w:bookmarkStart w:id="88" w:name="_Toc49090511"/>
      <w:bookmarkStart w:id="89" w:name="_Toc14577360"/>
      <w:r>
        <w:rPr>
          <w:rFonts w:hint="eastAsia" w:ascii="宋体" w:hAnsi="宋体" w:eastAsia="宋体" w:cs="宋体"/>
          <w:b w:val="0"/>
          <w:bCs w:val="0"/>
        </w:rPr>
        <w:t>18、投标有效期</w:t>
      </w:r>
      <w:bookmarkEnd w:id="88"/>
      <w:bookmarkEnd w:id="89"/>
    </w:p>
    <w:p>
      <w:pPr>
        <w:spacing w:line="440" w:lineRule="exact"/>
        <w:ind w:firstLine="480" w:firstLineChars="200"/>
        <w:rPr>
          <w:rFonts w:ascii="宋体" w:hAnsi="宋体" w:cs="宋体"/>
          <w:bCs/>
          <w:sz w:val="24"/>
        </w:rPr>
      </w:pPr>
      <w:r>
        <w:rPr>
          <w:rFonts w:hint="eastAsia" w:ascii="宋体" w:hAnsi="宋体" w:cs="宋体"/>
          <w:sz w:val="24"/>
        </w:rPr>
        <w:t>18.1</w:t>
      </w:r>
      <w:r>
        <w:rPr>
          <w:rFonts w:hint="eastAsia" w:ascii="宋体" w:hAnsi="宋体" w:cs="宋体"/>
          <w:bCs/>
          <w:sz w:val="24"/>
        </w:rPr>
        <w:t xml:space="preserve"> 投标有效期为规定的开标之日后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pPr>
        <w:spacing w:line="440" w:lineRule="exact"/>
        <w:ind w:firstLine="480" w:firstLineChars="200"/>
        <w:rPr>
          <w:rFonts w:ascii="宋体" w:hAnsi="宋体" w:cs="宋体"/>
          <w:bCs/>
          <w:sz w:val="24"/>
        </w:rPr>
      </w:pPr>
      <w:r>
        <w:rPr>
          <w:rFonts w:hint="eastAsia" w:ascii="宋体" w:hAnsi="宋体" w:cs="宋体"/>
          <w:sz w:val="24"/>
        </w:rPr>
        <w:t>18.2</w:t>
      </w:r>
      <w:r>
        <w:rPr>
          <w:rFonts w:hint="eastAsia" w:ascii="宋体" w:hAnsi="宋体" w:cs="宋体"/>
          <w:bCs/>
          <w:sz w:val="24"/>
        </w:rPr>
        <w:t xml:space="preserve"> 在特殊情况下，</w:t>
      </w:r>
      <w:r>
        <w:rPr>
          <w:rFonts w:hint="eastAsia" w:ascii="宋体" w:hAnsi="宋体" w:cs="宋体"/>
          <w:sz w:val="24"/>
        </w:rPr>
        <w:t>采购人或采购代理机构</w:t>
      </w:r>
      <w:r>
        <w:rPr>
          <w:rFonts w:hint="eastAsia" w:ascii="宋体" w:hAnsi="宋体" w:cs="宋体"/>
          <w:bCs/>
          <w:sz w:val="24"/>
        </w:rPr>
        <w:t>于原投标有效期满之前，可向投标人提出延长投标有效期的要求。这种要求与答复均应采用书面形式。投标人可以拒绝</w:t>
      </w:r>
      <w:r>
        <w:rPr>
          <w:rFonts w:hint="eastAsia" w:ascii="宋体" w:hAnsi="宋体" w:cs="宋体"/>
          <w:sz w:val="24"/>
        </w:rPr>
        <w:t>采购人或采购代理机构</w:t>
      </w:r>
      <w:r>
        <w:rPr>
          <w:rFonts w:hint="eastAsia" w:ascii="宋体" w:hAnsi="宋体" w:cs="宋体"/>
          <w:bCs/>
          <w:sz w:val="24"/>
        </w:rPr>
        <w:t>的这一要求而放弃投标，</w:t>
      </w:r>
      <w:r>
        <w:rPr>
          <w:rFonts w:hint="eastAsia" w:ascii="宋体" w:hAnsi="宋体" w:cs="宋体"/>
          <w:sz w:val="24"/>
        </w:rPr>
        <w:t>采购人或采购代理机构</w:t>
      </w:r>
      <w:r>
        <w:rPr>
          <w:rFonts w:hint="eastAsia" w:ascii="宋体" w:hAnsi="宋体" w:cs="宋体"/>
          <w:sz w:val="24"/>
          <w:szCs w:val="24"/>
        </w:rPr>
        <w:t>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2"/>
        <w:spacing w:before="0" w:after="0" w:line="440" w:lineRule="exact"/>
        <w:ind w:firstLine="560" w:firstLineChars="200"/>
        <w:rPr>
          <w:rFonts w:ascii="宋体" w:hAnsi="宋体" w:eastAsia="宋体" w:cs="宋体"/>
          <w:b w:val="0"/>
          <w:bCs w:val="0"/>
        </w:rPr>
      </w:pPr>
      <w:bookmarkStart w:id="90" w:name="_Hlt26954739"/>
      <w:bookmarkEnd w:id="90"/>
      <w:bookmarkStart w:id="91" w:name="_Hlt26954852"/>
      <w:bookmarkEnd w:id="91"/>
      <w:bookmarkStart w:id="92" w:name="_Toc49090512"/>
      <w:bookmarkStart w:id="93" w:name="_Toc14577361"/>
      <w:r>
        <w:rPr>
          <w:rFonts w:hint="eastAsia" w:ascii="宋体" w:hAnsi="宋体" w:eastAsia="宋体" w:cs="宋体"/>
          <w:b w:val="0"/>
          <w:bCs w:val="0"/>
        </w:rPr>
        <w:t>19、投标文件份数和签署</w:t>
      </w:r>
      <w:bookmarkEnd w:id="92"/>
      <w:bookmarkEnd w:id="93"/>
    </w:p>
    <w:p>
      <w:pPr>
        <w:spacing w:line="440" w:lineRule="exact"/>
        <w:ind w:firstLine="480" w:firstLineChars="200"/>
        <w:rPr>
          <w:rFonts w:ascii="宋体" w:hAnsi="宋体" w:cs="宋体"/>
          <w:bCs/>
          <w:sz w:val="24"/>
        </w:rPr>
      </w:pPr>
      <w:r>
        <w:rPr>
          <w:rFonts w:hint="eastAsia" w:ascii="宋体" w:hAnsi="宋体" w:cs="宋体"/>
          <w:sz w:val="24"/>
        </w:rPr>
        <w:t>19.1</w:t>
      </w:r>
      <w:r>
        <w:rPr>
          <w:rFonts w:hint="eastAsia" w:ascii="宋体" w:hAnsi="宋体" w:cs="宋体"/>
          <w:b/>
          <w:sz w:val="24"/>
        </w:rPr>
        <w:t xml:space="preserve"> </w:t>
      </w:r>
      <w:r>
        <w:rPr>
          <w:rFonts w:hint="eastAsia" w:ascii="宋体" w:hAnsi="宋体" w:cs="宋体"/>
          <w:bCs/>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rPr>
      </w:pPr>
      <w:r>
        <w:rPr>
          <w:rFonts w:hint="eastAsia" w:ascii="宋体" w:hAnsi="宋体" w:cs="宋体"/>
          <w:sz w:val="24"/>
        </w:rPr>
        <w:t>19.2</w:t>
      </w:r>
      <w:r>
        <w:rPr>
          <w:rFonts w:hint="eastAsia" w:ascii="宋体" w:hAnsi="宋体" w:cs="宋体"/>
          <w:b/>
          <w:sz w:val="24"/>
        </w:rPr>
        <w:t xml:space="preserve"> </w:t>
      </w:r>
      <w:r>
        <w:rPr>
          <w:rFonts w:hint="eastAsia" w:ascii="宋体" w:hAnsi="宋体" w:cs="宋体"/>
          <w:sz w:val="24"/>
        </w:rPr>
        <w:t>投标文件正本中，</w:t>
      </w:r>
      <w:r>
        <w:rPr>
          <w:rFonts w:hint="eastAsia" w:ascii="宋体" w:hAnsi="宋体" w:cs="宋体"/>
          <w:bCs/>
          <w:sz w:val="24"/>
        </w:rPr>
        <w:t>招标文件要求必须提供原件的按照要求提供，文</w:t>
      </w:r>
      <w:r>
        <w:rPr>
          <w:rFonts w:hint="eastAsia" w:ascii="宋体" w:hAnsi="宋体" w:cs="宋体"/>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rPr>
      </w:pPr>
      <w:r>
        <w:rPr>
          <w:rFonts w:hint="eastAsia" w:ascii="宋体" w:hAnsi="宋体" w:cs="宋体"/>
          <w:sz w:val="24"/>
        </w:rPr>
        <w:t>19.3</w:t>
      </w:r>
      <w:r>
        <w:rPr>
          <w:rFonts w:hint="eastAsia" w:ascii="宋体" w:hAnsi="宋体" w:cs="宋体"/>
          <w:bCs/>
          <w:sz w:val="24"/>
        </w:rPr>
        <w:t xml:space="preserve"> 除投标人对错处做必要修改外，投标文件不得行间插字、涂改或增删。如有修改错漏处，必须由投标文件签署人签字或盖章。</w:t>
      </w:r>
    </w:p>
    <w:p>
      <w:pPr>
        <w:pStyle w:val="6"/>
        <w:spacing w:before="0" w:after="0" w:line="440" w:lineRule="exact"/>
        <w:ind w:firstLine="643" w:firstLineChars="200"/>
        <w:rPr>
          <w:rFonts w:ascii="宋体" w:hAnsi="宋体" w:cs="宋体"/>
        </w:rPr>
      </w:pPr>
      <w:bookmarkStart w:id="94" w:name="_Toc513029224"/>
      <w:bookmarkStart w:id="95" w:name="_Toc120614217"/>
      <w:bookmarkStart w:id="96" w:name="_Toc20823296"/>
      <w:bookmarkStart w:id="97" w:name="_Toc16938540"/>
      <w:r>
        <w:rPr>
          <w:rFonts w:hint="eastAsia" w:ascii="宋体" w:hAnsi="宋体" w:cs="宋体"/>
        </w:rPr>
        <w:t>四、投标文件的递交</w:t>
      </w:r>
      <w:bookmarkEnd w:id="94"/>
      <w:bookmarkEnd w:id="95"/>
      <w:bookmarkEnd w:id="96"/>
      <w:bookmarkEnd w:id="97"/>
    </w:p>
    <w:p>
      <w:pPr>
        <w:pStyle w:val="2"/>
        <w:spacing w:before="0" w:after="0" w:line="440" w:lineRule="exact"/>
        <w:ind w:firstLine="560" w:firstLineChars="200"/>
        <w:rPr>
          <w:rFonts w:ascii="宋体" w:hAnsi="宋体" w:eastAsia="宋体" w:cs="宋体"/>
          <w:b w:val="0"/>
          <w:bCs w:val="0"/>
        </w:rPr>
      </w:pPr>
      <w:bookmarkStart w:id="98" w:name="_Toc513029225"/>
      <w:bookmarkStart w:id="99" w:name="_Toc16938541"/>
      <w:bookmarkStart w:id="100" w:name="_Toc20823297"/>
      <w:bookmarkStart w:id="101" w:name="_Toc462564084"/>
      <w:r>
        <w:rPr>
          <w:rFonts w:hint="eastAsia" w:ascii="宋体" w:hAnsi="宋体" w:eastAsia="宋体" w:cs="宋体"/>
          <w:b w:val="0"/>
          <w:bCs w:val="0"/>
        </w:rPr>
        <w:t>20、投标文件的密封和标记</w:t>
      </w:r>
      <w:bookmarkEnd w:id="98"/>
      <w:bookmarkEnd w:id="99"/>
      <w:bookmarkEnd w:id="100"/>
      <w:bookmarkEnd w:id="101"/>
    </w:p>
    <w:p>
      <w:pPr>
        <w:spacing w:line="440" w:lineRule="exact"/>
        <w:ind w:firstLine="480" w:firstLineChars="200"/>
        <w:rPr>
          <w:rFonts w:ascii="宋体" w:hAnsi="宋体" w:cs="宋体"/>
          <w:bCs/>
          <w:sz w:val="24"/>
        </w:rPr>
      </w:pPr>
      <w:r>
        <w:rPr>
          <w:rFonts w:hint="eastAsia" w:ascii="宋体" w:hAnsi="宋体" w:cs="宋体"/>
          <w:sz w:val="24"/>
        </w:rPr>
        <w:t>20.1</w:t>
      </w:r>
      <w:r>
        <w:rPr>
          <w:rFonts w:hint="eastAsia" w:ascii="宋体" w:hAnsi="宋体" w:cs="宋体"/>
          <w:bCs/>
          <w:sz w:val="24"/>
        </w:rPr>
        <w:t>投标人应将投标文件正本和所有副本密封，不论投标人中标与否，投标文件均不退回。</w:t>
      </w:r>
    </w:p>
    <w:p>
      <w:pPr>
        <w:spacing w:line="440" w:lineRule="exact"/>
        <w:ind w:firstLine="480" w:firstLineChars="200"/>
        <w:rPr>
          <w:rFonts w:ascii="宋体" w:hAnsi="宋体" w:cs="宋体"/>
          <w:bCs/>
          <w:sz w:val="24"/>
        </w:rPr>
      </w:pPr>
      <w:r>
        <w:rPr>
          <w:rFonts w:hint="eastAsia" w:ascii="宋体" w:hAnsi="宋体" w:cs="宋体"/>
          <w:sz w:val="24"/>
        </w:rPr>
        <w:t>20.2</w:t>
      </w:r>
      <w:r>
        <w:rPr>
          <w:rFonts w:hint="eastAsia" w:ascii="宋体" w:hAnsi="宋体" w:cs="宋体"/>
          <w:bCs/>
          <w:sz w:val="24"/>
        </w:rPr>
        <w:t xml:space="preserve"> 密封的投标文件应：</w:t>
      </w:r>
    </w:p>
    <w:p>
      <w:pPr>
        <w:spacing w:line="440" w:lineRule="exact"/>
        <w:ind w:firstLine="480" w:firstLineChars="200"/>
        <w:rPr>
          <w:rFonts w:ascii="宋体" w:hAnsi="宋体" w:cs="宋体"/>
          <w:bCs/>
          <w:sz w:val="24"/>
        </w:rPr>
      </w:pPr>
      <w:r>
        <w:rPr>
          <w:rFonts w:hint="eastAsia" w:ascii="宋体" w:hAnsi="宋体" w:cs="宋体"/>
          <w:bCs/>
          <w:sz w:val="24"/>
        </w:rPr>
        <w:t>20.2.1 注明投标人名称，如因标注不清而产生的后果由投标人自负。按招标公告中注明的地址送达；</w:t>
      </w:r>
    </w:p>
    <w:p>
      <w:pPr>
        <w:spacing w:line="440" w:lineRule="exact"/>
        <w:ind w:firstLine="480" w:firstLineChars="200"/>
        <w:rPr>
          <w:rFonts w:ascii="宋体" w:hAnsi="宋体" w:cs="宋体"/>
          <w:bCs/>
          <w:sz w:val="24"/>
        </w:rPr>
      </w:pPr>
      <w:r>
        <w:rPr>
          <w:rFonts w:hint="eastAsia" w:ascii="宋体" w:hAnsi="宋体" w:cs="宋体"/>
          <w:bCs/>
          <w:sz w:val="24"/>
        </w:rPr>
        <w:t>20.2.2  注明投标项目名称、标书编号及分包号。</w:t>
      </w:r>
    </w:p>
    <w:p>
      <w:pPr>
        <w:spacing w:line="440" w:lineRule="exact"/>
        <w:ind w:firstLine="480" w:firstLineChars="200"/>
        <w:rPr>
          <w:rFonts w:ascii="宋体" w:hAnsi="宋体" w:cs="宋体"/>
          <w:bCs/>
          <w:sz w:val="24"/>
        </w:rPr>
      </w:pPr>
      <w:r>
        <w:rPr>
          <w:rFonts w:hint="eastAsia" w:ascii="宋体" w:hAnsi="宋体" w:cs="宋体"/>
          <w:sz w:val="24"/>
        </w:rPr>
        <w:t>20.2.3</w:t>
      </w:r>
      <w:r>
        <w:rPr>
          <w:rFonts w:hint="eastAsia" w:ascii="宋体" w:hAnsi="宋体" w:cs="宋体"/>
          <w:bCs/>
          <w:sz w:val="24"/>
        </w:rPr>
        <w:t xml:space="preserve">  未按要求密封和加写标记，</w:t>
      </w:r>
      <w:r>
        <w:rPr>
          <w:rFonts w:hint="eastAsia" w:ascii="宋体" w:hAnsi="宋体" w:cs="宋体"/>
          <w:sz w:val="24"/>
        </w:rPr>
        <w:t>采购人或采购代理机构</w:t>
      </w:r>
      <w:r>
        <w:rPr>
          <w:rFonts w:hint="eastAsia" w:ascii="宋体" w:hAnsi="宋体" w:cs="宋体"/>
          <w:bCs/>
          <w:sz w:val="24"/>
        </w:rPr>
        <w:t>对误投或过早启封概不负责。对由此造成提前开封的投标文件，</w:t>
      </w:r>
      <w:r>
        <w:rPr>
          <w:rFonts w:hint="eastAsia" w:ascii="宋体" w:hAnsi="宋体" w:cs="宋体"/>
          <w:sz w:val="24"/>
        </w:rPr>
        <w:t>采购人或采购代理机构</w:t>
      </w:r>
      <w:r>
        <w:rPr>
          <w:rFonts w:hint="eastAsia" w:ascii="宋体" w:hAnsi="宋体" w:cs="宋体"/>
          <w:bCs/>
          <w:sz w:val="24"/>
        </w:rPr>
        <w:t>将予以拒绝，作无效投标处理。</w:t>
      </w:r>
    </w:p>
    <w:p>
      <w:pPr>
        <w:pStyle w:val="2"/>
        <w:spacing w:before="0" w:after="0" w:line="440" w:lineRule="exact"/>
        <w:ind w:firstLine="560" w:firstLineChars="200"/>
        <w:rPr>
          <w:rFonts w:ascii="宋体" w:hAnsi="宋体" w:eastAsia="宋体" w:cs="宋体"/>
          <w:b w:val="0"/>
          <w:bCs w:val="0"/>
        </w:rPr>
      </w:pPr>
      <w:bookmarkStart w:id="102" w:name="_Toc16938542"/>
      <w:bookmarkStart w:id="103" w:name="_Toc513029226"/>
      <w:bookmarkStart w:id="104" w:name="_Toc20823298"/>
      <w:r>
        <w:rPr>
          <w:rFonts w:hint="eastAsia" w:ascii="宋体" w:hAnsi="宋体" w:eastAsia="宋体" w:cs="宋体"/>
          <w:b w:val="0"/>
          <w:bCs w:val="0"/>
        </w:rPr>
        <w:t>21、投标截止日期</w:t>
      </w:r>
      <w:bookmarkEnd w:id="102"/>
      <w:bookmarkEnd w:id="103"/>
      <w:bookmarkEnd w:id="104"/>
    </w:p>
    <w:p>
      <w:pPr>
        <w:spacing w:line="440" w:lineRule="exact"/>
        <w:ind w:firstLine="480" w:firstLineChars="200"/>
        <w:rPr>
          <w:rFonts w:ascii="宋体" w:hAnsi="宋体" w:cs="宋体"/>
          <w:bCs/>
          <w:sz w:val="24"/>
        </w:rPr>
      </w:pPr>
      <w:r>
        <w:rPr>
          <w:rFonts w:hint="eastAsia" w:ascii="宋体" w:hAnsi="宋体" w:cs="宋体"/>
          <w:sz w:val="24"/>
        </w:rPr>
        <w:t>21.1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收到投标文件的时间不得迟于招标公告中规定的截止时间。</w:t>
      </w:r>
    </w:p>
    <w:p>
      <w:pPr>
        <w:spacing w:line="440" w:lineRule="exact"/>
        <w:ind w:firstLine="480" w:firstLineChars="200"/>
        <w:rPr>
          <w:rFonts w:ascii="宋体" w:hAnsi="宋体" w:cs="宋体"/>
          <w:bCs/>
          <w:sz w:val="24"/>
        </w:rPr>
      </w:pPr>
      <w:r>
        <w:rPr>
          <w:rFonts w:hint="eastAsia" w:ascii="宋体" w:hAnsi="宋体" w:cs="宋体"/>
          <w:sz w:val="24"/>
        </w:rPr>
        <w:t>21.2</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560" w:firstLineChars="200"/>
        <w:rPr>
          <w:rFonts w:ascii="宋体" w:hAnsi="宋体" w:eastAsia="宋体" w:cs="宋体"/>
          <w:b w:val="0"/>
          <w:bCs w:val="0"/>
        </w:rPr>
      </w:pPr>
      <w:bookmarkStart w:id="105" w:name="_Toc513029227"/>
      <w:bookmarkStart w:id="106" w:name="_Toc16938543"/>
      <w:bookmarkStart w:id="107" w:name="_Toc20823299"/>
      <w:r>
        <w:rPr>
          <w:rFonts w:hint="eastAsia" w:ascii="宋体" w:hAnsi="宋体" w:eastAsia="宋体" w:cs="宋体"/>
          <w:b w:val="0"/>
          <w:bCs w:val="0"/>
        </w:rPr>
        <w:t>22、迟交的投标文件</w:t>
      </w:r>
      <w:bookmarkEnd w:id="105"/>
      <w:bookmarkEnd w:id="106"/>
      <w:bookmarkEnd w:id="107"/>
    </w:p>
    <w:p>
      <w:pPr>
        <w:spacing w:line="440" w:lineRule="exact"/>
        <w:ind w:firstLine="480" w:firstLineChars="200"/>
        <w:rPr>
          <w:rFonts w:ascii="宋体" w:hAnsi="宋体" w:cs="宋体"/>
          <w:bCs/>
          <w:sz w:val="24"/>
        </w:rPr>
      </w:pPr>
      <w:r>
        <w:rPr>
          <w:rFonts w:hint="eastAsia" w:ascii="宋体" w:hAnsi="宋体" w:cs="宋体"/>
          <w:sz w:val="24"/>
        </w:rPr>
        <w:t>22.1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拒绝接收在其规定的投标截止时间后递交的任何投标文件。</w:t>
      </w:r>
    </w:p>
    <w:p>
      <w:pPr>
        <w:pStyle w:val="2"/>
        <w:spacing w:before="0" w:after="0" w:line="440" w:lineRule="exact"/>
        <w:ind w:firstLine="560" w:firstLineChars="200"/>
        <w:rPr>
          <w:rFonts w:ascii="宋体" w:hAnsi="宋体" w:eastAsia="宋体" w:cs="宋体"/>
          <w:b w:val="0"/>
          <w:bCs w:val="0"/>
        </w:rPr>
      </w:pPr>
      <w:bookmarkStart w:id="108" w:name="_Toc16938544"/>
      <w:bookmarkStart w:id="109" w:name="_Toc513029228"/>
      <w:bookmarkStart w:id="110" w:name="_Toc20823300"/>
      <w:r>
        <w:rPr>
          <w:rFonts w:hint="eastAsia" w:ascii="宋体" w:hAnsi="宋体" w:eastAsia="宋体" w:cs="宋体"/>
          <w:b w:val="0"/>
          <w:bCs w:val="0"/>
        </w:rPr>
        <w:t>23、投标文件的修改和撤回</w:t>
      </w:r>
      <w:bookmarkEnd w:id="108"/>
      <w:bookmarkEnd w:id="109"/>
      <w:bookmarkEnd w:id="110"/>
    </w:p>
    <w:p>
      <w:pPr>
        <w:spacing w:line="440" w:lineRule="exact"/>
        <w:ind w:firstLine="480" w:firstLineChars="200"/>
        <w:rPr>
          <w:rFonts w:ascii="宋体" w:hAnsi="宋体" w:cs="宋体"/>
          <w:sz w:val="24"/>
          <w:szCs w:val="24"/>
        </w:rPr>
      </w:pPr>
      <w:r>
        <w:rPr>
          <w:rFonts w:hint="eastAsia" w:ascii="宋体" w:hAnsi="宋体" w:cs="宋体"/>
          <w:sz w:val="24"/>
        </w:rPr>
        <w:t>23.1</w:t>
      </w:r>
      <w:r>
        <w:rPr>
          <w:rFonts w:hint="eastAsia" w:ascii="宋体" w:hAnsi="宋体" w:cs="宋体"/>
          <w:bCs/>
          <w:sz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w:t>
      </w:r>
      <w:r>
        <w:rPr>
          <w:rFonts w:hint="eastAsia" w:ascii="宋体" w:hAnsi="宋体" w:cs="宋体"/>
          <w:sz w:val="24"/>
        </w:rPr>
        <w:t>采购人或采购代理机构</w:t>
      </w:r>
      <w:r>
        <w:rPr>
          <w:rFonts w:hint="eastAsia" w:ascii="宋体" w:hAnsi="宋体" w:cs="宋体"/>
          <w:sz w:val="24"/>
          <w:szCs w:val="24"/>
        </w:rPr>
        <w:t>，修改或撤回其投标文件。</w:t>
      </w:r>
    </w:p>
    <w:p>
      <w:pPr>
        <w:spacing w:line="440" w:lineRule="exact"/>
        <w:ind w:firstLine="480" w:firstLineChars="200"/>
        <w:rPr>
          <w:rFonts w:ascii="宋体" w:hAnsi="宋体" w:cs="宋体"/>
          <w:sz w:val="24"/>
          <w:szCs w:val="24"/>
        </w:rPr>
      </w:pPr>
      <w:r>
        <w:rPr>
          <w:rFonts w:hint="eastAsia" w:ascii="宋体" w:hAnsi="宋体" w:cs="宋体"/>
          <w:sz w:val="24"/>
        </w:rPr>
        <w:t>23.2</w:t>
      </w:r>
      <w:r>
        <w:rPr>
          <w:rFonts w:hint="eastAsia" w:ascii="宋体" w:hAnsi="宋体" w:cs="宋体"/>
          <w:bCs/>
          <w:sz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w:t>
      </w:r>
      <w:r>
        <w:rPr>
          <w:rFonts w:hint="eastAsia" w:ascii="宋体" w:hAnsi="宋体" w:cs="宋体"/>
          <w:sz w:val="24"/>
        </w:rPr>
        <w:t>采购人或采购代理机构</w:t>
      </w:r>
      <w:r>
        <w:rPr>
          <w:rFonts w:hint="eastAsia" w:ascii="宋体" w:hAnsi="宋体" w:cs="宋体"/>
          <w:sz w:val="24"/>
          <w:szCs w:val="24"/>
        </w:rPr>
        <w:t>。</w:t>
      </w:r>
    </w:p>
    <w:p>
      <w:pPr>
        <w:spacing w:line="440" w:lineRule="exact"/>
        <w:ind w:firstLine="480" w:firstLineChars="200"/>
        <w:rPr>
          <w:rFonts w:ascii="宋体" w:hAnsi="宋体" w:cs="宋体"/>
          <w:bCs/>
          <w:sz w:val="24"/>
        </w:rPr>
      </w:pPr>
      <w:r>
        <w:rPr>
          <w:rFonts w:hint="eastAsia" w:ascii="宋体" w:hAnsi="宋体" w:cs="宋体"/>
          <w:sz w:val="24"/>
        </w:rPr>
        <w:t>23.3</w:t>
      </w:r>
      <w:r>
        <w:rPr>
          <w:rFonts w:hint="eastAsia" w:ascii="宋体" w:hAnsi="宋体" w:cs="宋体"/>
          <w:bCs/>
          <w:sz w:val="24"/>
        </w:rPr>
        <w:t xml:space="preserve"> 在投标截止时间之后，投标人不得对其投标文件作任何修改。</w:t>
      </w:r>
    </w:p>
    <w:p>
      <w:pPr>
        <w:spacing w:line="440" w:lineRule="exact"/>
        <w:ind w:firstLine="480" w:firstLineChars="200"/>
        <w:rPr>
          <w:rFonts w:ascii="宋体" w:hAnsi="宋体" w:cs="宋体"/>
          <w:bCs/>
          <w:sz w:val="24"/>
        </w:rPr>
      </w:pPr>
      <w:r>
        <w:rPr>
          <w:rFonts w:hint="eastAsia" w:ascii="宋体" w:hAnsi="宋体" w:cs="宋体"/>
          <w:sz w:val="24"/>
        </w:rPr>
        <w:t>23.4</w:t>
      </w:r>
      <w:r>
        <w:rPr>
          <w:rFonts w:hint="eastAsia" w:ascii="宋体" w:hAnsi="宋体" w:cs="宋体"/>
          <w:bCs/>
          <w:sz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643" w:firstLineChars="200"/>
        <w:rPr>
          <w:rFonts w:ascii="宋体" w:hAnsi="宋体" w:cs="宋体"/>
        </w:rPr>
      </w:pPr>
      <w:bookmarkStart w:id="111" w:name="_Toc16938545"/>
      <w:bookmarkStart w:id="112" w:name="_Toc20823301"/>
      <w:bookmarkStart w:id="113" w:name="_Toc513029229"/>
      <w:bookmarkStart w:id="114" w:name="_Toc120614218"/>
      <w:r>
        <w:rPr>
          <w:rFonts w:hint="eastAsia" w:ascii="宋体" w:hAnsi="宋体" w:cs="宋体"/>
        </w:rPr>
        <w:t>五、开标与评标</w:t>
      </w:r>
      <w:bookmarkEnd w:id="111"/>
      <w:bookmarkEnd w:id="112"/>
      <w:bookmarkEnd w:id="113"/>
      <w:bookmarkEnd w:id="114"/>
    </w:p>
    <w:p>
      <w:pPr>
        <w:pStyle w:val="2"/>
        <w:spacing w:before="0" w:after="0" w:line="440" w:lineRule="exact"/>
        <w:ind w:firstLine="560" w:firstLineChars="200"/>
        <w:rPr>
          <w:rFonts w:ascii="宋体" w:hAnsi="宋体" w:eastAsia="宋体" w:cs="宋体"/>
          <w:b w:val="0"/>
          <w:bCs w:val="0"/>
        </w:rPr>
      </w:pPr>
      <w:bookmarkStart w:id="115" w:name="_Toc513029230"/>
      <w:bookmarkStart w:id="116" w:name="_Toc20823302"/>
      <w:bookmarkStart w:id="117" w:name="_Toc16938546"/>
      <w:r>
        <w:rPr>
          <w:rFonts w:hint="eastAsia" w:ascii="宋体" w:hAnsi="宋体" w:eastAsia="宋体" w:cs="宋体"/>
          <w:b w:val="0"/>
          <w:bCs w:val="0"/>
        </w:rPr>
        <w:t>24、开标</w:t>
      </w:r>
      <w:bookmarkEnd w:id="115"/>
      <w:bookmarkEnd w:id="116"/>
      <w:bookmarkEnd w:id="117"/>
    </w:p>
    <w:p>
      <w:pPr>
        <w:spacing w:line="440" w:lineRule="exact"/>
        <w:ind w:firstLine="480" w:firstLineChars="200"/>
        <w:rPr>
          <w:rFonts w:ascii="宋体" w:hAnsi="宋体" w:cs="宋体"/>
          <w:sz w:val="24"/>
          <w:szCs w:val="24"/>
        </w:rPr>
      </w:pPr>
      <w:r>
        <w:rPr>
          <w:rFonts w:hint="eastAsia" w:ascii="宋体" w:hAnsi="宋体" w:cs="宋体"/>
          <w:sz w:val="24"/>
        </w:rPr>
        <w:t>24.1</w:t>
      </w:r>
      <w:r>
        <w:rPr>
          <w:rFonts w:hint="eastAsia" w:ascii="宋体" w:hAnsi="宋体" w:cs="宋体"/>
          <w:bCs/>
          <w:sz w:val="24"/>
        </w:rPr>
        <w:t xml:space="preserve"> </w:t>
      </w:r>
      <w:r>
        <w:rPr>
          <w:rFonts w:hint="eastAsia" w:ascii="宋体" w:hAnsi="宋体" w:cs="宋体"/>
          <w:sz w:val="24"/>
        </w:rPr>
        <w:t>采购人或采购代理机构</w:t>
      </w:r>
      <w:r>
        <w:rPr>
          <w:rFonts w:hint="eastAsia" w:ascii="宋体" w:hAnsi="宋体" w:cs="宋体"/>
          <w:bCs/>
          <w:sz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开标仪式由采购人或采购代理机构组织，采购人代表、公证员（必要时）、监管代表、投标人代表等参加。</w:t>
      </w:r>
    </w:p>
    <w:p>
      <w:pPr>
        <w:spacing w:line="440" w:lineRule="exact"/>
        <w:ind w:firstLine="480" w:firstLineChars="200"/>
        <w:rPr>
          <w:rFonts w:ascii="宋体" w:hAnsi="宋体" w:cs="宋体"/>
          <w:bCs/>
          <w:sz w:val="24"/>
        </w:rPr>
      </w:pPr>
      <w:r>
        <w:rPr>
          <w:rFonts w:hint="eastAsia" w:ascii="宋体" w:hAnsi="宋体" w:cs="宋体"/>
          <w:sz w:val="24"/>
        </w:rPr>
        <w:t>24.3</w:t>
      </w:r>
      <w:r>
        <w:rPr>
          <w:rFonts w:hint="eastAsia" w:ascii="宋体" w:hAnsi="宋体" w:cs="宋体"/>
          <w:b/>
          <w:sz w:val="24"/>
        </w:rPr>
        <w:t xml:space="preserve"> </w:t>
      </w:r>
      <w:r>
        <w:rPr>
          <w:rFonts w:hint="eastAsia" w:ascii="宋体" w:hAnsi="宋体" w:cs="宋体"/>
          <w:bCs/>
          <w:sz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24.4 开标时请监委或投标人代表查验投标文件密封情况，确认无误后，</w:t>
      </w:r>
      <w:r>
        <w:rPr>
          <w:rFonts w:hint="eastAsia" w:ascii="宋体" w:hAnsi="宋体" w:cs="宋体"/>
          <w:sz w:val="24"/>
        </w:rPr>
        <w:t>采购代理机构</w:t>
      </w:r>
      <w:r>
        <w:rPr>
          <w:rFonts w:hint="eastAsia" w:ascii="宋体" w:hAnsi="宋体" w:cs="宋体"/>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24.5 采购人或采购代理机构将指定专人负责开标记录并存档备查。</w:t>
      </w:r>
    </w:p>
    <w:p>
      <w:pPr>
        <w:spacing w:line="440" w:lineRule="exact"/>
        <w:ind w:firstLine="480" w:firstLineChars="200"/>
        <w:rPr>
          <w:rFonts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2"/>
        <w:spacing w:before="0" w:after="0" w:line="440" w:lineRule="exact"/>
        <w:ind w:firstLine="560" w:firstLineChars="200"/>
        <w:rPr>
          <w:rFonts w:ascii="宋体" w:hAnsi="宋体" w:eastAsia="宋体" w:cs="宋体"/>
          <w:b w:val="0"/>
          <w:bCs w:val="0"/>
        </w:rPr>
      </w:pPr>
      <w:bookmarkStart w:id="118" w:name="_Toc16938547"/>
      <w:bookmarkStart w:id="119" w:name="_Toc513029231"/>
      <w:bookmarkStart w:id="120" w:name="_Toc20823303"/>
      <w:r>
        <w:rPr>
          <w:rFonts w:hint="eastAsia" w:ascii="宋体" w:hAnsi="宋体" w:eastAsia="宋体" w:cs="宋体"/>
          <w:b w:val="0"/>
          <w:bCs w:val="0"/>
        </w:rPr>
        <w:t>25、资格审查</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开标结束后，采购人或采购代理机构应当依法对投标人的资格进行审查。</w:t>
      </w:r>
      <w:r>
        <w:rPr>
          <w:rFonts w:hint="eastAsia" w:ascii="宋体" w:hAnsi="宋体" w:cs="宋体"/>
          <w:sz w:val="24"/>
          <w:szCs w:val="24"/>
        </w:rPr>
        <w:t>（财政部87号令第44条规定）</w:t>
      </w:r>
    </w:p>
    <w:p>
      <w:pPr>
        <w:widowControl/>
        <w:spacing w:line="440" w:lineRule="exact"/>
        <w:ind w:firstLine="480" w:firstLineChars="200"/>
        <w:jc w:val="left"/>
        <w:textAlignment w:val="baseline"/>
        <w:rPr>
          <w:rFonts w:ascii="宋体" w:hAnsi="宋体" w:cs="宋体"/>
          <w:sz w:val="24"/>
          <w:szCs w:val="24"/>
        </w:rPr>
      </w:pPr>
      <w:r>
        <w:rPr>
          <w:rFonts w:hint="eastAsia" w:ascii="宋体" w:hAnsi="宋体" w:cs="宋体"/>
          <w:sz w:val="24"/>
          <w:szCs w:val="24"/>
        </w:rPr>
        <w:t>合格投标人不足3家的，不得评标。</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26、评标委员会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26.1</w:t>
      </w:r>
      <w:r>
        <w:rPr>
          <w:rFonts w:hint="eastAsia" w:ascii="宋体" w:hAnsi="宋体" w:cs="宋体"/>
          <w:b/>
          <w:sz w:val="24"/>
          <w:szCs w:val="24"/>
        </w:rPr>
        <w:t xml:space="preserve"> </w:t>
      </w:r>
      <w:r>
        <w:rPr>
          <w:rFonts w:hint="eastAsia" w:ascii="宋体" w:hAnsi="宋体" w:cs="宋体"/>
          <w:sz w:val="24"/>
          <w:szCs w:val="24"/>
        </w:rPr>
        <w:t>资格审查通过后，采购人或采购代理机构将组织评标委员会（以下简称评委会）进行评标。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26.2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26.3评委会独立工作，负责评审所有投标文件并确定中标侯选人。</w:t>
      </w:r>
    </w:p>
    <w:p>
      <w:pPr>
        <w:pStyle w:val="2"/>
        <w:spacing w:before="0" w:after="0" w:line="440" w:lineRule="exact"/>
        <w:ind w:firstLine="560" w:firstLineChars="200"/>
        <w:rPr>
          <w:rFonts w:ascii="宋体" w:hAnsi="宋体" w:eastAsia="宋体" w:cs="宋体"/>
          <w:b w:val="0"/>
          <w:bCs w:val="0"/>
        </w:rPr>
      </w:pPr>
      <w:r>
        <w:rPr>
          <w:rFonts w:hint="eastAsia" w:ascii="宋体" w:hAnsi="宋体" w:eastAsia="宋体" w:cs="宋体"/>
          <w:b w:val="0"/>
          <w:bCs w:val="0"/>
        </w:rPr>
        <w:t>27、评标过程的保密与公正</w:t>
      </w:r>
    </w:p>
    <w:bookmarkEnd w:id="118"/>
    <w:bookmarkEnd w:id="119"/>
    <w:bookmarkEnd w:id="120"/>
    <w:p>
      <w:pPr>
        <w:spacing w:line="440" w:lineRule="exact"/>
        <w:ind w:firstLine="480" w:firstLineChars="200"/>
        <w:rPr>
          <w:rFonts w:ascii="宋体" w:hAnsi="宋体" w:cs="宋体"/>
          <w:bCs/>
          <w:sz w:val="24"/>
        </w:rPr>
      </w:pPr>
      <w:r>
        <w:rPr>
          <w:rFonts w:hint="eastAsia" w:ascii="宋体" w:hAnsi="宋体" w:cs="宋体"/>
          <w:sz w:val="24"/>
        </w:rPr>
        <w:t>27.1</w:t>
      </w:r>
      <w:r>
        <w:rPr>
          <w:rFonts w:hint="eastAsia" w:ascii="宋体" w:hAnsi="宋体" w:cs="宋体"/>
          <w:bCs/>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rPr>
        <w:t>27.2</w:t>
      </w:r>
      <w:r>
        <w:rPr>
          <w:rFonts w:hint="eastAsia" w:ascii="宋体" w:hAnsi="宋体" w:cs="宋体"/>
          <w:sz w:val="24"/>
          <w:szCs w:val="24"/>
        </w:rPr>
        <w:t>在评标过程中，投标人不得以任何行为影响评标过程，否则其投标文件将被作为无效投标文件。</w:t>
      </w:r>
    </w:p>
    <w:p>
      <w:pPr>
        <w:pStyle w:val="2"/>
        <w:spacing w:before="0" w:after="0" w:line="440" w:lineRule="exact"/>
        <w:ind w:firstLine="560" w:firstLineChars="200"/>
        <w:rPr>
          <w:rFonts w:ascii="宋体" w:hAnsi="宋体" w:eastAsia="宋体" w:cs="宋体"/>
          <w:b w:val="0"/>
          <w:bCs w:val="0"/>
        </w:rPr>
      </w:pPr>
      <w:bookmarkStart w:id="121" w:name="_Toc16938548"/>
      <w:bookmarkStart w:id="122" w:name="_Toc513029232"/>
      <w:bookmarkStart w:id="123" w:name="_Toc20823304"/>
      <w:r>
        <w:rPr>
          <w:rFonts w:hint="eastAsia" w:ascii="宋体" w:hAnsi="宋体" w:eastAsia="宋体" w:cs="宋体"/>
          <w:b w:val="0"/>
          <w:bCs w:val="0"/>
        </w:rPr>
        <w:t>28、投标的澄清</w:t>
      </w:r>
      <w:bookmarkEnd w:id="121"/>
      <w:bookmarkEnd w:id="122"/>
      <w:bookmarkEnd w:id="123"/>
    </w:p>
    <w:p>
      <w:pPr>
        <w:spacing w:line="440" w:lineRule="exact"/>
        <w:ind w:firstLine="480" w:firstLineChars="200"/>
        <w:rPr>
          <w:rFonts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2"/>
        <w:spacing w:before="0" w:after="0" w:line="440" w:lineRule="exact"/>
        <w:ind w:firstLine="560" w:firstLineChars="200"/>
        <w:rPr>
          <w:rFonts w:ascii="宋体" w:hAnsi="宋体" w:eastAsia="宋体" w:cs="宋体"/>
          <w:b w:val="0"/>
          <w:bCs w:val="0"/>
        </w:rPr>
      </w:pPr>
      <w:bookmarkStart w:id="124" w:name="_Toc16938549"/>
      <w:bookmarkStart w:id="125" w:name="_Toc513029233"/>
      <w:bookmarkStart w:id="126" w:name="_Toc20823305"/>
      <w:r>
        <w:rPr>
          <w:rFonts w:hint="eastAsia" w:ascii="宋体" w:hAnsi="宋体" w:eastAsia="宋体" w:cs="宋体"/>
          <w:b w:val="0"/>
          <w:bCs w:val="0"/>
        </w:rPr>
        <w:t>29、对投标文件的审</w:t>
      </w:r>
      <w:bookmarkEnd w:id="124"/>
      <w:bookmarkEnd w:id="125"/>
      <w:bookmarkEnd w:id="126"/>
      <w:r>
        <w:rPr>
          <w:rFonts w:hint="eastAsia" w:ascii="宋体" w:hAnsi="宋体" w:eastAsia="宋体" w:cs="宋体"/>
          <w:b w:val="0"/>
          <w:bCs w:val="0"/>
        </w:rPr>
        <w:t>查</w:t>
      </w:r>
    </w:p>
    <w:p>
      <w:pPr>
        <w:spacing w:line="440" w:lineRule="exact"/>
        <w:ind w:firstLine="480" w:firstLineChars="200"/>
        <w:rPr>
          <w:rFonts w:ascii="宋体" w:hAnsi="宋体" w:cs="宋体"/>
          <w:bCs/>
          <w:sz w:val="24"/>
        </w:rPr>
      </w:pPr>
      <w:r>
        <w:rPr>
          <w:rFonts w:hint="eastAsia" w:ascii="宋体" w:hAnsi="宋体" w:cs="宋体"/>
          <w:sz w:val="24"/>
        </w:rPr>
        <w:t>29.1</w:t>
      </w:r>
      <w:r>
        <w:rPr>
          <w:rFonts w:hint="eastAsia" w:ascii="宋体" w:hAnsi="宋体" w:cs="宋体"/>
          <w:bCs/>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rPr>
        <w:t>29.2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rPr>
        <w:t>评委决定投标文件的响应性只根据投标文件本身的内容，而不寻求外部的证据。</w:t>
      </w:r>
    </w:p>
    <w:p>
      <w:pPr>
        <w:spacing w:line="440" w:lineRule="exact"/>
        <w:ind w:firstLine="480" w:firstLineChars="200"/>
        <w:rPr>
          <w:rFonts w:ascii="宋体" w:hAnsi="宋体" w:cs="宋体"/>
          <w:bCs/>
          <w:sz w:val="24"/>
        </w:rPr>
      </w:pPr>
      <w:r>
        <w:rPr>
          <w:rFonts w:hint="eastAsia" w:ascii="宋体" w:hAnsi="宋体" w:cs="宋体"/>
          <w:sz w:val="24"/>
        </w:rPr>
        <w:t>29.3</w:t>
      </w:r>
      <w:r>
        <w:rPr>
          <w:rFonts w:hint="eastAsia" w:ascii="宋体" w:hAnsi="宋体" w:cs="宋体"/>
          <w:bCs/>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rPr>
      </w:pPr>
      <w:r>
        <w:rPr>
          <w:rFonts w:hint="eastAsia" w:ascii="宋体" w:hAnsi="宋体" w:cs="宋体"/>
          <w:sz w:val="24"/>
        </w:rPr>
        <w:t>29.4</w:t>
      </w:r>
      <w:r>
        <w:rPr>
          <w:rFonts w:hint="eastAsia" w:ascii="宋体" w:hAnsi="宋体" w:cs="宋体"/>
          <w:bCs/>
          <w:sz w:val="24"/>
        </w:rPr>
        <w:t>评委会将对确定为实质性响应的投标进行进一步审核，对投标文件中大小写金额不一致等问题的评审原则如下：</w:t>
      </w:r>
    </w:p>
    <w:p>
      <w:pPr>
        <w:spacing w:line="440" w:lineRule="exact"/>
        <w:ind w:firstLine="480" w:firstLineChars="200"/>
        <w:rPr>
          <w:rFonts w:ascii="宋体" w:hAnsi="宋体" w:cs="宋体"/>
          <w:bCs/>
          <w:sz w:val="24"/>
        </w:rPr>
      </w:pPr>
      <w:r>
        <w:rPr>
          <w:rFonts w:hint="eastAsia" w:ascii="宋体" w:hAnsi="宋体" w:cs="宋体"/>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hAnsi="宋体" w:cs="宋体"/>
          <w:bCs/>
          <w:sz w:val="24"/>
        </w:rPr>
      </w:pPr>
      <w:r>
        <w:rPr>
          <w:rFonts w:hint="eastAsia" w:ascii="宋体" w:hAnsi="宋体" w:cs="宋体"/>
          <w:sz w:val="24"/>
        </w:rPr>
        <w:t>29.5</w:t>
      </w:r>
      <w:r>
        <w:rPr>
          <w:rFonts w:hint="eastAsia" w:ascii="宋体" w:hAnsi="宋体" w:cs="宋体"/>
          <w:bCs/>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hAnsi="宋体" w:cs="宋体"/>
          <w:bCs/>
          <w:sz w:val="24"/>
        </w:rPr>
      </w:pPr>
      <w:r>
        <w:rPr>
          <w:rFonts w:hint="eastAsia" w:ascii="宋体" w:hAnsi="宋体" w:cs="宋体"/>
          <w:sz w:val="24"/>
        </w:rPr>
        <w:t>29.6</w:t>
      </w:r>
      <w:r>
        <w:rPr>
          <w:rFonts w:hint="eastAsia" w:ascii="宋体" w:hAnsi="宋体" w:cs="宋体"/>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hAnsi="宋体" w:cs="宋体"/>
          <w:sz w:val="24"/>
        </w:rPr>
      </w:pPr>
      <w:r>
        <w:rPr>
          <w:rFonts w:hint="eastAsia" w:ascii="宋体" w:hAnsi="宋体" w:cs="宋体"/>
          <w:sz w:val="24"/>
        </w:rPr>
        <w:t>29.7</w:t>
      </w:r>
      <w:r>
        <w:rPr>
          <w:rFonts w:hint="eastAsia" w:ascii="宋体" w:hAnsi="宋体" w:cs="宋体"/>
          <w:b/>
          <w:sz w:val="24"/>
        </w:rPr>
        <w:t>采用最低评标价法的采购项目，</w:t>
      </w:r>
      <w:r>
        <w:rPr>
          <w:rFonts w:hint="eastAsia" w:ascii="宋体" w:hAnsi="宋体" w:cs="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rPr>
      </w:pPr>
      <w:r>
        <w:rPr>
          <w:rFonts w:hint="eastAsia" w:ascii="宋体" w:hAnsi="宋体" w:cs="宋体"/>
          <w:b/>
          <w:sz w:val="24"/>
        </w:rPr>
        <w:t>使用综合评分法的采购项目，</w:t>
      </w:r>
      <w:r>
        <w:rPr>
          <w:rFonts w:hint="eastAsia" w:ascii="宋体" w:hAnsi="宋体" w:cs="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rPr>
      </w:pPr>
      <w:r>
        <w:rPr>
          <w:rFonts w:hint="eastAsia" w:ascii="宋体" w:hAnsi="宋体" w:cs="宋体"/>
          <w:b/>
          <w:sz w:val="24"/>
        </w:rPr>
        <w:t>非单一产品采购项目，</w:t>
      </w:r>
      <w:r>
        <w:rPr>
          <w:rFonts w:hint="eastAsia" w:ascii="宋体" w:hAnsi="宋体" w:cs="宋体"/>
          <w:sz w:val="24"/>
        </w:rPr>
        <w:t>采购人应当根据采购项目技术构成、产品价格比重等合理确定核心产品，并在招标文件中载明。多家投标人提供的核心产品品牌相同的，按前两款规定处理。(87号令第31条)</w:t>
      </w:r>
    </w:p>
    <w:p>
      <w:pPr>
        <w:spacing w:line="440" w:lineRule="exact"/>
        <w:ind w:firstLine="480" w:firstLineChars="200"/>
        <w:rPr>
          <w:rFonts w:ascii="宋体" w:hAnsi="宋体" w:cs="宋体"/>
          <w:b/>
          <w:sz w:val="24"/>
        </w:rPr>
      </w:pPr>
      <w:r>
        <w:rPr>
          <w:rFonts w:hint="eastAsia" w:ascii="宋体" w:hAnsi="宋体" w:cs="宋体"/>
          <w:sz w:val="24"/>
        </w:rPr>
        <w:t>29.8</w:t>
      </w:r>
      <w:r>
        <w:rPr>
          <w:rFonts w:hint="eastAsia" w:ascii="宋体" w:hAnsi="宋体" w:cs="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2"/>
        <w:spacing w:before="0" w:after="0" w:line="440" w:lineRule="exact"/>
        <w:ind w:firstLine="560" w:firstLineChars="200"/>
        <w:rPr>
          <w:rFonts w:ascii="宋体" w:hAnsi="宋体" w:eastAsia="宋体" w:cs="宋体"/>
          <w:b w:val="0"/>
          <w:bCs w:val="0"/>
        </w:rPr>
      </w:pPr>
      <w:bookmarkStart w:id="127" w:name="_Toc16938550"/>
      <w:bookmarkStart w:id="128" w:name="_Toc513029234"/>
      <w:bookmarkStart w:id="129" w:name="_Toc20823306"/>
      <w:r>
        <w:rPr>
          <w:rFonts w:hint="eastAsia" w:ascii="宋体" w:hAnsi="宋体" w:eastAsia="宋体" w:cs="宋体"/>
          <w:b w:val="0"/>
          <w:bCs w:val="0"/>
        </w:rPr>
        <w:t>30、</w:t>
      </w:r>
      <w:bookmarkEnd w:id="127"/>
      <w:bookmarkEnd w:id="128"/>
      <w:bookmarkEnd w:id="129"/>
      <w:r>
        <w:rPr>
          <w:rFonts w:hint="eastAsia" w:ascii="宋体" w:hAnsi="宋体" w:eastAsia="宋体" w:cs="宋体"/>
          <w:b w:val="0"/>
          <w:bCs w:val="0"/>
        </w:rPr>
        <w:t>无效投标条款和废标条款</w:t>
      </w:r>
    </w:p>
    <w:p>
      <w:pPr>
        <w:spacing w:line="440" w:lineRule="exact"/>
        <w:ind w:firstLine="480" w:firstLineChars="200"/>
        <w:rPr>
          <w:rFonts w:ascii="宋体" w:hAnsi="宋体" w:cs="宋体"/>
          <w:bCs/>
          <w:sz w:val="24"/>
        </w:rPr>
      </w:pPr>
      <w:bookmarkStart w:id="130" w:name="_Toc513029235"/>
      <w:bookmarkStart w:id="131" w:name="_Toc20823307"/>
      <w:bookmarkStart w:id="132" w:name="_Toc16938551"/>
      <w:r>
        <w:rPr>
          <w:rFonts w:hint="eastAsia" w:ascii="宋体" w:hAnsi="宋体" w:cs="宋体"/>
          <w:bCs/>
          <w:sz w:val="24"/>
        </w:rPr>
        <w:t>30.1无效投标条款</w:t>
      </w:r>
    </w:p>
    <w:p>
      <w:pPr>
        <w:spacing w:line="440" w:lineRule="exact"/>
        <w:ind w:firstLine="480" w:firstLineChars="200"/>
        <w:rPr>
          <w:rFonts w:ascii="宋体" w:hAnsi="宋体" w:cs="宋体"/>
          <w:bCs/>
          <w:sz w:val="24"/>
        </w:rPr>
      </w:pPr>
      <w:r>
        <w:rPr>
          <w:rFonts w:hint="eastAsia" w:ascii="宋体" w:hAnsi="宋体" w:cs="宋体"/>
          <w:bCs/>
          <w:sz w:val="24"/>
        </w:rPr>
        <w:t>30.1.1未按要求交纳投标保证金的；</w:t>
      </w:r>
    </w:p>
    <w:p>
      <w:pPr>
        <w:spacing w:line="440" w:lineRule="exact"/>
        <w:ind w:firstLine="480" w:firstLineChars="200"/>
        <w:rPr>
          <w:rFonts w:ascii="宋体" w:hAnsi="宋体" w:cs="宋体"/>
          <w:bCs/>
          <w:sz w:val="24"/>
        </w:rPr>
      </w:pPr>
      <w:r>
        <w:rPr>
          <w:rFonts w:hint="eastAsia" w:ascii="宋体" w:hAnsi="宋体" w:cs="宋体"/>
          <w:bCs/>
          <w:sz w:val="24"/>
        </w:rPr>
        <w:t>30.1.2未按照招标文件规定要求密封、签署、盖章的；</w:t>
      </w:r>
    </w:p>
    <w:p>
      <w:pPr>
        <w:spacing w:line="440" w:lineRule="exact"/>
        <w:ind w:firstLine="480" w:firstLineChars="200"/>
        <w:rPr>
          <w:rFonts w:ascii="宋体" w:hAnsi="宋体" w:cs="宋体"/>
          <w:bCs/>
          <w:sz w:val="24"/>
        </w:rPr>
      </w:pPr>
      <w:r>
        <w:rPr>
          <w:rFonts w:hint="eastAsia" w:ascii="宋体" w:hAnsi="宋体" w:cs="宋体"/>
          <w:bCs/>
          <w:sz w:val="24"/>
        </w:rPr>
        <w:t>30.1.3投标人在报价时采用选择性报价；</w:t>
      </w:r>
    </w:p>
    <w:p>
      <w:pPr>
        <w:spacing w:line="440" w:lineRule="exact"/>
        <w:ind w:firstLine="480" w:firstLineChars="200"/>
        <w:rPr>
          <w:rFonts w:ascii="宋体" w:hAnsi="宋体" w:cs="宋体"/>
          <w:bCs/>
          <w:sz w:val="24"/>
        </w:rPr>
      </w:pPr>
      <w:r>
        <w:rPr>
          <w:rFonts w:hint="eastAsia" w:ascii="宋体" w:hAnsi="宋体" w:cs="宋体"/>
          <w:bCs/>
          <w:sz w:val="24"/>
        </w:rPr>
        <w:t>30.1.4投标人不具备招标文件中规定资格要求的；</w:t>
      </w:r>
    </w:p>
    <w:p>
      <w:pPr>
        <w:spacing w:line="440" w:lineRule="exact"/>
        <w:ind w:firstLine="480" w:firstLineChars="200"/>
        <w:rPr>
          <w:rFonts w:ascii="宋体" w:hAnsi="宋体" w:cs="宋体"/>
          <w:bCs/>
          <w:sz w:val="24"/>
        </w:rPr>
      </w:pPr>
      <w:r>
        <w:rPr>
          <w:rFonts w:hint="eastAsia" w:ascii="宋体" w:hAnsi="宋体" w:cs="宋体"/>
          <w:bCs/>
          <w:sz w:val="24"/>
        </w:rPr>
        <w:t>30.1.5投标人的报价超过了采购预算的；</w:t>
      </w:r>
    </w:p>
    <w:p>
      <w:pPr>
        <w:spacing w:line="440" w:lineRule="exact"/>
        <w:ind w:firstLine="480" w:firstLineChars="200"/>
        <w:rPr>
          <w:rFonts w:ascii="宋体" w:hAnsi="宋体" w:cs="宋体"/>
          <w:bCs/>
          <w:i/>
          <w:sz w:val="24"/>
          <w:u w:val="single"/>
        </w:rPr>
      </w:pPr>
      <w:r>
        <w:rPr>
          <w:rFonts w:hint="eastAsia" w:ascii="宋体" w:hAnsi="宋体" w:cs="宋体"/>
          <w:bCs/>
          <w:sz w:val="24"/>
        </w:rPr>
        <w:t>30.1.6未通过符合性检查的；</w:t>
      </w:r>
    </w:p>
    <w:p>
      <w:pPr>
        <w:spacing w:line="440" w:lineRule="exact"/>
        <w:ind w:firstLine="480" w:firstLineChars="200"/>
        <w:rPr>
          <w:rFonts w:ascii="宋体" w:hAnsi="宋体" w:cs="宋体"/>
          <w:bCs/>
          <w:sz w:val="24"/>
        </w:rPr>
      </w:pPr>
      <w:r>
        <w:rPr>
          <w:rFonts w:hint="eastAsia" w:ascii="宋体" w:hAnsi="宋体" w:cs="宋体"/>
          <w:bCs/>
          <w:sz w:val="24"/>
        </w:rPr>
        <w:t>30.1.7不符合招标文件中规定的其他实质性要求和条件的；</w:t>
      </w:r>
    </w:p>
    <w:p>
      <w:pPr>
        <w:spacing w:line="440" w:lineRule="exact"/>
        <w:ind w:firstLine="480" w:firstLineChars="200"/>
        <w:rPr>
          <w:rFonts w:ascii="宋体" w:hAnsi="宋体" w:cs="宋体"/>
          <w:bCs/>
          <w:sz w:val="24"/>
        </w:rPr>
      </w:pPr>
      <w:r>
        <w:rPr>
          <w:rFonts w:hint="eastAsia" w:ascii="宋体" w:hAnsi="宋体" w:cs="宋体"/>
          <w:bCs/>
          <w:sz w:val="24"/>
        </w:rPr>
        <w:t>30.1.8 投标人串通投标；</w:t>
      </w:r>
    </w:p>
    <w:p>
      <w:pPr>
        <w:spacing w:line="440" w:lineRule="exact"/>
        <w:ind w:firstLine="480" w:firstLineChars="200"/>
        <w:rPr>
          <w:rFonts w:ascii="宋体" w:hAnsi="宋体" w:cs="宋体"/>
          <w:bCs/>
          <w:sz w:val="24"/>
        </w:rPr>
      </w:pPr>
      <w:r>
        <w:rPr>
          <w:rFonts w:hint="eastAsia" w:ascii="宋体" w:hAnsi="宋体" w:cs="宋体"/>
          <w:bCs/>
          <w:sz w:val="24"/>
        </w:rPr>
        <w:t>30.1.9其他法律、法规及本招标文件规定的属无效投标的情形。</w:t>
      </w:r>
    </w:p>
    <w:p>
      <w:pPr>
        <w:spacing w:line="440" w:lineRule="exact"/>
        <w:ind w:firstLine="480" w:firstLineChars="200"/>
        <w:rPr>
          <w:rFonts w:ascii="宋体" w:hAnsi="宋体" w:cs="宋体"/>
          <w:bCs/>
          <w:sz w:val="24"/>
        </w:rPr>
      </w:pPr>
      <w:r>
        <w:rPr>
          <w:rFonts w:hint="eastAsia" w:ascii="宋体" w:hAnsi="宋体" w:cs="宋体"/>
          <w:bCs/>
          <w:sz w:val="24"/>
        </w:rPr>
        <w:t xml:space="preserve">30.2废标条款：                                                                                                                                                                                                                                                                                                                                                                                                                                                                                                                                                                                                                                                                                                                                                                                                                                                                                                                                                                                                                                                                                                                                                                                                                                                                                                                                                                                                                                                                         </w:t>
      </w:r>
    </w:p>
    <w:p>
      <w:pPr>
        <w:spacing w:line="440" w:lineRule="exact"/>
        <w:ind w:firstLine="480" w:firstLineChars="200"/>
        <w:rPr>
          <w:rFonts w:ascii="宋体" w:hAnsi="宋体" w:cs="宋体"/>
          <w:bCs/>
          <w:sz w:val="24"/>
        </w:rPr>
      </w:pPr>
      <w:r>
        <w:rPr>
          <w:rFonts w:hint="eastAsia" w:ascii="宋体" w:hAnsi="宋体" w:cs="宋体"/>
          <w:bCs/>
          <w:sz w:val="24"/>
        </w:rPr>
        <w:t>30.2.1符合专业条件的供应商或者对招标文件作实质响应的供应商不足三家的；</w:t>
      </w:r>
    </w:p>
    <w:p>
      <w:pPr>
        <w:spacing w:line="440" w:lineRule="exact"/>
        <w:ind w:firstLine="480" w:firstLineChars="200"/>
        <w:rPr>
          <w:rFonts w:ascii="宋体" w:hAnsi="宋体" w:cs="宋体"/>
          <w:bCs/>
          <w:sz w:val="24"/>
        </w:rPr>
      </w:pPr>
      <w:r>
        <w:rPr>
          <w:rFonts w:hint="eastAsia" w:ascii="宋体" w:hAnsi="宋体" w:cs="宋体"/>
          <w:bCs/>
          <w:sz w:val="24"/>
        </w:rPr>
        <w:t>30.2.2出现影响采购公正的违法、违规行为的；</w:t>
      </w:r>
    </w:p>
    <w:p>
      <w:pPr>
        <w:spacing w:line="440" w:lineRule="exact"/>
        <w:ind w:firstLine="480" w:firstLineChars="200"/>
        <w:rPr>
          <w:rFonts w:ascii="宋体" w:hAnsi="宋体" w:cs="宋体"/>
          <w:bCs/>
          <w:sz w:val="24"/>
        </w:rPr>
      </w:pPr>
      <w:r>
        <w:rPr>
          <w:rFonts w:hint="eastAsia" w:ascii="宋体" w:hAnsi="宋体" w:cs="宋体"/>
          <w:bCs/>
          <w:sz w:val="24"/>
        </w:rPr>
        <w:t>30.2.3因重大变故，采购任务取消的；</w:t>
      </w:r>
    </w:p>
    <w:p>
      <w:pPr>
        <w:spacing w:line="440" w:lineRule="exact"/>
        <w:ind w:firstLine="480" w:firstLineChars="200"/>
        <w:rPr>
          <w:rFonts w:ascii="宋体" w:hAnsi="宋体" w:cs="宋体"/>
          <w:bCs/>
          <w:sz w:val="24"/>
        </w:rPr>
      </w:pPr>
      <w:r>
        <w:rPr>
          <w:rFonts w:hint="eastAsia" w:ascii="宋体" w:hAnsi="宋体" w:cs="宋体"/>
          <w:bCs/>
          <w:sz w:val="24"/>
        </w:rPr>
        <w:t>30.2.4评标委员会认定招标文件存在歧义、 重大缺陷导致评审工作无法进行。</w:t>
      </w:r>
    </w:p>
    <w:p>
      <w:pPr>
        <w:spacing w:line="440" w:lineRule="exact"/>
        <w:ind w:firstLine="480" w:firstLineChars="200"/>
        <w:rPr>
          <w:rFonts w:ascii="宋体" w:hAnsi="宋体" w:cs="宋体"/>
          <w:bCs/>
          <w:sz w:val="24"/>
        </w:rPr>
      </w:pPr>
      <w:r>
        <w:rPr>
          <w:rFonts w:hint="eastAsia" w:ascii="宋体" w:hAnsi="宋体" w:cs="宋体"/>
          <w:bCs/>
          <w:sz w:val="24"/>
        </w:rPr>
        <w:t>30.3 投标截止时间结束后参加投标的供应商不足三家的处理：</w:t>
      </w:r>
    </w:p>
    <w:p>
      <w:pPr>
        <w:spacing w:line="440" w:lineRule="exact"/>
        <w:ind w:firstLine="480" w:firstLineChars="200"/>
        <w:rPr>
          <w:rFonts w:ascii="宋体" w:hAnsi="宋体" w:cs="宋体"/>
          <w:bCs/>
          <w:sz w:val="24"/>
        </w:rPr>
      </w:pPr>
      <w:r>
        <w:rPr>
          <w:rFonts w:hint="eastAsia" w:ascii="宋体" w:hAnsi="宋体" w:cs="宋体"/>
          <w:bCs/>
          <w:sz w:val="24"/>
        </w:rPr>
        <w:t>30.3.1如出现投标截止时间结束后参加投标的供应商或者在评标期间对招标文件做出实质响应的供应商不足三家情况，按财政部第八十七号令第四十三条的规定执行。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643" w:firstLineChars="200"/>
        <w:rPr>
          <w:rFonts w:ascii="宋体" w:hAnsi="宋体" w:cs="宋体"/>
        </w:rPr>
      </w:pPr>
      <w:bookmarkStart w:id="133" w:name="_Toc120614219"/>
      <w:r>
        <w:rPr>
          <w:rFonts w:hint="eastAsia" w:ascii="宋体" w:hAnsi="宋体" w:cs="宋体"/>
        </w:rPr>
        <w:t>六、</w:t>
      </w:r>
      <w:bookmarkEnd w:id="130"/>
      <w:bookmarkEnd w:id="131"/>
      <w:bookmarkEnd w:id="132"/>
      <w:r>
        <w:rPr>
          <w:rFonts w:hint="eastAsia" w:ascii="宋体" w:hAnsi="宋体" w:cs="宋体"/>
        </w:rPr>
        <w:t>定标</w:t>
      </w:r>
      <w:bookmarkEnd w:id="133"/>
    </w:p>
    <w:p>
      <w:pPr>
        <w:pStyle w:val="2"/>
        <w:spacing w:before="0" w:after="0" w:line="440" w:lineRule="exact"/>
        <w:ind w:firstLine="600" w:firstLineChars="200"/>
        <w:rPr>
          <w:rFonts w:ascii="宋体" w:hAnsi="宋体" w:eastAsia="宋体" w:cs="宋体"/>
          <w:b w:val="0"/>
          <w:sz w:val="30"/>
          <w:szCs w:val="30"/>
        </w:rPr>
      </w:pPr>
      <w:bookmarkStart w:id="134" w:name="_Toc513029238"/>
      <w:bookmarkStart w:id="135" w:name="_Toc16938554"/>
      <w:bookmarkStart w:id="136" w:name="_Toc20823310"/>
      <w:r>
        <w:rPr>
          <w:rFonts w:hint="eastAsia" w:ascii="宋体" w:hAnsi="宋体" w:eastAsia="宋体" w:cs="宋体"/>
          <w:b w:val="0"/>
          <w:sz w:val="30"/>
          <w:szCs w:val="30"/>
        </w:rPr>
        <w:t>31、</w:t>
      </w:r>
      <w:bookmarkEnd w:id="134"/>
      <w:r>
        <w:rPr>
          <w:rFonts w:hint="eastAsia" w:ascii="宋体" w:hAnsi="宋体" w:eastAsia="宋体" w:cs="宋体"/>
          <w:b w:val="0"/>
          <w:sz w:val="30"/>
          <w:szCs w:val="30"/>
        </w:rPr>
        <w:t>确定</w:t>
      </w:r>
      <w:bookmarkEnd w:id="135"/>
      <w:bookmarkEnd w:id="136"/>
      <w:r>
        <w:rPr>
          <w:rFonts w:hint="eastAsia" w:ascii="宋体" w:hAnsi="宋体" w:eastAsia="宋体" w:cs="宋体"/>
          <w:b w:val="0"/>
          <w:sz w:val="30"/>
          <w:szCs w:val="30"/>
        </w:rPr>
        <w:t>中标单位</w:t>
      </w:r>
    </w:p>
    <w:p>
      <w:pPr>
        <w:spacing w:line="440" w:lineRule="exact"/>
        <w:ind w:firstLine="480" w:firstLineChars="200"/>
        <w:rPr>
          <w:rFonts w:ascii="宋体" w:hAnsi="宋体" w:cs="宋体"/>
          <w:bCs/>
          <w:sz w:val="24"/>
        </w:rPr>
      </w:pPr>
      <w:r>
        <w:rPr>
          <w:rFonts w:hint="eastAsia" w:ascii="宋体" w:hAnsi="宋体" w:cs="宋体"/>
          <w:bCs/>
          <w:sz w:val="24"/>
        </w:rPr>
        <w:t>31.1评委会根据本招标文件规定评标方法与评标标准向采购人推荐出中标候选人。</w:t>
      </w:r>
    </w:p>
    <w:p>
      <w:pPr>
        <w:spacing w:line="440" w:lineRule="exact"/>
        <w:ind w:firstLine="480" w:firstLineChars="200"/>
        <w:rPr>
          <w:rFonts w:ascii="宋体" w:hAnsi="宋体" w:cs="宋体"/>
          <w:bCs/>
          <w:sz w:val="24"/>
        </w:rPr>
      </w:pPr>
      <w:r>
        <w:rPr>
          <w:rFonts w:hint="eastAsia" w:ascii="宋体" w:hAnsi="宋体" w:cs="宋体"/>
          <w:bCs/>
          <w:sz w:val="24"/>
        </w:rPr>
        <w:t>31.2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31.3</w:t>
      </w:r>
      <w:r>
        <w:rPr>
          <w:rFonts w:hint="eastAsia" w:ascii="宋体" w:hAnsi="宋体" w:cs="宋体"/>
          <w:sz w:val="24"/>
          <w:szCs w:val="24"/>
        </w:rPr>
        <w:t>采购人或采购代理机构将在</w:t>
      </w:r>
      <w:r>
        <w:rPr>
          <w:rFonts w:hint="eastAsia" w:ascii="宋体" w:hAnsi="宋体" w:cs="宋体"/>
          <w:bCs/>
          <w:sz w:val="24"/>
        </w:rPr>
        <w:t>“盐城市政府采购网”和“盐城工业职业技术学院招标采购网”</w:t>
      </w:r>
      <w:r>
        <w:rPr>
          <w:rFonts w:hint="eastAsia" w:ascii="宋体" w:hAnsi="宋体" w:cs="宋体"/>
          <w:sz w:val="24"/>
          <w:szCs w:val="24"/>
        </w:rPr>
        <w:t>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31.4.2向采购人、采购代理机构行贿或者提供其他不正当利益的；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31.4.7不符合法律、法规的规定的。</w:t>
      </w:r>
      <w:bookmarkStart w:id="137"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w:t>
      </w:r>
      <w:r>
        <w:rPr>
          <w:rFonts w:hint="eastAsia" w:ascii="宋体" w:hAnsi="宋体" w:cs="宋体"/>
        </w:rPr>
        <w:t xml:space="preserve"> </w:t>
      </w:r>
      <w:r>
        <w:rPr>
          <w:rFonts w:hint="eastAsia" w:ascii="宋体" w:hAnsi="宋体" w:cs="宋体"/>
          <w:kern w:val="0"/>
          <w:sz w:val="24"/>
          <w:szCs w:val="24"/>
        </w:rPr>
        <w:t>有下列情形之一的，属于恶意串通：</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供应商按照采购人或者采购代理机构的授意撤换、修改投标文件；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供应商之间协商报价、技术方案等投标文件的实质性内容；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供应商之间事先约定由某一特定供应商中标；</w:t>
      </w:r>
    </w:p>
    <w:p>
      <w:pPr>
        <w:snapToGrid w:val="0"/>
        <w:spacing w:line="440" w:lineRule="exact"/>
        <w:ind w:firstLine="480" w:firstLineChars="200"/>
        <w:rPr>
          <w:rFonts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供应商之间商定部分供应商放弃参加政府采购活动或者放弃中标；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供应商与采购人或者采购代理机构之间、供应商相互之间，为谋求特定供应商中标或者排斥其他供应商的其他串通行为。</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32、质疑处理</w:t>
      </w:r>
      <w:bookmarkEnd w:id="137"/>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r>
        <w:rPr>
          <w:rFonts w:hint="eastAsia" w:ascii="宋体" w:hAnsi="宋体" w:cs="宋体"/>
          <w:kern w:val="0"/>
          <w:sz w:val="24"/>
          <w:szCs w:val="24"/>
        </w:rPr>
        <w:br w:type="textWrapping"/>
      </w: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32.2质疑必须以参加投标供应商法定代表人或</w:t>
      </w:r>
      <w:r>
        <w:rPr>
          <w:rFonts w:hint="eastAsia" w:ascii="宋体" w:hAnsi="宋体" w:cs="宋体"/>
          <w:sz w:val="24"/>
        </w:rPr>
        <w:t>授权委托人（被授权人）</w:t>
      </w:r>
      <w:r>
        <w:rPr>
          <w:rFonts w:hint="eastAsia" w:ascii="宋体" w:hAnsi="宋体" w:cs="宋体"/>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33、中标通知书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33.l</w:t>
      </w:r>
      <w:r>
        <w:rPr>
          <w:rFonts w:hint="eastAsia" w:ascii="宋体" w:hAnsi="宋体" w:cs="宋体"/>
          <w:b/>
          <w:sz w:val="24"/>
          <w:szCs w:val="24"/>
        </w:rPr>
        <w:t xml:space="preserve"> </w:t>
      </w:r>
      <w:r>
        <w:rPr>
          <w:rFonts w:hint="eastAsia" w:ascii="宋体" w:hAnsi="宋体" w:cs="宋体"/>
          <w:sz w:val="24"/>
          <w:szCs w:val="24"/>
        </w:rPr>
        <w:t>中标结果确定后，采购人或采购代理机构将向中标供应商发出中标通知书。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643" w:firstLineChars="200"/>
        <w:rPr>
          <w:rFonts w:ascii="宋体" w:hAnsi="宋体" w:cs="宋体"/>
        </w:rPr>
      </w:pPr>
      <w:bookmarkStart w:id="138" w:name="_Toc120614220"/>
      <w:bookmarkStart w:id="139" w:name="_Toc20823308"/>
      <w:bookmarkStart w:id="140" w:name="_Toc513029236"/>
      <w:bookmarkStart w:id="141" w:name="_Toc16938552"/>
      <w:r>
        <w:rPr>
          <w:rFonts w:hint="eastAsia" w:ascii="宋体" w:hAnsi="宋体" w:cs="宋体"/>
        </w:rPr>
        <w:t>七、合同</w:t>
      </w:r>
      <w:bookmarkEnd w:id="138"/>
      <w:r>
        <w:rPr>
          <w:rFonts w:hint="eastAsia" w:ascii="宋体" w:hAnsi="宋体" w:cs="宋体"/>
        </w:rPr>
        <w:t>签订相关事项</w:t>
      </w:r>
    </w:p>
    <w:bookmarkEnd w:id="139"/>
    <w:bookmarkEnd w:id="140"/>
    <w:bookmarkEnd w:id="141"/>
    <w:p>
      <w:pPr>
        <w:pStyle w:val="2"/>
        <w:spacing w:before="0" w:after="0" w:line="440" w:lineRule="exact"/>
        <w:ind w:firstLine="600" w:firstLineChars="200"/>
        <w:rPr>
          <w:rFonts w:ascii="宋体" w:hAnsi="宋体" w:eastAsia="宋体" w:cs="宋体"/>
          <w:b w:val="0"/>
          <w:sz w:val="30"/>
          <w:szCs w:val="30"/>
        </w:rPr>
      </w:pPr>
      <w:bookmarkStart w:id="142" w:name="_Toc513029237"/>
      <w:bookmarkStart w:id="143" w:name="_Toc16938553"/>
      <w:bookmarkStart w:id="144" w:name="_Toc20823309"/>
      <w:r>
        <w:rPr>
          <w:rFonts w:hint="eastAsia" w:ascii="宋体" w:hAnsi="宋体" w:eastAsia="宋体" w:cs="宋体"/>
          <w:b w:val="0"/>
          <w:sz w:val="30"/>
          <w:szCs w:val="30"/>
        </w:rPr>
        <w:t>34.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34.2</w:t>
      </w:r>
      <w:r>
        <w:rPr>
          <w:rFonts w:hint="eastAsia" w:ascii="宋体" w:hAnsi="宋体" w:cs="宋体"/>
          <w:b/>
          <w:sz w:val="24"/>
          <w:szCs w:val="24"/>
        </w:rPr>
        <w:t xml:space="preserve"> </w:t>
      </w:r>
      <w:r>
        <w:rPr>
          <w:rFonts w:hint="eastAsia" w:ascii="宋体" w:hAnsi="宋体" w:cs="宋体"/>
          <w:sz w:val="24"/>
          <w:szCs w:val="24"/>
        </w:rPr>
        <w:t>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600" w:firstLineChars="200"/>
        <w:rPr>
          <w:rFonts w:ascii="宋体" w:hAnsi="宋体" w:eastAsia="宋体" w:cs="宋体"/>
          <w:b w:val="0"/>
          <w:sz w:val="30"/>
          <w:szCs w:val="30"/>
        </w:rPr>
      </w:pPr>
      <w:r>
        <w:rPr>
          <w:rFonts w:hint="eastAsia" w:ascii="宋体" w:hAnsi="宋体" w:eastAsia="宋体" w:cs="宋体"/>
          <w:b w:val="0"/>
          <w:sz w:val="30"/>
          <w:szCs w:val="30"/>
        </w:rPr>
        <w:t>35、货物和服务的追加、减少和添购。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ascii="宋体" w:hAnsi="宋体" w:cs="宋体"/>
          <w:bCs/>
          <w:sz w:val="30"/>
          <w:szCs w:val="30"/>
        </w:rPr>
      </w:pPr>
      <w:bookmarkStart w:id="145" w:name="_Toc20823314"/>
      <w:bookmarkStart w:id="146" w:name="_Toc513029242"/>
      <w:bookmarkStart w:id="147" w:name="_Toc16938558"/>
      <w:bookmarkStart w:id="148" w:name="_Toc479757207"/>
      <w:bookmarkStart w:id="149" w:name="_Toc120614221"/>
      <w:r>
        <w:rPr>
          <w:rFonts w:hint="eastAsia" w:ascii="宋体" w:hAnsi="宋体" w:cs="宋体"/>
          <w:bCs/>
          <w:sz w:val="30"/>
          <w:szCs w:val="30"/>
        </w:rPr>
        <w:t>36、履约保证金</w:t>
      </w:r>
    </w:p>
    <w:p>
      <w:pPr>
        <w:tabs>
          <w:tab w:val="left" w:pos="900"/>
        </w:tabs>
        <w:spacing w:line="440" w:lineRule="exact"/>
        <w:ind w:firstLine="480" w:firstLineChars="200"/>
        <w:rPr>
          <w:rFonts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sz w:val="24"/>
        </w:rPr>
      </w:pPr>
    </w:p>
    <w:p>
      <w:pPr>
        <w:pStyle w:val="3"/>
        <w:ind w:firstLine="1767" w:firstLineChars="400"/>
        <w:jc w:val="both"/>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145"/>
      <w:bookmarkEnd w:id="146"/>
      <w:bookmarkEnd w:id="147"/>
      <w:bookmarkEnd w:id="148"/>
      <w:bookmarkEnd w:id="149"/>
      <w:r>
        <w:rPr>
          <w:rFonts w:hint="eastAsia" w:ascii="宋体" w:hAnsi="宋体" w:eastAsia="宋体" w:cs="宋体"/>
          <w:b/>
          <w:sz w:val="44"/>
        </w:rPr>
        <w:t>格式</w:t>
      </w:r>
    </w:p>
    <w:p>
      <w:pPr>
        <w:pStyle w:val="6"/>
        <w:spacing w:before="0" w:after="0" w:line="460" w:lineRule="exact"/>
        <w:jc w:val="center"/>
        <w:rPr>
          <w:rFonts w:ascii="宋体" w:hAnsi="宋体" w:cs="宋体"/>
        </w:rPr>
      </w:pPr>
      <w:bookmarkStart w:id="150" w:name="_Toc20823315"/>
      <w:bookmarkStart w:id="151" w:name="_Toc16938559"/>
      <w:bookmarkStart w:id="152" w:name="_Toc513029243"/>
    </w:p>
    <w:bookmarkEnd w:id="150"/>
    <w:bookmarkEnd w:id="151"/>
    <w:bookmarkEnd w:id="152"/>
    <w:p>
      <w:pPr>
        <w:spacing w:line="440" w:lineRule="exact"/>
        <w:ind w:firstLine="480" w:firstLineChars="200"/>
        <w:rPr>
          <w:rFonts w:ascii="宋体" w:hAnsi="宋体" w:cs="宋体"/>
          <w:bCs/>
          <w:sz w:val="24"/>
        </w:rPr>
      </w:pPr>
      <w:bookmarkStart w:id="153" w:name="_Hlt16619350"/>
      <w:bookmarkStart w:id="154" w:name="_Toc16938590"/>
      <w:bookmarkStart w:id="155" w:name="_Toc20823346"/>
      <w:bookmarkStart w:id="156" w:name="_Toc120614244"/>
      <w:bookmarkStart w:id="157" w:name="_Toc462564139"/>
      <w:bookmarkStart w:id="158" w:name="_Toc479757211"/>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bCs/>
          <w:sz w:val="30"/>
          <w:szCs w:val="20"/>
        </w:rPr>
      </w:pPr>
      <w:r>
        <w:rPr>
          <w:rFonts w:hint="eastAsia" w:ascii="宋体" w:hAnsi="宋体" w:cs="宋体"/>
          <w:b/>
          <w:sz w:val="30"/>
        </w:rPr>
        <w:t>政府采购合同</w:t>
      </w:r>
    </w:p>
    <w:p>
      <w:pPr>
        <w:pStyle w:val="22"/>
        <w:snapToGrid w:val="0"/>
        <w:spacing w:line="50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盐城工业职业技术学院信息与安全学院LED显示屏</w:t>
      </w:r>
      <w:r>
        <w:rPr>
          <w:rFonts w:hint="eastAsia" w:hAnsi="宋体" w:cs="宋体"/>
          <w:sz w:val="24"/>
          <w:szCs w:val="24"/>
        </w:rPr>
        <w:t>项目</w:t>
      </w:r>
    </w:p>
    <w:p>
      <w:pPr>
        <w:pStyle w:val="22"/>
        <w:snapToGrid w:val="0"/>
        <w:spacing w:line="500" w:lineRule="exact"/>
        <w:ind w:firstLine="480" w:firstLineChars="200"/>
        <w:jc w:val="left"/>
        <w:rPr>
          <w:rFonts w:hAnsi="宋体" w:cs="宋体"/>
          <w:sz w:val="24"/>
          <w:szCs w:val="24"/>
        </w:rPr>
      </w:pPr>
      <w:r>
        <w:rPr>
          <w:rFonts w:hint="eastAsia" w:hAnsi="宋体" w:cs="宋体"/>
          <w:sz w:val="24"/>
          <w:szCs w:val="24"/>
        </w:rPr>
        <w:t>项目编号：</w:t>
      </w:r>
      <w:r>
        <w:rPr>
          <w:rFonts w:hint="eastAsia" w:hAnsi="宋体" w:cs="宋体"/>
          <w:sz w:val="24"/>
          <w:szCs w:val="24"/>
          <w:u w:val="single"/>
        </w:rPr>
        <w:t>2020-007S</w:t>
      </w:r>
    </w:p>
    <w:p>
      <w:pPr>
        <w:pStyle w:val="22"/>
        <w:snapToGrid w:val="0"/>
        <w:spacing w:line="50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22"/>
        <w:snapToGrid w:val="0"/>
        <w:spacing w:line="500" w:lineRule="exact"/>
        <w:ind w:firstLine="480" w:firstLineChars="200"/>
        <w:rPr>
          <w:rFonts w:hAnsi="宋体" w:cs="宋体"/>
          <w:sz w:val="24"/>
          <w:szCs w:val="24"/>
        </w:rPr>
      </w:pPr>
      <w:r>
        <w:rPr>
          <w:rFonts w:hint="eastAsia" w:hAnsi="宋体" w:cs="宋体"/>
          <w:sz w:val="24"/>
          <w:szCs w:val="24"/>
        </w:rPr>
        <w:t>乙方：（卖方）</w:t>
      </w:r>
      <w:r>
        <w:rPr>
          <w:rFonts w:hint="eastAsia" w:hAnsi="宋体" w:cs="宋体"/>
          <w:sz w:val="24"/>
          <w:szCs w:val="24"/>
          <w:u w:val="single"/>
        </w:rPr>
        <w:t xml:space="preserve">                    </w:t>
      </w:r>
    </w:p>
    <w:p>
      <w:pPr>
        <w:spacing w:line="50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盐城工业职业技术学院信息与安全学院LED显示屏</w:t>
      </w:r>
      <w:r>
        <w:rPr>
          <w:rFonts w:hint="eastAsia" w:ascii="宋体" w:hAnsi="宋体" w:cs="宋体"/>
          <w:sz w:val="24"/>
          <w:szCs w:val="24"/>
        </w:rPr>
        <w:t>项目公开招标的结果，签署本合同。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一、项目内容</w:t>
      </w:r>
    </w:p>
    <w:p>
      <w:pPr>
        <w:pStyle w:val="22"/>
        <w:snapToGrid w:val="0"/>
        <w:spacing w:line="500" w:lineRule="exact"/>
        <w:ind w:firstLine="480" w:firstLineChars="200"/>
        <w:rPr>
          <w:rFonts w:hAnsi="宋体" w:cs="宋体"/>
          <w:sz w:val="24"/>
          <w:szCs w:val="24"/>
        </w:rPr>
      </w:pPr>
      <w:r>
        <w:rPr>
          <w:rFonts w:hint="eastAsia" w:hAnsi="宋体" w:cs="宋体"/>
          <w:sz w:val="24"/>
          <w:szCs w:val="24"/>
        </w:rPr>
        <w:t>1.1 项目名称：</w:t>
      </w:r>
      <w:r>
        <w:rPr>
          <w:rFonts w:hint="eastAsia" w:hAnsi="宋体" w:cs="宋体"/>
          <w:sz w:val="24"/>
          <w:szCs w:val="24"/>
          <w:u w:val="single"/>
        </w:rPr>
        <w:t>盐城工业职业技术学院信息与安全学院LED显示屏</w:t>
      </w:r>
      <w:r>
        <w:rPr>
          <w:rFonts w:hint="eastAsia" w:hAnsi="宋体" w:cs="宋体"/>
          <w:sz w:val="24"/>
          <w:szCs w:val="24"/>
        </w:rPr>
        <w:t>项目。</w:t>
      </w:r>
    </w:p>
    <w:p>
      <w:pPr>
        <w:pStyle w:val="22"/>
        <w:snapToGrid w:val="0"/>
        <w:spacing w:line="500" w:lineRule="exact"/>
        <w:ind w:firstLine="480" w:firstLineChars="200"/>
        <w:rPr>
          <w:rFonts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0" w:firstLineChars="200"/>
        <w:rPr>
          <w:rFonts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二、合同金额</w:t>
      </w:r>
    </w:p>
    <w:p>
      <w:pPr>
        <w:pStyle w:val="22"/>
        <w:snapToGrid w:val="0"/>
        <w:spacing w:line="500" w:lineRule="exact"/>
        <w:ind w:firstLine="480" w:firstLineChars="200"/>
        <w:rPr>
          <w:rFonts w:hAnsi="宋体" w:cs="宋体"/>
          <w:sz w:val="24"/>
          <w:szCs w:val="24"/>
        </w:rPr>
      </w:pPr>
      <w:r>
        <w:rPr>
          <w:rFonts w:hint="eastAsia" w:hAnsi="宋体" w:cs="宋体"/>
          <w:sz w:val="24"/>
          <w:szCs w:val="24"/>
        </w:rPr>
        <w:t>2.1 本合同金额为（大写）：________元（_______________元）人民币或其他币种。</w:t>
      </w:r>
    </w:p>
    <w:p>
      <w:pPr>
        <w:spacing w:line="500" w:lineRule="exact"/>
        <w:ind w:firstLine="480" w:firstLineChars="200"/>
        <w:rPr>
          <w:rFonts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三、技术资料</w:t>
      </w:r>
    </w:p>
    <w:p>
      <w:pPr>
        <w:spacing w:line="50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50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四、知识产权</w:t>
      </w:r>
    </w:p>
    <w:p>
      <w:pPr>
        <w:spacing w:line="50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500" w:lineRule="exact"/>
        <w:ind w:firstLine="482" w:firstLineChars="200"/>
        <w:rPr>
          <w:rFonts w:hAnsi="宋体" w:cs="宋体"/>
          <w:sz w:val="24"/>
          <w:szCs w:val="24"/>
          <w:u w:val="single"/>
        </w:rPr>
      </w:pPr>
      <w:r>
        <w:rPr>
          <w:rFonts w:hint="eastAsia" w:hAnsi="宋体" w:cs="宋体"/>
          <w:b/>
          <w:sz w:val="24"/>
          <w:szCs w:val="24"/>
        </w:rPr>
        <w:t>五、产权担保</w:t>
      </w:r>
    </w:p>
    <w:p>
      <w:pPr>
        <w:pStyle w:val="22"/>
        <w:snapToGrid w:val="0"/>
        <w:spacing w:line="500" w:lineRule="exact"/>
        <w:ind w:firstLine="480" w:firstLineChars="200"/>
        <w:rPr>
          <w:rFonts w:hAnsi="宋体" w:cs="宋体"/>
          <w:sz w:val="24"/>
          <w:szCs w:val="24"/>
          <w:u w:val="single"/>
        </w:rPr>
      </w:pPr>
      <w:r>
        <w:rPr>
          <w:rFonts w:hint="eastAsia" w:hAnsi="宋体" w:cs="宋体"/>
          <w:sz w:val="24"/>
          <w:szCs w:val="24"/>
        </w:rPr>
        <w:t>5.1乙方保证所交付的货物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六、履约保证金</w:t>
      </w:r>
    </w:p>
    <w:p>
      <w:pPr>
        <w:pStyle w:val="22"/>
        <w:snapToGrid w:val="0"/>
        <w:spacing w:line="500" w:lineRule="exact"/>
        <w:ind w:firstLine="480" w:firstLineChars="200"/>
        <w:rPr>
          <w:rFonts w:hAnsi="宋体" w:cs="宋体"/>
          <w:sz w:val="24"/>
          <w:szCs w:val="24"/>
        </w:rPr>
      </w:pPr>
      <w:r>
        <w:rPr>
          <w:rFonts w:hint="eastAsia" w:hAnsi="宋体" w:cs="宋体"/>
          <w:sz w:val="24"/>
          <w:szCs w:val="24"/>
        </w:rPr>
        <w:t>6.1乙方交纳人民币______元作为本合同的履约保证金（合同金额的5%）。</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2"/>
        <w:snapToGrid w:val="0"/>
        <w:spacing w:line="500" w:lineRule="exact"/>
        <w:ind w:firstLine="482" w:firstLineChars="200"/>
        <w:rPr>
          <w:rFonts w:hAnsi="宋体" w:cs="宋体"/>
          <w:sz w:val="24"/>
          <w:szCs w:val="24"/>
        </w:rPr>
      </w:pPr>
      <w:r>
        <w:rPr>
          <w:rFonts w:hint="eastAsia" w:hAnsi="宋体" w:cs="宋体"/>
          <w:b/>
          <w:sz w:val="24"/>
          <w:szCs w:val="24"/>
        </w:rPr>
        <w:t>八、质保期</w:t>
      </w:r>
    </w:p>
    <w:p>
      <w:pPr>
        <w:pStyle w:val="22"/>
        <w:snapToGrid w:val="0"/>
        <w:spacing w:line="500" w:lineRule="exact"/>
        <w:ind w:firstLine="480" w:firstLineChars="200"/>
        <w:rPr>
          <w:rFonts w:hAnsi="宋体" w:cs="宋体"/>
          <w:color w:val="0000FF"/>
          <w:sz w:val="24"/>
          <w:szCs w:val="24"/>
          <w:u w:val="single"/>
        </w:rPr>
      </w:pPr>
      <w:r>
        <w:rPr>
          <w:rFonts w:hint="eastAsia" w:hAnsi="宋体" w:cs="宋体"/>
          <w:sz w:val="24"/>
          <w:szCs w:val="24"/>
        </w:rPr>
        <w:t xml:space="preserve">8.1 </w:t>
      </w:r>
      <w:r>
        <w:rPr>
          <w:rFonts w:hint="eastAsia" w:hAnsi="宋体" w:cs="宋体"/>
          <w:color w:val="0000FF"/>
          <w:sz w:val="24"/>
          <w:szCs w:val="24"/>
          <w:u w:val="single"/>
        </w:rPr>
        <w:t>本项目整屏至少三年（如投标时承诺多于三年的按投标承诺执行）免费质保（上门服务），质保期内提供24小时免费上门维修服务，质保期后提供维修维护服务。（乙方在收到中标通知书后7个工作日内须提供原厂至少三年质保函原件，否则取消中标资格）</w:t>
      </w:r>
    </w:p>
    <w:p>
      <w:pPr>
        <w:pStyle w:val="22"/>
        <w:snapToGrid w:val="0"/>
        <w:spacing w:line="500" w:lineRule="exact"/>
        <w:ind w:firstLine="480" w:firstLineChars="200"/>
        <w:rPr>
          <w:rFonts w:hAnsi="宋体" w:cs="宋体"/>
          <w:sz w:val="24"/>
          <w:szCs w:val="24"/>
        </w:rPr>
      </w:pPr>
      <w:r>
        <w:rPr>
          <w:rFonts w:hint="eastAsia" w:hAnsi="宋体" w:cs="宋体"/>
          <w:color w:val="0000FF"/>
          <w:sz w:val="24"/>
          <w:szCs w:val="24"/>
          <w:u w:val="single"/>
        </w:rPr>
        <w:t>8.2质保期自交货验收合格之日起计。</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九、交货期、交货方式及交货地点</w:t>
      </w:r>
    </w:p>
    <w:p>
      <w:pPr>
        <w:pStyle w:val="22"/>
        <w:snapToGrid w:val="0"/>
        <w:spacing w:line="500" w:lineRule="exact"/>
        <w:ind w:firstLine="480" w:firstLineChars="200"/>
        <w:rPr>
          <w:rFonts w:hAnsi="宋体" w:cs="宋体"/>
          <w:bCs/>
          <w:sz w:val="24"/>
          <w:szCs w:val="24"/>
        </w:rPr>
      </w:pPr>
      <w:r>
        <w:rPr>
          <w:rFonts w:hint="eastAsia" w:hAnsi="宋体" w:cs="宋体"/>
          <w:bCs/>
          <w:sz w:val="24"/>
          <w:szCs w:val="24"/>
        </w:rPr>
        <w:t>9.1 交货期：</w:t>
      </w:r>
      <w:r>
        <w:rPr>
          <w:rFonts w:hint="eastAsia" w:hAnsi="宋体" w:cs="宋体"/>
          <w:sz w:val="24"/>
          <w:szCs w:val="24"/>
          <w:u w:val="single"/>
          <w:lang w:eastAsia="zh-TW"/>
        </w:rPr>
        <w:t>签订合同后30天</w:t>
      </w:r>
      <w:r>
        <w:rPr>
          <w:rFonts w:hint="eastAsia" w:hAnsi="宋体" w:cs="宋体"/>
          <w:sz w:val="24"/>
          <w:szCs w:val="24"/>
          <w:u w:val="single"/>
        </w:rPr>
        <w:t>完成安装调试（如甲方需要延时交付，可另行约定时间）。</w:t>
      </w:r>
    </w:p>
    <w:p>
      <w:pPr>
        <w:pStyle w:val="22"/>
        <w:snapToGrid w:val="0"/>
        <w:spacing w:line="500" w:lineRule="exact"/>
        <w:ind w:firstLine="480" w:firstLineChars="200"/>
        <w:rPr>
          <w:rFonts w:hAnsi="宋体" w:cs="宋体"/>
          <w:bCs/>
          <w:sz w:val="24"/>
          <w:szCs w:val="24"/>
        </w:rPr>
      </w:pPr>
      <w:r>
        <w:rPr>
          <w:rFonts w:hint="eastAsia" w:hAnsi="宋体" w:cs="宋体"/>
          <w:bCs/>
          <w:sz w:val="24"/>
          <w:szCs w:val="24"/>
        </w:rPr>
        <w:t>9.2 交货方式：</w:t>
      </w:r>
      <w:r>
        <w:rPr>
          <w:rFonts w:hint="eastAsia" w:hAnsi="宋体" w:cs="宋体"/>
          <w:sz w:val="24"/>
          <w:szCs w:val="24"/>
          <w:u w:val="single"/>
          <w:lang w:eastAsia="zh-TW"/>
        </w:rPr>
        <w:t>送货上门、安装与调试</w:t>
      </w:r>
      <w:r>
        <w:rPr>
          <w:rFonts w:hint="eastAsia" w:hAnsi="宋体" w:cs="宋体"/>
          <w:sz w:val="24"/>
          <w:szCs w:val="24"/>
          <w:u w:val="single"/>
        </w:rPr>
        <w:t>。</w:t>
      </w:r>
    </w:p>
    <w:p>
      <w:pPr>
        <w:pStyle w:val="22"/>
        <w:snapToGrid w:val="0"/>
        <w:spacing w:line="500" w:lineRule="exact"/>
        <w:ind w:firstLine="480" w:firstLineChars="200"/>
        <w:rPr>
          <w:rFonts w:hAnsi="宋体" w:cs="宋体"/>
          <w:sz w:val="24"/>
          <w:szCs w:val="24"/>
          <w:u w:val="single"/>
        </w:rPr>
      </w:pPr>
      <w:r>
        <w:rPr>
          <w:rFonts w:hint="eastAsia" w:hAnsi="宋体" w:cs="宋体"/>
          <w:bCs/>
          <w:sz w:val="24"/>
          <w:szCs w:val="24"/>
        </w:rPr>
        <w:t>9.3 交货地点：</w:t>
      </w:r>
      <w:r>
        <w:rPr>
          <w:rFonts w:hint="eastAsia" w:hAnsi="宋体" w:cs="宋体"/>
          <w:sz w:val="24"/>
          <w:szCs w:val="24"/>
          <w:u w:val="single"/>
          <w:lang w:eastAsia="zh-TW"/>
        </w:rPr>
        <w:t>甲方指定地点。</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十、货款支付</w:t>
      </w:r>
    </w:p>
    <w:p>
      <w:pPr>
        <w:pStyle w:val="39"/>
        <w:spacing w:before="0" w:beforeAutospacing="0" w:after="0" w:afterAutospacing="0"/>
        <w:ind w:firstLine="480" w:firstLineChars="200"/>
        <w:rPr>
          <w:b/>
          <w:bCs/>
          <w:sz w:val="28"/>
          <w:szCs w:val="28"/>
        </w:rPr>
      </w:pPr>
      <w:r>
        <w:rPr>
          <w:rFonts w:hint="eastAsia"/>
        </w:rPr>
        <w:t>10.1 付款方式：</w:t>
      </w:r>
      <w:r>
        <w:rPr>
          <w:rFonts w:hint="eastAsia"/>
          <w:kern w:val="2"/>
          <w:u w:val="single"/>
          <w:lang w:eastAsia="zh-TW"/>
        </w:rPr>
        <w:t>招标范围内容全部完成并经安装调试、培训结束，验收合格后付总价的90%；余款一年后根据售后服务情况付总价的5%。质保期满后根据售后服务情况付总价的5%。</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2"/>
        <w:snapToGrid w:val="0"/>
        <w:spacing w:line="500" w:lineRule="exact"/>
        <w:ind w:firstLine="482" w:firstLineChars="200"/>
        <w:rPr>
          <w:rFonts w:hAnsi="宋体" w:cs="宋体"/>
          <w:sz w:val="24"/>
          <w:szCs w:val="24"/>
        </w:rPr>
      </w:pPr>
      <w:r>
        <w:rPr>
          <w:rFonts w:hint="eastAsia" w:hAnsi="宋体" w:cs="宋体"/>
          <w:b/>
          <w:sz w:val="24"/>
          <w:szCs w:val="24"/>
        </w:rPr>
        <w:t>十二、质量保证及售后服务</w:t>
      </w:r>
    </w:p>
    <w:p>
      <w:pPr>
        <w:spacing w:line="500" w:lineRule="exact"/>
        <w:ind w:firstLine="480" w:firstLineChars="200"/>
        <w:rPr>
          <w:rFonts w:ascii="宋体" w:hAnsi="宋体" w:cs="宋体"/>
          <w:sz w:val="24"/>
          <w:szCs w:val="24"/>
        </w:rPr>
      </w:pPr>
      <w:r>
        <w:rPr>
          <w:rFonts w:hint="eastAsia" w:ascii="宋体" w:hAnsi="宋体" w:cs="宋体"/>
          <w:sz w:val="24"/>
          <w:szCs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12.2 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500" w:lineRule="exact"/>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spacing w:line="500" w:lineRule="exact"/>
        <w:ind w:firstLine="480" w:firstLineChars="200"/>
        <w:rPr>
          <w:rFonts w:ascii="宋体" w:hAnsi="宋体" w:cs="宋体"/>
          <w:sz w:val="24"/>
          <w:szCs w:val="24"/>
        </w:rPr>
      </w:pPr>
      <w:r>
        <w:rPr>
          <w:rFonts w:hint="eastAsia" w:ascii="宋体" w:hAnsi="宋体" w:cs="宋体"/>
          <w:sz w:val="24"/>
          <w:szCs w:val="24"/>
        </w:rPr>
        <w:t>⑵贬值处理：由甲乙双方合议定价。</w:t>
      </w:r>
    </w:p>
    <w:p>
      <w:pPr>
        <w:spacing w:line="500" w:lineRule="exact"/>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的直接费用（运输、保险、检验、货款利息及银行手续费等）。</w:t>
      </w:r>
    </w:p>
    <w:p>
      <w:pPr>
        <w:spacing w:line="500" w:lineRule="exact"/>
        <w:ind w:firstLine="480" w:firstLineChars="200"/>
        <w:rPr>
          <w:rFonts w:ascii="宋体" w:hAnsi="宋体" w:cs="宋体"/>
          <w:bCs/>
          <w:color w:val="0000FF"/>
          <w:sz w:val="24"/>
        </w:rPr>
      </w:pPr>
      <w:r>
        <w:rPr>
          <w:rFonts w:hint="eastAsia" w:ascii="宋体" w:hAnsi="宋体" w:cs="宋体"/>
          <w:bCs/>
          <w:color w:val="0000FF"/>
          <w:sz w:val="24"/>
        </w:rPr>
        <w:t>12.3 在质保期内，乙方应对货物和服务出现的质量及安全问题负责处理解决并承担一切费用，提供7*24小时免费上门维修服务，并在接到甲方通知后在60分钟内响应，</w:t>
      </w:r>
      <w:r>
        <w:rPr>
          <w:rFonts w:hint="eastAsia" w:ascii="宋体" w:hAnsi="宋体" w:cs="宋体"/>
          <w:bCs/>
          <w:color w:val="FF0000"/>
          <w:sz w:val="24"/>
        </w:rPr>
        <w:t>4小时内</w:t>
      </w:r>
      <w:r>
        <w:rPr>
          <w:rFonts w:hint="eastAsia" w:ascii="宋体" w:hAnsi="宋体" w:cs="宋体"/>
          <w:bCs/>
          <w:color w:val="0000FF"/>
          <w:sz w:val="24"/>
        </w:rPr>
        <w:t>到达现场提供免费上门维修服务。</w:t>
      </w:r>
    </w:p>
    <w:p>
      <w:pPr>
        <w:spacing w:line="500" w:lineRule="exact"/>
        <w:ind w:firstLine="480" w:firstLineChars="200"/>
        <w:rPr>
          <w:rFonts w:ascii="宋体" w:hAnsi="宋体" w:cs="宋体"/>
          <w:sz w:val="24"/>
          <w:szCs w:val="24"/>
        </w:rPr>
      </w:pPr>
      <w:r>
        <w:rPr>
          <w:rFonts w:hint="eastAsia" w:ascii="宋体" w:hAnsi="宋体" w:cs="宋体"/>
          <w:sz w:val="24"/>
          <w:szCs w:val="24"/>
        </w:rPr>
        <w:t>12.4乙方须向甲方免费提供培训服务，确保使用者完全会使用及操作为止。</w:t>
      </w:r>
    </w:p>
    <w:p>
      <w:pPr>
        <w:spacing w:line="500" w:lineRule="exact"/>
        <w:ind w:firstLine="480" w:firstLineChars="200"/>
        <w:rPr>
          <w:rFonts w:ascii="宋体" w:hAnsi="宋体" w:cs="宋体"/>
          <w:sz w:val="24"/>
          <w:szCs w:val="24"/>
        </w:rPr>
      </w:pPr>
      <w:r>
        <w:rPr>
          <w:rFonts w:hint="eastAsia" w:ascii="宋体" w:hAnsi="宋体" w:cs="宋体"/>
          <w:sz w:val="24"/>
          <w:szCs w:val="24"/>
        </w:rPr>
        <w:t>12.5上述的货物免费保修期，因人为因素出现的故障不在免费保修范围内。超过保修期的机器设备，终生维修，维修时只收部件成本费。</w:t>
      </w:r>
    </w:p>
    <w:p>
      <w:pPr>
        <w:spacing w:line="500" w:lineRule="exact"/>
        <w:ind w:firstLine="480" w:firstLineChars="200"/>
        <w:rPr>
          <w:rFonts w:ascii="宋体" w:hAnsi="宋体" w:cs="宋体"/>
          <w:sz w:val="24"/>
          <w:szCs w:val="24"/>
        </w:rPr>
      </w:pPr>
      <w:r>
        <w:rPr>
          <w:rFonts w:hint="eastAsia" w:ascii="宋体" w:hAnsi="宋体" w:cs="宋体"/>
          <w:sz w:val="24"/>
          <w:szCs w:val="24"/>
        </w:rPr>
        <w:t>12.6乙方提供的产品必须是满足招标方要求的全新现货。产品质量稳定且符合国家和有关部门质量检测标准及相关要求。如果投标货物实行生产许可证制度，应有生产许可证。</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十三、调试和验收</w:t>
      </w:r>
    </w:p>
    <w:p>
      <w:pPr>
        <w:spacing w:line="500" w:lineRule="exact"/>
        <w:ind w:firstLine="480" w:firstLineChars="200"/>
        <w:rPr>
          <w:rFonts w:ascii="宋体" w:hAnsi="宋体" w:cs="宋体"/>
          <w:sz w:val="24"/>
          <w:szCs w:val="24"/>
        </w:rPr>
      </w:pPr>
      <w:r>
        <w:rPr>
          <w:rFonts w:hint="eastAsia" w:ascii="宋体" w:hAnsi="宋体" w:cs="宋体"/>
          <w:sz w:val="24"/>
          <w:szCs w:val="24"/>
        </w:rPr>
        <w:t>13.1 甲方对乙方提交的货物</w:t>
      </w:r>
      <w:r>
        <w:rPr>
          <w:rFonts w:hint="eastAsia" w:ascii="宋体" w:hAnsi="宋体" w:cs="宋体"/>
          <w:bCs/>
          <w:sz w:val="24"/>
        </w:rPr>
        <w:t>和服务</w:t>
      </w:r>
      <w:r>
        <w:rPr>
          <w:rFonts w:hint="eastAsia" w:ascii="宋体" w:hAnsi="宋体" w:cs="宋体"/>
          <w:sz w:val="24"/>
          <w:szCs w:val="24"/>
        </w:rPr>
        <w:t>依据招标文件上的技术规格要求和国家有关质量标准进行现场初步验收，外观、说明书符合招标文件技术要求的，给予签收，初步验收不合格的不予签收。</w:t>
      </w:r>
    </w:p>
    <w:p>
      <w:pPr>
        <w:spacing w:line="500" w:lineRule="exact"/>
        <w:ind w:firstLine="480" w:firstLineChars="200"/>
        <w:rPr>
          <w:rFonts w:ascii="宋体" w:hAnsi="宋体" w:cs="宋体"/>
          <w:sz w:val="24"/>
          <w:szCs w:val="24"/>
        </w:rPr>
      </w:pPr>
      <w:r>
        <w:rPr>
          <w:rFonts w:hint="eastAsia" w:ascii="宋体" w:hAnsi="宋体" w:cs="宋体"/>
          <w:sz w:val="24"/>
          <w:szCs w:val="24"/>
        </w:rPr>
        <w:t>13.2 乙方交付前应对产品作出全面检查和对验收文件进行整理，并列出清单，作为甲方验收和使用的技术条件依据，检验的结果应一并交甲方。</w:t>
      </w:r>
    </w:p>
    <w:p>
      <w:pPr>
        <w:spacing w:line="500" w:lineRule="exact"/>
        <w:ind w:firstLine="480" w:firstLineChars="200"/>
        <w:rPr>
          <w:rFonts w:ascii="宋体" w:hAnsi="宋体" w:cs="宋体"/>
          <w:sz w:val="24"/>
          <w:szCs w:val="24"/>
        </w:rPr>
      </w:pPr>
      <w:r>
        <w:rPr>
          <w:rFonts w:hint="eastAsia" w:ascii="宋体" w:hAnsi="宋体" w:cs="宋体"/>
          <w:sz w:val="24"/>
          <w:szCs w:val="24"/>
        </w:rPr>
        <w:t>13.3 甲方对乙方提供的货物</w:t>
      </w:r>
      <w:r>
        <w:rPr>
          <w:rFonts w:hint="eastAsia" w:ascii="宋体" w:hAnsi="宋体" w:cs="宋体"/>
          <w:bCs/>
          <w:sz w:val="24"/>
        </w:rPr>
        <w:t>和服务</w:t>
      </w:r>
      <w:r>
        <w:rPr>
          <w:rFonts w:hint="eastAsia" w:ascii="宋体" w:hAnsi="宋体" w:cs="宋体"/>
          <w:sz w:val="24"/>
          <w:szCs w:val="24"/>
        </w:rPr>
        <w:t>在使用前进行调试时，乙方需负责安装并培训甲方的使用操作人员，并协助甲方一起调试，直到符合技术要求，甲方才做最终验收。</w:t>
      </w:r>
    </w:p>
    <w:p>
      <w:pPr>
        <w:spacing w:line="500" w:lineRule="exact"/>
        <w:ind w:firstLine="480" w:firstLineChars="200"/>
        <w:rPr>
          <w:rFonts w:ascii="宋体" w:hAnsi="宋体" w:cs="宋体"/>
          <w:sz w:val="24"/>
          <w:szCs w:val="24"/>
        </w:rPr>
      </w:pPr>
      <w:r>
        <w:rPr>
          <w:rFonts w:hint="eastAsia" w:ascii="宋体" w:hAnsi="宋体" w:cs="宋体"/>
          <w:sz w:val="24"/>
          <w:szCs w:val="24"/>
        </w:rPr>
        <w:t>13.4 对技术复杂的货物</w:t>
      </w:r>
      <w:r>
        <w:rPr>
          <w:rFonts w:hint="eastAsia" w:ascii="宋体" w:hAnsi="宋体" w:cs="宋体"/>
          <w:bCs/>
          <w:sz w:val="24"/>
        </w:rPr>
        <w:t>和服务</w:t>
      </w:r>
      <w:r>
        <w:rPr>
          <w:rFonts w:hint="eastAsia" w:ascii="宋体" w:hAnsi="宋体" w:cs="宋体"/>
          <w:sz w:val="24"/>
          <w:szCs w:val="24"/>
        </w:rPr>
        <w:t>，甲方可请国家认可的专业检测机构参与初步验收及最终验收，并由其出具质量检测报告。</w:t>
      </w:r>
    </w:p>
    <w:p>
      <w:pPr>
        <w:spacing w:line="500" w:lineRule="exact"/>
        <w:ind w:firstLine="480" w:firstLineChars="200"/>
        <w:rPr>
          <w:rFonts w:ascii="宋体" w:hAnsi="宋体" w:cs="宋体"/>
          <w:sz w:val="24"/>
          <w:szCs w:val="24"/>
        </w:rPr>
      </w:pPr>
      <w:r>
        <w:rPr>
          <w:rFonts w:hint="eastAsia" w:ascii="宋体" w:hAnsi="宋体" w:cs="宋体"/>
          <w:sz w:val="24"/>
          <w:szCs w:val="24"/>
        </w:rPr>
        <w:t>13.5 验收时乙方必须在现场，验收完毕后作出验收结果报告；验收费用由甲乙双方协商解决。</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十四、货物包装、发运及运输</w:t>
      </w:r>
    </w:p>
    <w:p>
      <w:pPr>
        <w:spacing w:line="500" w:lineRule="exact"/>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spacing w:line="500" w:lineRule="exact"/>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spacing w:line="500" w:lineRule="exact"/>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spacing w:line="500" w:lineRule="exact"/>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rPr>
        <w:t>和服务</w:t>
      </w:r>
      <w:r>
        <w:rPr>
          <w:rFonts w:hint="eastAsia" w:ascii="宋体" w:hAnsi="宋体" w:cs="宋体"/>
          <w:sz w:val="24"/>
          <w:szCs w:val="24"/>
        </w:rPr>
        <w:t>在交付甲方前发生的风险均由乙方负责。</w:t>
      </w:r>
    </w:p>
    <w:p>
      <w:pPr>
        <w:spacing w:line="500" w:lineRule="exact"/>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十五、违约责任</w:t>
      </w:r>
    </w:p>
    <w:p>
      <w:pPr>
        <w:spacing w:line="500" w:lineRule="exact"/>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500" w:lineRule="exact"/>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spacing w:line="500" w:lineRule="exact"/>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500" w:lineRule="exact"/>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十六、不可抗力事件处理</w:t>
      </w:r>
    </w:p>
    <w:p>
      <w:pPr>
        <w:spacing w:line="500" w:lineRule="exact"/>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spacing w:line="500" w:lineRule="exact"/>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十七、诉讼</w:t>
      </w:r>
    </w:p>
    <w:p>
      <w:pPr>
        <w:spacing w:line="500" w:lineRule="exact"/>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22"/>
        <w:snapToGrid w:val="0"/>
        <w:spacing w:line="500" w:lineRule="exact"/>
        <w:ind w:firstLine="482" w:firstLineChars="200"/>
        <w:rPr>
          <w:rFonts w:hAnsi="宋体" w:cs="宋体"/>
          <w:b/>
          <w:sz w:val="24"/>
          <w:szCs w:val="24"/>
        </w:rPr>
      </w:pPr>
      <w:r>
        <w:rPr>
          <w:rFonts w:hint="eastAsia" w:hAnsi="宋体" w:cs="宋体"/>
          <w:b/>
          <w:sz w:val="24"/>
          <w:szCs w:val="24"/>
        </w:rPr>
        <w:t>十八、合同生效及其它</w:t>
      </w:r>
    </w:p>
    <w:p>
      <w:pPr>
        <w:spacing w:line="500" w:lineRule="exact"/>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spacing w:line="500" w:lineRule="exact"/>
        <w:ind w:firstLine="480" w:firstLineChars="200"/>
        <w:rPr>
          <w:rFonts w:ascii="宋体" w:hAnsi="宋体" w:cs="宋体"/>
          <w:sz w:val="24"/>
          <w:szCs w:val="24"/>
        </w:rPr>
      </w:pPr>
      <w:r>
        <w:rPr>
          <w:rFonts w:hint="eastAsia" w:ascii="宋体" w:hAnsi="宋体" w:cs="宋体"/>
          <w:sz w:val="24"/>
          <w:szCs w:val="24"/>
        </w:rPr>
        <w:t>18.2本合同未尽事宜，遵照《合同法》有关条文执行。</w:t>
      </w:r>
    </w:p>
    <w:p>
      <w:pPr>
        <w:spacing w:line="500" w:lineRule="exact"/>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w:t>
      </w:r>
    </w:p>
    <w:p>
      <w:pPr>
        <w:pStyle w:val="22"/>
        <w:snapToGrid w:val="0"/>
        <w:spacing w:line="500" w:lineRule="exact"/>
        <w:ind w:firstLine="720" w:firstLineChars="300"/>
        <w:rPr>
          <w:rFonts w:hAnsi="宋体" w:cs="宋体"/>
          <w:sz w:val="24"/>
          <w:szCs w:val="24"/>
        </w:rPr>
      </w:pPr>
      <w:r>
        <w:rPr>
          <w:rFonts w:hint="eastAsia" w:hAnsi="宋体" w:cs="宋体"/>
          <w:sz w:val="24"/>
          <w:szCs w:val="24"/>
        </w:rPr>
        <w:t xml:space="preserve">甲方：                                   乙方：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地址：                                   地址：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采购单位负责人：</w:t>
      </w:r>
    </w:p>
    <w:p>
      <w:pPr>
        <w:pStyle w:val="22"/>
        <w:snapToGrid w:val="0"/>
        <w:spacing w:line="500" w:lineRule="exact"/>
        <w:ind w:firstLine="480" w:firstLineChars="200"/>
        <w:rPr>
          <w:rFonts w:hAnsi="宋体" w:cs="宋体"/>
          <w:sz w:val="24"/>
          <w:szCs w:val="24"/>
        </w:rPr>
      </w:pPr>
      <w:r>
        <w:rPr>
          <w:rFonts w:hint="eastAsia" w:hAnsi="宋体" w:cs="宋体"/>
          <w:sz w:val="24"/>
          <w:szCs w:val="24"/>
        </w:rPr>
        <w:t xml:space="preserve">  联系电话：                               联系电话：</w:t>
      </w:r>
    </w:p>
    <w:p>
      <w:pPr>
        <w:pStyle w:val="22"/>
        <w:snapToGrid w:val="0"/>
        <w:spacing w:line="500" w:lineRule="exact"/>
        <w:jc w:val="right"/>
        <w:rPr>
          <w:rFonts w:hAnsi="宋体" w:cs="宋体"/>
          <w:b/>
          <w:sz w:val="44"/>
        </w:rPr>
        <w:sectPr>
          <w:footerReference r:id="rId6" w:type="default"/>
          <w:pgSz w:w="11906" w:h="16838"/>
          <w:pgMar w:top="1418" w:right="1588" w:bottom="1418" w:left="1365" w:header="851" w:footer="907" w:gutter="0"/>
          <w:pgNumType w:fmt="numberInDash" w:start="1"/>
          <w:cols w:space="720" w:num="1"/>
          <w:docGrid w:type="lines" w:linePitch="290" w:charSpace="0"/>
        </w:sectPr>
      </w:pPr>
      <w:r>
        <w:rPr>
          <w:rFonts w:hint="eastAsia" w:hAnsi="宋体" w:cs="宋体"/>
        </w:rPr>
        <w:t xml:space="preserve">                                        </w:t>
      </w:r>
      <w:r>
        <w:rPr>
          <w:rFonts w:hint="eastAsia" w:hAnsi="宋体" w:cs="宋体"/>
          <w:sz w:val="24"/>
          <w:szCs w:val="24"/>
        </w:rPr>
        <w:t xml:space="preserve">  签订日期：      年  月  日</w:t>
      </w:r>
    </w:p>
    <w:p>
      <w:pPr>
        <w:pStyle w:val="3"/>
        <w:rPr>
          <w:rFonts w:ascii="宋体" w:hAnsi="宋体" w:eastAsia="宋体" w:cs="宋体"/>
          <w:b/>
          <w:bCs/>
          <w:sz w:val="44"/>
        </w:rPr>
      </w:pPr>
      <w:r>
        <w:rPr>
          <w:rFonts w:hint="eastAsia" w:ascii="宋体" w:hAnsi="宋体" w:eastAsia="宋体" w:cs="宋体"/>
          <w:b/>
          <w:sz w:val="44"/>
        </w:rPr>
        <w:t>第</w:t>
      </w:r>
      <w:bookmarkEnd w:id="153"/>
      <w:r>
        <w:rPr>
          <w:rFonts w:hint="eastAsia" w:ascii="宋体" w:hAnsi="宋体" w:eastAsia="宋体" w:cs="宋体"/>
          <w:b/>
          <w:sz w:val="44"/>
        </w:rPr>
        <w:t>四章 项目需求</w:t>
      </w:r>
      <w:bookmarkEnd w:id="154"/>
      <w:bookmarkEnd w:id="155"/>
      <w:bookmarkEnd w:id="156"/>
      <w:bookmarkStart w:id="159" w:name="_Toc26554093"/>
      <w:bookmarkStart w:id="160" w:name="_Toc120614281"/>
      <w:bookmarkStart w:id="161" w:name="_Toc49090575"/>
    </w:p>
    <w:p>
      <w:pPr>
        <w:spacing w:line="500" w:lineRule="exact"/>
        <w:ind w:firstLine="480" w:firstLineChars="200"/>
        <w:rPr>
          <w:rFonts w:ascii="宋体" w:hAnsi="宋体" w:cs="宋体"/>
          <w:sz w:val="24"/>
          <w:szCs w:val="24"/>
        </w:rPr>
      </w:pPr>
      <w:r>
        <w:rPr>
          <w:rFonts w:hint="eastAsia" w:ascii="宋体" w:hAnsi="宋体" w:cs="宋体"/>
          <w:sz w:val="24"/>
          <w:szCs w:val="24"/>
        </w:rPr>
        <w:t>一、项目用途、预期效果或要求</w:t>
      </w:r>
    </w:p>
    <w:p>
      <w:pPr>
        <w:spacing w:line="500" w:lineRule="exact"/>
        <w:ind w:firstLine="480" w:firstLineChars="200"/>
        <w:rPr>
          <w:rFonts w:ascii="宋体" w:hAnsi="宋体" w:cs="宋体"/>
          <w:sz w:val="24"/>
          <w:szCs w:val="24"/>
        </w:rPr>
      </w:pPr>
      <w:r>
        <w:rPr>
          <w:rFonts w:hint="eastAsia" w:ascii="宋体" w:hAnsi="宋体" w:cs="宋体"/>
          <w:sz w:val="24"/>
          <w:szCs w:val="24"/>
        </w:rPr>
        <w:t>本项目是网络安全实验室建设的一项内容，通过购买LED显示屏，并安装在信息与安全学院入口处，可以动态展示相关信息，能够提高信息发布效率并提升信息与安全学院的整体形象。</w:t>
      </w:r>
    </w:p>
    <w:p>
      <w:pPr>
        <w:numPr>
          <w:ilvl w:val="0"/>
          <w:numId w:val="5"/>
        </w:numPr>
        <w:spacing w:line="500" w:lineRule="exact"/>
        <w:ind w:firstLine="480" w:firstLineChars="200"/>
        <w:rPr>
          <w:rFonts w:ascii="宋体" w:hAnsi="宋体" w:cs="宋体"/>
          <w:sz w:val="24"/>
          <w:szCs w:val="24"/>
        </w:rPr>
      </w:pPr>
      <w:r>
        <w:rPr>
          <w:rFonts w:hint="eastAsia" w:ascii="宋体" w:hAnsi="宋体" w:cs="宋体"/>
          <w:sz w:val="24"/>
          <w:szCs w:val="24"/>
        </w:rPr>
        <w:t>工程量清单</w:t>
      </w:r>
    </w:p>
    <w:tbl>
      <w:tblPr>
        <w:tblStyle w:val="44"/>
        <w:tblW w:w="9528" w:type="dxa"/>
        <w:jc w:val="center"/>
        <w:tblLayout w:type="fixed"/>
        <w:tblCellMar>
          <w:top w:w="0" w:type="dxa"/>
          <w:left w:w="0" w:type="dxa"/>
          <w:bottom w:w="0" w:type="dxa"/>
          <w:right w:w="0" w:type="dxa"/>
        </w:tblCellMar>
      </w:tblPr>
      <w:tblGrid>
        <w:gridCol w:w="636"/>
        <w:gridCol w:w="1074"/>
        <w:gridCol w:w="4841"/>
        <w:gridCol w:w="1276"/>
        <w:gridCol w:w="992"/>
        <w:gridCol w:w="709"/>
      </w:tblGrid>
      <w:tr>
        <w:tblPrEx>
          <w:tblCellMar>
            <w:top w:w="0" w:type="dxa"/>
            <w:left w:w="0" w:type="dxa"/>
            <w:bottom w:w="0" w:type="dxa"/>
            <w:right w:w="0" w:type="dxa"/>
          </w:tblCellMar>
        </w:tblPrEx>
        <w:trPr>
          <w:trHeight w:val="90" w:hRule="atLeast"/>
          <w:jc w:val="center"/>
        </w:trPr>
        <w:tc>
          <w:tcPr>
            <w:tcW w:w="952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FF"/>
                <w:sz w:val="22"/>
              </w:rPr>
            </w:pPr>
            <w:r>
              <w:rPr>
                <w:rFonts w:hint="eastAsia" w:ascii="宋体" w:hAnsi="宋体" w:cs="宋体"/>
                <w:b/>
                <w:color w:val="0000FF"/>
                <w:kern w:val="0"/>
                <w:sz w:val="22"/>
              </w:rPr>
              <w:t>室内全彩P1.875（2.64m×1.68m=4.44㎡）</w:t>
            </w:r>
          </w:p>
        </w:tc>
      </w:tr>
      <w:tr>
        <w:tblPrEx>
          <w:tblCellMar>
            <w:top w:w="0" w:type="dxa"/>
            <w:left w:w="0" w:type="dxa"/>
            <w:bottom w:w="0" w:type="dxa"/>
            <w:right w:w="0" w:type="dxa"/>
          </w:tblCellMar>
        </w:tblPrEx>
        <w:trPr>
          <w:trHeight w:val="429"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序号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设备名称</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技术要求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推荐品牌</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数量</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单位</w:t>
            </w:r>
          </w:p>
        </w:tc>
      </w:tr>
      <w:tr>
        <w:tblPrEx>
          <w:tblCellMar>
            <w:top w:w="0" w:type="dxa"/>
            <w:left w:w="0" w:type="dxa"/>
            <w:bottom w:w="0" w:type="dxa"/>
            <w:right w:w="0"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室内显示屏</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kern w:val="0"/>
              </w:rPr>
            </w:pPr>
            <w:r>
              <w:rPr>
                <w:rFonts w:hint="eastAsia" w:ascii="宋体" w:hAnsi="宋体" w:cs="宋体"/>
                <w:color w:val="0000FF"/>
                <w:kern w:val="0"/>
                <w:sz w:val="24"/>
                <w:szCs w:val="24"/>
              </w:rPr>
              <w:t>★1、</w:t>
            </w:r>
            <w:r>
              <w:rPr>
                <w:rFonts w:hint="eastAsia" w:ascii="宋体" w:hAnsi="宋体" w:cs="宋体"/>
                <w:color w:val="0000FF"/>
                <w:kern w:val="0"/>
              </w:rPr>
              <w:t xml:space="preserve">像素点间距 ≤1.875mm </w:t>
            </w:r>
            <w:r>
              <w:rPr>
                <w:rFonts w:hint="eastAsia" w:ascii="宋体" w:hAnsi="宋体" w:cs="宋体"/>
                <w:color w:val="0000FF"/>
                <w:kern w:val="0"/>
              </w:rPr>
              <w:br w:type="textWrapping"/>
            </w:r>
            <w:r>
              <w:rPr>
                <w:rFonts w:hint="eastAsia" w:ascii="宋体" w:hAnsi="宋体" w:cs="宋体"/>
                <w:color w:val="0000FF"/>
                <w:kern w:val="0"/>
              </w:rPr>
              <w:t>2、输入电压 4.8-5.5V</w:t>
            </w:r>
            <w:r>
              <w:rPr>
                <w:rFonts w:hint="eastAsia" w:ascii="宋体" w:hAnsi="宋体" w:cs="宋体"/>
                <w:color w:val="0000FF"/>
                <w:kern w:val="0"/>
              </w:rPr>
              <w:br w:type="textWrapping"/>
            </w:r>
            <w:r>
              <w:rPr>
                <w:rFonts w:hint="eastAsia" w:ascii="宋体" w:hAnsi="宋体" w:cs="宋体"/>
                <w:color w:val="0000FF"/>
                <w:kern w:val="0"/>
              </w:rPr>
              <w:t>3、像素构成：1R1G1B</w:t>
            </w:r>
          </w:p>
          <w:p>
            <w:pPr>
              <w:widowControl/>
              <w:jc w:val="left"/>
              <w:textAlignment w:val="center"/>
              <w:rPr>
                <w:rFonts w:ascii="宋体" w:hAnsi="宋体" w:cs="宋体"/>
                <w:strike/>
                <w:color w:val="0000FF"/>
                <w:kern w:val="0"/>
              </w:rPr>
            </w:pPr>
            <w:r>
              <w:rPr>
                <w:rFonts w:hint="eastAsia" w:ascii="宋体" w:hAnsi="宋体" w:cs="宋体"/>
                <w:color w:val="0000FF"/>
                <w:kern w:val="0"/>
              </w:rPr>
              <w:t xml:space="preserve">4、单元板功率 ≤30W </w:t>
            </w:r>
            <w:r>
              <w:rPr>
                <w:rFonts w:hint="eastAsia" w:ascii="宋体" w:hAnsi="宋体" w:cs="宋体"/>
                <w:color w:val="0000FF"/>
                <w:kern w:val="0"/>
              </w:rPr>
              <w:br w:type="textWrapping"/>
            </w:r>
            <w:r>
              <w:rPr>
                <w:rFonts w:hint="eastAsia" w:ascii="宋体" w:hAnsi="宋体" w:cs="宋体"/>
                <w:color w:val="0000FF"/>
                <w:kern w:val="0"/>
              </w:rPr>
              <w:t>5、套件材料 聚碳酸脂PC+GF 料</w:t>
            </w:r>
            <w:r>
              <w:rPr>
                <w:rFonts w:hint="eastAsia" w:ascii="宋体" w:hAnsi="宋体" w:cs="宋体"/>
                <w:color w:val="0000FF"/>
                <w:kern w:val="0"/>
              </w:rPr>
              <w:br w:type="textWrapping"/>
            </w:r>
            <w:r>
              <w:rPr>
                <w:rFonts w:hint="eastAsia" w:ascii="宋体" w:hAnsi="宋体" w:cs="宋体"/>
                <w:color w:val="0000FF"/>
                <w:kern w:val="0"/>
              </w:rPr>
              <w:t>6、最大电流 5.7A±0.3A 铜螺母 M3</w:t>
            </w:r>
            <w:r>
              <w:rPr>
                <w:rFonts w:hint="eastAsia" w:ascii="宋体" w:hAnsi="宋体" w:cs="宋体"/>
                <w:color w:val="0000FF"/>
                <w:kern w:val="0"/>
              </w:rPr>
              <w:br w:type="textWrapping"/>
            </w:r>
            <w:r>
              <w:rPr>
                <w:rFonts w:hint="eastAsia" w:ascii="宋体" w:hAnsi="宋体" w:cs="宋体"/>
                <w:color w:val="0000FF"/>
                <w:kern w:val="0"/>
              </w:rPr>
              <w:t>7、结构特点：灯驱合一</w:t>
            </w:r>
            <w:r>
              <w:rPr>
                <w:rFonts w:hint="eastAsia" w:ascii="宋体" w:hAnsi="宋体" w:cs="宋体"/>
                <w:color w:val="0000FF"/>
                <w:kern w:val="0"/>
              </w:rPr>
              <w:br w:type="textWrapping"/>
            </w:r>
            <w:r>
              <w:rPr>
                <w:rFonts w:hint="eastAsia" w:ascii="宋体" w:hAnsi="宋体" w:cs="宋体"/>
                <w:color w:val="0000FF"/>
                <w:kern w:val="0"/>
              </w:rPr>
              <w:t xml:space="preserve">8、像素密度 284444Dots/㎡ </w:t>
            </w:r>
            <w:r>
              <w:rPr>
                <w:rFonts w:hint="eastAsia" w:ascii="宋体" w:hAnsi="宋体" w:cs="宋体"/>
                <w:color w:val="0000FF"/>
                <w:kern w:val="0"/>
              </w:rPr>
              <w:br w:type="textWrapping"/>
            </w:r>
            <w:r>
              <w:rPr>
                <w:rFonts w:hint="eastAsia" w:ascii="宋体" w:hAnsi="宋体" w:cs="宋体"/>
                <w:color w:val="0000FF"/>
                <w:kern w:val="0"/>
              </w:rPr>
              <w:t>9、驱动方式 1/32 扫恒流驱动</w:t>
            </w:r>
            <w:r>
              <w:rPr>
                <w:rFonts w:hint="eastAsia" w:ascii="宋体" w:hAnsi="宋体" w:cs="宋体"/>
                <w:color w:val="0000FF"/>
                <w:kern w:val="0"/>
              </w:rPr>
              <w:br w:type="textWrapping"/>
            </w:r>
            <w:r>
              <w:rPr>
                <w:rFonts w:hint="eastAsia" w:ascii="宋体" w:hAnsi="宋体" w:cs="宋体"/>
                <w:color w:val="0000FF"/>
                <w:kern w:val="0"/>
              </w:rPr>
              <w:t xml:space="preserve">10、灯管类型 SMD1515 </w:t>
            </w:r>
            <w:r>
              <w:rPr>
                <w:rFonts w:hint="eastAsia" w:ascii="宋体" w:hAnsi="宋体" w:cs="宋体"/>
                <w:color w:val="0000FF"/>
                <w:kern w:val="0"/>
              </w:rPr>
              <w:br w:type="textWrapping"/>
            </w:r>
            <w:r>
              <w:rPr>
                <w:rFonts w:hint="eastAsia" w:ascii="宋体" w:hAnsi="宋体" w:cs="宋体"/>
                <w:color w:val="0000FF"/>
                <w:kern w:val="0"/>
                <w:sz w:val="24"/>
                <w:szCs w:val="24"/>
              </w:rPr>
              <w:t>★11、</w:t>
            </w:r>
            <w:r>
              <w:rPr>
                <w:rFonts w:hint="eastAsia" w:ascii="宋体" w:hAnsi="宋体" w:cs="宋体"/>
                <w:color w:val="0000FF"/>
                <w:kern w:val="0"/>
              </w:rPr>
              <w:t>色温：3000-9000K可调</w:t>
            </w:r>
            <w:r>
              <w:rPr>
                <w:rFonts w:hint="eastAsia" w:ascii="宋体" w:hAnsi="宋体" w:cs="宋体"/>
                <w:color w:val="0000FF"/>
                <w:kern w:val="0"/>
              </w:rPr>
              <w:br w:type="textWrapping"/>
            </w:r>
            <w:r>
              <w:rPr>
                <w:rFonts w:hint="eastAsia" w:ascii="宋体" w:hAnsi="宋体" w:cs="宋体"/>
                <w:color w:val="0000FF"/>
                <w:kern w:val="0"/>
                <w:sz w:val="24"/>
                <w:szCs w:val="24"/>
              </w:rPr>
              <w:t>★12、</w:t>
            </w:r>
            <w:r>
              <w:rPr>
                <w:rFonts w:hint="eastAsia" w:ascii="宋体" w:hAnsi="宋体" w:cs="宋体"/>
                <w:color w:val="0000FF"/>
                <w:kern w:val="0"/>
              </w:rPr>
              <w:t>对比度：高达 3588:1</w:t>
            </w:r>
            <w:r>
              <w:rPr>
                <w:rFonts w:hint="eastAsia" w:ascii="宋体" w:hAnsi="宋体" w:cs="宋体"/>
                <w:color w:val="0000FF"/>
                <w:kern w:val="0"/>
              </w:rPr>
              <w:br w:type="textWrapping"/>
            </w:r>
            <w:r>
              <w:rPr>
                <w:rFonts w:hint="eastAsia" w:ascii="宋体" w:hAnsi="宋体" w:cs="宋体"/>
                <w:color w:val="0000FF"/>
                <w:kern w:val="0"/>
              </w:rPr>
              <w:t xml:space="preserve">13、单元板分辨率 128*128=16384Dots  </w:t>
            </w:r>
            <w:r>
              <w:rPr>
                <w:rFonts w:hint="eastAsia" w:ascii="宋体" w:hAnsi="宋体" w:cs="宋体"/>
                <w:color w:val="0000FF"/>
                <w:kern w:val="0"/>
              </w:rPr>
              <w:br w:type="textWrapping"/>
            </w:r>
            <w:r>
              <w:rPr>
                <w:rFonts w:hint="eastAsia" w:ascii="宋体" w:hAnsi="宋体" w:cs="宋体"/>
                <w:color w:val="0000FF"/>
                <w:kern w:val="0"/>
                <w:sz w:val="24"/>
                <w:szCs w:val="24"/>
              </w:rPr>
              <w:t>★14、</w:t>
            </w:r>
            <w:r>
              <w:rPr>
                <w:rFonts w:hint="eastAsia" w:ascii="宋体" w:hAnsi="宋体" w:cs="宋体"/>
                <w:color w:val="0000FF"/>
                <w:kern w:val="0"/>
              </w:rPr>
              <w:t>亮度 ≥550cd/㎡</w:t>
            </w:r>
            <w:r>
              <w:rPr>
                <w:rFonts w:hint="eastAsia" w:ascii="宋体" w:hAnsi="宋体" w:cs="宋体"/>
                <w:color w:val="0000FF"/>
                <w:kern w:val="0"/>
              </w:rPr>
              <w:br w:type="textWrapping"/>
            </w:r>
            <w:r>
              <w:rPr>
                <w:rFonts w:hint="eastAsia" w:ascii="宋体" w:hAnsi="宋体" w:cs="宋体"/>
                <w:color w:val="0000FF"/>
                <w:kern w:val="0"/>
              </w:rPr>
              <w:t>15、亮度均匀性 ＞0.95</w:t>
            </w:r>
            <w:r>
              <w:rPr>
                <w:rFonts w:hint="eastAsia" w:ascii="宋体" w:hAnsi="宋体" w:cs="宋体"/>
                <w:color w:val="0000FF"/>
                <w:kern w:val="0"/>
              </w:rPr>
              <w:br w:type="textWrapping"/>
            </w:r>
            <w:r>
              <w:rPr>
                <w:rFonts w:hint="eastAsia" w:ascii="宋体" w:hAnsi="宋体" w:cs="宋体"/>
                <w:color w:val="0000FF"/>
                <w:kern w:val="0"/>
              </w:rPr>
              <w:t>16、屏体水平视角 140±10 度 屏体垂直视角 140±10°</w:t>
            </w:r>
            <w:r>
              <w:rPr>
                <w:rFonts w:hint="eastAsia" w:ascii="宋体" w:hAnsi="宋体" w:cs="宋体"/>
                <w:color w:val="0000FF"/>
                <w:kern w:val="0"/>
              </w:rPr>
              <w:br w:type="textWrapping"/>
            </w:r>
            <w:r>
              <w:rPr>
                <w:rFonts w:hint="eastAsia" w:ascii="宋体" w:hAnsi="宋体" w:cs="宋体"/>
                <w:color w:val="0000FF"/>
                <w:kern w:val="0"/>
              </w:rPr>
              <w:t>17、配电功率（每平方最大功率÷78％÷85％） 769W/m2</w:t>
            </w:r>
            <w:r>
              <w:rPr>
                <w:rFonts w:hint="eastAsia" w:ascii="宋体" w:hAnsi="宋体" w:cs="宋体"/>
                <w:color w:val="0000FF"/>
                <w:kern w:val="0"/>
              </w:rPr>
              <w:br w:type="textWrapping"/>
            </w:r>
            <w:r>
              <w:rPr>
                <w:rFonts w:hint="eastAsia" w:ascii="宋体" w:hAnsi="宋体" w:cs="宋体"/>
                <w:color w:val="0000FF"/>
                <w:kern w:val="0"/>
              </w:rPr>
              <w:t xml:space="preserve">18、灰度等级 红、绿、蓝 14-16bits </w:t>
            </w:r>
            <w:r>
              <w:rPr>
                <w:rFonts w:hint="eastAsia" w:ascii="宋体" w:hAnsi="宋体" w:cs="宋体"/>
                <w:color w:val="0000FF"/>
                <w:kern w:val="0"/>
              </w:rPr>
              <w:br w:type="textWrapping"/>
            </w:r>
            <w:r>
              <w:rPr>
                <w:rFonts w:hint="eastAsia" w:ascii="宋体" w:hAnsi="宋体" w:cs="宋体"/>
                <w:color w:val="0000FF"/>
                <w:kern w:val="0"/>
              </w:rPr>
              <w:t xml:space="preserve">19、显示颜色 16777216 种 </w:t>
            </w:r>
            <w:r>
              <w:rPr>
                <w:rFonts w:hint="eastAsia" w:ascii="宋体" w:hAnsi="宋体" w:cs="宋体"/>
                <w:color w:val="0000FF"/>
                <w:kern w:val="0"/>
              </w:rPr>
              <w:br w:type="textWrapping"/>
            </w:r>
            <w:r>
              <w:rPr>
                <w:rFonts w:hint="eastAsia" w:ascii="宋体" w:hAnsi="宋体" w:cs="宋体"/>
                <w:color w:val="0000FF"/>
                <w:kern w:val="0"/>
              </w:rPr>
              <w:t xml:space="preserve">20、换帧频率 ≥60 帧/秒 </w:t>
            </w:r>
            <w:r>
              <w:rPr>
                <w:rFonts w:hint="eastAsia" w:ascii="宋体" w:hAnsi="宋体" w:cs="宋体"/>
                <w:color w:val="0000FF"/>
                <w:kern w:val="0"/>
              </w:rPr>
              <w:br w:type="textWrapping"/>
            </w:r>
            <w:r>
              <w:rPr>
                <w:rFonts w:hint="eastAsia" w:ascii="宋体" w:hAnsi="宋体" w:cs="宋体"/>
                <w:color w:val="0000FF"/>
                <w:kern w:val="0"/>
              </w:rPr>
              <w:t>21、刷新频率 ≥3840HZ(全灰度场）</w:t>
            </w:r>
            <w:r>
              <w:rPr>
                <w:rFonts w:hint="eastAsia" w:ascii="宋体" w:hAnsi="宋体" w:cs="宋体"/>
                <w:color w:val="0000FF"/>
                <w:kern w:val="0"/>
              </w:rPr>
              <w:br w:type="textWrapping"/>
            </w:r>
            <w:r>
              <w:rPr>
                <w:rFonts w:hint="eastAsia" w:ascii="宋体" w:hAnsi="宋体" w:cs="宋体"/>
                <w:color w:val="0000FF"/>
                <w:kern w:val="0"/>
              </w:rPr>
              <w:t>22、控制方式：计算机控制，逐点一一对应，视频同步实时显示</w:t>
            </w:r>
            <w:r>
              <w:rPr>
                <w:rFonts w:hint="eastAsia" w:ascii="宋体" w:hAnsi="宋体" w:cs="宋体"/>
                <w:color w:val="0000FF"/>
                <w:kern w:val="0"/>
              </w:rPr>
              <w:br w:type="textWrapping"/>
            </w:r>
            <w:r>
              <w:rPr>
                <w:rFonts w:hint="eastAsia" w:ascii="宋体" w:hAnsi="宋体" w:cs="宋体"/>
                <w:color w:val="0000FF"/>
                <w:kern w:val="0"/>
              </w:rPr>
              <w:t>23、亮度调节：256 级手动/自动</w:t>
            </w:r>
            <w:r>
              <w:rPr>
                <w:rFonts w:hint="eastAsia" w:ascii="宋体" w:hAnsi="宋体" w:cs="宋体"/>
                <w:color w:val="0000FF"/>
                <w:kern w:val="0"/>
              </w:rPr>
              <w:br w:type="textWrapping"/>
            </w:r>
            <w:r>
              <w:rPr>
                <w:rFonts w:hint="eastAsia" w:ascii="宋体" w:hAnsi="宋体" w:cs="宋体"/>
                <w:color w:val="0000FF"/>
                <w:kern w:val="0"/>
              </w:rPr>
              <w:t>24、输入信号HDMI输入,支持视频PAL/NTSC制式自适应，支持DVI/VGA输入、支持复合视频信号、支持USB输入、支持IP输入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海佳、艾比森、洲明、三思（P1.875）</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4.44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w:t>
            </w:r>
          </w:p>
        </w:tc>
      </w:tr>
      <w:tr>
        <w:tblPrEx>
          <w:tblCellMar>
            <w:top w:w="0" w:type="dxa"/>
            <w:left w:w="0" w:type="dxa"/>
            <w:bottom w:w="0" w:type="dxa"/>
            <w:right w:w="0" w:type="dxa"/>
          </w:tblCellMar>
        </w:tblPrEx>
        <w:trPr>
          <w:trHeight w:val="837"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2</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接收卡</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kern w:val="0"/>
              </w:rPr>
            </w:pPr>
            <w:r>
              <w:rPr>
                <w:rFonts w:hint="eastAsia" w:ascii="宋体" w:hAnsi="宋体" w:cs="宋体"/>
                <w:color w:val="0000FF"/>
                <w:kern w:val="0"/>
              </w:rPr>
              <w:t>1、集成16 个标准HUB75 接口，免接HUB 板，支持16组、32组多种数据模式。</w:t>
            </w:r>
          </w:p>
          <w:p>
            <w:pPr>
              <w:widowControl/>
              <w:jc w:val="left"/>
              <w:textAlignment w:val="center"/>
              <w:rPr>
                <w:rFonts w:ascii="宋体" w:hAnsi="宋体" w:cs="宋体"/>
                <w:color w:val="0000FF"/>
                <w:kern w:val="0"/>
              </w:rPr>
            </w:pPr>
            <w:r>
              <w:rPr>
                <w:rFonts w:hint="eastAsia" w:ascii="宋体" w:hAnsi="宋体" w:cs="宋体"/>
                <w:color w:val="0000FF"/>
                <w:kern w:val="0"/>
              </w:rPr>
              <w:t>2、采用千兆网口,可以连接PC 端。</w:t>
            </w:r>
          </w:p>
          <w:p>
            <w:pPr>
              <w:widowControl/>
              <w:jc w:val="left"/>
              <w:textAlignment w:val="center"/>
              <w:rPr>
                <w:rFonts w:ascii="宋体" w:hAnsi="宋体" w:cs="宋体"/>
                <w:color w:val="0000FF"/>
                <w:kern w:val="0"/>
              </w:rPr>
            </w:pPr>
            <w:r>
              <w:rPr>
                <w:rFonts w:hint="eastAsia" w:ascii="宋体" w:hAnsi="宋体" w:cs="宋体"/>
                <w:color w:val="0000FF"/>
                <w:kern w:val="0"/>
              </w:rPr>
              <w:t>3、支持接收卡预存画面设置。</w:t>
            </w:r>
          </w:p>
          <w:p>
            <w:pPr>
              <w:widowControl/>
              <w:jc w:val="left"/>
              <w:textAlignment w:val="center"/>
              <w:rPr>
                <w:rFonts w:ascii="宋体" w:hAnsi="宋体" w:cs="宋体"/>
                <w:color w:val="0000FF"/>
                <w:kern w:val="0"/>
              </w:rPr>
            </w:pPr>
            <w:r>
              <w:rPr>
                <w:rFonts w:hint="eastAsia" w:ascii="宋体" w:hAnsi="宋体" w:cs="宋体"/>
                <w:color w:val="0000FF"/>
                <w:kern w:val="0"/>
              </w:rPr>
              <w:t>4、支持温度、电压、网线通讯和视频源信号状态检测。</w:t>
            </w:r>
          </w:p>
          <w:p>
            <w:pPr>
              <w:widowControl/>
              <w:jc w:val="left"/>
              <w:textAlignment w:val="center"/>
              <w:rPr>
                <w:rFonts w:ascii="宋体" w:hAnsi="宋体" w:cs="宋体"/>
                <w:color w:val="0000FF"/>
                <w:kern w:val="0"/>
              </w:rPr>
            </w:pPr>
            <w:r>
              <w:rPr>
                <w:rFonts w:hint="eastAsia" w:ascii="宋体" w:hAnsi="宋体" w:cs="宋体"/>
                <w:color w:val="0000FF"/>
                <w:kern w:val="0"/>
              </w:rPr>
              <w:t>5、支持亮度色度校正;</w:t>
            </w:r>
          </w:p>
          <w:p>
            <w:pPr>
              <w:widowControl/>
              <w:jc w:val="left"/>
              <w:textAlignment w:val="center"/>
              <w:rPr>
                <w:rFonts w:ascii="宋体" w:hAnsi="宋体" w:cs="宋体"/>
                <w:color w:val="0000FF"/>
                <w:kern w:val="0"/>
              </w:rPr>
            </w:pPr>
            <w:r>
              <w:rPr>
                <w:rFonts w:hint="eastAsia" w:ascii="宋体" w:hAnsi="宋体" w:cs="宋体"/>
                <w:color w:val="0000FF"/>
                <w:kern w:val="0"/>
              </w:rPr>
              <w:t>6、提供逐点亮度、色度校正发；</w:t>
            </w:r>
          </w:p>
          <w:p>
            <w:pPr>
              <w:widowControl/>
              <w:jc w:val="left"/>
              <w:textAlignment w:val="center"/>
              <w:rPr>
                <w:rFonts w:ascii="宋体" w:hAnsi="宋体" w:cs="宋体"/>
                <w:color w:val="0000FF"/>
                <w:kern w:val="0"/>
              </w:rPr>
            </w:pPr>
            <w:r>
              <w:rPr>
                <w:rFonts w:hint="eastAsia" w:ascii="宋体" w:hAnsi="宋体" w:cs="宋体"/>
                <w:color w:val="0000FF"/>
                <w:kern w:val="0"/>
              </w:rPr>
              <w:t>7、提供EMC接收卡嵌入式软件;</w:t>
            </w:r>
          </w:p>
          <w:p>
            <w:pPr>
              <w:widowControl/>
              <w:jc w:val="left"/>
              <w:textAlignment w:val="center"/>
              <w:rPr>
                <w:rFonts w:ascii="宋体" w:hAnsi="宋体" w:cs="宋体"/>
                <w:color w:val="0000FF"/>
                <w:kern w:val="0"/>
              </w:rPr>
            </w:pPr>
            <w:r>
              <w:rPr>
                <w:rFonts w:hint="eastAsia" w:ascii="宋体" w:hAnsi="宋体" w:cs="宋体"/>
                <w:color w:val="0000FF"/>
                <w:kern w:val="0"/>
              </w:rPr>
              <w:t>8、提供单灯检测;</w:t>
            </w:r>
          </w:p>
          <w:p>
            <w:pPr>
              <w:widowControl/>
              <w:jc w:val="left"/>
              <w:textAlignment w:val="center"/>
              <w:rPr>
                <w:rFonts w:ascii="宋体" w:hAnsi="宋体" w:cs="宋体"/>
                <w:color w:val="0000FF"/>
                <w:kern w:val="0"/>
              </w:rPr>
            </w:pPr>
            <w:r>
              <w:rPr>
                <w:rFonts w:hint="eastAsia" w:ascii="宋体" w:hAnsi="宋体" w:cs="宋体"/>
                <w:color w:val="0000FF"/>
                <w:kern w:val="0"/>
              </w:rPr>
              <w:t>9、为LED显示屏出现故障时，能第一时间得到通知，及时排查，需提供智能LED运行状态监控系统及控制方法</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诺瓦、创凯、卡莱特</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r>
        <w:tblPrEx>
          <w:tblCellMar>
            <w:top w:w="0" w:type="dxa"/>
            <w:left w:w="0" w:type="dxa"/>
            <w:bottom w:w="0" w:type="dxa"/>
            <w:right w:w="0"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3</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视频处理器</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rPr>
            </w:pPr>
            <w:r>
              <w:rPr>
                <w:rFonts w:hint="eastAsia" w:ascii="宋体" w:hAnsi="宋体" w:cs="宋体"/>
                <w:color w:val="0000FF"/>
              </w:rPr>
              <w:t xml:space="preserve">1、支持不少于5路输入接口,包括：HDMI、DVI、VGA、USB播放、CVBS、扩展子卡等，支持本项目所投所有设备的接入。 </w:t>
            </w:r>
          </w:p>
          <w:p>
            <w:pPr>
              <w:widowControl/>
              <w:jc w:val="left"/>
              <w:textAlignment w:val="center"/>
              <w:rPr>
                <w:rFonts w:ascii="宋体" w:hAnsi="宋体" w:cs="宋体"/>
                <w:color w:val="0000FF"/>
              </w:rPr>
            </w:pPr>
            <w:r>
              <w:rPr>
                <w:rFonts w:hint="eastAsia" w:ascii="宋体" w:hAnsi="宋体" w:cs="宋体"/>
                <w:color w:val="0000FF"/>
              </w:rPr>
              <w:t xml:space="preserve">2、支持窗口位置、大小调整及窗口截取功能。 </w:t>
            </w:r>
          </w:p>
          <w:p>
            <w:pPr>
              <w:widowControl/>
              <w:jc w:val="left"/>
              <w:textAlignment w:val="center"/>
              <w:rPr>
                <w:rFonts w:ascii="宋体" w:hAnsi="宋体" w:cs="宋体"/>
                <w:color w:val="0000FF"/>
              </w:rPr>
            </w:pPr>
            <w:r>
              <w:rPr>
                <w:rFonts w:hint="eastAsia" w:ascii="宋体" w:hAnsi="宋体" w:cs="宋体"/>
                <w:color w:val="0000FF"/>
              </w:rPr>
              <w:t xml:space="preserve">3、扩展子卡安装后支持使用鼠标或键盘进行控制和手机电脑等无线投屏。 </w:t>
            </w:r>
          </w:p>
          <w:p>
            <w:pPr>
              <w:widowControl/>
              <w:jc w:val="left"/>
              <w:textAlignment w:val="center"/>
              <w:rPr>
                <w:rFonts w:ascii="宋体" w:hAnsi="宋体" w:cs="宋体"/>
                <w:color w:val="0000FF"/>
              </w:rPr>
            </w:pPr>
            <w:r>
              <w:rPr>
                <w:rFonts w:hint="eastAsia" w:ascii="宋体" w:hAnsi="宋体" w:cs="宋体"/>
                <w:color w:val="0000FF"/>
              </w:rPr>
              <w:t>4、支持输入源一键切换。</w:t>
            </w:r>
          </w:p>
          <w:p>
            <w:pPr>
              <w:widowControl/>
              <w:jc w:val="left"/>
              <w:textAlignment w:val="center"/>
              <w:rPr>
                <w:rFonts w:ascii="宋体" w:hAnsi="宋体" w:cs="宋体"/>
                <w:color w:val="0000FF"/>
              </w:rPr>
            </w:pPr>
            <w:r>
              <w:rPr>
                <w:rFonts w:hint="eastAsia" w:ascii="宋体" w:hAnsi="宋体" w:cs="宋体"/>
                <w:color w:val="0000FF"/>
              </w:rPr>
              <w:t xml:space="preserve">5、支持外置独立音频。 </w:t>
            </w:r>
          </w:p>
          <w:p>
            <w:pPr>
              <w:widowControl/>
              <w:jc w:val="left"/>
              <w:textAlignment w:val="center"/>
              <w:rPr>
                <w:rFonts w:ascii="宋体" w:hAnsi="宋体" w:cs="宋体"/>
                <w:color w:val="0000FF"/>
              </w:rPr>
            </w:pPr>
            <w:r>
              <w:rPr>
                <w:rFonts w:hint="eastAsia" w:ascii="宋体" w:hAnsi="宋体" w:cs="宋体"/>
                <w:color w:val="0000FF"/>
              </w:rPr>
              <w:t xml:space="preserve">6、支持 DVI、HDMI 的输入分辨率预设及自定义调节。 </w:t>
            </w:r>
          </w:p>
          <w:p>
            <w:pPr>
              <w:widowControl/>
              <w:jc w:val="left"/>
              <w:textAlignment w:val="center"/>
              <w:rPr>
                <w:rFonts w:ascii="宋体" w:hAnsi="宋体" w:cs="宋体"/>
                <w:color w:val="0000FF"/>
              </w:rPr>
            </w:pPr>
            <w:r>
              <w:rPr>
                <w:rFonts w:hint="eastAsia" w:ascii="宋体" w:hAnsi="宋体" w:cs="宋体"/>
                <w:color w:val="0000FF"/>
              </w:rPr>
              <w:t xml:space="preserve">7、支持画面一键全屏缩放、点对点显示、自定义缩放等缩放模式。 </w:t>
            </w:r>
          </w:p>
          <w:p>
            <w:pPr>
              <w:widowControl/>
              <w:jc w:val="left"/>
              <w:textAlignment w:val="center"/>
              <w:rPr>
                <w:rFonts w:ascii="宋体" w:hAnsi="宋体" w:cs="宋体"/>
                <w:color w:val="0000FF"/>
              </w:rPr>
            </w:pPr>
            <w:r>
              <w:rPr>
                <w:rFonts w:hint="eastAsia" w:ascii="宋体" w:hAnsi="宋体" w:cs="宋体"/>
                <w:color w:val="0000FF"/>
              </w:rPr>
              <w:t xml:space="preserve">8、支持快捷点屏，简单操作即可完成屏体配置。 </w:t>
            </w:r>
          </w:p>
          <w:p>
            <w:pPr>
              <w:widowControl/>
              <w:jc w:val="left"/>
              <w:textAlignment w:val="center"/>
              <w:rPr>
                <w:rFonts w:ascii="宋体" w:hAnsi="宋体" w:cs="宋体"/>
                <w:color w:val="0000FF"/>
              </w:rPr>
            </w:pPr>
            <w:r>
              <w:rPr>
                <w:rFonts w:hint="eastAsia" w:ascii="宋体" w:hAnsi="宋体" w:cs="宋体"/>
                <w:color w:val="0000FF"/>
              </w:rPr>
              <w:t>9、支持不少于4 个网口输出</w:t>
            </w:r>
          </w:p>
          <w:p>
            <w:pPr>
              <w:widowControl/>
              <w:jc w:val="left"/>
              <w:textAlignment w:val="center"/>
              <w:rPr>
                <w:rFonts w:ascii="宋体" w:hAnsi="宋体" w:cs="宋体"/>
                <w:color w:val="0000FF"/>
              </w:rPr>
            </w:pPr>
            <w:r>
              <w:rPr>
                <w:rFonts w:hint="eastAsia" w:ascii="宋体" w:hAnsi="宋体" w:cs="宋体"/>
                <w:color w:val="0000FF"/>
              </w:rPr>
              <w:t>10、支持创建不少于6 个用户场景作为模板保存，可直接调用，方便使用。</w:t>
            </w:r>
          </w:p>
          <w:p>
            <w:pPr>
              <w:widowControl/>
              <w:jc w:val="left"/>
              <w:textAlignment w:val="center"/>
              <w:rPr>
                <w:rFonts w:ascii="宋体" w:hAnsi="宋体" w:cs="宋体"/>
                <w:strike/>
                <w:color w:val="0000FF"/>
              </w:rPr>
            </w:pPr>
            <w:r>
              <w:rPr>
                <w:rFonts w:hint="eastAsia" w:ascii="宋体" w:hAnsi="宋体" w:cs="宋体"/>
                <w:color w:val="0000FF"/>
              </w:rPr>
              <w:t xml:space="preserve">11、支持屏体参数调整，例如亮度、Gamma等。 </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诺瓦、创凯、卡莱特</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r>
        <w:tblPrEx>
          <w:tblCellMar>
            <w:top w:w="0" w:type="dxa"/>
            <w:left w:w="0" w:type="dxa"/>
            <w:bottom w:w="0" w:type="dxa"/>
            <w:right w:w="0" w:type="dxa"/>
          </w:tblCellMar>
        </w:tblPrEx>
        <w:trPr>
          <w:trHeight w:val="864"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4</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无线投屏器</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6"/>
              </w:numPr>
              <w:jc w:val="left"/>
              <w:textAlignment w:val="center"/>
              <w:rPr>
                <w:rFonts w:ascii="宋体" w:hAnsi="宋体" w:cs="宋体"/>
                <w:color w:val="0000FF"/>
                <w:kern w:val="0"/>
              </w:rPr>
            </w:pPr>
            <w:r>
              <w:rPr>
                <w:rFonts w:hint="eastAsia" w:ascii="宋体" w:hAnsi="宋体" w:cs="宋体"/>
                <w:color w:val="0000FF"/>
                <w:kern w:val="0"/>
              </w:rPr>
              <w:t>USB无线传屏，支持windows和mac电脑，仅通过USB口，同时完成传输和供电，无线传屏至接收端。一键传屏，无需安装软件。支持对usb传屏器所插电脑的触摸反控。</w:t>
            </w:r>
            <w:r>
              <w:rPr>
                <w:rFonts w:hint="eastAsia" w:ascii="宋体" w:hAnsi="宋体" w:cs="宋体"/>
                <w:color w:val="0000FF"/>
                <w:kern w:val="0"/>
              </w:rPr>
              <w:br w:type="textWrapping"/>
            </w:r>
            <w:r>
              <w:rPr>
                <w:rFonts w:hint="eastAsia" w:ascii="宋体" w:hAnsi="宋体" w:cs="宋体"/>
                <w:color w:val="0000FF"/>
                <w:kern w:val="0"/>
              </w:rPr>
              <w:t>2、支持主流操作系统通过WIFI的无线传屏；</w:t>
            </w:r>
          </w:p>
          <w:p>
            <w:pPr>
              <w:widowControl/>
              <w:jc w:val="left"/>
              <w:textAlignment w:val="center"/>
              <w:rPr>
                <w:rFonts w:ascii="宋体" w:hAnsi="宋体" w:cs="宋体"/>
                <w:strike/>
                <w:color w:val="0000FF"/>
                <w:kern w:val="0"/>
              </w:rPr>
            </w:pPr>
            <w:r>
              <w:rPr>
                <w:rFonts w:hint="eastAsia" w:ascii="宋体" w:hAnsi="宋体" w:cs="宋体"/>
                <w:color w:val="0000FF"/>
                <w:kern w:val="0"/>
              </w:rPr>
              <w:t>3、接收端内置两个wifi模块，一个用于产生热点用于传屏，另外一个用于连接办公室网络；</w:t>
            </w:r>
          </w:p>
          <w:p>
            <w:pPr>
              <w:widowControl/>
              <w:jc w:val="left"/>
              <w:textAlignment w:val="center"/>
              <w:rPr>
                <w:rFonts w:ascii="宋体" w:hAnsi="宋体" w:cs="宋体"/>
                <w:color w:val="0000FF"/>
              </w:rPr>
            </w:pPr>
            <w:r>
              <w:rPr>
                <w:rFonts w:hint="eastAsia" w:ascii="宋体" w:hAnsi="宋体" w:cs="宋体"/>
                <w:color w:val="0000FF"/>
                <w:kern w:val="0"/>
              </w:rPr>
              <w:t>4、接收端内置蓝牙模块，安卓手机在镜像投屏时，可以上网播放在线视频或者在线音乐并能传屏传声音。</w:t>
            </w:r>
            <w:r>
              <w:rPr>
                <w:rFonts w:hint="eastAsia" w:ascii="宋体" w:hAnsi="宋体" w:cs="宋体"/>
                <w:color w:val="0000FF"/>
                <w:kern w:val="0"/>
              </w:rPr>
              <w:br w:type="textWrapping"/>
            </w:r>
            <w:r>
              <w:rPr>
                <w:rFonts w:hint="eastAsia" w:ascii="宋体" w:hAnsi="宋体" w:cs="宋体"/>
                <w:color w:val="0000FF"/>
                <w:kern w:val="0"/>
              </w:rPr>
              <w:t>5，具备USB接口≥3， HDMI输出口≥1，RG-45网口≥1，音频输出口≥1；</w:t>
            </w:r>
            <w:r>
              <w:rPr>
                <w:rFonts w:hint="eastAsia" w:ascii="宋体" w:hAnsi="宋体" w:cs="宋体"/>
                <w:color w:val="0000FF"/>
                <w:kern w:val="0"/>
              </w:rPr>
              <w:br w:type="textWrapping"/>
            </w:r>
            <w:r>
              <w:rPr>
                <w:rFonts w:hint="eastAsia" w:ascii="宋体" w:hAnsi="宋体" w:cs="宋体"/>
                <w:color w:val="0000FF"/>
                <w:kern w:val="0"/>
              </w:rPr>
              <w:t>6、接收端具备联网自动升级功能；</w:t>
            </w:r>
            <w:r>
              <w:rPr>
                <w:rFonts w:hint="eastAsia" w:ascii="宋体" w:hAnsi="宋体" w:cs="宋体"/>
                <w:color w:val="0000FF"/>
                <w:kern w:val="0"/>
              </w:rPr>
              <w:br w:type="textWrapping"/>
            </w:r>
            <w:r>
              <w:rPr>
                <w:rFonts w:hint="eastAsia" w:ascii="宋体" w:hAnsi="宋体" w:cs="宋体"/>
                <w:color w:val="0000FF"/>
                <w:kern w:val="0"/>
              </w:rPr>
              <w:t>7、具备多种投屏模式，满足各种场合需求，抢占模式和独占模式可以随意切换，可以设置动态投屏码防止投屏事故。可设置竖屏模式，方便手机竖屏满屏传屏。</w:t>
            </w:r>
            <w:r>
              <w:rPr>
                <w:rFonts w:hint="eastAsia" w:ascii="宋体" w:hAnsi="宋体" w:cs="宋体"/>
                <w:color w:val="0000FF"/>
                <w:kern w:val="0"/>
              </w:rPr>
              <w:br w:type="textWrapping"/>
            </w:r>
            <w:r>
              <w:rPr>
                <w:rFonts w:hint="eastAsia" w:ascii="宋体" w:hAnsi="宋体" w:cs="宋体"/>
                <w:color w:val="0000FF"/>
                <w:kern w:val="0"/>
              </w:rPr>
              <w:t>8、内置批注功能，能对传屏画面进行实时批注，并保存本地，u盘或者手机二维码分享多种选择。</w:t>
            </w:r>
            <w:r>
              <w:rPr>
                <w:rFonts w:hint="eastAsia" w:ascii="宋体" w:hAnsi="宋体" w:cs="宋体"/>
                <w:color w:val="0000FF"/>
                <w:kern w:val="0"/>
              </w:rPr>
              <w:br w:type="textWrapping"/>
            </w:r>
            <w:r>
              <w:rPr>
                <w:rFonts w:hint="eastAsia" w:ascii="宋体" w:hAnsi="宋体" w:cs="宋体"/>
                <w:color w:val="0000FF"/>
                <w:kern w:val="0"/>
              </w:rPr>
              <w:t>9，提供管理员客户端软件，通过管理员客户端软件可以方便控制投屏端的操作</w:t>
            </w:r>
            <w:r>
              <w:rPr>
                <w:rFonts w:hint="eastAsia" w:ascii="宋体" w:hAnsi="宋体" w:cs="宋体"/>
                <w:color w:val="0000FF"/>
                <w:kern w:val="0"/>
              </w:rPr>
              <w:br w:type="textWrapping"/>
            </w:r>
            <w:r>
              <w:rPr>
                <w:rFonts w:hint="eastAsia" w:ascii="宋体" w:hAnsi="宋体" w:cs="宋体"/>
                <w:color w:val="0000FF"/>
                <w:kern w:val="0"/>
              </w:rPr>
              <w:t>11、自动重启功能:内置实时时钟模块，确保无互联网状态下，系统时间仍能正常运行，并能在凌晨无投屏状态时自动重启，确保设备365天7x24小时不掉电仍能有效运行。</w:t>
            </w:r>
            <w:r>
              <w:rPr>
                <w:rFonts w:hint="eastAsia" w:ascii="宋体" w:hAnsi="宋体" w:cs="宋体"/>
                <w:color w:val="0000FF"/>
                <w:kern w:val="0"/>
              </w:rPr>
              <w:br w:type="textWrapping"/>
            </w:r>
            <w:r>
              <w:rPr>
                <w:rFonts w:hint="eastAsia" w:ascii="宋体" w:hAnsi="宋体" w:cs="宋体"/>
                <w:color w:val="0000FF"/>
                <w:kern w:val="0"/>
              </w:rPr>
              <w:t>12，兼容miracast和widi功能，接收端运行内置特定程序后，可以支持安卓手机的miracast投屏和笔记本的widi投屏，无需安卓软件。</w:t>
            </w:r>
            <w:r>
              <w:rPr>
                <w:rFonts w:hint="eastAsia" w:ascii="宋体" w:hAnsi="宋体" w:cs="宋体"/>
                <w:color w:val="0000FF"/>
                <w:kern w:val="0"/>
              </w:rPr>
              <w:br w:type="textWrapping"/>
            </w:r>
            <w:r>
              <w:rPr>
                <w:rFonts w:hint="eastAsia" w:ascii="宋体" w:hAnsi="宋体" w:cs="宋体"/>
                <w:color w:val="0000FF"/>
                <w:kern w:val="0"/>
              </w:rPr>
              <w:t>13、支持手机扫码投屏功能，微信，支付宝扫一扫直接进入镜像投屏状态；</w:t>
            </w:r>
            <w:r>
              <w:rPr>
                <w:rFonts w:hint="eastAsia" w:ascii="宋体" w:hAnsi="宋体" w:cs="宋体"/>
                <w:color w:val="0000FF"/>
                <w:kern w:val="0"/>
              </w:rPr>
              <w:br w:type="textWrapping"/>
            </w:r>
            <w:r>
              <w:rPr>
                <w:rFonts w:hint="eastAsia" w:ascii="宋体" w:hAnsi="宋体" w:cs="宋体"/>
                <w:color w:val="0000FF"/>
                <w:kern w:val="0"/>
              </w:rPr>
              <w:t>15、接收主机支持HDMI 2.0 4k</w:t>
            </w:r>
            <w:r>
              <w:rPr>
                <w:rFonts w:ascii="宋体" w:hAnsi="宋体" w:cs="宋体"/>
                <w:color w:val="0000FF"/>
                <w:kern w:val="0"/>
              </w:rPr>
              <w:t xml:space="preserve"> </w:t>
            </w:r>
            <w:r>
              <w:rPr>
                <w:rFonts w:hint="eastAsia" w:ascii="宋体" w:hAnsi="宋体" w:cs="宋体"/>
                <w:color w:val="0000FF"/>
                <w:kern w:val="0"/>
              </w:rPr>
              <w:t>60HZ输出</w:t>
            </w:r>
            <w:r>
              <w:rPr>
                <w:rFonts w:hint="eastAsia" w:ascii="宋体" w:hAnsi="宋体" w:cs="宋体"/>
                <w:color w:val="0000FF"/>
                <w:kern w:val="0"/>
              </w:rPr>
              <w:br w:type="textWrapping"/>
            </w:r>
            <w:r>
              <w:rPr>
                <w:rFonts w:hint="eastAsia" w:ascii="宋体" w:hAnsi="宋体" w:cs="宋体"/>
                <w:color w:val="0000FF"/>
                <w:kern w:val="0"/>
              </w:rPr>
              <w:t>16、支持显示1/2画面。</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Quickshare、宝疆、美誉</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bl>
    <w:p>
      <w:pPr>
        <w:numPr>
          <w:ilvl w:val="0"/>
          <w:numId w:val="5"/>
        </w:numPr>
        <w:spacing w:line="500" w:lineRule="exact"/>
        <w:ind w:firstLine="883" w:firstLineChars="200"/>
        <w:rPr>
          <w:rFonts w:hAnsi="宋体" w:cs="宋体"/>
          <w:bCs/>
          <w:sz w:val="44"/>
        </w:rPr>
      </w:pPr>
      <w:r>
        <w:rPr>
          <w:rFonts w:hAnsi="宋体" w:cs="宋体"/>
          <w:b/>
          <w:bCs/>
          <w:sz w:val="44"/>
        </w:rPr>
        <w:br w:type="page"/>
      </w:r>
      <w:r>
        <w:rPr>
          <w:rFonts w:hint="eastAsia" w:hAnsi="宋体" w:cs="宋体"/>
          <w:b/>
          <w:bCs/>
          <w:sz w:val="44"/>
        </w:rPr>
        <w:t>第五章</w:t>
      </w:r>
      <w:r>
        <w:rPr>
          <w:rFonts w:hint="eastAsia" w:hAnsi="宋体" w:cs="宋体"/>
          <w:bCs/>
          <w:sz w:val="44"/>
        </w:rPr>
        <w:t xml:space="preserve">  </w:t>
      </w:r>
      <w:r>
        <w:rPr>
          <w:rFonts w:hint="eastAsia" w:hAnsi="宋体" w:cs="宋体"/>
          <w:b/>
          <w:bCs/>
          <w:sz w:val="44"/>
        </w:rPr>
        <w:t>评标方法与评标标准</w:t>
      </w:r>
    </w:p>
    <w:p>
      <w:pPr>
        <w:rPr>
          <w:rFonts w:ascii="宋体" w:hAnsi="宋体" w:cs="宋体"/>
        </w:rPr>
      </w:pPr>
    </w:p>
    <w:p>
      <w:pPr>
        <w:snapToGrid w:val="0"/>
        <w:rPr>
          <w:rFonts w:ascii="宋体" w:hAnsi="宋体" w:cs="宋体"/>
          <w:b/>
          <w:bCs/>
          <w:sz w:val="24"/>
          <w:szCs w:val="24"/>
        </w:rPr>
      </w:pPr>
      <w:r>
        <w:rPr>
          <w:rFonts w:hint="eastAsia" w:ascii="宋体" w:hAnsi="宋体" w:cs="宋体"/>
          <w:b/>
          <w:bCs/>
          <w:sz w:val="24"/>
          <w:szCs w:val="24"/>
        </w:rPr>
        <w:t>一、评标方法与定标原则</w:t>
      </w:r>
    </w:p>
    <w:p>
      <w:pPr>
        <w:snapToGrid w:val="0"/>
        <w:ind w:firstLine="480" w:firstLineChars="200"/>
        <w:rPr>
          <w:rFonts w:ascii="宋体" w:hAnsi="宋体" w:cs="宋体"/>
          <w:bCs/>
          <w:sz w:val="24"/>
          <w:szCs w:val="24"/>
        </w:rPr>
      </w:pPr>
      <w:r>
        <w:rPr>
          <w:rFonts w:hint="eastAsia" w:ascii="宋体" w:hAnsi="宋体" w:cs="宋体"/>
          <w:bCs/>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rPr>
          <w:rFonts w:ascii="宋体" w:hAnsi="宋体" w:cs="宋体"/>
          <w:b/>
          <w:bCs/>
          <w:sz w:val="24"/>
          <w:szCs w:val="24"/>
        </w:rPr>
      </w:pPr>
      <w:r>
        <w:rPr>
          <w:rFonts w:hint="eastAsia" w:ascii="宋体" w:hAnsi="宋体" w:cs="宋体"/>
          <w:b/>
          <w:bCs/>
          <w:sz w:val="24"/>
          <w:szCs w:val="24"/>
        </w:rPr>
        <w:t>二、评标标准</w:t>
      </w:r>
    </w:p>
    <w:p>
      <w:pPr>
        <w:snapToGrid w:val="0"/>
        <w:ind w:firstLine="480" w:firstLineChars="200"/>
        <w:rPr>
          <w:rFonts w:ascii="宋体" w:hAnsi="宋体" w:cs="宋体"/>
          <w:bCs/>
          <w:sz w:val="24"/>
          <w:szCs w:val="24"/>
        </w:rPr>
      </w:pPr>
      <w:r>
        <w:rPr>
          <w:rFonts w:hint="eastAsia" w:ascii="宋体" w:hAnsi="宋体" w:cs="宋体"/>
          <w:bCs/>
          <w:sz w:val="24"/>
          <w:szCs w:val="24"/>
        </w:rPr>
        <w:t>本项目评分总分值为100分。</w:t>
      </w:r>
    </w:p>
    <w:tbl>
      <w:tblPr>
        <w:tblStyle w:val="44"/>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185"/>
        <w:gridCol w:w="981"/>
        <w:gridCol w:w="527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color w:val="FF0000"/>
                <w:kern w:val="0"/>
                <w:sz w:val="24"/>
                <w:szCs w:val="24"/>
              </w:rPr>
              <w:t>序号</w:t>
            </w:r>
          </w:p>
        </w:tc>
        <w:tc>
          <w:tcPr>
            <w:tcW w:w="1185"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color w:val="FF0000"/>
                <w:kern w:val="0"/>
                <w:sz w:val="24"/>
                <w:szCs w:val="24"/>
              </w:rPr>
              <w:t>评审因素</w:t>
            </w:r>
          </w:p>
        </w:tc>
        <w:tc>
          <w:tcPr>
            <w:tcW w:w="6258" w:type="dxa"/>
            <w:gridSpan w:val="2"/>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color w:val="FF0000"/>
                <w:kern w:val="0"/>
                <w:sz w:val="24"/>
                <w:szCs w:val="24"/>
              </w:rPr>
              <w:t>评分标准说明</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color w:val="FF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1</w:t>
            </w:r>
          </w:p>
        </w:tc>
        <w:tc>
          <w:tcPr>
            <w:tcW w:w="1185"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FF0000"/>
                <w:kern w:val="0"/>
                <w:sz w:val="24"/>
                <w:szCs w:val="24"/>
              </w:rPr>
              <w:t>投标报价</w:t>
            </w:r>
          </w:p>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（60分）</w:t>
            </w:r>
          </w:p>
        </w:tc>
        <w:tc>
          <w:tcPr>
            <w:tcW w:w="6258" w:type="dxa"/>
            <w:gridSpan w:val="2"/>
            <w:vMerge w:val="restart"/>
            <w:shd w:val="clear" w:color="auto" w:fill="FFFFFF"/>
            <w:noWrap/>
            <w:tcMar>
              <w:top w:w="15" w:type="dxa"/>
              <w:left w:w="15" w:type="dxa"/>
              <w:right w:w="15" w:type="dxa"/>
            </w:tcMar>
            <w:vAlign w:val="center"/>
          </w:tcPr>
          <w:p>
            <w:pPr>
              <w:widowControl/>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采用低价优先法计算，即满足招标文件要求且投标报价最低的投标报价为评标基准价，其价格为满分60分，其他投标人的报价统一按照下列公式计算：投标报价得分=(评标基准价/投标报价)×60，计算分数时四舍五入取小数点后两位。</w:t>
            </w:r>
          </w:p>
        </w:tc>
        <w:tc>
          <w:tcPr>
            <w:tcW w:w="709"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810" w:type="dxa"/>
            <w:vMerge w:val="continue"/>
            <w:shd w:val="clear" w:color="auto" w:fill="FFFFFF"/>
            <w:noWrap/>
            <w:tcMar>
              <w:top w:w="15" w:type="dxa"/>
              <w:left w:w="15" w:type="dxa"/>
              <w:right w:w="15" w:type="dxa"/>
            </w:tcMar>
            <w:vAlign w:val="center"/>
          </w:tcPr>
          <w:p>
            <w:pPr>
              <w:jc w:val="center"/>
              <w:rPr>
                <w:rFonts w:asciiTheme="majorEastAsia" w:hAnsiTheme="majorEastAsia" w:eastAsiaTheme="majorEastAsia" w:cstheme="majorEastAsia"/>
                <w:color w:val="FF0000"/>
                <w:sz w:val="24"/>
                <w:szCs w:val="24"/>
              </w:rPr>
            </w:pPr>
          </w:p>
        </w:tc>
        <w:tc>
          <w:tcPr>
            <w:tcW w:w="1185" w:type="dxa"/>
            <w:vMerge w:val="continue"/>
            <w:shd w:val="clear" w:color="auto" w:fill="FFFFFF"/>
            <w:noWrap/>
            <w:tcMar>
              <w:top w:w="15" w:type="dxa"/>
              <w:left w:w="15" w:type="dxa"/>
              <w:right w:w="15" w:type="dxa"/>
            </w:tcMar>
            <w:vAlign w:val="center"/>
          </w:tcPr>
          <w:p>
            <w:pPr>
              <w:jc w:val="center"/>
              <w:rPr>
                <w:rFonts w:asciiTheme="majorEastAsia" w:hAnsiTheme="majorEastAsia" w:eastAsiaTheme="majorEastAsia" w:cstheme="majorEastAsia"/>
                <w:color w:val="FF0000"/>
                <w:sz w:val="24"/>
                <w:szCs w:val="24"/>
              </w:rPr>
            </w:pPr>
          </w:p>
        </w:tc>
        <w:tc>
          <w:tcPr>
            <w:tcW w:w="6258" w:type="dxa"/>
            <w:gridSpan w:val="2"/>
            <w:vMerge w:val="continue"/>
            <w:shd w:val="clear" w:color="auto" w:fill="FFFFFF"/>
            <w:noWrap/>
            <w:tcMar>
              <w:top w:w="15" w:type="dxa"/>
              <w:left w:w="15" w:type="dxa"/>
              <w:right w:w="15" w:type="dxa"/>
            </w:tcMar>
            <w:vAlign w:val="center"/>
          </w:tcPr>
          <w:p>
            <w:pPr>
              <w:rPr>
                <w:rFonts w:asciiTheme="majorEastAsia" w:hAnsiTheme="majorEastAsia" w:eastAsiaTheme="majorEastAsia" w:cstheme="majorEastAsia"/>
                <w:color w:val="FF0000"/>
                <w:sz w:val="24"/>
                <w:szCs w:val="24"/>
              </w:rPr>
            </w:pPr>
          </w:p>
        </w:tc>
        <w:tc>
          <w:tcPr>
            <w:tcW w:w="709" w:type="dxa"/>
            <w:vMerge w:val="continue"/>
            <w:shd w:val="clear" w:color="auto" w:fill="FFFFFF"/>
            <w:noWrap/>
            <w:tcMar>
              <w:top w:w="15" w:type="dxa"/>
              <w:left w:w="15" w:type="dxa"/>
              <w:right w:w="15" w:type="dxa"/>
            </w:tcMar>
            <w:vAlign w:val="center"/>
          </w:tcPr>
          <w:p>
            <w:pPr>
              <w:jc w:val="center"/>
              <w:rPr>
                <w:rFonts w:asciiTheme="majorEastAsia" w:hAnsiTheme="majorEastAsia" w:eastAsiaTheme="majorEastAsia" w:cstheme="maj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810"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2</w:t>
            </w:r>
          </w:p>
        </w:tc>
        <w:tc>
          <w:tcPr>
            <w:tcW w:w="1185"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技术部分（32分）</w:t>
            </w:r>
          </w:p>
        </w:tc>
        <w:tc>
          <w:tcPr>
            <w:tcW w:w="981" w:type="dxa"/>
            <w:shd w:val="clear" w:color="auto" w:fill="FFFFFF"/>
            <w:noWrap/>
            <w:tcMar>
              <w:top w:w="15" w:type="dxa"/>
              <w:left w:w="15" w:type="dxa"/>
              <w:right w:w="15" w:type="dxa"/>
            </w:tcMar>
            <w:vAlign w:val="center"/>
          </w:tcPr>
          <w:p>
            <w:pPr>
              <w:widowControl/>
              <w:jc w:val="center"/>
              <w:rPr>
                <w:rFonts w:asciiTheme="majorEastAsia" w:hAnsiTheme="majorEastAsia" w:eastAsiaTheme="majorEastAsia" w:cstheme="majorEastAsia"/>
                <w:color w:val="FF0000"/>
                <w:sz w:val="24"/>
                <w:szCs w:val="24"/>
                <w:highlight w:val="yellow"/>
              </w:rPr>
            </w:pPr>
            <w:r>
              <w:rPr>
                <w:rFonts w:hint="eastAsia" w:asciiTheme="majorEastAsia" w:hAnsiTheme="majorEastAsia" w:eastAsiaTheme="majorEastAsia" w:cstheme="majorEastAsia"/>
                <w:color w:val="FF0000"/>
                <w:kern w:val="0"/>
                <w:sz w:val="24"/>
                <w:szCs w:val="24"/>
              </w:rPr>
              <w:t>产品技术性能</w:t>
            </w:r>
          </w:p>
        </w:tc>
        <w:tc>
          <w:tcPr>
            <w:tcW w:w="5277" w:type="dxa"/>
            <w:shd w:val="clear" w:color="auto" w:fill="FFFFFF"/>
            <w:noWrap/>
            <w:tcMar>
              <w:top w:w="15" w:type="dxa"/>
              <w:left w:w="15" w:type="dxa"/>
              <w:right w:w="15" w:type="dxa"/>
            </w:tcMar>
            <w:vAlign w:val="center"/>
          </w:tcPr>
          <w:p>
            <w:pPr>
              <w:widowControl/>
              <w:jc w:val="left"/>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FF0000"/>
                <w:kern w:val="0"/>
                <w:sz w:val="24"/>
                <w:szCs w:val="24"/>
              </w:rPr>
              <w:t>评标委员会根据各投标人提供的所投产品的技术文件、技术偏离表、检测报告等进行评审，招标文件技术要求中主要技术条款及一般技术条款和基本配置等均满足并优于招标文件要求得24分；招标文件技术要求中（标记“★”号的技术参数）不得负偏离，如负偏离则本大项不得分；一般技术条款（未标记“★”的技术参数）每负偏离一项扣2分，扣完为止。</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0" w:type="dxa"/>
            <w:vMerge w:val="continue"/>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kern w:val="0"/>
                <w:sz w:val="24"/>
                <w:szCs w:val="24"/>
              </w:rPr>
            </w:pPr>
          </w:p>
        </w:tc>
        <w:tc>
          <w:tcPr>
            <w:tcW w:w="1185" w:type="dxa"/>
            <w:vMerge w:val="continue"/>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kern w:val="0"/>
                <w:sz w:val="24"/>
                <w:szCs w:val="24"/>
              </w:rPr>
            </w:pPr>
          </w:p>
        </w:tc>
        <w:tc>
          <w:tcPr>
            <w:tcW w:w="981" w:type="dxa"/>
            <w:shd w:val="clear" w:color="auto" w:fill="FFFFFF"/>
            <w:noWrap/>
            <w:tcMar>
              <w:top w:w="15" w:type="dxa"/>
              <w:left w:w="15" w:type="dxa"/>
              <w:right w:w="15" w:type="dxa"/>
            </w:tcMar>
            <w:vAlign w:val="center"/>
          </w:tcPr>
          <w:p>
            <w:pPr>
              <w:widowControl/>
              <w:jc w:val="center"/>
              <w:rPr>
                <w:rFonts w:asciiTheme="majorEastAsia" w:hAnsiTheme="majorEastAsia" w:eastAsiaTheme="majorEastAsia" w:cstheme="majorEastAsia"/>
                <w:b/>
                <w:color w:val="FF0000"/>
                <w:kern w:val="0"/>
                <w:sz w:val="24"/>
                <w:szCs w:val="24"/>
              </w:rPr>
            </w:pPr>
            <w:r>
              <w:rPr>
                <w:rFonts w:hint="eastAsia" w:asciiTheme="majorEastAsia" w:hAnsiTheme="majorEastAsia" w:eastAsiaTheme="majorEastAsia" w:cstheme="majorEastAsia"/>
                <w:color w:val="FF0000"/>
                <w:kern w:val="0"/>
                <w:sz w:val="24"/>
                <w:szCs w:val="24"/>
              </w:rPr>
              <w:t>施工安装方案</w:t>
            </w:r>
          </w:p>
        </w:tc>
        <w:tc>
          <w:tcPr>
            <w:tcW w:w="5277" w:type="dxa"/>
            <w:shd w:val="clear" w:color="auto" w:fill="FFFFFF"/>
            <w:noWrap/>
            <w:tcMar>
              <w:top w:w="15" w:type="dxa"/>
              <w:left w:w="15" w:type="dxa"/>
              <w:right w:w="15" w:type="dxa"/>
            </w:tcMar>
            <w:vAlign w:val="center"/>
          </w:tcPr>
          <w:p>
            <w:pPr>
              <w:widowControl/>
              <w:jc w:val="left"/>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FF0000"/>
                <w:kern w:val="0"/>
                <w:sz w:val="24"/>
                <w:szCs w:val="24"/>
              </w:rPr>
              <w:t>评标委员会根据各投标人的设备施工安装方案进行评分，包括施工工艺、场地布局、技术方案、进度计划、安全文明施工措施等，结合方案设计的完整性、科学性、可靠性、扩展性、维护性等方面，优：6分，一般：3分, 有重大偏离或不满足招标文件要求的不得分。</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810" w:type="dxa"/>
            <w:vMerge w:val="continue"/>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kern w:val="0"/>
                <w:sz w:val="24"/>
                <w:szCs w:val="24"/>
              </w:rPr>
            </w:pPr>
          </w:p>
        </w:tc>
        <w:tc>
          <w:tcPr>
            <w:tcW w:w="1185" w:type="dxa"/>
            <w:vMerge w:val="continue"/>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kern w:val="0"/>
                <w:sz w:val="24"/>
                <w:szCs w:val="24"/>
              </w:rPr>
            </w:pPr>
          </w:p>
        </w:tc>
        <w:tc>
          <w:tcPr>
            <w:tcW w:w="981" w:type="dxa"/>
            <w:shd w:val="clear" w:color="auto" w:fill="FFFFFF"/>
            <w:noWrap/>
            <w:tcMar>
              <w:top w:w="15" w:type="dxa"/>
              <w:left w:w="15" w:type="dxa"/>
              <w:right w:w="15" w:type="dxa"/>
            </w:tcMar>
            <w:vAlign w:val="center"/>
          </w:tcPr>
          <w:p>
            <w:pPr>
              <w:widowControl/>
              <w:jc w:val="center"/>
              <w:rPr>
                <w:rFonts w:asciiTheme="majorEastAsia" w:hAnsiTheme="majorEastAsia" w:eastAsiaTheme="majorEastAsia" w:cstheme="majorEastAsia"/>
                <w:b/>
                <w:color w:val="FF0000"/>
                <w:kern w:val="0"/>
                <w:sz w:val="24"/>
                <w:szCs w:val="24"/>
              </w:rPr>
            </w:pPr>
            <w:r>
              <w:rPr>
                <w:rFonts w:hint="eastAsia" w:asciiTheme="majorEastAsia" w:hAnsiTheme="majorEastAsia" w:eastAsiaTheme="majorEastAsia" w:cstheme="majorEastAsia"/>
                <w:color w:val="FF0000"/>
                <w:kern w:val="0"/>
                <w:sz w:val="24"/>
                <w:szCs w:val="24"/>
              </w:rPr>
              <w:t>生产厂家综合实力</w:t>
            </w:r>
          </w:p>
        </w:tc>
        <w:tc>
          <w:tcPr>
            <w:tcW w:w="5277" w:type="dxa"/>
            <w:shd w:val="clear" w:color="auto" w:fill="FFFFFF"/>
            <w:noWrap/>
            <w:tcMar>
              <w:top w:w="15" w:type="dxa"/>
              <w:left w:w="15" w:type="dxa"/>
              <w:right w:w="15" w:type="dxa"/>
            </w:tcMar>
            <w:vAlign w:val="center"/>
          </w:tcPr>
          <w:p>
            <w:pPr>
              <w:widowControl/>
              <w:jc w:val="left"/>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FF0000"/>
                <w:kern w:val="0"/>
                <w:sz w:val="24"/>
                <w:szCs w:val="24"/>
              </w:rPr>
              <w:t>1、提供LED生产厂家的3A及以上企业信用等级证书的得1分；</w:t>
            </w:r>
          </w:p>
          <w:p>
            <w:pPr>
              <w:widowControl/>
              <w:jc w:val="left"/>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color w:val="FF0000"/>
                <w:kern w:val="0"/>
                <w:sz w:val="24"/>
                <w:szCs w:val="24"/>
              </w:rPr>
              <w:t>2、提供LED生产厂家的商品售后服务认证（五星）证书的得1分。</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10"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3</w:t>
            </w:r>
          </w:p>
        </w:tc>
        <w:tc>
          <w:tcPr>
            <w:tcW w:w="1185" w:type="dxa"/>
            <w:vMerge w:val="restart"/>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售后服务（8分）</w:t>
            </w:r>
          </w:p>
        </w:tc>
        <w:tc>
          <w:tcPr>
            <w:tcW w:w="6258" w:type="dxa"/>
            <w:gridSpan w:val="2"/>
            <w:shd w:val="clear" w:color="auto" w:fill="FFFFFF"/>
            <w:noWrap/>
            <w:tcMar>
              <w:top w:w="15" w:type="dxa"/>
              <w:left w:w="15" w:type="dxa"/>
              <w:right w:w="15" w:type="dxa"/>
            </w:tcMar>
            <w:vAlign w:val="center"/>
          </w:tcPr>
          <w:p>
            <w:pPr>
              <w:widowControl/>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1、</w:t>
            </w:r>
            <w:r>
              <w:rPr>
                <w:rFonts w:hint="eastAsia" w:asciiTheme="majorEastAsia" w:hAnsiTheme="majorEastAsia" w:eastAsiaTheme="majorEastAsia" w:cstheme="majorEastAsia"/>
                <w:color w:val="FF0000"/>
                <w:kern w:val="0"/>
                <w:sz w:val="24"/>
                <w:szCs w:val="24"/>
              </w:rPr>
              <w:t>提供1小时响应，4小时到场服务</w:t>
            </w:r>
            <w:r>
              <w:rPr>
                <w:rFonts w:hint="eastAsia" w:asciiTheme="majorEastAsia" w:hAnsiTheme="majorEastAsia" w:eastAsiaTheme="majorEastAsia" w:cstheme="majorEastAsia"/>
                <w:color w:val="FF0000"/>
                <w:sz w:val="24"/>
                <w:szCs w:val="24"/>
              </w:rPr>
              <w:t>承诺</w:t>
            </w:r>
            <w:r>
              <w:rPr>
                <w:rFonts w:hint="eastAsia" w:asciiTheme="majorEastAsia" w:hAnsiTheme="majorEastAsia" w:eastAsiaTheme="majorEastAsia" w:cstheme="majorEastAsia"/>
                <w:color w:val="FF0000"/>
                <w:kern w:val="0"/>
                <w:sz w:val="24"/>
                <w:szCs w:val="24"/>
              </w:rPr>
              <w:t>的得2分，未提供的不得分。</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810" w:type="dxa"/>
            <w:vMerge w:val="continue"/>
            <w:shd w:val="clear" w:color="auto" w:fill="FFFFFF"/>
            <w:noWrap/>
            <w:tcMar>
              <w:top w:w="15" w:type="dxa"/>
              <w:left w:w="15" w:type="dxa"/>
              <w:right w:w="15" w:type="dxa"/>
            </w:tcMar>
            <w:vAlign w:val="center"/>
          </w:tcPr>
          <w:p>
            <w:pPr>
              <w:jc w:val="center"/>
              <w:rPr>
                <w:rFonts w:asciiTheme="majorEastAsia" w:hAnsiTheme="majorEastAsia" w:eastAsiaTheme="majorEastAsia" w:cstheme="majorEastAsia"/>
                <w:color w:val="FF0000"/>
                <w:sz w:val="24"/>
                <w:szCs w:val="24"/>
              </w:rPr>
            </w:pPr>
          </w:p>
        </w:tc>
        <w:tc>
          <w:tcPr>
            <w:tcW w:w="1185" w:type="dxa"/>
            <w:vMerge w:val="continue"/>
            <w:shd w:val="clear" w:color="auto" w:fill="FFFFFF"/>
            <w:noWrap/>
            <w:tcMar>
              <w:top w:w="15" w:type="dxa"/>
              <w:left w:w="15" w:type="dxa"/>
              <w:right w:w="15" w:type="dxa"/>
            </w:tcMar>
            <w:vAlign w:val="center"/>
          </w:tcPr>
          <w:p>
            <w:pPr>
              <w:jc w:val="center"/>
              <w:rPr>
                <w:rFonts w:asciiTheme="majorEastAsia" w:hAnsiTheme="majorEastAsia" w:eastAsiaTheme="majorEastAsia" w:cstheme="majorEastAsia"/>
                <w:color w:val="FF0000"/>
                <w:sz w:val="24"/>
                <w:szCs w:val="24"/>
              </w:rPr>
            </w:pPr>
          </w:p>
        </w:tc>
        <w:tc>
          <w:tcPr>
            <w:tcW w:w="6258" w:type="dxa"/>
            <w:gridSpan w:val="2"/>
            <w:shd w:val="clear" w:color="auto" w:fill="FFFFFF"/>
            <w:noWrap/>
            <w:tcMar>
              <w:top w:w="15" w:type="dxa"/>
              <w:left w:w="15" w:type="dxa"/>
              <w:right w:w="15" w:type="dxa"/>
            </w:tcMar>
            <w:vAlign w:val="center"/>
          </w:tcPr>
          <w:p>
            <w:pPr>
              <w:widowControl/>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2、提供原厂三年质保和完善的售后服务得基本分3分，在此基础上每增加壹年再得1分；本项最多得6分。</w:t>
            </w:r>
          </w:p>
        </w:tc>
        <w:tc>
          <w:tcPr>
            <w:tcW w:w="709" w:type="dxa"/>
            <w:shd w:val="clear" w:color="auto" w:fill="FFFFFF"/>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kern w:val="0"/>
                <w:sz w:val="24"/>
                <w:szCs w:val="24"/>
              </w:rPr>
              <w:t>6</w:t>
            </w:r>
          </w:p>
        </w:tc>
      </w:tr>
    </w:tbl>
    <w:p>
      <w:pPr>
        <w:snapToGrid w:val="0"/>
        <w:ind w:firstLine="480" w:firstLineChars="200"/>
        <w:rPr>
          <w:rFonts w:ascii="宋体" w:hAnsi="宋体" w:cs="宋体"/>
          <w:bCs/>
          <w:sz w:val="24"/>
          <w:szCs w:val="24"/>
        </w:rPr>
      </w:pPr>
      <w:r>
        <w:rPr>
          <w:rFonts w:hint="eastAsia" w:ascii="宋体" w:hAnsi="宋体" w:cs="宋体"/>
          <w:bCs/>
          <w:sz w:val="24"/>
          <w:szCs w:val="24"/>
        </w:rPr>
        <w:t xml:space="preserve">说明： </w:t>
      </w:r>
    </w:p>
    <w:p>
      <w:pPr>
        <w:snapToGrid w:val="0"/>
        <w:ind w:firstLine="420" w:firstLineChars="200"/>
        <w:rPr>
          <w:rFonts w:ascii="宋体" w:hAnsi="宋体" w:cs="宋体"/>
          <w:szCs w:val="20"/>
        </w:rPr>
      </w:pPr>
      <w:r>
        <w:rPr>
          <w:rFonts w:hint="eastAsia" w:ascii="宋体" w:hAnsi="宋体" w:cs="宋体"/>
          <w:szCs w:val="20"/>
        </w:rPr>
        <w:t>1、若供应商提供虚假资料，一经查实取消其中标候选人资格，并向相关主管部门汇报。</w:t>
      </w:r>
    </w:p>
    <w:p>
      <w:pPr>
        <w:snapToGrid w:val="0"/>
        <w:ind w:firstLine="420" w:firstLineChars="200"/>
        <w:rPr>
          <w:rFonts w:ascii="宋体" w:hAnsi="宋体" w:cs="宋体"/>
          <w:szCs w:val="20"/>
        </w:rPr>
      </w:pPr>
      <w:r>
        <w:rPr>
          <w:rFonts w:hint="eastAsia" w:ascii="宋体" w:hAnsi="宋体" w:cs="宋体"/>
          <w:szCs w:val="20"/>
        </w:rPr>
        <w:t>2、中标单位不得转包、分包，如果发现有转包、分包情况，则取消其中标候选人资格，并向相关主管部门汇报。</w:t>
      </w:r>
    </w:p>
    <w:p>
      <w:pPr>
        <w:snapToGrid w:val="0"/>
        <w:ind w:firstLine="420" w:firstLineChars="200"/>
        <w:rPr>
          <w:rFonts w:ascii="宋体" w:hAnsi="宋体" w:cs="宋体"/>
          <w:szCs w:val="20"/>
        </w:rPr>
      </w:pPr>
      <w:r>
        <w:rPr>
          <w:rFonts w:hint="eastAsia" w:ascii="宋体" w:hAnsi="宋体" w:cs="宋体"/>
          <w:szCs w:val="20"/>
          <w:lang w:val="zh-CN"/>
        </w:rPr>
        <w:t>3、中标公告期内，中标单位需向采购单位提供产品相关证明文件原件以供审核，如有不实采购人有权取消其中标资格。</w:t>
      </w:r>
    </w:p>
    <w:p>
      <w:pPr>
        <w:pStyle w:val="3"/>
        <w:rPr>
          <w:rFonts w:ascii="宋体" w:hAnsi="宋体" w:eastAsia="宋体" w:cs="宋体"/>
          <w:bCs/>
          <w:sz w:val="44"/>
        </w:rPr>
      </w:pPr>
      <w:r>
        <w:rPr>
          <w:rFonts w:hint="eastAsia" w:ascii="宋体" w:hAnsi="宋体" w:eastAsia="宋体" w:cs="宋体"/>
          <w:bCs/>
          <w:sz w:val="44"/>
        </w:rPr>
        <w:t>第六章  投标</w:t>
      </w:r>
      <w:bookmarkEnd w:id="159"/>
      <w:bookmarkEnd w:id="160"/>
      <w:bookmarkEnd w:id="161"/>
      <w:r>
        <w:rPr>
          <w:rFonts w:hint="eastAsia" w:ascii="宋体" w:hAnsi="宋体" w:eastAsia="宋体" w:cs="宋体"/>
          <w:bCs/>
          <w:sz w:val="44"/>
        </w:rPr>
        <w:t xml:space="preserve">文件格式 </w:t>
      </w:r>
    </w:p>
    <w:p>
      <w:pPr>
        <w:jc w:val="right"/>
        <w:rPr>
          <w:rFonts w:ascii="宋体" w:hAnsi="宋体" w:cs="宋体"/>
          <w:b/>
          <w:sz w:val="36"/>
        </w:rPr>
      </w:pPr>
      <w:bookmarkStart w:id="162" w:name="_Hlt26955039"/>
      <w:bookmarkEnd w:id="162"/>
      <w:bookmarkStart w:id="163" w:name="_Hlt26671244"/>
      <w:bookmarkEnd w:id="163"/>
      <w:bookmarkStart w:id="164" w:name="_Toc26554094"/>
      <w:bookmarkStart w:id="165" w:name="_Toc49090576"/>
      <w:bookmarkStart w:id="166" w:name="_Toc120614282"/>
    </w:p>
    <w:p>
      <w:pPr>
        <w:jc w:val="right"/>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72"/>
        </w:rPr>
      </w:pPr>
      <w:r>
        <w:rPr>
          <w:rFonts w:hint="eastAsia" w:ascii="宋体" w:hAnsi="宋体" w:cs="宋体"/>
          <w:b/>
          <w:sz w:val="72"/>
        </w:rPr>
        <w:t>投  标  文  件</w:t>
      </w:r>
    </w:p>
    <w:p>
      <w:pPr>
        <w:ind w:firstLine="1084" w:firstLineChars="300"/>
        <w:jc w:val="center"/>
        <w:rPr>
          <w:rFonts w:ascii="宋体" w:hAnsi="宋体" w:cs="宋体"/>
          <w:b/>
          <w:sz w:val="36"/>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ascii="宋体" w:hAnsi="宋体" w:cs="宋体"/>
          <w:b/>
          <w:sz w:val="36"/>
          <w:u w:val="single"/>
        </w:rPr>
      </w:pPr>
      <w:r>
        <w:rPr>
          <w:rFonts w:hint="eastAsia" w:ascii="宋体" w:hAnsi="宋体" w:cs="宋体"/>
          <w:b/>
          <w:sz w:val="36"/>
        </w:rPr>
        <w:t>招 标 编 号：</w:t>
      </w:r>
      <w:r>
        <w:rPr>
          <w:rFonts w:hint="eastAsia" w:ascii="宋体" w:hAnsi="宋体" w:cs="宋体"/>
          <w:b/>
          <w:sz w:val="36"/>
          <w:u w:val="single"/>
        </w:rPr>
        <w:t xml:space="preserve">               </w:t>
      </w:r>
    </w:p>
    <w:p>
      <w:pPr>
        <w:rPr>
          <w:rFonts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0"/>
              <w:shd w:val="clear" w:color="auto" w:fill="FFFFFF"/>
              <w:spacing w:line="265" w:lineRule="atLeast"/>
              <w:ind w:left="420"/>
              <w:jc w:val="both"/>
              <w:rPr>
                <w:rFonts w:ascii="宋体" w:hAnsi="宋体" w:cs="宋体"/>
                <w:b/>
                <w:lang w:eastAsia="zh-CN"/>
              </w:rPr>
            </w:pPr>
          </w:p>
        </w:tc>
        <w:tc>
          <w:tcPr>
            <w:tcW w:w="3570" w:type="dxa"/>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0"/>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0"/>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0"/>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0"/>
              <w:shd w:val="clear" w:color="auto" w:fill="FFFFFF"/>
              <w:spacing w:line="265" w:lineRule="atLeast"/>
              <w:ind w:left="420"/>
              <w:rPr>
                <w:rFonts w:ascii="宋体" w:hAnsi="宋体" w:cs="宋体"/>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0"/>
              <w:shd w:val="clear" w:color="auto" w:fill="FFFFFF"/>
              <w:spacing w:line="265" w:lineRule="atLeast"/>
              <w:ind w:left="420"/>
              <w:rPr>
                <w:rFonts w:ascii="宋体" w:hAnsi="宋体" w:cs="宋体"/>
                <w:b/>
                <w:bCs/>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0"/>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0"/>
              <w:shd w:val="clear" w:color="auto" w:fill="FFFFFF"/>
              <w:spacing w:line="265" w:lineRule="atLeast"/>
              <w:ind w:left="0" w:firstLine="480" w:firstLineChars="200"/>
              <w:rPr>
                <w:rFonts w:ascii="宋体" w:hAnsi="宋体" w:cs="宋体"/>
                <w:szCs w:val="21"/>
                <w:lang w:eastAsia="zh-CN"/>
              </w:rPr>
            </w:pPr>
          </w:p>
        </w:tc>
        <w:tc>
          <w:tcPr>
            <w:tcW w:w="3570"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80"/>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rPr>
        <w:t>六、投标配置与分项报价表</w:t>
      </w:r>
    </w:p>
    <w:p>
      <w:pPr>
        <w:ind w:firstLine="480" w:firstLineChars="200"/>
        <w:rPr>
          <w:rFonts w:ascii="宋体" w:hAnsi="宋体" w:cs="宋体"/>
          <w:sz w:val="24"/>
        </w:rPr>
      </w:pPr>
      <w:r>
        <w:rPr>
          <w:rFonts w:hint="eastAsia" w:ascii="宋体" w:hAnsi="宋体" w:cs="宋体"/>
          <w:sz w:val="24"/>
        </w:rPr>
        <w:t>七</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八、商务条款响应及偏离表</w:t>
      </w:r>
    </w:p>
    <w:p>
      <w:pPr>
        <w:spacing w:line="560" w:lineRule="exact"/>
        <w:ind w:firstLine="480" w:firstLineChars="200"/>
        <w:rPr>
          <w:rFonts w:ascii="宋体" w:hAnsi="宋体" w:cs="宋体"/>
          <w:sz w:val="24"/>
        </w:rPr>
      </w:pPr>
      <w:r>
        <w:rPr>
          <w:rFonts w:hint="eastAsia" w:ascii="宋体" w:hAnsi="宋体" w:cs="宋体"/>
          <w:sz w:val="24"/>
        </w:rPr>
        <w:t>九、技术方案、服务承诺、培训承诺等</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before="50" w:after="50"/>
        <w:rPr>
          <w:rFonts w:ascii="宋体" w:hAnsi="宋体" w:cs="宋体"/>
          <w:sz w:val="24"/>
          <w:szCs w:val="20"/>
        </w:rPr>
      </w:pPr>
      <w:r>
        <w:rPr>
          <w:rFonts w:hint="eastAsia" w:ascii="宋体" w:hAnsi="宋体" w:cs="宋体"/>
          <w:sz w:val="44"/>
        </w:rPr>
        <w:t xml:space="preserve"> </w:t>
      </w:r>
      <w:r>
        <w:rPr>
          <w:rFonts w:hint="eastAsia" w:ascii="宋体" w:hAnsi="宋体" w:cs="宋体"/>
          <w:b/>
          <w:bCs/>
          <w:sz w:val="24"/>
        </w:rPr>
        <w:t>1、实质性资格证明文件目录</w:t>
      </w:r>
    </w:p>
    <w:p>
      <w:pPr>
        <w:snapToGrid w:val="0"/>
        <w:spacing w:line="360" w:lineRule="auto"/>
        <w:ind w:firstLine="480" w:firstLineChars="200"/>
        <w:rPr>
          <w:rFonts w:ascii="宋体" w:hAnsi="宋体" w:cs="宋体"/>
          <w:sz w:val="24"/>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上一年度财务状况报告（复印件，成立不满一年不需提供）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firstLineChars="200"/>
        <w:rPr>
          <w:rFonts w:ascii="宋体" w:hAnsi="宋体" w:cs="宋体"/>
          <w:sz w:val="24"/>
        </w:rPr>
      </w:pPr>
      <w:r>
        <w:rPr>
          <w:rFonts w:hint="eastAsia" w:ascii="宋体" w:hAnsi="宋体" w:cs="宋体"/>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6"/>
        <w:jc w:val="center"/>
        <w:rPr>
          <w:rFonts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ind w:firstLine="492"/>
        <w:rPr>
          <w:rFonts w:ascii="宋体" w:hAnsi="宋体" w:cs="宋体"/>
          <w:bCs/>
          <w:sz w:val="24"/>
        </w:rPr>
      </w:pP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pStyle w:val="6"/>
        <w:jc w:val="center"/>
        <w:rPr>
          <w:rFonts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 xml:space="preserve">   </w:t>
      </w:r>
    </w:p>
    <w:p>
      <w:pPr>
        <w:spacing w:line="460" w:lineRule="exact"/>
        <w:rPr>
          <w:rFonts w:ascii="宋体" w:hAnsi="宋体" w:cs="宋体"/>
          <w:b/>
          <w:bCs/>
          <w:sz w:val="44"/>
          <w:szCs w:val="44"/>
        </w:rPr>
      </w:pPr>
      <w:r>
        <w:rPr>
          <w:rFonts w:hint="eastAsia" w:ascii="宋体" w:hAnsi="宋体" w:cs="宋体"/>
          <w:b/>
          <w:bCs/>
          <w:sz w:val="44"/>
          <w:szCs w:val="44"/>
        </w:rPr>
        <w:t xml:space="preserve">                   声  明</w:t>
      </w:r>
    </w:p>
    <w:p>
      <w:pPr>
        <w:spacing w:line="460" w:lineRule="exact"/>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______</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6"/>
        <w:jc w:val="center"/>
        <w:rPr>
          <w:rFonts w:ascii="宋体" w:hAnsi="宋体" w:cs="宋体"/>
          <w:sz w:val="24"/>
          <w:szCs w:val="24"/>
        </w:rPr>
      </w:pPr>
      <w:r>
        <w:rPr>
          <w:rFonts w:hint="eastAsia" w:ascii="宋体" w:hAnsi="宋体" w:cs="宋体"/>
          <w:sz w:val="24"/>
          <w:szCs w:val="24"/>
        </w:rPr>
        <w:t>法人授权书</w:t>
      </w:r>
    </w:p>
    <w:p>
      <w:pPr>
        <w:pStyle w:val="82"/>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82"/>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82"/>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82"/>
        <w:ind w:firstLine="0" w:firstLineChars="0"/>
        <w:rPr>
          <w:rFonts w:ascii="宋体" w:hAnsi="宋体" w:cs="宋体"/>
          <w:sz w:val="24"/>
          <w:szCs w:val="24"/>
        </w:rPr>
      </w:pPr>
      <w:r>
        <w:rPr>
          <w:rFonts w:hint="eastAsia" w:ascii="宋体" w:hAnsi="宋体" w:cs="宋体"/>
          <w:sz w:val="24"/>
          <w:szCs w:val="24"/>
        </w:rPr>
        <w:t xml:space="preserve">         </w:t>
      </w:r>
    </w:p>
    <w:p>
      <w:pPr>
        <w:pStyle w:val="82"/>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82"/>
        <w:ind w:firstLine="480"/>
        <w:rPr>
          <w:rFonts w:ascii="宋体" w:hAnsi="宋体" w:cs="宋体"/>
          <w:sz w:val="24"/>
          <w:szCs w:val="24"/>
        </w:rPr>
      </w:pPr>
    </w:p>
    <w:p>
      <w:pPr>
        <w:pStyle w:val="82"/>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82"/>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82"/>
        <w:ind w:firstLine="480"/>
        <w:rPr>
          <w:rFonts w:ascii="宋体" w:hAnsi="宋体" w:cs="宋体"/>
          <w:sz w:val="24"/>
          <w:szCs w:val="24"/>
          <w:u w:val="single"/>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pStyle w:val="82"/>
        <w:ind w:firstLine="480"/>
        <w:rPr>
          <w:rFonts w:ascii="宋体" w:hAnsi="宋体" w:cs="宋体"/>
          <w:sz w:val="24"/>
          <w:szCs w:val="24"/>
        </w:rPr>
      </w:pPr>
      <w:r>
        <w:rPr>
          <w:rFonts w:hint="eastAsia" w:ascii="宋体" w:hAnsi="宋体" w:cs="宋体"/>
          <w:sz w:val="24"/>
          <w:szCs w:val="24"/>
        </w:rPr>
        <w:t xml:space="preserve">      日期：                    </w:t>
      </w:r>
    </w:p>
    <w:p>
      <w:pPr>
        <w:pStyle w:val="6"/>
        <w:rPr>
          <w:rFonts w:ascii="宋体" w:hAnsi="宋体" w:cs="宋体"/>
        </w:rPr>
      </w:pPr>
      <w:bookmarkStart w:id="167" w:name="_Hlt26671380"/>
      <w:bookmarkEnd w:id="167"/>
      <w:bookmarkStart w:id="168" w:name="_Hlt26955070"/>
      <w:bookmarkEnd w:id="168"/>
      <w:bookmarkStart w:id="169" w:name="_格式3__银行出具的资信证明"/>
      <w:bookmarkEnd w:id="169"/>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pacing w:line="440" w:lineRule="exact"/>
        <w:ind w:firstLine="480" w:firstLineChars="200"/>
        <w:rPr>
          <w:rFonts w:ascii="宋体" w:hAnsi="宋体" w:cs="宋体"/>
          <w:sz w:val="24"/>
        </w:rPr>
      </w:pPr>
    </w:p>
    <w:bookmarkEnd w:id="164"/>
    <w:bookmarkEnd w:id="165"/>
    <w:bookmarkEnd w:id="166"/>
    <w:p>
      <w:pPr>
        <w:snapToGrid w:val="0"/>
        <w:spacing w:before="50" w:after="50"/>
        <w:rPr>
          <w:rFonts w:ascii="宋体" w:hAnsi="宋体" w:cs="宋体"/>
          <w:sz w:val="44"/>
        </w:rPr>
      </w:pPr>
      <w:r>
        <w:rPr>
          <w:rFonts w:hint="eastAsia" w:ascii="宋体" w:hAnsi="宋体" w:cs="宋体"/>
          <w:sz w:val="44"/>
        </w:rPr>
        <w:t xml:space="preserve"> </w:t>
      </w: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szCs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szCs w:val="24"/>
              </w:rPr>
            </w:pPr>
            <w:r>
              <w:rPr>
                <w:rFonts w:hint="eastAsia" w:ascii="宋体" w:hAnsi="宋体" w:cs="宋体"/>
                <w:iCs/>
                <w:sz w:val="24"/>
                <w:szCs w:val="24"/>
              </w:rPr>
              <w:t>招标文件中的其他实质性要求</w:t>
            </w: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32"/>
          <w:szCs w:val="32"/>
        </w:rPr>
      </w:pPr>
      <w:r>
        <w:rPr>
          <w:rFonts w:hint="eastAsia" w:ascii="宋体" w:hAnsi="宋体" w:cs="宋体"/>
          <w:sz w:val="32"/>
          <w:szCs w:val="32"/>
        </w:rPr>
        <w:t xml:space="preserve">           </w:t>
      </w:r>
      <w:bookmarkStart w:id="170" w:name="_Toc120614284"/>
    </w:p>
    <w:p>
      <w:pPr>
        <w:snapToGrid w:val="0"/>
        <w:spacing w:before="50" w:after="50"/>
        <w:rPr>
          <w:rFonts w:ascii="宋体" w:hAnsi="宋体" w:cs="宋体"/>
          <w:sz w:val="24"/>
          <w:szCs w:val="24"/>
        </w:rPr>
      </w:pPr>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91"/>
        <w:spacing w:before="0" w:after="0" w:line="420" w:lineRule="exact"/>
        <w:ind w:firstLine="0"/>
        <w:rPr>
          <w:rFonts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盐城工业职业技术学院</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根据贵方的</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91"/>
        <w:spacing w:before="0" w:after="0" w:line="420" w:lineRule="exact"/>
        <w:rPr>
          <w:rFonts w:ascii="宋体" w:hAnsi="宋体" w:cs="宋体"/>
          <w:kern w:val="2"/>
          <w:szCs w:val="21"/>
        </w:rPr>
      </w:pPr>
      <w:r>
        <w:rPr>
          <w:rFonts w:hint="eastAsia" w:ascii="宋体" w:hAnsi="宋体" w:cs="宋体"/>
          <w:kern w:val="2"/>
          <w:szCs w:val="21"/>
        </w:rPr>
        <w:t>1.按招标文件规定的各项要求，向买方提供所需货物与服务。</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91"/>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91"/>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91"/>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91"/>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91"/>
        <w:spacing w:before="0" w:after="0" w:line="420" w:lineRule="exact"/>
        <w:rPr>
          <w:rFonts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91"/>
        <w:spacing w:before="0" w:after="0" w:line="420" w:lineRule="exact"/>
        <w:ind w:left="425" w:firstLine="0"/>
        <w:rPr>
          <w:rFonts w:ascii="宋体" w:hAnsi="宋体" w:cs="宋体"/>
          <w:kern w:val="2"/>
          <w:szCs w:val="21"/>
        </w:rPr>
      </w:pPr>
      <w:r>
        <w:rPr>
          <w:rFonts w:hint="eastAsia" w:ascii="宋体" w:hAnsi="宋体" w:cs="宋体"/>
          <w:kern w:val="2"/>
          <w:szCs w:val="21"/>
        </w:rPr>
        <w:t>8.与本投标有关的正式通讯地址为：</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91"/>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152" w:afterLines="50"/>
        <w:jc w:val="left"/>
        <w:rPr>
          <w:rFonts w:ascii="宋体" w:hAnsi="宋体" w:cs="宋体"/>
          <w:sz w:val="24"/>
          <w:szCs w:val="20"/>
        </w:rPr>
      </w:pPr>
      <w:r>
        <w:rPr>
          <w:rFonts w:hint="eastAsia" w:ascii="宋体" w:hAnsi="宋体" w:cs="宋体"/>
          <w:sz w:val="44"/>
        </w:rPr>
        <w:t xml:space="preserve">          </w:t>
      </w: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五、开标一览表（格式）</w:t>
      </w:r>
    </w:p>
    <w:p>
      <w:pPr>
        <w:snapToGrid w:val="0"/>
        <w:spacing w:before="50" w:after="50"/>
        <w:jc w:val="center"/>
        <w:rPr>
          <w:rFonts w:ascii="宋体" w:hAnsi="宋体" w:cs="宋体"/>
          <w:sz w:val="32"/>
          <w:szCs w:val="32"/>
        </w:rPr>
      </w:pPr>
    </w:p>
    <w:tbl>
      <w:tblPr>
        <w:tblStyle w:val="4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7016" w:type="dxa"/>
            <w:vAlign w:val="center"/>
          </w:tcPr>
          <w:p>
            <w:pPr>
              <w:pStyle w:val="4"/>
              <w:jc w:val="both"/>
              <w:rPr>
                <w:rFonts w:ascii="宋体" w:hAnsi="宋体" w:eastAsia="宋体" w:cs="宋体"/>
                <w:sz w:val="28"/>
                <w:szCs w:val="28"/>
                <w:u w:val="single"/>
              </w:rPr>
            </w:pPr>
            <w:r>
              <w:rPr>
                <w:rFonts w:hint="eastAsia" w:ascii="宋体" w:hAnsi="宋体" w:eastAsia="宋体" w:cs="宋体"/>
                <w:sz w:val="28"/>
                <w:szCs w:val="28"/>
                <w:u w:val="single"/>
              </w:rPr>
              <w:t xml:space="preserve">2020-007S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7016" w:type="dxa"/>
            <w:vAlign w:val="center"/>
          </w:tcPr>
          <w:p>
            <w:pPr>
              <w:pStyle w:val="4"/>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ascii="宋体" w:hAnsi="宋体" w:cs="宋体"/>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716" w:type="dxa"/>
            <w:gridSpan w:val="2"/>
            <w:vAlign w:val="center"/>
          </w:tcPr>
          <w:p>
            <w:pPr>
              <w:rPr>
                <w:rFonts w:ascii="宋体" w:hAnsi="宋体" w:cs="宋体"/>
                <w:b/>
                <w:bCs/>
                <w:szCs w:val="28"/>
              </w:rPr>
            </w:pPr>
            <w:r>
              <w:rPr>
                <w:rFonts w:hint="eastAsia" w:ascii="宋体" w:hAnsi="宋体" w:cs="宋体"/>
                <w:b/>
                <w:bCs/>
                <w:szCs w:val="28"/>
              </w:rPr>
              <w:t xml:space="preserve">质保期：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716"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9716" w:type="dxa"/>
            <w:gridSpan w:val="2"/>
            <w:vAlign w:val="center"/>
          </w:tcPr>
          <w:p>
            <w:pPr>
              <w:rPr>
                <w:rFonts w:ascii="宋体" w:hAnsi="宋体" w:cs="宋体"/>
                <w:b/>
                <w:bCs/>
                <w:szCs w:val="28"/>
              </w:rPr>
            </w:pPr>
            <w:r>
              <w:rPr>
                <w:rFonts w:hint="eastAsia" w:ascii="宋体" w:hAnsi="宋体" w:cs="宋体"/>
                <w:b/>
                <w:bCs/>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716"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7"/>
        </w:numPr>
        <w:rPr>
          <w:rFonts w:ascii="宋体" w:hAnsi="宋体" w:cs="宋体"/>
          <w:sz w:val="24"/>
        </w:rPr>
      </w:pPr>
      <w:r>
        <w:rPr>
          <w:rFonts w:hint="eastAsia" w:ascii="宋体" w:hAnsi="宋体" w:cs="宋体"/>
          <w:sz w:val="24"/>
        </w:rPr>
        <w:t>开标一览表不得填报选择性报价，否则将作为无效投标；</w:t>
      </w:r>
    </w:p>
    <w:p>
      <w:pPr>
        <w:numPr>
          <w:ilvl w:val="0"/>
          <w:numId w:val="7"/>
        </w:numPr>
        <w:rPr>
          <w:rFonts w:ascii="宋体" w:hAnsi="宋体" w:cs="宋体"/>
          <w:sz w:val="24"/>
        </w:rPr>
      </w:pPr>
      <w:r>
        <w:rPr>
          <w:rFonts w:hint="eastAsia" w:ascii="宋体" w:hAnsi="宋体" w:cs="宋体"/>
          <w:sz w:val="24"/>
        </w:rPr>
        <w:t>开标一览表中报价与投标分项明细报价表中不符时，以开标一览表为准。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六、投标产品配置及分项报价表（格式）</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投标人全称（加盖公章）：</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1</w:t>
            </w:r>
          </w:p>
        </w:tc>
        <w:tc>
          <w:tcPr>
            <w:tcW w:w="2369" w:type="dxa"/>
            <w:vAlign w:val="center"/>
          </w:tcPr>
          <w:p>
            <w:pPr>
              <w:jc w:val="center"/>
              <w:rPr>
                <w:rFonts w:ascii="宋体" w:hAnsi="宋体" w:cs="宋体"/>
                <w:sz w:val="24"/>
                <w:szCs w:val="24"/>
              </w:rPr>
            </w:pPr>
            <w:r>
              <w:rPr>
                <w:rFonts w:hint="eastAsia" w:ascii="宋体" w:hAnsi="宋体" w:cs="宋体"/>
                <w:sz w:val="24"/>
                <w:szCs w:val="24"/>
              </w:rPr>
              <w:t>2</w:t>
            </w:r>
          </w:p>
        </w:tc>
        <w:tc>
          <w:tcPr>
            <w:tcW w:w="1442" w:type="dxa"/>
            <w:vAlign w:val="center"/>
          </w:tcPr>
          <w:p>
            <w:pPr>
              <w:jc w:val="center"/>
              <w:rPr>
                <w:rFonts w:ascii="宋体" w:hAnsi="宋体" w:cs="宋体"/>
                <w:sz w:val="24"/>
                <w:szCs w:val="24"/>
              </w:rPr>
            </w:pPr>
            <w:r>
              <w:rPr>
                <w:rFonts w:hint="eastAsia" w:ascii="宋体" w:hAnsi="宋体" w:cs="宋体"/>
                <w:sz w:val="24"/>
                <w:szCs w:val="24"/>
              </w:rPr>
              <w:t>3</w:t>
            </w:r>
          </w:p>
        </w:tc>
        <w:tc>
          <w:tcPr>
            <w:tcW w:w="2781"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货物名称及规格、型号</w:t>
            </w:r>
          </w:p>
        </w:tc>
        <w:tc>
          <w:tcPr>
            <w:tcW w:w="2369" w:type="dxa"/>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hAnsi="宋体" w:cs="宋体"/>
                <w:sz w:val="24"/>
                <w:szCs w:val="24"/>
              </w:rPr>
            </w:pPr>
          </w:p>
        </w:tc>
        <w:tc>
          <w:tcPr>
            <w:tcW w:w="2369" w:type="dxa"/>
            <w:vAlign w:val="center"/>
          </w:tcPr>
          <w:p>
            <w:pPr>
              <w:rPr>
                <w:rFonts w:ascii="宋体" w:hAnsi="宋体" w:cs="宋体"/>
                <w:sz w:val="24"/>
                <w:szCs w:val="24"/>
              </w:rPr>
            </w:pPr>
          </w:p>
        </w:tc>
        <w:tc>
          <w:tcPr>
            <w:tcW w:w="1442" w:type="dxa"/>
            <w:vAlign w:val="center"/>
          </w:tcPr>
          <w:p>
            <w:pPr>
              <w:rPr>
                <w:rFonts w:ascii="宋体" w:hAnsi="宋体" w:cs="宋体"/>
                <w:sz w:val="24"/>
                <w:szCs w:val="24"/>
              </w:rPr>
            </w:pPr>
          </w:p>
        </w:tc>
        <w:tc>
          <w:tcPr>
            <w:tcW w:w="2781"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tcPr>
          <w:p>
            <w:pPr>
              <w:rPr>
                <w:rFonts w:ascii="宋体" w:hAnsi="宋体" w:cs="宋体"/>
                <w:sz w:val="24"/>
                <w:szCs w:val="24"/>
              </w:rPr>
            </w:pPr>
            <w:r>
              <w:rPr>
                <w:rFonts w:hint="eastAsia" w:ascii="宋体" w:hAnsi="宋体" w:cs="宋体"/>
                <w:sz w:val="24"/>
                <w:szCs w:val="24"/>
              </w:rPr>
              <w:t xml:space="preserve"> </w:t>
            </w: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法定代表人或授权代表签字：</w:t>
      </w:r>
    </w:p>
    <w:p>
      <w:pPr>
        <w:spacing w:line="360" w:lineRule="auto"/>
        <w:rPr>
          <w:rFonts w:ascii="宋体" w:hAnsi="宋体" w:cs="宋体"/>
          <w:sz w:val="24"/>
        </w:rPr>
      </w:pPr>
      <w:r>
        <w:rPr>
          <w:rFonts w:hint="eastAsia" w:ascii="宋体" w:hAnsi="宋体" w:cs="宋体"/>
          <w:sz w:val="24"/>
        </w:rPr>
        <w:t>1、此表可以根据需要自行增减行数。</w:t>
      </w: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sectPr>
          <w:pgSz w:w="11906" w:h="16838"/>
          <w:pgMar w:top="1417" w:right="1587" w:bottom="1417" w:left="1366" w:header="851" w:footer="907" w:gutter="0"/>
          <w:pgNumType w:fmt="numberInDash"/>
          <w:cols w:space="720" w:num="1"/>
          <w:docGrid w:type="lines" w:linePitch="304" w:charSpace="0"/>
        </w:sectPr>
      </w:pPr>
    </w:p>
    <w:p>
      <w:pPr>
        <w:snapToGrid w:val="0"/>
        <w:spacing w:before="50" w:after="50"/>
        <w:jc w:val="center"/>
        <w:rPr>
          <w:rFonts w:ascii="宋体" w:hAnsi="宋体" w:cs="宋体"/>
          <w:sz w:val="32"/>
          <w:szCs w:val="32"/>
        </w:rPr>
      </w:pPr>
      <w:r>
        <w:rPr>
          <w:rFonts w:hint="eastAsia" w:ascii="宋体" w:hAnsi="宋体" w:cs="宋体"/>
          <w:sz w:val="32"/>
          <w:szCs w:val="32"/>
        </w:rPr>
        <w:t>七、技术参数响应及偏离表（如有）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vAlign w:val="center"/>
          </w:tcPr>
          <w:p>
            <w:pPr>
              <w:rPr>
                <w:rFonts w:ascii="宋体" w:hAnsi="宋体" w:cs="宋体"/>
                <w:sz w:val="24"/>
                <w:szCs w:val="24"/>
              </w:rPr>
            </w:pPr>
            <w:r>
              <w:rPr>
                <w:rFonts w:hint="eastAsia" w:ascii="宋体" w:hAnsi="宋体" w:cs="宋体"/>
                <w:sz w:val="24"/>
                <w:szCs w:val="24"/>
              </w:rPr>
              <w:t>招标要求</w:t>
            </w:r>
          </w:p>
        </w:tc>
        <w:tc>
          <w:tcPr>
            <w:tcW w:w="2852" w:type="dxa"/>
            <w:vAlign w:val="center"/>
          </w:tcPr>
          <w:p>
            <w:pPr>
              <w:rPr>
                <w:rFonts w:ascii="宋体" w:hAnsi="宋体" w:cs="宋体"/>
                <w:sz w:val="24"/>
                <w:szCs w:val="24"/>
              </w:rPr>
            </w:pPr>
            <w:r>
              <w:rPr>
                <w:rFonts w:hint="eastAsia" w:ascii="宋体" w:hAnsi="宋体" w:cs="宋体"/>
                <w:sz w:val="24"/>
                <w:szCs w:val="24"/>
              </w:rPr>
              <w:t>投标响应</w:t>
            </w:r>
          </w:p>
        </w:tc>
        <w:tc>
          <w:tcPr>
            <w:tcW w:w="1308" w:type="dxa"/>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2852" w:type="dxa"/>
          </w:tcPr>
          <w:p>
            <w:pPr>
              <w:jc w:val="center"/>
              <w:rPr>
                <w:rFonts w:ascii="宋体" w:hAnsi="宋体" w:cs="宋体"/>
                <w:sz w:val="24"/>
                <w:szCs w:val="24"/>
              </w:rPr>
            </w:pPr>
          </w:p>
        </w:tc>
        <w:tc>
          <w:tcPr>
            <w:tcW w:w="1308" w:type="dxa"/>
          </w:tcPr>
          <w:p>
            <w:pPr>
              <w:jc w:val="center"/>
              <w:rPr>
                <w:rFonts w:ascii="宋体" w:hAnsi="宋体" w:cs="宋体"/>
                <w:sz w:val="24"/>
                <w:szCs w:val="24"/>
              </w:rPr>
            </w:pPr>
          </w:p>
        </w:tc>
        <w:tc>
          <w:tcPr>
            <w:tcW w:w="1173" w:type="dxa"/>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ind w:firstLine="480" w:firstLineChars="200"/>
        <w:rPr>
          <w:rFonts w:ascii="宋体" w:hAnsi="宋体" w:cs="宋体"/>
          <w:sz w:val="24"/>
          <w:szCs w:val="24"/>
        </w:rPr>
      </w:pPr>
      <w:r>
        <w:rPr>
          <w:rFonts w:hint="eastAsia" w:ascii="宋体" w:hAnsi="宋体" w:cs="宋体"/>
          <w:sz w:val="24"/>
          <w:szCs w:val="24"/>
        </w:rPr>
        <w:t>2、行数不够，可自行添加。</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rPr>
          <w:rFonts w:ascii="宋体" w:hAnsi="宋体" w:cs="宋体"/>
          <w:sz w:val="32"/>
        </w:rPr>
      </w:pPr>
    </w:p>
    <w:bookmarkEnd w:id="170"/>
    <w:p>
      <w:pPr>
        <w:snapToGrid w:val="0"/>
        <w:spacing w:before="50" w:after="50"/>
        <w:jc w:val="center"/>
        <w:rPr>
          <w:rFonts w:ascii="宋体" w:hAnsi="宋体" w:cs="宋体"/>
          <w:sz w:val="32"/>
          <w:szCs w:val="32"/>
        </w:rPr>
      </w:pPr>
      <w:bookmarkStart w:id="171" w:name="_Hlt26955054"/>
      <w:bookmarkEnd w:id="171"/>
      <w:r>
        <w:rPr>
          <w:rFonts w:hint="eastAsia" w:ascii="宋体" w:hAnsi="宋体" w:cs="宋体"/>
          <w:sz w:val="32"/>
          <w:szCs w:val="32"/>
        </w:rPr>
        <w:t>八、商务条款响应及偏离表（如有）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合同签订后</w:t>
            </w:r>
            <w:r>
              <w:rPr>
                <w:rFonts w:hint="eastAsia" w:ascii="宋体" w:hAnsi="宋体" w:cs="宋体"/>
                <w:sz w:val="24"/>
                <w:u w:val="single"/>
              </w:rPr>
              <w:t xml:space="preserve">     </w:t>
            </w:r>
            <w:r>
              <w:rPr>
                <w:rFonts w:hint="eastAsia" w:ascii="宋体" w:hAnsi="宋体" w:cs="宋体"/>
                <w:sz w:val="24"/>
              </w:rPr>
              <w:t>天内</w:t>
            </w:r>
            <w:r>
              <w:rPr>
                <w:rFonts w:hint="eastAsia" w:ascii="宋体" w:hAnsi="宋体" w:cs="宋体"/>
                <w:sz w:val="24"/>
                <w:u w:val="single"/>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p>
          <w:p>
            <w:pPr>
              <w:snapToGrid w:val="0"/>
              <w:spacing w:before="152"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p>
          <w:p>
            <w:pPr>
              <w:snapToGrid w:val="0"/>
              <w:spacing w:before="152"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52"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5"/>
        <w:ind w:firstLine="0"/>
        <w:rPr>
          <w:rFonts w:ascii="宋体" w:hAnsi="宋体" w:cs="宋体"/>
          <w:sz w:val="24"/>
        </w:rPr>
      </w:pPr>
      <w:bookmarkStart w:id="172" w:name="_Hlt26671343"/>
      <w:bookmarkEnd w:id="172"/>
      <w:bookmarkStart w:id="173" w:name="_Hlt26609389"/>
      <w:bookmarkEnd w:id="173"/>
      <w:bookmarkStart w:id="174" w:name="_Hlt26671374"/>
      <w:bookmarkEnd w:id="174"/>
      <w:bookmarkStart w:id="175" w:name="_Hlt26580838"/>
      <w:bookmarkEnd w:id="175"/>
      <w:bookmarkStart w:id="176" w:name="_Hlt26955066"/>
      <w:bookmarkEnd w:id="176"/>
      <w:bookmarkStart w:id="177" w:name="_Hlt26671372"/>
      <w:bookmarkEnd w:id="177"/>
      <w:bookmarkStart w:id="178" w:name="_Hlt26955064"/>
      <w:bookmarkEnd w:id="178"/>
      <w:bookmarkStart w:id="179" w:name="_Hlt26782999"/>
      <w:bookmarkEnd w:id="179"/>
      <w:bookmarkStart w:id="180" w:name="_Hlt26609391"/>
      <w:bookmarkEnd w:id="180"/>
      <w:bookmarkStart w:id="181" w:name="_Hlt24879081"/>
      <w:bookmarkEnd w:id="181"/>
      <w:bookmarkStart w:id="182" w:name="_Hlt26955056"/>
      <w:bookmarkEnd w:id="182"/>
      <w:bookmarkStart w:id="183" w:name="_Toc462564146"/>
    </w:p>
    <w:p>
      <w:pPr>
        <w:pStyle w:val="5"/>
        <w:ind w:firstLine="0"/>
        <w:rPr>
          <w:rFonts w:ascii="宋体" w:hAnsi="宋体" w:cs="宋体"/>
          <w:sz w:val="24"/>
        </w:rPr>
      </w:pPr>
    </w:p>
    <w:p>
      <w:pPr>
        <w:snapToGrid w:val="0"/>
        <w:spacing w:before="50" w:after="50"/>
        <w:jc w:val="center"/>
        <w:rPr>
          <w:rFonts w:ascii="宋体" w:hAnsi="宋体" w:cs="宋体"/>
          <w:sz w:val="32"/>
          <w:szCs w:val="32"/>
        </w:rPr>
      </w:pPr>
      <w:r>
        <w:rPr>
          <w:rFonts w:hint="eastAsia" w:ascii="宋体" w:hAnsi="宋体" w:cs="宋体"/>
          <w:sz w:val="32"/>
          <w:szCs w:val="32"/>
        </w:rPr>
        <w:t>九、技术方案、服务承诺、培训承诺等</w:t>
      </w:r>
      <w:bookmarkEnd w:id="157"/>
      <w:bookmarkEnd w:id="158"/>
      <w:bookmarkEnd w:id="183"/>
      <w:bookmarkStart w:id="184" w:name="_格式2__法定代表人授权书"/>
      <w:bookmarkEnd w:id="184"/>
    </w:p>
    <w:sectPr>
      <w:pgSz w:w="11906" w:h="16838"/>
      <w:pgMar w:top="1417" w:right="1587" w:bottom="1417" w:left="1366" w:header="851" w:footer="907" w:gutter="0"/>
      <w:pgNumType w:fmt="numberInDash"/>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b/>
        <w:i/>
      </w:rPr>
    </w:pPr>
    <w:r>
      <w:rPr>
        <w:sz w:val="20"/>
      </w:rPr>
      <w:pict>
        <v:shape id="_x0000_s3073" o:spid="_x0000_s3073"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w: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b/>
        <w:i/>
      </w:rPr>
    </w:pPr>
    <w:r>
      <w:rPr>
        <w:sz w:val="20"/>
      </w:rPr>
      <w:pict>
        <v:shape id="_x0000_s3074" o:spid="_x0000_s307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r>
      <w:rPr>
        <w:b/>
        <w:i/>
        <w:kern w:val="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隶书"/>
        <w:color w:val="FF0000"/>
        <w:spacing w:val="40"/>
        <w:sz w:val="21"/>
        <w:szCs w:val="21"/>
      </w:rPr>
    </w:pPr>
    <w:r>
      <w:rPr>
        <w:rFonts w:hint="eastAsia" w:eastAsia="隶书"/>
        <w:color w:val="FF0000"/>
        <w:spacing w:val="40"/>
        <w:sz w:val="21"/>
        <w:szCs w:val="21"/>
      </w:rPr>
      <w:t>2020-007S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0A3E5"/>
    <w:multiLevelType w:val="singleLevel"/>
    <w:tmpl w:val="9320A3E5"/>
    <w:lvl w:ilvl="0" w:tentative="0">
      <w:start w:val="1"/>
      <w:numFmt w:val="decimal"/>
      <w:suff w:val="nothing"/>
      <w:lvlText w:val="%1、"/>
      <w:lvlJc w:val="left"/>
    </w:lvl>
  </w:abstractNum>
  <w:abstractNum w:abstractNumId="1">
    <w:nsid w:val="06784D56"/>
    <w:multiLevelType w:val="singleLevel"/>
    <w:tmpl w:val="06784D56"/>
    <w:lvl w:ilvl="0" w:tentative="0">
      <w:start w:val="1"/>
      <w:numFmt w:val="upperLetter"/>
      <w:pStyle w:val="96"/>
      <w:lvlText w:val="附录%1."/>
      <w:lvlJc w:val="left"/>
      <w:pPr>
        <w:tabs>
          <w:tab w:val="left" w:pos="907"/>
        </w:tabs>
        <w:ind w:left="907" w:hanging="907"/>
      </w:pPr>
      <w:rPr>
        <w:rFonts w:hint="eastAsia"/>
      </w:rPr>
    </w:lvl>
  </w:abstractNum>
  <w:abstractNum w:abstractNumId="2">
    <w:nsid w:val="1D145D56"/>
    <w:multiLevelType w:val="singleLevel"/>
    <w:tmpl w:val="1D145D56"/>
    <w:lvl w:ilvl="0" w:tentative="0">
      <w:start w:val="2"/>
      <w:numFmt w:val="chineseCounting"/>
      <w:suff w:val="nothing"/>
      <w:lvlText w:val="%1、"/>
      <w:lvlJc w:val="left"/>
      <w:rPr>
        <w:rFonts w:hint="eastAsia"/>
      </w:r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420C153B"/>
    <w:multiLevelType w:val="multilevel"/>
    <w:tmpl w:val="420C153B"/>
    <w:lvl w:ilvl="0" w:tentative="0">
      <w:start w:val="1"/>
      <w:numFmt w:val="decimal"/>
      <w:pStyle w:val="9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mirrorMargins w:val="1"/>
  <w:attachedTemplate r:id="rId1"/>
  <w:documentProtection w:enforcement="0"/>
  <w:defaultTabStop w:val="425"/>
  <w:drawingGridHorizontalSpacing w:val="210"/>
  <w:drawingGridVerticalSpacing w:val="15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21F1"/>
    <w:rsid w:val="0000257C"/>
    <w:rsid w:val="00003DC7"/>
    <w:rsid w:val="00004B67"/>
    <w:rsid w:val="00005139"/>
    <w:rsid w:val="000060F7"/>
    <w:rsid w:val="000065F6"/>
    <w:rsid w:val="00006B61"/>
    <w:rsid w:val="00006BCB"/>
    <w:rsid w:val="00012B1C"/>
    <w:rsid w:val="00013BD5"/>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180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5CB9"/>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5968"/>
    <w:rsid w:val="001160CE"/>
    <w:rsid w:val="00116899"/>
    <w:rsid w:val="00116C9B"/>
    <w:rsid w:val="00116CC8"/>
    <w:rsid w:val="001209A8"/>
    <w:rsid w:val="00120B27"/>
    <w:rsid w:val="001216F8"/>
    <w:rsid w:val="0012335D"/>
    <w:rsid w:val="00126079"/>
    <w:rsid w:val="0012671B"/>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40A"/>
    <w:rsid w:val="0015339B"/>
    <w:rsid w:val="0015366A"/>
    <w:rsid w:val="001539B3"/>
    <w:rsid w:val="001542EE"/>
    <w:rsid w:val="00155193"/>
    <w:rsid w:val="001553EC"/>
    <w:rsid w:val="00155CB8"/>
    <w:rsid w:val="001569DC"/>
    <w:rsid w:val="00157965"/>
    <w:rsid w:val="00161885"/>
    <w:rsid w:val="00162263"/>
    <w:rsid w:val="00163DB6"/>
    <w:rsid w:val="00163ED5"/>
    <w:rsid w:val="001649C7"/>
    <w:rsid w:val="00164ABA"/>
    <w:rsid w:val="0016506B"/>
    <w:rsid w:val="00165A5A"/>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4EC"/>
    <w:rsid w:val="001A0F57"/>
    <w:rsid w:val="001A121B"/>
    <w:rsid w:val="001A16F7"/>
    <w:rsid w:val="001A2217"/>
    <w:rsid w:val="001A2797"/>
    <w:rsid w:val="001A2E68"/>
    <w:rsid w:val="001A5BDF"/>
    <w:rsid w:val="001A7B31"/>
    <w:rsid w:val="001B2DEF"/>
    <w:rsid w:val="001B5050"/>
    <w:rsid w:val="001B7E61"/>
    <w:rsid w:val="001C14B1"/>
    <w:rsid w:val="001C373D"/>
    <w:rsid w:val="001C5C56"/>
    <w:rsid w:val="001C5F27"/>
    <w:rsid w:val="001C6BCC"/>
    <w:rsid w:val="001D01DB"/>
    <w:rsid w:val="001D1657"/>
    <w:rsid w:val="001D2224"/>
    <w:rsid w:val="001D4A32"/>
    <w:rsid w:val="001D6423"/>
    <w:rsid w:val="001D6B89"/>
    <w:rsid w:val="001D6E74"/>
    <w:rsid w:val="001E13DE"/>
    <w:rsid w:val="001E1981"/>
    <w:rsid w:val="001E2637"/>
    <w:rsid w:val="001E45B5"/>
    <w:rsid w:val="001E61A6"/>
    <w:rsid w:val="001E7571"/>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16F8"/>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1E8"/>
    <w:rsid w:val="00260723"/>
    <w:rsid w:val="002607A3"/>
    <w:rsid w:val="00260BB7"/>
    <w:rsid w:val="00262FF0"/>
    <w:rsid w:val="002664E2"/>
    <w:rsid w:val="00266DDA"/>
    <w:rsid w:val="0027038C"/>
    <w:rsid w:val="002716FB"/>
    <w:rsid w:val="00274D98"/>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29C"/>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41D3"/>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1FDF"/>
    <w:rsid w:val="0032284B"/>
    <w:rsid w:val="00322C31"/>
    <w:rsid w:val="003235E4"/>
    <w:rsid w:val="0032383B"/>
    <w:rsid w:val="00324629"/>
    <w:rsid w:val="00324942"/>
    <w:rsid w:val="00325F10"/>
    <w:rsid w:val="0033180A"/>
    <w:rsid w:val="00332BD1"/>
    <w:rsid w:val="00334A04"/>
    <w:rsid w:val="00335ED9"/>
    <w:rsid w:val="00340404"/>
    <w:rsid w:val="00341B1F"/>
    <w:rsid w:val="00342232"/>
    <w:rsid w:val="00342F58"/>
    <w:rsid w:val="00344A42"/>
    <w:rsid w:val="00345847"/>
    <w:rsid w:val="00345904"/>
    <w:rsid w:val="00346DB2"/>
    <w:rsid w:val="00351E99"/>
    <w:rsid w:val="00351F3B"/>
    <w:rsid w:val="00352805"/>
    <w:rsid w:val="00352E10"/>
    <w:rsid w:val="003579BC"/>
    <w:rsid w:val="00361414"/>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793"/>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1E50"/>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7B4"/>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C59"/>
    <w:rsid w:val="0043640B"/>
    <w:rsid w:val="00436A23"/>
    <w:rsid w:val="00437A7F"/>
    <w:rsid w:val="00440C79"/>
    <w:rsid w:val="00441801"/>
    <w:rsid w:val="00441954"/>
    <w:rsid w:val="00441A24"/>
    <w:rsid w:val="00442C53"/>
    <w:rsid w:val="0044338F"/>
    <w:rsid w:val="004433DB"/>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9CC"/>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D7"/>
    <w:rsid w:val="005000FE"/>
    <w:rsid w:val="00500D41"/>
    <w:rsid w:val="00502660"/>
    <w:rsid w:val="00503685"/>
    <w:rsid w:val="00503FF3"/>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C69"/>
    <w:rsid w:val="00541D5A"/>
    <w:rsid w:val="00542A4C"/>
    <w:rsid w:val="00542B57"/>
    <w:rsid w:val="005448F9"/>
    <w:rsid w:val="0054527E"/>
    <w:rsid w:val="00545C97"/>
    <w:rsid w:val="00546111"/>
    <w:rsid w:val="0054631A"/>
    <w:rsid w:val="005474A7"/>
    <w:rsid w:val="00551078"/>
    <w:rsid w:val="005528D7"/>
    <w:rsid w:val="0055319A"/>
    <w:rsid w:val="00553290"/>
    <w:rsid w:val="00553A93"/>
    <w:rsid w:val="00553E41"/>
    <w:rsid w:val="00556ACF"/>
    <w:rsid w:val="00557A2E"/>
    <w:rsid w:val="005619A4"/>
    <w:rsid w:val="00563148"/>
    <w:rsid w:val="00564925"/>
    <w:rsid w:val="00565404"/>
    <w:rsid w:val="00565E6C"/>
    <w:rsid w:val="005663BA"/>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D7B35"/>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4B1"/>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515D"/>
    <w:rsid w:val="00617A49"/>
    <w:rsid w:val="00617E8B"/>
    <w:rsid w:val="00622901"/>
    <w:rsid w:val="00624406"/>
    <w:rsid w:val="0062494A"/>
    <w:rsid w:val="006253F1"/>
    <w:rsid w:val="006264B1"/>
    <w:rsid w:val="00630DAC"/>
    <w:rsid w:val="00630E1C"/>
    <w:rsid w:val="006319BA"/>
    <w:rsid w:val="00635980"/>
    <w:rsid w:val="00635F47"/>
    <w:rsid w:val="00636D4C"/>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56E2"/>
    <w:rsid w:val="00697A44"/>
    <w:rsid w:val="006A0505"/>
    <w:rsid w:val="006A40D6"/>
    <w:rsid w:val="006A46FB"/>
    <w:rsid w:val="006A6A8C"/>
    <w:rsid w:val="006B0BFF"/>
    <w:rsid w:val="006B1F13"/>
    <w:rsid w:val="006B21C1"/>
    <w:rsid w:val="006B31B9"/>
    <w:rsid w:val="006B60FB"/>
    <w:rsid w:val="006B7295"/>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1C73"/>
    <w:rsid w:val="006F2513"/>
    <w:rsid w:val="006F2C72"/>
    <w:rsid w:val="006F39A6"/>
    <w:rsid w:val="006F3A2A"/>
    <w:rsid w:val="006F3F3A"/>
    <w:rsid w:val="006F531B"/>
    <w:rsid w:val="006F603C"/>
    <w:rsid w:val="006F693C"/>
    <w:rsid w:val="006F6C13"/>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0411"/>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17A"/>
    <w:rsid w:val="00817230"/>
    <w:rsid w:val="008179F9"/>
    <w:rsid w:val="00817EC4"/>
    <w:rsid w:val="00820E2E"/>
    <w:rsid w:val="00821B77"/>
    <w:rsid w:val="008220F7"/>
    <w:rsid w:val="00822AF1"/>
    <w:rsid w:val="008249BE"/>
    <w:rsid w:val="00824A0D"/>
    <w:rsid w:val="00824BC4"/>
    <w:rsid w:val="00824F16"/>
    <w:rsid w:val="00825E64"/>
    <w:rsid w:val="00826376"/>
    <w:rsid w:val="00830B78"/>
    <w:rsid w:val="00831C73"/>
    <w:rsid w:val="00831ED5"/>
    <w:rsid w:val="00834CDA"/>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81711"/>
    <w:rsid w:val="008832F8"/>
    <w:rsid w:val="00883536"/>
    <w:rsid w:val="008858D1"/>
    <w:rsid w:val="00885EA5"/>
    <w:rsid w:val="00887614"/>
    <w:rsid w:val="0088773B"/>
    <w:rsid w:val="00887A46"/>
    <w:rsid w:val="008925CC"/>
    <w:rsid w:val="00892845"/>
    <w:rsid w:val="00892AFD"/>
    <w:rsid w:val="008931CC"/>
    <w:rsid w:val="00893375"/>
    <w:rsid w:val="0089490E"/>
    <w:rsid w:val="00894B3D"/>
    <w:rsid w:val="0089637E"/>
    <w:rsid w:val="00897744"/>
    <w:rsid w:val="008A26E2"/>
    <w:rsid w:val="008A397D"/>
    <w:rsid w:val="008A51F4"/>
    <w:rsid w:val="008A63E4"/>
    <w:rsid w:val="008A65F1"/>
    <w:rsid w:val="008A7C60"/>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2607"/>
    <w:rsid w:val="008E369E"/>
    <w:rsid w:val="008E4CA2"/>
    <w:rsid w:val="008E5AF8"/>
    <w:rsid w:val="008E6062"/>
    <w:rsid w:val="008E7329"/>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92B"/>
    <w:rsid w:val="0099727E"/>
    <w:rsid w:val="009A058E"/>
    <w:rsid w:val="009A12C4"/>
    <w:rsid w:val="009A36A4"/>
    <w:rsid w:val="009A4019"/>
    <w:rsid w:val="009A4BB3"/>
    <w:rsid w:val="009A530D"/>
    <w:rsid w:val="009A6363"/>
    <w:rsid w:val="009B0B41"/>
    <w:rsid w:val="009B1E73"/>
    <w:rsid w:val="009B2DCD"/>
    <w:rsid w:val="009B7A54"/>
    <w:rsid w:val="009B7D11"/>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0C5B"/>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3532"/>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6BE6"/>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54"/>
    <w:rsid w:val="00AE5977"/>
    <w:rsid w:val="00AE5C2B"/>
    <w:rsid w:val="00AE6164"/>
    <w:rsid w:val="00AE6616"/>
    <w:rsid w:val="00AE6F19"/>
    <w:rsid w:val="00AE7655"/>
    <w:rsid w:val="00AF3C23"/>
    <w:rsid w:val="00AF5109"/>
    <w:rsid w:val="00AF52B6"/>
    <w:rsid w:val="00AF68BD"/>
    <w:rsid w:val="00B01B10"/>
    <w:rsid w:val="00B02AB0"/>
    <w:rsid w:val="00B04E8A"/>
    <w:rsid w:val="00B10B2B"/>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563"/>
    <w:rsid w:val="00B35DF2"/>
    <w:rsid w:val="00B35EE6"/>
    <w:rsid w:val="00B36FE3"/>
    <w:rsid w:val="00B37C3B"/>
    <w:rsid w:val="00B423E7"/>
    <w:rsid w:val="00B42595"/>
    <w:rsid w:val="00B4311C"/>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735D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A6A"/>
    <w:rsid w:val="00BA3CBD"/>
    <w:rsid w:val="00BA4130"/>
    <w:rsid w:val="00BA42CD"/>
    <w:rsid w:val="00BA4971"/>
    <w:rsid w:val="00BA7D72"/>
    <w:rsid w:val="00BB0753"/>
    <w:rsid w:val="00BB18F2"/>
    <w:rsid w:val="00BB2C25"/>
    <w:rsid w:val="00BB3CAB"/>
    <w:rsid w:val="00BB3DBA"/>
    <w:rsid w:val="00BB43C6"/>
    <w:rsid w:val="00BB7602"/>
    <w:rsid w:val="00BC2661"/>
    <w:rsid w:val="00BC3ACB"/>
    <w:rsid w:val="00BC4133"/>
    <w:rsid w:val="00BC576C"/>
    <w:rsid w:val="00BD22EB"/>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5255"/>
    <w:rsid w:val="00C26D1F"/>
    <w:rsid w:val="00C302D0"/>
    <w:rsid w:val="00C3032B"/>
    <w:rsid w:val="00C30F62"/>
    <w:rsid w:val="00C319A5"/>
    <w:rsid w:val="00C32A3E"/>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C0A"/>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2C54"/>
    <w:rsid w:val="00D13FFA"/>
    <w:rsid w:val="00D17568"/>
    <w:rsid w:val="00D17776"/>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099"/>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A3"/>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49B2"/>
    <w:rsid w:val="00E0586F"/>
    <w:rsid w:val="00E05C4C"/>
    <w:rsid w:val="00E069B3"/>
    <w:rsid w:val="00E06CA9"/>
    <w:rsid w:val="00E06F34"/>
    <w:rsid w:val="00E07FCD"/>
    <w:rsid w:val="00E10EC6"/>
    <w:rsid w:val="00E12F79"/>
    <w:rsid w:val="00E132A6"/>
    <w:rsid w:val="00E15484"/>
    <w:rsid w:val="00E1552E"/>
    <w:rsid w:val="00E16597"/>
    <w:rsid w:val="00E167C1"/>
    <w:rsid w:val="00E16D48"/>
    <w:rsid w:val="00E20F22"/>
    <w:rsid w:val="00E216DE"/>
    <w:rsid w:val="00E22142"/>
    <w:rsid w:val="00E2234F"/>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6C6"/>
    <w:rsid w:val="00E41D2A"/>
    <w:rsid w:val="00E42F35"/>
    <w:rsid w:val="00E4480C"/>
    <w:rsid w:val="00E4542F"/>
    <w:rsid w:val="00E45622"/>
    <w:rsid w:val="00E51BC3"/>
    <w:rsid w:val="00E540F0"/>
    <w:rsid w:val="00E55D96"/>
    <w:rsid w:val="00E56672"/>
    <w:rsid w:val="00E568F2"/>
    <w:rsid w:val="00E608D4"/>
    <w:rsid w:val="00E60FDB"/>
    <w:rsid w:val="00E616DC"/>
    <w:rsid w:val="00E61ECC"/>
    <w:rsid w:val="00E6218F"/>
    <w:rsid w:val="00E644DA"/>
    <w:rsid w:val="00E64F4B"/>
    <w:rsid w:val="00E6792B"/>
    <w:rsid w:val="00E71425"/>
    <w:rsid w:val="00E71D1A"/>
    <w:rsid w:val="00E71F88"/>
    <w:rsid w:val="00E729DC"/>
    <w:rsid w:val="00E752BF"/>
    <w:rsid w:val="00E75FA0"/>
    <w:rsid w:val="00E772E6"/>
    <w:rsid w:val="00E80C7D"/>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1A9D"/>
    <w:rsid w:val="00EA2217"/>
    <w:rsid w:val="00EA2767"/>
    <w:rsid w:val="00EA38E9"/>
    <w:rsid w:val="00EA56B7"/>
    <w:rsid w:val="00EA5D39"/>
    <w:rsid w:val="00EA6298"/>
    <w:rsid w:val="00EA768F"/>
    <w:rsid w:val="00EB1143"/>
    <w:rsid w:val="00EB2789"/>
    <w:rsid w:val="00EB4180"/>
    <w:rsid w:val="00EB52B6"/>
    <w:rsid w:val="00EB52D2"/>
    <w:rsid w:val="00EB721A"/>
    <w:rsid w:val="00EC1B66"/>
    <w:rsid w:val="00EC2DC6"/>
    <w:rsid w:val="00EC5511"/>
    <w:rsid w:val="00EC5930"/>
    <w:rsid w:val="00EC6508"/>
    <w:rsid w:val="00EC689A"/>
    <w:rsid w:val="00EC77F3"/>
    <w:rsid w:val="00ED0855"/>
    <w:rsid w:val="00ED10BC"/>
    <w:rsid w:val="00ED1115"/>
    <w:rsid w:val="00ED1EA3"/>
    <w:rsid w:val="00ED2B34"/>
    <w:rsid w:val="00ED45F2"/>
    <w:rsid w:val="00ED5F16"/>
    <w:rsid w:val="00ED64F6"/>
    <w:rsid w:val="00ED6BBC"/>
    <w:rsid w:val="00EE2A56"/>
    <w:rsid w:val="00EE2F55"/>
    <w:rsid w:val="00EE4775"/>
    <w:rsid w:val="00EE533C"/>
    <w:rsid w:val="00EE61AB"/>
    <w:rsid w:val="00EF1390"/>
    <w:rsid w:val="00EF205B"/>
    <w:rsid w:val="00EF2926"/>
    <w:rsid w:val="00EF3F43"/>
    <w:rsid w:val="00EF5CEE"/>
    <w:rsid w:val="00F00797"/>
    <w:rsid w:val="00F020C5"/>
    <w:rsid w:val="00F026F8"/>
    <w:rsid w:val="00F02D71"/>
    <w:rsid w:val="00F02DA0"/>
    <w:rsid w:val="00F037A1"/>
    <w:rsid w:val="00F03D0B"/>
    <w:rsid w:val="00F0416A"/>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0E44"/>
    <w:rsid w:val="00F624D8"/>
    <w:rsid w:val="00F64E04"/>
    <w:rsid w:val="00F65A4E"/>
    <w:rsid w:val="00F67E04"/>
    <w:rsid w:val="00F7258A"/>
    <w:rsid w:val="00F72D18"/>
    <w:rsid w:val="00F73F6F"/>
    <w:rsid w:val="00F7451A"/>
    <w:rsid w:val="00F74655"/>
    <w:rsid w:val="00F75623"/>
    <w:rsid w:val="00F810CE"/>
    <w:rsid w:val="00F817D4"/>
    <w:rsid w:val="00F820A6"/>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1B5"/>
    <w:rsid w:val="00FA34F4"/>
    <w:rsid w:val="00FA4460"/>
    <w:rsid w:val="00FA4EB4"/>
    <w:rsid w:val="00FA6239"/>
    <w:rsid w:val="00FA6763"/>
    <w:rsid w:val="00FA6A26"/>
    <w:rsid w:val="00FA7DEC"/>
    <w:rsid w:val="00FB0532"/>
    <w:rsid w:val="00FB1BFB"/>
    <w:rsid w:val="00FB1E1E"/>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4821C6"/>
    <w:rsid w:val="01576ABD"/>
    <w:rsid w:val="01812AFE"/>
    <w:rsid w:val="018B6571"/>
    <w:rsid w:val="019B1D94"/>
    <w:rsid w:val="019B7755"/>
    <w:rsid w:val="01EB5578"/>
    <w:rsid w:val="023422F4"/>
    <w:rsid w:val="03724FEE"/>
    <w:rsid w:val="03C422C7"/>
    <w:rsid w:val="03FA3183"/>
    <w:rsid w:val="048242F0"/>
    <w:rsid w:val="04883724"/>
    <w:rsid w:val="049D7172"/>
    <w:rsid w:val="049F5EF2"/>
    <w:rsid w:val="04E974DA"/>
    <w:rsid w:val="04F7089D"/>
    <w:rsid w:val="05041983"/>
    <w:rsid w:val="0534701B"/>
    <w:rsid w:val="05461627"/>
    <w:rsid w:val="056B76BE"/>
    <w:rsid w:val="058F3BA2"/>
    <w:rsid w:val="05D519A7"/>
    <w:rsid w:val="05FB1C69"/>
    <w:rsid w:val="06433AEB"/>
    <w:rsid w:val="06696BCC"/>
    <w:rsid w:val="067E63E6"/>
    <w:rsid w:val="070F651D"/>
    <w:rsid w:val="0770126C"/>
    <w:rsid w:val="077C5B46"/>
    <w:rsid w:val="08033467"/>
    <w:rsid w:val="081B329A"/>
    <w:rsid w:val="083E12E4"/>
    <w:rsid w:val="087D7AAF"/>
    <w:rsid w:val="08A66DB8"/>
    <w:rsid w:val="091B5416"/>
    <w:rsid w:val="094238A8"/>
    <w:rsid w:val="09BB152A"/>
    <w:rsid w:val="09F053C5"/>
    <w:rsid w:val="0A7F0777"/>
    <w:rsid w:val="0ABD6A6C"/>
    <w:rsid w:val="0ACE1FD4"/>
    <w:rsid w:val="0AD25B65"/>
    <w:rsid w:val="0AFC04FA"/>
    <w:rsid w:val="0B3D117D"/>
    <w:rsid w:val="0B5B0956"/>
    <w:rsid w:val="0B615276"/>
    <w:rsid w:val="0C2B3041"/>
    <w:rsid w:val="0C2F3001"/>
    <w:rsid w:val="0C484FED"/>
    <w:rsid w:val="0C800921"/>
    <w:rsid w:val="0CBE0CFB"/>
    <w:rsid w:val="0D346416"/>
    <w:rsid w:val="0D392285"/>
    <w:rsid w:val="0D5F453C"/>
    <w:rsid w:val="0D94264E"/>
    <w:rsid w:val="0E605569"/>
    <w:rsid w:val="0E734F17"/>
    <w:rsid w:val="0E873196"/>
    <w:rsid w:val="0E8914FD"/>
    <w:rsid w:val="0EC56C10"/>
    <w:rsid w:val="0F182F7D"/>
    <w:rsid w:val="0F1D5CF6"/>
    <w:rsid w:val="0F675C91"/>
    <w:rsid w:val="0F821AAA"/>
    <w:rsid w:val="0FC36169"/>
    <w:rsid w:val="0FF57B36"/>
    <w:rsid w:val="10071104"/>
    <w:rsid w:val="1139398C"/>
    <w:rsid w:val="116C7B32"/>
    <w:rsid w:val="11D70660"/>
    <w:rsid w:val="11EE0AA9"/>
    <w:rsid w:val="133468D7"/>
    <w:rsid w:val="134F7328"/>
    <w:rsid w:val="136F13DE"/>
    <w:rsid w:val="1391283A"/>
    <w:rsid w:val="13997BF1"/>
    <w:rsid w:val="13C8452A"/>
    <w:rsid w:val="14953F46"/>
    <w:rsid w:val="14E31443"/>
    <w:rsid w:val="14EB4496"/>
    <w:rsid w:val="157210B5"/>
    <w:rsid w:val="159C7D85"/>
    <w:rsid w:val="15B06D07"/>
    <w:rsid w:val="15C604B3"/>
    <w:rsid w:val="164F0E68"/>
    <w:rsid w:val="167F4EF3"/>
    <w:rsid w:val="169B155F"/>
    <w:rsid w:val="174710BA"/>
    <w:rsid w:val="17604597"/>
    <w:rsid w:val="17F34B63"/>
    <w:rsid w:val="181333F0"/>
    <w:rsid w:val="182D2D90"/>
    <w:rsid w:val="18401F66"/>
    <w:rsid w:val="187A40C2"/>
    <w:rsid w:val="18830F49"/>
    <w:rsid w:val="188B53A8"/>
    <w:rsid w:val="18B50FD8"/>
    <w:rsid w:val="19CF0D58"/>
    <w:rsid w:val="19DA1365"/>
    <w:rsid w:val="1A2C25A2"/>
    <w:rsid w:val="1A3A36BE"/>
    <w:rsid w:val="1A6E1B0B"/>
    <w:rsid w:val="1A803546"/>
    <w:rsid w:val="1B187039"/>
    <w:rsid w:val="1B1D61C5"/>
    <w:rsid w:val="1B295F9F"/>
    <w:rsid w:val="1B63518C"/>
    <w:rsid w:val="1B923D78"/>
    <w:rsid w:val="1B997F1D"/>
    <w:rsid w:val="1C193B93"/>
    <w:rsid w:val="1C400C83"/>
    <w:rsid w:val="1C796734"/>
    <w:rsid w:val="1CE1373B"/>
    <w:rsid w:val="1CFF2ABB"/>
    <w:rsid w:val="1D0A4A67"/>
    <w:rsid w:val="1D12680E"/>
    <w:rsid w:val="1D270BA4"/>
    <w:rsid w:val="1D506DF7"/>
    <w:rsid w:val="1D6046DD"/>
    <w:rsid w:val="1DF934E6"/>
    <w:rsid w:val="1E6132AA"/>
    <w:rsid w:val="1F2332A4"/>
    <w:rsid w:val="1F397219"/>
    <w:rsid w:val="1F4829E7"/>
    <w:rsid w:val="1FD8712F"/>
    <w:rsid w:val="1FF43B28"/>
    <w:rsid w:val="201A0395"/>
    <w:rsid w:val="20656268"/>
    <w:rsid w:val="208D7DCE"/>
    <w:rsid w:val="20D76DBF"/>
    <w:rsid w:val="21961CCF"/>
    <w:rsid w:val="21C70C5A"/>
    <w:rsid w:val="21D90E22"/>
    <w:rsid w:val="21FC2C02"/>
    <w:rsid w:val="2245413D"/>
    <w:rsid w:val="226544A2"/>
    <w:rsid w:val="22731DC0"/>
    <w:rsid w:val="22C012FC"/>
    <w:rsid w:val="23AE15CF"/>
    <w:rsid w:val="24153844"/>
    <w:rsid w:val="24452780"/>
    <w:rsid w:val="2476735E"/>
    <w:rsid w:val="24BB5EC8"/>
    <w:rsid w:val="24EE1A24"/>
    <w:rsid w:val="25370F70"/>
    <w:rsid w:val="25AD24BA"/>
    <w:rsid w:val="260955B5"/>
    <w:rsid w:val="26B26CAF"/>
    <w:rsid w:val="26D05974"/>
    <w:rsid w:val="26E04F08"/>
    <w:rsid w:val="27BB4DBE"/>
    <w:rsid w:val="27E00021"/>
    <w:rsid w:val="28527B50"/>
    <w:rsid w:val="286E4962"/>
    <w:rsid w:val="286F3CA8"/>
    <w:rsid w:val="28750548"/>
    <w:rsid w:val="28AD3B3F"/>
    <w:rsid w:val="28B571EC"/>
    <w:rsid w:val="28BA35E1"/>
    <w:rsid w:val="28CE0E04"/>
    <w:rsid w:val="292F0EBE"/>
    <w:rsid w:val="294B60C7"/>
    <w:rsid w:val="29631B3B"/>
    <w:rsid w:val="29B23CF2"/>
    <w:rsid w:val="2A3C67A3"/>
    <w:rsid w:val="2A7F04BA"/>
    <w:rsid w:val="2A8E0150"/>
    <w:rsid w:val="2AD36FC6"/>
    <w:rsid w:val="2B0B7C1E"/>
    <w:rsid w:val="2B2646E3"/>
    <w:rsid w:val="2B287800"/>
    <w:rsid w:val="2B3D64A8"/>
    <w:rsid w:val="2B4760F0"/>
    <w:rsid w:val="2B67117E"/>
    <w:rsid w:val="2B8F5049"/>
    <w:rsid w:val="2BAE54D0"/>
    <w:rsid w:val="2BFD78FE"/>
    <w:rsid w:val="2C2C27D0"/>
    <w:rsid w:val="2C4D5AB6"/>
    <w:rsid w:val="2CB86E7B"/>
    <w:rsid w:val="2CC1525D"/>
    <w:rsid w:val="2CFD4C45"/>
    <w:rsid w:val="2D153425"/>
    <w:rsid w:val="2DB5222C"/>
    <w:rsid w:val="2DEA4E74"/>
    <w:rsid w:val="2E0F0208"/>
    <w:rsid w:val="2E155F8F"/>
    <w:rsid w:val="2E68132B"/>
    <w:rsid w:val="2E8A0D4B"/>
    <w:rsid w:val="2EAE11CA"/>
    <w:rsid w:val="2F025ABF"/>
    <w:rsid w:val="2F324314"/>
    <w:rsid w:val="2F4F008F"/>
    <w:rsid w:val="2FB00721"/>
    <w:rsid w:val="300B1D1C"/>
    <w:rsid w:val="30267ABC"/>
    <w:rsid w:val="30735F86"/>
    <w:rsid w:val="31980836"/>
    <w:rsid w:val="31EE6AA5"/>
    <w:rsid w:val="32686C53"/>
    <w:rsid w:val="32713E4D"/>
    <w:rsid w:val="32B44AEC"/>
    <w:rsid w:val="33057C0C"/>
    <w:rsid w:val="3319092F"/>
    <w:rsid w:val="33420677"/>
    <w:rsid w:val="33AF653A"/>
    <w:rsid w:val="34231F71"/>
    <w:rsid w:val="34385D3A"/>
    <w:rsid w:val="34C9440B"/>
    <w:rsid w:val="34E60A44"/>
    <w:rsid w:val="34F7603D"/>
    <w:rsid w:val="3514229D"/>
    <w:rsid w:val="352855F9"/>
    <w:rsid w:val="35582A1F"/>
    <w:rsid w:val="35724C62"/>
    <w:rsid w:val="35843EDA"/>
    <w:rsid w:val="35972735"/>
    <w:rsid w:val="35E67CB4"/>
    <w:rsid w:val="35EF58C2"/>
    <w:rsid w:val="36D839EB"/>
    <w:rsid w:val="36FD13A5"/>
    <w:rsid w:val="370D5872"/>
    <w:rsid w:val="372E2058"/>
    <w:rsid w:val="3762697B"/>
    <w:rsid w:val="37A70734"/>
    <w:rsid w:val="37FD65F4"/>
    <w:rsid w:val="38674A31"/>
    <w:rsid w:val="38BA4900"/>
    <w:rsid w:val="38E847DE"/>
    <w:rsid w:val="395313AE"/>
    <w:rsid w:val="395D4C49"/>
    <w:rsid w:val="39643681"/>
    <w:rsid w:val="399033E4"/>
    <w:rsid w:val="3AA74BCC"/>
    <w:rsid w:val="3AC223D0"/>
    <w:rsid w:val="3CE82FBB"/>
    <w:rsid w:val="3D83088D"/>
    <w:rsid w:val="3DDD70C8"/>
    <w:rsid w:val="3E486B35"/>
    <w:rsid w:val="3E6F6022"/>
    <w:rsid w:val="3E965FE6"/>
    <w:rsid w:val="3EF56989"/>
    <w:rsid w:val="3FA95E49"/>
    <w:rsid w:val="3FAC52B4"/>
    <w:rsid w:val="3FCA3651"/>
    <w:rsid w:val="3FE25458"/>
    <w:rsid w:val="3FF53731"/>
    <w:rsid w:val="400820E4"/>
    <w:rsid w:val="40587069"/>
    <w:rsid w:val="405C1B2B"/>
    <w:rsid w:val="40CF5B8C"/>
    <w:rsid w:val="412313AB"/>
    <w:rsid w:val="413D03AD"/>
    <w:rsid w:val="418B3855"/>
    <w:rsid w:val="41A73CF2"/>
    <w:rsid w:val="41EA15A1"/>
    <w:rsid w:val="425C17DB"/>
    <w:rsid w:val="43457CD0"/>
    <w:rsid w:val="43597A08"/>
    <w:rsid w:val="43CF10BB"/>
    <w:rsid w:val="43D344C2"/>
    <w:rsid w:val="43EB1976"/>
    <w:rsid w:val="44251122"/>
    <w:rsid w:val="442F03C7"/>
    <w:rsid w:val="448A15AC"/>
    <w:rsid w:val="4499034E"/>
    <w:rsid w:val="44AF5BC5"/>
    <w:rsid w:val="44BA45A0"/>
    <w:rsid w:val="45633C56"/>
    <w:rsid w:val="4565137E"/>
    <w:rsid w:val="45673B80"/>
    <w:rsid w:val="457C4D73"/>
    <w:rsid w:val="45B12ADE"/>
    <w:rsid w:val="45B70603"/>
    <w:rsid w:val="45C546EB"/>
    <w:rsid w:val="45CB2529"/>
    <w:rsid w:val="463456AD"/>
    <w:rsid w:val="46494644"/>
    <w:rsid w:val="4676656D"/>
    <w:rsid w:val="4686149D"/>
    <w:rsid w:val="47057118"/>
    <w:rsid w:val="47114604"/>
    <w:rsid w:val="4746519E"/>
    <w:rsid w:val="47A81F57"/>
    <w:rsid w:val="47C63D61"/>
    <w:rsid w:val="480E5787"/>
    <w:rsid w:val="482D462B"/>
    <w:rsid w:val="483917D8"/>
    <w:rsid w:val="48583545"/>
    <w:rsid w:val="48EA5D7C"/>
    <w:rsid w:val="48F86DB3"/>
    <w:rsid w:val="490E0776"/>
    <w:rsid w:val="4959101C"/>
    <w:rsid w:val="495A3810"/>
    <w:rsid w:val="496D7A4E"/>
    <w:rsid w:val="4A6F292F"/>
    <w:rsid w:val="4AC971AB"/>
    <w:rsid w:val="4B176D40"/>
    <w:rsid w:val="4B21138C"/>
    <w:rsid w:val="4B3E39BE"/>
    <w:rsid w:val="4B512132"/>
    <w:rsid w:val="4B84142F"/>
    <w:rsid w:val="4B8514E2"/>
    <w:rsid w:val="4B8E6482"/>
    <w:rsid w:val="4B935F5E"/>
    <w:rsid w:val="4BA86C77"/>
    <w:rsid w:val="4BAD343B"/>
    <w:rsid w:val="4BD55E88"/>
    <w:rsid w:val="4C31669B"/>
    <w:rsid w:val="4CA131F5"/>
    <w:rsid w:val="4CBB0C0F"/>
    <w:rsid w:val="4CBB3F66"/>
    <w:rsid w:val="4CD67C25"/>
    <w:rsid w:val="4CE0356B"/>
    <w:rsid w:val="4CEA266D"/>
    <w:rsid w:val="4D203025"/>
    <w:rsid w:val="4D3A2816"/>
    <w:rsid w:val="4D49627C"/>
    <w:rsid w:val="4D575196"/>
    <w:rsid w:val="4D5B136F"/>
    <w:rsid w:val="4DB13B51"/>
    <w:rsid w:val="4E052FF3"/>
    <w:rsid w:val="4E581414"/>
    <w:rsid w:val="4E867C57"/>
    <w:rsid w:val="4EAC42BA"/>
    <w:rsid w:val="4EC61722"/>
    <w:rsid w:val="4EF25A56"/>
    <w:rsid w:val="4EFD2979"/>
    <w:rsid w:val="4F0339E9"/>
    <w:rsid w:val="4F5805B7"/>
    <w:rsid w:val="4FA56852"/>
    <w:rsid w:val="4FD447CA"/>
    <w:rsid w:val="4FE76125"/>
    <w:rsid w:val="500E069D"/>
    <w:rsid w:val="501F3C56"/>
    <w:rsid w:val="504B0D2A"/>
    <w:rsid w:val="507D7F69"/>
    <w:rsid w:val="50844A28"/>
    <w:rsid w:val="508732A4"/>
    <w:rsid w:val="50924E1C"/>
    <w:rsid w:val="50D37123"/>
    <w:rsid w:val="50FE65AF"/>
    <w:rsid w:val="5148664F"/>
    <w:rsid w:val="51517F82"/>
    <w:rsid w:val="51582AB0"/>
    <w:rsid w:val="51715B7D"/>
    <w:rsid w:val="51B35D06"/>
    <w:rsid w:val="52120754"/>
    <w:rsid w:val="521E5D3E"/>
    <w:rsid w:val="523772A8"/>
    <w:rsid w:val="52A16AF5"/>
    <w:rsid w:val="52EB691E"/>
    <w:rsid w:val="533C4101"/>
    <w:rsid w:val="53406D6E"/>
    <w:rsid w:val="5360758D"/>
    <w:rsid w:val="53810B7D"/>
    <w:rsid w:val="538D4CEF"/>
    <w:rsid w:val="540A3C2D"/>
    <w:rsid w:val="549827E2"/>
    <w:rsid w:val="54BE3E50"/>
    <w:rsid w:val="552C4074"/>
    <w:rsid w:val="55543506"/>
    <w:rsid w:val="55E73DD8"/>
    <w:rsid w:val="56745163"/>
    <w:rsid w:val="56D468E6"/>
    <w:rsid w:val="572802DD"/>
    <w:rsid w:val="57594DCD"/>
    <w:rsid w:val="575F7647"/>
    <w:rsid w:val="58335AF0"/>
    <w:rsid w:val="5846248E"/>
    <w:rsid w:val="58AF4978"/>
    <w:rsid w:val="58C033CE"/>
    <w:rsid w:val="599300A4"/>
    <w:rsid w:val="59AD2397"/>
    <w:rsid w:val="59B97E0C"/>
    <w:rsid w:val="59F97904"/>
    <w:rsid w:val="5A0A5659"/>
    <w:rsid w:val="5A134E1A"/>
    <w:rsid w:val="5A2A6C76"/>
    <w:rsid w:val="5B3062C5"/>
    <w:rsid w:val="5B383293"/>
    <w:rsid w:val="5B440500"/>
    <w:rsid w:val="5B5B4D97"/>
    <w:rsid w:val="5BC67E37"/>
    <w:rsid w:val="5C030C23"/>
    <w:rsid w:val="5C52377A"/>
    <w:rsid w:val="5C6952DC"/>
    <w:rsid w:val="5C712215"/>
    <w:rsid w:val="5C7448D6"/>
    <w:rsid w:val="5CCD0D34"/>
    <w:rsid w:val="5D962792"/>
    <w:rsid w:val="5E630A1D"/>
    <w:rsid w:val="5ECF64BA"/>
    <w:rsid w:val="5EF46448"/>
    <w:rsid w:val="5F1F4156"/>
    <w:rsid w:val="5F2A67AD"/>
    <w:rsid w:val="5F7161D6"/>
    <w:rsid w:val="5F8616F3"/>
    <w:rsid w:val="5FD52B2C"/>
    <w:rsid w:val="5FEA4A16"/>
    <w:rsid w:val="5FF34205"/>
    <w:rsid w:val="60291D7E"/>
    <w:rsid w:val="603A3320"/>
    <w:rsid w:val="603A68D6"/>
    <w:rsid w:val="608C273A"/>
    <w:rsid w:val="60AE539B"/>
    <w:rsid w:val="60C335BA"/>
    <w:rsid w:val="61667C5A"/>
    <w:rsid w:val="61723B8F"/>
    <w:rsid w:val="61EE3191"/>
    <w:rsid w:val="621E5DAE"/>
    <w:rsid w:val="622861EC"/>
    <w:rsid w:val="6242262E"/>
    <w:rsid w:val="62524694"/>
    <w:rsid w:val="62B21AEC"/>
    <w:rsid w:val="62EA62F1"/>
    <w:rsid w:val="63325F0C"/>
    <w:rsid w:val="634214E5"/>
    <w:rsid w:val="634B5F3E"/>
    <w:rsid w:val="63565D6A"/>
    <w:rsid w:val="6378506D"/>
    <w:rsid w:val="640338E0"/>
    <w:rsid w:val="64044454"/>
    <w:rsid w:val="642433C4"/>
    <w:rsid w:val="644249F5"/>
    <w:rsid w:val="646F071B"/>
    <w:rsid w:val="64A46032"/>
    <w:rsid w:val="64F879AA"/>
    <w:rsid w:val="652F753D"/>
    <w:rsid w:val="65D57E79"/>
    <w:rsid w:val="65EE0A1B"/>
    <w:rsid w:val="665145F9"/>
    <w:rsid w:val="66694B58"/>
    <w:rsid w:val="66763EF6"/>
    <w:rsid w:val="667F3A40"/>
    <w:rsid w:val="668B50DD"/>
    <w:rsid w:val="668C4063"/>
    <w:rsid w:val="66C07DED"/>
    <w:rsid w:val="66F3192B"/>
    <w:rsid w:val="67BF47BB"/>
    <w:rsid w:val="67C859BD"/>
    <w:rsid w:val="67DA6F1C"/>
    <w:rsid w:val="6866484B"/>
    <w:rsid w:val="687B707C"/>
    <w:rsid w:val="68D839EB"/>
    <w:rsid w:val="68F84692"/>
    <w:rsid w:val="696D2D10"/>
    <w:rsid w:val="697911DE"/>
    <w:rsid w:val="69D542DE"/>
    <w:rsid w:val="69EC1515"/>
    <w:rsid w:val="6A0C3B38"/>
    <w:rsid w:val="6A23352E"/>
    <w:rsid w:val="6A744960"/>
    <w:rsid w:val="6AB47C8D"/>
    <w:rsid w:val="6AB60508"/>
    <w:rsid w:val="6B3A5606"/>
    <w:rsid w:val="6B3D4289"/>
    <w:rsid w:val="6B442B79"/>
    <w:rsid w:val="6BD805F0"/>
    <w:rsid w:val="6BFF0A16"/>
    <w:rsid w:val="6C3A7B26"/>
    <w:rsid w:val="6C4344DE"/>
    <w:rsid w:val="6C510782"/>
    <w:rsid w:val="6CAB0A3F"/>
    <w:rsid w:val="6CB56DF3"/>
    <w:rsid w:val="6CC61C13"/>
    <w:rsid w:val="6CC75E5E"/>
    <w:rsid w:val="6D176B70"/>
    <w:rsid w:val="6DB73D87"/>
    <w:rsid w:val="6DC7653D"/>
    <w:rsid w:val="6DD8272B"/>
    <w:rsid w:val="6DE01A51"/>
    <w:rsid w:val="6E074004"/>
    <w:rsid w:val="6E1663AA"/>
    <w:rsid w:val="6E274297"/>
    <w:rsid w:val="6E460411"/>
    <w:rsid w:val="6E555BD4"/>
    <w:rsid w:val="6EA6109E"/>
    <w:rsid w:val="6EFA1DB6"/>
    <w:rsid w:val="6F103B49"/>
    <w:rsid w:val="6F4604CF"/>
    <w:rsid w:val="6F8C2264"/>
    <w:rsid w:val="6FAD27B0"/>
    <w:rsid w:val="6FC578B1"/>
    <w:rsid w:val="6FD1164D"/>
    <w:rsid w:val="6FED7A2D"/>
    <w:rsid w:val="700159C0"/>
    <w:rsid w:val="70025E0A"/>
    <w:rsid w:val="70744951"/>
    <w:rsid w:val="716909C9"/>
    <w:rsid w:val="718E5DDD"/>
    <w:rsid w:val="71D030CF"/>
    <w:rsid w:val="71E1607F"/>
    <w:rsid w:val="729D0A6D"/>
    <w:rsid w:val="72ED71AA"/>
    <w:rsid w:val="738F1F88"/>
    <w:rsid w:val="73E65C40"/>
    <w:rsid w:val="74250B23"/>
    <w:rsid w:val="74566356"/>
    <w:rsid w:val="74680933"/>
    <w:rsid w:val="74A661CE"/>
    <w:rsid w:val="759006C1"/>
    <w:rsid w:val="75D22AB2"/>
    <w:rsid w:val="76307C12"/>
    <w:rsid w:val="76481DD7"/>
    <w:rsid w:val="769F7B3A"/>
    <w:rsid w:val="76CB632A"/>
    <w:rsid w:val="771C5405"/>
    <w:rsid w:val="773658B5"/>
    <w:rsid w:val="77B33FD9"/>
    <w:rsid w:val="77B40252"/>
    <w:rsid w:val="77DB461E"/>
    <w:rsid w:val="785315EB"/>
    <w:rsid w:val="785D2536"/>
    <w:rsid w:val="78B20803"/>
    <w:rsid w:val="793B5309"/>
    <w:rsid w:val="79804242"/>
    <w:rsid w:val="79964FD8"/>
    <w:rsid w:val="79A66571"/>
    <w:rsid w:val="79C81A99"/>
    <w:rsid w:val="79FA523C"/>
    <w:rsid w:val="7A005074"/>
    <w:rsid w:val="7A71796A"/>
    <w:rsid w:val="7AA4445D"/>
    <w:rsid w:val="7B295638"/>
    <w:rsid w:val="7B467F15"/>
    <w:rsid w:val="7B691D31"/>
    <w:rsid w:val="7C3C54A2"/>
    <w:rsid w:val="7C9C3DC1"/>
    <w:rsid w:val="7CBF2D2E"/>
    <w:rsid w:val="7CC6252B"/>
    <w:rsid w:val="7CFA4262"/>
    <w:rsid w:val="7D351F2C"/>
    <w:rsid w:val="7D79150D"/>
    <w:rsid w:val="7D8A0E2F"/>
    <w:rsid w:val="7DD45885"/>
    <w:rsid w:val="7DE70BA0"/>
    <w:rsid w:val="7DEE756A"/>
    <w:rsid w:val="7E3257B0"/>
    <w:rsid w:val="7E4457C7"/>
    <w:rsid w:val="7E516435"/>
    <w:rsid w:val="7ED22D81"/>
    <w:rsid w:val="7F003DB1"/>
    <w:rsid w:val="7FBE59C7"/>
    <w:rsid w:val="7FDA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70"/>
    <w:qFormat/>
    <w:uiPriority w:val="0"/>
    <w:pPr>
      <w:keepNext/>
      <w:keepLines/>
      <w:spacing w:before="260" w:after="260" w:line="416" w:lineRule="auto"/>
      <w:outlineLvl w:val="2"/>
    </w:pPr>
    <w:rPr>
      <w:b/>
      <w:bCs/>
      <w:sz w:val="32"/>
      <w:szCs w:val="32"/>
    </w:rPr>
  </w:style>
  <w:style w:type="paragraph" w:styleId="2">
    <w:name w:val="heading 4"/>
    <w:basedOn w:val="1"/>
    <w:next w:val="1"/>
    <w:link w:val="7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78"/>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Emphasis"/>
    <w:basedOn w:val="46"/>
    <w:qFormat/>
    <w:uiPriority w:val="0"/>
  </w:style>
  <w:style w:type="character" w:styleId="51">
    <w:name w:val="HTML Definition"/>
    <w:basedOn w:val="46"/>
    <w:qFormat/>
    <w:uiPriority w:val="0"/>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basedOn w:val="46"/>
    <w:qFormat/>
    <w:uiPriority w:val="0"/>
  </w:style>
  <w:style w:type="character" w:styleId="55">
    <w:name w:val="Hyperlink"/>
    <w:qFormat/>
    <w:uiPriority w:val="0"/>
    <w:rPr>
      <w:rFonts w:hint="eastAsia" w:ascii="仿宋_GB2312" w:eastAsia="仿宋_GB2312" w:cs="仿宋_GB2312"/>
      <w:color w:val="7A4EA7"/>
      <w:u w:val="none"/>
    </w:rPr>
  </w:style>
  <w:style w:type="character" w:styleId="56">
    <w:name w:val="HTML Code"/>
    <w:basedOn w:val="46"/>
    <w:qFormat/>
    <w:uiPriority w:val="0"/>
    <w:rPr>
      <w:rFonts w:hint="default" w:ascii="monospace" w:hAnsi="monospace" w:eastAsia="monospace" w:cs="monospace"/>
      <w:sz w:val="20"/>
    </w:rPr>
  </w:style>
  <w:style w:type="character" w:styleId="57">
    <w:name w:val="annotation reference"/>
    <w:semiHidden/>
    <w:qFormat/>
    <w:uiPriority w:val="0"/>
    <w:rPr>
      <w:sz w:val="21"/>
      <w:szCs w:val="21"/>
    </w:rPr>
  </w:style>
  <w:style w:type="character" w:styleId="58">
    <w:name w:val="HTML Cite"/>
    <w:basedOn w:val="46"/>
    <w:qFormat/>
    <w:uiPriority w:val="0"/>
  </w:style>
  <w:style w:type="character" w:styleId="59">
    <w:name w:val="HTML Keyboard"/>
    <w:basedOn w:val="46"/>
    <w:qFormat/>
    <w:uiPriority w:val="0"/>
    <w:rPr>
      <w:rFonts w:hint="default" w:ascii="monospace" w:hAnsi="monospace" w:eastAsia="monospace" w:cs="monospace"/>
      <w:sz w:val="20"/>
    </w:rPr>
  </w:style>
  <w:style w:type="character" w:styleId="60">
    <w:name w:val="HTML Sample"/>
    <w:basedOn w:val="46"/>
    <w:qFormat/>
    <w:uiPriority w:val="0"/>
    <w:rPr>
      <w:rFonts w:ascii="monospace" w:hAnsi="monospace" w:eastAsia="monospace" w:cs="monospace"/>
    </w:rPr>
  </w:style>
  <w:style w:type="character" w:customStyle="1" w:styleId="61">
    <w:name w:val="二级目录 Char"/>
    <w:link w:val="62"/>
    <w:qFormat/>
    <w:uiPriority w:val="0"/>
    <w:rPr>
      <w:rFonts w:ascii="Times New Roman" w:hAnsi="Times New Roman"/>
      <w:b/>
      <w:kern w:val="2"/>
      <w:sz w:val="30"/>
      <w:szCs w:val="28"/>
    </w:rPr>
  </w:style>
  <w:style w:type="paragraph" w:customStyle="1" w:styleId="62">
    <w:name w:val="二级目录"/>
    <w:next w:val="1"/>
    <w:link w:val="61"/>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3">
    <w:name w:val="font61"/>
    <w:qFormat/>
    <w:uiPriority w:val="0"/>
    <w:rPr>
      <w:rFonts w:hint="eastAsia" w:ascii="宋体" w:hAnsi="宋体" w:eastAsia="宋体" w:cs="宋体"/>
      <w:color w:val="000000"/>
      <w:sz w:val="18"/>
      <w:szCs w:val="18"/>
      <w:u w:val="none"/>
    </w:rPr>
  </w:style>
  <w:style w:type="character" w:customStyle="1" w:styleId="64">
    <w:name w:val="font81"/>
    <w:qFormat/>
    <w:uiPriority w:val="0"/>
    <w:rPr>
      <w:rFonts w:hint="eastAsia" w:ascii="宋体" w:hAnsi="宋体" w:eastAsia="宋体" w:cs="宋体"/>
      <w:b/>
      <w:color w:val="000000"/>
      <w:sz w:val="24"/>
      <w:szCs w:val="24"/>
      <w:u w:val="single"/>
    </w:rPr>
  </w:style>
  <w:style w:type="character" w:customStyle="1" w:styleId="65">
    <w:name w:val="正文缩进 Char"/>
    <w:link w:val="5"/>
    <w:qFormat/>
    <w:uiPriority w:val="0"/>
    <w:rPr>
      <w:kern w:val="2"/>
      <w:sz w:val="21"/>
      <w:szCs w:val="21"/>
    </w:rPr>
  </w:style>
  <w:style w:type="character" w:customStyle="1" w:styleId="66">
    <w:name w:val="HTML 预设格式 Char"/>
    <w:link w:val="38"/>
    <w:qFormat/>
    <w:uiPriority w:val="0"/>
    <w:rPr>
      <w:rFonts w:ascii="黑体" w:hAnsi="Courier New" w:eastAsia="黑体"/>
    </w:rPr>
  </w:style>
  <w:style w:type="character" w:customStyle="1" w:styleId="67">
    <w:name w:val="font5 Char"/>
    <w:qFormat/>
    <w:uiPriority w:val="0"/>
    <w:rPr>
      <w:rFonts w:ascii="宋体" w:hAnsi="宋体" w:eastAsia="宋体"/>
      <w:sz w:val="28"/>
      <w:szCs w:val="28"/>
      <w:lang w:val="en-US" w:eastAsia="zh-CN" w:bidi="ar-SA"/>
    </w:rPr>
  </w:style>
  <w:style w:type="character" w:customStyle="1" w:styleId="68">
    <w:name w:val="font21"/>
    <w:qFormat/>
    <w:uiPriority w:val="0"/>
    <w:rPr>
      <w:rFonts w:hint="eastAsia" w:ascii="宋体" w:hAnsi="宋体" w:eastAsia="宋体" w:cs="宋体"/>
      <w:b/>
      <w:color w:val="000000"/>
      <w:sz w:val="24"/>
      <w:szCs w:val="24"/>
      <w:u w:val="none"/>
    </w:rPr>
  </w:style>
  <w:style w:type="character" w:customStyle="1" w:styleId="69">
    <w:name w:val="font41"/>
    <w:qFormat/>
    <w:uiPriority w:val="0"/>
    <w:rPr>
      <w:rFonts w:hint="eastAsia" w:ascii="宋体" w:hAnsi="宋体" w:eastAsia="宋体" w:cs="宋体"/>
      <w:color w:val="000000"/>
      <w:sz w:val="18"/>
      <w:szCs w:val="18"/>
      <w:u w:val="none"/>
    </w:rPr>
  </w:style>
  <w:style w:type="character" w:customStyle="1" w:styleId="70">
    <w:name w:val="标题 3 Char"/>
    <w:link w:val="6"/>
    <w:qFormat/>
    <w:uiPriority w:val="0"/>
    <w:rPr>
      <w:rFonts w:eastAsia="宋体"/>
      <w:b/>
      <w:bCs/>
      <w:kern w:val="2"/>
      <w:sz w:val="32"/>
      <w:szCs w:val="32"/>
      <w:lang w:val="en-US" w:eastAsia="zh-CN" w:bidi="ar-SA"/>
    </w:rPr>
  </w:style>
  <w:style w:type="character" w:customStyle="1" w:styleId="71">
    <w:name w:val="apple-converted-space"/>
    <w:qFormat/>
    <w:uiPriority w:val="0"/>
  </w:style>
  <w:style w:type="character" w:customStyle="1" w:styleId="72">
    <w:name w:val="font51"/>
    <w:qFormat/>
    <w:uiPriority w:val="0"/>
    <w:rPr>
      <w:rFonts w:hint="default" w:ascii="Times New Roman" w:hAnsi="Times New Roman" w:cs="Times New Roman"/>
      <w:color w:val="000000"/>
      <w:sz w:val="18"/>
      <w:szCs w:val="18"/>
      <w:u w:val="none"/>
    </w:rPr>
  </w:style>
  <w:style w:type="character" w:customStyle="1" w:styleId="73">
    <w:name w:val="font01"/>
    <w:qFormat/>
    <w:uiPriority w:val="0"/>
    <w:rPr>
      <w:rFonts w:hint="eastAsia" w:ascii="宋体" w:hAnsi="宋体" w:eastAsia="宋体" w:cs="宋体"/>
      <w:color w:val="000000"/>
      <w:sz w:val="20"/>
      <w:szCs w:val="20"/>
      <w:u w:val="none"/>
    </w:rPr>
  </w:style>
  <w:style w:type="character" w:customStyle="1" w:styleId="74">
    <w:name w:val="qowt-font2"/>
    <w:qFormat/>
    <w:uiPriority w:val="0"/>
  </w:style>
  <w:style w:type="character" w:customStyle="1" w:styleId="75">
    <w:name w:val="标题 4 Char"/>
    <w:link w:val="2"/>
    <w:qFormat/>
    <w:uiPriority w:val="0"/>
    <w:rPr>
      <w:rFonts w:ascii="Arial" w:hAnsi="Arial" w:eastAsia="黑体" w:cs="Arial"/>
      <w:b/>
      <w:bCs/>
      <w:kern w:val="2"/>
      <w:sz w:val="28"/>
      <w:szCs w:val="28"/>
    </w:rPr>
  </w:style>
  <w:style w:type="character" w:customStyle="1" w:styleId="76">
    <w:name w:val="HTML 预设格式 Char1"/>
    <w:qFormat/>
    <w:uiPriority w:val="0"/>
    <w:rPr>
      <w:rFonts w:ascii="Courier New" w:hAnsi="Courier New" w:cs="Courier New"/>
      <w:kern w:val="2"/>
    </w:rPr>
  </w:style>
  <w:style w:type="character" w:customStyle="1" w:styleId="77">
    <w:name w:val="font11"/>
    <w:qFormat/>
    <w:uiPriority w:val="0"/>
    <w:rPr>
      <w:rFonts w:hint="default" w:ascii="Times New Roman" w:hAnsi="Times New Roman" w:cs="Times New Roman"/>
      <w:color w:val="000000"/>
      <w:sz w:val="18"/>
      <w:szCs w:val="18"/>
      <w:u w:val="none"/>
    </w:rPr>
  </w:style>
  <w:style w:type="character" w:customStyle="1" w:styleId="78">
    <w:name w:val="纯文本 Char"/>
    <w:link w:val="22"/>
    <w:qFormat/>
    <w:uiPriority w:val="0"/>
    <w:rPr>
      <w:rFonts w:ascii="宋体" w:hAnsi="Courier New" w:cs="Courier New"/>
      <w:kern w:val="2"/>
      <w:sz w:val="21"/>
      <w:szCs w:val="21"/>
    </w:rPr>
  </w:style>
  <w:style w:type="character" w:customStyle="1" w:styleId="79">
    <w:name w:val="列出段落 Char"/>
    <w:link w:val="80"/>
    <w:qFormat/>
    <w:locked/>
    <w:uiPriority w:val="0"/>
    <w:rPr>
      <w:rFonts w:ascii="Calibri" w:hAnsi="Calibri"/>
      <w:sz w:val="24"/>
      <w:szCs w:val="24"/>
      <w:lang w:eastAsia="en-US" w:bidi="en-US"/>
    </w:rPr>
  </w:style>
  <w:style w:type="paragraph" w:customStyle="1" w:styleId="80">
    <w:name w:val="列出段落1"/>
    <w:basedOn w:val="1"/>
    <w:link w:val="79"/>
    <w:qFormat/>
    <w:uiPriority w:val="0"/>
    <w:pPr>
      <w:widowControl/>
      <w:ind w:left="720"/>
      <w:contextualSpacing/>
      <w:jc w:val="left"/>
    </w:pPr>
    <w:rPr>
      <w:kern w:val="0"/>
      <w:sz w:val="24"/>
      <w:szCs w:val="24"/>
      <w:lang w:eastAsia="en-US" w:bidi="en-US"/>
    </w:rPr>
  </w:style>
  <w:style w:type="character" w:customStyle="1" w:styleId="81">
    <w:name w:val="页眉 Char"/>
    <w:link w:val="28"/>
    <w:qFormat/>
    <w:uiPriority w:val="99"/>
    <w:rPr>
      <w:kern w:val="2"/>
      <w:sz w:val="18"/>
      <w:szCs w:val="18"/>
    </w:rPr>
  </w:style>
  <w:style w:type="paragraph" w:customStyle="1" w:styleId="82">
    <w:name w:val="Char"/>
    <w:basedOn w:val="1"/>
    <w:qFormat/>
    <w:uiPriority w:val="0"/>
    <w:pPr>
      <w:tabs>
        <w:tab w:val="left" w:pos="360"/>
      </w:tabs>
      <w:ind w:firstLine="200" w:firstLineChars="200"/>
    </w:pPr>
    <w:rPr>
      <w:sz w:val="28"/>
      <w:szCs w:val="30"/>
    </w:rPr>
  </w:style>
  <w:style w:type="paragraph" w:customStyle="1" w:styleId="83">
    <w:name w:val="table_1stline"/>
    <w:basedOn w:val="1"/>
    <w:qFormat/>
    <w:uiPriority w:val="0"/>
    <w:pPr>
      <w:widowControl/>
      <w:spacing w:before="120"/>
      <w:jc w:val="left"/>
    </w:pPr>
    <w:rPr>
      <w:bCs/>
      <w:kern w:val="0"/>
      <w:sz w:val="20"/>
      <w:szCs w:val="20"/>
      <w:lang w:val="de-DE" w:eastAsia="de-DE"/>
    </w:rPr>
  </w:style>
  <w:style w:type="paragraph" w:styleId="84">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_Style 2"/>
    <w:basedOn w:val="1"/>
    <w:qFormat/>
    <w:uiPriority w:val="0"/>
    <w:pPr>
      <w:ind w:firstLine="420" w:firstLineChars="200"/>
    </w:pPr>
    <w:rPr>
      <w:kern w:val="0"/>
      <w:sz w:val="24"/>
      <w:szCs w:val="20"/>
    </w:rPr>
  </w:style>
  <w:style w:type="paragraph" w:customStyle="1" w:styleId="8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Char1"/>
    <w:basedOn w:val="14"/>
    <w:qFormat/>
    <w:uiPriority w:val="0"/>
    <w:rPr>
      <w:rFonts w:ascii="Tahoma" w:hAnsi="Tahoma"/>
      <w:sz w:val="24"/>
      <w:szCs w:val="24"/>
    </w:rPr>
  </w:style>
  <w:style w:type="paragraph" w:customStyle="1" w:styleId="9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样式1"/>
    <w:basedOn w:val="1"/>
    <w:qFormat/>
    <w:uiPriority w:val="0"/>
    <w:pPr>
      <w:numPr>
        <w:ilvl w:val="0"/>
        <w:numId w:val="2"/>
      </w:numPr>
      <w:adjustRightInd w:val="0"/>
      <w:textAlignment w:val="baseline"/>
    </w:pPr>
    <w:rPr>
      <w:rFonts w:ascii="宋体" w:hAnsi="宋体"/>
      <w:kern w:val="0"/>
    </w:rPr>
  </w:style>
  <w:style w:type="paragraph" w:customStyle="1" w:styleId="9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9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6">
    <w:name w:val="附录1"/>
    <w:qFormat/>
    <w:uiPriority w:val="0"/>
    <w:pPr>
      <w:numPr>
        <w:ilvl w:val="0"/>
        <w:numId w:val="3"/>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7">
    <w:name w:val="Char Char Char Char"/>
    <w:basedOn w:val="14"/>
    <w:qFormat/>
    <w:uiPriority w:val="0"/>
    <w:pPr>
      <w:adjustRightInd w:val="0"/>
      <w:snapToGrid w:val="0"/>
      <w:spacing w:line="360" w:lineRule="auto"/>
    </w:pPr>
    <w:rPr>
      <w:rFonts w:ascii="Tahoma" w:hAnsi="Tahoma"/>
      <w:sz w:val="24"/>
      <w:szCs w:val="24"/>
    </w:rPr>
  </w:style>
  <w:style w:type="paragraph" w:customStyle="1" w:styleId="9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9">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4"/>
    <w:basedOn w:val="1"/>
    <w:next w:val="33"/>
    <w:qFormat/>
    <w:uiPriority w:val="0"/>
    <w:pPr>
      <w:spacing w:line="360" w:lineRule="auto"/>
      <w:ind w:firstLine="420"/>
    </w:pPr>
    <w:rPr>
      <w:color w:val="FF0000"/>
      <w:sz w:val="24"/>
      <w:szCs w:val="24"/>
    </w:rPr>
  </w:style>
  <w:style w:type="paragraph" w:customStyle="1" w:styleId="10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Body Text(ch)"/>
    <w:basedOn w:val="1"/>
    <w:next w:val="17"/>
    <w:qFormat/>
    <w:uiPriority w:val="0"/>
    <w:pPr>
      <w:spacing w:after="120"/>
    </w:pPr>
    <w:rPr>
      <w:rFonts w:ascii="宋体" w:hAnsi="Arial"/>
      <w:bCs/>
      <w:iCs/>
      <w:szCs w:val="24"/>
    </w:rPr>
  </w:style>
  <w:style w:type="paragraph" w:customStyle="1" w:styleId="106">
    <w:name w:val="Char Char Char Char Char Char Char Char Char Char"/>
    <w:basedOn w:val="1"/>
    <w:qFormat/>
    <w:uiPriority w:val="0"/>
    <w:pPr>
      <w:adjustRightInd w:val="0"/>
      <w:spacing w:line="360" w:lineRule="auto"/>
    </w:pPr>
    <w:rPr>
      <w:kern w:val="0"/>
      <w:sz w:val="24"/>
      <w:szCs w:val="20"/>
    </w:rPr>
  </w:style>
  <w:style w:type="paragraph" w:styleId="10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9">
    <w:name w:val="Char Char Char Char1"/>
    <w:basedOn w:val="14"/>
    <w:qFormat/>
    <w:uiPriority w:val="0"/>
    <w:pPr>
      <w:adjustRightInd w:val="0"/>
      <w:snapToGrid w:val="0"/>
      <w:spacing w:line="360" w:lineRule="auto"/>
    </w:pPr>
    <w:rPr>
      <w:rFonts w:ascii="Tahoma" w:hAnsi="Tahoma"/>
      <w:sz w:val="24"/>
      <w:szCs w:val="24"/>
    </w:rPr>
  </w:style>
  <w:style w:type="paragraph" w:customStyle="1" w:styleId="110">
    <w:name w:val="table_lines"/>
    <w:basedOn w:val="1"/>
    <w:qFormat/>
    <w:uiPriority w:val="0"/>
    <w:pPr>
      <w:widowControl/>
      <w:jc w:val="left"/>
    </w:pPr>
    <w:rPr>
      <w:kern w:val="0"/>
      <w:sz w:val="20"/>
      <w:szCs w:val="20"/>
      <w:lang w:val="de-DE" w:eastAsia="de-DE"/>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character" w:customStyle="1" w:styleId="115">
    <w:name w:val="hover"/>
    <w:basedOn w:val="46"/>
    <w:qFormat/>
    <w:uiPriority w:val="0"/>
    <w:rPr>
      <w:shd w:val="clear" w:color="auto" w:fill="EEEEEE"/>
    </w:rPr>
  </w:style>
  <w:style w:type="character" w:customStyle="1" w:styleId="116">
    <w:name w:val="old"/>
    <w:basedOn w:val="46"/>
    <w:qFormat/>
    <w:uiPriority w:val="0"/>
    <w:rPr>
      <w:color w:val="999999"/>
    </w:rPr>
  </w:style>
  <w:style w:type="character" w:customStyle="1" w:styleId="117">
    <w:name w:val="glyphicon"/>
    <w:basedOn w:val="46"/>
    <w:qFormat/>
    <w:uiPriority w:val="0"/>
  </w:style>
  <w:style w:type="character" w:customStyle="1" w:styleId="118">
    <w:name w:val="hour_am"/>
    <w:basedOn w:val="46"/>
    <w:qFormat/>
    <w:uiPriority w:val="0"/>
  </w:style>
  <w:style w:type="character" w:customStyle="1" w:styleId="119">
    <w:name w:val="hour_pm"/>
    <w:basedOn w:val="46"/>
    <w:qFormat/>
    <w:uiPriority w:val="0"/>
  </w:style>
  <w:style w:type="character" w:customStyle="1" w:styleId="120">
    <w:name w:val="hover1"/>
    <w:basedOn w:val="46"/>
    <w:qFormat/>
    <w:uiPriority w:val="0"/>
    <w:rPr>
      <w:shd w:val="clear" w:color="auto" w:fill="EEEEE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42</Pages>
  <Words>3509</Words>
  <Characters>20005</Characters>
  <Lines>166</Lines>
  <Paragraphs>46</Paragraphs>
  <TotalTime>2</TotalTime>
  <ScaleCrop>false</ScaleCrop>
  <LinksUpToDate>false</LinksUpToDate>
  <CharactersWithSpaces>23468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2019-12-20T08:34:00Z</dcterms:created>
  <dc:creator>政府采购中心</dc:creator>
  <cp:lastModifiedBy>典当灵魂</cp:lastModifiedBy>
  <cp:lastPrinted>2019-09-26T06:38:00Z</cp:lastPrinted>
  <dcterms:modified xsi:type="dcterms:W3CDTF">2020-06-10T03:24:15Z</dcterms:modified>
  <dc:title>江苏卫生信息系统业务软件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