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0" w:name="_Toc28359001"/>
      <w:bookmarkStart w:id="1" w:name="_Toc35393789"/>
      <w:r>
        <w:rPr>
          <w:rFonts w:hint="eastAsia" w:ascii="宋体" w:hAnsi="宋体" w:eastAsia="宋体" w:cs="宋体"/>
          <w:color w:val="000000" w:themeColor="text1"/>
          <w:sz w:val="24"/>
          <w:szCs w:val="24"/>
          <w14:textFill>
            <w14:solidFill>
              <w14:schemeClr w14:val="tx1"/>
            </w14:solidFill>
          </w14:textFill>
        </w:rPr>
        <w:t>智能制造学院</w:t>
      </w:r>
      <w:r>
        <w:rPr>
          <w:rFonts w:hint="eastAsia" w:ascii="宋体" w:hAnsi="宋体" w:eastAsia="宋体" w:cs="宋体"/>
          <w:color w:val="000000" w:themeColor="text1"/>
          <w:sz w:val="24"/>
          <w:szCs w:val="24"/>
          <w:lang w:val="en-US" w:eastAsia="zh-CN"/>
          <w14:textFill>
            <w14:solidFill>
              <w14:schemeClr w14:val="tx1"/>
            </w14:solidFill>
          </w14:textFill>
        </w:rPr>
        <w:t>风光互补实训设备维修</w:t>
      </w:r>
      <w:r>
        <w:rPr>
          <w:rFonts w:hint="eastAsia" w:ascii="宋体" w:hAnsi="宋体" w:eastAsia="宋体" w:cs="宋体"/>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智能制造学院</w:t>
      </w:r>
      <w:r>
        <w:rPr>
          <w:rFonts w:hint="eastAsia" w:ascii="宋体" w:hAnsi="宋体" w:eastAsia="宋体" w:cs="宋体"/>
          <w:color w:val="000000" w:themeColor="text1"/>
          <w:sz w:val="24"/>
          <w:szCs w:val="24"/>
          <w:u w:val="single"/>
          <w:lang w:val="en-US" w:eastAsia="zh-CN"/>
          <w14:textFill>
            <w14:solidFill>
              <w14:schemeClr w14:val="tx1"/>
            </w14:solidFill>
          </w14:textFill>
        </w:rPr>
        <w:t>风光互补实训设备维修</w:t>
      </w:r>
      <w:r>
        <w:rPr>
          <w:rFonts w:hint="eastAsia" w:ascii="宋体" w:hAnsi="宋体" w:eastAsia="宋体" w:cs="宋体"/>
          <w:color w:val="000000" w:themeColor="text1"/>
          <w:sz w:val="24"/>
          <w:szCs w:val="24"/>
          <w:lang w:val="en-US"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项目的潜在投标人应在</w:t>
      </w:r>
      <w:r>
        <w:rPr>
          <w:rFonts w:hint="eastAsia" w:ascii="宋体" w:hAnsi="宋体" w:eastAsia="宋体" w:cs="宋体"/>
          <w:color w:val="000000" w:themeColor="text1"/>
          <w:sz w:val="24"/>
          <w:szCs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szCs w:val="24"/>
          <w14:textFill>
            <w14:solidFill>
              <w14:schemeClr w14:val="tx1"/>
            </w14:solidFill>
          </w14:textFill>
        </w:rPr>
        <w:t>获取招标文件，并于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6</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8</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点 00分（</w:t>
      </w:r>
      <w:r>
        <w:rPr>
          <w:rFonts w:hint="eastAsia" w:ascii="宋体" w:hAnsi="宋体" w:eastAsia="宋体" w:cs="宋体"/>
          <w:bCs/>
          <w:color w:val="000000" w:themeColor="text1"/>
          <w:sz w:val="24"/>
          <w:szCs w:val="24"/>
          <w14:textFill>
            <w14:solidFill>
              <w14:schemeClr w14:val="tx1"/>
            </w14:solidFill>
          </w14:textFill>
        </w:rPr>
        <w:t>北京时间）前递交投标文件</w:t>
      </w:r>
      <w:r>
        <w:rPr>
          <w:rFonts w:hint="eastAsia" w:ascii="宋体" w:hAnsi="宋体" w:eastAsia="宋体" w:cs="宋体"/>
          <w:color w:val="000000" w:themeColor="text1"/>
          <w:sz w:val="24"/>
          <w:szCs w:val="24"/>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default" w:ascii="宋体" w:hAnsi="宋体" w:eastAsia="宋体" w:cs="宋体"/>
          <w:b/>
          <w:bCs/>
          <w:i w:val="0"/>
          <w:iCs w:val="0"/>
          <w:caps w:val="0"/>
          <w:color w:val="000000" w:themeColor="text1"/>
          <w:spacing w:val="0"/>
          <w:sz w:val="24"/>
          <w:szCs w:val="24"/>
          <w:shd w:val="clear" w:color="auto" w:fill="FFFFFF"/>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项目编号：2022ZX-016</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智能制造学</w:t>
      </w:r>
      <w:bookmarkStart w:id="2" w:name="_GoBack"/>
      <w:bookmarkEnd w:id="2"/>
      <w:r>
        <w:rPr>
          <w:rFonts w:hint="eastAsia" w:ascii="宋体" w:hAnsi="宋体" w:eastAsia="宋体" w:cs="宋体"/>
          <w:color w:val="000000" w:themeColor="text1"/>
          <w:sz w:val="24"/>
          <w:szCs w:val="24"/>
          <w14:textFill>
            <w14:solidFill>
              <w14:schemeClr w14:val="tx1"/>
            </w14:solidFill>
          </w14:textFill>
        </w:rPr>
        <w:t>院</w:t>
      </w:r>
      <w:r>
        <w:rPr>
          <w:rFonts w:hint="eastAsia" w:ascii="宋体" w:hAnsi="宋体" w:eastAsia="宋体" w:cs="宋体"/>
          <w:color w:val="000000" w:themeColor="text1"/>
          <w:sz w:val="24"/>
          <w:szCs w:val="24"/>
          <w:lang w:val="en-US" w:eastAsia="zh-CN"/>
          <w14:textFill>
            <w14:solidFill>
              <w14:schemeClr w14:val="tx1"/>
            </w14:solidFill>
          </w14:textFill>
        </w:rPr>
        <w:t>风光互补实训设备维修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采购方式：询价(低价中标）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预算金额：</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1.35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采购需求：具体采购参数要求见附件，采购人保留对上述采购范围及内容进行适当调整的权利。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合同履行期限：合同签订后10个日历日内</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完成</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（如甲方需要延时交付，可另行约定时间）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付款方式：完成</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项目后</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，经验收合格，支付货款。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本项目不接受联合体投标。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1.满足《中华人民共和国政府采购法》第二十二条规定，并提供下列材料；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(1)法人或者其他组织的营业执照等证明文件，自然人的身份证明；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(2)具备履行合同所必需的设备和专业技术能力的书面声明；（根据项目需求提供履行合同所必需的设备和专业技术能力的声明或证明材料）；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(3)参加采购活动前3年内在经营活动中没有重大违法记录的书面声明；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（1）未被“信用中国”网站（www.creditchina.gov.cn）列入失信被执行人、重大税收违法案件当事人名单、政府采购严重失信行为记录名单。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（2）单位负责人为同一人或者存在直接控股、管理关系的不同供应商，不得参加同一合同项下的政府采购活动。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时间：自公告之日起至投标截止时间前1日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cs="宋体"/>
          <w:sz w:val="24"/>
          <w:szCs w:val="24"/>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地点：</w:t>
      </w:r>
      <w:r>
        <w:rPr>
          <w:rFonts w:hint="eastAsia" w:ascii="宋体" w:hAnsi="宋体" w:cs="宋体"/>
          <w:sz w:val="24"/>
          <w:szCs w:val="24"/>
        </w:rPr>
        <w:t>盐城工业职业技术学院招标采购网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符合资格要求的投标人可自行下载采购文件，采购文件见盐城工业职业技术学院招标采购网站公告附件。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售价：免费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提交时间：202</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日10点前（北京时间）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地点：智能制造学院306办公室。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五、公开期限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自本公告发布之日起3个工作日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1、成交后，供应商须出具与其营业执照名称相一致的增值税</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2、报价须包括所有运费、安装费、人工费、税费和管理费等所有费用。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default"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3、供应商</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维修后需经调试后方可验收。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、疫情防控期间投标人注意事项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因疫情防控需要，为确保校园安全，投标人进入盐城工业职业技术学院校区时应服从下列疫情防控措施：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（1）投标前14天内与确诊/疑似病例或无症状感染者有密切接触的人员，以及与密切接触者接触的次密切接触者，一律不得进校。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（2）投标前14天内接触过境外归国人员（未解除隔离的），按次密切接触者处置，一律不得进校。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（3）投标前14天内有疫情中高风险地区（以开标前一日权威发布的疫情风险等级区域划分为依据）旅居史的人员，一律不得进校。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（4）投标人须14天内无盐城市外旅居史，行程码为绿码且无星号，持有48小时内核酸检测阴性证明且身体健康无异常。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（5）投标前教育行政部门和盐城市疫情防控部门有具体防疫要求，则按最新要求执行，请投标人及时关注相关信息。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（7）投标人从东门进出，车辆一律不得进入校园（如确因提供样品需要，经同意后可进校园，服从管理，在指定位置停放）。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（8）各投标项目授权代表限1人进入校园，项目授权代表进入校园时须全程配戴口罩，做好手部消毒及投标文件等消毒防护工作。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（10）投标人未如实报告个人信息，承担相应责任和法律后果，引发问题学校可取消其中标资格。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请各投标人预留好相应时间，配合做好上述管控措施。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名    称：盐城工业职业技术学院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    址：解放南路285号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联系人：  王老师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联系电话：17805193063</w:t>
      </w: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w:t>
      </w: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文件1法人或者其他组织的营业执照等证明文件，自然人的身份证明（复印件）</w:t>
      </w:r>
    </w:p>
    <w:p>
      <w:pPr>
        <w:pStyle w:val="4"/>
        <w:spacing w:line="360" w:lineRule="auto"/>
        <w:rPr>
          <w:rStyle w:val="13"/>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文件2</w:t>
      </w:r>
      <w:r>
        <w:rPr>
          <w:rStyle w:val="13"/>
          <w:rFonts w:ascii="宋体" w:hAnsi="宋体"/>
          <w:b w:val="0"/>
          <w:bCs w:val="0"/>
          <w:color w:val="000000" w:themeColor="text1"/>
          <w:sz w:val="24"/>
          <w:szCs w:val="24"/>
          <w14:textFill>
            <w14:solidFill>
              <w14:schemeClr w14:val="tx1"/>
            </w14:solidFill>
          </w14:textFill>
        </w:rPr>
        <w:t>具备履行合同所必需的设备和专业技术能力的书面声明</w:t>
      </w:r>
      <w:r>
        <w:rPr>
          <w:rFonts w:hint="eastAsia" w:ascii="宋体" w:hAnsi="宋体" w:cs="宋体"/>
          <w:b w:val="0"/>
          <w:bCs w:val="0"/>
          <w:color w:val="000000" w:themeColor="text1"/>
          <w:sz w:val="24"/>
          <w:szCs w:val="24"/>
          <w14:textFill>
            <w14:solidFill>
              <w14:schemeClr w14:val="tx1"/>
            </w14:solidFill>
          </w14:textFill>
        </w:rPr>
        <w:t>（原件,格式见附表）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Style w:val="13"/>
          <w:rFonts w:hint="eastAsia" w:ascii="宋体" w:hAnsi="宋体"/>
          <w:b w:val="0"/>
          <w:bCs w:val="0"/>
          <w:color w:val="000000" w:themeColor="text1"/>
          <w:sz w:val="24"/>
          <w:szCs w:val="24"/>
          <w14:textFill>
            <w14:solidFill>
              <w14:schemeClr w14:val="tx1"/>
            </w14:solidFill>
          </w14:textFill>
        </w:rPr>
        <w:t>文件3</w:t>
      </w:r>
      <w:r>
        <w:rPr>
          <w:rFonts w:hint="eastAsia" w:ascii="宋体" w:hAnsi="宋体" w:cs="宋体"/>
          <w:b w:val="0"/>
          <w:bCs w:val="0"/>
          <w:color w:val="000000" w:themeColor="text1"/>
          <w:sz w:val="24"/>
          <w:szCs w:val="24"/>
          <w14:textFill>
            <w14:solidFill>
              <w14:schemeClr w14:val="tx1"/>
            </w14:solidFill>
          </w14:textFill>
        </w:rPr>
        <w:t>参加采购活动前 3 年内在经营活动中没有重大违法记录的书面声明（原件,格式见附表）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文件4法人授权书（原件）。</w:t>
      </w:r>
    </w:p>
    <w:p>
      <w:pPr>
        <w:snapToGrid w:val="0"/>
        <w:spacing w:before="50" w:after="156" w:afterLines="50" w:line="360" w:lineRule="auto"/>
        <w:jc w:val="left"/>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文件5</w:t>
      </w:r>
      <w:r>
        <w:rPr>
          <w:rFonts w:hint="eastAsia" w:ascii="宋体" w:hAnsi="宋体" w:cs="宋体"/>
          <w:color w:val="000000" w:themeColor="text1"/>
          <w:sz w:val="24"/>
          <w:szCs w:val="24"/>
          <w14:textFill>
            <w14:solidFill>
              <w14:schemeClr w14:val="tx1"/>
            </w14:solidFill>
          </w14:textFill>
        </w:rPr>
        <w:t>报价表</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以上文件均需加盖单位公章，正本一份副本两份</w:t>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color w:val="000000" w:themeColor="text1"/>
          <w:sz w:val="24"/>
          <w:szCs w:val="24"/>
          <w14:textFill>
            <w14:solidFill>
              <w14:schemeClr w14:val="tx1"/>
            </w14:solidFill>
          </w14:textFill>
        </w:rPr>
      </w:pPr>
    </w:p>
    <w:p>
      <w:pPr>
        <w:pStyle w:val="4"/>
        <w:jc w:val="both"/>
        <w:rPr>
          <w:rFonts w:hint="eastAsia" w:ascii="宋体" w:hAnsi="宋体"/>
          <w:color w:val="000000" w:themeColor="text1"/>
          <w:sz w:val="24"/>
          <w:szCs w:val="24"/>
          <w14:textFill>
            <w14:solidFill>
              <w14:schemeClr w14:val="tx1"/>
            </w14:solidFill>
          </w14:textFill>
        </w:rPr>
      </w:pPr>
    </w:p>
    <w:p>
      <w:pPr>
        <w:pStyle w:val="4"/>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5"/>
        <w:ind w:firstLine="0"/>
        <w:rPr>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hint="eastAsia" w:ascii="宋体" w:hAnsi="宋体" w:cs="宋体"/>
          <w:b/>
          <w:bCs/>
          <w:color w:val="000000" w:themeColor="text1"/>
          <w:sz w:val="24"/>
          <w:szCs w:val="24"/>
          <w14:textFill>
            <w14:solidFill>
              <w14:schemeClr w14:val="tx1"/>
            </w14:solidFill>
          </w14:textFill>
        </w:rPr>
      </w:pPr>
    </w:p>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left="0" w:leftChars="0" w:firstLine="0" w:firstLineChars="0"/>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4"/>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hint="eastAsia" w:ascii="宋体" w:hAnsi="宋体" w:cs="宋体"/>
          <w:color w:val="000000" w:themeColor="text1"/>
          <w:sz w:val="24"/>
          <w:szCs w:val="24"/>
          <w14:textFill>
            <w14:solidFill>
              <w14:schemeClr w14:val="tx1"/>
            </w14:solidFill>
          </w14:textFill>
        </w:rPr>
      </w:pPr>
    </w:p>
    <w:p>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智能制造学院</w:t>
      </w:r>
      <w:r>
        <w:rPr>
          <w:rFonts w:hint="eastAsia" w:ascii="宋体" w:hAnsi="宋体" w:eastAsia="宋体" w:cs="宋体"/>
          <w:b/>
          <w:bCs/>
          <w:color w:val="auto"/>
          <w:sz w:val="24"/>
          <w:szCs w:val="24"/>
          <w:lang w:val="en-US" w:eastAsia="zh-CN"/>
        </w:rPr>
        <w:t>风光互补实训设备维修报价表</w:t>
      </w:r>
    </w:p>
    <w:p>
      <w:pPr>
        <w:jc w:val="center"/>
        <w:rPr>
          <w:rFonts w:hint="default"/>
          <w:b/>
          <w:bCs/>
          <w:color w:val="auto"/>
          <w:lang w:val="en-US" w:eastAsia="zh-CN"/>
        </w:rPr>
      </w:pPr>
      <w:r>
        <w:rPr>
          <w:rFonts w:hint="eastAsia" w:ascii="宋体" w:hAnsi="宋体" w:cs="宋体"/>
          <w:b/>
          <w:bCs/>
          <w:color w:val="auto"/>
          <w:sz w:val="24"/>
          <w:szCs w:val="24"/>
          <w:lang w:val="en-US" w:eastAsia="zh-CN"/>
        </w:rPr>
        <w:t>(2022ZX-016)</w:t>
      </w:r>
    </w:p>
    <w:tbl>
      <w:tblPr>
        <w:tblStyle w:val="11"/>
        <w:tblpPr w:leftFromText="180" w:rightFromText="180" w:vertAnchor="text" w:horzAnchor="page" w:tblpX="1815" w:tblpY="274"/>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名称</w:t>
            </w:r>
          </w:p>
        </w:tc>
        <w:tc>
          <w:tcPr>
            <w:tcW w:w="1703"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数量</w:t>
            </w:r>
          </w:p>
        </w:tc>
        <w:tc>
          <w:tcPr>
            <w:tcW w:w="1704"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单价（</w:t>
            </w: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元</w:t>
            </w:r>
            <w:r>
              <w:rPr>
                <w:rFonts w:hint="eastAsia" w:ascii="宋体" w:hAnsi="宋体" w:eastAsia="宋体" w:cs="宋体"/>
                <w:b/>
                <w:bCs/>
                <w:color w:val="000000" w:themeColor="text1"/>
                <w:sz w:val="28"/>
                <w:szCs w:val="28"/>
                <w:vertAlign w:val="baseline"/>
                <w:lang w:eastAsia="zh-CN"/>
                <w14:textFill>
                  <w14:solidFill>
                    <w14:schemeClr w14:val="tx1"/>
                  </w14:solidFill>
                </w14:textFill>
              </w:rPr>
              <w:t>）</w:t>
            </w:r>
          </w:p>
        </w:tc>
        <w:tc>
          <w:tcPr>
            <w:tcW w:w="1704"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总价（</w:t>
            </w: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元</w:t>
            </w:r>
            <w:r>
              <w:rPr>
                <w:rFonts w:hint="eastAsia" w:ascii="宋体" w:hAnsi="宋体" w:eastAsia="宋体" w:cs="宋体"/>
                <w:b/>
                <w:bCs/>
                <w:color w:val="000000" w:themeColor="text1"/>
                <w:sz w:val="28"/>
                <w:szCs w:val="28"/>
                <w:vertAlign w:val="baseline"/>
                <w:lang w:eastAsia="zh-CN"/>
                <w14:textFill>
                  <w14:solidFill>
                    <w14:schemeClr w14:val="tx1"/>
                  </w14:solidFill>
                </w14:textFill>
              </w:rPr>
              <w:t>）</w:t>
            </w:r>
          </w:p>
        </w:tc>
        <w:tc>
          <w:tcPr>
            <w:tcW w:w="2481" w:type="dxa"/>
            <w:noWrap w:val="0"/>
            <w:vAlign w:val="top"/>
          </w:tcPr>
          <w:p>
            <w:pPr>
              <w:jc w:val="center"/>
              <w:rPr>
                <w:rFonts w:hint="default"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703"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3"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4"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4"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2481" w:type="dxa"/>
            <w:vMerge w:val="restart"/>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default"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供应商需在</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维修前确定维修模块符合相关要求。</w:t>
            </w:r>
          </w:p>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814" w:type="dxa"/>
            <w:gridSpan w:val="4"/>
            <w:noWrap w:val="0"/>
            <w:vAlign w:val="center"/>
          </w:tcPr>
          <w:p>
            <w:pPr>
              <w:keepNext w:val="0"/>
              <w:keepLines w:val="0"/>
              <w:widowControl/>
              <w:suppressLineNumbers w:val="0"/>
              <w:tabs>
                <w:tab w:val="left" w:pos="1281"/>
              </w:tabs>
              <w:jc w:val="both"/>
              <w:textAlignment w:val="center"/>
              <w:rPr>
                <w:rFonts w:hint="default" w:ascii="宋体" w:hAnsi="宋体" w:eastAsia="宋体" w:cs="宋体"/>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合计大写：</w:t>
            </w:r>
          </w:p>
        </w:tc>
        <w:tc>
          <w:tcPr>
            <w:tcW w:w="2481" w:type="dxa"/>
            <w:vMerge w:val="continue"/>
            <w:noWrap w:val="0"/>
            <w:vAlign w:val="center"/>
          </w:tcPr>
          <w:p>
            <w:pPr>
              <w:keepNext w:val="0"/>
              <w:keepLines w:val="0"/>
              <w:widowControl/>
              <w:suppressLineNumbers w:val="0"/>
              <w:tabs>
                <w:tab w:val="left" w:pos="1281"/>
              </w:tabs>
              <w:jc w:val="both"/>
              <w:textAlignment w:val="cente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bl>
    <w:p>
      <w:pPr>
        <w:rPr>
          <w:rFonts w:hint="eastAsia"/>
          <w:color w:val="000000" w:themeColor="text1"/>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、报价须包括所有运费、安装费、人工费、税费和管理费等所有费用。</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报价单位：（公章）</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系</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人：　</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联系电话：</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default"/>
          <w:color w:val="000000" w:themeColor="text1"/>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2022</w:t>
      </w:r>
      <w:r>
        <w:rPr>
          <w:b w:val="0"/>
          <w:bCs/>
          <w:color w:val="000000" w:themeColor="text1"/>
          <w:sz w:val="24"/>
          <w:szCs w:val="24"/>
          <w14:textFill>
            <w14:solidFill>
              <w14:schemeClr w14:val="tx1"/>
            </w14:solidFill>
          </w14:textFill>
        </w:rPr>
        <w:t>年</w:t>
      </w:r>
      <w:r>
        <w:rPr>
          <w:rFonts w:hint="eastAsia"/>
          <w:b w:val="0"/>
          <w:bCs/>
          <w:color w:val="000000" w:themeColor="text1"/>
          <w:sz w:val="24"/>
          <w:szCs w:val="24"/>
          <w:lang w:val="en-US" w:eastAsia="zh-CN"/>
          <w14:textFill>
            <w14:solidFill>
              <w14:schemeClr w14:val="tx1"/>
            </w14:solidFill>
          </w14:textFill>
        </w:rPr>
        <w:t>6</w:t>
      </w:r>
      <w:r>
        <w:rPr>
          <w:b w:val="0"/>
          <w:bCs/>
          <w:color w:val="000000" w:themeColor="text1"/>
          <w:sz w:val="24"/>
          <w:szCs w:val="24"/>
          <w14:textFill>
            <w14:solidFill>
              <w14:schemeClr w14:val="tx1"/>
            </w14:solidFill>
          </w14:textFill>
        </w:rPr>
        <w:t>月  日</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jc w:val="center"/>
        <w:rPr>
          <w:rFonts w:hint="eastAsia" w:eastAsia="仿宋_GB2312"/>
          <w:b/>
          <w:bCs/>
          <w:sz w:val="36"/>
          <w:szCs w:val="36"/>
          <w:lang w:eastAsia="zh-CN"/>
        </w:rPr>
      </w:pPr>
      <w:r>
        <w:rPr>
          <w:rFonts w:hint="eastAsia" w:eastAsia="仿宋_GB2312"/>
          <w:b/>
          <w:bCs/>
          <w:sz w:val="36"/>
          <w:szCs w:val="36"/>
          <w:lang w:eastAsia="zh-CN"/>
        </w:rPr>
        <w:t>附件（一）</w:t>
      </w:r>
    </w:p>
    <w:p>
      <w:pPr>
        <w:spacing w:line="360" w:lineRule="auto"/>
        <w:ind w:firstLine="480" w:firstLineChars="200"/>
        <w:jc w:val="both"/>
        <w:rPr>
          <w:rFonts w:hint="default"/>
          <w:sz w:val="24"/>
          <w:szCs w:val="32"/>
          <w:vertAlign w:val="baseline"/>
          <w:lang w:val="en-US" w:eastAsia="zh-CN"/>
        </w:rPr>
      </w:pPr>
      <w:r>
        <w:rPr>
          <w:rFonts w:hint="eastAsia" w:ascii="Times New Roman" w:hAnsi="Times New Roman" w:cs="Times New Roman"/>
          <w:sz w:val="24"/>
          <w:lang w:val="en-US" w:eastAsia="zh-CN"/>
        </w:rPr>
        <w:t>工业中心416风光互补实训室</w:t>
      </w:r>
      <w:r>
        <w:rPr>
          <w:rFonts w:hint="eastAsia" w:eastAsia="宋体"/>
          <w:sz w:val="24"/>
          <w:lang w:eastAsia="zh-CN"/>
        </w:rPr>
        <w:t>KNET-WP01风光互补发电实训装置</w:t>
      </w:r>
      <w:r>
        <w:rPr>
          <w:rFonts w:hint="eastAsia" w:ascii="Calibri" w:hAnsi="Calibri" w:cs="Times New Roman"/>
          <w:sz w:val="24"/>
          <w:lang w:val="en-US" w:eastAsia="zh-CN"/>
        </w:rPr>
        <w:t>蓄电池充放电模块、升压逆变模块、光伏逐日系统，以及模拟风场部分的维修。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noWrap w:val="0"/>
            <w:vAlign w:val="top"/>
          </w:tcPr>
          <w:p>
            <w:pPr>
              <w:jc w:val="center"/>
              <w:rPr>
                <w:rFonts w:hint="eastAsia" w:eastAsia="仿宋_GB2312"/>
                <w:b/>
                <w:bCs/>
                <w:sz w:val="28"/>
                <w:szCs w:val="28"/>
                <w:vertAlign w:val="baseline"/>
                <w:lang w:eastAsia="zh-CN"/>
              </w:rPr>
            </w:pPr>
            <w:r>
              <w:rPr>
                <w:rFonts w:hint="eastAsia" w:eastAsia="仿宋_GB2312"/>
                <w:b/>
                <w:bCs/>
                <w:sz w:val="28"/>
                <w:szCs w:val="28"/>
                <w:vertAlign w:val="baseline"/>
                <w:lang w:eastAsia="zh-CN"/>
              </w:rPr>
              <w:t>货品名称</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型号及规格</w:t>
            </w:r>
          </w:p>
        </w:tc>
        <w:tc>
          <w:tcPr>
            <w:tcW w:w="2131" w:type="dxa"/>
            <w:noWrap w:val="0"/>
            <w:vAlign w:val="top"/>
          </w:tcPr>
          <w:p>
            <w:pPr>
              <w:jc w:val="center"/>
              <w:rPr>
                <w:rFonts w:hint="eastAsia" w:eastAsia="仿宋_GB2312"/>
                <w:b/>
                <w:bCs/>
                <w:sz w:val="28"/>
                <w:szCs w:val="28"/>
                <w:vertAlign w:val="baseline"/>
                <w:lang w:eastAsia="zh-CN"/>
              </w:rPr>
            </w:pPr>
            <w:r>
              <w:rPr>
                <w:rFonts w:hint="eastAsia" w:eastAsia="仿宋_GB2312"/>
                <w:b/>
                <w:bCs/>
                <w:sz w:val="28"/>
                <w:szCs w:val="28"/>
                <w:vertAlign w:val="baseline"/>
                <w:lang w:val="en-US" w:eastAsia="zh-CN"/>
              </w:rPr>
              <w:t>数量</w:t>
            </w:r>
          </w:p>
        </w:tc>
        <w:tc>
          <w:tcPr>
            <w:tcW w:w="2132" w:type="dxa"/>
            <w:noWrap w:val="0"/>
            <w:vAlign w:val="top"/>
          </w:tcPr>
          <w:p>
            <w:pPr>
              <w:jc w:val="center"/>
              <w:rPr>
                <w:rFonts w:hint="eastAsia" w:eastAsia="仿宋_GB2312"/>
                <w:b/>
                <w:bCs/>
                <w:sz w:val="28"/>
                <w:szCs w:val="28"/>
                <w:vertAlign w:val="baseline"/>
                <w:lang w:eastAsia="zh-CN"/>
              </w:rPr>
            </w:pPr>
            <w:r>
              <w:rPr>
                <w:rFonts w:hint="eastAsia" w:eastAsia="仿宋_GB2312"/>
                <w:b/>
                <w:bCs/>
                <w:sz w:val="28"/>
                <w:szCs w:val="28"/>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光伏充电接口板</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康尼制定，维修</w:t>
            </w:r>
          </w:p>
        </w:tc>
        <w:tc>
          <w:tcPr>
            <w:tcW w:w="2131" w:type="dxa"/>
            <w:noWrap w:val="0"/>
            <w:vAlign w:val="center"/>
          </w:tcPr>
          <w:p>
            <w:pPr>
              <w:keepNext w:val="0"/>
              <w:keepLines w:val="0"/>
              <w:widowControl/>
              <w:suppressLineNumbers w:val="0"/>
              <w:jc w:val="center"/>
              <w:textAlignment w:val="center"/>
              <w:rPr>
                <w:rFonts w:hint="default" w:eastAsia="仿宋_GB2312"/>
                <w:kern w:val="2"/>
                <w:sz w:val="24"/>
                <w:szCs w:val="24"/>
                <w:vertAlign w:val="baseline"/>
                <w:lang w:val="en-US" w:eastAsia="zh-CN" w:bidi="ar-SA"/>
              </w:rPr>
            </w:pPr>
            <w:r>
              <w:rPr>
                <w:rFonts w:hint="eastAsia" w:eastAsia="仿宋_GB2312"/>
                <w:kern w:val="2"/>
                <w:sz w:val="24"/>
                <w:szCs w:val="24"/>
                <w:vertAlign w:val="baseline"/>
                <w:lang w:val="en-US" w:eastAsia="zh-CN" w:bidi="ar-SA"/>
              </w:rPr>
              <w:t>1</w:t>
            </w:r>
          </w:p>
        </w:tc>
        <w:tc>
          <w:tcPr>
            <w:tcW w:w="2132" w:type="dxa"/>
            <w:vMerge w:val="restart"/>
            <w:noWrap w:val="0"/>
            <w:vAlign w:val="center"/>
          </w:tcPr>
          <w:p>
            <w:pPr>
              <w:keepNext w:val="0"/>
              <w:keepLines w:val="0"/>
              <w:widowControl/>
              <w:suppressLineNumbers w:val="0"/>
              <w:jc w:val="center"/>
              <w:textAlignment w:val="center"/>
              <w:rPr>
                <w:rFonts w:hint="default" w:eastAsia="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风电充电接口板</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康尼制定，维修</w:t>
            </w:r>
          </w:p>
        </w:tc>
        <w:tc>
          <w:tcPr>
            <w:tcW w:w="2131" w:type="dxa"/>
            <w:noWrap w:val="0"/>
            <w:vAlign w:val="center"/>
          </w:tcPr>
          <w:p>
            <w:pPr>
              <w:keepNext w:val="0"/>
              <w:keepLines w:val="0"/>
              <w:widowControl/>
              <w:suppressLineNumbers w:val="0"/>
              <w:jc w:val="center"/>
              <w:textAlignment w:val="center"/>
              <w:rPr>
                <w:rFonts w:hint="default" w:eastAsia="仿宋_GB2312"/>
                <w:kern w:val="2"/>
                <w:sz w:val="24"/>
                <w:szCs w:val="24"/>
                <w:vertAlign w:val="baseline"/>
                <w:lang w:val="en-US" w:eastAsia="zh-CN" w:bidi="ar-SA"/>
              </w:rPr>
            </w:pPr>
            <w:r>
              <w:rPr>
                <w:rFonts w:hint="eastAsia" w:eastAsia="仿宋_GB2312"/>
                <w:kern w:val="2"/>
                <w:sz w:val="24"/>
                <w:szCs w:val="24"/>
                <w:vertAlign w:val="baseline"/>
                <w:lang w:val="en-US" w:eastAsia="zh-CN" w:bidi="ar-SA"/>
              </w:rPr>
              <w:t>1</w:t>
            </w:r>
          </w:p>
        </w:tc>
        <w:tc>
          <w:tcPr>
            <w:tcW w:w="2132" w:type="dxa"/>
            <w:vMerge w:val="continue"/>
            <w:noWrap w:val="0"/>
            <w:vAlign w:val="center"/>
          </w:tcPr>
          <w:p>
            <w:pPr>
              <w:keepNext w:val="0"/>
              <w:keepLines w:val="0"/>
              <w:widowControl/>
              <w:suppressLineNumbers w:val="0"/>
              <w:jc w:val="center"/>
              <w:textAlignment w:val="center"/>
              <w:rPr>
                <w:rFonts w:hint="eastAsia" w:eastAsia="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光伏充电核心板</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康尼制定，维修</w:t>
            </w:r>
          </w:p>
        </w:tc>
        <w:tc>
          <w:tcPr>
            <w:tcW w:w="2131" w:type="dxa"/>
            <w:noWrap w:val="0"/>
            <w:vAlign w:val="center"/>
          </w:tcPr>
          <w:p>
            <w:pPr>
              <w:keepNext w:val="0"/>
              <w:keepLines w:val="0"/>
              <w:widowControl/>
              <w:suppressLineNumbers w:val="0"/>
              <w:jc w:val="center"/>
              <w:textAlignment w:val="center"/>
              <w:rPr>
                <w:rFonts w:hint="default" w:eastAsia="仿宋_GB2312"/>
                <w:kern w:val="2"/>
                <w:sz w:val="24"/>
                <w:szCs w:val="24"/>
                <w:vertAlign w:val="baseline"/>
                <w:lang w:val="en-US" w:eastAsia="zh-CN" w:bidi="ar-SA"/>
              </w:rPr>
            </w:pPr>
            <w:r>
              <w:rPr>
                <w:rFonts w:hint="eastAsia" w:eastAsia="仿宋_GB2312"/>
                <w:kern w:val="2"/>
                <w:sz w:val="24"/>
                <w:szCs w:val="24"/>
                <w:vertAlign w:val="baseline"/>
                <w:lang w:val="en-US" w:eastAsia="zh-CN" w:bidi="ar-SA"/>
              </w:rPr>
              <w:t>1</w:t>
            </w:r>
          </w:p>
        </w:tc>
        <w:tc>
          <w:tcPr>
            <w:tcW w:w="2132" w:type="dxa"/>
            <w:vMerge w:val="continue"/>
            <w:noWrap w:val="0"/>
            <w:vAlign w:val="center"/>
          </w:tcPr>
          <w:p>
            <w:pPr>
              <w:keepNext w:val="0"/>
              <w:keepLines w:val="0"/>
              <w:widowControl/>
              <w:suppressLineNumbers w:val="0"/>
              <w:jc w:val="center"/>
              <w:textAlignment w:val="center"/>
              <w:rPr>
                <w:rFonts w:hint="eastAsia" w:eastAsia="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风电充电核心板</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康尼制定，维修</w:t>
            </w:r>
          </w:p>
        </w:tc>
        <w:tc>
          <w:tcPr>
            <w:tcW w:w="2131" w:type="dxa"/>
            <w:noWrap w:val="0"/>
            <w:vAlign w:val="center"/>
          </w:tcPr>
          <w:p>
            <w:pPr>
              <w:keepNext w:val="0"/>
              <w:keepLines w:val="0"/>
              <w:widowControl/>
              <w:suppressLineNumbers w:val="0"/>
              <w:jc w:val="center"/>
              <w:textAlignment w:val="center"/>
              <w:rPr>
                <w:rFonts w:hint="default" w:eastAsia="仿宋_GB2312"/>
                <w:kern w:val="2"/>
                <w:sz w:val="24"/>
                <w:szCs w:val="24"/>
                <w:vertAlign w:val="baseline"/>
                <w:lang w:val="en-US" w:eastAsia="zh-CN" w:bidi="ar-SA"/>
              </w:rPr>
            </w:pPr>
            <w:r>
              <w:rPr>
                <w:rFonts w:hint="eastAsia" w:eastAsia="仿宋_GB2312"/>
                <w:kern w:val="2"/>
                <w:sz w:val="24"/>
                <w:szCs w:val="24"/>
                <w:vertAlign w:val="baseline"/>
                <w:lang w:val="en-US" w:eastAsia="zh-CN" w:bidi="ar-SA"/>
              </w:rPr>
              <w:t>1</w:t>
            </w:r>
          </w:p>
        </w:tc>
        <w:tc>
          <w:tcPr>
            <w:tcW w:w="2132" w:type="dxa"/>
            <w:vMerge w:val="continue"/>
            <w:noWrap w:val="0"/>
            <w:vAlign w:val="center"/>
          </w:tcPr>
          <w:p>
            <w:pPr>
              <w:keepNext w:val="0"/>
              <w:keepLines w:val="0"/>
              <w:widowControl/>
              <w:suppressLineNumbers w:val="0"/>
              <w:jc w:val="center"/>
              <w:textAlignment w:val="center"/>
              <w:rPr>
                <w:rFonts w:hint="eastAsia" w:eastAsia="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逆变升压板</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康尼制定，维修</w:t>
            </w:r>
          </w:p>
        </w:tc>
        <w:tc>
          <w:tcPr>
            <w:tcW w:w="2131" w:type="dxa"/>
            <w:noWrap w:val="0"/>
            <w:vAlign w:val="center"/>
          </w:tcPr>
          <w:p>
            <w:pPr>
              <w:keepNext w:val="0"/>
              <w:keepLines w:val="0"/>
              <w:widowControl/>
              <w:suppressLineNumbers w:val="0"/>
              <w:jc w:val="center"/>
              <w:textAlignment w:val="center"/>
              <w:rPr>
                <w:rFonts w:hint="default" w:eastAsia="仿宋_GB2312"/>
                <w:kern w:val="2"/>
                <w:sz w:val="24"/>
                <w:szCs w:val="24"/>
                <w:vertAlign w:val="baseline"/>
                <w:lang w:val="en-US" w:eastAsia="zh-CN" w:bidi="ar-SA"/>
              </w:rPr>
            </w:pPr>
            <w:r>
              <w:rPr>
                <w:rFonts w:hint="eastAsia" w:eastAsia="仿宋_GB2312"/>
                <w:kern w:val="2"/>
                <w:sz w:val="24"/>
                <w:szCs w:val="24"/>
                <w:vertAlign w:val="baseline"/>
                <w:lang w:val="en-US" w:eastAsia="zh-CN" w:bidi="ar-SA"/>
              </w:rPr>
              <w:t>2</w:t>
            </w:r>
          </w:p>
        </w:tc>
        <w:tc>
          <w:tcPr>
            <w:tcW w:w="2132" w:type="dxa"/>
            <w:vMerge w:val="continue"/>
            <w:noWrap w:val="0"/>
            <w:vAlign w:val="center"/>
          </w:tcPr>
          <w:p>
            <w:pPr>
              <w:keepNext w:val="0"/>
              <w:keepLines w:val="0"/>
              <w:widowControl/>
              <w:suppressLineNumbers w:val="0"/>
              <w:jc w:val="center"/>
              <w:textAlignment w:val="center"/>
              <w:rPr>
                <w:rFonts w:hint="eastAsia" w:eastAsia="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监控一体机硬盘</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维修</w:t>
            </w:r>
          </w:p>
        </w:tc>
        <w:tc>
          <w:tcPr>
            <w:tcW w:w="2131"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2</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PLC 电源模块</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S7-200 smart</w:t>
            </w:r>
          </w:p>
        </w:tc>
        <w:tc>
          <w:tcPr>
            <w:tcW w:w="2131"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PLC数字量输入输出模块</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S7-200 smart</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PLC 模拟量输入输出模块</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S7-200 smart</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直流数显电流表</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PA195I-DK1</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2</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直流数显电压表</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PZ195U-DK1</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2</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空开</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2P-10A</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10</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空开</w:t>
            </w:r>
          </w:p>
        </w:tc>
        <w:tc>
          <w:tcPr>
            <w:tcW w:w="2130"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1P-4A</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10</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三相异步电机机座附件</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MS7124-B3</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b/>
                <w:bCs/>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三相异步电机定转子</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MS7124-B3</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便携示波器</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UTD1025C ，维修</w:t>
            </w:r>
          </w:p>
        </w:tc>
        <w:tc>
          <w:tcPr>
            <w:tcW w:w="2131" w:type="dxa"/>
            <w:noWrap w:val="0"/>
            <w:vAlign w:val="center"/>
          </w:tcPr>
          <w:p>
            <w:pPr>
              <w:keepNext w:val="0"/>
              <w:keepLines w:val="0"/>
              <w:widowControl/>
              <w:suppressLineNumbers w:val="0"/>
              <w:jc w:val="center"/>
              <w:textAlignment w:val="center"/>
              <w:rPr>
                <w:rFonts w:hint="eastAsia"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铅酸蓄电池</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12V-80A</w:t>
            </w:r>
          </w:p>
        </w:tc>
        <w:tc>
          <w:tcPr>
            <w:tcW w:w="2131"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铅酸蓄电池充电器</w:t>
            </w:r>
          </w:p>
        </w:tc>
        <w:tc>
          <w:tcPr>
            <w:tcW w:w="2130"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12V-80A，可快充</w:t>
            </w:r>
          </w:p>
        </w:tc>
        <w:tc>
          <w:tcPr>
            <w:tcW w:w="2131"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r>
              <w:rPr>
                <w:rFonts w:hint="eastAsia" w:ascii="Calibri" w:hAnsi="Calibri" w:eastAsia="仿宋_GB2312" w:cs="Times New Roman"/>
                <w:kern w:val="2"/>
                <w:sz w:val="24"/>
                <w:szCs w:val="24"/>
                <w:vertAlign w:val="baseline"/>
                <w:lang w:val="en-US" w:eastAsia="zh-CN" w:bidi="ar-SA"/>
              </w:rPr>
              <w:t>1</w:t>
            </w:r>
          </w:p>
        </w:tc>
        <w:tc>
          <w:tcPr>
            <w:tcW w:w="2132" w:type="dxa"/>
            <w:noWrap w:val="0"/>
            <w:vAlign w:val="center"/>
          </w:tcPr>
          <w:p>
            <w:pPr>
              <w:keepNext w:val="0"/>
              <w:keepLines w:val="0"/>
              <w:widowControl/>
              <w:suppressLineNumbers w:val="0"/>
              <w:jc w:val="center"/>
              <w:textAlignment w:val="center"/>
              <w:rPr>
                <w:rFonts w:hint="default" w:ascii="Calibri" w:hAnsi="Calibri" w:eastAsia="仿宋_GB2312" w:cs="Times New Roman"/>
                <w:kern w:val="2"/>
                <w:sz w:val="24"/>
                <w:szCs w:val="24"/>
                <w:vertAlign w:val="baseline"/>
                <w:lang w:val="en-US" w:eastAsia="zh-CN" w:bidi="ar-SA"/>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67A450F4"/>
    <w:rsid w:val="1329530B"/>
    <w:rsid w:val="1A5D510B"/>
    <w:rsid w:val="2CC24A5F"/>
    <w:rsid w:val="2DCF4687"/>
    <w:rsid w:val="3D060397"/>
    <w:rsid w:val="48396491"/>
    <w:rsid w:val="5DBE39C6"/>
    <w:rsid w:val="67A450F4"/>
    <w:rsid w:val="72B9673E"/>
    <w:rsid w:val="7D7C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qFormat/>
    <w:uiPriority w:val="0"/>
    <w:pPr>
      <w:spacing w:after="120" w:line="240" w:lineRule="auto"/>
      <w:ind w:left="420" w:leftChars="200" w:firstLine="420" w:firstLineChars="20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2790</Words>
  <Characters>3039</Characters>
  <Lines>0</Lines>
  <Paragraphs>0</Paragraphs>
  <TotalTime>0</TotalTime>
  <ScaleCrop>false</ScaleCrop>
  <LinksUpToDate>false</LinksUpToDate>
  <CharactersWithSpaces>3395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Samsung</dc:creator>
  <cp:lastModifiedBy>赵萌</cp:lastModifiedBy>
  <dcterms:modified xsi:type="dcterms:W3CDTF">2022-06-01T07:39:07Z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21274F1C796E438EAFEED3DD22DAEEC2</vt:lpwstr>
  </property>
</Properties>
</file>