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tabs>
          <w:tab w:val="left" w:pos="7642"/>
        </w:tabs>
        <w:ind w:firstLine="0"/>
        <w:rPr>
          <w:rFonts w:ascii="宋体" w:hAnsi="宋体" w:cs="宋体"/>
          <w:b/>
          <w:color w:val="000000" w:themeColor="text1"/>
          <w:sz w:val="52"/>
          <w:szCs w:val="52"/>
        </w:rPr>
      </w:pPr>
      <w:r>
        <w:rPr>
          <w:rFonts w:hint="eastAsia" w:ascii="宋体" w:hAnsi="宋体" w:cs="宋体"/>
          <w:b/>
          <w:color w:val="000000" w:themeColor="text1"/>
          <w:sz w:val="52"/>
          <w:szCs w:val="52"/>
        </w:rPr>
        <w:tab/>
      </w:r>
    </w:p>
    <w:p>
      <w:pPr>
        <w:pStyle w:val="56"/>
        <w:ind w:firstLine="0"/>
        <w:jc w:val="center"/>
        <w:rPr>
          <w:rFonts w:ascii="宋体" w:hAnsi="宋体" w:cs="宋体"/>
          <w:b/>
          <w:bCs/>
          <w:color w:val="000000" w:themeColor="text1"/>
          <w:sz w:val="84"/>
        </w:rPr>
      </w:pPr>
      <w:r>
        <w:rPr>
          <w:rFonts w:hint="eastAsia" w:ascii="宋体" w:hAnsi="宋体" w:cs="宋体"/>
          <w:b/>
          <w:color w:val="000000" w:themeColor="text1"/>
          <w:kern w:val="2"/>
          <w:sz w:val="72"/>
          <w:szCs w:val="20"/>
        </w:rPr>
        <w:t>竞争性磋商文件</w:t>
      </w:r>
    </w:p>
    <w:p>
      <w:pPr>
        <w:pStyle w:val="56"/>
        <w:ind w:firstLine="0"/>
        <w:rPr>
          <w:rFonts w:ascii="宋体" w:hAnsi="宋体" w:cs="宋体"/>
          <w:b/>
          <w:bCs/>
          <w:color w:val="000000" w:themeColor="text1"/>
          <w:sz w:val="32"/>
          <w:szCs w:val="32"/>
        </w:rPr>
      </w:pPr>
    </w:p>
    <w:p>
      <w:pPr>
        <w:pStyle w:val="56"/>
        <w:ind w:firstLine="0"/>
        <w:rPr>
          <w:rFonts w:ascii="宋体" w:hAnsi="宋体" w:cs="宋体"/>
          <w:b/>
          <w:bCs/>
          <w:color w:val="000000" w:themeColor="text1"/>
          <w:sz w:val="32"/>
          <w:szCs w:val="32"/>
        </w:rPr>
      </w:pPr>
    </w:p>
    <w:p>
      <w:pPr>
        <w:rPr>
          <w:rFonts w:ascii="宋体" w:hAnsi="宋体" w:cs="宋体"/>
          <w:b/>
          <w:color w:val="000000" w:themeColor="text1"/>
          <w:sz w:val="36"/>
        </w:rPr>
      </w:pPr>
    </w:p>
    <w:p>
      <w:pPr>
        <w:rPr>
          <w:rFonts w:ascii="宋体" w:hAnsi="宋体" w:cs="宋体"/>
          <w:b/>
          <w:color w:val="000000" w:themeColor="text1"/>
          <w:sz w:val="36"/>
        </w:rPr>
      </w:pPr>
    </w:p>
    <w:p>
      <w:pPr>
        <w:ind w:firstLine="1606" w:firstLineChars="500"/>
        <w:rPr>
          <w:rFonts w:hint="default" w:ascii="宋体" w:hAnsi="宋体" w:eastAsia="宋体" w:cs="宋体"/>
          <w:b/>
          <w:color w:val="000000" w:themeColor="text1"/>
          <w:sz w:val="32"/>
          <w:szCs w:val="32"/>
          <w:lang w:val="en-US" w:eastAsia="zh-CN"/>
        </w:rPr>
      </w:pPr>
      <w:r>
        <w:rPr>
          <w:rFonts w:hint="eastAsia" w:ascii="宋体" w:hAnsi="宋体" w:cs="宋体"/>
          <w:b/>
          <w:color w:val="000000" w:themeColor="text1"/>
          <w:sz w:val="32"/>
          <w:szCs w:val="32"/>
        </w:rPr>
        <w:t>项目编号：2022</w:t>
      </w:r>
      <w:r>
        <w:rPr>
          <w:rFonts w:hint="eastAsia" w:ascii="宋体" w:hAnsi="宋体" w:cs="宋体"/>
          <w:b/>
          <w:color w:val="000000" w:themeColor="text1"/>
          <w:sz w:val="32"/>
          <w:szCs w:val="32"/>
          <w:lang w:val="en-US" w:eastAsia="zh-CN"/>
        </w:rPr>
        <w:t>F</w:t>
      </w:r>
      <w:r>
        <w:rPr>
          <w:rFonts w:hint="eastAsia" w:ascii="宋体" w:hAnsi="宋体" w:cs="宋体"/>
          <w:b/>
          <w:color w:val="000000" w:themeColor="text1"/>
          <w:sz w:val="32"/>
          <w:szCs w:val="32"/>
        </w:rPr>
        <w:t>-</w:t>
      </w:r>
      <w:r>
        <w:rPr>
          <w:rFonts w:hint="eastAsia" w:ascii="宋体" w:hAnsi="宋体" w:cs="宋体"/>
          <w:b/>
          <w:color w:val="000000" w:themeColor="text1"/>
          <w:sz w:val="32"/>
          <w:szCs w:val="32"/>
          <w:lang w:val="en-US" w:eastAsia="zh-CN"/>
        </w:rPr>
        <w:t>027</w:t>
      </w: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spacing w:line="560" w:lineRule="exact"/>
        <w:jc w:val="center"/>
        <w:rPr>
          <w:rFonts w:ascii="宋体" w:hAnsi="宋体" w:cs="宋体"/>
          <w:b/>
          <w:bCs/>
          <w:color w:val="000000" w:themeColor="text1"/>
          <w:sz w:val="32"/>
          <w:szCs w:val="32"/>
        </w:rPr>
      </w:pPr>
      <w:bookmarkStart w:id="0" w:name="_Toc9337"/>
      <w:r>
        <w:rPr>
          <w:rFonts w:hint="eastAsia" w:ascii="宋体" w:hAnsi="宋体" w:cs="宋体"/>
          <w:b/>
          <w:color w:val="000000" w:themeColor="text1"/>
          <w:sz w:val="32"/>
          <w:szCs w:val="32"/>
        </w:rPr>
        <w:t>项目名称：</w:t>
      </w:r>
      <w:r>
        <w:rPr>
          <w:rFonts w:hint="eastAsia" w:ascii="宋体" w:hAnsi="宋体" w:cs="宋体"/>
          <w:b/>
          <w:bCs/>
          <w:color w:val="000000" w:themeColor="text1"/>
          <w:sz w:val="32"/>
          <w:szCs w:val="32"/>
        </w:rPr>
        <w:t>宿舍区域水电维修外包</w:t>
      </w:r>
      <w:bookmarkEnd w:id="0"/>
      <w:r>
        <w:rPr>
          <w:rFonts w:hint="eastAsia" w:ascii="宋体" w:hAnsi="宋体" w:cs="宋体"/>
          <w:b/>
          <w:bCs/>
          <w:color w:val="000000" w:themeColor="text1"/>
          <w:sz w:val="32"/>
          <w:szCs w:val="32"/>
        </w:rPr>
        <w:t>服务</w:t>
      </w: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pStyle w:val="58"/>
        <w:rPr>
          <w:rFonts w:ascii="宋体" w:hAnsi="宋体" w:cs="宋体"/>
          <w:color w:val="000000" w:themeColor="text1"/>
          <w:sz w:val="32"/>
          <w:szCs w:val="32"/>
        </w:rPr>
      </w:pPr>
    </w:p>
    <w:p>
      <w:pPr>
        <w:jc w:val="center"/>
        <w:rPr>
          <w:rFonts w:ascii="宋体" w:hAnsi="宋体" w:cs="宋体"/>
          <w:b/>
          <w:color w:val="000000" w:themeColor="text1"/>
          <w:sz w:val="32"/>
          <w:szCs w:val="32"/>
        </w:rPr>
      </w:pPr>
    </w:p>
    <w:p>
      <w:pPr>
        <w:pStyle w:val="80"/>
        <w:rPr>
          <w:rFonts w:ascii="宋体" w:hAnsi="宋体" w:eastAsia="宋体" w:cs="宋体"/>
          <w:color w:val="000000" w:themeColor="text1"/>
          <w:sz w:val="32"/>
          <w:szCs w:val="32"/>
        </w:rPr>
      </w:pPr>
    </w:p>
    <w:p>
      <w:pPr>
        <w:spacing w:line="560" w:lineRule="exact"/>
        <w:jc w:val="center"/>
        <w:rPr>
          <w:rFonts w:ascii="宋体" w:hAnsi="宋体" w:cs="宋体"/>
          <w:b/>
          <w:bCs/>
          <w:color w:val="000000" w:themeColor="text1"/>
          <w:sz w:val="32"/>
          <w:szCs w:val="32"/>
        </w:rPr>
      </w:pPr>
      <w:bookmarkStart w:id="1" w:name="_Toc1529"/>
      <w:r>
        <w:rPr>
          <w:rFonts w:hint="eastAsia" w:ascii="宋体" w:hAnsi="宋体" w:cs="宋体"/>
          <w:b/>
          <w:bCs/>
          <w:color w:val="000000" w:themeColor="text1"/>
          <w:sz w:val="32"/>
          <w:szCs w:val="32"/>
        </w:rPr>
        <w:t>盐城工业职业技术学院</w:t>
      </w:r>
      <w:bookmarkEnd w:id="1"/>
    </w:p>
    <w:p>
      <w:pPr>
        <w:jc w:val="center"/>
        <w:rPr>
          <w:rFonts w:ascii="宋体" w:hAnsi="宋体" w:cs="宋体"/>
          <w:b/>
          <w:color w:val="000000" w:themeColor="text1"/>
          <w:sz w:val="36"/>
        </w:rPr>
      </w:pPr>
      <w:r>
        <w:rPr>
          <w:rFonts w:hint="eastAsia" w:ascii="宋体" w:hAnsi="宋体" w:cs="宋体"/>
          <w:b/>
          <w:bCs/>
          <w:color w:val="000000" w:themeColor="text1"/>
          <w:sz w:val="32"/>
          <w:szCs w:val="32"/>
        </w:rPr>
        <w:t>2022年</w:t>
      </w:r>
      <w:r>
        <w:rPr>
          <w:rFonts w:hint="eastAsia" w:ascii="宋体" w:hAnsi="宋体" w:cs="宋体"/>
          <w:b/>
          <w:bCs/>
          <w:color w:val="000000" w:themeColor="text1"/>
          <w:sz w:val="32"/>
          <w:szCs w:val="32"/>
          <w:lang w:val="en-US" w:eastAsia="zh-CN"/>
        </w:rPr>
        <w:t>9</w:t>
      </w:r>
      <w:r>
        <w:rPr>
          <w:rFonts w:hint="eastAsia" w:ascii="宋体" w:hAnsi="宋体" w:cs="宋体"/>
          <w:b/>
          <w:bCs/>
          <w:color w:val="000000" w:themeColor="text1"/>
          <w:sz w:val="32"/>
          <w:szCs w:val="32"/>
        </w:rPr>
        <w:t>月</w:t>
      </w:r>
      <w:r>
        <w:rPr>
          <w:rFonts w:hint="eastAsia" w:ascii="宋体" w:hAnsi="宋体" w:cs="宋体"/>
          <w:b/>
          <w:bCs/>
          <w:color w:val="000000" w:themeColor="text1"/>
          <w:sz w:val="32"/>
          <w:szCs w:val="32"/>
          <w:lang w:val="en-US" w:eastAsia="zh-CN"/>
        </w:rPr>
        <w:t>7</w:t>
      </w:r>
      <w:r>
        <w:rPr>
          <w:rFonts w:hint="eastAsia" w:ascii="宋体" w:hAnsi="宋体" w:cs="宋体"/>
          <w:b/>
          <w:bCs/>
          <w:color w:val="000000" w:themeColor="text1"/>
          <w:sz w:val="32"/>
          <w:szCs w:val="32"/>
        </w:rPr>
        <w:t>日</w:t>
      </w:r>
    </w:p>
    <w:p>
      <w:pPr>
        <w:pStyle w:val="56"/>
        <w:ind w:firstLine="0"/>
        <w:jc w:val="center"/>
        <w:rPr>
          <w:rFonts w:ascii="宋体" w:hAnsi="宋体" w:cs="宋体"/>
          <w:b/>
          <w:bCs/>
          <w:color w:val="000000" w:themeColor="text1"/>
          <w:sz w:val="32"/>
        </w:rPr>
      </w:pPr>
    </w:p>
    <w:p>
      <w:pPr>
        <w:rPr>
          <w:rFonts w:ascii="宋体" w:hAnsi="宋体" w:cs="宋体"/>
          <w:b/>
          <w:color w:val="000000" w:themeColor="text1"/>
          <w:sz w:val="44"/>
          <w:szCs w:val="21"/>
        </w:rPr>
        <w:sectPr>
          <w:headerReference r:id="rId5" w:type="first"/>
          <w:headerReference r:id="rId3" w:type="default"/>
          <w:headerReference r:id="rId4" w:type="even"/>
          <w:footerReference r:id="rId6" w:type="even"/>
          <w:pgSz w:w="11906" w:h="16838"/>
          <w:pgMar w:top="1440" w:right="1587" w:bottom="1440" w:left="1587" w:header="851" w:footer="907" w:gutter="0"/>
          <w:pgNumType w:start="1"/>
          <w:cols w:space="720" w:num="1"/>
          <w:titlePg/>
          <w:docGrid w:type="lines" w:linePitch="286" w:charSpace="0"/>
        </w:sectPr>
      </w:pPr>
    </w:p>
    <w:p>
      <w:pPr>
        <w:pStyle w:val="58"/>
        <w:rPr>
          <w:rFonts w:ascii="宋体" w:hAnsi="宋体" w:cs="宋体"/>
          <w:color w:val="000000" w:themeColor="text1"/>
        </w:rPr>
      </w:pPr>
    </w:p>
    <w:p>
      <w:pPr>
        <w:ind w:firstLine="3313" w:firstLineChars="750"/>
        <w:rPr>
          <w:rFonts w:ascii="宋体" w:hAnsi="宋体" w:cs="宋体"/>
          <w:b/>
          <w:color w:val="000000" w:themeColor="text1"/>
          <w:sz w:val="44"/>
          <w:szCs w:val="44"/>
        </w:rPr>
      </w:pPr>
      <w:r>
        <w:rPr>
          <w:rFonts w:hint="eastAsia" w:ascii="宋体" w:hAnsi="宋体" w:cs="宋体"/>
          <w:b/>
          <w:color w:val="000000" w:themeColor="text1"/>
          <w:sz w:val="44"/>
          <w:szCs w:val="21"/>
        </w:rPr>
        <w:t>总 目 录</w:t>
      </w:r>
    </w:p>
    <w:p>
      <w:pPr>
        <w:spacing w:line="720" w:lineRule="auto"/>
        <w:rPr>
          <w:rFonts w:ascii="宋体" w:hAnsi="宋体" w:cs="宋体"/>
          <w:color w:val="000000" w:themeColor="text1"/>
          <w:sz w:val="36"/>
          <w:szCs w:val="21"/>
        </w:rPr>
      </w:pPr>
      <w:bookmarkStart w:id="2" w:name="_Toc24373"/>
    </w:p>
    <w:p>
      <w:pPr>
        <w:spacing w:line="720" w:lineRule="auto"/>
        <w:rPr>
          <w:rFonts w:ascii="宋体" w:hAnsi="宋体" w:cs="宋体"/>
          <w:color w:val="000000" w:themeColor="text1"/>
          <w:sz w:val="36"/>
          <w:szCs w:val="21"/>
        </w:rPr>
      </w:pPr>
      <w:r>
        <w:rPr>
          <w:rFonts w:hint="eastAsia" w:ascii="宋体" w:hAnsi="宋体" w:cs="宋体"/>
          <w:color w:val="000000" w:themeColor="text1"/>
          <w:sz w:val="36"/>
          <w:szCs w:val="21"/>
        </w:rPr>
        <w:t>第一章    竞争性磋商采购公告………………………</w:t>
      </w:r>
      <w:bookmarkEnd w:id="2"/>
      <w:r>
        <w:rPr>
          <w:rFonts w:hint="eastAsia" w:ascii="宋体" w:hAnsi="宋体" w:cs="宋体"/>
          <w:color w:val="000000" w:themeColor="text1"/>
          <w:sz w:val="36"/>
          <w:szCs w:val="21"/>
        </w:rPr>
        <w:t xml:space="preserve">1 </w:t>
      </w:r>
    </w:p>
    <w:p>
      <w:pPr>
        <w:spacing w:line="720" w:lineRule="auto"/>
        <w:outlineLvl w:val="0"/>
        <w:rPr>
          <w:rFonts w:ascii="宋体" w:hAnsi="宋体" w:cs="宋体"/>
          <w:color w:val="000000" w:themeColor="text1"/>
          <w:sz w:val="36"/>
          <w:szCs w:val="21"/>
        </w:rPr>
      </w:pPr>
      <w:bookmarkStart w:id="3" w:name="_Toc4988"/>
      <w:bookmarkStart w:id="4" w:name="_Toc17320"/>
      <w:r>
        <w:rPr>
          <w:rFonts w:hint="eastAsia" w:ascii="宋体" w:hAnsi="宋体" w:cs="宋体"/>
          <w:color w:val="000000" w:themeColor="text1"/>
          <w:sz w:val="36"/>
          <w:szCs w:val="21"/>
        </w:rPr>
        <w:t>第二章    磋商须知……………………………………</w:t>
      </w:r>
      <w:bookmarkEnd w:id="3"/>
      <w:bookmarkEnd w:id="4"/>
      <w:r>
        <w:rPr>
          <w:rFonts w:hint="eastAsia" w:ascii="宋体" w:hAnsi="宋体" w:cs="宋体"/>
          <w:color w:val="000000" w:themeColor="text1"/>
          <w:sz w:val="36"/>
          <w:szCs w:val="21"/>
        </w:rPr>
        <w:t xml:space="preserve">4 </w:t>
      </w:r>
    </w:p>
    <w:p>
      <w:pPr>
        <w:spacing w:line="720" w:lineRule="auto"/>
        <w:rPr>
          <w:rFonts w:ascii="宋体" w:hAnsi="宋体" w:cs="宋体"/>
          <w:color w:val="000000" w:themeColor="text1"/>
          <w:sz w:val="36"/>
          <w:szCs w:val="21"/>
        </w:rPr>
      </w:pPr>
      <w:bookmarkStart w:id="5" w:name="_Toc19239"/>
      <w:r>
        <w:rPr>
          <w:rFonts w:hint="eastAsia" w:ascii="宋体" w:hAnsi="宋体" w:cs="宋体"/>
          <w:color w:val="000000" w:themeColor="text1"/>
          <w:sz w:val="36"/>
          <w:szCs w:val="21"/>
        </w:rPr>
        <w:t>第三章    合同条款及格式……………………………1</w:t>
      </w:r>
      <w:bookmarkEnd w:id="5"/>
      <w:r>
        <w:rPr>
          <w:rFonts w:hint="eastAsia" w:ascii="宋体" w:hAnsi="宋体" w:cs="宋体"/>
          <w:color w:val="000000" w:themeColor="text1"/>
          <w:sz w:val="36"/>
          <w:szCs w:val="21"/>
        </w:rPr>
        <w:t xml:space="preserve">4 </w:t>
      </w:r>
    </w:p>
    <w:p>
      <w:pPr>
        <w:spacing w:line="720" w:lineRule="auto"/>
        <w:rPr>
          <w:rFonts w:ascii="宋体" w:hAnsi="宋体" w:cs="宋体"/>
          <w:color w:val="000000" w:themeColor="text1"/>
          <w:sz w:val="36"/>
          <w:szCs w:val="21"/>
        </w:rPr>
      </w:pPr>
      <w:bookmarkStart w:id="6" w:name="_Toc10580"/>
      <w:r>
        <w:rPr>
          <w:rFonts w:hint="eastAsia" w:ascii="宋体" w:hAnsi="宋体" w:cs="宋体"/>
          <w:color w:val="000000" w:themeColor="text1"/>
          <w:sz w:val="36"/>
          <w:szCs w:val="21"/>
        </w:rPr>
        <w:t>第四章    项目需求……………………………………</w:t>
      </w:r>
      <w:bookmarkEnd w:id="6"/>
      <w:r>
        <w:rPr>
          <w:rFonts w:hint="eastAsia" w:ascii="宋体" w:hAnsi="宋体" w:cs="宋体"/>
          <w:color w:val="000000" w:themeColor="text1"/>
          <w:sz w:val="36"/>
          <w:szCs w:val="21"/>
        </w:rPr>
        <w:t xml:space="preserve">18 </w:t>
      </w:r>
    </w:p>
    <w:p>
      <w:pPr>
        <w:spacing w:line="720" w:lineRule="auto"/>
        <w:rPr>
          <w:rFonts w:ascii="宋体" w:hAnsi="宋体" w:cs="宋体"/>
          <w:color w:val="000000" w:themeColor="text1"/>
          <w:sz w:val="36"/>
          <w:szCs w:val="21"/>
        </w:rPr>
      </w:pPr>
      <w:bookmarkStart w:id="7" w:name="_Toc14132"/>
      <w:r>
        <w:rPr>
          <w:rFonts w:hint="eastAsia" w:ascii="宋体" w:hAnsi="宋体" w:cs="宋体"/>
          <w:color w:val="000000" w:themeColor="text1"/>
          <w:sz w:val="36"/>
          <w:szCs w:val="21"/>
        </w:rPr>
        <w:t>第五章    评审方法和评审标准………………………</w:t>
      </w:r>
      <w:bookmarkEnd w:id="7"/>
      <w:r>
        <w:rPr>
          <w:rFonts w:hint="eastAsia" w:ascii="宋体" w:hAnsi="宋体" w:cs="宋体"/>
          <w:color w:val="000000" w:themeColor="text1"/>
          <w:sz w:val="36"/>
          <w:szCs w:val="21"/>
        </w:rPr>
        <w:t>20</w:t>
      </w:r>
    </w:p>
    <w:p>
      <w:pPr>
        <w:spacing w:line="720" w:lineRule="auto"/>
        <w:rPr>
          <w:rFonts w:ascii="宋体" w:hAnsi="宋体" w:cs="宋体"/>
          <w:color w:val="000000" w:themeColor="text1"/>
          <w:sz w:val="36"/>
          <w:szCs w:val="21"/>
        </w:rPr>
      </w:pPr>
      <w:bookmarkStart w:id="8" w:name="_Toc11404"/>
      <w:r>
        <w:rPr>
          <w:rFonts w:hint="eastAsia" w:ascii="宋体" w:hAnsi="宋体" w:cs="宋体"/>
          <w:color w:val="000000" w:themeColor="text1"/>
          <w:sz w:val="36"/>
          <w:szCs w:val="21"/>
        </w:rPr>
        <w:t>第六章    竞争性磋商响应文件格式…………………</w:t>
      </w:r>
      <w:bookmarkEnd w:id="8"/>
      <w:r>
        <w:rPr>
          <w:rFonts w:hint="eastAsia" w:ascii="宋体" w:hAnsi="宋体" w:cs="宋体"/>
          <w:color w:val="000000" w:themeColor="text1"/>
          <w:sz w:val="36"/>
          <w:szCs w:val="21"/>
        </w:rPr>
        <w:t xml:space="preserve">22 </w:t>
      </w:r>
    </w:p>
    <w:p>
      <w:pPr>
        <w:rPr>
          <w:rFonts w:ascii="宋体" w:hAnsi="宋体" w:cs="宋体"/>
          <w:color w:val="000000" w:themeColor="text1"/>
        </w:rPr>
      </w:pPr>
    </w:p>
    <w:p>
      <w:pPr>
        <w:jc w:val="center"/>
        <w:rPr>
          <w:rFonts w:ascii="宋体" w:hAnsi="宋体" w:cs="宋体"/>
          <w:color w:val="000000" w:themeColor="text1"/>
          <w:sz w:val="44"/>
          <w:szCs w:val="44"/>
        </w:rPr>
        <w:sectPr>
          <w:footerReference r:id="rId7" w:type="default"/>
          <w:pgSz w:w="11906" w:h="16838"/>
          <w:pgMar w:top="1418" w:right="1417" w:bottom="1418" w:left="1417" w:header="851" w:footer="907" w:gutter="0"/>
          <w:pgNumType w:start="1"/>
          <w:cols w:space="720" w:num="1"/>
          <w:docGrid w:type="lines" w:linePitch="290" w:charSpace="0"/>
        </w:sectPr>
      </w:pPr>
    </w:p>
    <w:p>
      <w:pPr>
        <w:jc w:val="center"/>
        <w:outlineLvl w:val="0"/>
        <w:rPr>
          <w:rFonts w:ascii="宋体" w:hAnsi="宋体" w:cs="宋体"/>
          <w:color w:val="000000" w:themeColor="text1"/>
          <w:sz w:val="44"/>
          <w:szCs w:val="44"/>
        </w:rPr>
      </w:pPr>
      <w:bookmarkStart w:id="9" w:name="_Toc26792"/>
      <w:r>
        <w:rPr>
          <w:rFonts w:hint="eastAsia" w:ascii="宋体" w:hAnsi="宋体" w:cs="宋体"/>
          <w:b/>
          <w:bCs/>
          <w:color w:val="000000" w:themeColor="text1"/>
          <w:sz w:val="44"/>
          <w:szCs w:val="44"/>
        </w:rPr>
        <w:t xml:space="preserve">第一章 </w:t>
      </w:r>
      <w:bookmarkStart w:id="185" w:name="_GoBack"/>
      <w:r>
        <w:rPr>
          <w:rFonts w:hint="eastAsia" w:ascii="宋体" w:hAnsi="宋体" w:cs="宋体"/>
          <w:b/>
          <w:bCs/>
          <w:color w:val="000000" w:themeColor="text1"/>
          <w:sz w:val="44"/>
          <w:szCs w:val="44"/>
        </w:rPr>
        <w:t>竞争性磋商采购公告</w:t>
      </w:r>
      <w:bookmarkEnd w:id="9"/>
    </w:p>
    <w:p>
      <w:pPr>
        <w:rPr>
          <w:rFonts w:ascii="宋体" w:hAnsi="宋体" w:cs="宋体"/>
          <w:color w:val="000000" w:themeColor="text1"/>
        </w:rPr>
      </w:pPr>
      <w:bookmarkStart w:id="10" w:name="_Toc14577347"/>
      <w:bookmarkStart w:id="11" w:name="_Toc61149549"/>
      <w:bookmarkStart w:id="12" w:name="_Toc513029209"/>
    </w:p>
    <w:p>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color w:val="000000" w:themeColor="text1"/>
          <w:sz w:val="24"/>
        </w:rPr>
      </w:pPr>
      <w:bookmarkStart w:id="13" w:name="_Toc28359089"/>
      <w:bookmarkStart w:id="14" w:name="_Toc35393629"/>
      <w:bookmarkStart w:id="15" w:name="_Toc28359012"/>
      <w:bookmarkStart w:id="16" w:name="_Toc35393798"/>
      <w:r>
        <w:rPr>
          <w:rFonts w:hint="eastAsia" w:ascii="宋体" w:hAnsi="宋体" w:cs="宋体"/>
          <w:color w:val="000000" w:themeColor="text1"/>
          <w:sz w:val="24"/>
        </w:rPr>
        <w:t>项目概况</w:t>
      </w:r>
    </w:p>
    <w:p>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color w:val="000000" w:themeColor="text1"/>
          <w:sz w:val="20"/>
          <w:szCs w:val="22"/>
        </w:rPr>
      </w:pPr>
      <w:r>
        <w:rPr>
          <w:rFonts w:hint="eastAsia" w:ascii="宋体" w:hAnsi="宋体" w:cs="宋体"/>
          <w:color w:val="000000" w:themeColor="text1"/>
          <w:sz w:val="24"/>
          <w:u w:val="single"/>
        </w:rPr>
        <w:t>宿舍区域水电维修外包服务</w:t>
      </w:r>
      <w:r>
        <w:rPr>
          <w:rFonts w:hint="eastAsia" w:ascii="宋体" w:hAnsi="宋体" w:cs="宋体"/>
          <w:color w:val="000000" w:themeColor="text1"/>
          <w:sz w:val="24"/>
        </w:rPr>
        <w:t>的潜在投标人应在盐城工业职业技术学院招标采购网获取磋商文件。于</w:t>
      </w:r>
      <w:r>
        <w:rPr>
          <w:rFonts w:hint="eastAsia" w:ascii="宋体" w:hAnsi="宋体" w:cs="宋体"/>
          <w:color w:val="000000" w:themeColor="text1"/>
          <w:sz w:val="24"/>
          <w:u w:val="single"/>
        </w:rPr>
        <w:t>2022年</w:t>
      </w:r>
      <w:r>
        <w:rPr>
          <w:rFonts w:hint="eastAsia" w:ascii="宋体" w:hAnsi="宋体" w:cs="宋体"/>
          <w:color w:val="000000" w:themeColor="text1"/>
          <w:sz w:val="24"/>
          <w:u w:val="single"/>
          <w:lang w:val="en-US" w:eastAsia="zh-CN"/>
        </w:rPr>
        <w:t>9</w:t>
      </w:r>
      <w:r>
        <w:rPr>
          <w:rFonts w:hint="eastAsia" w:ascii="宋体" w:hAnsi="宋体" w:cs="宋体"/>
          <w:color w:val="000000" w:themeColor="text1"/>
          <w:sz w:val="24"/>
          <w:u w:val="single"/>
        </w:rPr>
        <w:t>月</w:t>
      </w:r>
      <w:r>
        <w:rPr>
          <w:rFonts w:hint="eastAsia" w:ascii="宋体" w:hAnsi="宋体" w:cs="宋体"/>
          <w:color w:val="000000" w:themeColor="text1"/>
          <w:sz w:val="24"/>
          <w:u w:val="single"/>
          <w:lang w:val="en-US" w:eastAsia="zh-CN"/>
        </w:rPr>
        <w:t>20</w:t>
      </w:r>
      <w:r>
        <w:rPr>
          <w:rFonts w:hint="eastAsia" w:ascii="宋体" w:hAnsi="宋体" w:cs="宋体"/>
          <w:color w:val="000000" w:themeColor="text1"/>
          <w:sz w:val="24"/>
          <w:u w:val="single"/>
        </w:rPr>
        <w:t>日</w:t>
      </w:r>
      <w:r>
        <w:rPr>
          <w:rFonts w:hint="eastAsia" w:ascii="宋体" w:hAnsi="宋体" w:cs="宋体"/>
          <w:color w:val="000000" w:themeColor="text1"/>
          <w:sz w:val="24"/>
          <w:u w:val="single"/>
          <w:lang w:val="en-US" w:eastAsia="zh-CN"/>
        </w:rPr>
        <w:t>9</w:t>
      </w:r>
      <w:r>
        <w:rPr>
          <w:rFonts w:hint="eastAsia" w:ascii="宋体" w:hAnsi="宋体" w:cs="宋体"/>
          <w:color w:val="000000" w:themeColor="text1"/>
          <w:sz w:val="24"/>
          <w:u w:val="single"/>
        </w:rPr>
        <w:t>点00分</w:t>
      </w:r>
      <w:r>
        <w:rPr>
          <w:rFonts w:hint="eastAsia" w:ascii="宋体" w:hAnsi="宋体" w:cs="宋体"/>
          <w:bCs/>
          <w:color w:val="000000" w:themeColor="text1"/>
          <w:sz w:val="24"/>
        </w:rPr>
        <w:t>（北京时间）前提交响应文件</w:t>
      </w:r>
      <w:r>
        <w:rPr>
          <w:rFonts w:hint="eastAsia" w:ascii="宋体" w:hAnsi="宋体" w:cs="宋体"/>
          <w:color w:val="000000" w:themeColor="text1"/>
          <w:sz w:val="24"/>
        </w:rPr>
        <w:t>。</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cs="宋体"/>
          <w:b/>
          <w:bCs w:val="0"/>
          <w:color w:val="000000" w:themeColor="text1"/>
          <w:sz w:val="24"/>
        </w:rPr>
      </w:pPr>
      <w:r>
        <w:rPr>
          <w:rFonts w:hint="eastAsia" w:ascii="宋体" w:hAnsi="宋体" w:cs="宋体"/>
          <w:b/>
          <w:bCs w:val="0"/>
          <w:color w:val="000000" w:themeColor="text1"/>
          <w:sz w:val="24"/>
        </w:rPr>
        <w:t>一、项目基本情况</w:t>
      </w:r>
      <w:bookmarkEnd w:id="13"/>
      <w:bookmarkEnd w:id="14"/>
      <w:bookmarkEnd w:id="15"/>
      <w:bookmarkEnd w:id="16"/>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项目编号：2022</w:t>
      </w:r>
      <w:r>
        <w:rPr>
          <w:rFonts w:hint="eastAsia" w:ascii="宋体" w:hAnsi="宋体" w:cs="宋体"/>
          <w:color w:val="000000" w:themeColor="text1"/>
          <w:sz w:val="24"/>
          <w:lang w:val="en-US" w:eastAsia="zh-CN"/>
        </w:rPr>
        <w:t>F-027</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项目名称：宿舍区域水电维修外包服务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采购方式：□竞争性谈判 ☑竞争性磋商 □询价</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预算金额：9万元/年</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合同履行期限：一年。</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采购需求：详细内容请见本招标文件项目第四章需求部分。</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cs="宋体"/>
          <w:b/>
          <w:bCs w:val="0"/>
          <w:color w:val="000000" w:themeColor="text1"/>
          <w:sz w:val="24"/>
        </w:rPr>
      </w:pPr>
      <w:bookmarkStart w:id="17" w:name="_Toc28359090"/>
      <w:bookmarkStart w:id="18" w:name="_Toc35393799"/>
      <w:bookmarkStart w:id="19" w:name="_Toc28359013"/>
      <w:bookmarkStart w:id="20" w:name="_Toc35393630"/>
      <w:r>
        <w:rPr>
          <w:rFonts w:hint="eastAsia" w:ascii="宋体" w:hAnsi="宋体" w:cs="宋体"/>
          <w:b/>
          <w:bCs w:val="0"/>
          <w:color w:val="000000" w:themeColor="text1"/>
          <w:sz w:val="24"/>
        </w:rPr>
        <w:t>二、申请人的资格要求</w:t>
      </w:r>
      <w:bookmarkEnd w:id="17"/>
      <w:bookmarkEnd w:id="18"/>
      <w:bookmarkEnd w:id="19"/>
      <w:bookmarkEnd w:id="20"/>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1.满足《中华人民共和国政府采购法》第二十二条规定，并提供下列材料；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bookmarkStart w:id="21" w:name="_Toc28359014"/>
      <w:bookmarkStart w:id="22" w:name="_Toc28359091"/>
      <w:r>
        <w:rPr>
          <w:rFonts w:hint="eastAsia" w:ascii="宋体" w:hAnsi="宋体" w:cs="宋体"/>
          <w:color w:val="000000" w:themeColor="text1"/>
          <w:sz w:val="24"/>
        </w:rPr>
        <w:t>(1)法人或者其他组织的营业执照等证明文件；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w:t>
      </w:r>
      <w:r>
        <w:rPr>
          <w:rFonts w:hint="eastAsia" w:ascii="宋体" w:hAnsi="宋体" w:cs="宋体"/>
          <w:color w:val="000000" w:themeColor="text1"/>
          <w:sz w:val="24"/>
          <w:lang w:val="en-US" w:eastAsia="zh-CN"/>
        </w:rPr>
        <w:t>2</w:t>
      </w:r>
      <w:r>
        <w:rPr>
          <w:rFonts w:hint="eastAsia" w:ascii="宋体" w:hAnsi="宋体" w:cs="宋体"/>
          <w:color w:val="000000" w:themeColor="text1"/>
          <w:sz w:val="24"/>
        </w:rPr>
        <w:t>)具备履行合同所必需的设备和专业技术能力的书面声明；</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w:t>
      </w:r>
      <w:r>
        <w:rPr>
          <w:rFonts w:hint="eastAsia" w:ascii="宋体" w:hAnsi="宋体" w:cs="宋体"/>
          <w:color w:val="000000" w:themeColor="text1"/>
          <w:sz w:val="24"/>
          <w:lang w:val="en-US" w:eastAsia="zh-CN"/>
        </w:rPr>
        <w:t>3</w:t>
      </w:r>
      <w:r>
        <w:rPr>
          <w:rFonts w:hint="eastAsia" w:ascii="宋体" w:hAnsi="宋体" w:cs="宋体"/>
          <w:color w:val="000000" w:themeColor="text1"/>
          <w:sz w:val="24"/>
        </w:rPr>
        <w:t>)参加政府采购活动前3年内在经营活动中没有重大违法记录的书面声明；</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2.落实政府采购政策需满足的资格要求：无</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3.本项目的特定资格要求：</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（1）投标人拟派的电工作业人员须持有有效的中华人民共和国特种作业操作证（作业类别为低压电工或高压电工）。</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（2）未被“信用中国”网站（www.creditchina.gov.cn）列入失信被执行人、重大税收违法案件当事人名单、政府采购严重失信行为记录名单。</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themeColor="text1"/>
          <w:sz w:val="24"/>
        </w:rPr>
      </w:pPr>
      <w:r>
        <w:rPr>
          <w:rFonts w:hint="eastAsia" w:ascii="宋体" w:hAnsi="宋体" w:cs="宋体"/>
          <w:color w:val="000000" w:themeColor="text1"/>
          <w:sz w:val="24"/>
        </w:rPr>
        <w:t>（3）单位负责人为同一人或者存在直接控股、管理关系的不同供应商，不得参加同一合同项下的政府采购活动。</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color w:val="000000" w:themeColor="text1"/>
          <w:lang w:val="en-US"/>
        </w:rPr>
      </w:pPr>
      <w:r>
        <w:rPr>
          <w:rFonts w:hint="eastAsia" w:ascii="宋体" w:hAnsi="宋体" w:eastAsia="宋体" w:cs="宋体"/>
          <w:b w:val="0"/>
          <w:bCs w:val="0"/>
          <w:color w:val="000000" w:themeColor="text1"/>
          <w:kern w:val="2"/>
          <w:sz w:val="24"/>
          <w:szCs w:val="24"/>
          <w:lang w:val="en-US" w:eastAsia="zh-CN" w:bidi="ar-SA"/>
        </w:rPr>
        <w:t>（4）</w:t>
      </w:r>
      <w:r>
        <w:rPr>
          <w:rFonts w:hint="eastAsia" w:ascii="宋体" w:hAnsi="宋体" w:cs="宋体"/>
          <w:color w:val="000000" w:themeColor="text1"/>
          <w:sz w:val="24"/>
        </w:rPr>
        <w:t>投标人拟派的</w:t>
      </w:r>
      <w:r>
        <w:rPr>
          <w:rFonts w:hint="eastAsia" w:ascii="宋体" w:hAnsi="宋体" w:cs="宋体"/>
          <w:color w:val="000000" w:themeColor="text1"/>
          <w:sz w:val="24"/>
          <w:lang w:val="en-US" w:eastAsia="zh-CN"/>
        </w:rPr>
        <w:t>电工</w:t>
      </w:r>
      <w:r>
        <w:rPr>
          <w:rFonts w:hint="eastAsia" w:ascii="宋体" w:hAnsi="宋体" w:cs="宋体"/>
          <w:color w:val="000000" w:themeColor="text1"/>
          <w:sz w:val="24"/>
        </w:rPr>
        <w:t>作业人员</w:t>
      </w:r>
      <w:r>
        <w:rPr>
          <w:rFonts w:hint="eastAsia" w:ascii="宋体" w:hAnsi="宋体" w:cs="宋体"/>
          <w:color w:val="000000" w:themeColor="text1"/>
          <w:sz w:val="24"/>
          <w:lang w:val="en-US" w:eastAsia="zh-CN"/>
        </w:rPr>
        <w:t>须提供用工合同或社保证明材料。如电工作业人员为法人则不需要提供相关证明材料。</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cs="宋体"/>
          <w:b/>
          <w:bCs w:val="0"/>
          <w:color w:val="000000" w:themeColor="text1"/>
          <w:sz w:val="24"/>
        </w:rPr>
      </w:pPr>
      <w:bookmarkStart w:id="23" w:name="_Toc35393800"/>
      <w:bookmarkStart w:id="24" w:name="_Toc35393631"/>
      <w:r>
        <w:rPr>
          <w:rFonts w:hint="eastAsia" w:ascii="宋体" w:hAnsi="宋体" w:cs="宋体"/>
          <w:b/>
          <w:bCs w:val="0"/>
          <w:color w:val="000000" w:themeColor="text1"/>
          <w:sz w:val="24"/>
        </w:rPr>
        <w:t>三、获取采购文件</w:t>
      </w:r>
      <w:bookmarkEnd w:id="21"/>
      <w:bookmarkEnd w:id="22"/>
      <w:bookmarkEnd w:id="23"/>
      <w:bookmarkEnd w:id="24"/>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bCs/>
          <w:color w:val="000000" w:themeColor="text1"/>
          <w:sz w:val="24"/>
        </w:rPr>
      </w:pPr>
      <w:bookmarkStart w:id="25" w:name="_Toc28359015"/>
      <w:bookmarkStart w:id="26" w:name="_Toc35393801"/>
      <w:bookmarkStart w:id="27" w:name="_Toc35393632"/>
      <w:bookmarkStart w:id="28" w:name="_Toc28359092"/>
      <w:r>
        <w:rPr>
          <w:rFonts w:hint="eastAsia" w:ascii="宋体" w:hAnsi="宋体" w:cs="宋体"/>
          <w:bCs/>
          <w:color w:val="000000" w:themeColor="text1"/>
          <w:sz w:val="24"/>
        </w:rPr>
        <w:t>时间：自公告之日起至投标截止时间前1日</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bCs/>
          <w:color w:val="000000" w:themeColor="text1"/>
          <w:sz w:val="24"/>
        </w:rPr>
      </w:pPr>
      <w:r>
        <w:rPr>
          <w:rFonts w:hint="eastAsia" w:ascii="宋体" w:hAnsi="宋体" w:cs="宋体"/>
          <w:bCs/>
          <w:color w:val="000000" w:themeColor="text1"/>
          <w:sz w:val="24"/>
        </w:rPr>
        <w:t>地点：盐城工业职业技术学院招标采购网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bCs/>
          <w:color w:val="000000" w:themeColor="text1"/>
          <w:sz w:val="24"/>
        </w:rPr>
      </w:pPr>
      <w:r>
        <w:rPr>
          <w:rFonts w:hint="eastAsia" w:ascii="宋体" w:hAnsi="宋体" w:cs="宋体"/>
          <w:bCs/>
          <w:color w:val="000000" w:themeColor="text1"/>
          <w:sz w:val="24"/>
        </w:rPr>
        <w:t>方式：符合资格要求的投标人可自行下载采购文件，采购文件见盐城工业职业技术学院招标采购网本公告附件。</w:t>
      </w:r>
    </w:p>
    <w:bookmarkEnd w:id="25"/>
    <w:bookmarkEnd w:id="26"/>
    <w:bookmarkEnd w:id="27"/>
    <w:bookmarkEnd w:id="28"/>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cs="宋体"/>
          <w:b/>
          <w:color w:val="000000" w:themeColor="text1"/>
          <w:sz w:val="24"/>
        </w:rPr>
      </w:pPr>
      <w:bookmarkStart w:id="29" w:name="_Toc35393803"/>
      <w:bookmarkStart w:id="30" w:name="_Toc28359094"/>
      <w:bookmarkStart w:id="31" w:name="_Toc35393634"/>
      <w:bookmarkStart w:id="32" w:name="_Toc28359017"/>
      <w:r>
        <w:rPr>
          <w:rFonts w:hint="eastAsia" w:ascii="宋体" w:hAnsi="宋体" w:cs="宋体"/>
          <w:b/>
          <w:color w:val="000000" w:themeColor="text1"/>
          <w:sz w:val="24"/>
        </w:rPr>
        <w:t>四、响应文件提交</w:t>
      </w:r>
      <w:r>
        <w:rPr>
          <w:rStyle w:val="90"/>
          <w:rFonts w:hint="eastAsia" w:ascii="宋体" w:hAnsi="宋体" w:cs="宋体"/>
          <w:b/>
          <w:bCs/>
          <w:color w:val="000000" w:themeColor="text1"/>
          <w:sz w:val="24"/>
        </w:rPr>
        <w:t>截止时间、开标时间和地点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bCs/>
          <w:color w:val="000000" w:themeColor="text1"/>
          <w:sz w:val="24"/>
        </w:rPr>
      </w:pPr>
      <w:r>
        <w:rPr>
          <w:rFonts w:hint="eastAsia" w:ascii="宋体" w:hAnsi="宋体" w:cs="宋体"/>
          <w:bCs/>
          <w:color w:val="000000" w:themeColor="text1"/>
          <w:sz w:val="24"/>
        </w:rPr>
        <w:t>1.截止时间： 2022 年</w:t>
      </w:r>
      <w:r>
        <w:rPr>
          <w:rFonts w:hint="eastAsia" w:ascii="宋体" w:hAnsi="宋体" w:cs="宋体"/>
          <w:bCs/>
          <w:color w:val="000000" w:themeColor="text1"/>
          <w:sz w:val="24"/>
          <w:lang w:val="en-US" w:eastAsia="zh-CN"/>
        </w:rPr>
        <w:t>9</w:t>
      </w:r>
      <w:r>
        <w:rPr>
          <w:rFonts w:hint="eastAsia" w:ascii="宋体" w:hAnsi="宋体" w:cs="宋体"/>
          <w:bCs/>
          <w:color w:val="000000" w:themeColor="text1"/>
          <w:sz w:val="24"/>
        </w:rPr>
        <w:t>月</w:t>
      </w:r>
      <w:r>
        <w:rPr>
          <w:rFonts w:hint="eastAsia" w:ascii="宋体" w:hAnsi="宋体" w:cs="宋体"/>
          <w:bCs/>
          <w:color w:val="000000" w:themeColor="text1"/>
          <w:sz w:val="24"/>
          <w:lang w:val="en-US" w:eastAsia="zh-CN"/>
        </w:rPr>
        <w:t>20</w:t>
      </w:r>
      <w:r>
        <w:rPr>
          <w:rFonts w:hint="eastAsia" w:ascii="宋体" w:hAnsi="宋体" w:cs="宋体"/>
          <w:bCs/>
          <w:color w:val="000000" w:themeColor="text1"/>
          <w:sz w:val="24"/>
        </w:rPr>
        <w:t>日</w:t>
      </w:r>
      <w:r>
        <w:rPr>
          <w:rFonts w:hint="eastAsia" w:ascii="宋体" w:hAnsi="宋体" w:cs="宋体"/>
          <w:bCs/>
          <w:color w:val="000000" w:themeColor="text1"/>
          <w:sz w:val="24"/>
          <w:lang w:val="en-US" w:eastAsia="zh-CN"/>
        </w:rPr>
        <w:t>9</w:t>
      </w:r>
      <w:r>
        <w:rPr>
          <w:rFonts w:hint="eastAsia" w:ascii="宋体" w:hAnsi="宋体" w:cs="宋体"/>
          <w:bCs/>
          <w:color w:val="000000" w:themeColor="text1"/>
          <w:sz w:val="24"/>
        </w:rPr>
        <w:t>时00分 （北京时间）；</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bCs/>
          <w:color w:val="000000" w:themeColor="text1"/>
          <w:sz w:val="24"/>
        </w:rPr>
      </w:pPr>
      <w:r>
        <w:rPr>
          <w:rFonts w:hint="eastAsia" w:ascii="宋体" w:hAnsi="宋体" w:cs="宋体"/>
          <w:bCs/>
          <w:color w:val="000000" w:themeColor="text1"/>
          <w:sz w:val="24"/>
        </w:rPr>
        <w:t>2.地点：盐城工业职业技术学院解放南路285号后勤服务中心四楼402室</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cs="宋体"/>
          <w:b/>
          <w:color w:val="000000" w:themeColor="text1"/>
          <w:sz w:val="24"/>
        </w:rPr>
      </w:pPr>
      <w:r>
        <w:rPr>
          <w:rFonts w:hint="eastAsia" w:ascii="宋体" w:hAnsi="宋体" w:cs="宋体"/>
          <w:b/>
          <w:color w:val="000000" w:themeColor="text1"/>
          <w:sz w:val="24"/>
        </w:rPr>
        <w:t>五、公告期限</w:t>
      </w:r>
      <w:bookmarkEnd w:id="29"/>
      <w:bookmarkEnd w:id="30"/>
      <w:bookmarkEnd w:id="31"/>
      <w:bookmarkEnd w:id="32"/>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自本公告发布之日起5个工作日。</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firstLineChars="200"/>
        <w:textAlignment w:val="auto"/>
        <w:rPr>
          <w:rFonts w:ascii="宋体" w:hAnsi="宋体" w:cs="宋体"/>
          <w:b/>
          <w:color w:val="000000" w:themeColor="text1"/>
          <w:kern w:val="0"/>
          <w:sz w:val="24"/>
        </w:rPr>
      </w:pPr>
      <w:bookmarkStart w:id="33" w:name="_Toc35393805"/>
      <w:bookmarkStart w:id="34" w:name="_Toc28359095"/>
      <w:bookmarkStart w:id="35" w:name="_Toc35393636"/>
      <w:bookmarkStart w:id="36" w:name="_Toc28359018"/>
      <w:r>
        <w:rPr>
          <w:rFonts w:hint="eastAsia" w:ascii="宋体" w:hAnsi="宋体" w:cs="宋体"/>
          <w:b/>
          <w:color w:val="000000" w:themeColor="text1"/>
          <w:kern w:val="0"/>
          <w:sz w:val="24"/>
        </w:rPr>
        <w:t>六、其他补充事宜</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(一)因疫情防控需要，为确保校园安全，投标人须持有</w:t>
      </w:r>
      <w:r>
        <w:rPr>
          <w:rFonts w:hint="eastAsia" w:ascii="宋体" w:hAnsi="宋体" w:cs="宋体"/>
          <w:b/>
          <w:color w:val="000000" w:themeColor="text1"/>
          <w:kern w:val="0"/>
          <w:sz w:val="24"/>
        </w:rPr>
        <w:t>48小时内</w:t>
      </w:r>
      <w:r>
        <w:rPr>
          <w:rFonts w:hint="eastAsia" w:ascii="宋体" w:hAnsi="宋体" w:cs="宋体"/>
          <w:bCs/>
          <w:color w:val="000000" w:themeColor="text1"/>
          <w:kern w:val="0"/>
          <w:sz w:val="24"/>
        </w:rPr>
        <w:t>核酸检测阴性证明进入盐城工业职业技术学院校区时应服从下列疫情防控措施：</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（1）投标前</w:t>
      </w:r>
      <w:r>
        <w:rPr>
          <w:rFonts w:hint="eastAsia" w:ascii="宋体" w:hAnsi="宋体" w:cs="宋体"/>
          <w:bCs/>
          <w:color w:val="000000" w:themeColor="text1"/>
          <w:kern w:val="0"/>
          <w:sz w:val="24"/>
          <w:lang w:val="en-US" w:eastAsia="zh-CN"/>
        </w:rPr>
        <w:t>10</w:t>
      </w:r>
      <w:r>
        <w:rPr>
          <w:rFonts w:hint="eastAsia" w:ascii="宋体" w:hAnsi="宋体" w:cs="宋体"/>
          <w:bCs/>
          <w:color w:val="000000" w:themeColor="text1"/>
          <w:kern w:val="0"/>
          <w:sz w:val="24"/>
        </w:rPr>
        <w:t>天内与确诊/疑似病例或无症状感染者有密切接触的人员，以及与密切接触者接触的次密切接触者，一律不得进校。</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（2）投标前</w:t>
      </w:r>
      <w:r>
        <w:rPr>
          <w:rFonts w:hint="eastAsia" w:ascii="宋体" w:hAnsi="宋体" w:cs="宋体"/>
          <w:bCs/>
          <w:color w:val="000000" w:themeColor="text1"/>
          <w:kern w:val="0"/>
          <w:sz w:val="24"/>
          <w:lang w:val="en-US" w:eastAsia="zh-CN"/>
        </w:rPr>
        <w:t>10</w:t>
      </w:r>
      <w:r>
        <w:rPr>
          <w:rFonts w:hint="eastAsia" w:ascii="宋体" w:hAnsi="宋体" w:cs="宋体"/>
          <w:bCs/>
          <w:color w:val="000000" w:themeColor="text1"/>
          <w:kern w:val="0"/>
          <w:sz w:val="24"/>
        </w:rPr>
        <w:t>天内接触过境外归国人员（未解除隔离的），按次密切接触者处置，一律不得进校。</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（3）投标前7天内有疫情中高风险地区（以开标前一日权威发布的疫情风险等级区域划分为依据）旅居史的人员，一律不得进校。</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（5）投标前7天内出现发热或呼吸道症状的人员，经当地医院就诊治疗，排除新冠病毒感染并在身体康复后，须持有48小时内核酸检测阴性证明，或者能够出示包括48小时内核酸检测阴性证明的健康码。</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（7）投标人从东门进出，车辆一律不得进入校园（如确因提供样品需要，经同意后可进校园，服从管理，在指定位置停放）。</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（8）各投标项目授权代表限1人进入校园，项目授权代表进入校园时须全程配戴口罩，做好手部消毒及投标文件等消毒防护工作。</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（10）投标人未如实报告个人信息，承担相应责任和法律后果，引发问题学校可取消其中标资格。</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请各投标人预留好相应时间，配合做好上述管控措施。</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（二）投标文件制作份数要求：正本份数：1份，副本份数：4份。</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（三） 有关本次招标的事项若存在变动或修改，敬请及时关注“盐城工业职业技术学院招标采购网”网站。</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auto"/>
        <w:rPr>
          <w:rFonts w:ascii="宋体" w:hAnsi="宋体" w:cs="宋体"/>
          <w:bCs/>
          <w:color w:val="000000" w:themeColor="text1"/>
          <w:kern w:val="0"/>
          <w:sz w:val="24"/>
        </w:rPr>
      </w:pPr>
      <w:r>
        <w:rPr>
          <w:rFonts w:hint="eastAsia" w:ascii="宋体" w:hAnsi="宋体" w:cs="宋体"/>
          <w:bCs/>
          <w:color w:val="000000" w:themeColor="text1"/>
          <w:kern w:val="0"/>
          <w:sz w:val="24"/>
        </w:rPr>
        <w:t>（四）本项目不收取磋商投标保证金</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firstLineChars="200"/>
        <w:textAlignment w:val="auto"/>
        <w:rPr>
          <w:rFonts w:ascii="宋体" w:hAnsi="宋体" w:cs="宋体"/>
          <w:b/>
          <w:color w:val="000000" w:themeColor="text1"/>
          <w:kern w:val="0"/>
          <w:sz w:val="24"/>
          <w:lang w:val="zh-CN"/>
        </w:rPr>
      </w:pPr>
      <w:r>
        <w:rPr>
          <w:rFonts w:hint="eastAsia" w:ascii="宋体" w:hAnsi="宋体" w:cs="宋体"/>
          <w:b/>
          <w:color w:val="000000" w:themeColor="text1"/>
          <w:kern w:val="0"/>
          <w:sz w:val="24"/>
        </w:rPr>
        <w:t>七、</w:t>
      </w:r>
      <w:r>
        <w:rPr>
          <w:rFonts w:hint="eastAsia" w:ascii="宋体" w:hAnsi="宋体" w:cs="宋体"/>
          <w:b/>
          <w:color w:val="000000" w:themeColor="text1"/>
          <w:kern w:val="0"/>
          <w:sz w:val="24"/>
          <w:lang w:val="zh-CN"/>
        </w:rPr>
        <w:t>现场集中考察、答疑</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b/>
          <w:color w:val="000000" w:themeColor="text1"/>
          <w:kern w:val="0"/>
          <w:sz w:val="24"/>
        </w:rPr>
      </w:pPr>
      <w:r>
        <w:rPr>
          <w:rFonts w:hint="eastAsia" w:ascii="宋体" w:hAnsi="宋体"/>
          <w:color w:val="000000" w:themeColor="text1"/>
          <w:sz w:val="24"/>
        </w:rPr>
        <w:t>1.投标人应参加现场集中考察、答疑</w:t>
      </w:r>
      <w:r>
        <w:rPr>
          <w:rFonts w:hint="eastAsia" w:ascii="宋体" w:hAnsi="宋体"/>
          <w:bCs/>
          <w:color w:val="000000" w:themeColor="text1"/>
          <w:sz w:val="24"/>
        </w:rPr>
        <w:t>，以便掌握学校公共区域水电维修项目现场的全面情况，对参加过现场考察、答疑的投标人，</w:t>
      </w:r>
      <w:r>
        <w:rPr>
          <w:rFonts w:hint="eastAsia" w:ascii="宋体" w:hAnsi="宋体" w:cs="宋体"/>
          <w:b/>
          <w:color w:val="000000" w:themeColor="text1"/>
          <w:kern w:val="0"/>
          <w:sz w:val="24"/>
        </w:rPr>
        <w:t>招标人不单独组织现场考察答疑。</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themeColor="text1"/>
          <w:sz w:val="24"/>
          <w:lang w:val="zh-CN"/>
        </w:rPr>
      </w:pPr>
      <w:r>
        <w:rPr>
          <w:rFonts w:hint="eastAsia" w:ascii="宋体" w:hAnsi="宋体"/>
          <w:color w:val="000000" w:themeColor="text1"/>
          <w:sz w:val="24"/>
        </w:rPr>
        <w:t>2.现场集中考察、答疑</w:t>
      </w:r>
      <w:r>
        <w:rPr>
          <w:rFonts w:hint="eastAsia" w:ascii="宋体" w:hAnsi="宋体"/>
          <w:color w:val="000000" w:themeColor="text1"/>
          <w:sz w:val="24"/>
          <w:lang w:val="zh-CN"/>
        </w:rPr>
        <w:t>签到时间：</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bCs/>
          <w:color w:val="000000" w:themeColor="text1"/>
          <w:sz w:val="24"/>
        </w:rPr>
      </w:pPr>
      <w:r>
        <w:rPr>
          <w:rFonts w:hint="eastAsia" w:ascii="宋体" w:hAnsi="宋体"/>
          <w:color w:val="000000" w:themeColor="text1"/>
          <w:sz w:val="24"/>
          <w:lang w:val="zh-CN"/>
        </w:rPr>
        <w:t>开始</w:t>
      </w:r>
      <w:r>
        <w:rPr>
          <w:rFonts w:hint="eastAsia" w:ascii="宋体" w:hAnsi="宋体"/>
          <w:bCs/>
          <w:color w:val="000000" w:themeColor="text1"/>
          <w:sz w:val="24"/>
        </w:rPr>
        <w:t>时间：</w:t>
      </w:r>
      <w:r>
        <w:rPr>
          <w:rFonts w:ascii="宋体" w:hAnsi="宋体"/>
          <w:bCs/>
          <w:color w:val="000000" w:themeColor="text1"/>
          <w:sz w:val="24"/>
        </w:rPr>
        <w:t>20</w:t>
      </w:r>
      <w:r>
        <w:rPr>
          <w:rFonts w:hint="eastAsia" w:ascii="宋体" w:hAnsi="宋体"/>
          <w:bCs/>
          <w:color w:val="000000" w:themeColor="text1"/>
          <w:sz w:val="24"/>
        </w:rPr>
        <w:t>22年</w:t>
      </w:r>
      <w:r>
        <w:rPr>
          <w:rFonts w:hint="eastAsia" w:ascii="宋体" w:hAnsi="宋体"/>
          <w:bCs/>
          <w:color w:val="000000" w:themeColor="text1"/>
          <w:sz w:val="24"/>
          <w:lang w:val="en-US" w:eastAsia="zh-CN"/>
        </w:rPr>
        <w:t>9</w:t>
      </w:r>
      <w:r>
        <w:rPr>
          <w:rFonts w:hint="eastAsia" w:ascii="宋体" w:hAnsi="宋体"/>
          <w:bCs/>
          <w:color w:val="000000" w:themeColor="text1"/>
          <w:sz w:val="24"/>
        </w:rPr>
        <w:t>月</w:t>
      </w:r>
      <w:r>
        <w:rPr>
          <w:rFonts w:hint="eastAsia" w:ascii="宋体" w:hAnsi="宋体"/>
          <w:bCs/>
          <w:color w:val="000000" w:themeColor="text1"/>
          <w:sz w:val="24"/>
          <w:lang w:val="en-US" w:eastAsia="zh-CN"/>
        </w:rPr>
        <w:t>7</w:t>
      </w:r>
      <w:r>
        <w:rPr>
          <w:rFonts w:hint="eastAsia" w:ascii="宋体" w:hAnsi="宋体"/>
          <w:bCs/>
          <w:color w:val="000000" w:themeColor="text1"/>
          <w:sz w:val="24"/>
        </w:rPr>
        <w:t>日9:00至11:00，14:00至16：00</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bCs/>
          <w:color w:val="000000" w:themeColor="text1"/>
          <w:sz w:val="24"/>
        </w:rPr>
      </w:pPr>
      <w:r>
        <w:rPr>
          <w:rFonts w:hint="eastAsia" w:ascii="宋体" w:hAnsi="宋体"/>
          <w:bCs/>
          <w:color w:val="000000" w:themeColor="text1"/>
          <w:sz w:val="24"/>
        </w:rPr>
        <w:t>截至时间：2022年</w:t>
      </w:r>
      <w:r>
        <w:rPr>
          <w:rFonts w:hint="eastAsia" w:ascii="宋体" w:hAnsi="宋体"/>
          <w:bCs/>
          <w:color w:val="000000" w:themeColor="text1"/>
          <w:sz w:val="24"/>
          <w:lang w:val="en-US" w:eastAsia="zh-CN"/>
        </w:rPr>
        <w:t>9</w:t>
      </w:r>
      <w:r>
        <w:rPr>
          <w:rFonts w:hint="eastAsia" w:ascii="宋体" w:hAnsi="宋体"/>
          <w:bCs/>
          <w:color w:val="000000" w:themeColor="text1"/>
          <w:sz w:val="24"/>
        </w:rPr>
        <w:t>月</w:t>
      </w:r>
      <w:r>
        <w:rPr>
          <w:rFonts w:hint="eastAsia" w:ascii="宋体" w:hAnsi="宋体"/>
          <w:bCs/>
          <w:color w:val="000000" w:themeColor="text1"/>
          <w:sz w:val="24"/>
          <w:lang w:val="en-US" w:eastAsia="zh-CN"/>
        </w:rPr>
        <w:t>16</w:t>
      </w:r>
      <w:r>
        <w:rPr>
          <w:rFonts w:hint="eastAsia" w:ascii="宋体" w:hAnsi="宋体"/>
          <w:bCs/>
          <w:color w:val="000000" w:themeColor="text1"/>
          <w:sz w:val="24"/>
        </w:rPr>
        <w:t>日9:00至11:00，14:00至16：00</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bCs/>
          <w:color w:val="000000" w:themeColor="text1"/>
          <w:sz w:val="24"/>
        </w:rPr>
      </w:pPr>
      <w:r>
        <w:rPr>
          <w:rFonts w:hint="eastAsia" w:ascii="宋体" w:hAnsi="宋体"/>
          <w:color w:val="000000" w:themeColor="text1"/>
          <w:sz w:val="24"/>
        </w:rPr>
        <w:t>3.现场集中考察、答疑</w:t>
      </w:r>
      <w:r>
        <w:rPr>
          <w:rFonts w:hint="eastAsia" w:ascii="宋体" w:hAnsi="宋体"/>
          <w:bCs/>
          <w:color w:val="000000" w:themeColor="text1"/>
          <w:sz w:val="24"/>
        </w:rPr>
        <w:t>地点签到地点：</w:t>
      </w:r>
      <w:r>
        <w:rPr>
          <w:rStyle w:val="90"/>
          <w:rFonts w:hint="eastAsia" w:ascii="宋体" w:hAnsi="宋体"/>
          <w:color w:val="000000" w:themeColor="text1"/>
          <w:sz w:val="24"/>
        </w:rPr>
        <w:t>盐城市解放南路285号</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cs="宋体"/>
          <w:b/>
          <w:color w:val="000000" w:themeColor="text1"/>
          <w:sz w:val="24"/>
        </w:rPr>
      </w:pPr>
      <w:r>
        <w:rPr>
          <w:rFonts w:hint="eastAsia" w:ascii="宋体" w:hAnsi="宋体" w:cs="宋体"/>
          <w:b/>
          <w:color w:val="000000" w:themeColor="text1"/>
          <w:sz w:val="24"/>
        </w:rPr>
        <w:t>八、凡对本次采购提出询问，请按以下方式联系。</w:t>
      </w:r>
      <w:bookmarkEnd w:id="33"/>
      <w:bookmarkEnd w:id="34"/>
      <w:bookmarkEnd w:id="35"/>
      <w:bookmarkEnd w:id="36"/>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rPr>
      </w:pPr>
      <w:bookmarkStart w:id="37" w:name="_Toc28359019"/>
      <w:bookmarkStart w:id="38" w:name="_Toc35393806"/>
      <w:bookmarkStart w:id="39" w:name="_Toc35393637"/>
      <w:bookmarkStart w:id="40" w:name="_Toc28359096"/>
      <w:r>
        <w:rPr>
          <w:rFonts w:hint="eastAsia" w:ascii="宋体" w:hAnsi="宋体" w:cs="宋体"/>
          <w:color w:val="000000" w:themeColor="text1"/>
          <w:sz w:val="24"/>
        </w:rPr>
        <w:t>1.采购人信息</w:t>
      </w:r>
      <w:bookmarkEnd w:id="37"/>
      <w:bookmarkEnd w:id="38"/>
      <w:bookmarkEnd w:id="39"/>
      <w:bookmarkEnd w:id="40"/>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名称：盐城工业职业技术学院</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地址：</w:t>
      </w:r>
      <w:r>
        <w:rPr>
          <w:rStyle w:val="90"/>
          <w:rFonts w:hint="eastAsia" w:ascii="宋体" w:hAnsi="宋体"/>
          <w:color w:val="000000" w:themeColor="text1"/>
          <w:sz w:val="24"/>
        </w:rPr>
        <w:t>盐城市解放南路285号</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 xml:space="preserve">联系人：赵老师             </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联系电话：0515-88588707</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rPr>
      </w:pPr>
      <w:bookmarkStart w:id="41" w:name="_Toc35393639"/>
      <w:bookmarkStart w:id="42" w:name="_Toc28359021"/>
      <w:bookmarkStart w:id="43" w:name="_Toc28359098"/>
      <w:bookmarkStart w:id="44" w:name="_Toc35393808"/>
      <w:r>
        <w:rPr>
          <w:rFonts w:hint="eastAsia" w:ascii="宋体" w:hAnsi="宋体" w:cs="宋体"/>
          <w:color w:val="000000" w:themeColor="text1"/>
          <w:sz w:val="24"/>
        </w:rPr>
        <w:t>2.项目联系方式</w:t>
      </w:r>
      <w:bookmarkEnd w:id="41"/>
      <w:bookmarkEnd w:id="42"/>
      <w:bookmarkEnd w:id="43"/>
      <w:bookmarkEnd w:id="44"/>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项目联系人：陈昌进 高大伟</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color w:val="000000" w:themeColor="text1"/>
        </w:rPr>
      </w:pPr>
      <w:r>
        <w:rPr>
          <w:rFonts w:hint="eastAsia" w:ascii="宋体" w:hAnsi="宋体" w:cs="宋体"/>
          <w:color w:val="000000" w:themeColor="text1"/>
          <w:sz w:val="24"/>
        </w:rPr>
        <w:t>联系电话：18762383006  18262393599</w:t>
      </w:r>
    </w:p>
    <w:p>
      <w:pPr>
        <w:keepNext w:val="0"/>
        <w:keepLines w:val="0"/>
        <w:pageBreakBefore w:val="0"/>
        <w:tabs>
          <w:tab w:val="left" w:pos="900"/>
        </w:tabs>
        <w:kinsoku/>
        <w:wordWrap/>
        <w:overflowPunct/>
        <w:topLinePunct w:val="0"/>
        <w:autoSpaceDE/>
        <w:autoSpaceDN/>
        <w:bidi w:val="0"/>
        <w:adjustRightInd/>
        <w:snapToGrid/>
        <w:spacing w:line="440" w:lineRule="exact"/>
        <w:ind w:firstLine="480" w:firstLineChars="200"/>
        <w:textAlignment w:val="auto"/>
        <w:rPr>
          <w:rFonts w:ascii="宋体" w:hAnsi="宋体" w:cs="宋体"/>
          <w:color w:val="000000" w:themeColor="text1"/>
          <w:sz w:val="24"/>
        </w:rPr>
      </w:pPr>
      <w:r>
        <w:rPr>
          <w:rFonts w:hint="eastAsia" w:ascii="宋体" w:hAnsi="宋体" w:cs="宋体"/>
          <w:color w:val="000000" w:themeColor="text1"/>
          <w:sz w:val="24"/>
        </w:rPr>
        <w:t>对项目需求部分的询问、质疑请向项目联系人提出，由项目联系人答复</w:t>
      </w:r>
    </w:p>
    <w:bookmarkEnd w:id="185"/>
    <w:p>
      <w:pPr>
        <w:pStyle w:val="37"/>
        <w:ind w:firstLine="480"/>
        <w:rPr>
          <w:rFonts w:cs="宋体"/>
          <w:color w:val="000000" w:themeColor="text1"/>
          <w:sz w:val="24"/>
          <w:szCs w:val="24"/>
        </w:rPr>
      </w:pPr>
    </w:p>
    <w:p>
      <w:pPr>
        <w:jc w:val="center"/>
        <w:outlineLvl w:val="0"/>
        <w:rPr>
          <w:rFonts w:ascii="宋体" w:hAnsi="宋体" w:cs="宋体"/>
          <w:b/>
          <w:color w:val="000000" w:themeColor="text1"/>
          <w:szCs w:val="44"/>
        </w:rPr>
      </w:pPr>
      <w:r>
        <w:rPr>
          <w:rFonts w:hint="eastAsia" w:ascii="宋体" w:hAnsi="宋体" w:cs="宋体"/>
          <w:bCs/>
          <w:color w:val="000000" w:themeColor="text1"/>
          <w:szCs w:val="44"/>
        </w:rPr>
        <w:br w:type="page"/>
      </w:r>
      <w:bookmarkStart w:id="45" w:name="_Toc28283"/>
      <w:bookmarkStart w:id="46" w:name="_Toc26383"/>
      <w:r>
        <w:rPr>
          <w:rFonts w:hint="eastAsia" w:ascii="宋体" w:hAnsi="宋体" w:cs="宋体"/>
          <w:b/>
          <w:color w:val="000000" w:themeColor="text1"/>
          <w:sz w:val="44"/>
          <w:szCs w:val="44"/>
        </w:rPr>
        <w:t>第二章  磋商须知</w:t>
      </w:r>
      <w:bookmarkEnd w:id="45"/>
      <w:bookmarkEnd w:id="46"/>
    </w:p>
    <w:p>
      <w:pPr>
        <w:spacing w:afterLines="50" w:line="360" w:lineRule="auto"/>
        <w:ind w:firstLine="2040" w:firstLineChars="850"/>
        <w:rPr>
          <w:rFonts w:ascii="宋体" w:hAnsi="宋体" w:cs="宋体"/>
          <w:b/>
          <w:bCs/>
          <w:color w:val="000000" w:themeColor="text1"/>
          <w:sz w:val="24"/>
        </w:rPr>
      </w:pPr>
      <w:r>
        <w:rPr>
          <w:rFonts w:hint="eastAsia" w:ascii="宋体" w:hAnsi="宋体" w:cs="宋体"/>
          <w:bCs/>
          <w:color w:val="000000" w:themeColor="text1"/>
          <w:sz w:val="24"/>
        </w:rPr>
        <w:t>（参加竞争性磋商的供应商以下简称“磋商供应商”）</w:t>
      </w:r>
    </w:p>
    <w:bookmarkEnd w:id="10"/>
    <w:bookmarkEnd w:id="11"/>
    <w:bookmarkEnd w:id="12"/>
    <w:p>
      <w:pPr>
        <w:ind w:firstLine="551" w:firstLineChars="196"/>
        <w:jc w:val="left"/>
        <w:rPr>
          <w:b/>
          <w:color w:val="000000" w:themeColor="text1"/>
          <w:sz w:val="28"/>
          <w:szCs w:val="28"/>
        </w:rPr>
      </w:pPr>
      <w:bookmarkStart w:id="47" w:name="_Toc16938553"/>
      <w:bookmarkStart w:id="48" w:name="_Toc20823309"/>
      <w:bookmarkStart w:id="49" w:name="_Toc513029237"/>
      <w:r>
        <w:rPr>
          <w:rFonts w:hint="eastAsia"/>
          <w:b/>
          <w:color w:val="000000" w:themeColor="text1"/>
          <w:sz w:val="28"/>
          <w:szCs w:val="28"/>
        </w:rPr>
        <w:t>一、总则</w:t>
      </w:r>
    </w:p>
    <w:p>
      <w:pPr>
        <w:tabs>
          <w:tab w:val="left" w:pos="900"/>
        </w:tabs>
        <w:spacing w:line="440" w:lineRule="exact"/>
        <w:ind w:firstLine="472" w:firstLineChars="196"/>
        <w:rPr>
          <w:rFonts w:ascii="宋体" w:hAnsi="宋体"/>
          <w:b/>
          <w:color w:val="000000" w:themeColor="text1"/>
          <w:sz w:val="24"/>
        </w:rPr>
      </w:pPr>
      <w:r>
        <w:rPr>
          <w:rFonts w:hint="eastAsia" w:ascii="宋体" w:hAnsi="宋体"/>
          <w:b/>
          <w:color w:val="000000" w:themeColor="text1"/>
          <w:sz w:val="24"/>
        </w:rPr>
        <w:t>1、适用范围</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1.1 本竞争性磋商文件（以下简称磋商文件）仅适用此项目。</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1.2 本项目按照项目分包，分别确定各分包成交供应商。</w:t>
      </w:r>
    </w:p>
    <w:p>
      <w:pPr>
        <w:tabs>
          <w:tab w:val="left" w:pos="900"/>
        </w:tabs>
        <w:spacing w:line="440" w:lineRule="exact"/>
        <w:ind w:firstLine="472" w:firstLineChars="196"/>
        <w:rPr>
          <w:rFonts w:ascii="宋体" w:hAnsi="宋体"/>
          <w:color w:val="000000" w:themeColor="text1"/>
          <w:sz w:val="24"/>
        </w:rPr>
      </w:pPr>
      <w:r>
        <w:rPr>
          <w:rFonts w:hint="eastAsia" w:ascii="宋体" w:hAnsi="宋体"/>
          <w:b/>
          <w:color w:val="000000" w:themeColor="text1"/>
          <w:sz w:val="24"/>
        </w:rPr>
        <w:t>2、项目采购方式</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2.1 本次采购采取竞争性磋商的方式。</w:t>
      </w:r>
    </w:p>
    <w:p>
      <w:pPr>
        <w:tabs>
          <w:tab w:val="left" w:pos="900"/>
        </w:tabs>
        <w:spacing w:line="440" w:lineRule="exact"/>
        <w:ind w:firstLine="472" w:firstLineChars="196"/>
        <w:rPr>
          <w:rFonts w:ascii="宋体" w:hAnsi="宋体"/>
          <w:b/>
          <w:color w:val="000000" w:themeColor="text1"/>
          <w:sz w:val="24"/>
        </w:rPr>
      </w:pPr>
      <w:r>
        <w:rPr>
          <w:rFonts w:hint="eastAsia" w:ascii="宋体" w:hAnsi="宋体"/>
          <w:b/>
          <w:color w:val="000000" w:themeColor="text1"/>
          <w:sz w:val="24"/>
        </w:rPr>
        <w:t>3、合格的磋商供应商</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3.1 满足本磋商文件“竞争性磋商采购公告”中合格磋商供应商资格要求的规定。</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3.2 满足本磋商文件实质性要求和条件的规定。</w:t>
      </w:r>
    </w:p>
    <w:p>
      <w:pPr>
        <w:tabs>
          <w:tab w:val="left" w:pos="900"/>
        </w:tabs>
        <w:spacing w:line="440" w:lineRule="exact"/>
        <w:ind w:firstLine="472" w:firstLineChars="196"/>
        <w:rPr>
          <w:rFonts w:ascii="宋体" w:hAnsi="宋体"/>
          <w:b/>
          <w:color w:val="000000" w:themeColor="text1"/>
          <w:sz w:val="24"/>
        </w:rPr>
      </w:pPr>
      <w:r>
        <w:rPr>
          <w:rFonts w:hint="eastAsia" w:ascii="宋体" w:hAnsi="宋体"/>
          <w:b/>
          <w:color w:val="000000" w:themeColor="text1"/>
          <w:sz w:val="24"/>
        </w:rPr>
        <w:t>4、参加磋商费用</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4.1 参加磋商供应商应自行承担所有与参加磋商有关的费用。不论最终的成交结果如</w:t>
      </w:r>
    </w:p>
    <w:p>
      <w:pPr>
        <w:tabs>
          <w:tab w:val="left" w:pos="900"/>
        </w:tabs>
        <w:spacing w:line="440" w:lineRule="exact"/>
        <w:ind w:left="120" w:leftChars="57"/>
        <w:rPr>
          <w:rFonts w:ascii="宋体" w:hAnsi="宋体"/>
          <w:color w:val="000000" w:themeColor="text1"/>
          <w:sz w:val="24"/>
        </w:rPr>
      </w:pPr>
      <w:r>
        <w:rPr>
          <w:rFonts w:hint="eastAsia" w:ascii="宋体" w:hAnsi="宋体"/>
          <w:color w:val="000000" w:themeColor="text1"/>
          <w:sz w:val="24"/>
        </w:rPr>
        <w:t>何，采购人在任何情况下均无义务和责任承担这些费用。</w:t>
      </w:r>
    </w:p>
    <w:p>
      <w:pPr>
        <w:tabs>
          <w:tab w:val="left" w:pos="900"/>
        </w:tabs>
        <w:spacing w:line="440" w:lineRule="exact"/>
        <w:ind w:firstLine="472" w:firstLineChars="196"/>
        <w:rPr>
          <w:rFonts w:ascii="宋体" w:hAnsi="宋体"/>
          <w:b/>
          <w:color w:val="000000" w:themeColor="text1"/>
          <w:sz w:val="24"/>
        </w:rPr>
      </w:pPr>
      <w:r>
        <w:rPr>
          <w:rFonts w:hint="eastAsia" w:ascii="宋体" w:hAnsi="宋体"/>
          <w:b/>
          <w:color w:val="000000" w:themeColor="text1"/>
          <w:sz w:val="24"/>
        </w:rPr>
        <w:t>5、磋商文件的约束力</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5.1 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440" w:lineRule="exact"/>
        <w:ind w:firstLine="482" w:firstLineChars="200"/>
        <w:rPr>
          <w:rFonts w:ascii="宋体" w:hAnsi="宋体"/>
          <w:color w:val="000000" w:themeColor="text1"/>
          <w:sz w:val="24"/>
        </w:rPr>
      </w:pPr>
      <w:r>
        <w:rPr>
          <w:rFonts w:hint="eastAsia" w:ascii="宋体" w:hAnsi="宋体"/>
          <w:b/>
          <w:color w:val="000000" w:themeColor="text1"/>
          <w:sz w:val="24"/>
        </w:rPr>
        <w:t>6、</w:t>
      </w:r>
      <w:bookmarkStart w:id="50" w:name="_Toc20823283"/>
      <w:bookmarkStart w:id="51" w:name="_Toc462564070"/>
      <w:bookmarkStart w:id="52" w:name="_Toc16938527"/>
      <w:bookmarkStart w:id="53" w:name="_Toc513029211"/>
      <w:r>
        <w:rPr>
          <w:rFonts w:hint="eastAsia" w:ascii="宋体" w:hAnsi="宋体"/>
          <w:b/>
          <w:color w:val="000000" w:themeColor="text1"/>
          <w:sz w:val="24"/>
        </w:rPr>
        <w:t>磋商文件的</w:t>
      </w:r>
      <w:bookmarkEnd w:id="50"/>
      <w:bookmarkEnd w:id="51"/>
      <w:bookmarkEnd w:id="52"/>
      <w:bookmarkEnd w:id="53"/>
      <w:r>
        <w:rPr>
          <w:rFonts w:hint="eastAsia" w:ascii="宋体" w:hAnsi="宋体"/>
          <w:b/>
          <w:color w:val="000000" w:themeColor="text1"/>
          <w:sz w:val="24"/>
        </w:rPr>
        <w:t>询问及修改</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6.1 任何要求对磋商文件进行询问的供应商，均应在提交首次响应文件截止时间五日前按采购邀请中的通讯地址，向采购人或采购代理机构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Arial" w:cs="宋体"/>
          <w:color w:val="000000" w:themeColor="text1"/>
          <w:sz w:val="24"/>
          <w:lang w:val="zh-CN"/>
        </w:rPr>
        <w:t>“盐城工业职业技术学院</w:t>
      </w:r>
      <w:r>
        <w:rPr>
          <w:rFonts w:hint="eastAsia" w:ascii="宋体" w:hAnsi="Arial" w:cs="宋体"/>
          <w:color w:val="000000" w:themeColor="text1"/>
          <w:sz w:val="24"/>
        </w:rPr>
        <w:t>招标采购网</w:t>
      </w:r>
      <w:r>
        <w:rPr>
          <w:rFonts w:hint="eastAsia" w:ascii="宋体" w:hAnsi="Arial" w:cs="宋体"/>
          <w:color w:val="000000" w:themeColor="text1"/>
          <w:sz w:val="24"/>
          <w:lang w:val="zh-CN"/>
        </w:rPr>
        <w:t>”</w:t>
      </w:r>
      <w:r>
        <w:rPr>
          <w:rFonts w:hint="eastAsia" w:ascii="宋体" w:hAnsi="宋体"/>
          <w:color w:val="000000" w:themeColor="text1"/>
          <w:sz w:val="24"/>
        </w:rPr>
        <w:t>上发布书面更正公告形式通知所有获取磋商文件的供应商。不足五日的，采购人应当顺延提交首次响应文件截止时间。</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6.2采购人可以视采购项目的具体情况，组织供应商进行现场考察或召开磋商前答疑会，但不单独或分别组织只有一个供应商参加的现场考察和答疑会。</w:t>
      </w:r>
    </w:p>
    <w:p>
      <w:pPr>
        <w:tabs>
          <w:tab w:val="left" w:pos="900"/>
        </w:tabs>
        <w:spacing w:line="440" w:lineRule="exact"/>
        <w:ind w:firstLine="472" w:firstLineChars="196"/>
        <w:rPr>
          <w:rFonts w:ascii="宋体" w:hAnsi="宋体"/>
          <w:b/>
          <w:color w:val="000000" w:themeColor="text1"/>
          <w:sz w:val="24"/>
        </w:rPr>
      </w:pPr>
      <w:r>
        <w:rPr>
          <w:rFonts w:hint="eastAsia" w:ascii="宋体" w:hAnsi="宋体"/>
          <w:b/>
          <w:color w:val="000000" w:themeColor="text1"/>
          <w:sz w:val="24"/>
        </w:rPr>
        <w:t>7、磋商文件的解释</w:t>
      </w:r>
    </w:p>
    <w:p>
      <w:pPr>
        <w:tabs>
          <w:tab w:val="left" w:pos="900"/>
        </w:tabs>
        <w:spacing w:line="440" w:lineRule="exact"/>
        <w:ind w:firstLine="470" w:firstLineChars="196"/>
        <w:rPr>
          <w:rFonts w:ascii="宋体" w:hAnsi="宋体"/>
          <w:b/>
          <w:color w:val="000000" w:themeColor="text1"/>
          <w:sz w:val="24"/>
        </w:rPr>
      </w:pPr>
      <w:r>
        <w:rPr>
          <w:rFonts w:hint="eastAsia" w:ascii="宋体" w:hAnsi="宋体"/>
          <w:bCs/>
          <w:color w:val="000000" w:themeColor="text1"/>
          <w:sz w:val="24"/>
        </w:rPr>
        <w:t>7.1 本磋商文件由采购人负责解释。</w:t>
      </w:r>
      <w:bookmarkStart w:id="54" w:name="_Toc462564072"/>
      <w:bookmarkStart w:id="55" w:name="_Toc14577351"/>
      <w:bookmarkStart w:id="56" w:name="_Toc61149553"/>
      <w:bookmarkStart w:id="57" w:name="_Toc513029213"/>
    </w:p>
    <w:p>
      <w:pPr>
        <w:tabs>
          <w:tab w:val="left" w:pos="900"/>
        </w:tabs>
        <w:spacing w:line="440" w:lineRule="exact"/>
        <w:ind w:firstLine="551" w:firstLineChars="196"/>
        <w:rPr>
          <w:rFonts w:ascii="宋体" w:hAnsi="宋体"/>
          <w:b/>
          <w:color w:val="000000" w:themeColor="text1"/>
          <w:sz w:val="24"/>
        </w:rPr>
      </w:pPr>
      <w:r>
        <w:rPr>
          <w:rFonts w:hint="eastAsia" w:ascii="宋体" w:hAnsi="宋体"/>
          <w:b/>
          <w:color w:val="000000" w:themeColor="text1"/>
          <w:sz w:val="28"/>
          <w:szCs w:val="28"/>
        </w:rPr>
        <w:t>二、磋商响应文件的编制</w:t>
      </w:r>
      <w:bookmarkEnd w:id="54"/>
      <w:bookmarkEnd w:id="55"/>
      <w:bookmarkEnd w:id="56"/>
      <w:bookmarkEnd w:id="57"/>
      <w:bookmarkStart w:id="58" w:name="_Toc61149561"/>
      <w:bookmarkStart w:id="59" w:name="_Toc513029223"/>
      <w:bookmarkStart w:id="60" w:name="_Toc14577361"/>
    </w:p>
    <w:p>
      <w:pPr>
        <w:tabs>
          <w:tab w:val="left" w:pos="900"/>
        </w:tabs>
        <w:spacing w:line="440" w:lineRule="exact"/>
        <w:ind w:firstLine="472" w:firstLineChars="196"/>
        <w:rPr>
          <w:rFonts w:ascii="宋体" w:hAnsi="宋体"/>
          <w:b/>
          <w:color w:val="000000" w:themeColor="text1"/>
          <w:sz w:val="24"/>
        </w:rPr>
      </w:pPr>
      <w:r>
        <w:rPr>
          <w:rFonts w:hint="eastAsia" w:ascii="宋体" w:hAnsi="宋体"/>
          <w:b/>
          <w:color w:val="000000" w:themeColor="text1"/>
          <w:sz w:val="24"/>
        </w:rPr>
        <w:t>1、磋商响应文件份数和签署</w:t>
      </w:r>
      <w:bookmarkEnd w:id="58"/>
      <w:bookmarkEnd w:id="59"/>
      <w:bookmarkEnd w:id="60"/>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1.1 参加磋商供应商应严格按照采购邀请要求准备磋商响应文件（以下简称响应文件），每份响应文件须清楚地标明“正本”或“副本”字样。</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响应文件的正本和所有的副本均需打印或复印。响应文件正本中，磋商文件要求提供原件的必须按照要求提供，文字材料需打印或用不褪色墨水书写，响应文件正本须经法定代表人或授权代理人签字和加盖磋商供应商公章。本磋商文件所表述（指定）的公章是指刻有供应商法定名称的印章，不包括合同、财务、税务、发票等形式的业务专用章。</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1.2 除磋商供应商对错处做必要修改外，响应文件不得行间插字、涂改或增删。如有修改错漏处，必须由响应文件签署人签字或盖章。</w:t>
      </w:r>
      <w:bookmarkStart w:id="61" w:name="_Hlt26954834"/>
      <w:bookmarkEnd w:id="61"/>
      <w:bookmarkStart w:id="62" w:name="_Toc462564074"/>
      <w:bookmarkStart w:id="63" w:name="_Toc14577353"/>
      <w:bookmarkStart w:id="64" w:name="_Toc513029215"/>
      <w:bookmarkStart w:id="65" w:name="_Toc61149555"/>
      <w:bookmarkStart w:id="66" w:name="_Toc513029214"/>
      <w:bookmarkStart w:id="67" w:name="_Toc462564073"/>
      <w:bookmarkStart w:id="68" w:name="_Toc14577352"/>
      <w:bookmarkStart w:id="69" w:name="_Toc61149554"/>
    </w:p>
    <w:p>
      <w:pPr>
        <w:tabs>
          <w:tab w:val="left" w:pos="900"/>
        </w:tabs>
        <w:spacing w:line="440" w:lineRule="exact"/>
        <w:ind w:firstLine="482" w:firstLineChars="200"/>
        <w:rPr>
          <w:rFonts w:ascii="宋体" w:hAnsi="宋体"/>
          <w:color w:val="000000" w:themeColor="text1"/>
          <w:sz w:val="24"/>
        </w:rPr>
      </w:pPr>
      <w:r>
        <w:rPr>
          <w:rFonts w:hint="eastAsia" w:ascii="宋体" w:hAnsi="宋体"/>
          <w:b/>
          <w:color w:val="000000" w:themeColor="text1"/>
          <w:sz w:val="24"/>
        </w:rPr>
        <w:t>2、响应文件</w:t>
      </w:r>
      <w:bookmarkEnd w:id="62"/>
      <w:bookmarkEnd w:id="63"/>
      <w:bookmarkEnd w:id="64"/>
      <w:bookmarkEnd w:id="65"/>
      <w:r>
        <w:rPr>
          <w:rFonts w:hint="eastAsia" w:ascii="宋体" w:hAnsi="宋体"/>
          <w:b/>
          <w:color w:val="000000" w:themeColor="text1"/>
          <w:sz w:val="24"/>
        </w:rPr>
        <w:t>编制要求</w:t>
      </w:r>
      <w:bookmarkEnd w:id="66"/>
      <w:bookmarkEnd w:id="67"/>
      <w:bookmarkEnd w:id="68"/>
      <w:bookmarkEnd w:id="69"/>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2.1磋商供应商提交的响应文件以及磋商供应商与采购人及采购人就有关磋商的所有来往函电均应使用简体中文。磋商文件中既有中文也有外文的，以中文意义为准。</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2.2 除技术性能另有规定外，响应文件所使用的度量衡单位，均须采用国家法定计量单位。</w:t>
      </w:r>
      <w:bookmarkStart w:id="70" w:name="_Hlt26670357"/>
      <w:bookmarkEnd w:id="70"/>
      <w:bookmarkStart w:id="71" w:name="_Hlt26954836"/>
      <w:bookmarkEnd w:id="71"/>
      <w:bookmarkStart w:id="72" w:name="_Toc61149558"/>
      <w:bookmarkStart w:id="73" w:name="_Toc14577357"/>
      <w:bookmarkStart w:id="74" w:name="_Toc513029219"/>
      <w:bookmarkStart w:id="75" w:name="_Toc513029217"/>
      <w:bookmarkStart w:id="76" w:name="_Toc14577355"/>
      <w:bookmarkStart w:id="77" w:name="_Toc61149557"/>
    </w:p>
    <w:p>
      <w:pPr>
        <w:tabs>
          <w:tab w:val="left" w:pos="900"/>
        </w:tabs>
        <w:spacing w:line="440" w:lineRule="exact"/>
        <w:ind w:firstLine="482" w:firstLineChars="200"/>
        <w:rPr>
          <w:rFonts w:ascii="宋体" w:hAnsi="宋体"/>
          <w:color w:val="000000" w:themeColor="text1"/>
          <w:sz w:val="24"/>
        </w:rPr>
      </w:pPr>
      <w:r>
        <w:rPr>
          <w:rFonts w:hint="eastAsia" w:ascii="宋体" w:hAnsi="宋体"/>
          <w:b/>
          <w:color w:val="000000" w:themeColor="text1"/>
          <w:sz w:val="24"/>
        </w:rPr>
        <w:t>3、参加磋商供应商资格的文件</w:t>
      </w:r>
      <w:bookmarkEnd w:id="72"/>
      <w:bookmarkEnd w:id="73"/>
      <w:bookmarkEnd w:id="74"/>
      <w:r>
        <w:rPr>
          <w:rFonts w:hint="eastAsia" w:ascii="宋体" w:hAnsi="宋体"/>
          <w:b/>
          <w:color w:val="000000" w:themeColor="text1"/>
          <w:sz w:val="24"/>
        </w:rPr>
        <w:t>证明</w:t>
      </w:r>
      <w:bookmarkStart w:id="78" w:name="_Hlt26668999"/>
      <w:bookmarkEnd w:id="78"/>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3.1磋商供应商应提交证明其有资格参加磋商和成交后有能力独立履行合同的文件，并作为其响应文件的一部分。</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3.2 磋商供应商除必须具有履行合同所需提供的设备以及服务的能力外，还必须具备相应的财务、技术方面的能力。</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3.3 磋商供应商应填写并提交磋商文件所附的“资信证明文件”。</w:t>
      </w:r>
    </w:p>
    <w:p>
      <w:pPr>
        <w:tabs>
          <w:tab w:val="left" w:pos="900"/>
        </w:tabs>
        <w:spacing w:line="440" w:lineRule="exact"/>
        <w:ind w:firstLine="482" w:firstLineChars="200"/>
        <w:rPr>
          <w:rFonts w:ascii="宋体" w:hAnsi="宋体"/>
          <w:color w:val="000000" w:themeColor="text1"/>
          <w:sz w:val="24"/>
        </w:rPr>
      </w:pPr>
      <w:r>
        <w:rPr>
          <w:rFonts w:hint="eastAsia" w:ascii="宋体" w:hAnsi="宋体"/>
          <w:b/>
          <w:color w:val="000000" w:themeColor="text1"/>
          <w:sz w:val="24"/>
        </w:rPr>
        <w:t>4、磋商响应报价</w:t>
      </w:r>
      <w:bookmarkEnd w:id="75"/>
      <w:bookmarkEnd w:id="76"/>
      <w:bookmarkStart w:id="79" w:name="_Hlt26670373"/>
      <w:bookmarkEnd w:id="79"/>
      <w:r>
        <w:rPr>
          <w:rFonts w:hint="eastAsia" w:ascii="宋体" w:hAnsi="宋体"/>
          <w:b/>
          <w:color w:val="000000" w:themeColor="text1"/>
          <w:sz w:val="24"/>
        </w:rPr>
        <w:t>表</w:t>
      </w:r>
      <w:bookmarkEnd w:id="77"/>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4.1 磋商供应商应按照磋商文件规定格式填报磋商响应报价表（含分项报价）。每项产品或服务只允许有一个报价，任何有选择的报价将不予接受，磋商文件中另有规定的按规定执行。</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4.2 标的物</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详见项目需求。</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4.3 有关费用处理</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本次采购磋商供应商的总报价应包括为完成本项目发生的所有费用，本磋商文件中另有规定的除外。</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4.4 其它费用处理</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磋商文件未列明，而磋商供应商认为必须的费用也须列入报价。</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4.5 报价采用的货币</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响应文件中的单价和总价，无特殊规定的采用人民币报价，以元为单位标注。磋商文件中另有规定的按规定执行。</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4.6 磋商响应报价表上的价格应按磋商文件规定填写。</w:t>
      </w:r>
      <w:bookmarkStart w:id="80" w:name="_Hlt26670486"/>
      <w:bookmarkEnd w:id="80"/>
      <w:bookmarkStart w:id="81" w:name="_Hlt26668983"/>
      <w:bookmarkEnd w:id="81"/>
      <w:bookmarkStart w:id="82" w:name="_Hlt26954844"/>
      <w:bookmarkEnd w:id="82"/>
      <w:bookmarkStart w:id="83" w:name="_Hlt26954731"/>
      <w:bookmarkEnd w:id="83"/>
      <w:bookmarkStart w:id="84" w:name="_Hlt26670403"/>
      <w:bookmarkEnd w:id="84"/>
      <w:bookmarkStart w:id="85" w:name="_Hlt26670482"/>
      <w:bookmarkEnd w:id="85"/>
      <w:bookmarkStart w:id="86" w:name="_Hlt26954848"/>
      <w:bookmarkEnd w:id="86"/>
      <w:bookmarkStart w:id="87" w:name="_Hlt26954846"/>
      <w:bookmarkEnd w:id="87"/>
      <w:bookmarkStart w:id="88" w:name="_Hlt26954842"/>
      <w:bookmarkEnd w:id="88"/>
      <w:bookmarkStart w:id="89" w:name="_Hlt26670425"/>
      <w:bookmarkEnd w:id="89"/>
      <w:bookmarkStart w:id="90" w:name="_Toc513029221"/>
      <w:bookmarkStart w:id="91" w:name="_Toc61149559"/>
      <w:bookmarkStart w:id="92" w:name="_Toc14577359"/>
    </w:p>
    <w:p>
      <w:pPr>
        <w:tabs>
          <w:tab w:val="left" w:pos="900"/>
        </w:tabs>
        <w:spacing w:line="440" w:lineRule="exact"/>
        <w:ind w:firstLine="482" w:firstLineChars="200"/>
        <w:rPr>
          <w:rFonts w:ascii="宋体" w:hAnsi="宋体"/>
          <w:color w:val="000000" w:themeColor="text1"/>
          <w:sz w:val="24"/>
        </w:rPr>
      </w:pPr>
      <w:r>
        <w:rPr>
          <w:rFonts w:hint="eastAsia" w:ascii="宋体" w:hAnsi="宋体"/>
          <w:b/>
          <w:color w:val="000000" w:themeColor="text1"/>
          <w:sz w:val="24"/>
        </w:rPr>
        <w:t>5、项目需求响应方案</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5.1 提供为完成本项目的总体实施方案。</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5.2 对磋商文件中项目需求的技术与商务条款要求逐项作出应答，并提供依据或说明。</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5.3 磋商供应商认为需要的其他技术文件或说明。</w:t>
      </w:r>
    </w:p>
    <w:p>
      <w:pPr>
        <w:tabs>
          <w:tab w:val="left" w:pos="900"/>
        </w:tabs>
        <w:spacing w:line="440" w:lineRule="exact"/>
        <w:ind w:firstLine="482" w:firstLineChars="200"/>
        <w:rPr>
          <w:rFonts w:ascii="宋体" w:hAnsi="宋体"/>
          <w:color w:val="000000" w:themeColor="text1"/>
          <w:sz w:val="24"/>
        </w:rPr>
      </w:pPr>
      <w:r>
        <w:rPr>
          <w:rFonts w:hint="eastAsia" w:ascii="宋体" w:hAnsi="宋体"/>
          <w:b/>
          <w:color w:val="000000" w:themeColor="text1"/>
          <w:sz w:val="24"/>
        </w:rPr>
        <w:t>6、磋商保证金</w:t>
      </w:r>
      <w:bookmarkEnd w:id="90"/>
      <w:bookmarkEnd w:id="91"/>
      <w:bookmarkEnd w:id="92"/>
      <w:r>
        <w:rPr>
          <w:rFonts w:hint="eastAsia" w:ascii="宋体" w:hAnsi="宋体"/>
          <w:b/>
          <w:color w:val="000000" w:themeColor="text1"/>
          <w:sz w:val="24"/>
        </w:rPr>
        <w:t>（没有）</w:t>
      </w:r>
    </w:p>
    <w:p>
      <w:pPr>
        <w:tabs>
          <w:tab w:val="left" w:pos="900"/>
        </w:tabs>
        <w:spacing w:line="440" w:lineRule="exact"/>
        <w:ind w:firstLine="559" w:firstLineChars="199"/>
        <w:rPr>
          <w:rFonts w:ascii="宋体" w:hAnsi="宋体"/>
          <w:b/>
          <w:color w:val="000000" w:themeColor="text1"/>
          <w:sz w:val="28"/>
          <w:szCs w:val="28"/>
        </w:rPr>
      </w:pPr>
      <w:bookmarkStart w:id="93" w:name="_Hlt26954852"/>
      <w:bookmarkEnd w:id="93"/>
      <w:bookmarkStart w:id="94" w:name="_Hlt26954739"/>
      <w:bookmarkEnd w:id="94"/>
      <w:bookmarkStart w:id="95" w:name="_Hlt26954749"/>
      <w:bookmarkEnd w:id="95"/>
      <w:bookmarkStart w:id="96" w:name="_Hlt26954854"/>
      <w:bookmarkEnd w:id="96"/>
      <w:bookmarkStart w:id="97" w:name="_Hlt26670489"/>
      <w:bookmarkEnd w:id="97"/>
      <w:bookmarkStart w:id="98" w:name="_Hlt26954850"/>
      <w:bookmarkEnd w:id="98"/>
      <w:bookmarkStart w:id="99" w:name="_Hlt26670493"/>
      <w:bookmarkEnd w:id="99"/>
      <w:bookmarkStart w:id="100" w:name="_Hlt26954734"/>
      <w:bookmarkEnd w:id="100"/>
      <w:bookmarkStart w:id="101" w:name="_Toc14577362"/>
      <w:bookmarkStart w:id="102" w:name="_Toc61149562"/>
      <w:bookmarkStart w:id="103" w:name="_Toc513029224"/>
      <w:r>
        <w:rPr>
          <w:rFonts w:hint="eastAsia" w:ascii="宋体" w:hAnsi="宋体"/>
          <w:b/>
          <w:color w:val="000000" w:themeColor="text1"/>
          <w:sz w:val="28"/>
          <w:szCs w:val="28"/>
        </w:rPr>
        <w:t>三、响应文件的递交</w:t>
      </w:r>
      <w:bookmarkEnd w:id="101"/>
      <w:bookmarkEnd w:id="102"/>
      <w:bookmarkEnd w:id="103"/>
    </w:p>
    <w:p>
      <w:pPr>
        <w:tabs>
          <w:tab w:val="left" w:pos="900"/>
        </w:tabs>
        <w:spacing w:line="440" w:lineRule="exact"/>
        <w:ind w:firstLine="479" w:firstLineChars="199"/>
        <w:rPr>
          <w:rFonts w:ascii="宋体" w:hAnsi="宋体"/>
          <w:b/>
          <w:color w:val="000000" w:themeColor="text1"/>
          <w:sz w:val="24"/>
        </w:rPr>
      </w:pPr>
      <w:bookmarkStart w:id="104" w:name="_Hlt26954856"/>
      <w:bookmarkEnd w:id="104"/>
      <w:bookmarkStart w:id="105" w:name="_Toc462564084"/>
      <w:bookmarkStart w:id="106" w:name="_Toc61149563"/>
      <w:bookmarkStart w:id="107" w:name="_Toc14577363"/>
      <w:bookmarkStart w:id="108" w:name="_Toc513029225"/>
      <w:r>
        <w:rPr>
          <w:rFonts w:hint="eastAsia" w:ascii="宋体" w:hAnsi="宋体"/>
          <w:b/>
          <w:color w:val="000000" w:themeColor="text1"/>
          <w:sz w:val="24"/>
        </w:rPr>
        <w:t>1、响应文件</w:t>
      </w:r>
      <w:bookmarkStart w:id="109" w:name="_Hlt26954743"/>
      <w:bookmarkEnd w:id="109"/>
      <w:r>
        <w:rPr>
          <w:rFonts w:hint="eastAsia" w:ascii="宋体" w:hAnsi="宋体"/>
          <w:b/>
          <w:color w:val="000000" w:themeColor="text1"/>
          <w:sz w:val="24"/>
        </w:rPr>
        <w:t>的密封和标记</w:t>
      </w:r>
      <w:bookmarkEnd w:id="105"/>
      <w:bookmarkEnd w:id="106"/>
      <w:bookmarkEnd w:id="107"/>
      <w:bookmarkEnd w:id="108"/>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1.1 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1.2 密封的响应文件应：</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（1）按采购邀请中注明的地址送达规定地点；</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（2）注明参加磋商项目名称、磋商文件编号及参加的分包号；</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（3）密封包装上应写明磋商供应商名称。</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1.3 如果密封包装未按要求密封和加写标记，采购人对误投或过早启封概不负责。对由此造成提前开封的响应文件，采购人将予以拒绝。</w:t>
      </w:r>
    </w:p>
    <w:p>
      <w:pPr>
        <w:tabs>
          <w:tab w:val="left" w:pos="900"/>
        </w:tabs>
        <w:spacing w:line="440" w:lineRule="exact"/>
        <w:ind w:firstLine="479" w:firstLineChars="199"/>
        <w:rPr>
          <w:rFonts w:ascii="宋体" w:hAnsi="宋体"/>
          <w:b/>
          <w:color w:val="000000" w:themeColor="text1"/>
          <w:sz w:val="24"/>
        </w:rPr>
      </w:pPr>
      <w:bookmarkStart w:id="110" w:name="_Hlt26954858"/>
      <w:bookmarkEnd w:id="110"/>
      <w:bookmarkStart w:id="111" w:name="_Hlt26954752"/>
      <w:bookmarkEnd w:id="111"/>
      <w:bookmarkStart w:id="112" w:name="_Hlt26670496"/>
      <w:bookmarkEnd w:id="112"/>
      <w:bookmarkStart w:id="113" w:name="_Toc513029226"/>
      <w:bookmarkStart w:id="114" w:name="_Toc14577364"/>
      <w:bookmarkStart w:id="115" w:name="_Toc61149564"/>
      <w:r>
        <w:rPr>
          <w:rFonts w:hint="eastAsia" w:ascii="宋体" w:hAnsi="宋体"/>
          <w:b/>
          <w:color w:val="000000" w:themeColor="text1"/>
          <w:sz w:val="24"/>
        </w:rPr>
        <w:t>2、</w:t>
      </w:r>
      <w:bookmarkEnd w:id="113"/>
      <w:bookmarkEnd w:id="114"/>
      <w:bookmarkEnd w:id="115"/>
      <w:r>
        <w:rPr>
          <w:rFonts w:hint="eastAsia" w:ascii="宋体" w:hAnsi="宋体"/>
          <w:b/>
          <w:color w:val="000000" w:themeColor="text1"/>
          <w:sz w:val="24"/>
        </w:rPr>
        <w:t>响应文件开启时间</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2.1 采购人收到响应文件的时间不得迟于本磋商文件规定的响应文件接收截止时间。</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2.2 采购人有权通过修改磋商文件推迟响应文件接收截止时间，在此情况下，磋商供应商的所有权利和义务以及受制的响应文件接收截止时间均应以延长后新的响应文件接收截止时间为准。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440" w:lineRule="exact"/>
        <w:ind w:firstLine="479" w:firstLineChars="199"/>
        <w:rPr>
          <w:rFonts w:ascii="宋体" w:hAnsi="宋体"/>
          <w:b/>
          <w:color w:val="000000" w:themeColor="text1"/>
          <w:sz w:val="24"/>
        </w:rPr>
      </w:pPr>
      <w:bookmarkStart w:id="116" w:name="_Hlt26954860"/>
      <w:bookmarkEnd w:id="116"/>
      <w:bookmarkStart w:id="117" w:name="_Toc61149565"/>
      <w:bookmarkStart w:id="118" w:name="_Toc513029227"/>
      <w:bookmarkStart w:id="119" w:name="_Toc14577365"/>
      <w:r>
        <w:rPr>
          <w:rFonts w:hint="eastAsia" w:ascii="宋体" w:hAnsi="宋体"/>
          <w:b/>
          <w:color w:val="000000" w:themeColor="text1"/>
          <w:sz w:val="24"/>
        </w:rPr>
        <w:t>3、迟交的响应文件</w:t>
      </w:r>
      <w:bookmarkEnd w:id="117"/>
      <w:bookmarkEnd w:id="118"/>
      <w:bookmarkEnd w:id="119"/>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3.1 采购人将拒绝在规定的响应文件接收截止时间后接收任何响应文件。</w:t>
      </w:r>
    </w:p>
    <w:p>
      <w:pPr>
        <w:tabs>
          <w:tab w:val="left" w:pos="900"/>
        </w:tabs>
        <w:spacing w:line="440" w:lineRule="exact"/>
        <w:ind w:firstLine="479" w:firstLineChars="199"/>
        <w:rPr>
          <w:rFonts w:ascii="宋体" w:hAnsi="宋体"/>
          <w:b/>
          <w:color w:val="000000" w:themeColor="text1"/>
          <w:sz w:val="24"/>
        </w:rPr>
      </w:pPr>
      <w:bookmarkStart w:id="120" w:name="_Hlt26954862"/>
      <w:bookmarkEnd w:id="120"/>
      <w:bookmarkStart w:id="121" w:name="_Hlt26954754"/>
      <w:bookmarkEnd w:id="121"/>
      <w:bookmarkStart w:id="122" w:name="_Toc513029228"/>
      <w:bookmarkStart w:id="123" w:name="_Toc14577366"/>
      <w:bookmarkStart w:id="124" w:name="_Toc61149566"/>
      <w:r>
        <w:rPr>
          <w:rFonts w:hint="eastAsia" w:ascii="宋体" w:hAnsi="宋体"/>
          <w:b/>
          <w:color w:val="000000" w:themeColor="text1"/>
          <w:sz w:val="24"/>
        </w:rPr>
        <w:t>4、响应文件</w:t>
      </w:r>
      <w:bookmarkStart w:id="125" w:name="_Hlt26670588"/>
      <w:r>
        <w:rPr>
          <w:rFonts w:hint="eastAsia" w:ascii="宋体" w:hAnsi="宋体"/>
          <w:b/>
          <w:color w:val="000000" w:themeColor="text1"/>
          <w:sz w:val="24"/>
        </w:rPr>
        <w:t>的修改</w:t>
      </w:r>
      <w:bookmarkEnd w:id="125"/>
      <w:r>
        <w:rPr>
          <w:rFonts w:hint="eastAsia" w:ascii="宋体" w:hAnsi="宋体"/>
          <w:b/>
          <w:color w:val="000000" w:themeColor="text1"/>
          <w:sz w:val="24"/>
        </w:rPr>
        <w:t>和撤回</w:t>
      </w:r>
      <w:bookmarkEnd w:id="122"/>
      <w:bookmarkEnd w:id="123"/>
      <w:bookmarkEnd w:id="124"/>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4.1 磋商供应商在递交响应文件后，可以修改或撤回其谈判响应文件，但这种修改和撤回，必须在规定的响应文件接收截止时间前，以书面形式送达指定地点。</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4.2 磋商供应商的修改或撤回通知书，应按本文件规定进行编制、密封、标记和发送，并应在封套上加注“修改”和“撤回”字样。</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4.3 磋商供应商在提交最后报价之前，可以根据磋商情况退出磋商，采购人退还退出磋商的供应商的磋商保证金。</w:t>
      </w:r>
    </w:p>
    <w:p>
      <w:pPr>
        <w:tabs>
          <w:tab w:val="left" w:pos="900"/>
        </w:tabs>
        <w:spacing w:line="440" w:lineRule="exact"/>
        <w:ind w:firstLine="479" w:firstLineChars="199"/>
        <w:rPr>
          <w:rFonts w:ascii="宋体" w:hAnsi="宋体"/>
          <w:b/>
          <w:color w:val="000000" w:themeColor="text1"/>
          <w:sz w:val="24"/>
        </w:rPr>
      </w:pPr>
      <w:r>
        <w:rPr>
          <w:rFonts w:hint="eastAsia" w:ascii="宋体" w:hAnsi="宋体"/>
          <w:b/>
          <w:color w:val="000000" w:themeColor="text1"/>
          <w:sz w:val="24"/>
        </w:rPr>
        <w:t>5、磋商响应有效期</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5.1 磋商响应有效期为采购人规定的响应文件接收截止时间后六十（60）天。磋商响应有效期比规定短的将被视为非实质性响应性而予以拒绝。</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5.2 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tabs>
          <w:tab w:val="left" w:pos="900"/>
        </w:tabs>
        <w:spacing w:line="440" w:lineRule="exact"/>
        <w:ind w:firstLine="559" w:firstLineChars="199"/>
        <w:rPr>
          <w:rFonts w:ascii="宋体" w:hAnsi="宋体"/>
          <w:b/>
          <w:color w:val="000000" w:themeColor="text1"/>
          <w:sz w:val="28"/>
          <w:szCs w:val="28"/>
        </w:rPr>
      </w:pPr>
      <w:bookmarkStart w:id="126" w:name="_Hlt26670523"/>
      <w:bookmarkEnd w:id="126"/>
      <w:bookmarkStart w:id="127" w:name="_Hlt26954864"/>
      <w:bookmarkEnd w:id="127"/>
      <w:r>
        <w:rPr>
          <w:rFonts w:hint="eastAsia" w:ascii="宋体" w:hAnsi="宋体"/>
          <w:b/>
          <w:color w:val="000000" w:themeColor="text1"/>
          <w:sz w:val="28"/>
          <w:szCs w:val="28"/>
        </w:rPr>
        <w:t>四、磋商与评审</w:t>
      </w:r>
    </w:p>
    <w:p>
      <w:pPr>
        <w:tabs>
          <w:tab w:val="left" w:pos="900"/>
        </w:tabs>
        <w:spacing w:line="440" w:lineRule="exact"/>
        <w:ind w:firstLine="479" w:firstLineChars="199"/>
        <w:rPr>
          <w:rFonts w:ascii="宋体" w:hAnsi="宋体"/>
          <w:b/>
          <w:color w:val="000000" w:themeColor="text1"/>
          <w:sz w:val="24"/>
        </w:rPr>
      </w:pPr>
      <w:bookmarkStart w:id="128" w:name="_Toc513029230"/>
      <w:bookmarkStart w:id="129" w:name="_Toc16938546"/>
      <w:bookmarkStart w:id="130" w:name="_Toc20823302"/>
      <w:r>
        <w:rPr>
          <w:rFonts w:hint="eastAsia" w:ascii="宋体" w:hAnsi="宋体"/>
          <w:b/>
          <w:color w:val="000000" w:themeColor="text1"/>
          <w:sz w:val="24"/>
        </w:rPr>
        <w:t>1、</w:t>
      </w:r>
      <w:bookmarkEnd w:id="128"/>
      <w:bookmarkEnd w:id="129"/>
      <w:bookmarkEnd w:id="130"/>
      <w:r>
        <w:rPr>
          <w:rFonts w:hint="eastAsia" w:ascii="宋体" w:hAnsi="宋体"/>
          <w:b/>
          <w:color w:val="000000" w:themeColor="text1"/>
          <w:sz w:val="24"/>
        </w:rPr>
        <w:t>磋商仪式</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1.1 采购人将在采购邀请中规定的时间和地点组织磋商开始仪式，仪式由采购人主持，磋商供应商应委派携带有效证件的代表准时参加，参加仪式的代表需签名以证明其出席。</w:t>
      </w:r>
    </w:p>
    <w:p>
      <w:pPr>
        <w:tabs>
          <w:tab w:val="left" w:pos="900"/>
        </w:tabs>
        <w:spacing w:line="440" w:lineRule="exact"/>
        <w:ind w:firstLine="479" w:firstLineChars="199"/>
        <w:rPr>
          <w:rFonts w:ascii="宋体" w:hAnsi="宋体"/>
          <w:b/>
          <w:color w:val="000000" w:themeColor="text1"/>
          <w:sz w:val="24"/>
        </w:rPr>
      </w:pPr>
      <w:bookmarkStart w:id="131" w:name="_Toc20823303"/>
      <w:bookmarkStart w:id="132" w:name="_Toc16938547"/>
      <w:bookmarkStart w:id="133" w:name="_Toc513029231"/>
      <w:r>
        <w:rPr>
          <w:rFonts w:hint="eastAsia" w:ascii="宋体" w:hAnsi="宋体"/>
          <w:b/>
          <w:color w:val="000000" w:themeColor="text1"/>
          <w:sz w:val="24"/>
        </w:rPr>
        <w:t>2、磋商小组</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2.1 磋商开始仪式结束后，采购人将立即组织磋商小组进行评审。</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2.2 磋商小组由评审专家、采购人代表组成。</w:t>
      </w:r>
    </w:p>
    <w:p>
      <w:pPr>
        <w:tabs>
          <w:tab w:val="left" w:pos="900"/>
        </w:tabs>
        <w:spacing w:line="440" w:lineRule="exact"/>
        <w:ind w:firstLine="479" w:firstLineChars="199"/>
        <w:rPr>
          <w:rFonts w:ascii="宋体" w:hAnsi="宋体"/>
          <w:b/>
          <w:color w:val="000000" w:themeColor="text1"/>
          <w:sz w:val="24"/>
        </w:rPr>
      </w:pPr>
      <w:r>
        <w:rPr>
          <w:rFonts w:hint="eastAsia" w:ascii="宋体" w:hAnsi="宋体"/>
          <w:b/>
          <w:color w:val="000000" w:themeColor="text1"/>
          <w:sz w:val="24"/>
        </w:rPr>
        <w:t>3、磋商评审过程的保密</w:t>
      </w:r>
      <w:bookmarkEnd w:id="131"/>
      <w:bookmarkEnd w:id="132"/>
      <w:bookmarkEnd w:id="133"/>
      <w:r>
        <w:rPr>
          <w:rFonts w:hint="eastAsia" w:ascii="宋体" w:hAnsi="宋体"/>
          <w:b/>
          <w:color w:val="000000" w:themeColor="text1"/>
          <w:sz w:val="24"/>
        </w:rPr>
        <w:t>与公正</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3.1 磋商小组</w:t>
      </w:r>
      <w:r>
        <w:rPr>
          <w:rFonts w:ascii="宋体" w:hAnsi="宋体"/>
          <w:color w:val="000000" w:themeColor="text1"/>
          <w:sz w:val="24"/>
        </w:rPr>
        <w:t>、采购人工作人员、相关监督人员等与评审工作有关的人员，对评审情况以及在评审过程中获悉的国家秘密、商业秘密负有保密责任</w:t>
      </w:r>
      <w:r>
        <w:rPr>
          <w:rFonts w:hint="eastAsia" w:ascii="宋体" w:hAnsi="宋体"/>
          <w:color w:val="000000" w:themeColor="text1"/>
          <w:sz w:val="24"/>
        </w:rPr>
        <w:t>。</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3.2 在磋商评审过程中，磋商供应商不得以任何行为影响磋商评审过程，否则其响应文件将被作为无效响应文件。</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3.3 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440" w:lineRule="exact"/>
        <w:ind w:firstLine="479" w:firstLineChars="199"/>
        <w:rPr>
          <w:rFonts w:ascii="宋体" w:hAnsi="宋体"/>
          <w:b/>
          <w:color w:val="000000" w:themeColor="text1"/>
          <w:sz w:val="24"/>
        </w:rPr>
      </w:pPr>
      <w:bookmarkStart w:id="134" w:name="_Toc16938548"/>
      <w:bookmarkStart w:id="135" w:name="_Toc513029232"/>
      <w:bookmarkStart w:id="136" w:name="_Toc20823304"/>
      <w:r>
        <w:rPr>
          <w:rFonts w:hint="eastAsia" w:ascii="宋体" w:hAnsi="宋体"/>
          <w:b/>
          <w:color w:val="000000" w:themeColor="text1"/>
          <w:sz w:val="24"/>
        </w:rPr>
        <w:t>4、评审过程的澄清</w:t>
      </w:r>
      <w:bookmarkEnd w:id="134"/>
      <w:bookmarkEnd w:id="135"/>
      <w:bookmarkEnd w:id="136"/>
      <w:r>
        <w:rPr>
          <w:rFonts w:hint="eastAsia" w:ascii="宋体" w:hAnsi="宋体"/>
          <w:b/>
          <w:color w:val="000000" w:themeColor="text1"/>
          <w:sz w:val="24"/>
        </w:rPr>
        <w:t>、说明和更正</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4.</w:t>
      </w:r>
      <w:r>
        <w:rPr>
          <w:rFonts w:ascii="宋体" w:hAnsi="宋体"/>
          <w:color w:val="000000" w:themeColor="text1"/>
          <w:sz w:val="24"/>
        </w:rPr>
        <w:t>1</w:t>
      </w:r>
      <w:r>
        <w:rPr>
          <w:rFonts w:hint="eastAsia" w:ascii="宋体" w:hAnsi="宋体"/>
          <w:color w:val="000000" w:themeColor="text1"/>
          <w:sz w:val="24"/>
        </w:rPr>
        <w:t xml:space="preserve">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4.2 接到磋商小组要求的供应商应派人按磋商小组通知的时间和地点做出书面澄清、说明或更正。供应商的澄清、说明或者更正应当由法定代表人或授权代理人签字或者加盖公章。供应商为自然人的，应当由本人签字并附身份证明。</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4.3 接到磋商小组澄清要求的供应商如未按规定做出澄清，其风险由供应商自行承担。</w:t>
      </w:r>
    </w:p>
    <w:p>
      <w:pPr>
        <w:tabs>
          <w:tab w:val="left" w:pos="900"/>
        </w:tabs>
        <w:spacing w:line="440" w:lineRule="exact"/>
        <w:ind w:firstLine="479" w:firstLineChars="199"/>
        <w:rPr>
          <w:rFonts w:ascii="宋体" w:hAnsi="宋体"/>
          <w:b/>
          <w:color w:val="000000" w:themeColor="text1"/>
          <w:sz w:val="24"/>
        </w:rPr>
      </w:pPr>
      <w:bookmarkStart w:id="137" w:name="_Toc16938549"/>
      <w:bookmarkStart w:id="138" w:name="_Toc20823305"/>
      <w:bookmarkStart w:id="139" w:name="_Toc513029233"/>
      <w:r>
        <w:rPr>
          <w:rFonts w:hint="eastAsia" w:ascii="宋体" w:hAnsi="宋体"/>
          <w:b/>
          <w:color w:val="000000" w:themeColor="text1"/>
          <w:sz w:val="24"/>
        </w:rPr>
        <w:t>5、对响应文件的初审</w:t>
      </w:r>
      <w:bookmarkEnd w:id="137"/>
      <w:bookmarkEnd w:id="138"/>
      <w:bookmarkEnd w:id="139"/>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5.1 响应文件初审分为资格性检查和符合性检查。</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资格性检查：依据法律法规和磋商文件的规定，对响应文件中的资格证明文件、磋商保证金等进行审查，以确定供应商是否具备参加磋商的资格。</w:t>
      </w:r>
    </w:p>
    <w:p>
      <w:pPr>
        <w:spacing w:line="440" w:lineRule="exact"/>
        <w:ind w:firstLine="480" w:firstLineChars="200"/>
        <w:rPr>
          <w:color w:val="000000" w:themeColor="text1"/>
          <w:sz w:val="24"/>
        </w:rPr>
      </w:pPr>
      <w:r>
        <w:rPr>
          <w:rFonts w:hint="eastAsia" w:ascii="宋体" w:hAnsi="宋体"/>
          <w:color w:val="000000" w:themeColor="text1"/>
          <w:sz w:val="24"/>
        </w:rPr>
        <w:t>磋商小组</w:t>
      </w:r>
      <w:r>
        <w:rPr>
          <w:rFonts w:hint="eastAsia"/>
          <w:color w:val="000000" w:themeColor="text1"/>
          <w:sz w:val="24"/>
        </w:rPr>
        <w:t>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符合性检查：依据磋商文件的规定，从响应文件的有效性、完整性和对磋商文件的响应程度进行审查，以确定是否对磋商文件的实质性要求作出响应。</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5.2 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color w:val="000000" w:themeColor="text1"/>
          <w:sz w:val="24"/>
        </w:rPr>
        <w:t>是否属于重大偏离由谈判小组按照少数服从多数的原则作出结论。</w:t>
      </w:r>
      <w:r>
        <w:rPr>
          <w:rFonts w:hint="eastAsia" w:ascii="宋体" w:hAnsi="宋体"/>
          <w:color w:val="000000" w:themeColor="text1"/>
          <w:sz w:val="24"/>
        </w:rPr>
        <w:t>磋商小组决定响应文件的响应性只根据响应文件本身的内容，而不寻求外部的证据。</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5.3 被认定为未实质性响应磋商文件的响应文件的情形：</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（1）未按要求交纳磋商保证金的；</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（2）未按照磋商文件规定要求密封、签署、盖章的；</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（3）供应商在报价时采用选择性报价；</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（4）供应商不具备磋商文件中规定的申请人的资格要求的；</w:t>
      </w:r>
    </w:p>
    <w:p>
      <w:pPr>
        <w:tabs>
          <w:tab w:val="left" w:pos="900"/>
        </w:tabs>
        <w:spacing w:line="440" w:lineRule="exact"/>
        <w:ind w:firstLine="360" w:firstLineChars="150"/>
        <w:rPr>
          <w:rFonts w:ascii="宋体" w:hAnsi="宋体"/>
          <w:iCs/>
          <w:color w:val="000000" w:themeColor="text1"/>
          <w:sz w:val="24"/>
        </w:rPr>
      </w:pPr>
      <w:r>
        <w:rPr>
          <w:rFonts w:hint="eastAsia" w:ascii="宋体" w:hAnsi="宋体"/>
          <w:color w:val="000000" w:themeColor="text1"/>
          <w:sz w:val="24"/>
        </w:rPr>
        <w:t>（5）不符合法律、法规和磋商文件中规定的其他实质性要求和条件的</w:t>
      </w:r>
      <w:r>
        <w:rPr>
          <w:rFonts w:hint="eastAsia" w:ascii="宋体" w:hAnsi="宋体"/>
          <w:iCs/>
          <w:color w:val="000000" w:themeColor="text1"/>
          <w:sz w:val="24"/>
          <w:u w:val="single"/>
        </w:rPr>
        <w:t>（本磋商文件中斜体且有下划线部分为实质性要求和条件）</w:t>
      </w:r>
      <w:r>
        <w:rPr>
          <w:rFonts w:hint="eastAsia" w:ascii="宋体" w:hAnsi="宋体"/>
          <w:iCs/>
          <w:color w:val="000000" w:themeColor="text1"/>
          <w:sz w:val="24"/>
        </w:rPr>
        <w:t>；</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（6）其他法律、法规及本磋商文件规定的属未实质性响应的响应文件的情形。</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pPr>
        <w:tabs>
          <w:tab w:val="left" w:pos="900"/>
        </w:tabs>
        <w:spacing w:line="440" w:lineRule="exact"/>
        <w:ind w:firstLine="479" w:firstLineChars="199"/>
        <w:rPr>
          <w:rFonts w:ascii="宋体" w:hAnsi="宋体"/>
          <w:b/>
          <w:color w:val="000000" w:themeColor="text1"/>
          <w:sz w:val="24"/>
        </w:rPr>
      </w:pPr>
      <w:bookmarkStart w:id="140" w:name="_Toc16938550"/>
      <w:bookmarkStart w:id="141" w:name="_Toc513029234"/>
      <w:bookmarkStart w:id="142" w:name="_Toc20823306"/>
      <w:r>
        <w:rPr>
          <w:rFonts w:hint="eastAsia" w:ascii="宋体" w:hAnsi="宋体"/>
          <w:b/>
          <w:color w:val="000000" w:themeColor="text1"/>
          <w:sz w:val="24"/>
        </w:rPr>
        <w:t>6、</w:t>
      </w:r>
      <w:bookmarkEnd w:id="140"/>
      <w:bookmarkEnd w:id="141"/>
      <w:bookmarkEnd w:id="142"/>
      <w:r>
        <w:rPr>
          <w:rFonts w:hint="eastAsia" w:ascii="宋体" w:hAnsi="宋体"/>
          <w:b/>
          <w:color w:val="000000" w:themeColor="text1"/>
          <w:sz w:val="24"/>
        </w:rPr>
        <w:t>磋商程序及评审方法和标准</w:t>
      </w:r>
    </w:p>
    <w:p>
      <w:pPr>
        <w:tabs>
          <w:tab w:val="left" w:pos="900"/>
        </w:tabs>
        <w:spacing w:line="440" w:lineRule="exact"/>
        <w:ind w:firstLine="477" w:firstLineChars="199"/>
        <w:rPr>
          <w:rFonts w:ascii="宋体" w:hAnsi="宋体"/>
          <w:color w:val="000000" w:themeColor="text1"/>
          <w:sz w:val="24"/>
        </w:rPr>
      </w:pPr>
      <w:bookmarkStart w:id="143" w:name="_Toc513029235"/>
      <w:bookmarkStart w:id="144" w:name="_Toc20823307"/>
      <w:bookmarkStart w:id="145" w:name="_Toc16938551"/>
      <w:r>
        <w:rPr>
          <w:rFonts w:hint="eastAsia" w:ascii="宋体" w:hAnsi="宋体"/>
          <w:color w:val="000000" w:themeColor="text1"/>
          <w:sz w:val="24"/>
        </w:rPr>
        <w:t>6.1 磋商程序</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6.1.1 对于通过资格性和符合性审查的供应商，磋商小组所有成员将集中与单一供应商分别进行磋商。</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 xml:space="preserve"> 6.1.2 </w:t>
      </w:r>
      <w:r>
        <w:rPr>
          <w:rFonts w:ascii="宋体" w:hAnsi="宋体"/>
          <w:color w:val="000000" w:themeColor="text1"/>
          <w:sz w:val="24"/>
        </w:rPr>
        <w:t>磋商文件能够详细列明采购标的的技术、服务要求的，磋商结束后，磋商小组</w:t>
      </w:r>
      <w:r>
        <w:rPr>
          <w:rFonts w:hint="eastAsia" w:ascii="宋体" w:hAnsi="宋体"/>
          <w:color w:val="000000" w:themeColor="text1"/>
          <w:sz w:val="24"/>
        </w:rPr>
        <w:t>将</w:t>
      </w:r>
      <w:r>
        <w:rPr>
          <w:rFonts w:ascii="宋体" w:hAnsi="宋体"/>
          <w:color w:val="000000" w:themeColor="text1"/>
          <w:sz w:val="24"/>
        </w:rPr>
        <w:t>要求所有实质性响应的供应商在规定时间内提交最后报价。</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最后报价是供应商响应文件的有效组成部分。符合《政府采购竞争性磋商采购方式</w:t>
      </w:r>
    </w:p>
    <w:p>
      <w:pPr>
        <w:tabs>
          <w:tab w:val="left" w:pos="900"/>
        </w:tabs>
        <w:spacing w:line="440" w:lineRule="exact"/>
        <w:rPr>
          <w:rFonts w:ascii="宋体" w:hAnsi="宋体"/>
          <w:color w:val="000000" w:themeColor="text1"/>
          <w:sz w:val="24"/>
        </w:rPr>
      </w:pPr>
      <w:r>
        <w:rPr>
          <w:rFonts w:hint="eastAsia" w:ascii="宋体" w:hAnsi="宋体"/>
          <w:color w:val="000000" w:themeColor="text1"/>
          <w:sz w:val="24"/>
        </w:rPr>
        <w:t>管理暂行办法》第三条第四项及《财政部关于竞争性磋商采购方式管理暂行办法有关问题的补充通知》（财库[2015]124号）规定情形的，提交最后报价的供应商可以为2家。</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6.1.3 磋商供应商未在磋商小组规定的时间内完成最后报价的视为放弃磋商，其磋商响应按无效响应处理。最后报价须由磋商供应商法定代表人或授权代表签字或者加盖公章。在采购需求中的技术、服务要求以及合同草案条款未作变动的情况下，谈判供应商的最后报价不得高于响应文件中的报价。</w:t>
      </w:r>
      <w:r>
        <w:rPr>
          <w:rFonts w:ascii="宋体" w:hAnsi="宋体"/>
          <w:color w:val="000000" w:themeColor="text1"/>
          <w:sz w:val="24"/>
        </w:rPr>
        <w:t>已提交响应文件的供应商，在提交最后报价之前，可以根据磋商情况退出磋商。</w:t>
      </w:r>
      <w:r>
        <w:rPr>
          <w:rFonts w:hint="eastAsia" w:ascii="宋体" w:hAnsi="宋体"/>
          <w:color w:val="000000" w:themeColor="text1"/>
          <w:sz w:val="24"/>
        </w:rPr>
        <w:t>采购人将</w:t>
      </w:r>
      <w:r>
        <w:rPr>
          <w:rFonts w:ascii="宋体" w:hAnsi="宋体"/>
          <w:color w:val="000000" w:themeColor="text1"/>
          <w:sz w:val="24"/>
        </w:rPr>
        <w:t>退还退出磋商的供应商的磋商保证金。</w:t>
      </w:r>
    </w:p>
    <w:p>
      <w:pPr>
        <w:spacing w:line="440" w:lineRule="exact"/>
        <w:ind w:firstLine="480" w:firstLineChars="200"/>
        <w:rPr>
          <w:color w:val="000000" w:themeColor="text1"/>
          <w:sz w:val="24"/>
        </w:rPr>
      </w:pPr>
      <w:r>
        <w:rPr>
          <w:rFonts w:hint="eastAsia"/>
          <w:color w:val="000000" w:themeColor="text1"/>
          <w:sz w:val="24"/>
        </w:rPr>
        <w:t>6.1.4 各供应商最后报价结束后，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6.2 评审方法和标准</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6.2.1 评审方法。经磋商确定最终采购需求和提交最后报价的供应商后，由磋商小组采用综合评分法对提交最后报价的供应商的响应文件和最后报价进行综合评分。</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6.2.2 评审标准</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见本磋商文件第五章规定。</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6.3 采购活动终止的情况</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出现下列情形之一的，本次竞争性磋商采购活动将被终止：</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（1）因情况变化，不再符合规定的竞争性磋商采购方式适用情形的；</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（2）出现影响采购公正的违法、违规行为的；</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（3）除本磋商文件第6.1.2条第三款规定的情形外，在采购过程中符合要求的供应商或者报价未超过采购预算的供应商不足3家的。</w:t>
      </w:r>
    </w:p>
    <w:bookmarkEnd w:id="143"/>
    <w:bookmarkEnd w:id="144"/>
    <w:bookmarkEnd w:id="145"/>
    <w:p>
      <w:pPr>
        <w:tabs>
          <w:tab w:val="left" w:pos="900"/>
        </w:tabs>
        <w:spacing w:line="440" w:lineRule="exact"/>
        <w:ind w:firstLine="559" w:firstLineChars="199"/>
        <w:rPr>
          <w:rFonts w:ascii="宋体" w:hAnsi="宋体"/>
          <w:b/>
          <w:color w:val="000000" w:themeColor="text1"/>
          <w:sz w:val="28"/>
          <w:szCs w:val="28"/>
        </w:rPr>
      </w:pPr>
      <w:r>
        <w:rPr>
          <w:rFonts w:hint="eastAsia" w:ascii="宋体" w:hAnsi="宋体"/>
          <w:b/>
          <w:color w:val="000000" w:themeColor="text1"/>
          <w:sz w:val="28"/>
          <w:szCs w:val="28"/>
        </w:rPr>
        <w:t>五、成交</w:t>
      </w:r>
    </w:p>
    <w:p>
      <w:pPr>
        <w:tabs>
          <w:tab w:val="left" w:pos="900"/>
        </w:tabs>
        <w:spacing w:line="440" w:lineRule="exact"/>
        <w:ind w:firstLine="479" w:firstLineChars="199"/>
        <w:rPr>
          <w:rFonts w:ascii="宋体" w:hAnsi="宋体"/>
          <w:b/>
          <w:color w:val="000000" w:themeColor="text1"/>
          <w:sz w:val="24"/>
        </w:rPr>
      </w:pPr>
      <w:bookmarkStart w:id="146" w:name="_Toc513029238"/>
      <w:bookmarkStart w:id="147" w:name="_Toc16938554"/>
      <w:bookmarkStart w:id="148" w:name="_Toc20823310"/>
      <w:r>
        <w:rPr>
          <w:rFonts w:hint="eastAsia" w:ascii="宋体" w:hAnsi="宋体"/>
          <w:b/>
          <w:color w:val="000000" w:themeColor="text1"/>
          <w:sz w:val="24"/>
        </w:rPr>
        <w:t>1、</w:t>
      </w:r>
      <w:bookmarkEnd w:id="146"/>
      <w:r>
        <w:rPr>
          <w:rFonts w:hint="eastAsia" w:ascii="宋体" w:hAnsi="宋体"/>
          <w:b/>
          <w:color w:val="000000" w:themeColor="text1"/>
          <w:sz w:val="24"/>
        </w:rPr>
        <w:t>确定</w:t>
      </w:r>
      <w:bookmarkEnd w:id="147"/>
      <w:bookmarkEnd w:id="148"/>
      <w:r>
        <w:rPr>
          <w:rFonts w:hint="eastAsia" w:ascii="宋体" w:hAnsi="宋体"/>
          <w:b/>
          <w:color w:val="000000" w:themeColor="text1"/>
          <w:sz w:val="24"/>
        </w:rPr>
        <w:t>成交单位</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1.2采购人根据磋商小组推荐的成交候选人确定成交供应商。采购人确定成交供应商后，采购人将网上发布成交结果公告，公告期限为3个工作日。</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1.3 若有充分证据证明，成交供应商出现下列情况之一的，一经查实，将被取消成交资格：</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（1）提供虚假材料谋取成交的；</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（2）与评审专家、采购人、其他供应商或者采购人工作人员恶意串通的；</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（3）向评审专家、采购人或工作人员行贿或者提供其他不正当利益的；</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（4）恶意竞争，最终总报价明显低于其自身合理成本且又无法提供证明的；</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（5）不满足本磋商文件规定的实质性要求，但在评审过程中又未被磋商小组发现的；</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（6）成交后无正当理由拒不与采购人签订采购合同或者未按照磋商文件确定的事项签订采购合同；</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（7）将采购合同转包；</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（8）法律、法规、规章规定的属于成交无效的其他情形。</w:t>
      </w:r>
    </w:p>
    <w:p>
      <w:pPr>
        <w:tabs>
          <w:tab w:val="left" w:pos="900"/>
        </w:tabs>
        <w:spacing w:line="440" w:lineRule="exact"/>
        <w:ind w:firstLine="479" w:firstLineChars="199"/>
        <w:rPr>
          <w:rFonts w:ascii="宋体" w:hAnsi="宋体"/>
          <w:b/>
          <w:color w:val="000000" w:themeColor="text1"/>
          <w:sz w:val="24"/>
        </w:rPr>
      </w:pPr>
      <w:r>
        <w:rPr>
          <w:rFonts w:hint="eastAsia" w:ascii="宋体" w:hAnsi="宋体"/>
          <w:b/>
          <w:color w:val="000000" w:themeColor="text1"/>
          <w:sz w:val="24"/>
        </w:rPr>
        <w:t>2、质疑处理</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2.1供应商认为磋商文件、采购过程和采购结果使自己的权益受到损害的，可以在知道或应知其权益受到损害之日起七个工作日内，以书面形式向采购人提出质疑。上述应知其权益受到损害之日，是指：</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（1）</w:t>
      </w:r>
      <w:r>
        <w:rPr>
          <w:rFonts w:ascii="宋体" w:hAnsi="宋体"/>
          <w:color w:val="000000" w:themeColor="text1"/>
          <w:sz w:val="24"/>
        </w:rPr>
        <w:t>对可以质疑的磋商文件提出质疑的，为收到磋商文件之日或者磋商文件公告期限届满之日；</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（2）</w:t>
      </w:r>
      <w:r>
        <w:rPr>
          <w:rFonts w:ascii="宋体" w:hAnsi="宋体"/>
          <w:color w:val="000000" w:themeColor="text1"/>
          <w:sz w:val="24"/>
        </w:rPr>
        <w:t>对采购过程提出质疑的，为各采购程序环节结束之日；</w:t>
      </w:r>
    </w:p>
    <w:p>
      <w:pPr>
        <w:tabs>
          <w:tab w:val="left" w:pos="900"/>
        </w:tabs>
        <w:spacing w:line="440" w:lineRule="exact"/>
        <w:ind w:firstLine="360" w:firstLineChars="150"/>
        <w:rPr>
          <w:rFonts w:ascii="宋体" w:hAnsi="宋体"/>
          <w:color w:val="000000" w:themeColor="text1"/>
          <w:sz w:val="24"/>
        </w:rPr>
      </w:pPr>
      <w:r>
        <w:rPr>
          <w:rFonts w:hint="eastAsia" w:ascii="宋体" w:hAnsi="宋体"/>
          <w:color w:val="000000" w:themeColor="text1"/>
          <w:sz w:val="24"/>
        </w:rPr>
        <w:t>（3）</w:t>
      </w:r>
      <w:r>
        <w:rPr>
          <w:rFonts w:ascii="宋体" w:hAnsi="宋体"/>
          <w:color w:val="000000" w:themeColor="text1"/>
          <w:sz w:val="24"/>
        </w:rPr>
        <w:t>对成交结果提出质疑的，为成交结果公告期限届满之日。</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2.2 质疑必须按《政府采购法》、《政府采购法实施条例》及《江苏省政府采购供应商监督管理暂行办法》的相关规定提交，未按上述要求提交的质疑函（含传真、电子邮件等）采购人有权不予受理。</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2.3 未参加磋商采购活动的供应商或在磋商采购活动中自身权益未受到损害的供应商所提出的质疑不予受理。</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2.4 质疑函应当包括下列内容：</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2.4.1 质疑供应商的名称、地址、邮编、联系人、联系电话；</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2.4.2 具体的质疑事项及明确的请求；</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2.4.3 认为自己合法权益受到损害或可能受到损害的相关证据材料；</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2.4.4 提起质疑的日期；</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2.4.5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2.5 《质疑函范本》请参考：</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盐城市政府采购网/协议供货及资料下载/政府采购供应商质疑函范本/  http://czj.yancheng.gov.cn/art/2018/2/9/art_2407_2076377.html。</w:t>
      </w:r>
    </w:p>
    <w:p>
      <w:pPr>
        <w:autoSpaceDE w:val="0"/>
        <w:autoSpaceDN w:val="0"/>
        <w:adjustRightInd w:val="0"/>
        <w:spacing w:line="440" w:lineRule="exact"/>
        <w:ind w:firstLine="480"/>
        <w:rPr>
          <w:rFonts w:ascii="宋体" w:hAnsi="Arial" w:cs="宋体"/>
          <w:color w:val="000000" w:themeColor="text1"/>
          <w:sz w:val="24"/>
          <w:lang w:val="zh-CN"/>
        </w:rPr>
      </w:pPr>
      <w:r>
        <w:rPr>
          <w:rFonts w:hint="eastAsia" w:ascii="宋体" w:hAnsi="Arial" w:cs="宋体"/>
          <w:color w:val="000000" w:themeColor="text1"/>
          <w:sz w:val="24"/>
          <w:lang w:val="zh-CN"/>
        </w:rPr>
        <w:t>2.6 采购人只接收以纸质原件形式送达的质疑。采购人质疑接收部门为竞争性磋商采购公告中的使用部门和采购部门、盐城工业职业技术学院招投标管理办公室；联系人、联系电话、地址：详见公告。</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2.7 以下情形的质疑不予受理：</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2.7.1 内容不符合《政府采购质疑和投诉办法》第十二条规定的质疑；</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2.7.2 超出政府采购法定期限的质疑；</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2.7.3 以传真、电子邮件等方式递交的非纸质原件形式的质疑；</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2.6.4 未参加磋商活动的供应商或在磋商活动中自身权益未受到损害的供应商所提出的质疑；</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2.7.5 供应商组成联合体参加投标，联合体中任何一方或多方未按要求签字、盖章、加盖公章的质疑。</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2.8 采购人收到质疑函后，将对质疑的形式和内容进行审查，如质疑函内容、格式不符合规定，采购人将告知质疑人进行补正。</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2.9 质疑人应当在法定质疑期限内进行补正并重新提交质疑函，拒不补正或者在法定期限内未重新提交质疑函的，为无效质疑，采购人有权不予受理。</w:t>
      </w:r>
    </w:p>
    <w:p>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2.10 对于内容、格式符合规定的质疑函，采购人应当在收到供应商的书面质疑后七个工作日内作出答复，但答复的内容不得涉及商业秘密。</w:t>
      </w:r>
    </w:p>
    <w:p>
      <w:pPr>
        <w:tabs>
          <w:tab w:val="left" w:pos="900"/>
        </w:tabs>
        <w:spacing w:line="440" w:lineRule="exact"/>
        <w:ind w:firstLine="477" w:firstLineChars="199"/>
        <w:rPr>
          <w:rFonts w:ascii="宋体" w:hAnsi="宋体"/>
          <w:b/>
          <w:color w:val="000000" w:themeColor="text1"/>
          <w:sz w:val="28"/>
          <w:szCs w:val="28"/>
        </w:rPr>
      </w:pPr>
      <w:r>
        <w:rPr>
          <w:rFonts w:hint="eastAsia" w:ascii="宋体" w:hAnsi="宋体"/>
          <w:color w:val="000000" w:themeColor="text1"/>
          <w:sz w:val="24"/>
        </w:rPr>
        <w:t>2.11 供应商提出书面质疑必须有理、有据，不得恶意质疑或提交虚假质疑。否则，一经查实，采购人有权依据政府采购的有关规定，报请政府采购监管部门对该供应商进行相应的行政处罚。</w:t>
      </w:r>
    </w:p>
    <w:p>
      <w:pPr>
        <w:tabs>
          <w:tab w:val="left" w:pos="900"/>
        </w:tabs>
        <w:spacing w:line="440" w:lineRule="exact"/>
        <w:ind w:firstLine="559" w:firstLineChars="199"/>
        <w:rPr>
          <w:rFonts w:ascii="宋体" w:hAnsi="宋体"/>
          <w:b/>
          <w:color w:val="000000" w:themeColor="text1"/>
          <w:sz w:val="28"/>
          <w:szCs w:val="28"/>
        </w:rPr>
      </w:pPr>
      <w:r>
        <w:rPr>
          <w:rFonts w:hint="eastAsia" w:ascii="宋体" w:hAnsi="宋体"/>
          <w:b/>
          <w:color w:val="000000" w:themeColor="text1"/>
          <w:sz w:val="28"/>
          <w:szCs w:val="28"/>
        </w:rPr>
        <w:t>六、合同签订相关事项</w:t>
      </w:r>
    </w:p>
    <w:p>
      <w:pPr>
        <w:tabs>
          <w:tab w:val="left" w:pos="900"/>
        </w:tabs>
        <w:spacing w:line="440" w:lineRule="exact"/>
        <w:ind w:firstLine="479" w:firstLineChars="199"/>
        <w:rPr>
          <w:rFonts w:ascii="宋体" w:hAnsi="宋体"/>
          <w:b/>
          <w:color w:val="000000" w:themeColor="text1"/>
          <w:sz w:val="24"/>
        </w:rPr>
      </w:pPr>
      <w:r>
        <w:rPr>
          <w:rFonts w:hint="eastAsia" w:ascii="宋体" w:hAnsi="宋体"/>
          <w:b/>
          <w:color w:val="000000" w:themeColor="text1"/>
          <w:sz w:val="24"/>
        </w:rPr>
        <w:t>1、签订合同</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1.l 成交供应商确定后，采购人将向成交供应商发出成交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pPr>
        <w:tabs>
          <w:tab w:val="left" w:pos="90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1.2 采购文件、成交供应商的响应文件及磋商采购过程中有关澄清、承诺文件均应作为合同附件。</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tabs>
          <w:tab w:val="left" w:pos="900"/>
        </w:tabs>
        <w:spacing w:line="440" w:lineRule="exact"/>
        <w:ind w:firstLine="479" w:firstLineChars="199"/>
        <w:rPr>
          <w:rFonts w:ascii="宋体" w:hAnsi="宋体"/>
          <w:b/>
          <w:color w:val="000000" w:themeColor="text1"/>
          <w:sz w:val="24"/>
        </w:rPr>
      </w:pPr>
      <w:r>
        <w:rPr>
          <w:rFonts w:hint="eastAsia" w:ascii="宋体" w:hAnsi="宋体"/>
          <w:b/>
          <w:color w:val="000000" w:themeColor="text1"/>
          <w:sz w:val="24"/>
        </w:rPr>
        <w:t>2、履约保证金</w:t>
      </w:r>
    </w:p>
    <w:p>
      <w:pPr>
        <w:tabs>
          <w:tab w:val="left" w:pos="900"/>
        </w:tabs>
        <w:spacing w:line="440" w:lineRule="exact"/>
        <w:ind w:firstLine="477" w:firstLineChars="199"/>
        <w:rPr>
          <w:rFonts w:ascii="宋体" w:hAnsi="宋体"/>
          <w:color w:val="000000" w:themeColor="text1"/>
          <w:sz w:val="24"/>
        </w:rPr>
      </w:pPr>
      <w:r>
        <w:rPr>
          <w:rFonts w:hint="eastAsia" w:ascii="宋体" w:hAnsi="宋体"/>
          <w:color w:val="000000" w:themeColor="text1"/>
          <w:sz w:val="24"/>
        </w:rPr>
        <w:t>在签订合同时，须向采购人交纳履约保证金,于合同履行后无息退还。履约保证金用以约束成交供应商在合同履行中的行为，弥补合同执行中由于自身行为可能给采购人带来的各种损失。</w:t>
      </w:r>
    </w:p>
    <w:p>
      <w:pPr>
        <w:spacing w:line="500" w:lineRule="exact"/>
        <w:ind w:firstLine="555"/>
        <w:rPr>
          <w:rFonts w:ascii="宋体" w:hAnsi="宋体" w:cs="宋体"/>
          <w:color w:val="000000" w:themeColor="text1"/>
          <w:sz w:val="24"/>
        </w:rPr>
      </w:pPr>
    </w:p>
    <w:p>
      <w:pPr>
        <w:spacing w:line="500" w:lineRule="exact"/>
        <w:ind w:firstLine="555"/>
        <w:rPr>
          <w:rFonts w:ascii="宋体" w:hAnsi="宋体" w:cs="宋体"/>
          <w:color w:val="000000" w:themeColor="text1"/>
          <w:sz w:val="24"/>
        </w:rPr>
      </w:pPr>
    </w:p>
    <w:p>
      <w:pPr>
        <w:tabs>
          <w:tab w:val="left" w:pos="900"/>
        </w:tabs>
        <w:spacing w:afterLines="50" w:line="560" w:lineRule="exact"/>
        <w:ind w:firstLine="477" w:firstLineChars="199"/>
        <w:rPr>
          <w:rFonts w:ascii="宋体" w:hAnsi="宋体" w:cs="宋体"/>
          <w:color w:val="000000" w:themeColor="text1"/>
          <w:sz w:val="24"/>
        </w:rPr>
      </w:pPr>
    </w:p>
    <w:bookmarkEnd w:id="47"/>
    <w:bookmarkEnd w:id="48"/>
    <w:bookmarkEnd w:id="49"/>
    <w:p>
      <w:pPr>
        <w:jc w:val="center"/>
        <w:outlineLvl w:val="0"/>
        <w:rPr>
          <w:rFonts w:ascii="宋体" w:hAnsi="宋体" w:cs="宋体"/>
          <w:b/>
          <w:bCs/>
          <w:color w:val="000000" w:themeColor="text1"/>
          <w:sz w:val="44"/>
          <w:szCs w:val="44"/>
        </w:rPr>
      </w:pPr>
      <w:r>
        <w:rPr>
          <w:rFonts w:hint="eastAsia" w:ascii="宋体" w:hAnsi="宋体" w:cs="宋体"/>
          <w:color w:val="000000" w:themeColor="text1"/>
          <w:sz w:val="24"/>
        </w:rPr>
        <w:br w:type="page"/>
      </w:r>
      <w:bookmarkStart w:id="149" w:name="_Toc16790"/>
      <w:bookmarkStart w:id="150" w:name="_Toc6015"/>
      <w:r>
        <w:rPr>
          <w:rFonts w:hint="eastAsia" w:ascii="宋体" w:hAnsi="宋体" w:cs="宋体"/>
          <w:b/>
          <w:bCs/>
          <w:color w:val="000000" w:themeColor="text1"/>
          <w:sz w:val="44"/>
          <w:szCs w:val="44"/>
        </w:rPr>
        <w:t>第三章  合同条款及格式</w:t>
      </w:r>
      <w:bookmarkEnd w:id="149"/>
      <w:bookmarkEnd w:id="150"/>
    </w:p>
    <w:p>
      <w:pPr>
        <w:spacing w:line="440" w:lineRule="exact"/>
        <w:ind w:firstLine="480" w:firstLineChars="200"/>
        <w:rPr>
          <w:rFonts w:ascii="宋体" w:hAnsi="宋体" w:cs="宋体"/>
          <w:b/>
          <w:color w:val="000000" w:themeColor="text1"/>
          <w:sz w:val="30"/>
        </w:rPr>
      </w:pPr>
      <w:r>
        <w:rPr>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Fonts w:ascii="宋体" w:hAnsi="宋体" w:cs="宋体"/>
          <w:b/>
          <w:color w:val="000000" w:themeColor="text1"/>
          <w:sz w:val="30"/>
          <w:szCs w:val="20"/>
        </w:rPr>
      </w:pPr>
      <w:bookmarkStart w:id="151" w:name="_Toc18112"/>
      <w:bookmarkStart w:id="152" w:name="_Toc6096"/>
      <w:r>
        <w:rPr>
          <w:rFonts w:hint="eastAsia" w:ascii="宋体" w:hAnsi="宋体" w:cs="宋体"/>
          <w:b/>
          <w:color w:val="000000" w:themeColor="text1"/>
          <w:sz w:val="30"/>
        </w:rPr>
        <w:t>采购合同</w:t>
      </w:r>
      <w:bookmarkEnd w:id="151"/>
      <w:bookmarkEnd w:id="152"/>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项目名称：</w:t>
      </w:r>
      <w:r>
        <w:rPr>
          <w:rFonts w:hint="eastAsia" w:ascii="宋体" w:hAnsi="宋体" w:cs="宋体"/>
          <w:color w:val="000000" w:themeColor="text1"/>
          <w:sz w:val="24"/>
          <w:u w:val="single"/>
        </w:rPr>
        <w:t>宿舍区域水电维修外包服务</w:t>
      </w:r>
    </w:p>
    <w:p>
      <w:pPr>
        <w:pStyle w:val="33"/>
        <w:widowControl w:val="0"/>
        <w:snapToGrid w:val="0"/>
        <w:spacing w:before="0" w:beforeAutospacing="0" w:after="0" w:afterAutospacing="0" w:line="460" w:lineRule="exact"/>
        <w:ind w:firstLine="480" w:firstLineChars="200"/>
        <w:rPr>
          <w:rFonts w:hint="default" w:eastAsia="宋体"/>
          <w:color w:val="000000" w:themeColor="text1"/>
          <w:lang w:val="en-US" w:eastAsia="zh-CN"/>
        </w:rPr>
      </w:pPr>
      <w:r>
        <w:rPr>
          <w:rFonts w:hint="eastAsia"/>
          <w:color w:val="000000" w:themeColor="text1"/>
          <w:kern w:val="2"/>
        </w:rPr>
        <w:t>项目编号：</w:t>
      </w:r>
      <w:r>
        <w:rPr>
          <w:rFonts w:hint="eastAsia"/>
          <w:color w:val="000000" w:themeColor="text1"/>
          <w:kern w:val="2"/>
          <w:u w:val="single"/>
        </w:rPr>
        <w:t>2022</w:t>
      </w:r>
      <w:r>
        <w:rPr>
          <w:rFonts w:hint="eastAsia"/>
          <w:color w:val="000000" w:themeColor="text1"/>
          <w:kern w:val="2"/>
          <w:u w:val="single"/>
          <w:lang w:val="en-US" w:eastAsia="zh-CN"/>
        </w:rPr>
        <w:t>F</w:t>
      </w:r>
      <w:r>
        <w:rPr>
          <w:rFonts w:hint="eastAsia"/>
          <w:color w:val="000000" w:themeColor="text1"/>
          <w:kern w:val="2"/>
          <w:u w:val="single"/>
        </w:rPr>
        <w:t>-0</w:t>
      </w:r>
      <w:r>
        <w:rPr>
          <w:rFonts w:hint="eastAsia"/>
          <w:color w:val="000000" w:themeColor="text1"/>
          <w:kern w:val="2"/>
          <w:u w:val="single"/>
          <w:lang w:val="en-US" w:eastAsia="zh-CN"/>
        </w:rPr>
        <w:t>27</w:t>
      </w:r>
    </w:p>
    <w:p>
      <w:pPr>
        <w:pStyle w:val="33"/>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甲方：（买方）</w:t>
      </w:r>
      <w:r>
        <w:rPr>
          <w:rFonts w:hint="eastAsia"/>
          <w:color w:val="000000" w:themeColor="text1"/>
          <w:kern w:val="2"/>
          <w:u w:val="single"/>
        </w:rPr>
        <w:t>盐城工业职业技术学院</w:t>
      </w:r>
    </w:p>
    <w:p>
      <w:pPr>
        <w:pStyle w:val="33"/>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乙方：（卖方）</w:t>
      </w:r>
    </w:p>
    <w:p>
      <w:pPr>
        <w:spacing w:line="560" w:lineRule="exact"/>
        <w:ind w:firstLine="480" w:firstLineChars="200"/>
        <w:rPr>
          <w:rFonts w:ascii="宋体" w:hAnsi="宋体" w:cs="宋体"/>
          <w:b/>
          <w:color w:val="000000" w:themeColor="text1"/>
          <w:sz w:val="24"/>
        </w:rPr>
      </w:pPr>
      <w:r>
        <w:rPr>
          <w:rFonts w:hint="eastAsia" w:ascii="宋体" w:hAnsi="宋体" w:cs="宋体"/>
          <w:color w:val="000000" w:themeColor="text1"/>
          <w:sz w:val="24"/>
        </w:rPr>
        <w:t>甲、乙双方根据</w:t>
      </w:r>
      <w:r>
        <w:rPr>
          <w:rFonts w:hint="eastAsia" w:ascii="宋体" w:hAnsi="宋体" w:cs="宋体"/>
          <w:color w:val="000000" w:themeColor="text1"/>
          <w:sz w:val="24"/>
          <w:u w:val="single"/>
        </w:rPr>
        <w:t>宿舍区域水电维修外包服务</w:t>
      </w:r>
      <w:r>
        <w:rPr>
          <w:rFonts w:hint="eastAsia" w:ascii="宋体" w:hAnsi="宋体" w:cs="宋体"/>
          <w:color w:val="000000" w:themeColor="text1"/>
          <w:sz w:val="24"/>
        </w:rPr>
        <w:t>公开招标的结果，签署本合同。</w:t>
      </w:r>
    </w:p>
    <w:p>
      <w:pPr>
        <w:pStyle w:val="33"/>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一、项目内容</w:t>
      </w:r>
    </w:p>
    <w:p>
      <w:pPr>
        <w:spacing w:line="560" w:lineRule="exact"/>
        <w:ind w:firstLine="480" w:firstLineChars="200"/>
        <w:rPr>
          <w:color w:val="000000" w:themeColor="text1"/>
        </w:rPr>
      </w:pPr>
      <w:r>
        <w:rPr>
          <w:rFonts w:hint="eastAsia" w:ascii="宋体" w:hAnsi="宋体" w:cs="宋体"/>
          <w:color w:val="000000" w:themeColor="text1"/>
          <w:sz w:val="24"/>
        </w:rPr>
        <w:t>1.1 项目名称：</w:t>
      </w:r>
      <w:r>
        <w:rPr>
          <w:rFonts w:hint="eastAsia" w:ascii="宋体" w:hAnsi="宋体" w:cs="宋体"/>
          <w:color w:val="000000" w:themeColor="text1"/>
          <w:sz w:val="24"/>
          <w:u w:val="single"/>
        </w:rPr>
        <w:t>宿舍区域水电维修外包服务</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1.2项目内容：</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1）负责学校学生宿舍1-9号、青年教师公寓及值班室、创业园临时学生宿舍等建筑体为对象的所有室内外的水电维修（如水管破裂、水龙头、冲水阀、各类灯具、电线短路、插座、开关、路灯等损坏）、各建筑单体强电间及电器维护保养及卫生工作。</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2）所有维修配件均由甲方承担提供，承包单位要以旧换新，做好维修记录并于次月交上月维修记录。小故障一小时内修复，无特殊情况故障都应当天排除。含根据甲方要求，非维修类水电施工的穿墙、水电开槽、布线、穿线、埋槽、常规安装开关、插座、灯等工作，具体判定以2名水电工半天工作量为依据，超出此工作量的工作由甲方另行派工或招标。</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（3）负责现有服务范围内建筑单体后期装潢改造过保质期的水电维修。</w:t>
      </w:r>
    </w:p>
    <w:p>
      <w:pPr>
        <w:pStyle w:val="33"/>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（4）负责宿舍24小时值班。</w:t>
      </w:r>
    </w:p>
    <w:p>
      <w:pPr>
        <w:pStyle w:val="33"/>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w:t>
      </w:r>
      <w:r>
        <w:rPr>
          <w:rFonts w:hint="eastAsia"/>
          <w:b/>
          <w:bCs/>
          <w:color w:val="000000" w:themeColor="text1"/>
          <w:kern w:val="2"/>
        </w:rPr>
        <w:t>服务费用及支付方式</w:t>
      </w:r>
    </w:p>
    <w:p>
      <w:pPr>
        <w:pStyle w:val="33"/>
        <w:widowControl w:val="0"/>
        <w:snapToGrid w:val="0"/>
        <w:spacing w:before="0" w:beforeAutospacing="0" w:after="0" w:afterAutospacing="0" w:line="460" w:lineRule="exact"/>
        <w:ind w:firstLine="480" w:firstLineChars="200"/>
        <w:jc w:val="both"/>
        <w:rPr>
          <w:color w:val="000000" w:themeColor="text1"/>
          <w:kern w:val="2"/>
          <w:u w:val="single"/>
        </w:rPr>
      </w:pPr>
      <w:r>
        <w:rPr>
          <w:rFonts w:hint="eastAsia"/>
          <w:color w:val="000000" w:themeColor="text1"/>
          <w:kern w:val="2"/>
        </w:rPr>
        <w:t>2.1 本合同金额为：人民币</w:t>
      </w:r>
      <w:r>
        <w:rPr>
          <w:rFonts w:hint="eastAsia"/>
          <w:color w:val="000000" w:themeColor="text1"/>
          <w:kern w:val="2"/>
          <w:u w:val="single"/>
        </w:rPr>
        <w:t xml:space="preserve">   元/年</w:t>
      </w:r>
    </w:p>
    <w:p>
      <w:pPr>
        <w:pStyle w:val="33"/>
        <w:widowControl w:val="0"/>
        <w:snapToGrid w:val="0"/>
        <w:spacing w:before="0" w:beforeAutospacing="0" w:after="0" w:afterAutospacing="0" w:line="460" w:lineRule="exact"/>
        <w:ind w:firstLine="480" w:firstLineChars="200"/>
        <w:jc w:val="both"/>
        <w:rPr>
          <w:color w:val="000000" w:themeColor="text1"/>
          <w:kern w:val="2"/>
          <w:u w:val="single"/>
        </w:rPr>
      </w:pPr>
      <w:r>
        <w:rPr>
          <w:rFonts w:hint="eastAsia"/>
          <w:color w:val="000000" w:themeColor="text1"/>
          <w:kern w:val="2"/>
        </w:rPr>
        <w:t>2.2 乙方入驻项目三个月且通过甲方综合考核、验收合格后，甲方向乙方按季度支付费用。</w:t>
      </w:r>
    </w:p>
    <w:p>
      <w:pPr>
        <w:pStyle w:val="18"/>
        <w:snapToGrid w:val="0"/>
        <w:spacing w:line="500" w:lineRule="exact"/>
        <w:ind w:firstLine="482" w:firstLineChars="200"/>
        <w:rPr>
          <w:rFonts w:hint="default" w:cs="宋体"/>
          <w:b/>
          <w:color w:val="000000" w:themeColor="text1"/>
          <w:sz w:val="24"/>
          <w:szCs w:val="24"/>
        </w:rPr>
      </w:pPr>
      <w:r>
        <w:rPr>
          <w:rFonts w:cs="宋体"/>
          <w:b/>
          <w:color w:val="000000" w:themeColor="text1"/>
          <w:sz w:val="24"/>
          <w:szCs w:val="24"/>
        </w:rPr>
        <w:t>三、技术资料</w:t>
      </w:r>
    </w:p>
    <w:p>
      <w:pPr>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3.1乙方应按招标文件规定的时间向甲方提供使用服务的有关技术资料。</w:t>
      </w:r>
    </w:p>
    <w:p>
      <w:pPr>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3.2 没有甲方事先书面同意，乙方不得将由甲方提供的有关合同或任何合同条文、或资料提供给与履行本合同无关的任何其他人。即使向履行本合同有关的人员提供，也应注意保密并限于履行合同的必需范围。</w:t>
      </w:r>
    </w:p>
    <w:p>
      <w:pPr>
        <w:pStyle w:val="18"/>
        <w:snapToGrid w:val="0"/>
        <w:spacing w:line="500" w:lineRule="exact"/>
        <w:ind w:firstLine="482" w:firstLineChars="200"/>
        <w:rPr>
          <w:rFonts w:hint="default" w:cs="宋体"/>
          <w:b/>
          <w:color w:val="000000" w:themeColor="text1"/>
          <w:sz w:val="24"/>
          <w:szCs w:val="24"/>
        </w:rPr>
      </w:pPr>
      <w:r>
        <w:rPr>
          <w:rFonts w:cs="宋体"/>
          <w:b/>
          <w:color w:val="000000" w:themeColor="text1"/>
          <w:sz w:val="24"/>
          <w:szCs w:val="24"/>
        </w:rPr>
        <w:t>四、知识产权</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4.1乙方应保证甲方在使用、接受本合同服务或其任何一部分时不受第三方提出侵犯其专利权、版权、商标权和工业设计权等知识产权的起诉。一旦出现侵权，由乙方负全部责任。</w:t>
      </w:r>
    </w:p>
    <w:p>
      <w:pPr>
        <w:pStyle w:val="18"/>
        <w:snapToGrid w:val="0"/>
        <w:spacing w:line="500" w:lineRule="exact"/>
        <w:ind w:firstLine="482" w:firstLineChars="200"/>
        <w:rPr>
          <w:rFonts w:hint="default" w:cs="宋体"/>
          <w:color w:val="000000" w:themeColor="text1"/>
          <w:sz w:val="24"/>
          <w:szCs w:val="24"/>
          <w:u w:val="single"/>
        </w:rPr>
      </w:pPr>
      <w:r>
        <w:rPr>
          <w:rFonts w:cs="宋体"/>
          <w:b/>
          <w:color w:val="000000" w:themeColor="text1"/>
          <w:sz w:val="24"/>
          <w:szCs w:val="24"/>
        </w:rPr>
        <w:t>五、产权担保</w:t>
      </w:r>
    </w:p>
    <w:p>
      <w:pPr>
        <w:pStyle w:val="18"/>
        <w:snapToGrid w:val="0"/>
        <w:spacing w:line="500" w:lineRule="exact"/>
        <w:ind w:firstLine="480" w:firstLineChars="200"/>
        <w:rPr>
          <w:rFonts w:hint="default" w:cs="宋体"/>
          <w:color w:val="000000" w:themeColor="text1"/>
          <w:sz w:val="24"/>
          <w:szCs w:val="24"/>
          <w:u w:val="single"/>
        </w:rPr>
      </w:pPr>
      <w:r>
        <w:rPr>
          <w:rFonts w:cs="宋体"/>
          <w:color w:val="000000" w:themeColor="text1"/>
          <w:sz w:val="24"/>
          <w:szCs w:val="24"/>
        </w:rPr>
        <w:t>5.1 乙方保证所提供服务的所有权完全属于乙方且无任何抵押、查封等产权瑕疵。</w:t>
      </w:r>
    </w:p>
    <w:p>
      <w:pPr>
        <w:pStyle w:val="33"/>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6.1乙方交纳人民币______元作为本合同的履约保证金（合同金额的5%），合同期结束后无息退还。</w:t>
      </w:r>
    </w:p>
    <w:p>
      <w:pPr>
        <w:snapToGrid w:val="0"/>
        <w:spacing w:line="500" w:lineRule="exact"/>
        <w:ind w:firstLine="482" w:firstLineChars="200"/>
        <w:rPr>
          <w:rFonts w:ascii="宋体" w:hAnsi="宋体" w:cs="宋体"/>
          <w:b/>
          <w:color w:val="000000" w:themeColor="text1"/>
          <w:sz w:val="24"/>
        </w:rPr>
      </w:pPr>
      <w:r>
        <w:rPr>
          <w:rFonts w:hint="eastAsia" w:ascii="宋体" w:hAnsi="宋体" w:cs="宋体"/>
          <w:b/>
          <w:color w:val="000000" w:themeColor="text1"/>
          <w:sz w:val="24"/>
        </w:rPr>
        <w:t>七、转包或分包</w:t>
      </w:r>
    </w:p>
    <w:p>
      <w:pPr>
        <w:snapToGrid w:val="0"/>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7.1本合同范围的服务，应由乙方直接提供，不得转让他人供应；</w:t>
      </w:r>
    </w:p>
    <w:p>
      <w:pPr>
        <w:snapToGrid w:val="0"/>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7.2 除非得到甲方的书面同意，乙方不得部分服务分包给他人提供。</w:t>
      </w:r>
    </w:p>
    <w:p>
      <w:pPr>
        <w:snapToGrid w:val="0"/>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7.3如有转让和未经甲方同意的分包行为，甲方有权给予终止合同。</w:t>
      </w:r>
    </w:p>
    <w:p>
      <w:pPr>
        <w:pStyle w:val="18"/>
        <w:snapToGrid w:val="0"/>
        <w:spacing w:line="500" w:lineRule="exact"/>
        <w:ind w:firstLine="482" w:firstLineChars="200"/>
        <w:rPr>
          <w:rFonts w:hint="default" w:cs="宋体"/>
          <w:b/>
          <w:color w:val="000000" w:themeColor="text1"/>
          <w:sz w:val="24"/>
          <w:szCs w:val="24"/>
        </w:rPr>
      </w:pPr>
      <w:r>
        <w:rPr>
          <w:rFonts w:cs="宋体"/>
          <w:b/>
          <w:color w:val="000000" w:themeColor="text1"/>
          <w:sz w:val="24"/>
          <w:szCs w:val="24"/>
        </w:rPr>
        <w:t>八、服务期、服务方式及服务地点</w:t>
      </w:r>
    </w:p>
    <w:p>
      <w:pPr>
        <w:spacing w:line="500" w:lineRule="exact"/>
        <w:ind w:firstLine="480" w:firstLineChars="200"/>
        <w:rPr>
          <w:rFonts w:cs="宋体"/>
          <w:bCs/>
          <w:color w:val="000000" w:themeColor="text1"/>
          <w:sz w:val="24"/>
        </w:rPr>
      </w:pPr>
      <w:r>
        <w:rPr>
          <w:rFonts w:hint="eastAsia" w:cs="宋体"/>
          <w:bCs/>
          <w:color w:val="000000" w:themeColor="text1"/>
          <w:sz w:val="24"/>
        </w:rPr>
        <w:t>8.1 服务期：</w:t>
      </w:r>
      <w:r>
        <w:rPr>
          <w:rFonts w:hint="eastAsia" w:cs="宋体"/>
          <w:bCs/>
          <w:color w:val="000000" w:themeColor="text1"/>
          <w:sz w:val="24"/>
          <w:u w:val="single"/>
        </w:rPr>
        <w:t>服务一年</w:t>
      </w:r>
      <w:r>
        <w:rPr>
          <w:rFonts w:hint="eastAsia" w:ascii="宋体" w:hAnsi="Courier New" w:cs="宋体"/>
          <w:color w:val="000000" w:themeColor="text1"/>
          <w:sz w:val="24"/>
          <w:u w:val="single"/>
        </w:rPr>
        <w:t>。</w:t>
      </w:r>
    </w:p>
    <w:p>
      <w:pPr>
        <w:pStyle w:val="18"/>
        <w:snapToGrid w:val="0"/>
        <w:spacing w:line="500" w:lineRule="exact"/>
        <w:ind w:firstLine="480" w:firstLineChars="200"/>
        <w:rPr>
          <w:rFonts w:hint="default" w:cs="宋体"/>
          <w:bCs/>
          <w:color w:val="000000" w:themeColor="text1"/>
          <w:sz w:val="24"/>
          <w:szCs w:val="24"/>
        </w:rPr>
      </w:pPr>
      <w:r>
        <w:rPr>
          <w:rFonts w:cs="宋体"/>
          <w:bCs/>
          <w:color w:val="000000" w:themeColor="text1"/>
          <w:sz w:val="24"/>
          <w:szCs w:val="24"/>
        </w:rPr>
        <w:t>8.2 服务方式：</w:t>
      </w:r>
      <w:r>
        <w:rPr>
          <w:rFonts w:cs="宋体"/>
          <w:color w:val="000000" w:themeColor="text1"/>
          <w:sz w:val="24"/>
          <w:szCs w:val="24"/>
          <w:u w:val="single"/>
        </w:rPr>
        <w:t>具体根据甲方要求执行。</w:t>
      </w:r>
    </w:p>
    <w:p>
      <w:pPr>
        <w:pStyle w:val="18"/>
        <w:snapToGrid w:val="0"/>
        <w:spacing w:line="500" w:lineRule="exact"/>
        <w:ind w:firstLine="480" w:firstLineChars="200"/>
        <w:rPr>
          <w:rFonts w:hint="default" w:cs="宋体"/>
          <w:b/>
          <w:color w:val="000000" w:themeColor="text1"/>
          <w:sz w:val="24"/>
          <w:szCs w:val="24"/>
        </w:rPr>
      </w:pPr>
      <w:r>
        <w:rPr>
          <w:rFonts w:cs="宋体"/>
          <w:bCs/>
          <w:color w:val="000000" w:themeColor="text1"/>
          <w:sz w:val="24"/>
          <w:szCs w:val="24"/>
        </w:rPr>
        <w:t>8.3 服务地点：</w:t>
      </w:r>
      <w:r>
        <w:rPr>
          <w:rFonts w:cs="宋体"/>
          <w:color w:val="000000" w:themeColor="text1"/>
          <w:sz w:val="24"/>
          <w:szCs w:val="24"/>
          <w:u w:val="single"/>
        </w:rPr>
        <w:t>盐城工业职业技术学院</w:t>
      </w:r>
      <w:r>
        <w:rPr>
          <w:rFonts w:cs="宋体"/>
          <w:bCs/>
          <w:color w:val="000000" w:themeColor="text1"/>
          <w:sz w:val="24"/>
          <w:szCs w:val="24"/>
          <w:u w:val="single"/>
        </w:rPr>
        <w:t>。</w:t>
      </w:r>
    </w:p>
    <w:p>
      <w:pPr>
        <w:pStyle w:val="18"/>
        <w:snapToGrid w:val="0"/>
        <w:spacing w:line="500" w:lineRule="exact"/>
        <w:ind w:firstLine="482" w:firstLineChars="200"/>
        <w:rPr>
          <w:rFonts w:hint="default" w:cs="宋体"/>
          <w:b/>
          <w:color w:val="000000" w:themeColor="text1"/>
          <w:sz w:val="24"/>
          <w:szCs w:val="24"/>
        </w:rPr>
      </w:pPr>
      <w:r>
        <w:rPr>
          <w:rFonts w:cs="宋体"/>
          <w:b/>
          <w:color w:val="000000" w:themeColor="text1"/>
          <w:sz w:val="24"/>
          <w:szCs w:val="24"/>
        </w:rPr>
        <w:t>九、合同价款支付</w:t>
      </w:r>
    </w:p>
    <w:p>
      <w:pPr>
        <w:spacing w:line="500" w:lineRule="exact"/>
        <w:ind w:firstLine="480" w:firstLineChars="200"/>
        <w:rPr>
          <w:rFonts w:ascii="宋体" w:hAnsi="宋体" w:cs="Arial"/>
          <w:color w:val="000000" w:themeColor="text1"/>
          <w:sz w:val="24"/>
          <w:u w:val="single"/>
        </w:rPr>
      </w:pPr>
      <w:r>
        <w:rPr>
          <w:rFonts w:hint="eastAsia" w:ascii="宋体" w:hAnsi="宋体" w:cs="宋体"/>
          <w:color w:val="000000" w:themeColor="text1"/>
          <w:sz w:val="24"/>
        </w:rPr>
        <w:t>9.1 付款方式：</w:t>
      </w:r>
      <w:r>
        <w:rPr>
          <w:rFonts w:hint="eastAsia" w:ascii="宋体" w:hAnsi="宋体" w:cs="Arial"/>
          <w:color w:val="000000" w:themeColor="text1"/>
          <w:sz w:val="24"/>
          <w:u w:val="single"/>
        </w:rPr>
        <w:t>按考核办法每三个月支付一次，以公司单位形式结算。</w:t>
      </w:r>
    </w:p>
    <w:p>
      <w:pPr>
        <w:pStyle w:val="33"/>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十、服务具体内容</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10.1 维修项目区域</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负责学校学生宿舍1-9号、青年教师公寓及值班室、创业园临时学生宿舍等建筑体为对象的所有室内外的水电维修（如水管破裂、水龙头、冲水阀、各类灯具、电线短路、插座、开关、路灯等损坏）、各建筑单体强电间及电器维护保养及卫生工作</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10.2 维修职责及方案措施</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（1）水设施维修。承包方负责校方责任区内的水龙头、开关、 冲水阀、 延时阀、 进出水水管及软管、宿舍内的阀门、水表、淋浴设施的更换及基础管道维修、更换等； 按校方要求，及时参与责任区分的维护、维修及抢修工作。</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2）电设施维修。承包方负责校方责任区内的空调电源、电灯、电路、电话、开关（含总开关、空气开关、漏电开关）、保险、插座、线路、电表、电风扇调速器的维护、维修、更换等；按校方要求，负责责任区内的分主线路的维护、维修及抢修工作；</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（3）负责现有服务范围内建筑单体后期装潢改造过保质期的水电维修。</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（4）所有维修配件均由学校承担提供。 校方另行购买。承包单位要以旧换新，做好维修记录并于次月交上月维修记录。</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5）维修措施及报修。校方责任区内的水电维修，承包方工作人员24小时在岗工作，夜间安排一人在校住宿，在学校后勤指定点（方便师生报修的地方）领取报修单并及时做好维修处理；如紧急报修故障，承包方在接到报修故障通知后即刻赶到现场，及时的排除故障，24 小时内修复，紧急维修随叫随到。</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10.3其它要求</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（1）因重大节日、活动消防安全需要，配合招标人对水电设施进行检测和水电检查以及其它相关工作。做好水电设施资料建档工作，及时更新台帐资料。</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（2）中标单位的维修技术人员都必须具有水电专业维修经验，接到报修后须及时排除故障，如因维修不及时或巡检疏漏而造成设备损坏或人员伤亡的由中标单位承担所有责任及由此而产生的一切费用。</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3）中标单位须建立完善的安全事故预防、处置及善后体系；须为本项目所有服务人员依法缴纳社会保险并进行安全操作教育。中标单位的服务人员所进行的一切操作必须遵守国家或行业相关的安全操作规范；必须持证操作的项目操作人员必须持有本人有效期内的证件。一旦发生安全事故，由中标单位承担全部责任；</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（4）中标单位的服务人员应爱护所维修设施及其所触及的一切甲方财产。</w:t>
      </w:r>
    </w:p>
    <w:p>
      <w:pPr>
        <w:pStyle w:val="33"/>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（5）服务期满后，要配合做好现场交接工作，确保系统处于正常运行状态。</w:t>
      </w:r>
    </w:p>
    <w:p>
      <w:pPr>
        <w:pStyle w:val="33"/>
        <w:widowControl w:val="0"/>
        <w:snapToGrid w:val="0"/>
        <w:spacing w:before="0" w:beforeAutospacing="0" w:after="0" w:afterAutospacing="0" w:line="460" w:lineRule="exact"/>
        <w:ind w:firstLine="480" w:firstLineChars="200"/>
        <w:jc w:val="both"/>
        <w:rPr>
          <w:bCs/>
          <w:color w:val="000000" w:themeColor="text1"/>
        </w:rPr>
      </w:pPr>
      <w:r>
        <w:rPr>
          <w:rFonts w:hint="eastAsia"/>
          <w:color w:val="000000" w:themeColor="text1"/>
          <w:kern w:val="2"/>
        </w:rPr>
        <w:t>乙方必须按时发放服务人员工资，如造成特别严重后果或不良影响的，甲方可立即解除合同，有权从履约保证金中得到补偿，并追究相关责任。</w:t>
      </w:r>
    </w:p>
    <w:p>
      <w:pPr>
        <w:snapToGrid w:val="0"/>
        <w:spacing w:line="500" w:lineRule="exact"/>
        <w:ind w:firstLine="482" w:firstLineChars="200"/>
        <w:rPr>
          <w:rFonts w:ascii="宋体" w:hAnsi="宋体" w:cs="宋体"/>
          <w:b/>
          <w:color w:val="000000" w:themeColor="text1"/>
          <w:sz w:val="24"/>
        </w:rPr>
      </w:pPr>
      <w:bookmarkStart w:id="153" w:name="_Toc8241"/>
      <w:bookmarkStart w:id="154" w:name="_Toc25135"/>
      <w:bookmarkStart w:id="155" w:name="_Toc61149622"/>
      <w:bookmarkStart w:id="156" w:name="_Toc26554097"/>
      <w:bookmarkStart w:id="157" w:name="_Toc23828480"/>
      <w:r>
        <w:rPr>
          <w:rFonts w:hint="eastAsia" w:ascii="宋体" w:hAnsi="宋体" w:cs="宋体"/>
          <w:b/>
          <w:color w:val="000000" w:themeColor="text1"/>
          <w:sz w:val="24"/>
        </w:rPr>
        <w:t>十一、税费</w:t>
      </w:r>
    </w:p>
    <w:p>
      <w:pPr>
        <w:snapToGrid w:val="0"/>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11.1本合同执行中相关的一切税费均由乙方负担。</w:t>
      </w:r>
    </w:p>
    <w:p>
      <w:pPr>
        <w:pStyle w:val="18"/>
        <w:snapToGrid w:val="0"/>
        <w:spacing w:line="500" w:lineRule="exact"/>
        <w:ind w:firstLine="482" w:firstLineChars="200"/>
        <w:rPr>
          <w:rFonts w:hint="default" w:cs="宋体"/>
          <w:b/>
          <w:color w:val="000000" w:themeColor="text1"/>
          <w:sz w:val="24"/>
          <w:szCs w:val="24"/>
        </w:rPr>
      </w:pPr>
      <w:r>
        <w:rPr>
          <w:rFonts w:cs="宋体"/>
          <w:b/>
          <w:color w:val="000000" w:themeColor="text1"/>
          <w:sz w:val="24"/>
          <w:szCs w:val="24"/>
        </w:rPr>
        <w:t>十二、不可抗力事件处理</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12.1 在合同有效期内，任何一方因不可抗力事件导致不能履行合同，则合同履行期可延长，其延长期与不可抗力影响期相同。</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12.2 不可抗力事件发生后，应立即通知对方，并寄送有关权威机构出具的证明。</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12.3 不可抗力事件延续120天以上，双方应通过友好协商，确定是否继续履行合同。</w:t>
      </w:r>
    </w:p>
    <w:p>
      <w:pPr>
        <w:pStyle w:val="18"/>
        <w:snapToGrid w:val="0"/>
        <w:spacing w:line="500" w:lineRule="exact"/>
        <w:ind w:firstLine="482" w:firstLineChars="200"/>
        <w:rPr>
          <w:rFonts w:hint="default" w:cs="宋体"/>
          <w:b/>
          <w:color w:val="000000" w:themeColor="text1"/>
          <w:sz w:val="24"/>
          <w:szCs w:val="24"/>
        </w:rPr>
      </w:pPr>
      <w:r>
        <w:rPr>
          <w:rFonts w:cs="宋体"/>
          <w:b/>
          <w:color w:val="000000" w:themeColor="text1"/>
          <w:sz w:val="24"/>
          <w:szCs w:val="24"/>
        </w:rPr>
        <w:t>十三、诉讼</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13.1 双方在执行合同中所发生的一切争议，应通过协商解决。如协商不成，可向合同签订地法院起诉，合同签订地在此约定为盐城市。</w:t>
      </w:r>
    </w:p>
    <w:p>
      <w:pPr>
        <w:pStyle w:val="18"/>
        <w:snapToGrid w:val="0"/>
        <w:spacing w:line="500" w:lineRule="exact"/>
        <w:ind w:firstLine="482" w:firstLineChars="200"/>
        <w:rPr>
          <w:rFonts w:hint="default" w:cs="宋体"/>
          <w:b/>
          <w:color w:val="000000" w:themeColor="text1"/>
          <w:sz w:val="24"/>
          <w:szCs w:val="24"/>
        </w:rPr>
      </w:pPr>
      <w:r>
        <w:rPr>
          <w:rFonts w:cs="宋体"/>
          <w:b/>
          <w:color w:val="000000" w:themeColor="text1"/>
          <w:sz w:val="24"/>
          <w:szCs w:val="24"/>
        </w:rPr>
        <w:t>十四、合同生效及其它</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14.1 合同经双方法定代表人或授权委托代表人签字并加盖单位公章后生效。</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14.2本合同未尽事宜，遵照《民法典》有关条文执行。</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14.3 本合同正本一式二份，副本一式六份，具有同等法律效力。</w:t>
      </w:r>
    </w:p>
    <w:p>
      <w:pPr>
        <w:pStyle w:val="18"/>
        <w:snapToGrid w:val="0"/>
        <w:spacing w:line="500" w:lineRule="exact"/>
        <w:ind w:firstLine="720" w:firstLineChars="300"/>
        <w:rPr>
          <w:rFonts w:hint="default" w:cs="宋体"/>
          <w:color w:val="000000" w:themeColor="text1"/>
          <w:sz w:val="24"/>
          <w:szCs w:val="24"/>
        </w:rPr>
      </w:pPr>
      <w:r>
        <w:rPr>
          <w:rFonts w:cs="宋体"/>
          <w:color w:val="000000" w:themeColor="text1"/>
          <w:sz w:val="24"/>
          <w:szCs w:val="24"/>
        </w:rPr>
        <w:t xml:space="preserve">甲方：                                   乙方： </w:t>
      </w:r>
    </w:p>
    <w:p>
      <w:pPr>
        <w:pStyle w:val="18"/>
        <w:snapToGrid w:val="0"/>
        <w:spacing w:line="500" w:lineRule="exact"/>
        <w:ind w:firstLine="480" w:firstLineChars="200"/>
        <w:rPr>
          <w:rFonts w:hint="default" w:cs="宋体"/>
          <w:color w:val="000000" w:themeColor="text1"/>
          <w:sz w:val="24"/>
          <w:szCs w:val="24"/>
        </w:rPr>
      </w:pPr>
      <w:r>
        <w:rPr>
          <w:rFonts w:cs="宋体"/>
          <w:color w:val="000000" w:themeColor="text1"/>
          <w:sz w:val="24"/>
          <w:szCs w:val="24"/>
        </w:rPr>
        <w:t xml:space="preserve">  地址：                                   地址： </w:t>
      </w:r>
    </w:p>
    <w:p>
      <w:pPr>
        <w:pStyle w:val="18"/>
        <w:snapToGrid w:val="0"/>
        <w:spacing w:line="500" w:lineRule="exact"/>
        <w:ind w:firstLine="480" w:firstLineChars="200"/>
        <w:rPr>
          <w:rFonts w:hint="default" w:cs="宋体"/>
          <w:color w:val="000000" w:themeColor="text1"/>
          <w:sz w:val="24"/>
          <w:szCs w:val="24"/>
        </w:rPr>
      </w:pPr>
      <w:r>
        <w:rPr>
          <w:rFonts w:cs="宋体"/>
          <w:color w:val="000000" w:themeColor="text1"/>
          <w:sz w:val="24"/>
          <w:szCs w:val="24"/>
        </w:rPr>
        <w:t xml:space="preserve">  法定代表人或授权代表：                   法定代表人或授权代表：</w:t>
      </w:r>
    </w:p>
    <w:p>
      <w:pPr>
        <w:pStyle w:val="18"/>
        <w:snapToGrid w:val="0"/>
        <w:spacing w:line="500" w:lineRule="exact"/>
        <w:ind w:firstLine="480" w:firstLineChars="200"/>
        <w:rPr>
          <w:rFonts w:hint="default" w:cs="宋体"/>
          <w:color w:val="000000" w:themeColor="text1"/>
          <w:sz w:val="24"/>
          <w:szCs w:val="24"/>
        </w:rPr>
      </w:pPr>
      <w:r>
        <w:rPr>
          <w:rFonts w:cs="宋体"/>
          <w:color w:val="000000" w:themeColor="text1"/>
          <w:sz w:val="24"/>
          <w:szCs w:val="24"/>
        </w:rPr>
        <w:t xml:space="preserve">  采购单位负责人：</w:t>
      </w:r>
    </w:p>
    <w:p>
      <w:pPr>
        <w:pStyle w:val="18"/>
        <w:snapToGrid w:val="0"/>
        <w:spacing w:line="500" w:lineRule="exact"/>
        <w:ind w:firstLine="720" w:firstLineChars="300"/>
        <w:rPr>
          <w:rFonts w:hint="default" w:cs="宋体"/>
          <w:color w:val="000000" w:themeColor="text1"/>
          <w:sz w:val="24"/>
          <w:szCs w:val="24"/>
        </w:rPr>
      </w:pPr>
      <w:r>
        <w:rPr>
          <w:rFonts w:cs="宋体"/>
          <w:color w:val="000000" w:themeColor="text1"/>
          <w:sz w:val="24"/>
          <w:szCs w:val="24"/>
        </w:rPr>
        <w:t>联系电话：                               联系电话：</w:t>
      </w:r>
    </w:p>
    <w:p>
      <w:pPr>
        <w:pStyle w:val="18"/>
        <w:snapToGrid w:val="0"/>
        <w:spacing w:line="500" w:lineRule="exact"/>
        <w:ind w:firstLine="720" w:firstLineChars="300"/>
        <w:rPr>
          <w:rFonts w:hint="default" w:cs="宋体"/>
          <w:color w:val="000000" w:themeColor="text1"/>
          <w:sz w:val="24"/>
          <w:szCs w:val="24"/>
        </w:rPr>
      </w:pPr>
      <w:r>
        <w:rPr>
          <w:rFonts w:cs="宋体"/>
          <w:color w:val="000000" w:themeColor="text1"/>
          <w:sz w:val="24"/>
          <w:szCs w:val="24"/>
        </w:rPr>
        <w:t>签订日期：      年  月  日</w:t>
      </w:r>
    </w:p>
    <w:p>
      <w:pPr>
        <w:spacing w:line="360" w:lineRule="auto"/>
        <w:jc w:val="center"/>
        <w:outlineLvl w:val="0"/>
        <w:rPr>
          <w:rFonts w:ascii="宋体" w:hAnsi="宋体" w:cs="宋体"/>
          <w:b/>
          <w:bCs/>
          <w:color w:val="000000" w:themeColor="text1"/>
          <w:sz w:val="44"/>
          <w:szCs w:val="44"/>
        </w:rPr>
      </w:pPr>
    </w:p>
    <w:p>
      <w:pPr>
        <w:spacing w:line="360" w:lineRule="auto"/>
        <w:jc w:val="center"/>
        <w:outlineLvl w:val="0"/>
        <w:rPr>
          <w:rFonts w:ascii="宋体" w:hAnsi="宋体" w:cs="宋体"/>
          <w:b/>
          <w:bCs/>
          <w:color w:val="000000" w:themeColor="text1"/>
          <w:sz w:val="44"/>
          <w:szCs w:val="44"/>
        </w:rPr>
      </w:pPr>
    </w:p>
    <w:p>
      <w:pPr>
        <w:spacing w:line="360" w:lineRule="auto"/>
        <w:jc w:val="center"/>
        <w:outlineLvl w:val="0"/>
        <w:rPr>
          <w:rFonts w:ascii="宋体" w:hAnsi="宋体" w:cs="宋体"/>
          <w:b/>
          <w:bCs/>
          <w:color w:val="000000" w:themeColor="text1"/>
          <w:sz w:val="44"/>
          <w:szCs w:val="44"/>
        </w:rPr>
      </w:pPr>
    </w:p>
    <w:p>
      <w:pPr>
        <w:spacing w:line="360" w:lineRule="auto"/>
        <w:jc w:val="center"/>
        <w:outlineLvl w:val="0"/>
        <w:rPr>
          <w:rFonts w:ascii="宋体" w:hAnsi="宋体" w:cs="宋体"/>
          <w:b/>
          <w:bCs/>
          <w:color w:val="000000" w:themeColor="text1"/>
          <w:sz w:val="44"/>
          <w:szCs w:val="44"/>
        </w:rPr>
      </w:pPr>
    </w:p>
    <w:p>
      <w:pPr>
        <w:spacing w:line="360" w:lineRule="auto"/>
        <w:jc w:val="center"/>
        <w:outlineLvl w:val="0"/>
        <w:rPr>
          <w:rFonts w:ascii="宋体" w:hAnsi="宋体" w:cs="宋体"/>
          <w:b/>
          <w:bCs/>
          <w:color w:val="000000" w:themeColor="text1"/>
          <w:sz w:val="44"/>
          <w:szCs w:val="44"/>
        </w:rPr>
      </w:pPr>
    </w:p>
    <w:p>
      <w:pPr>
        <w:pStyle w:val="2"/>
        <w:rPr>
          <w:rFonts w:ascii="宋体" w:hAnsi="宋体" w:cs="宋体"/>
          <w:color w:val="000000" w:themeColor="text1"/>
          <w:sz w:val="44"/>
          <w:szCs w:val="44"/>
        </w:rPr>
      </w:pPr>
    </w:p>
    <w:p>
      <w:pPr>
        <w:rPr>
          <w:rFonts w:ascii="宋体" w:hAnsi="宋体" w:cs="宋体"/>
          <w:b/>
          <w:bCs/>
          <w:color w:val="000000" w:themeColor="text1"/>
          <w:sz w:val="44"/>
          <w:szCs w:val="44"/>
        </w:rPr>
      </w:pPr>
    </w:p>
    <w:p>
      <w:pPr>
        <w:pStyle w:val="2"/>
        <w:rPr>
          <w:rFonts w:ascii="宋体" w:hAnsi="宋体" w:cs="宋体"/>
          <w:color w:val="000000" w:themeColor="text1"/>
          <w:sz w:val="44"/>
          <w:szCs w:val="44"/>
        </w:rPr>
      </w:pPr>
    </w:p>
    <w:p>
      <w:pPr>
        <w:rPr>
          <w:rFonts w:ascii="宋体" w:hAnsi="宋体" w:cs="宋体"/>
          <w:b/>
          <w:bCs/>
          <w:color w:val="000000" w:themeColor="text1"/>
          <w:sz w:val="44"/>
          <w:szCs w:val="44"/>
        </w:rPr>
      </w:pPr>
    </w:p>
    <w:p>
      <w:pPr>
        <w:pStyle w:val="2"/>
        <w:rPr>
          <w:rFonts w:ascii="宋体" w:hAnsi="宋体" w:cs="宋体"/>
          <w:color w:val="000000" w:themeColor="text1"/>
          <w:sz w:val="44"/>
          <w:szCs w:val="44"/>
        </w:rPr>
      </w:pPr>
    </w:p>
    <w:p>
      <w:pPr>
        <w:rPr>
          <w:color w:val="000000" w:themeColor="text1"/>
        </w:rPr>
      </w:pPr>
    </w:p>
    <w:p>
      <w:pPr>
        <w:spacing w:line="360" w:lineRule="auto"/>
        <w:jc w:val="center"/>
        <w:outlineLvl w:val="0"/>
        <w:rPr>
          <w:rFonts w:ascii="宋体" w:hAnsi="宋体" w:cs="宋体"/>
          <w:b/>
          <w:bCs/>
          <w:color w:val="000000" w:themeColor="text1"/>
          <w:sz w:val="44"/>
          <w:szCs w:val="44"/>
        </w:rPr>
      </w:pPr>
    </w:p>
    <w:p>
      <w:pPr>
        <w:spacing w:line="360" w:lineRule="auto"/>
        <w:jc w:val="center"/>
        <w:outlineLvl w:val="0"/>
        <w:rPr>
          <w:rFonts w:ascii="宋体" w:hAnsi="宋体" w:cs="宋体"/>
          <w:b/>
          <w:bCs/>
          <w:color w:val="000000" w:themeColor="text1"/>
          <w:szCs w:val="21"/>
        </w:rPr>
      </w:pPr>
      <w:r>
        <w:rPr>
          <w:rFonts w:hint="eastAsia" w:ascii="宋体" w:hAnsi="宋体" w:cs="宋体"/>
          <w:b/>
          <w:bCs/>
          <w:color w:val="000000" w:themeColor="text1"/>
          <w:sz w:val="44"/>
          <w:szCs w:val="44"/>
        </w:rPr>
        <w:t>第四章  项目需求</w:t>
      </w:r>
      <w:bookmarkEnd w:id="153"/>
      <w:bookmarkEnd w:id="154"/>
    </w:p>
    <w:p>
      <w:pPr>
        <w:widowControl/>
        <w:spacing w:line="360" w:lineRule="auto"/>
        <w:jc w:val="left"/>
        <w:rPr>
          <w:rFonts w:ascii="宋体" w:hAnsi="宋体" w:cs="宋体"/>
          <w:b/>
          <w:color w:val="000000" w:themeColor="text1"/>
          <w:kern w:val="0"/>
          <w:szCs w:val="21"/>
        </w:rPr>
      </w:pPr>
    </w:p>
    <w:p>
      <w:pPr>
        <w:widowControl/>
        <w:spacing w:line="500" w:lineRule="exact"/>
        <w:jc w:val="left"/>
        <w:rPr>
          <w:rFonts w:ascii="宋体" w:hAnsi="宋体" w:cs="宋体"/>
          <w:color w:val="000000" w:themeColor="text1"/>
          <w:sz w:val="24"/>
        </w:rPr>
      </w:pPr>
      <w:r>
        <w:rPr>
          <w:rFonts w:hint="eastAsia" w:ascii="宋体" w:hAnsi="宋体" w:cs="宋体"/>
          <w:b/>
          <w:color w:val="000000" w:themeColor="text1"/>
          <w:kern w:val="0"/>
          <w:sz w:val="24"/>
        </w:rPr>
        <w:t>一、项目概况</w:t>
      </w:r>
    </w:p>
    <w:p>
      <w:pPr>
        <w:widowControl/>
        <w:spacing w:line="500" w:lineRule="exact"/>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1、项目名称：宿舍区域水电维修外包服务</w:t>
      </w:r>
    </w:p>
    <w:p>
      <w:pPr>
        <w:widowControl/>
        <w:spacing w:line="500" w:lineRule="exact"/>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2、预算价（最高限价）：9万元/年</w:t>
      </w:r>
    </w:p>
    <w:p>
      <w:pPr>
        <w:spacing w:line="500" w:lineRule="exact"/>
        <w:rPr>
          <w:rFonts w:ascii="宋体" w:hAnsi="宋体" w:cs="宋体"/>
          <w:color w:val="000000" w:themeColor="text1"/>
          <w:kern w:val="0"/>
          <w:sz w:val="24"/>
        </w:rPr>
      </w:pPr>
      <w:r>
        <w:rPr>
          <w:rFonts w:hint="eastAsia" w:ascii="宋体" w:hAnsi="宋体" w:cs="宋体"/>
          <w:b/>
          <w:bCs/>
          <w:color w:val="000000" w:themeColor="text1"/>
          <w:kern w:val="0"/>
          <w:sz w:val="24"/>
        </w:rPr>
        <w:t>二、服务期限：</w:t>
      </w:r>
      <w:r>
        <w:rPr>
          <w:rFonts w:hint="eastAsia" w:ascii="宋体" w:hAnsi="宋体" w:cs="宋体"/>
          <w:color w:val="000000" w:themeColor="text1"/>
          <w:sz w:val="24"/>
        </w:rPr>
        <w:t>一年。</w:t>
      </w:r>
    </w:p>
    <w:p>
      <w:pPr>
        <w:spacing w:line="360" w:lineRule="auto"/>
        <w:rPr>
          <w:b/>
          <w:bCs/>
          <w:color w:val="000000" w:themeColor="text1"/>
          <w:sz w:val="24"/>
        </w:rPr>
      </w:pPr>
      <w:r>
        <w:rPr>
          <w:rFonts w:hint="eastAsia"/>
          <w:b/>
          <w:bCs/>
          <w:color w:val="000000" w:themeColor="text1"/>
          <w:sz w:val="24"/>
        </w:rPr>
        <w:t>三、项目需求</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878"/>
        <w:gridCol w:w="1355"/>
        <w:gridCol w:w="731"/>
        <w:gridCol w:w="2002"/>
        <w:gridCol w:w="129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69"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岗位（工作）名称</w:t>
            </w:r>
          </w:p>
        </w:tc>
        <w:tc>
          <w:tcPr>
            <w:tcW w:w="878"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最少配备人数</w:t>
            </w:r>
          </w:p>
        </w:tc>
        <w:tc>
          <w:tcPr>
            <w:tcW w:w="1355"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学历要求</w:t>
            </w:r>
          </w:p>
        </w:tc>
        <w:tc>
          <w:tcPr>
            <w:tcW w:w="731"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性别要求</w:t>
            </w:r>
          </w:p>
        </w:tc>
        <w:tc>
          <w:tcPr>
            <w:tcW w:w="2002"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年龄要求</w:t>
            </w:r>
          </w:p>
        </w:tc>
        <w:tc>
          <w:tcPr>
            <w:tcW w:w="1294"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持证要求</w:t>
            </w:r>
          </w:p>
        </w:tc>
        <w:tc>
          <w:tcPr>
            <w:tcW w:w="1292"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69"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项目组成员（电工）</w:t>
            </w:r>
          </w:p>
        </w:tc>
        <w:tc>
          <w:tcPr>
            <w:tcW w:w="878"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2</w:t>
            </w:r>
          </w:p>
        </w:tc>
        <w:tc>
          <w:tcPr>
            <w:tcW w:w="1355"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高中及以上</w:t>
            </w:r>
          </w:p>
        </w:tc>
        <w:tc>
          <w:tcPr>
            <w:tcW w:w="731" w:type="dxa"/>
            <w:noWrap/>
            <w:vAlign w:val="center"/>
          </w:tcPr>
          <w:p>
            <w:pPr>
              <w:widowControl/>
              <w:spacing w:line="460" w:lineRule="exact"/>
              <w:jc w:val="center"/>
              <w:rPr>
                <w:rFonts w:ascii="宋体" w:hAnsi="宋体"/>
                <w:color w:val="000000" w:themeColor="text1"/>
                <w:kern w:val="0"/>
              </w:rPr>
            </w:pPr>
          </w:p>
        </w:tc>
        <w:tc>
          <w:tcPr>
            <w:tcW w:w="2002"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男性：60周岁以下</w:t>
            </w:r>
          </w:p>
          <w:p>
            <w:pPr>
              <w:widowControl/>
              <w:spacing w:line="460" w:lineRule="exact"/>
              <w:jc w:val="center"/>
              <w:rPr>
                <w:rFonts w:ascii="宋体" w:hAnsi="宋体"/>
                <w:color w:val="000000" w:themeColor="text1"/>
                <w:kern w:val="0"/>
              </w:rPr>
            </w:pPr>
            <w:r>
              <w:rPr>
                <w:rFonts w:hint="eastAsia" w:ascii="宋体" w:hAnsi="宋体"/>
                <w:color w:val="000000" w:themeColor="text1"/>
                <w:kern w:val="0"/>
              </w:rPr>
              <w:t>女性：55周岁以下</w:t>
            </w:r>
          </w:p>
        </w:tc>
        <w:tc>
          <w:tcPr>
            <w:tcW w:w="1294"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水电人员须持有低压电工作业证或高压电工作业证</w:t>
            </w:r>
          </w:p>
        </w:tc>
        <w:tc>
          <w:tcPr>
            <w:tcW w:w="1292" w:type="dxa"/>
            <w:noWrap/>
            <w:vAlign w:val="center"/>
          </w:tcPr>
          <w:p>
            <w:pPr>
              <w:widowControl/>
              <w:spacing w:line="460" w:lineRule="exact"/>
              <w:jc w:val="center"/>
              <w:rPr>
                <w:rFonts w:ascii="宋体" w:hAnsi="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69"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小计</w:t>
            </w:r>
          </w:p>
        </w:tc>
        <w:tc>
          <w:tcPr>
            <w:tcW w:w="878"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2</w:t>
            </w:r>
          </w:p>
        </w:tc>
        <w:tc>
          <w:tcPr>
            <w:tcW w:w="5382" w:type="dxa"/>
            <w:gridSpan w:val="4"/>
            <w:noWrap/>
            <w:vAlign w:val="center"/>
          </w:tcPr>
          <w:p>
            <w:pPr>
              <w:widowControl/>
              <w:spacing w:line="460" w:lineRule="exact"/>
              <w:jc w:val="center"/>
              <w:rPr>
                <w:rFonts w:ascii="宋体" w:hAnsi="宋体"/>
                <w:color w:val="000000" w:themeColor="text1"/>
                <w:kern w:val="0"/>
              </w:rPr>
            </w:pPr>
          </w:p>
        </w:tc>
        <w:tc>
          <w:tcPr>
            <w:tcW w:w="1292" w:type="dxa"/>
            <w:noWrap/>
            <w:vAlign w:val="center"/>
          </w:tcPr>
          <w:p>
            <w:pPr>
              <w:widowControl/>
              <w:spacing w:line="460" w:lineRule="exact"/>
              <w:jc w:val="center"/>
              <w:rPr>
                <w:rFonts w:ascii="宋体" w:hAnsi="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9" w:type="dxa"/>
            <w:noWrap/>
            <w:vAlign w:val="center"/>
          </w:tcPr>
          <w:p>
            <w:pPr>
              <w:widowControl/>
              <w:spacing w:line="460" w:lineRule="exact"/>
              <w:jc w:val="center"/>
              <w:rPr>
                <w:rFonts w:ascii="宋体" w:hAnsi="宋体"/>
                <w:color w:val="000000" w:themeColor="text1"/>
                <w:kern w:val="0"/>
              </w:rPr>
            </w:pPr>
            <w:r>
              <w:rPr>
                <w:rFonts w:hint="eastAsia" w:ascii="宋体" w:hAnsi="宋体"/>
                <w:color w:val="000000" w:themeColor="text1"/>
                <w:kern w:val="0"/>
              </w:rPr>
              <w:t>水电维修范围</w:t>
            </w:r>
          </w:p>
        </w:tc>
        <w:tc>
          <w:tcPr>
            <w:tcW w:w="6260" w:type="dxa"/>
            <w:gridSpan w:val="5"/>
            <w:noWrap/>
            <w:vAlign w:val="center"/>
          </w:tcPr>
          <w:p>
            <w:pPr>
              <w:spacing w:line="360" w:lineRule="auto"/>
              <w:rPr>
                <w:color w:val="000000" w:themeColor="text1"/>
                <w:sz w:val="24"/>
              </w:rPr>
            </w:pPr>
            <w:r>
              <w:rPr>
                <w:rFonts w:hint="eastAsia"/>
                <w:color w:val="000000" w:themeColor="text1"/>
                <w:sz w:val="24"/>
              </w:rPr>
              <w:t>负责学校学生宿舍1-9号楼、青年教师公寓及值班室、创业园临时学生宿舍等建筑体为对象的所有室内外的水电维修及24小时值班。</w:t>
            </w:r>
          </w:p>
          <w:p>
            <w:pPr>
              <w:widowControl/>
              <w:spacing w:line="460" w:lineRule="exact"/>
              <w:jc w:val="left"/>
              <w:rPr>
                <w:rFonts w:ascii="宋体" w:hAnsi="宋体"/>
                <w:color w:val="000000" w:themeColor="text1"/>
                <w:kern w:val="0"/>
              </w:rPr>
            </w:pPr>
          </w:p>
        </w:tc>
        <w:tc>
          <w:tcPr>
            <w:tcW w:w="1292" w:type="dxa"/>
            <w:noWrap/>
            <w:vAlign w:val="center"/>
          </w:tcPr>
          <w:p>
            <w:pPr>
              <w:widowControl/>
              <w:spacing w:line="460" w:lineRule="exact"/>
              <w:jc w:val="left"/>
              <w:rPr>
                <w:rFonts w:ascii="宋体" w:hAnsi="宋体"/>
                <w:color w:val="000000" w:themeColor="text1"/>
                <w:kern w:val="0"/>
              </w:rPr>
            </w:pPr>
          </w:p>
        </w:tc>
      </w:tr>
    </w:tbl>
    <w:p>
      <w:pPr>
        <w:pStyle w:val="23"/>
        <w:rPr>
          <w:color w:val="000000" w:themeColor="text1"/>
        </w:rPr>
      </w:pPr>
    </w:p>
    <w:p>
      <w:pPr>
        <w:spacing w:line="360" w:lineRule="auto"/>
        <w:rPr>
          <w:b/>
          <w:bCs/>
          <w:color w:val="000000" w:themeColor="text1"/>
          <w:sz w:val="24"/>
        </w:rPr>
      </w:pPr>
      <w:r>
        <w:rPr>
          <w:rFonts w:hint="eastAsia"/>
          <w:b/>
          <w:bCs/>
          <w:color w:val="000000" w:themeColor="text1"/>
          <w:sz w:val="24"/>
        </w:rPr>
        <w:t>四、服务内容：</w:t>
      </w:r>
    </w:p>
    <w:p>
      <w:pPr>
        <w:spacing w:line="360" w:lineRule="auto"/>
        <w:ind w:firstLine="482" w:firstLineChars="200"/>
        <w:rPr>
          <w:b/>
          <w:bCs/>
          <w:color w:val="000000" w:themeColor="text1"/>
          <w:sz w:val="24"/>
        </w:rPr>
      </w:pPr>
      <w:r>
        <w:rPr>
          <w:rFonts w:hint="eastAsia"/>
          <w:b/>
          <w:bCs/>
          <w:color w:val="000000" w:themeColor="text1"/>
          <w:sz w:val="24"/>
        </w:rPr>
        <w:t>1、 维修项目区域</w:t>
      </w:r>
    </w:p>
    <w:p>
      <w:pPr>
        <w:widowControl/>
        <w:spacing w:line="500" w:lineRule="exact"/>
        <w:ind w:firstLine="480" w:firstLineChars="200"/>
        <w:jc w:val="left"/>
        <w:rPr>
          <w:rFonts w:ascii="宋体" w:hAnsi="宋体" w:cs="宋体"/>
          <w:color w:val="000000" w:themeColor="text1"/>
          <w:kern w:val="0"/>
          <w:sz w:val="24"/>
        </w:rPr>
      </w:pPr>
      <w:r>
        <w:rPr>
          <w:rFonts w:hint="eastAsia"/>
          <w:color w:val="000000" w:themeColor="text1"/>
          <w:sz w:val="24"/>
        </w:rPr>
        <w:t>负责学校学生宿舍1-9号、青年教师公寓及值班室、创业园临时学生宿舍等建筑体为对象的所有室内外的水电维修（如水管破裂、水龙头、冲水阀、各类灯具、电线短路、插座、开关、路灯等损坏）、各建筑单体强电间及电器维护保养及卫生工作</w:t>
      </w:r>
    </w:p>
    <w:p>
      <w:pPr>
        <w:widowControl/>
        <w:spacing w:line="500" w:lineRule="exact"/>
        <w:ind w:firstLine="482" w:firstLineChars="200"/>
        <w:jc w:val="left"/>
        <w:rPr>
          <w:rFonts w:ascii="宋体" w:hAnsi="宋体" w:cs="宋体"/>
          <w:b/>
          <w:bCs/>
          <w:color w:val="000000" w:themeColor="text1"/>
          <w:kern w:val="0"/>
          <w:sz w:val="24"/>
        </w:rPr>
      </w:pPr>
      <w:r>
        <w:rPr>
          <w:rFonts w:hint="eastAsia" w:ascii="宋体" w:hAnsi="宋体" w:cs="宋体"/>
          <w:b/>
          <w:bCs/>
          <w:color w:val="000000" w:themeColor="text1"/>
          <w:kern w:val="0"/>
          <w:sz w:val="24"/>
        </w:rPr>
        <w:t>2、 维修职责及方案措施</w:t>
      </w:r>
    </w:p>
    <w:p>
      <w:pPr>
        <w:widowControl/>
        <w:spacing w:line="500" w:lineRule="exact"/>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1） 水设施维修。承包方负责校方责任区内的水龙头、开关、 冲水阀、 延时阀、 进出水水管及软管、宿舍内的阀门、水表、淋浴设施的更换及基础管道维修、更换等； 按校方要求，及时参与责任区分的维护、维修及抢修工作。</w:t>
      </w:r>
    </w:p>
    <w:p>
      <w:pPr>
        <w:widowControl/>
        <w:spacing w:line="500" w:lineRule="exact"/>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2） 电设施维修。承包方负责校方责任区内的空调电源、电灯、电路、电话、开关（含总开关、空气开关、漏电开关）、保险、插座、线路、电表、电风扇调速器的维护、维修、更换等；按校方要求，负责责任区内的分主线路的维护、维修及抢修工作；</w:t>
      </w:r>
    </w:p>
    <w:p>
      <w:pPr>
        <w:spacing w:line="360" w:lineRule="auto"/>
        <w:ind w:firstLine="480" w:firstLineChars="200"/>
        <w:rPr>
          <w:color w:val="000000" w:themeColor="text1"/>
        </w:rPr>
      </w:pPr>
      <w:r>
        <w:rPr>
          <w:rFonts w:hint="eastAsia"/>
          <w:color w:val="000000" w:themeColor="text1"/>
          <w:sz w:val="24"/>
        </w:rPr>
        <w:t>3）负责现有服务范围内建筑单体后期装潢改造过保质期的水电维修。</w:t>
      </w:r>
    </w:p>
    <w:p>
      <w:pPr>
        <w:widowControl/>
        <w:spacing w:line="500" w:lineRule="exact"/>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 xml:space="preserve">4） </w:t>
      </w:r>
      <w:r>
        <w:rPr>
          <w:rFonts w:hint="eastAsia"/>
          <w:color w:val="000000" w:themeColor="text1"/>
          <w:sz w:val="24"/>
        </w:rPr>
        <w:t>所有维修配件均由学校承担提供</w:t>
      </w:r>
      <w:r>
        <w:rPr>
          <w:rFonts w:hint="eastAsia" w:ascii="宋体" w:hAnsi="宋体" w:cs="宋体"/>
          <w:color w:val="000000" w:themeColor="text1"/>
          <w:kern w:val="0"/>
          <w:sz w:val="24"/>
        </w:rPr>
        <w:t>。 校方另行购买。</w:t>
      </w:r>
      <w:r>
        <w:rPr>
          <w:rFonts w:hint="eastAsia"/>
          <w:color w:val="000000" w:themeColor="text1"/>
          <w:sz w:val="24"/>
        </w:rPr>
        <w:t>承包单位要以旧换新，做好维修记录并于次月交上月维修记录。</w:t>
      </w:r>
    </w:p>
    <w:p>
      <w:pPr>
        <w:widowControl/>
        <w:spacing w:line="500" w:lineRule="exact"/>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5） 维修措施及报修。校方责任区内的水电维修，承包方工作人员每天在上午（8： 00—12： 00）和下午（14：10—18：10）、夜间安排一人在校住宿，在学校后勤指定点（方便师生报修的地方）领取报修单并及时做好维修处理；如紧急报修故障，承包方在接到报修故障通知后即刻赶到现场，及时的排除故障，24 小时内修复，紧急维修随叫随到。</w:t>
      </w:r>
    </w:p>
    <w:p>
      <w:pPr>
        <w:spacing w:line="440" w:lineRule="exact"/>
        <w:ind w:firstLine="241" w:firstLineChars="100"/>
        <w:rPr>
          <w:rFonts w:ascii="宋体" w:hAnsi="宋体"/>
          <w:b/>
          <w:bCs/>
          <w:color w:val="000000" w:themeColor="text1"/>
          <w:kern w:val="0"/>
          <w:sz w:val="24"/>
        </w:rPr>
      </w:pPr>
      <w:r>
        <w:rPr>
          <w:rFonts w:hint="eastAsia" w:ascii="宋体" w:hAnsi="宋体"/>
          <w:b/>
          <w:bCs/>
          <w:color w:val="000000" w:themeColor="text1"/>
          <w:kern w:val="0"/>
          <w:sz w:val="24"/>
        </w:rPr>
        <w:t>3、其它要求</w:t>
      </w:r>
    </w:p>
    <w:p>
      <w:pPr>
        <w:spacing w:line="440" w:lineRule="exact"/>
        <w:rPr>
          <w:rFonts w:ascii="宋体" w:hAnsi="宋体"/>
          <w:color w:val="000000" w:themeColor="text1"/>
          <w:kern w:val="0"/>
          <w:sz w:val="24"/>
        </w:rPr>
      </w:pPr>
      <w:r>
        <w:rPr>
          <w:rFonts w:hint="eastAsia" w:ascii="宋体" w:hAnsi="宋体"/>
          <w:color w:val="000000" w:themeColor="text1"/>
          <w:kern w:val="0"/>
          <w:sz w:val="24"/>
        </w:rPr>
        <w:t> (1)因重大节日、活动消防安全需要，配合招标人对消防设施进行检测和消防检查、消防培训、消防演练，以及其它相关工作。做好消防设施资料建档工作，及时更新台帐资料。</w:t>
      </w:r>
    </w:p>
    <w:p>
      <w:pPr>
        <w:spacing w:line="440" w:lineRule="exact"/>
        <w:ind w:firstLine="240" w:firstLineChars="100"/>
        <w:rPr>
          <w:rFonts w:ascii="宋体" w:hAnsi="宋体"/>
          <w:color w:val="000000" w:themeColor="text1"/>
          <w:kern w:val="0"/>
          <w:sz w:val="24"/>
        </w:rPr>
      </w:pPr>
      <w:r>
        <w:rPr>
          <w:rFonts w:hint="eastAsia" w:ascii="宋体" w:hAnsi="宋体"/>
          <w:color w:val="000000" w:themeColor="text1"/>
          <w:kern w:val="0"/>
          <w:sz w:val="24"/>
        </w:rPr>
        <w:t>（2）中标单位的维修技术人员都必须具有水电专业维修经验，接到报修后须及时排除故障，如因维修不及时或巡检疏漏而造成设备损坏或人员伤亡的由中标单位承担所有责任及由此而产生的一切费用。</w:t>
      </w:r>
    </w:p>
    <w:p>
      <w:pPr>
        <w:spacing w:line="440" w:lineRule="exact"/>
        <w:ind w:firstLine="240" w:firstLineChars="100"/>
        <w:rPr>
          <w:rFonts w:ascii="宋体" w:hAnsi="宋体"/>
          <w:color w:val="000000" w:themeColor="text1"/>
          <w:kern w:val="0"/>
          <w:sz w:val="24"/>
        </w:rPr>
      </w:pPr>
      <w:r>
        <w:rPr>
          <w:rFonts w:hint="eastAsia" w:ascii="宋体" w:hAnsi="宋体"/>
          <w:color w:val="000000" w:themeColor="text1"/>
          <w:kern w:val="0"/>
          <w:sz w:val="24"/>
        </w:rPr>
        <w:t>（3）中标单位须建立完善的安全事故预防、处置及善后体系；须为本项目所有服务人员依法缴纳社会保险并进行安全操作教育。中标单位的服务人员所进行的一切操作必须遵守国家或行业相关的安全操作规范；必须持证操作的项目操作人员必须持有本人有效期内的证件。一旦发生安全事故，由中标单位承担全部责任；</w:t>
      </w:r>
    </w:p>
    <w:p>
      <w:pPr>
        <w:spacing w:line="440" w:lineRule="exact"/>
        <w:ind w:firstLine="240" w:firstLineChars="100"/>
        <w:rPr>
          <w:rFonts w:ascii="宋体" w:hAnsi="宋体"/>
          <w:color w:val="000000" w:themeColor="text1"/>
          <w:kern w:val="0"/>
          <w:sz w:val="24"/>
        </w:rPr>
      </w:pPr>
      <w:r>
        <w:rPr>
          <w:rFonts w:hint="eastAsia" w:ascii="宋体" w:hAnsi="宋体"/>
          <w:color w:val="000000" w:themeColor="text1"/>
          <w:kern w:val="0"/>
          <w:sz w:val="24"/>
        </w:rPr>
        <w:t>（4）中标单位的服务人员应爱护所维修设施及其所触及的一切甲方财产。</w:t>
      </w:r>
    </w:p>
    <w:p>
      <w:pPr>
        <w:spacing w:line="440" w:lineRule="exact"/>
        <w:ind w:firstLine="240" w:firstLineChars="100"/>
        <w:rPr>
          <w:rFonts w:ascii="宋体" w:hAnsi="宋体"/>
          <w:color w:val="000000" w:themeColor="text1"/>
          <w:kern w:val="0"/>
          <w:sz w:val="24"/>
        </w:rPr>
      </w:pPr>
      <w:r>
        <w:rPr>
          <w:rFonts w:hint="eastAsia" w:ascii="宋体" w:hAnsi="宋体"/>
          <w:color w:val="000000" w:themeColor="text1"/>
          <w:kern w:val="0"/>
          <w:sz w:val="24"/>
        </w:rPr>
        <w:t>（5）服务期满后，要配合做好现场交接工作，确保系统处于正常运行状态。</w:t>
      </w:r>
    </w:p>
    <w:p>
      <w:pPr>
        <w:widowControl/>
        <w:spacing w:line="500" w:lineRule="exact"/>
        <w:ind w:firstLine="480" w:firstLineChars="200"/>
        <w:jc w:val="left"/>
        <w:rPr>
          <w:rFonts w:ascii="宋体" w:hAnsi="宋体" w:cs="宋体"/>
          <w:color w:val="000000" w:themeColor="text1"/>
          <w:kern w:val="0"/>
          <w:sz w:val="24"/>
        </w:rPr>
      </w:pPr>
    </w:p>
    <w:p>
      <w:pPr>
        <w:pStyle w:val="2"/>
        <w:rPr>
          <w:rFonts w:ascii="宋体" w:hAnsi="宋体" w:cs="宋体"/>
          <w:color w:val="000000" w:themeColor="text1"/>
          <w:kern w:val="0"/>
          <w:sz w:val="24"/>
        </w:rPr>
      </w:pPr>
    </w:p>
    <w:p>
      <w:pPr>
        <w:rPr>
          <w:rFonts w:ascii="宋体" w:hAnsi="宋体" w:cs="宋体"/>
          <w:color w:val="000000" w:themeColor="text1"/>
          <w:kern w:val="0"/>
          <w:sz w:val="24"/>
        </w:rPr>
      </w:pPr>
    </w:p>
    <w:p>
      <w:pPr>
        <w:pStyle w:val="2"/>
        <w:rPr>
          <w:rFonts w:ascii="宋体" w:hAnsi="宋体" w:cs="宋体"/>
          <w:color w:val="000000" w:themeColor="text1"/>
          <w:kern w:val="0"/>
          <w:sz w:val="24"/>
        </w:rPr>
      </w:pPr>
    </w:p>
    <w:p>
      <w:pPr>
        <w:rPr>
          <w:rFonts w:ascii="宋体" w:hAnsi="宋体" w:cs="宋体"/>
          <w:color w:val="000000" w:themeColor="text1"/>
          <w:kern w:val="0"/>
          <w:sz w:val="24"/>
        </w:rPr>
      </w:pPr>
    </w:p>
    <w:p>
      <w:pPr>
        <w:spacing w:line="360" w:lineRule="auto"/>
        <w:rPr>
          <w:b/>
          <w:bCs/>
          <w:color w:val="000000" w:themeColor="text1"/>
          <w:sz w:val="24"/>
        </w:rPr>
      </w:pPr>
    </w:p>
    <w:p>
      <w:pPr>
        <w:spacing w:line="360" w:lineRule="auto"/>
        <w:rPr>
          <w:b/>
          <w:bCs/>
          <w:color w:val="000000" w:themeColor="text1"/>
          <w:sz w:val="24"/>
        </w:rPr>
      </w:pPr>
      <w:r>
        <w:rPr>
          <w:rFonts w:hint="eastAsia"/>
          <w:b/>
          <w:bCs/>
          <w:color w:val="000000" w:themeColor="text1"/>
          <w:sz w:val="24"/>
        </w:rPr>
        <w:t>五、盐城工业职业技术学院日常零星水电维修考核办法</w:t>
      </w:r>
    </w:p>
    <w:tbl>
      <w:tblPr>
        <w:tblStyle w:val="3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5"/>
        <w:gridCol w:w="2127"/>
        <w:gridCol w:w="1134"/>
        <w:gridCol w:w="198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7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序号</w:t>
            </w:r>
          </w:p>
        </w:tc>
        <w:tc>
          <w:tcPr>
            <w:tcW w:w="1135"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考核项目</w:t>
            </w:r>
          </w:p>
        </w:tc>
        <w:tc>
          <w:tcPr>
            <w:tcW w:w="2127"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考核要求</w:t>
            </w:r>
          </w:p>
        </w:tc>
        <w:tc>
          <w:tcPr>
            <w:tcW w:w="113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考核分值</w:t>
            </w:r>
          </w:p>
        </w:tc>
        <w:tc>
          <w:tcPr>
            <w:tcW w:w="198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扣分标准</w:t>
            </w:r>
          </w:p>
        </w:tc>
        <w:tc>
          <w:tcPr>
            <w:tcW w:w="113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1</w:t>
            </w:r>
          </w:p>
        </w:tc>
        <w:tc>
          <w:tcPr>
            <w:tcW w:w="1135"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工作态度</w:t>
            </w:r>
          </w:p>
        </w:tc>
        <w:tc>
          <w:tcPr>
            <w:tcW w:w="2127"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维修人员规定时间按数到岗在岗（7:30-22:00）</w:t>
            </w:r>
          </w:p>
        </w:tc>
        <w:tc>
          <w:tcPr>
            <w:tcW w:w="113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10</w:t>
            </w:r>
          </w:p>
        </w:tc>
        <w:tc>
          <w:tcPr>
            <w:tcW w:w="198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工作时间内发现缺岗一次扣0.5分，扣完为止</w:t>
            </w:r>
          </w:p>
        </w:tc>
        <w:tc>
          <w:tcPr>
            <w:tcW w:w="1134" w:type="dxa"/>
            <w:vAlign w:val="center"/>
          </w:tcPr>
          <w:p>
            <w:pPr>
              <w:jc w:val="center"/>
              <w:rPr>
                <w:rFonts w:asciiTheme="minorEastAsia" w:hAnsi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2</w:t>
            </w:r>
          </w:p>
        </w:tc>
        <w:tc>
          <w:tcPr>
            <w:tcW w:w="1135"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响应速度</w:t>
            </w:r>
          </w:p>
        </w:tc>
        <w:tc>
          <w:tcPr>
            <w:tcW w:w="2127"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工作时间内师生报修后2小时内接修</w:t>
            </w:r>
          </w:p>
        </w:tc>
        <w:tc>
          <w:tcPr>
            <w:tcW w:w="113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10</w:t>
            </w:r>
          </w:p>
        </w:tc>
        <w:tc>
          <w:tcPr>
            <w:tcW w:w="198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根据报修系统复核接修响应时间，一次扣0.5分，扣完为止</w:t>
            </w:r>
          </w:p>
        </w:tc>
        <w:tc>
          <w:tcPr>
            <w:tcW w:w="1134" w:type="dxa"/>
            <w:vAlign w:val="center"/>
          </w:tcPr>
          <w:p>
            <w:pPr>
              <w:jc w:val="center"/>
              <w:rPr>
                <w:rFonts w:asciiTheme="minorEastAsia" w:hAnsi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3</w:t>
            </w:r>
          </w:p>
        </w:tc>
        <w:tc>
          <w:tcPr>
            <w:tcW w:w="1135"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维修速度</w:t>
            </w:r>
          </w:p>
        </w:tc>
        <w:tc>
          <w:tcPr>
            <w:tcW w:w="2127"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当日下午15:00前的报修于当日完成，15:00后的报修于次日下班前完成</w:t>
            </w:r>
          </w:p>
        </w:tc>
        <w:tc>
          <w:tcPr>
            <w:tcW w:w="113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20</w:t>
            </w:r>
          </w:p>
        </w:tc>
        <w:tc>
          <w:tcPr>
            <w:tcW w:w="198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根据报修系统以更新完成维修时间为准，一次扣0.5分，扣完为止</w:t>
            </w:r>
          </w:p>
        </w:tc>
        <w:tc>
          <w:tcPr>
            <w:tcW w:w="1134" w:type="dxa"/>
            <w:vAlign w:val="center"/>
          </w:tcPr>
          <w:p>
            <w:pPr>
              <w:jc w:val="center"/>
              <w:rPr>
                <w:rFonts w:asciiTheme="minorEastAsia" w:hAnsi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4</w:t>
            </w:r>
          </w:p>
        </w:tc>
        <w:tc>
          <w:tcPr>
            <w:tcW w:w="1135"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维修质量</w:t>
            </w:r>
          </w:p>
        </w:tc>
        <w:tc>
          <w:tcPr>
            <w:tcW w:w="2127"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按照招标清单的产品参数维修更换，并无返修情况</w:t>
            </w:r>
          </w:p>
        </w:tc>
        <w:tc>
          <w:tcPr>
            <w:tcW w:w="113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20</w:t>
            </w:r>
          </w:p>
        </w:tc>
        <w:tc>
          <w:tcPr>
            <w:tcW w:w="198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现场抽查维修质量，不符一次扣1分，扣完为止</w:t>
            </w:r>
          </w:p>
        </w:tc>
        <w:tc>
          <w:tcPr>
            <w:tcW w:w="1134" w:type="dxa"/>
            <w:vAlign w:val="center"/>
          </w:tcPr>
          <w:p>
            <w:pPr>
              <w:jc w:val="center"/>
              <w:rPr>
                <w:rFonts w:asciiTheme="minorEastAsia" w:hAnsi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5</w:t>
            </w:r>
          </w:p>
        </w:tc>
        <w:tc>
          <w:tcPr>
            <w:tcW w:w="1135"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现场清理</w:t>
            </w:r>
          </w:p>
        </w:tc>
        <w:tc>
          <w:tcPr>
            <w:tcW w:w="2127"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维修现场垃圾当日清理</w:t>
            </w:r>
          </w:p>
        </w:tc>
        <w:tc>
          <w:tcPr>
            <w:tcW w:w="113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10</w:t>
            </w:r>
          </w:p>
        </w:tc>
        <w:tc>
          <w:tcPr>
            <w:tcW w:w="198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不符一次扣1分，扣完为止</w:t>
            </w:r>
          </w:p>
        </w:tc>
        <w:tc>
          <w:tcPr>
            <w:tcW w:w="1134" w:type="dxa"/>
            <w:vAlign w:val="center"/>
          </w:tcPr>
          <w:p>
            <w:pPr>
              <w:jc w:val="center"/>
              <w:rPr>
                <w:rFonts w:asciiTheme="minorEastAsia" w:hAnsi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6</w:t>
            </w:r>
          </w:p>
        </w:tc>
        <w:tc>
          <w:tcPr>
            <w:tcW w:w="1135"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师生反馈</w:t>
            </w:r>
          </w:p>
        </w:tc>
        <w:tc>
          <w:tcPr>
            <w:tcW w:w="2127"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无师生投诉情况</w:t>
            </w:r>
          </w:p>
        </w:tc>
        <w:tc>
          <w:tcPr>
            <w:tcW w:w="113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20</w:t>
            </w:r>
          </w:p>
        </w:tc>
        <w:tc>
          <w:tcPr>
            <w:tcW w:w="198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师生通过各种渠道投诉一次扣1分，扣完为止</w:t>
            </w:r>
          </w:p>
        </w:tc>
        <w:tc>
          <w:tcPr>
            <w:tcW w:w="1134" w:type="dxa"/>
            <w:vAlign w:val="center"/>
          </w:tcPr>
          <w:p>
            <w:pPr>
              <w:jc w:val="center"/>
              <w:rPr>
                <w:rFonts w:asciiTheme="minorEastAsia" w:hAnsi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7</w:t>
            </w:r>
          </w:p>
        </w:tc>
        <w:tc>
          <w:tcPr>
            <w:tcW w:w="1135"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安全施工</w:t>
            </w:r>
          </w:p>
        </w:tc>
        <w:tc>
          <w:tcPr>
            <w:tcW w:w="2127"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因维修不善造成重大隐患的情况</w:t>
            </w:r>
          </w:p>
        </w:tc>
        <w:tc>
          <w:tcPr>
            <w:tcW w:w="113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10</w:t>
            </w:r>
          </w:p>
        </w:tc>
        <w:tc>
          <w:tcPr>
            <w:tcW w:w="1984" w:type="dxa"/>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造成不良影响或影响教育教学的，一次扣2分，扣完为止</w:t>
            </w:r>
          </w:p>
        </w:tc>
        <w:tc>
          <w:tcPr>
            <w:tcW w:w="1134" w:type="dxa"/>
            <w:vAlign w:val="center"/>
          </w:tcPr>
          <w:p>
            <w:pPr>
              <w:jc w:val="center"/>
              <w:rPr>
                <w:rFonts w:asciiTheme="minorEastAsia" w:hAnsiTheme="minorEastAsia"/>
                <w:color w:val="000000" w:themeColor="text1"/>
                <w:szCs w:val="21"/>
              </w:rPr>
            </w:pPr>
          </w:p>
        </w:tc>
      </w:tr>
    </w:tbl>
    <w:p>
      <w:pPr>
        <w:rPr>
          <w:rFonts w:asciiTheme="minorEastAsia" w:hAnsiTheme="minorEastAsia"/>
          <w:color w:val="000000" w:themeColor="text1"/>
        </w:rPr>
      </w:pPr>
    </w:p>
    <w:p>
      <w:pPr>
        <w:rPr>
          <w:rFonts w:asciiTheme="minorEastAsia" w:hAnsiTheme="minorEastAsia"/>
          <w:color w:val="000000" w:themeColor="text1"/>
        </w:rPr>
      </w:pPr>
      <w:r>
        <w:rPr>
          <w:rFonts w:hint="eastAsia" w:asciiTheme="minorEastAsia" w:hAnsiTheme="minorEastAsia"/>
          <w:color w:val="000000" w:themeColor="text1"/>
        </w:rPr>
        <w:t>说明：</w:t>
      </w:r>
    </w:p>
    <w:p>
      <w:pPr>
        <w:pStyle w:val="63"/>
        <w:numPr>
          <w:ilvl w:val="0"/>
          <w:numId w:val="3"/>
        </w:numPr>
        <w:ind w:firstLineChars="0"/>
        <w:rPr>
          <w:rFonts w:asciiTheme="minorEastAsia" w:hAnsiTheme="minorEastAsia"/>
          <w:color w:val="000000" w:themeColor="text1"/>
        </w:rPr>
      </w:pPr>
      <w:r>
        <w:rPr>
          <w:rFonts w:hint="eastAsia" w:asciiTheme="minorEastAsia" w:hAnsiTheme="minorEastAsia"/>
          <w:color w:val="000000" w:themeColor="text1"/>
        </w:rPr>
        <w:t>每月底进行一次考核，取每6个月的考核平均值作为半年度考核得分。</w:t>
      </w:r>
    </w:p>
    <w:p>
      <w:pPr>
        <w:pStyle w:val="63"/>
        <w:numPr>
          <w:ilvl w:val="0"/>
          <w:numId w:val="3"/>
        </w:numPr>
        <w:ind w:firstLineChars="0"/>
        <w:rPr>
          <w:rFonts w:asciiTheme="minorEastAsia" w:hAnsiTheme="minorEastAsia"/>
          <w:color w:val="000000" w:themeColor="text1"/>
        </w:rPr>
      </w:pPr>
      <w:r>
        <w:rPr>
          <w:rFonts w:hint="eastAsia" w:asciiTheme="minorEastAsia" w:hAnsiTheme="minorEastAsia"/>
          <w:color w:val="000000" w:themeColor="text1"/>
        </w:rPr>
        <w:t>半年度考核分值在80分及以上的，甲方根据实际维修量进行送审并支付审计金额的100%。</w:t>
      </w:r>
    </w:p>
    <w:p>
      <w:pPr>
        <w:pStyle w:val="63"/>
        <w:numPr>
          <w:ilvl w:val="0"/>
          <w:numId w:val="3"/>
        </w:numPr>
        <w:ind w:firstLineChars="0"/>
        <w:rPr>
          <w:rFonts w:asciiTheme="minorEastAsia" w:hAnsiTheme="minorEastAsia"/>
          <w:color w:val="000000" w:themeColor="text1"/>
        </w:rPr>
      </w:pPr>
      <w:r>
        <w:rPr>
          <w:rFonts w:hint="eastAsia" w:asciiTheme="minorEastAsia" w:hAnsiTheme="minorEastAsia"/>
          <w:color w:val="000000" w:themeColor="text1"/>
        </w:rPr>
        <w:t>半年度考核分值在70-79分的，甲方根据实际维修量进行送审并支付审计金额的80%。</w:t>
      </w:r>
    </w:p>
    <w:p>
      <w:pPr>
        <w:pStyle w:val="63"/>
        <w:numPr>
          <w:ilvl w:val="0"/>
          <w:numId w:val="3"/>
        </w:numPr>
        <w:ind w:firstLineChars="0"/>
        <w:rPr>
          <w:rFonts w:asciiTheme="minorEastAsia" w:hAnsiTheme="minorEastAsia"/>
          <w:color w:val="000000" w:themeColor="text1"/>
        </w:rPr>
      </w:pPr>
      <w:r>
        <w:rPr>
          <w:rFonts w:hint="eastAsia" w:asciiTheme="minorEastAsia" w:hAnsiTheme="minorEastAsia"/>
          <w:color w:val="000000" w:themeColor="text1"/>
        </w:rPr>
        <w:t>半年度考核分值低于70分的，甲方根据实际维修量进行送审并支付审计金额的70%，并且甲方有权单方面解除合同并重新招标。</w:t>
      </w:r>
    </w:p>
    <w:p>
      <w:pPr>
        <w:rPr>
          <w:rFonts w:asciiTheme="minorEastAsia" w:hAnsiTheme="minorEastAsia"/>
          <w:color w:val="000000" w:themeColor="text1"/>
        </w:rPr>
      </w:pPr>
    </w:p>
    <w:p>
      <w:pPr>
        <w:rPr>
          <w:rFonts w:asciiTheme="minorEastAsia" w:hAnsiTheme="minorEastAsia"/>
          <w:color w:val="000000" w:themeColor="text1"/>
        </w:rPr>
      </w:pPr>
    </w:p>
    <w:p>
      <w:pPr>
        <w:rPr>
          <w:rFonts w:asciiTheme="minorEastAsia" w:hAnsiTheme="minorEastAsia"/>
          <w:color w:val="000000" w:themeColor="text1"/>
        </w:rPr>
      </w:pPr>
    </w:p>
    <w:p>
      <w:pPr>
        <w:rPr>
          <w:rFonts w:asciiTheme="minorEastAsia" w:hAnsiTheme="minorEastAsia"/>
          <w:color w:val="000000" w:themeColor="text1"/>
        </w:rPr>
      </w:pPr>
    </w:p>
    <w:p>
      <w:pPr>
        <w:ind w:firstLine="420" w:firstLineChars="200"/>
        <w:jc w:val="center"/>
        <w:outlineLvl w:val="0"/>
        <w:rPr>
          <w:rFonts w:ascii="宋体" w:hAnsi="宋体" w:cs="宋体"/>
          <w:b/>
          <w:bCs/>
          <w:color w:val="000000" w:themeColor="text1"/>
          <w:sz w:val="44"/>
          <w:szCs w:val="44"/>
        </w:rPr>
      </w:pPr>
      <w:r>
        <w:rPr>
          <w:rFonts w:hint="eastAsia" w:ascii="宋体" w:hAnsi="宋体" w:cs="宋体"/>
          <w:color w:val="000000" w:themeColor="text1"/>
        </w:rPr>
        <w:br w:type="page"/>
      </w:r>
      <w:bookmarkStart w:id="158" w:name="_Toc9087"/>
      <w:bookmarkStart w:id="159" w:name="_Toc4437"/>
      <w:r>
        <w:rPr>
          <w:rFonts w:hint="eastAsia" w:ascii="宋体" w:hAnsi="宋体" w:cs="宋体"/>
          <w:b/>
          <w:bCs/>
          <w:color w:val="000000" w:themeColor="text1"/>
          <w:sz w:val="44"/>
          <w:szCs w:val="44"/>
        </w:rPr>
        <w:t>第五章 评审方法和评审标准</w:t>
      </w:r>
      <w:bookmarkEnd w:id="158"/>
      <w:bookmarkEnd w:id="159"/>
    </w:p>
    <w:p>
      <w:pPr>
        <w:spacing w:line="500" w:lineRule="exact"/>
        <w:ind w:firstLine="482" w:firstLineChars="200"/>
        <w:rPr>
          <w:rFonts w:ascii="宋体"/>
          <w:b/>
          <w:color w:val="000000" w:themeColor="text1"/>
          <w:sz w:val="24"/>
        </w:rPr>
      </w:pPr>
      <w:r>
        <w:rPr>
          <w:rFonts w:ascii="宋体"/>
          <w:b/>
          <w:color w:val="000000" w:themeColor="text1"/>
          <w:sz w:val="24"/>
        </w:rPr>
        <w:t>一、磋商小组</w:t>
      </w:r>
    </w:p>
    <w:p>
      <w:pPr>
        <w:spacing w:line="500" w:lineRule="exact"/>
        <w:ind w:firstLine="480" w:firstLineChars="200"/>
        <w:rPr>
          <w:rFonts w:ascii="宋体"/>
          <w:color w:val="000000" w:themeColor="text1"/>
          <w:sz w:val="24"/>
        </w:rPr>
      </w:pPr>
      <w:r>
        <w:rPr>
          <w:rFonts w:ascii="宋体"/>
          <w:color w:val="000000" w:themeColor="text1"/>
          <w:sz w:val="24"/>
        </w:rPr>
        <w:t>本采购项目磋商小组的评委由相关的专家、采购人代表等有关人员构成。</w:t>
      </w:r>
    </w:p>
    <w:p>
      <w:pPr>
        <w:spacing w:line="500" w:lineRule="exact"/>
        <w:ind w:firstLine="482" w:firstLineChars="200"/>
        <w:rPr>
          <w:rFonts w:ascii="宋体"/>
          <w:b/>
          <w:color w:val="000000" w:themeColor="text1"/>
          <w:sz w:val="24"/>
        </w:rPr>
      </w:pPr>
      <w:r>
        <w:rPr>
          <w:rFonts w:ascii="宋体"/>
          <w:b/>
          <w:color w:val="000000" w:themeColor="text1"/>
          <w:sz w:val="24"/>
        </w:rPr>
        <w:t>二、评审方法</w:t>
      </w:r>
    </w:p>
    <w:p>
      <w:pPr>
        <w:spacing w:line="500" w:lineRule="exact"/>
        <w:ind w:firstLine="480" w:firstLineChars="200"/>
        <w:rPr>
          <w:rFonts w:ascii="宋体"/>
          <w:color w:val="000000" w:themeColor="text1"/>
          <w:sz w:val="24"/>
        </w:rPr>
      </w:pPr>
      <w:r>
        <w:rPr>
          <w:rFonts w:ascii="宋体"/>
          <w:color w:val="000000" w:themeColor="text1"/>
          <w:sz w:val="24"/>
        </w:rPr>
        <w:t>经磋商确定最终采购需求和提交最后报价的供应商后，由磋商小组采用综合评分法对提交最后报价的供应商的响应文件和最后报价进行综合评分。</w:t>
      </w:r>
    </w:p>
    <w:p>
      <w:pPr>
        <w:spacing w:line="500" w:lineRule="exact"/>
        <w:ind w:firstLine="480" w:firstLineChars="200"/>
        <w:rPr>
          <w:rFonts w:ascii="宋体"/>
          <w:color w:val="000000" w:themeColor="text1"/>
          <w:sz w:val="24"/>
        </w:rPr>
      </w:pPr>
      <w:r>
        <w:rPr>
          <w:rFonts w:ascii="宋体"/>
          <w:color w:val="000000" w:themeColor="text1"/>
          <w:sz w:val="24"/>
        </w:rPr>
        <w:t>综合评分法，是指响应文件满足磋商文件全部实质性要求且按评审因素的量化指标评审得分最高的供应商为成交候选供应商的评审方法。</w:t>
      </w:r>
    </w:p>
    <w:p>
      <w:pPr>
        <w:spacing w:line="500" w:lineRule="exact"/>
        <w:ind w:firstLine="482" w:firstLineChars="200"/>
        <w:rPr>
          <w:rFonts w:ascii="宋体"/>
          <w:b/>
          <w:color w:val="000000" w:themeColor="text1"/>
          <w:sz w:val="24"/>
        </w:rPr>
      </w:pPr>
      <w:r>
        <w:rPr>
          <w:rFonts w:ascii="宋体"/>
          <w:b/>
          <w:color w:val="000000" w:themeColor="text1"/>
          <w:sz w:val="24"/>
        </w:rPr>
        <w:t>三、评审原则</w:t>
      </w:r>
    </w:p>
    <w:p>
      <w:pPr>
        <w:spacing w:line="500" w:lineRule="exact"/>
        <w:ind w:firstLine="480" w:firstLineChars="200"/>
        <w:rPr>
          <w:rFonts w:ascii="宋体"/>
          <w:color w:val="000000" w:themeColor="text1"/>
          <w:sz w:val="24"/>
        </w:rPr>
      </w:pPr>
      <w:r>
        <w:rPr>
          <w:rFonts w:ascii="宋体"/>
          <w:color w:val="000000" w:themeColor="text1"/>
          <w:sz w:val="24"/>
        </w:rPr>
        <w:t>磋商小组必须公平、公正、客观，不带任何倾向性和启发性；不得向外界透露任何与评标有关的内容；任何单位和个人不得干扰、影响评标的正常进行；评标委员会及有关工作人员不得私下与供应商接触。</w:t>
      </w:r>
    </w:p>
    <w:p>
      <w:pPr>
        <w:spacing w:line="500" w:lineRule="exact"/>
        <w:ind w:firstLine="482" w:firstLineChars="200"/>
        <w:rPr>
          <w:rFonts w:ascii="宋体"/>
          <w:b/>
          <w:color w:val="000000" w:themeColor="text1"/>
          <w:sz w:val="24"/>
        </w:rPr>
      </w:pPr>
      <w:r>
        <w:rPr>
          <w:rFonts w:ascii="宋体"/>
          <w:b/>
          <w:color w:val="000000" w:themeColor="text1"/>
          <w:sz w:val="24"/>
        </w:rPr>
        <w:t>四、评审办法：综合评分法</w:t>
      </w:r>
    </w:p>
    <w:p>
      <w:pPr>
        <w:spacing w:line="500" w:lineRule="exact"/>
        <w:ind w:firstLine="480" w:firstLineChars="200"/>
        <w:rPr>
          <w:rFonts w:ascii="宋体"/>
          <w:color w:val="000000" w:themeColor="text1"/>
          <w:sz w:val="24"/>
        </w:rPr>
      </w:pPr>
      <w:r>
        <w:rPr>
          <w:rFonts w:ascii="宋体"/>
          <w:color w:val="000000" w:themeColor="text1"/>
          <w:sz w:val="24"/>
        </w:rPr>
        <w:t>（一）评委将以采购文件为评标依据，对磋商供应商的投标报价、技术文件及商务文件等方面按百分制打分。</w:t>
      </w:r>
    </w:p>
    <w:p>
      <w:pPr>
        <w:spacing w:line="500" w:lineRule="exact"/>
        <w:ind w:firstLine="480" w:firstLineChars="200"/>
        <w:rPr>
          <w:rFonts w:ascii="宋体"/>
          <w:color w:val="000000" w:themeColor="text1"/>
          <w:sz w:val="24"/>
        </w:rPr>
      </w:pPr>
      <w:r>
        <w:rPr>
          <w:rFonts w:ascii="宋体"/>
          <w:color w:val="000000" w:themeColor="text1"/>
          <w:sz w:val="24"/>
        </w:rPr>
        <w:t>（二）成交标准：磋商小组将根据总得分高低排列各磋商供应商次序（评审得分相同的，按照最后报价由低到高的顺序推荐。评审得分且最后报价相同的，按照技术指标优劣顺序推荐），并依照次序确定成交供应商。</w:t>
      </w:r>
    </w:p>
    <w:p>
      <w:pPr>
        <w:spacing w:line="500" w:lineRule="exact"/>
        <w:ind w:firstLine="480" w:firstLineChars="200"/>
        <w:rPr>
          <w:rFonts w:ascii="宋体"/>
          <w:color w:val="000000" w:themeColor="text1"/>
          <w:sz w:val="24"/>
        </w:rPr>
      </w:pPr>
      <w:r>
        <w:rPr>
          <w:rFonts w:ascii="宋体"/>
          <w:color w:val="000000" w:themeColor="text1"/>
          <w:sz w:val="24"/>
        </w:rPr>
        <w:t>（三）计分标准：（按四舍五入取至小数点后二位）</w:t>
      </w:r>
    </w:p>
    <w:p>
      <w:pPr>
        <w:spacing w:line="500" w:lineRule="exact"/>
        <w:ind w:firstLine="480" w:firstLineChars="200"/>
        <w:rPr>
          <w:rFonts w:ascii="宋体"/>
          <w:color w:val="000000" w:themeColor="text1"/>
          <w:sz w:val="24"/>
        </w:rPr>
      </w:pPr>
      <w:r>
        <w:rPr>
          <w:rFonts w:ascii="宋体"/>
          <w:color w:val="000000" w:themeColor="text1"/>
          <w:sz w:val="24"/>
        </w:rPr>
        <w:t>（四）具体标准</w:t>
      </w:r>
    </w:p>
    <w:p>
      <w:pPr>
        <w:pStyle w:val="56"/>
        <w:spacing w:before="0" w:after="0" w:line="500" w:lineRule="exact"/>
        <w:ind w:firstLine="0"/>
        <w:rPr>
          <w:rFonts w:ascii="宋体" w:hAnsi="宋体" w:cs="宋体"/>
          <w:bCs/>
          <w:color w:val="000000" w:themeColor="text1"/>
          <w:kern w:val="2"/>
        </w:rPr>
      </w:pPr>
    </w:p>
    <w:tbl>
      <w:tblPr>
        <w:tblStyle w:val="38"/>
        <w:tblpPr w:leftFromText="180" w:rightFromText="180" w:vertAnchor="text" w:horzAnchor="page" w:tblpX="1485" w:tblpY="468"/>
        <w:tblOverlap w:val="never"/>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7768"/>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15" w:type="dxa"/>
            <w:tcBorders>
              <w:right w:val="single" w:color="auto" w:sz="4" w:space="0"/>
            </w:tcBorders>
            <w:noWrap/>
            <w:vAlign w:val="center"/>
          </w:tcPr>
          <w:p>
            <w:pPr>
              <w:jc w:val="center"/>
              <w:rPr>
                <w:rFonts w:ascii="宋体" w:hAnsi="宋体"/>
                <w:color w:val="000000" w:themeColor="text1"/>
              </w:rPr>
            </w:pPr>
            <w:r>
              <w:rPr>
                <w:rFonts w:hint="eastAsia" w:ascii="宋体" w:hAnsi="宋体"/>
                <w:color w:val="000000" w:themeColor="text1"/>
              </w:rPr>
              <w:t>审</w:t>
            </w:r>
          </w:p>
          <w:p>
            <w:pPr>
              <w:jc w:val="center"/>
              <w:rPr>
                <w:rFonts w:ascii="宋体" w:hAnsi="宋体"/>
                <w:color w:val="000000" w:themeColor="text1"/>
              </w:rPr>
            </w:pPr>
            <w:r>
              <w:rPr>
                <w:rFonts w:hint="eastAsia" w:ascii="宋体" w:hAnsi="宋体"/>
                <w:color w:val="000000" w:themeColor="text1"/>
              </w:rPr>
              <w:t>项目</w:t>
            </w:r>
          </w:p>
        </w:tc>
        <w:tc>
          <w:tcPr>
            <w:tcW w:w="7768" w:type="dxa"/>
            <w:tcBorders>
              <w:left w:val="single" w:color="auto" w:sz="4" w:space="0"/>
            </w:tcBorders>
            <w:noWrap/>
            <w:vAlign w:val="center"/>
          </w:tcPr>
          <w:p>
            <w:pPr>
              <w:jc w:val="center"/>
              <w:rPr>
                <w:rFonts w:ascii="宋体" w:hAnsi="宋体"/>
                <w:color w:val="000000" w:themeColor="text1"/>
              </w:rPr>
            </w:pPr>
            <w:r>
              <w:rPr>
                <w:rFonts w:hint="eastAsia" w:ascii="宋体" w:hAnsi="宋体"/>
                <w:color w:val="000000" w:themeColor="text1"/>
              </w:rPr>
              <w:t>评审标准</w:t>
            </w:r>
          </w:p>
        </w:tc>
        <w:tc>
          <w:tcPr>
            <w:tcW w:w="695" w:type="dxa"/>
            <w:tcBorders>
              <w:bottom w:val="single" w:color="auto" w:sz="4" w:space="0"/>
            </w:tcBorders>
            <w:noWrap/>
            <w:vAlign w:val="center"/>
          </w:tcPr>
          <w:p>
            <w:pPr>
              <w:jc w:val="center"/>
              <w:rPr>
                <w:rFonts w:ascii="宋体" w:hAnsi="宋体"/>
                <w:color w:val="000000" w:themeColor="text1"/>
              </w:rPr>
            </w:pPr>
            <w:r>
              <w:rPr>
                <w:rFonts w:hint="eastAsia" w:ascii="宋体" w:hAnsi="宋体"/>
                <w:color w:val="000000" w:themeColor="text1"/>
              </w:rPr>
              <w:t>最高</w:t>
            </w:r>
          </w:p>
          <w:p>
            <w:pPr>
              <w:jc w:val="center"/>
              <w:rPr>
                <w:rFonts w:ascii="宋体" w:hAnsi="宋体"/>
                <w:color w:val="000000" w:themeColor="text1"/>
              </w:rPr>
            </w:pPr>
            <w:r>
              <w:rPr>
                <w:rFonts w:hint="eastAsia" w:ascii="宋体" w:hAnsi="宋体"/>
                <w:color w:val="000000" w:themeColor="text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15" w:type="dxa"/>
            <w:tcBorders>
              <w:right w:val="single" w:color="auto" w:sz="4" w:space="0"/>
            </w:tcBorders>
            <w:noWrap/>
            <w:vAlign w:val="center"/>
          </w:tcPr>
          <w:p>
            <w:pPr>
              <w:jc w:val="center"/>
              <w:rPr>
                <w:rFonts w:ascii="宋体" w:hAnsi="宋体"/>
                <w:color w:val="000000" w:themeColor="text1"/>
              </w:rPr>
            </w:pPr>
            <w:r>
              <w:rPr>
                <w:rFonts w:hint="eastAsia" w:ascii="宋体" w:hAnsi="宋体"/>
                <w:color w:val="000000" w:themeColor="text1"/>
              </w:rPr>
              <w:t>报价</w:t>
            </w:r>
          </w:p>
        </w:tc>
        <w:tc>
          <w:tcPr>
            <w:tcW w:w="7768" w:type="dxa"/>
            <w:tcBorders>
              <w:left w:val="single" w:color="auto" w:sz="4" w:space="0"/>
              <w:right w:val="single" w:color="auto" w:sz="4" w:space="0"/>
            </w:tcBorders>
            <w:noWrap/>
            <w:vAlign w:val="center"/>
          </w:tcPr>
          <w:p>
            <w:pPr>
              <w:adjustRightInd w:val="0"/>
              <w:snapToGrid w:val="0"/>
              <w:ind w:firstLine="420" w:firstLineChars="200"/>
              <w:rPr>
                <w:color w:val="000000" w:themeColor="text1"/>
              </w:rPr>
            </w:pPr>
            <w:r>
              <w:rPr>
                <w:rFonts w:hint="eastAsia"/>
                <w:color w:val="000000" w:themeColor="text1"/>
              </w:rPr>
              <w:t>价格分统一采用低价优先法计算，即满足招标文件要求且投标价格最低的投标报价为评标基准价，其价格分为满分。其他投标人的价格分统一按照下列公式计算：</w:t>
            </w:r>
          </w:p>
          <w:p>
            <w:pPr>
              <w:spacing w:line="340" w:lineRule="exact"/>
              <w:jc w:val="left"/>
              <w:rPr>
                <w:rFonts w:ascii="宋体" w:hAnsi="宋体"/>
                <w:color w:val="000000" w:themeColor="text1"/>
              </w:rPr>
            </w:pPr>
            <w:r>
              <w:rPr>
                <w:rFonts w:hint="eastAsia"/>
                <w:color w:val="000000" w:themeColor="text1"/>
                <w:szCs w:val="21"/>
              </w:rPr>
              <w:t>投标报价得分=(评标基准价／投标报价)×50，小数点后保留2位。</w:t>
            </w:r>
          </w:p>
        </w:tc>
        <w:tc>
          <w:tcPr>
            <w:tcW w:w="69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themeColor="text1"/>
              </w:rPr>
            </w:pPr>
            <w:r>
              <w:rPr>
                <w:rFonts w:hint="eastAsia" w:ascii="宋体" w:hAnsi="宋体"/>
                <w:color w:val="000000" w:themeColor="text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15" w:type="dxa"/>
            <w:tcBorders>
              <w:right w:val="single" w:color="auto" w:sz="4" w:space="0"/>
            </w:tcBorders>
            <w:noWrap/>
            <w:vAlign w:val="center"/>
          </w:tcPr>
          <w:p>
            <w:pPr>
              <w:snapToGrid w:val="0"/>
              <w:spacing w:line="360" w:lineRule="auto"/>
              <w:jc w:val="center"/>
              <w:rPr>
                <w:rFonts w:ascii="宋体" w:hAnsi="宋体" w:cs="Courier New"/>
                <w:bCs/>
                <w:color w:val="000000" w:themeColor="text1"/>
                <w:sz w:val="24"/>
              </w:rPr>
            </w:pPr>
            <w:r>
              <w:rPr>
                <w:rFonts w:hint="eastAsia" w:ascii="宋体" w:hAnsi="宋体"/>
                <w:color w:val="000000" w:themeColor="text1"/>
              </w:rPr>
              <w:t>业绩</w:t>
            </w:r>
          </w:p>
          <w:p>
            <w:pPr>
              <w:jc w:val="center"/>
              <w:rPr>
                <w:rFonts w:ascii="宋体" w:hAnsi="宋体"/>
                <w:color w:val="000000" w:themeColor="text1"/>
              </w:rPr>
            </w:pPr>
          </w:p>
        </w:tc>
        <w:tc>
          <w:tcPr>
            <w:tcW w:w="7768" w:type="dxa"/>
            <w:tcBorders>
              <w:left w:val="single" w:color="auto" w:sz="4" w:space="0"/>
              <w:right w:val="single" w:color="auto" w:sz="4" w:space="0"/>
            </w:tcBorders>
            <w:noWrap/>
            <w:vAlign w:val="center"/>
          </w:tcPr>
          <w:p>
            <w:pPr>
              <w:spacing w:line="340" w:lineRule="exact"/>
              <w:jc w:val="left"/>
              <w:rPr>
                <w:rFonts w:ascii="宋体" w:hAnsi="宋体" w:cs="宋体"/>
                <w:color w:val="000000" w:themeColor="text1"/>
                <w:szCs w:val="21"/>
              </w:rPr>
            </w:pPr>
            <w:r>
              <w:rPr>
                <w:rFonts w:hint="eastAsia" w:ascii="宋体" w:hAnsi="宋体" w:cs="宋体"/>
                <w:color w:val="000000" w:themeColor="text1"/>
                <w:szCs w:val="21"/>
              </w:rPr>
              <w:t>投标人2018年以来在一定的规模高校、机关及企业单位的合同有一年服务期得基本分6分，在此基础上，每多1年加2分，最多得10分。业绩得分按年计算。提供合同及评价良好以上的证明材料复印件，原件备查。</w:t>
            </w:r>
          </w:p>
        </w:tc>
        <w:tc>
          <w:tcPr>
            <w:tcW w:w="69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themeColor="text1"/>
              </w:rPr>
            </w:pPr>
            <w:r>
              <w:rPr>
                <w:rFonts w:hint="eastAsia" w:ascii="宋体" w:hAnsi="宋体"/>
                <w:color w:val="000000" w:themeColor="text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15" w:type="dxa"/>
            <w:tcBorders>
              <w:right w:val="single" w:color="auto" w:sz="4" w:space="0"/>
            </w:tcBorders>
            <w:noWrap/>
            <w:vAlign w:val="center"/>
          </w:tcPr>
          <w:p>
            <w:pPr>
              <w:jc w:val="center"/>
              <w:rPr>
                <w:rFonts w:ascii="宋体" w:hAnsi="宋体"/>
                <w:color w:val="000000" w:themeColor="text1"/>
              </w:rPr>
            </w:pPr>
            <w:r>
              <w:rPr>
                <w:rFonts w:hint="eastAsia" w:ascii="宋体" w:hAnsi="宋体"/>
                <w:color w:val="000000" w:themeColor="text1"/>
              </w:rPr>
              <w:t>服务承诺</w:t>
            </w:r>
          </w:p>
        </w:tc>
        <w:tc>
          <w:tcPr>
            <w:tcW w:w="7768" w:type="dxa"/>
            <w:tcBorders>
              <w:left w:val="single" w:color="auto" w:sz="4" w:space="0"/>
              <w:right w:val="single" w:color="auto" w:sz="4" w:space="0"/>
            </w:tcBorders>
            <w:noWrap/>
            <w:vAlign w:val="center"/>
          </w:tcPr>
          <w:p>
            <w:pPr>
              <w:rPr>
                <w:rFonts w:ascii="宋体" w:hAnsi="宋体" w:cs="宋体"/>
                <w:color w:val="000000" w:themeColor="text1"/>
                <w:szCs w:val="21"/>
              </w:rPr>
            </w:pPr>
            <w:r>
              <w:rPr>
                <w:rFonts w:hint="eastAsia" w:ascii="宋体" w:hAnsi="宋体" w:cs="宋体"/>
                <w:color w:val="000000" w:themeColor="text1"/>
              </w:rPr>
              <w:t>评标委员会根据项目需求对各投标人针对本项目编制的</w:t>
            </w:r>
            <w:r>
              <w:rPr>
                <w:rFonts w:hint="eastAsia" w:ascii="宋体" w:hAnsi="宋体" w:cs="宋体"/>
                <w:color w:val="000000" w:themeColor="text1"/>
                <w:lang w:val="zh-TW" w:eastAsia="zh-TW"/>
              </w:rPr>
              <w:t>服务承诺</w:t>
            </w:r>
            <w:r>
              <w:rPr>
                <w:rFonts w:hint="eastAsia" w:ascii="宋体" w:hAnsi="宋体" w:cs="宋体"/>
                <w:color w:val="000000" w:themeColor="text1"/>
              </w:rPr>
              <w:t>进行综合评审打分，打分区间6.0</w:t>
            </w:r>
            <w:r>
              <w:rPr>
                <w:rFonts w:hint="eastAsia" w:ascii="宋体" w:hAnsi="宋体" w:cs="宋体"/>
                <w:color w:val="000000" w:themeColor="text1"/>
                <w:lang w:val="zh-TW" w:eastAsia="zh-TW"/>
              </w:rPr>
              <w:t>～</w:t>
            </w:r>
            <w:r>
              <w:rPr>
                <w:rFonts w:hint="eastAsia" w:ascii="宋体" w:hAnsi="宋体" w:cs="宋体"/>
                <w:color w:val="000000" w:themeColor="text1"/>
              </w:rPr>
              <w:t>10.0分</w:t>
            </w:r>
            <w:r>
              <w:rPr>
                <w:rFonts w:hint="eastAsia" w:ascii="宋体" w:hAnsi="宋体" w:cs="宋体"/>
                <w:color w:val="000000" w:themeColor="text1"/>
                <w:lang w:val="zh-TW" w:eastAsia="zh-TW"/>
              </w:rPr>
              <w:t>。</w:t>
            </w:r>
          </w:p>
        </w:tc>
        <w:tc>
          <w:tcPr>
            <w:tcW w:w="69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themeColor="text1"/>
              </w:rPr>
            </w:pPr>
            <w:r>
              <w:rPr>
                <w:rFonts w:hint="eastAsia" w:ascii="宋体" w:hAnsi="宋体"/>
                <w:color w:val="000000" w:themeColor="text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15" w:type="dxa"/>
            <w:tcBorders>
              <w:right w:val="single" w:color="auto" w:sz="4" w:space="0"/>
            </w:tcBorders>
            <w:noWrap/>
            <w:vAlign w:val="center"/>
          </w:tcPr>
          <w:p>
            <w:pPr>
              <w:jc w:val="center"/>
              <w:rPr>
                <w:rFonts w:ascii="宋体" w:hAnsi="宋体"/>
                <w:color w:val="000000" w:themeColor="text1"/>
              </w:rPr>
            </w:pPr>
            <w:r>
              <w:rPr>
                <w:rFonts w:hint="eastAsia" w:ascii="宋体" w:hAnsi="宋体"/>
                <w:color w:val="000000" w:themeColor="text1"/>
              </w:rPr>
              <w:t>服务方案</w:t>
            </w:r>
          </w:p>
        </w:tc>
        <w:tc>
          <w:tcPr>
            <w:tcW w:w="7768" w:type="dxa"/>
            <w:tcBorders>
              <w:left w:val="single" w:color="auto" w:sz="4" w:space="0"/>
              <w:right w:val="single" w:color="auto" w:sz="4" w:space="0"/>
            </w:tcBorders>
            <w:noWrap/>
            <w:vAlign w:val="center"/>
          </w:tcPr>
          <w:p>
            <w:pPr>
              <w:adjustRightInd w:val="0"/>
              <w:snapToGrid w:val="0"/>
              <w:rPr>
                <w:rFonts w:ascii="宋体" w:hAnsi="宋体" w:cs="宋体"/>
                <w:color w:val="000000" w:themeColor="text1"/>
              </w:rPr>
            </w:pPr>
            <w:r>
              <w:rPr>
                <w:rFonts w:hint="eastAsia" w:ascii="宋体" w:hAnsi="宋体" w:cs="宋体"/>
                <w:color w:val="000000" w:themeColor="text1"/>
              </w:rPr>
              <w:t>评标委员会根据</w:t>
            </w:r>
            <w:r>
              <w:rPr>
                <w:rFonts w:hint="eastAsia" w:ascii="宋体" w:hAnsi="宋体" w:cs="宋体"/>
                <w:color w:val="000000" w:themeColor="text1"/>
                <w:szCs w:val="21"/>
              </w:rPr>
              <w:t>主要对服务方案的针对性、科学性、独创性进行评价</w:t>
            </w:r>
            <w:r>
              <w:rPr>
                <w:rFonts w:hint="eastAsia" w:ascii="宋体" w:hAnsi="宋体" w:cs="宋体"/>
                <w:color w:val="000000" w:themeColor="text1"/>
              </w:rPr>
              <w:t>，打分区间6.0</w:t>
            </w:r>
            <w:r>
              <w:rPr>
                <w:rFonts w:hint="eastAsia" w:ascii="宋体" w:hAnsi="宋体" w:cs="宋体"/>
                <w:color w:val="000000" w:themeColor="text1"/>
                <w:lang w:val="zh-TW" w:eastAsia="zh-TW"/>
              </w:rPr>
              <w:t>～</w:t>
            </w:r>
            <w:r>
              <w:rPr>
                <w:rFonts w:hint="eastAsia" w:ascii="宋体" w:hAnsi="宋体" w:cs="宋体"/>
                <w:color w:val="000000" w:themeColor="text1"/>
              </w:rPr>
              <w:t>10.0分</w:t>
            </w:r>
            <w:r>
              <w:rPr>
                <w:rFonts w:hint="eastAsia" w:ascii="宋体" w:hAnsi="宋体" w:cs="宋体"/>
                <w:color w:val="000000" w:themeColor="text1"/>
                <w:lang w:val="zh-TW" w:eastAsia="zh-TW"/>
              </w:rPr>
              <w:t>。</w:t>
            </w:r>
          </w:p>
        </w:tc>
        <w:tc>
          <w:tcPr>
            <w:tcW w:w="69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themeColor="text1"/>
              </w:rPr>
            </w:pPr>
            <w:r>
              <w:rPr>
                <w:rFonts w:hint="eastAsia" w:ascii="宋体" w:hAnsi="宋体"/>
                <w:color w:val="000000" w:themeColor="text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15" w:type="dxa"/>
            <w:tcBorders>
              <w:right w:val="single" w:color="auto" w:sz="4" w:space="0"/>
            </w:tcBorders>
            <w:noWrap/>
            <w:vAlign w:val="center"/>
          </w:tcPr>
          <w:p>
            <w:pPr>
              <w:jc w:val="center"/>
              <w:rPr>
                <w:rFonts w:ascii="宋体" w:hAnsi="宋体"/>
                <w:color w:val="000000" w:themeColor="text1"/>
              </w:rPr>
            </w:pPr>
            <w:r>
              <w:rPr>
                <w:rFonts w:hint="eastAsia" w:ascii="宋体" w:hAnsi="宋体"/>
                <w:color w:val="000000" w:themeColor="text1"/>
              </w:rPr>
              <w:t>节能措施</w:t>
            </w:r>
          </w:p>
        </w:tc>
        <w:tc>
          <w:tcPr>
            <w:tcW w:w="7768" w:type="dxa"/>
            <w:tcBorders>
              <w:left w:val="single" w:color="auto" w:sz="4" w:space="0"/>
              <w:right w:val="single" w:color="auto" w:sz="4" w:space="0"/>
            </w:tcBorders>
            <w:noWrap/>
            <w:vAlign w:val="center"/>
          </w:tcPr>
          <w:p>
            <w:pPr>
              <w:rPr>
                <w:rFonts w:ascii="宋体" w:hAnsi="宋体" w:cs="宋体"/>
                <w:color w:val="000000" w:themeColor="text1"/>
              </w:rPr>
            </w:pPr>
            <w:r>
              <w:rPr>
                <w:rFonts w:hint="eastAsia" w:ascii="宋体" w:hAnsi="宋体" w:cs="宋体"/>
                <w:color w:val="000000" w:themeColor="text1"/>
              </w:rPr>
              <w:t>评标委员会根据投标单位</w:t>
            </w:r>
            <w:r>
              <w:rPr>
                <w:rFonts w:hint="eastAsia"/>
                <w:color w:val="000000" w:themeColor="text1"/>
              </w:rPr>
              <w:t>节能计划和管理措施具有可操作性且符合学校要求进行综合评审打分</w:t>
            </w:r>
            <w:r>
              <w:rPr>
                <w:rFonts w:hint="eastAsia" w:ascii="宋体" w:hAnsi="宋体" w:cs="宋体"/>
                <w:color w:val="000000" w:themeColor="text1"/>
              </w:rPr>
              <w:t>，打分区间6.0</w:t>
            </w:r>
            <w:r>
              <w:rPr>
                <w:rFonts w:hint="eastAsia" w:ascii="宋体" w:hAnsi="宋体" w:cs="宋体"/>
                <w:color w:val="000000" w:themeColor="text1"/>
                <w:lang w:val="zh-TW" w:eastAsia="zh-TW"/>
              </w:rPr>
              <w:t>～</w:t>
            </w:r>
            <w:r>
              <w:rPr>
                <w:rFonts w:hint="eastAsia" w:ascii="宋体" w:hAnsi="宋体" w:cs="宋体"/>
                <w:color w:val="000000" w:themeColor="text1"/>
              </w:rPr>
              <w:t>10.0分</w:t>
            </w:r>
            <w:r>
              <w:rPr>
                <w:rFonts w:hint="eastAsia" w:ascii="宋体" w:hAnsi="宋体" w:cs="宋体"/>
                <w:color w:val="000000" w:themeColor="text1"/>
                <w:lang w:val="zh-TW" w:eastAsia="zh-TW"/>
              </w:rPr>
              <w:t>。</w:t>
            </w:r>
          </w:p>
        </w:tc>
        <w:tc>
          <w:tcPr>
            <w:tcW w:w="69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themeColor="text1"/>
              </w:rPr>
            </w:pPr>
            <w:r>
              <w:rPr>
                <w:rFonts w:hint="eastAsia" w:ascii="宋体" w:hAnsi="宋体"/>
                <w:color w:val="000000" w:themeColor="text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15" w:type="dxa"/>
            <w:tcBorders>
              <w:right w:val="single" w:color="auto" w:sz="4" w:space="0"/>
            </w:tcBorders>
            <w:noWrap/>
            <w:vAlign w:val="center"/>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述标</w:t>
            </w:r>
          </w:p>
          <w:p>
            <w:pPr>
              <w:jc w:val="center"/>
              <w:rPr>
                <w:rFonts w:ascii="宋体" w:hAnsi="宋体"/>
                <w:color w:val="000000" w:themeColor="text1"/>
              </w:rPr>
            </w:pPr>
            <w:r>
              <w:rPr>
                <w:rFonts w:hint="eastAsia" w:ascii="宋体" w:hAnsi="宋体" w:cs="宋体"/>
                <w:color w:val="000000" w:themeColor="text1"/>
                <w:szCs w:val="21"/>
              </w:rPr>
              <w:t>答辩</w:t>
            </w:r>
          </w:p>
        </w:tc>
        <w:tc>
          <w:tcPr>
            <w:tcW w:w="7768" w:type="dxa"/>
            <w:tcBorders>
              <w:left w:val="single" w:color="auto" w:sz="4" w:space="0"/>
              <w:right w:val="single" w:color="auto" w:sz="4" w:space="0"/>
            </w:tcBorders>
            <w:noWrap/>
            <w:vAlign w:val="center"/>
          </w:tcPr>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1、述标：投标人拟派驻本项目的项目负责人对服务方案进行阐述，时间不超过3分钟。评委根据其阐述思路是否清晰、语言是否简练、表达是否流畅等进行评分。优：4（含）-5分；良：3</w:t>
            </w:r>
            <w:r>
              <w:rPr>
                <w:rFonts w:hint="eastAsia" w:ascii="宋体" w:hAnsi="宋体" w:cs="宋体"/>
                <w:color w:val="000000" w:themeColor="text1"/>
                <w:szCs w:val="21"/>
                <w:lang w:val="en-US" w:eastAsia="zh-CN"/>
              </w:rPr>
              <w:t>(含）</w:t>
            </w:r>
            <w:r>
              <w:rPr>
                <w:rFonts w:hint="eastAsia" w:ascii="宋体" w:hAnsi="宋体" w:cs="宋体"/>
                <w:color w:val="000000" w:themeColor="text1"/>
                <w:szCs w:val="21"/>
              </w:rPr>
              <w:t>-4分；一般：</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（含）-</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分</w:t>
            </w:r>
          </w:p>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2、答辩：投标人拟派驻本项目的项目负责人针对评委提出的问题进行答辩。评委根据其阐述思路是否清晰、语言是否简练、表达是否流畅等进行评分。优：4（含）-5分；良：3</w:t>
            </w:r>
            <w:r>
              <w:rPr>
                <w:rFonts w:hint="eastAsia" w:ascii="宋体" w:hAnsi="宋体" w:cs="宋体"/>
                <w:color w:val="000000" w:themeColor="text1"/>
                <w:szCs w:val="21"/>
                <w:lang w:val="en-US" w:eastAsia="zh-CN"/>
              </w:rPr>
              <w:t>(含）</w:t>
            </w:r>
            <w:r>
              <w:rPr>
                <w:rFonts w:hint="eastAsia" w:ascii="宋体" w:hAnsi="宋体" w:cs="宋体"/>
                <w:color w:val="000000" w:themeColor="text1"/>
                <w:szCs w:val="21"/>
              </w:rPr>
              <w:t>-4分；一般：</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（含）-</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分</w:t>
            </w:r>
          </w:p>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3、述标及答辩的项目负责人携带居民身份证供评委审验。</w:t>
            </w:r>
          </w:p>
          <w:p>
            <w:pPr>
              <w:jc w:val="left"/>
              <w:rPr>
                <w:rFonts w:ascii="宋体" w:hAnsi="宋体" w:cs="宋体"/>
                <w:color w:val="000000" w:themeColor="text1"/>
              </w:rPr>
            </w:pPr>
            <w:r>
              <w:rPr>
                <w:rFonts w:hint="eastAsia" w:ascii="宋体" w:hAnsi="宋体" w:cs="宋体"/>
                <w:b/>
                <w:bCs/>
                <w:color w:val="000000" w:themeColor="text1"/>
                <w:szCs w:val="21"/>
              </w:rPr>
              <w:t>注：参加答辩的项目负责人必须为拟派驻本项目的项目负责人，否则本项不得分。</w:t>
            </w:r>
          </w:p>
        </w:tc>
        <w:tc>
          <w:tcPr>
            <w:tcW w:w="69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themeColor="text1"/>
              </w:rPr>
            </w:pPr>
            <w:r>
              <w:rPr>
                <w:rFonts w:hint="eastAsia" w:ascii="宋体" w:hAnsi="宋体"/>
                <w:color w:val="000000" w:themeColor="text1"/>
              </w:rPr>
              <w:t>10</w:t>
            </w:r>
          </w:p>
        </w:tc>
      </w:tr>
    </w:tbl>
    <w:p>
      <w:pPr>
        <w:pStyle w:val="80"/>
        <w:rPr>
          <w:rFonts w:ascii="宋体" w:hAnsi="宋体" w:eastAsia="宋体" w:cs="宋体"/>
          <w:color w:val="000000" w:themeColor="text1"/>
        </w:rPr>
      </w:pPr>
      <w:r>
        <w:rPr>
          <w:rFonts w:hint="eastAsia" w:ascii="宋体" w:hAnsi="宋体" w:eastAsia="宋体" w:cs="宋体"/>
          <w:b/>
          <w:bCs/>
          <w:color w:val="000000" w:themeColor="text1"/>
          <w:sz w:val="24"/>
          <w:szCs w:val="24"/>
        </w:rPr>
        <w:br w:type="page"/>
      </w:r>
    </w:p>
    <w:p>
      <w:pPr>
        <w:pStyle w:val="6"/>
        <w:rPr>
          <w:rFonts w:ascii="宋体" w:hAnsi="宋体" w:cs="宋体"/>
          <w:color w:val="000000" w:themeColor="text1"/>
        </w:rPr>
      </w:pPr>
    </w:p>
    <w:p>
      <w:pPr>
        <w:jc w:val="center"/>
        <w:outlineLvl w:val="0"/>
        <w:rPr>
          <w:rFonts w:ascii="宋体" w:hAnsi="宋体" w:cs="宋体"/>
          <w:bCs/>
          <w:color w:val="000000" w:themeColor="text1"/>
          <w:szCs w:val="44"/>
        </w:rPr>
      </w:pPr>
      <w:bookmarkStart w:id="160" w:name="_Toc19299"/>
      <w:bookmarkStart w:id="161" w:name="_Toc29932"/>
      <w:r>
        <w:rPr>
          <w:rFonts w:hint="eastAsia" w:ascii="宋体" w:hAnsi="宋体" w:cs="宋体"/>
          <w:b/>
          <w:color w:val="000000" w:themeColor="text1"/>
          <w:sz w:val="44"/>
          <w:szCs w:val="44"/>
        </w:rPr>
        <w:t>第六章  竞争性磋商响应文件格式</w:t>
      </w:r>
      <w:bookmarkEnd w:id="160"/>
      <w:bookmarkEnd w:id="161"/>
    </w:p>
    <w:p>
      <w:pPr>
        <w:jc w:val="center"/>
        <w:rPr>
          <w:rFonts w:ascii="宋体" w:hAnsi="宋体" w:cs="宋体"/>
          <w:b/>
          <w:color w:val="000000" w:themeColor="text1"/>
          <w:sz w:val="72"/>
          <w:szCs w:val="21"/>
        </w:rPr>
      </w:pPr>
    </w:p>
    <w:p>
      <w:pPr>
        <w:jc w:val="center"/>
        <w:rPr>
          <w:rFonts w:ascii="宋体" w:hAnsi="宋体" w:cs="宋体"/>
          <w:b/>
          <w:color w:val="000000" w:themeColor="text1"/>
          <w:sz w:val="72"/>
          <w:szCs w:val="21"/>
        </w:rPr>
      </w:pPr>
      <w:r>
        <w:rPr>
          <w:rFonts w:hint="eastAsia" w:ascii="宋体" w:hAnsi="宋体" w:cs="宋体"/>
          <w:b/>
          <w:color w:val="000000" w:themeColor="text1"/>
          <w:sz w:val="72"/>
          <w:szCs w:val="21"/>
        </w:rPr>
        <w:t xml:space="preserve"> 竞争性磋商响应文件</w:t>
      </w:r>
    </w:p>
    <w:p>
      <w:pPr>
        <w:pStyle w:val="56"/>
        <w:ind w:firstLine="0"/>
        <w:jc w:val="center"/>
        <w:rPr>
          <w:rFonts w:ascii="宋体" w:hAnsi="宋体" w:cs="宋体"/>
          <w:b/>
          <w:bCs/>
          <w:color w:val="000000" w:themeColor="text1"/>
          <w:sz w:val="32"/>
        </w:rPr>
      </w:pPr>
    </w:p>
    <w:p>
      <w:pPr>
        <w:jc w:val="center"/>
        <w:rPr>
          <w:rFonts w:ascii="宋体" w:hAnsi="宋体" w:cs="宋体"/>
          <w:b/>
          <w:color w:val="000000" w:themeColor="text1"/>
          <w:sz w:val="36"/>
          <w:szCs w:val="21"/>
        </w:rPr>
      </w:pPr>
      <w:r>
        <w:rPr>
          <w:rFonts w:hint="eastAsia" w:ascii="宋体" w:hAnsi="宋体" w:cs="宋体"/>
          <w:b/>
          <w:color w:val="000000" w:themeColor="text1"/>
          <w:sz w:val="36"/>
          <w:szCs w:val="21"/>
        </w:rPr>
        <w:t>（正或副本）</w:t>
      </w:r>
    </w:p>
    <w:p>
      <w:pPr>
        <w:ind w:firstLine="1084" w:firstLineChars="300"/>
        <w:rPr>
          <w:rFonts w:ascii="宋体" w:hAnsi="宋体" w:cs="宋体"/>
          <w:b/>
          <w:color w:val="000000" w:themeColor="text1"/>
          <w:sz w:val="36"/>
          <w:szCs w:val="21"/>
        </w:rPr>
      </w:pPr>
    </w:p>
    <w:p>
      <w:pPr>
        <w:ind w:firstLine="1084" w:firstLineChars="300"/>
        <w:rPr>
          <w:rFonts w:ascii="宋体" w:hAnsi="宋体" w:cs="宋体"/>
          <w:b/>
          <w:color w:val="000000" w:themeColor="text1"/>
          <w:sz w:val="36"/>
          <w:szCs w:val="21"/>
        </w:rPr>
      </w:pPr>
    </w:p>
    <w:p>
      <w:pPr>
        <w:ind w:firstLine="1084" w:firstLineChars="300"/>
        <w:rPr>
          <w:rFonts w:ascii="宋体" w:hAnsi="宋体" w:cs="宋体"/>
          <w:b/>
          <w:color w:val="000000" w:themeColor="text1"/>
          <w:sz w:val="36"/>
        </w:rPr>
      </w:pPr>
    </w:p>
    <w:p>
      <w:pPr>
        <w:rPr>
          <w:rFonts w:ascii="宋体" w:hAnsi="宋体" w:cs="宋体"/>
          <w:b/>
          <w:color w:val="000000" w:themeColor="text1"/>
          <w:sz w:val="36"/>
        </w:rPr>
      </w:pPr>
    </w:p>
    <w:p>
      <w:pPr>
        <w:ind w:firstLine="1084" w:firstLineChars="300"/>
        <w:rPr>
          <w:rFonts w:ascii="宋体" w:hAnsi="宋体" w:cs="宋体"/>
          <w:b/>
          <w:color w:val="000000" w:themeColor="text1"/>
          <w:sz w:val="36"/>
        </w:rPr>
      </w:pPr>
    </w:p>
    <w:p>
      <w:pPr>
        <w:ind w:firstLine="1084" w:firstLineChars="300"/>
        <w:rPr>
          <w:rFonts w:ascii="宋体" w:hAnsi="宋体" w:cs="宋体"/>
          <w:b/>
          <w:color w:val="000000" w:themeColor="text1"/>
          <w:sz w:val="36"/>
        </w:rPr>
      </w:pPr>
    </w:p>
    <w:p>
      <w:pPr>
        <w:ind w:left="3607" w:leftChars="513" w:hanging="2530" w:hangingChars="700"/>
        <w:rPr>
          <w:rFonts w:ascii="宋体" w:hAnsi="宋体" w:cs="宋体"/>
          <w:b/>
          <w:color w:val="000000" w:themeColor="text1"/>
          <w:sz w:val="36"/>
        </w:rPr>
      </w:pPr>
      <w:r>
        <w:rPr>
          <w:rFonts w:hint="eastAsia" w:ascii="宋体" w:hAnsi="宋体" w:cs="宋体"/>
          <w:b/>
          <w:color w:val="000000" w:themeColor="text1"/>
          <w:sz w:val="36"/>
        </w:rPr>
        <w:t>项 目 名 称：</w:t>
      </w:r>
      <w:r>
        <w:rPr>
          <w:rFonts w:hint="eastAsia" w:ascii="宋体" w:hAnsi="宋体" w:cs="宋体"/>
          <w:b/>
          <w:bCs/>
          <w:color w:val="000000" w:themeColor="text1"/>
          <w:sz w:val="32"/>
          <w:szCs w:val="32"/>
        </w:rPr>
        <w:t>宿舍区域水电维修服务外包服务</w:t>
      </w:r>
    </w:p>
    <w:p>
      <w:pPr>
        <w:ind w:firstLine="1084" w:firstLineChars="300"/>
        <w:rPr>
          <w:rFonts w:ascii="宋体" w:hAnsi="宋体" w:cs="宋体"/>
          <w:b/>
          <w:color w:val="000000" w:themeColor="text1"/>
          <w:sz w:val="36"/>
        </w:rPr>
      </w:pPr>
      <w:r>
        <w:rPr>
          <w:rFonts w:hint="eastAsia" w:ascii="宋体" w:hAnsi="宋体" w:cs="宋体"/>
          <w:b/>
          <w:color w:val="000000" w:themeColor="text1"/>
          <w:sz w:val="36"/>
        </w:rPr>
        <w:t>项 目 编 号：</w:t>
      </w:r>
    </w:p>
    <w:p>
      <w:pPr>
        <w:ind w:firstLine="1084" w:firstLineChars="300"/>
        <w:rPr>
          <w:rFonts w:ascii="宋体" w:hAnsi="宋体" w:cs="宋体"/>
          <w:b/>
          <w:color w:val="000000" w:themeColor="text1"/>
          <w:sz w:val="36"/>
        </w:rPr>
      </w:pPr>
      <w:r>
        <w:rPr>
          <w:rFonts w:hint="eastAsia" w:ascii="宋体" w:hAnsi="宋体" w:cs="宋体"/>
          <w:b/>
          <w:color w:val="000000" w:themeColor="text1"/>
          <w:sz w:val="36"/>
        </w:rPr>
        <w:t xml:space="preserve">磋商供应商名称：              </w:t>
      </w:r>
    </w:p>
    <w:p>
      <w:pPr>
        <w:rPr>
          <w:rFonts w:ascii="宋体" w:hAnsi="宋体" w:cs="宋体"/>
          <w:b/>
          <w:color w:val="000000" w:themeColor="text1"/>
          <w:sz w:val="36"/>
        </w:rPr>
      </w:pPr>
      <w:r>
        <w:rPr>
          <w:rFonts w:hint="eastAsia" w:ascii="宋体" w:hAnsi="宋体" w:cs="宋体"/>
          <w:b/>
          <w:color w:val="000000" w:themeColor="text1"/>
          <w:sz w:val="36"/>
        </w:rPr>
        <w:t xml:space="preserve">      日       期：</w:t>
      </w:r>
    </w:p>
    <w:p>
      <w:pPr>
        <w:pStyle w:val="56"/>
        <w:ind w:firstLine="2464" w:firstLineChars="770"/>
        <w:rPr>
          <w:rFonts w:ascii="宋体" w:hAnsi="宋体" w:cs="宋体"/>
          <w:bCs/>
          <w:color w:val="000000" w:themeColor="text1"/>
          <w:kern w:val="2"/>
          <w:sz w:val="32"/>
          <w:szCs w:val="32"/>
        </w:rPr>
      </w:pPr>
    </w:p>
    <w:p>
      <w:pPr>
        <w:pStyle w:val="56"/>
        <w:spacing w:before="0" w:after="0"/>
        <w:ind w:firstLine="0"/>
        <w:rPr>
          <w:rFonts w:ascii="宋体" w:hAnsi="宋体" w:cs="宋体"/>
          <w:color w:val="000000" w:themeColor="text1"/>
        </w:rPr>
      </w:pPr>
    </w:p>
    <w:p>
      <w:pPr>
        <w:pStyle w:val="56"/>
        <w:spacing w:before="0" w:after="0"/>
        <w:ind w:firstLine="0"/>
        <w:rPr>
          <w:rFonts w:ascii="宋体" w:hAnsi="宋体" w:cs="宋体"/>
          <w:color w:val="000000" w:themeColor="text1"/>
        </w:rPr>
      </w:pPr>
    </w:p>
    <w:p>
      <w:pPr>
        <w:jc w:val="center"/>
        <w:rPr>
          <w:rFonts w:ascii="宋体" w:hAnsi="宋体" w:cs="宋体"/>
          <w:b/>
          <w:color w:val="000000" w:themeColor="text1"/>
          <w:sz w:val="24"/>
        </w:rPr>
      </w:pPr>
    </w:p>
    <w:p>
      <w:pPr>
        <w:jc w:val="center"/>
        <w:rPr>
          <w:rFonts w:ascii="宋体" w:hAnsi="宋体" w:cs="宋体"/>
          <w:b/>
          <w:color w:val="000000" w:themeColor="text1"/>
          <w:sz w:val="24"/>
        </w:rPr>
      </w:pPr>
    </w:p>
    <w:p>
      <w:pPr>
        <w:jc w:val="center"/>
        <w:rPr>
          <w:rFonts w:ascii="宋体" w:hAnsi="宋体" w:cs="宋体"/>
          <w:b/>
          <w:color w:val="000000" w:themeColor="text1"/>
          <w:sz w:val="24"/>
        </w:rPr>
      </w:pPr>
    </w:p>
    <w:p>
      <w:pPr>
        <w:pageBreakBefore/>
        <w:autoSpaceDE w:val="0"/>
        <w:autoSpaceDN w:val="0"/>
        <w:adjustRightInd w:val="0"/>
        <w:spacing w:line="440" w:lineRule="exact"/>
        <w:ind w:firstLine="482"/>
        <w:jc w:val="center"/>
        <w:rPr>
          <w:rFonts w:ascii="宋体" w:hAnsi="宋体" w:cs="宋体"/>
          <w:b/>
          <w:bCs/>
          <w:color w:val="000000" w:themeColor="text1"/>
          <w:sz w:val="32"/>
          <w:szCs w:val="32"/>
          <w:lang w:val="zh-CN"/>
        </w:rPr>
      </w:pPr>
      <w:bookmarkStart w:id="162" w:name="_Toc120614291"/>
      <w:bookmarkStart w:id="163" w:name="_Toc49090582"/>
      <w:bookmarkStart w:id="164" w:name="_Toc22356583"/>
      <w:bookmarkStart w:id="165" w:name="_Toc120614284"/>
      <w:bookmarkStart w:id="166" w:name="_Toc26554103"/>
      <w:bookmarkStart w:id="167" w:name="_Toc24878535"/>
      <w:bookmarkStart w:id="168" w:name="_Toc23828483"/>
      <w:bookmarkStart w:id="169" w:name="_Toc513029281"/>
      <w:r>
        <w:rPr>
          <w:rFonts w:hint="eastAsia" w:ascii="宋体" w:hAnsi="宋体" w:cs="宋体"/>
          <w:b/>
          <w:bCs/>
          <w:color w:val="000000" w:themeColor="text1"/>
          <w:sz w:val="32"/>
          <w:szCs w:val="32"/>
          <w:lang w:val="zh-CN"/>
        </w:rPr>
        <w:t>响应文件主要目录</w:t>
      </w:r>
    </w:p>
    <w:p>
      <w:pPr>
        <w:autoSpaceDE w:val="0"/>
        <w:autoSpaceDN w:val="0"/>
        <w:adjustRightInd w:val="0"/>
        <w:spacing w:line="440" w:lineRule="exact"/>
        <w:jc w:val="center"/>
        <w:rPr>
          <w:rFonts w:ascii="宋体" w:cs="宋体"/>
          <w:b/>
          <w:bCs/>
          <w:color w:val="000000" w:themeColor="text1"/>
          <w:sz w:val="24"/>
          <w:lang w:val="zh-CN"/>
        </w:rPr>
      </w:pPr>
    </w:p>
    <w:p>
      <w:pPr>
        <w:autoSpaceDE w:val="0"/>
        <w:autoSpaceDN w:val="0"/>
        <w:adjustRightInd w:val="0"/>
        <w:spacing w:line="440" w:lineRule="exact"/>
        <w:ind w:firstLine="480"/>
        <w:rPr>
          <w:rFonts w:ascii="宋体" w:cs="宋体"/>
          <w:color w:val="000000" w:themeColor="text1"/>
          <w:sz w:val="24"/>
          <w:lang w:val="zh-CN"/>
        </w:rPr>
      </w:pPr>
      <w:r>
        <w:rPr>
          <w:rFonts w:hint="eastAsia" w:ascii="宋体" w:cs="宋体"/>
          <w:color w:val="000000" w:themeColor="text1"/>
          <w:sz w:val="24"/>
          <w:lang w:val="zh-CN"/>
        </w:rPr>
        <w:t>一、资格性审查响应对照表</w:t>
      </w:r>
    </w:p>
    <w:p>
      <w:pPr>
        <w:autoSpaceDE w:val="0"/>
        <w:autoSpaceDN w:val="0"/>
        <w:adjustRightInd w:val="0"/>
        <w:spacing w:line="440" w:lineRule="exact"/>
        <w:ind w:firstLine="480"/>
        <w:rPr>
          <w:rFonts w:ascii="宋体" w:cs="宋体"/>
          <w:color w:val="000000" w:themeColor="text1"/>
          <w:sz w:val="24"/>
          <w:lang w:val="zh-CN"/>
        </w:rPr>
      </w:pPr>
      <w:r>
        <w:rPr>
          <w:rFonts w:hint="eastAsia" w:ascii="宋体" w:cs="宋体"/>
          <w:color w:val="000000" w:themeColor="text1"/>
          <w:sz w:val="24"/>
        </w:rPr>
        <w:t>二</w:t>
      </w:r>
      <w:r>
        <w:rPr>
          <w:rFonts w:hint="eastAsia" w:ascii="宋体" w:cs="宋体"/>
          <w:color w:val="000000" w:themeColor="text1"/>
          <w:sz w:val="24"/>
          <w:lang w:val="zh-CN"/>
        </w:rPr>
        <w:t>、评分索引表</w:t>
      </w:r>
    </w:p>
    <w:p>
      <w:pPr>
        <w:autoSpaceDE w:val="0"/>
        <w:autoSpaceDN w:val="0"/>
        <w:adjustRightInd w:val="0"/>
        <w:spacing w:line="440" w:lineRule="exact"/>
        <w:ind w:firstLine="480"/>
        <w:rPr>
          <w:rFonts w:ascii="宋体" w:cs="宋体"/>
          <w:color w:val="000000" w:themeColor="text1"/>
          <w:sz w:val="24"/>
          <w:lang w:val="zh-CN"/>
        </w:rPr>
      </w:pPr>
      <w:r>
        <w:rPr>
          <w:rFonts w:hint="eastAsia" w:ascii="宋体" w:cs="宋体"/>
          <w:color w:val="000000" w:themeColor="text1"/>
          <w:sz w:val="24"/>
        </w:rPr>
        <w:t>三</w:t>
      </w:r>
      <w:r>
        <w:rPr>
          <w:rFonts w:hint="eastAsia" w:ascii="宋体" w:cs="宋体"/>
          <w:color w:val="000000" w:themeColor="text1"/>
          <w:sz w:val="24"/>
          <w:lang w:val="zh-CN"/>
        </w:rPr>
        <w:t>、资格、资信证明文件要求</w:t>
      </w:r>
    </w:p>
    <w:p>
      <w:pPr>
        <w:autoSpaceDE w:val="0"/>
        <w:autoSpaceDN w:val="0"/>
        <w:adjustRightInd w:val="0"/>
        <w:spacing w:line="440" w:lineRule="exact"/>
        <w:ind w:firstLine="480"/>
        <w:rPr>
          <w:rFonts w:ascii="宋体" w:cs="宋体"/>
          <w:color w:val="000000" w:themeColor="text1"/>
          <w:sz w:val="24"/>
          <w:lang w:val="zh-CN"/>
        </w:rPr>
      </w:pPr>
      <w:r>
        <w:rPr>
          <w:rFonts w:hint="eastAsia" w:ascii="宋体" w:cs="宋体"/>
          <w:color w:val="000000" w:themeColor="text1"/>
          <w:sz w:val="24"/>
        </w:rPr>
        <w:t>四</w:t>
      </w:r>
      <w:r>
        <w:rPr>
          <w:rFonts w:hint="eastAsia" w:ascii="宋体" w:cs="宋体"/>
          <w:color w:val="000000" w:themeColor="text1"/>
          <w:sz w:val="24"/>
          <w:lang w:val="zh-CN"/>
        </w:rPr>
        <w:t>、磋商响应函</w:t>
      </w:r>
    </w:p>
    <w:p>
      <w:pPr>
        <w:autoSpaceDE w:val="0"/>
        <w:autoSpaceDN w:val="0"/>
        <w:adjustRightInd w:val="0"/>
        <w:spacing w:line="440" w:lineRule="exact"/>
        <w:ind w:firstLine="480"/>
        <w:rPr>
          <w:rFonts w:ascii="宋体" w:cs="宋体"/>
          <w:color w:val="000000" w:themeColor="text1"/>
          <w:sz w:val="24"/>
        </w:rPr>
      </w:pPr>
      <w:r>
        <w:rPr>
          <w:rFonts w:hint="eastAsia" w:ascii="宋体" w:cs="宋体"/>
          <w:color w:val="000000" w:themeColor="text1"/>
          <w:sz w:val="24"/>
        </w:rPr>
        <w:t>五、开标一览表</w:t>
      </w:r>
    </w:p>
    <w:p>
      <w:pPr>
        <w:autoSpaceDE w:val="0"/>
        <w:autoSpaceDN w:val="0"/>
        <w:adjustRightInd w:val="0"/>
        <w:spacing w:line="440" w:lineRule="exact"/>
        <w:ind w:firstLine="480"/>
        <w:rPr>
          <w:rFonts w:ascii="宋体" w:cs="宋体"/>
          <w:color w:val="000000" w:themeColor="text1"/>
          <w:sz w:val="24"/>
          <w:lang w:val="zh-CN"/>
        </w:rPr>
      </w:pPr>
      <w:r>
        <w:rPr>
          <w:rFonts w:hint="eastAsia" w:ascii="宋体" w:cs="宋体"/>
          <w:color w:val="000000" w:themeColor="text1"/>
          <w:sz w:val="24"/>
        </w:rPr>
        <w:t>六</w:t>
      </w:r>
      <w:r>
        <w:rPr>
          <w:rFonts w:hint="eastAsia" w:ascii="宋体" w:cs="宋体"/>
          <w:color w:val="000000" w:themeColor="text1"/>
          <w:sz w:val="24"/>
          <w:lang w:val="zh-CN"/>
        </w:rPr>
        <w:t>、技术方案、服务承诺</w:t>
      </w:r>
      <w:r>
        <w:rPr>
          <w:rFonts w:hint="eastAsia" w:ascii="宋体" w:cs="宋体"/>
          <w:color w:val="000000" w:themeColor="text1"/>
          <w:sz w:val="24"/>
        </w:rPr>
        <w:t>等</w:t>
      </w:r>
    </w:p>
    <w:p>
      <w:pPr>
        <w:pageBreakBefore/>
        <w:autoSpaceDE w:val="0"/>
        <w:autoSpaceDN w:val="0"/>
        <w:adjustRightInd w:val="0"/>
        <w:spacing w:before="50" w:after="50"/>
        <w:jc w:val="center"/>
        <w:rPr>
          <w:rFonts w:ascii="宋体" w:hAnsi="宋体" w:cs="黑体"/>
          <w:b/>
          <w:color w:val="000000" w:themeColor="text1"/>
          <w:sz w:val="32"/>
          <w:szCs w:val="32"/>
          <w:lang w:val="zh-CN"/>
        </w:rPr>
      </w:pPr>
      <w:r>
        <w:rPr>
          <w:rFonts w:hint="eastAsia" w:ascii="宋体" w:hAnsi="宋体" w:cs="黑体"/>
          <w:b/>
          <w:color w:val="000000" w:themeColor="text1"/>
          <w:sz w:val="32"/>
          <w:szCs w:val="32"/>
          <w:lang w:val="zh-CN"/>
        </w:rPr>
        <w:t>一、资格性审查响应对照表</w:t>
      </w:r>
    </w:p>
    <w:tbl>
      <w:tblPr>
        <w:tblStyle w:val="3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ign w:val="center"/>
          </w:tcPr>
          <w:p>
            <w:pPr>
              <w:snapToGrid w:val="0"/>
              <w:spacing w:line="360" w:lineRule="auto"/>
              <w:rPr>
                <w:rFonts w:ascii="宋体" w:hAnsi="宋体"/>
                <w:b/>
                <w:color w:val="000000" w:themeColor="text1"/>
                <w:sz w:val="24"/>
                <w:szCs w:val="21"/>
              </w:rPr>
            </w:pPr>
            <w:r>
              <w:rPr>
                <w:rFonts w:hint="eastAsia" w:ascii="宋体" w:hAnsi="宋体"/>
                <w:b/>
                <w:color w:val="000000" w:themeColor="text1"/>
                <w:sz w:val="24"/>
                <w:szCs w:val="21"/>
              </w:rPr>
              <w:t>序号</w:t>
            </w:r>
          </w:p>
        </w:tc>
        <w:tc>
          <w:tcPr>
            <w:tcW w:w="5245" w:type="dxa"/>
            <w:noWrap/>
            <w:vAlign w:val="center"/>
          </w:tcPr>
          <w:p>
            <w:pPr>
              <w:snapToGrid w:val="0"/>
              <w:spacing w:line="360" w:lineRule="auto"/>
              <w:ind w:firstLine="482" w:firstLineChars="200"/>
              <w:jc w:val="center"/>
              <w:rPr>
                <w:rFonts w:ascii="宋体" w:hAnsi="宋体"/>
                <w:b/>
                <w:color w:val="000000" w:themeColor="text1"/>
                <w:sz w:val="24"/>
                <w:szCs w:val="21"/>
              </w:rPr>
            </w:pPr>
            <w:r>
              <w:rPr>
                <w:rFonts w:hint="eastAsia" w:ascii="宋体" w:hAnsi="宋体"/>
                <w:b/>
                <w:color w:val="000000" w:themeColor="text1"/>
                <w:sz w:val="24"/>
                <w:szCs w:val="21"/>
              </w:rPr>
              <w:t>资格审查响应内容</w:t>
            </w:r>
          </w:p>
        </w:tc>
        <w:tc>
          <w:tcPr>
            <w:tcW w:w="1984" w:type="dxa"/>
            <w:noWrap/>
            <w:vAlign w:val="center"/>
          </w:tcPr>
          <w:p>
            <w:pPr>
              <w:snapToGrid w:val="0"/>
              <w:spacing w:line="360" w:lineRule="auto"/>
              <w:jc w:val="center"/>
              <w:rPr>
                <w:rFonts w:ascii="宋体" w:hAnsi="宋体"/>
                <w:b/>
                <w:color w:val="000000" w:themeColor="text1"/>
                <w:sz w:val="24"/>
                <w:szCs w:val="21"/>
              </w:rPr>
            </w:pPr>
            <w:r>
              <w:rPr>
                <w:rFonts w:hint="eastAsia" w:ascii="宋体" w:hAnsi="宋体"/>
                <w:b/>
                <w:color w:val="000000" w:themeColor="text1"/>
                <w:sz w:val="24"/>
                <w:szCs w:val="21"/>
              </w:rPr>
              <w:t>是否响应</w:t>
            </w:r>
          </w:p>
          <w:p>
            <w:pPr>
              <w:snapToGrid w:val="0"/>
              <w:spacing w:line="360" w:lineRule="auto"/>
              <w:jc w:val="center"/>
              <w:rPr>
                <w:rFonts w:ascii="宋体" w:hAnsi="宋体"/>
                <w:b/>
                <w:color w:val="000000" w:themeColor="text1"/>
                <w:sz w:val="24"/>
                <w:szCs w:val="21"/>
              </w:rPr>
            </w:pPr>
            <w:r>
              <w:rPr>
                <w:rFonts w:hint="eastAsia" w:ascii="宋体" w:hAnsi="宋体"/>
                <w:b/>
                <w:color w:val="000000" w:themeColor="text1"/>
                <w:sz w:val="24"/>
                <w:szCs w:val="21"/>
              </w:rPr>
              <w:t>（填：是或者否）</w:t>
            </w:r>
          </w:p>
        </w:tc>
        <w:tc>
          <w:tcPr>
            <w:tcW w:w="1512" w:type="dxa"/>
            <w:noWrap/>
            <w:vAlign w:val="center"/>
          </w:tcPr>
          <w:p>
            <w:pPr>
              <w:snapToGrid w:val="0"/>
              <w:spacing w:line="360" w:lineRule="auto"/>
              <w:jc w:val="center"/>
              <w:rPr>
                <w:rFonts w:ascii="宋体" w:hAnsi="宋体"/>
                <w:b/>
                <w:color w:val="000000" w:themeColor="text1"/>
                <w:sz w:val="24"/>
                <w:szCs w:val="21"/>
              </w:rPr>
            </w:pPr>
            <w:r>
              <w:rPr>
                <w:rFonts w:hint="eastAsia" w:ascii="宋体" w:hAnsi="宋体"/>
                <w:b/>
                <w:color w:val="000000" w:themeColor="text1"/>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ign w:val="center"/>
          </w:tcPr>
          <w:p>
            <w:pPr>
              <w:spacing w:line="360" w:lineRule="auto"/>
              <w:rPr>
                <w:rFonts w:ascii="宋体" w:hAnsi="宋体"/>
                <w:b/>
                <w:color w:val="000000" w:themeColor="text1"/>
                <w:sz w:val="24"/>
                <w:szCs w:val="21"/>
              </w:rPr>
            </w:pPr>
            <w:r>
              <w:rPr>
                <w:rFonts w:hint="eastAsia" w:ascii="宋体" w:hAnsi="宋体"/>
                <w:b/>
                <w:color w:val="000000" w:themeColor="text1"/>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ign w:val="center"/>
          </w:tcPr>
          <w:p>
            <w:pPr>
              <w:spacing w:line="360" w:lineRule="auto"/>
              <w:jc w:val="center"/>
              <w:rPr>
                <w:rFonts w:ascii="宋体" w:hAnsi="宋体"/>
                <w:color w:val="000000" w:themeColor="text1"/>
                <w:sz w:val="24"/>
                <w:szCs w:val="21"/>
              </w:rPr>
            </w:pPr>
            <w:r>
              <w:rPr>
                <w:rFonts w:hint="eastAsia" w:ascii="宋体" w:hAnsi="宋体"/>
                <w:color w:val="000000" w:themeColor="text1"/>
                <w:sz w:val="24"/>
                <w:szCs w:val="21"/>
              </w:rPr>
              <w:t>1</w:t>
            </w:r>
          </w:p>
        </w:tc>
        <w:tc>
          <w:tcPr>
            <w:tcW w:w="5245" w:type="dxa"/>
            <w:noWrap/>
            <w:vAlign w:val="center"/>
          </w:tcPr>
          <w:p>
            <w:pPr>
              <w:spacing w:line="360" w:lineRule="auto"/>
              <w:rPr>
                <w:rFonts w:ascii="宋体" w:hAnsi="宋体"/>
                <w:iCs/>
                <w:color w:val="000000" w:themeColor="text1"/>
                <w:sz w:val="24"/>
              </w:rPr>
            </w:pPr>
          </w:p>
        </w:tc>
        <w:tc>
          <w:tcPr>
            <w:tcW w:w="1984" w:type="dxa"/>
            <w:noWrap/>
            <w:vAlign w:val="center"/>
          </w:tcPr>
          <w:p>
            <w:pPr>
              <w:spacing w:line="360" w:lineRule="auto"/>
              <w:ind w:firstLine="482" w:firstLineChars="200"/>
              <w:jc w:val="center"/>
              <w:rPr>
                <w:rFonts w:ascii="宋体" w:hAnsi="宋体"/>
                <w:b/>
                <w:color w:val="000000" w:themeColor="text1"/>
                <w:sz w:val="24"/>
                <w:szCs w:val="21"/>
              </w:rPr>
            </w:pPr>
          </w:p>
        </w:tc>
        <w:tc>
          <w:tcPr>
            <w:tcW w:w="1512" w:type="dxa"/>
            <w:noWrap/>
            <w:vAlign w:val="center"/>
          </w:tcPr>
          <w:p>
            <w:pPr>
              <w:spacing w:line="360" w:lineRule="auto"/>
              <w:ind w:firstLine="482" w:firstLineChars="200"/>
              <w:jc w:val="center"/>
              <w:rPr>
                <w:rFonts w:ascii="宋体" w:hAnsi="宋体"/>
                <w:b/>
                <w:color w:val="000000" w:themeColor="text1"/>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ign w:val="center"/>
          </w:tcPr>
          <w:p>
            <w:pPr>
              <w:spacing w:line="360" w:lineRule="auto"/>
              <w:jc w:val="center"/>
              <w:rPr>
                <w:rFonts w:ascii="宋体" w:hAnsi="宋体"/>
                <w:color w:val="000000" w:themeColor="text1"/>
                <w:sz w:val="24"/>
                <w:szCs w:val="21"/>
              </w:rPr>
            </w:pPr>
            <w:r>
              <w:rPr>
                <w:rFonts w:hint="eastAsia" w:ascii="宋体" w:hAnsi="宋体"/>
                <w:color w:val="000000" w:themeColor="text1"/>
                <w:sz w:val="24"/>
                <w:szCs w:val="21"/>
              </w:rPr>
              <w:t>2</w:t>
            </w:r>
          </w:p>
        </w:tc>
        <w:tc>
          <w:tcPr>
            <w:tcW w:w="5245" w:type="dxa"/>
            <w:noWrap/>
            <w:vAlign w:val="center"/>
          </w:tcPr>
          <w:p>
            <w:pPr>
              <w:spacing w:line="360" w:lineRule="auto"/>
              <w:rPr>
                <w:rFonts w:ascii="宋体" w:hAnsi="宋体"/>
                <w:iCs/>
                <w:color w:val="000000" w:themeColor="text1"/>
                <w:sz w:val="24"/>
              </w:rPr>
            </w:pPr>
          </w:p>
        </w:tc>
        <w:tc>
          <w:tcPr>
            <w:tcW w:w="1984" w:type="dxa"/>
            <w:noWrap/>
            <w:vAlign w:val="center"/>
          </w:tcPr>
          <w:p>
            <w:pPr>
              <w:spacing w:line="360" w:lineRule="auto"/>
              <w:ind w:firstLine="480" w:firstLineChars="200"/>
              <w:jc w:val="center"/>
              <w:rPr>
                <w:rFonts w:ascii="宋体" w:hAnsi="宋体"/>
                <w:color w:val="000000" w:themeColor="text1"/>
                <w:sz w:val="24"/>
                <w:szCs w:val="21"/>
              </w:rPr>
            </w:pPr>
          </w:p>
        </w:tc>
        <w:tc>
          <w:tcPr>
            <w:tcW w:w="1512" w:type="dxa"/>
            <w:noWrap/>
            <w:vAlign w:val="center"/>
          </w:tcPr>
          <w:p>
            <w:pPr>
              <w:spacing w:line="360" w:lineRule="auto"/>
              <w:ind w:firstLine="480" w:firstLineChars="200"/>
              <w:jc w:val="center"/>
              <w:rPr>
                <w:rFonts w:ascii="宋体" w:hAnsi="宋体"/>
                <w:color w:val="000000" w:themeColor="text1"/>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ign w:val="center"/>
          </w:tcPr>
          <w:p>
            <w:pPr>
              <w:spacing w:line="360" w:lineRule="auto"/>
              <w:jc w:val="center"/>
              <w:rPr>
                <w:rFonts w:ascii="宋体" w:hAnsi="宋体"/>
                <w:color w:val="000000" w:themeColor="text1"/>
                <w:sz w:val="24"/>
                <w:szCs w:val="21"/>
              </w:rPr>
            </w:pPr>
            <w:r>
              <w:rPr>
                <w:rFonts w:hint="eastAsia" w:ascii="宋体" w:hAnsi="宋体"/>
                <w:color w:val="000000" w:themeColor="text1"/>
                <w:sz w:val="24"/>
                <w:szCs w:val="21"/>
              </w:rPr>
              <w:t>3</w:t>
            </w:r>
          </w:p>
        </w:tc>
        <w:tc>
          <w:tcPr>
            <w:tcW w:w="5245" w:type="dxa"/>
            <w:noWrap/>
            <w:vAlign w:val="center"/>
          </w:tcPr>
          <w:p>
            <w:pPr>
              <w:snapToGrid w:val="0"/>
              <w:spacing w:line="360" w:lineRule="auto"/>
              <w:jc w:val="center"/>
              <w:rPr>
                <w:rFonts w:ascii="宋体" w:hAnsi="宋体"/>
                <w:iCs/>
                <w:color w:val="000000" w:themeColor="text1"/>
                <w:sz w:val="24"/>
              </w:rPr>
            </w:pPr>
            <w:r>
              <w:rPr>
                <w:rFonts w:hint="eastAsia" w:ascii="宋体" w:hAnsi="宋体"/>
                <w:iCs/>
                <w:color w:val="000000" w:themeColor="text1"/>
                <w:sz w:val="24"/>
              </w:rPr>
              <w:t>……</w:t>
            </w:r>
          </w:p>
        </w:tc>
        <w:tc>
          <w:tcPr>
            <w:tcW w:w="1984" w:type="dxa"/>
            <w:noWrap/>
            <w:vAlign w:val="center"/>
          </w:tcPr>
          <w:p>
            <w:pPr>
              <w:spacing w:line="360" w:lineRule="auto"/>
              <w:ind w:firstLine="480" w:firstLineChars="200"/>
              <w:jc w:val="center"/>
              <w:rPr>
                <w:rFonts w:ascii="宋体" w:hAnsi="宋体"/>
                <w:color w:val="000000" w:themeColor="text1"/>
                <w:sz w:val="24"/>
                <w:szCs w:val="21"/>
              </w:rPr>
            </w:pPr>
          </w:p>
        </w:tc>
        <w:tc>
          <w:tcPr>
            <w:tcW w:w="1512" w:type="dxa"/>
            <w:noWrap/>
            <w:vAlign w:val="center"/>
          </w:tcPr>
          <w:p>
            <w:pPr>
              <w:spacing w:line="360" w:lineRule="auto"/>
              <w:ind w:firstLine="480" w:firstLineChars="200"/>
              <w:jc w:val="center"/>
              <w:rPr>
                <w:rFonts w:ascii="宋体" w:hAnsi="宋体"/>
                <w:color w:val="000000" w:themeColor="text1"/>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ign w:val="center"/>
          </w:tcPr>
          <w:p>
            <w:pPr>
              <w:spacing w:line="360" w:lineRule="auto"/>
              <w:rPr>
                <w:rFonts w:ascii="宋体" w:hAnsi="宋体"/>
                <w:color w:val="000000" w:themeColor="text1"/>
                <w:sz w:val="24"/>
                <w:szCs w:val="21"/>
              </w:rPr>
            </w:pPr>
            <w:r>
              <w:rPr>
                <w:rFonts w:hint="eastAsia" w:ascii="宋体" w:hAnsi="宋体"/>
                <w:b/>
                <w:color w:val="000000" w:themeColor="text1"/>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ign w:val="center"/>
          </w:tcPr>
          <w:p>
            <w:pPr>
              <w:spacing w:line="360" w:lineRule="auto"/>
              <w:jc w:val="center"/>
              <w:rPr>
                <w:rFonts w:ascii="宋体" w:hAnsi="宋体"/>
                <w:color w:val="000000" w:themeColor="text1"/>
                <w:sz w:val="24"/>
                <w:szCs w:val="21"/>
              </w:rPr>
            </w:pPr>
            <w:r>
              <w:rPr>
                <w:rFonts w:hint="eastAsia" w:ascii="宋体" w:hAnsi="宋体"/>
                <w:color w:val="000000" w:themeColor="text1"/>
                <w:sz w:val="24"/>
                <w:szCs w:val="21"/>
              </w:rPr>
              <w:t>1</w:t>
            </w:r>
          </w:p>
        </w:tc>
        <w:tc>
          <w:tcPr>
            <w:tcW w:w="5245" w:type="dxa"/>
            <w:noWrap/>
            <w:vAlign w:val="center"/>
          </w:tcPr>
          <w:p>
            <w:pPr>
              <w:snapToGrid w:val="0"/>
              <w:spacing w:line="360" w:lineRule="auto"/>
              <w:jc w:val="center"/>
              <w:rPr>
                <w:rFonts w:ascii="宋体" w:hAnsi="宋体"/>
                <w:iCs/>
                <w:color w:val="000000" w:themeColor="text1"/>
                <w:sz w:val="24"/>
              </w:rPr>
            </w:pPr>
            <w:r>
              <w:rPr>
                <w:rFonts w:hint="eastAsia" w:ascii="宋体" w:hAnsi="宋体"/>
                <w:iCs/>
                <w:color w:val="000000" w:themeColor="text1"/>
                <w:sz w:val="24"/>
              </w:rPr>
              <w:t>……</w:t>
            </w:r>
          </w:p>
        </w:tc>
        <w:tc>
          <w:tcPr>
            <w:tcW w:w="1984" w:type="dxa"/>
            <w:noWrap/>
            <w:vAlign w:val="center"/>
          </w:tcPr>
          <w:p>
            <w:pPr>
              <w:spacing w:line="360" w:lineRule="auto"/>
              <w:ind w:firstLine="480" w:firstLineChars="200"/>
              <w:jc w:val="center"/>
              <w:rPr>
                <w:rFonts w:ascii="宋体" w:hAnsi="宋体"/>
                <w:color w:val="000000" w:themeColor="text1"/>
                <w:sz w:val="24"/>
                <w:szCs w:val="21"/>
              </w:rPr>
            </w:pPr>
          </w:p>
        </w:tc>
        <w:tc>
          <w:tcPr>
            <w:tcW w:w="1512" w:type="dxa"/>
            <w:noWrap/>
            <w:vAlign w:val="center"/>
          </w:tcPr>
          <w:p>
            <w:pPr>
              <w:spacing w:line="360" w:lineRule="auto"/>
              <w:ind w:firstLine="480" w:firstLineChars="200"/>
              <w:jc w:val="center"/>
              <w:rPr>
                <w:rFonts w:ascii="宋体" w:hAnsi="宋体"/>
                <w:color w:val="000000" w:themeColor="text1"/>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ign w:val="center"/>
          </w:tcPr>
          <w:p>
            <w:pPr>
              <w:spacing w:line="360" w:lineRule="auto"/>
              <w:rPr>
                <w:rFonts w:ascii="宋体" w:hAnsi="宋体"/>
                <w:color w:val="000000" w:themeColor="text1"/>
                <w:sz w:val="24"/>
                <w:szCs w:val="21"/>
              </w:rPr>
            </w:pPr>
            <w:r>
              <w:rPr>
                <w:rFonts w:hint="eastAsia" w:ascii="宋体" w:hAnsi="宋体"/>
                <w:b/>
                <w:color w:val="000000" w:themeColor="text1"/>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ign w:val="center"/>
          </w:tcPr>
          <w:p>
            <w:pPr>
              <w:spacing w:line="360" w:lineRule="auto"/>
              <w:jc w:val="center"/>
              <w:rPr>
                <w:rFonts w:ascii="宋体" w:hAnsi="宋体"/>
                <w:color w:val="000000" w:themeColor="text1"/>
                <w:sz w:val="24"/>
                <w:szCs w:val="21"/>
              </w:rPr>
            </w:pPr>
            <w:r>
              <w:rPr>
                <w:rFonts w:hint="eastAsia" w:ascii="宋体" w:hAnsi="宋体"/>
                <w:color w:val="000000" w:themeColor="text1"/>
                <w:sz w:val="24"/>
                <w:szCs w:val="21"/>
              </w:rPr>
              <w:t>1</w:t>
            </w:r>
          </w:p>
        </w:tc>
        <w:tc>
          <w:tcPr>
            <w:tcW w:w="5245" w:type="dxa"/>
            <w:noWrap/>
            <w:vAlign w:val="center"/>
          </w:tcPr>
          <w:p>
            <w:pPr>
              <w:snapToGrid w:val="0"/>
              <w:spacing w:line="360" w:lineRule="auto"/>
              <w:ind w:firstLine="480" w:firstLineChars="200"/>
              <w:jc w:val="center"/>
              <w:rPr>
                <w:rFonts w:ascii="宋体" w:hAnsi="宋体"/>
                <w:iCs/>
                <w:color w:val="000000" w:themeColor="text1"/>
                <w:sz w:val="24"/>
              </w:rPr>
            </w:pPr>
            <w:r>
              <w:rPr>
                <w:rFonts w:hint="eastAsia" w:ascii="宋体" w:hAnsi="宋体"/>
                <w:iCs/>
                <w:color w:val="000000" w:themeColor="text1"/>
                <w:sz w:val="24"/>
              </w:rPr>
              <w:t>法人授权书</w:t>
            </w:r>
          </w:p>
        </w:tc>
        <w:tc>
          <w:tcPr>
            <w:tcW w:w="1984" w:type="dxa"/>
            <w:noWrap/>
            <w:vAlign w:val="center"/>
          </w:tcPr>
          <w:p>
            <w:pPr>
              <w:spacing w:line="360" w:lineRule="auto"/>
              <w:ind w:firstLine="480" w:firstLineChars="200"/>
              <w:jc w:val="center"/>
              <w:rPr>
                <w:rFonts w:ascii="宋体" w:hAnsi="宋体"/>
                <w:color w:val="000000" w:themeColor="text1"/>
                <w:sz w:val="24"/>
                <w:szCs w:val="21"/>
              </w:rPr>
            </w:pPr>
          </w:p>
        </w:tc>
        <w:tc>
          <w:tcPr>
            <w:tcW w:w="1512" w:type="dxa"/>
            <w:noWrap/>
            <w:vAlign w:val="center"/>
          </w:tcPr>
          <w:p>
            <w:pPr>
              <w:spacing w:line="360" w:lineRule="auto"/>
              <w:ind w:firstLine="480" w:firstLineChars="200"/>
              <w:jc w:val="center"/>
              <w:rPr>
                <w:rFonts w:ascii="宋体" w:hAnsi="宋体"/>
                <w:color w:val="000000" w:themeColor="text1"/>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ign w:val="center"/>
          </w:tcPr>
          <w:p>
            <w:pPr>
              <w:spacing w:line="360" w:lineRule="auto"/>
              <w:jc w:val="center"/>
              <w:rPr>
                <w:rFonts w:ascii="宋体" w:hAnsi="宋体"/>
                <w:color w:val="000000" w:themeColor="text1"/>
                <w:sz w:val="24"/>
                <w:szCs w:val="21"/>
              </w:rPr>
            </w:pPr>
            <w:r>
              <w:rPr>
                <w:rFonts w:hint="eastAsia" w:ascii="宋体" w:hAnsi="宋体"/>
                <w:color w:val="000000" w:themeColor="text1"/>
                <w:sz w:val="24"/>
                <w:szCs w:val="21"/>
              </w:rPr>
              <w:t>2</w:t>
            </w:r>
          </w:p>
        </w:tc>
        <w:tc>
          <w:tcPr>
            <w:tcW w:w="5245" w:type="dxa"/>
            <w:noWrap/>
            <w:vAlign w:val="center"/>
          </w:tcPr>
          <w:p>
            <w:pPr>
              <w:snapToGrid w:val="0"/>
              <w:spacing w:line="360" w:lineRule="auto"/>
              <w:ind w:firstLine="480" w:firstLineChars="200"/>
              <w:jc w:val="center"/>
              <w:rPr>
                <w:rFonts w:ascii="宋体" w:hAnsi="宋体"/>
                <w:iCs/>
                <w:color w:val="000000" w:themeColor="text1"/>
                <w:sz w:val="24"/>
              </w:rPr>
            </w:pPr>
            <w:r>
              <w:rPr>
                <w:rFonts w:hint="eastAsia" w:ascii="宋体" w:hAnsi="宋体"/>
                <w:iCs/>
                <w:color w:val="000000" w:themeColor="text1"/>
                <w:sz w:val="24"/>
              </w:rPr>
              <w:t>磋商响应函</w:t>
            </w:r>
          </w:p>
        </w:tc>
        <w:tc>
          <w:tcPr>
            <w:tcW w:w="1984" w:type="dxa"/>
            <w:noWrap/>
            <w:vAlign w:val="center"/>
          </w:tcPr>
          <w:p>
            <w:pPr>
              <w:spacing w:line="360" w:lineRule="auto"/>
              <w:ind w:firstLine="480" w:firstLineChars="200"/>
              <w:jc w:val="center"/>
              <w:rPr>
                <w:rFonts w:ascii="宋体" w:hAnsi="宋体"/>
                <w:color w:val="000000" w:themeColor="text1"/>
                <w:sz w:val="24"/>
                <w:szCs w:val="21"/>
              </w:rPr>
            </w:pPr>
          </w:p>
        </w:tc>
        <w:tc>
          <w:tcPr>
            <w:tcW w:w="1512" w:type="dxa"/>
            <w:noWrap/>
            <w:vAlign w:val="center"/>
          </w:tcPr>
          <w:p>
            <w:pPr>
              <w:spacing w:line="360" w:lineRule="auto"/>
              <w:ind w:firstLine="480" w:firstLineChars="200"/>
              <w:jc w:val="center"/>
              <w:rPr>
                <w:rFonts w:ascii="宋体" w:hAnsi="宋体"/>
                <w:color w:val="000000" w:themeColor="text1"/>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ign w:val="center"/>
          </w:tcPr>
          <w:p>
            <w:pPr>
              <w:spacing w:line="360" w:lineRule="auto"/>
              <w:jc w:val="center"/>
              <w:rPr>
                <w:rFonts w:ascii="宋体" w:hAnsi="宋体"/>
                <w:color w:val="000000" w:themeColor="text1"/>
                <w:sz w:val="24"/>
                <w:szCs w:val="21"/>
              </w:rPr>
            </w:pPr>
          </w:p>
        </w:tc>
        <w:tc>
          <w:tcPr>
            <w:tcW w:w="5245" w:type="dxa"/>
            <w:noWrap/>
            <w:vAlign w:val="center"/>
          </w:tcPr>
          <w:p>
            <w:pPr>
              <w:snapToGrid w:val="0"/>
              <w:spacing w:line="360" w:lineRule="auto"/>
              <w:ind w:firstLine="480" w:firstLineChars="200"/>
              <w:jc w:val="center"/>
              <w:rPr>
                <w:rFonts w:ascii="宋体" w:hAnsi="宋体"/>
                <w:color w:val="000000" w:themeColor="text1"/>
                <w:sz w:val="24"/>
              </w:rPr>
            </w:pPr>
            <w:r>
              <w:rPr>
                <w:rFonts w:hint="eastAsia" w:ascii="宋体" w:hAnsi="宋体"/>
                <w:color w:val="000000" w:themeColor="text1"/>
                <w:sz w:val="24"/>
              </w:rPr>
              <w:t>……</w:t>
            </w:r>
          </w:p>
        </w:tc>
        <w:tc>
          <w:tcPr>
            <w:tcW w:w="1984" w:type="dxa"/>
            <w:noWrap/>
            <w:vAlign w:val="center"/>
          </w:tcPr>
          <w:p>
            <w:pPr>
              <w:spacing w:line="360" w:lineRule="auto"/>
              <w:ind w:firstLine="480" w:firstLineChars="200"/>
              <w:jc w:val="center"/>
              <w:rPr>
                <w:rFonts w:ascii="宋体" w:hAnsi="宋体"/>
                <w:color w:val="000000" w:themeColor="text1"/>
                <w:sz w:val="24"/>
                <w:szCs w:val="21"/>
              </w:rPr>
            </w:pPr>
          </w:p>
        </w:tc>
        <w:tc>
          <w:tcPr>
            <w:tcW w:w="1512" w:type="dxa"/>
            <w:noWrap/>
            <w:vAlign w:val="center"/>
          </w:tcPr>
          <w:p>
            <w:pPr>
              <w:spacing w:line="360" w:lineRule="auto"/>
              <w:ind w:firstLine="480" w:firstLineChars="200"/>
              <w:jc w:val="center"/>
              <w:rPr>
                <w:rFonts w:ascii="宋体" w:hAnsi="宋体"/>
                <w:color w:val="000000" w:themeColor="text1"/>
                <w:sz w:val="24"/>
                <w:szCs w:val="21"/>
              </w:rPr>
            </w:pPr>
          </w:p>
        </w:tc>
      </w:tr>
    </w:tbl>
    <w:p>
      <w:pPr>
        <w:autoSpaceDE w:val="0"/>
        <w:autoSpaceDN w:val="0"/>
        <w:adjustRightInd w:val="0"/>
        <w:ind w:firstLine="309"/>
        <w:rPr>
          <w:rFonts w:ascii="宋体" w:cs="宋体"/>
          <w:b/>
          <w:color w:val="000000" w:themeColor="text1"/>
          <w:sz w:val="24"/>
          <w:lang w:val="zh-CN"/>
        </w:rPr>
      </w:pPr>
    </w:p>
    <w:p>
      <w:pPr>
        <w:autoSpaceDE w:val="0"/>
        <w:autoSpaceDN w:val="0"/>
        <w:adjustRightInd w:val="0"/>
        <w:ind w:firstLine="309"/>
        <w:rPr>
          <w:rFonts w:ascii="宋体" w:cs="宋体"/>
          <w:color w:val="000000" w:themeColor="text1"/>
          <w:sz w:val="24"/>
          <w:lang w:val="zh-CN"/>
        </w:rPr>
      </w:pPr>
      <w:r>
        <w:rPr>
          <w:rFonts w:hint="eastAsia" w:ascii="宋体" w:cs="宋体"/>
          <w:b/>
          <w:color w:val="000000" w:themeColor="text1"/>
          <w:sz w:val="24"/>
          <w:lang w:val="zh-CN"/>
        </w:rPr>
        <w:t>填写说明：</w:t>
      </w:r>
      <w:r>
        <w:rPr>
          <w:rFonts w:hint="eastAsia" w:ascii="宋体" w:cs="宋体"/>
          <w:color w:val="000000" w:themeColor="text1"/>
          <w:sz w:val="24"/>
          <w:lang w:val="zh-CN"/>
        </w:rPr>
        <w:t>表中内容仅供供应商参考，请供应商自行填写。</w:t>
      </w:r>
    </w:p>
    <w:p>
      <w:pPr>
        <w:autoSpaceDE w:val="0"/>
        <w:autoSpaceDN w:val="0"/>
        <w:adjustRightInd w:val="0"/>
        <w:ind w:firstLine="309"/>
        <w:rPr>
          <w:rFonts w:ascii="宋体" w:cs="宋体"/>
          <w:color w:val="000000" w:themeColor="text1"/>
          <w:sz w:val="24"/>
          <w:lang w:val="zh-CN"/>
        </w:rPr>
      </w:pPr>
    </w:p>
    <w:p>
      <w:pPr>
        <w:autoSpaceDE w:val="0"/>
        <w:autoSpaceDN w:val="0"/>
        <w:adjustRightInd w:val="0"/>
        <w:ind w:firstLine="4864" w:firstLineChars="2027"/>
        <w:rPr>
          <w:rFonts w:ascii="宋体" w:cs="宋体"/>
          <w:color w:val="000000" w:themeColor="text1"/>
          <w:sz w:val="24"/>
          <w:lang w:val="zh-CN"/>
        </w:rPr>
      </w:pPr>
      <w:r>
        <w:rPr>
          <w:rFonts w:hint="eastAsia" w:ascii="宋体" w:cs="宋体"/>
          <w:color w:val="000000" w:themeColor="text1"/>
          <w:sz w:val="24"/>
          <w:lang w:val="zh-CN"/>
        </w:rPr>
        <w:t>供应商（公章）：</w:t>
      </w:r>
    </w:p>
    <w:p>
      <w:pPr>
        <w:pageBreakBefore/>
        <w:autoSpaceDE w:val="0"/>
        <w:autoSpaceDN w:val="0"/>
        <w:adjustRightInd w:val="0"/>
        <w:spacing w:line="440" w:lineRule="exact"/>
        <w:jc w:val="center"/>
        <w:rPr>
          <w:rFonts w:ascii="宋体" w:hAnsi="宋体" w:cs="宋体"/>
          <w:b/>
          <w:bCs/>
          <w:color w:val="000000" w:themeColor="text1"/>
          <w:sz w:val="32"/>
          <w:szCs w:val="32"/>
          <w:lang w:val="zh-CN"/>
        </w:rPr>
      </w:pPr>
      <w:r>
        <w:rPr>
          <w:rFonts w:hint="eastAsia" w:ascii="宋体" w:hAnsi="宋体" w:cs="宋体"/>
          <w:b/>
          <w:bCs/>
          <w:color w:val="000000" w:themeColor="text1"/>
          <w:sz w:val="32"/>
          <w:szCs w:val="32"/>
        </w:rPr>
        <w:t>二</w:t>
      </w:r>
      <w:r>
        <w:rPr>
          <w:rFonts w:hint="eastAsia" w:ascii="宋体" w:hAnsi="宋体" w:cs="宋体"/>
          <w:b/>
          <w:bCs/>
          <w:color w:val="000000" w:themeColor="text1"/>
          <w:sz w:val="32"/>
          <w:szCs w:val="32"/>
          <w:lang w:val="zh-CN"/>
        </w:rPr>
        <w:t>、评分索引表</w:t>
      </w:r>
    </w:p>
    <w:p>
      <w:pPr>
        <w:autoSpaceDE w:val="0"/>
        <w:autoSpaceDN w:val="0"/>
        <w:adjustRightInd w:val="0"/>
        <w:spacing w:line="440" w:lineRule="exact"/>
        <w:jc w:val="center"/>
        <w:rPr>
          <w:rFonts w:ascii="黑体" w:hAnsi="黑体" w:eastAsia="黑体" w:cs="宋体"/>
          <w:b/>
          <w:bCs/>
          <w:color w:val="000000" w:themeColor="text1"/>
          <w:sz w:val="32"/>
          <w:szCs w:val="32"/>
          <w:lang w:val="zh-CN"/>
        </w:rPr>
      </w:pPr>
    </w:p>
    <w:tbl>
      <w:tblPr>
        <w:tblStyle w:val="38"/>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b/>
                <w:bCs/>
                <w:color w:val="000000" w:themeColor="text1"/>
                <w:sz w:val="24"/>
                <w:lang w:val="zh-CN"/>
              </w:rPr>
            </w:pPr>
            <w:r>
              <w:rPr>
                <w:rFonts w:hint="eastAsia" w:ascii="宋体" w:cs="宋体"/>
                <w:b/>
                <w:bCs/>
                <w:color w:val="000000" w:themeColor="text1"/>
                <w:sz w:val="24"/>
                <w:lang w:val="zh-CN"/>
              </w:rPr>
              <w:t>评分项目</w:t>
            </w: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b/>
                <w:bCs/>
                <w:color w:val="000000" w:themeColor="text1"/>
                <w:szCs w:val="21"/>
                <w:lang w:val="zh-CN"/>
              </w:rPr>
            </w:pPr>
            <w:r>
              <w:rPr>
                <w:rFonts w:hint="eastAsia" w:ascii="宋体" w:cs="宋体"/>
                <w:b/>
                <w:bCs/>
                <w:color w:val="000000" w:themeColor="text1"/>
                <w:kern w:val="0"/>
                <w:sz w:val="24"/>
                <w:lang w:val="zh-CN"/>
              </w:rPr>
              <w:t>在响应文件中的页码位置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b/>
                <w:bCs/>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b/>
                <w:bCs/>
                <w:color w:val="000000" w:themeColor="text1"/>
                <w:kern w:val="0"/>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jc w:val="center"/>
        </w:trPr>
        <w:tc>
          <w:tcPr>
            <w:tcW w:w="3686" w:type="dxa"/>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b/>
                <w:bCs/>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b/>
                <w:bCs/>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firstLine="480"/>
              <w:jc w:val="center"/>
              <w:rPr>
                <w:rFonts w:ascii="宋体" w:cs="宋体"/>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firstLine="480"/>
              <w:jc w:val="center"/>
              <w:rPr>
                <w:rFonts w:ascii="宋体" w:cs="宋体"/>
                <w:color w:val="000000" w:themeColor="text1"/>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themeColor="text1"/>
                <w:szCs w:val="21"/>
                <w:lang w:val="zh-CN"/>
              </w:rPr>
            </w:pPr>
          </w:p>
        </w:tc>
      </w:tr>
    </w:tbl>
    <w:p>
      <w:pPr>
        <w:pageBreakBefore/>
        <w:autoSpaceDE w:val="0"/>
        <w:autoSpaceDN w:val="0"/>
        <w:adjustRightInd w:val="0"/>
        <w:spacing w:before="50" w:after="50"/>
        <w:jc w:val="center"/>
        <w:rPr>
          <w:rFonts w:ascii="宋体" w:hAnsi="宋体" w:cs="黑体"/>
          <w:b/>
          <w:bCs/>
          <w:color w:val="000000" w:themeColor="text1"/>
          <w:sz w:val="32"/>
          <w:szCs w:val="32"/>
          <w:lang w:val="zh-CN"/>
        </w:rPr>
      </w:pPr>
      <w:r>
        <w:rPr>
          <w:rFonts w:hint="eastAsia" w:ascii="宋体" w:hAnsi="宋体" w:cs="黑体"/>
          <w:b/>
          <w:bCs/>
          <w:color w:val="000000" w:themeColor="text1"/>
          <w:sz w:val="32"/>
          <w:szCs w:val="32"/>
        </w:rPr>
        <w:t>三</w:t>
      </w:r>
      <w:r>
        <w:rPr>
          <w:rFonts w:hint="eastAsia" w:ascii="宋体" w:hAnsi="宋体" w:cs="黑体"/>
          <w:b/>
          <w:bCs/>
          <w:color w:val="000000" w:themeColor="text1"/>
          <w:sz w:val="32"/>
          <w:szCs w:val="32"/>
          <w:lang w:val="zh-CN"/>
        </w:rPr>
        <w:t>、资格、资信证明文件要求</w:t>
      </w:r>
    </w:p>
    <w:p>
      <w:pPr>
        <w:autoSpaceDE w:val="0"/>
        <w:autoSpaceDN w:val="0"/>
        <w:adjustRightInd w:val="0"/>
        <w:spacing w:before="50" w:after="50"/>
        <w:rPr>
          <w:rFonts w:ascii="宋体" w:cs="宋体"/>
          <w:i/>
          <w:iCs/>
          <w:color w:val="000000" w:themeColor="text1"/>
          <w:szCs w:val="21"/>
          <w:u w:val="single"/>
          <w:lang w:val="zh-CN"/>
        </w:rPr>
      </w:pPr>
    </w:p>
    <w:p>
      <w:pPr>
        <w:autoSpaceDE w:val="0"/>
        <w:autoSpaceDN w:val="0"/>
        <w:adjustRightInd w:val="0"/>
        <w:spacing w:line="440" w:lineRule="exact"/>
        <w:rPr>
          <w:rFonts w:ascii="宋体" w:cs="宋体"/>
          <w:color w:val="000000" w:themeColor="text1"/>
          <w:sz w:val="24"/>
          <w:lang w:val="zh-CN"/>
        </w:rPr>
      </w:pPr>
      <w:r>
        <w:rPr>
          <w:rFonts w:ascii="宋体" w:cs="宋体"/>
          <w:b/>
          <w:bCs/>
          <w:color w:val="000000" w:themeColor="text1"/>
          <w:sz w:val="24"/>
          <w:lang w:val="zh-CN"/>
        </w:rPr>
        <w:t>1</w:t>
      </w:r>
      <w:r>
        <w:rPr>
          <w:rFonts w:hint="eastAsia" w:ascii="宋体" w:cs="宋体"/>
          <w:b/>
          <w:bCs/>
          <w:color w:val="000000" w:themeColor="text1"/>
          <w:sz w:val="24"/>
          <w:lang w:val="zh-CN"/>
        </w:rPr>
        <w:t>、实质性资格证明文件目录</w:t>
      </w:r>
    </w:p>
    <w:p>
      <w:pPr>
        <w:autoSpaceDE w:val="0"/>
        <w:autoSpaceDN w:val="0"/>
        <w:adjustRightInd w:val="0"/>
        <w:spacing w:line="440" w:lineRule="exact"/>
        <w:ind w:left="239" w:firstLine="240"/>
        <w:jc w:val="left"/>
        <w:rPr>
          <w:rFonts w:ascii="宋体" w:cs="宋体"/>
          <w:color w:val="000000" w:themeColor="text1"/>
          <w:sz w:val="24"/>
          <w:lang w:val="zh-CN"/>
        </w:rPr>
      </w:pPr>
      <w:r>
        <w:rPr>
          <w:rFonts w:hint="eastAsia" w:ascii="宋体" w:cs="宋体"/>
          <w:color w:val="000000" w:themeColor="text1"/>
          <w:sz w:val="24"/>
          <w:lang w:val="zh-CN"/>
        </w:rPr>
        <w:t>1.满足《中华人民共和国政府采购法》第二十二条规定，并提供下列材料；</w:t>
      </w:r>
    </w:p>
    <w:p>
      <w:pPr>
        <w:autoSpaceDE w:val="0"/>
        <w:autoSpaceDN w:val="0"/>
        <w:adjustRightInd w:val="0"/>
        <w:spacing w:line="440" w:lineRule="exact"/>
        <w:ind w:left="239" w:firstLine="240"/>
        <w:jc w:val="left"/>
        <w:rPr>
          <w:rFonts w:ascii="宋体" w:cs="宋体"/>
          <w:color w:val="000000" w:themeColor="text1"/>
          <w:sz w:val="24"/>
          <w:lang w:val="zh-CN"/>
        </w:rPr>
      </w:pPr>
      <w:r>
        <w:rPr>
          <w:rFonts w:hint="eastAsia" w:ascii="宋体" w:cs="宋体"/>
          <w:color w:val="000000" w:themeColor="text1"/>
          <w:sz w:val="24"/>
          <w:lang w:val="zh-CN"/>
        </w:rPr>
        <w:t>（1）法人或者其他组织的营业执照等证明文件，自然人的身份证明；</w:t>
      </w:r>
    </w:p>
    <w:p>
      <w:pPr>
        <w:autoSpaceDE w:val="0"/>
        <w:autoSpaceDN w:val="0"/>
        <w:adjustRightInd w:val="0"/>
        <w:spacing w:line="440" w:lineRule="exact"/>
        <w:ind w:left="239" w:firstLine="240"/>
        <w:jc w:val="left"/>
        <w:rPr>
          <w:rFonts w:ascii="宋体" w:cs="宋体"/>
          <w:color w:val="000000" w:themeColor="text1"/>
          <w:sz w:val="24"/>
          <w:lang w:val="zh-CN"/>
        </w:rPr>
      </w:pPr>
      <w:r>
        <w:rPr>
          <w:rFonts w:hint="eastAsia" w:ascii="宋体" w:cs="宋体"/>
          <w:color w:val="000000" w:themeColor="text1"/>
          <w:sz w:val="24"/>
          <w:lang w:val="zh-CN"/>
        </w:rPr>
        <w:t>（</w:t>
      </w:r>
      <w:r>
        <w:rPr>
          <w:rFonts w:hint="eastAsia" w:ascii="宋体" w:cs="宋体"/>
          <w:color w:val="000000" w:themeColor="text1"/>
          <w:sz w:val="24"/>
          <w:lang w:val="en-US" w:eastAsia="zh-CN"/>
        </w:rPr>
        <w:t>2</w:t>
      </w:r>
      <w:r>
        <w:rPr>
          <w:rFonts w:hint="eastAsia" w:ascii="宋体" w:cs="宋体"/>
          <w:color w:val="000000" w:themeColor="text1"/>
          <w:sz w:val="24"/>
          <w:lang w:val="zh-CN"/>
        </w:rPr>
        <w:t>）具备履行合同所必需的设备和专业技术能力的书面声明；</w:t>
      </w:r>
    </w:p>
    <w:p>
      <w:pPr>
        <w:autoSpaceDE w:val="0"/>
        <w:autoSpaceDN w:val="0"/>
        <w:adjustRightInd w:val="0"/>
        <w:spacing w:line="440" w:lineRule="exact"/>
        <w:ind w:left="239" w:firstLine="240"/>
        <w:jc w:val="left"/>
        <w:rPr>
          <w:rFonts w:ascii="宋体" w:cs="宋体"/>
          <w:color w:val="000000" w:themeColor="text1"/>
          <w:sz w:val="24"/>
          <w:lang w:val="zh-CN"/>
        </w:rPr>
      </w:pPr>
      <w:r>
        <w:rPr>
          <w:rFonts w:hint="eastAsia" w:ascii="宋体" w:cs="宋体"/>
          <w:color w:val="000000" w:themeColor="text1"/>
          <w:sz w:val="24"/>
          <w:lang w:val="zh-CN"/>
        </w:rPr>
        <w:t>（</w:t>
      </w:r>
      <w:r>
        <w:rPr>
          <w:rFonts w:hint="eastAsia" w:ascii="宋体" w:cs="宋体"/>
          <w:color w:val="000000" w:themeColor="text1"/>
          <w:sz w:val="24"/>
          <w:lang w:val="en-US" w:eastAsia="zh-CN"/>
        </w:rPr>
        <w:t>3</w:t>
      </w:r>
      <w:r>
        <w:rPr>
          <w:rFonts w:hint="eastAsia" w:ascii="宋体" w:cs="宋体"/>
          <w:color w:val="000000" w:themeColor="text1"/>
          <w:sz w:val="24"/>
          <w:lang w:val="zh-CN"/>
        </w:rPr>
        <w:t>）参加政府采购活动前3年内在经营活动中没有重大违法记录的书面声明；</w:t>
      </w:r>
    </w:p>
    <w:p>
      <w:pPr>
        <w:autoSpaceDE w:val="0"/>
        <w:autoSpaceDN w:val="0"/>
        <w:adjustRightInd w:val="0"/>
        <w:spacing w:line="440" w:lineRule="exact"/>
        <w:ind w:left="239" w:firstLine="240"/>
        <w:jc w:val="left"/>
        <w:rPr>
          <w:rFonts w:ascii="宋体" w:cs="宋体"/>
          <w:color w:val="000000" w:themeColor="text1"/>
          <w:sz w:val="24"/>
          <w:lang w:val="zh-CN"/>
        </w:rPr>
      </w:pPr>
      <w:r>
        <w:rPr>
          <w:rFonts w:hint="eastAsia" w:ascii="宋体" w:cs="宋体"/>
          <w:color w:val="000000" w:themeColor="text1"/>
          <w:sz w:val="24"/>
          <w:lang w:val="zh-CN"/>
        </w:rPr>
        <w:t>2.落实政府采购政策需满足的资格要求：/。</w:t>
      </w:r>
    </w:p>
    <w:p>
      <w:pPr>
        <w:autoSpaceDE w:val="0"/>
        <w:autoSpaceDN w:val="0"/>
        <w:adjustRightInd w:val="0"/>
        <w:spacing w:line="440" w:lineRule="exact"/>
        <w:ind w:left="239" w:firstLine="240"/>
        <w:jc w:val="left"/>
        <w:rPr>
          <w:rFonts w:ascii="宋体" w:cs="宋体"/>
          <w:color w:val="000000" w:themeColor="text1"/>
          <w:sz w:val="24"/>
          <w:lang w:val="zh-CN"/>
        </w:rPr>
      </w:pPr>
      <w:r>
        <w:rPr>
          <w:rFonts w:hint="eastAsia" w:ascii="宋体" w:cs="宋体"/>
          <w:color w:val="000000" w:themeColor="text1"/>
          <w:sz w:val="24"/>
          <w:lang w:val="zh-CN"/>
        </w:rPr>
        <w:t>3.本项目的特定资格要求：</w:t>
      </w:r>
    </w:p>
    <w:p>
      <w:pPr>
        <w:autoSpaceDE w:val="0"/>
        <w:autoSpaceDN w:val="0"/>
        <w:adjustRightInd w:val="0"/>
        <w:spacing w:line="440" w:lineRule="exact"/>
        <w:ind w:left="239" w:firstLine="240"/>
        <w:jc w:val="left"/>
        <w:rPr>
          <w:rFonts w:ascii="宋体" w:cs="宋体"/>
          <w:color w:val="000000" w:themeColor="text1"/>
          <w:sz w:val="24"/>
          <w:lang w:val="zh-CN"/>
        </w:rPr>
      </w:pPr>
      <w:r>
        <w:rPr>
          <w:rFonts w:hint="eastAsia" w:ascii="宋体" w:cs="宋体"/>
          <w:color w:val="000000" w:themeColor="text1"/>
          <w:sz w:val="24"/>
          <w:lang w:val="zh-CN"/>
        </w:rPr>
        <w:t>（1）未被“信用中国”网站（www.creditchina.gov.cn）列入失信被执行人、重大税收违法案件当事人名单、政府采购严重失信行为记录名单。</w:t>
      </w:r>
    </w:p>
    <w:p>
      <w:pPr>
        <w:autoSpaceDE w:val="0"/>
        <w:autoSpaceDN w:val="0"/>
        <w:adjustRightInd w:val="0"/>
        <w:spacing w:line="440" w:lineRule="exact"/>
        <w:ind w:left="239" w:firstLine="240"/>
        <w:jc w:val="left"/>
        <w:rPr>
          <w:rFonts w:ascii="宋体" w:cs="宋体"/>
          <w:color w:val="000000" w:themeColor="text1"/>
          <w:sz w:val="24"/>
          <w:lang w:val="zh-CN"/>
        </w:rPr>
      </w:pPr>
    </w:p>
    <w:p>
      <w:pPr>
        <w:pageBreakBefore/>
        <w:autoSpaceDE w:val="0"/>
        <w:autoSpaceDN w:val="0"/>
        <w:adjustRightInd w:val="0"/>
        <w:spacing w:line="440" w:lineRule="exact"/>
        <w:jc w:val="center"/>
        <w:outlineLvl w:val="2"/>
        <w:rPr>
          <w:rFonts w:ascii="宋体" w:hAnsi="宋体" w:cs="黑体"/>
          <w:color w:val="000000" w:themeColor="text1"/>
          <w:sz w:val="32"/>
          <w:szCs w:val="32"/>
          <w:lang w:val="zh-CN"/>
        </w:rPr>
      </w:pPr>
      <w:bookmarkStart w:id="170" w:name="_Toc47631558"/>
      <w:r>
        <w:rPr>
          <w:rFonts w:hint="eastAsia" w:ascii="宋体" w:hAnsi="宋体" w:cs="宋体"/>
          <w:b/>
          <w:bCs/>
          <w:color w:val="000000" w:themeColor="text1"/>
          <w:sz w:val="32"/>
          <w:szCs w:val="32"/>
          <w:lang w:val="zh-CN"/>
        </w:rPr>
        <w:t>具备履行合同所必需的设备和专业技术能力的书面声明</w:t>
      </w:r>
      <w:bookmarkEnd w:id="170"/>
    </w:p>
    <w:p>
      <w:pPr>
        <w:autoSpaceDE w:val="0"/>
        <w:autoSpaceDN w:val="0"/>
        <w:adjustRightInd w:val="0"/>
        <w:spacing w:line="440" w:lineRule="exact"/>
        <w:ind w:firstLine="492"/>
        <w:rPr>
          <w:rFonts w:ascii="宋体" w:cs="宋体"/>
          <w:color w:val="000000" w:themeColor="text1"/>
          <w:sz w:val="24"/>
          <w:lang w:val="zh-CN"/>
        </w:rPr>
      </w:pPr>
    </w:p>
    <w:p>
      <w:pPr>
        <w:autoSpaceDE w:val="0"/>
        <w:autoSpaceDN w:val="0"/>
        <w:adjustRightInd w:val="0"/>
        <w:spacing w:line="660" w:lineRule="exact"/>
        <w:ind w:firstLine="493"/>
        <w:rPr>
          <w:rFonts w:ascii="宋体" w:cs="宋体"/>
          <w:color w:val="000000" w:themeColor="text1"/>
          <w:sz w:val="24"/>
          <w:lang w:val="zh-CN"/>
        </w:rPr>
      </w:pPr>
      <w:r>
        <w:rPr>
          <w:rFonts w:hint="eastAsia" w:ascii="宋体" w:cs="宋体"/>
          <w:color w:val="000000" w:themeColor="text1"/>
          <w:sz w:val="24"/>
          <w:lang w:val="zh-CN"/>
        </w:rPr>
        <w:t>我</w:t>
      </w:r>
      <w:r>
        <w:rPr>
          <w:rFonts w:hint="eastAsia" w:ascii="宋体" w:cs="宋体"/>
          <w:color w:val="000000" w:themeColor="text1"/>
          <w:sz w:val="24"/>
        </w:rPr>
        <w:t>单位</w:t>
      </w:r>
      <w:r>
        <w:rPr>
          <w:rFonts w:hint="eastAsia" w:ascii="宋体" w:cs="宋体"/>
          <w:color w:val="000000" w:themeColor="text1"/>
          <w:sz w:val="24"/>
          <w:lang w:val="zh-CN"/>
        </w:rPr>
        <w:t>郑重声明：我</w:t>
      </w:r>
      <w:r>
        <w:rPr>
          <w:rFonts w:hint="eastAsia" w:ascii="宋体" w:cs="宋体"/>
          <w:color w:val="000000" w:themeColor="text1"/>
          <w:sz w:val="24"/>
        </w:rPr>
        <w:t>单位</w:t>
      </w:r>
      <w:r>
        <w:rPr>
          <w:rFonts w:hint="eastAsia" w:ascii="宋体" w:cs="宋体"/>
          <w:color w:val="000000" w:themeColor="text1"/>
          <w:sz w:val="24"/>
          <w:lang w:val="zh-CN"/>
        </w:rPr>
        <w:t>具备履行本项采购合同所必需的设备和专业技术能力，为履行本项采购合同我</w:t>
      </w:r>
      <w:r>
        <w:rPr>
          <w:rFonts w:hint="eastAsia" w:ascii="宋体" w:cs="宋体"/>
          <w:color w:val="000000" w:themeColor="text1"/>
          <w:sz w:val="24"/>
        </w:rPr>
        <w:t>单位</w:t>
      </w:r>
      <w:r>
        <w:rPr>
          <w:rFonts w:hint="eastAsia" w:ascii="宋体" w:cs="宋体"/>
          <w:color w:val="000000" w:themeColor="text1"/>
          <w:sz w:val="24"/>
          <w:lang w:val="zh-CN"/>
        </w:rPr>
        <w:t>具备如下主要设备和主要专业技术能力：</w:t>
      </w:r>
    </w:p>
    <w:p>
      <w:pPr>
        <w:autoSpaceDE w:val="0"/>
        <w:autoSpaceDN w:val="0"/>
        <w:adjustRightInd w:val="0"/>
        <w:spacing w:line="660" w:lineRule="exact"/>
        <w:ind w:firstLine="493"/>
        <w:rPr>
          <w:rFonts w:ascii="宋体" w:cs="宋体"/>
          <w:color w:val="000000" w:themeColor="text1"/>
          <w:sz w:val="24"/>
          <w:lang w:val="zh-CN"/>
        </w:rPr>
      </w:pPr>
      <w:r>
        <w:rPr>
          <w:rFonts w:hint="eastAsia" w:ascii="宋体" w:cs="宋体"/>
          <w:color w:val="000000" w:themeColor="text1"/>
          <w:sz w:val="24"/>
          <w:lang w:val="zh-CN"/>
        </w:rPr>
        <w:t>主要设备有：。</w:t>
      </w:r>
    </w:p>
    <w:p>
      <w:pPr>
        <w:autoSpaceDE w:val="0"/>
        <w:autoSpaceDN w:val="0"/>
        <w:adjustRightInd w:val="0"/>
        <w:spacing w:line="660" w:lineRule="exact"/>
        <w:ind w:firstLine="493"/>
        <w:rPr>
          <w:rFonts w:ascii="宋体" w:cs="宋体"/>
          <w:color w:val="000000" w:themeColor="text1"/>
          <w:sz w:val="24"/>
          <w:lang w:val="zh-CN"/>
        </w:rPr>
      </w:pPr>
      <w:r>
        <w:rPr>
          <w:rFonts w:hint="eastAsia" w:ascii="宋体" w:cs="宋体"/>
          <w:color w:val="000000" w:themeColor="text1"/>
          <w:sz w:val="24"/>
          <w:lang w:val="zh-CN"/>
        </w:rPr>
        <w:t>主要专业技术能力有：。</w:t>
      </w:r>
    </w:p>
    <w:p>
      <w:pPr>
        <w:autoSpaceDE w:val="0"/>
        <w:autoSpaceDN w:val="0"/>
        <w:adjustRightInd w:val="0"/>
        <w:spacing w:line="660" w:lineRule="exact"/>
        <w:ind w:firstLine="493"/>
        <w:rPr>
          <w:rFonts w:ascii="宋体" w:cs="宋体"/>
          <w:color w:val="000000" w:themeColor="text1"/>
          <w:sz w:val="24"/>
          <w:lang w:val="zh-CN"/>
        </w:rPr>
      </w:pPr>
    </w:p>
    <w:p>
      <w:pPr>
        <w:autoSpaceDE w:val="0"/>
        <w:autoSpaceDN w:val="0"/>
        <w:adjustRightInd w:val="0"/>
        <w:spacing w:line="440" w:lineRule="exact"/>
        <w:ind w:firstLine="492"/>
        <w:rPr>
          <w:rFonts w:ascii="宋体" w:cs="宋体"/>
          <w:color w:val="000000" w:themeColor="text1"/>
          <w:sz w:val="24"/>
          <w:lang w:val="zh-CN"/>
        </w:rPr>
      </w:pPr>
    </w:p>
    <w:p>
      <w:pPr>
        <w:autoSpaceDE w:val="0"/>
        <w:autoSpaceDN w:val="0"/>
        <w:adjustRightInd w:val="0"/>
        <w:spacing w:line="440" w:lineRule="exact"/>
        <w:ind w:firstLine="492"/>
        <w:rPr>
          <w:rFonts w:ascii="宋体" w:cs="宋体"/>
          <w:color w:val="000000" w:themeColor="text1"/>
          <w:sz w:val="24"/>
          <w:lang w:val="zh-CN"/>
        </w:rPr>
      </w:pPr>
    </w:p>
    <w:p>
      <w:pPr>
        <w:autoSpaceDE w:val="0"/>
        <w:autoSpaceDN w:val="0"/>
        <w:adjustRightInd w:val="0"/>
        <w:spacing w:line="440" w:lineRule="exact"/>
        <w:rPr>
          <w:rFonts w:ascii="宋体" w:cs="宋体"/>
          <w:color w:val="000000" w:themeColor="text1"/>
          <w:sz w:val="24"/>
          <w:u w:val="single"/>
          <w:lang w:val="zh-CN"/>
        </w:rPr>
      </w:pPr>
      <w:r>
        <w:rPr>
          <w:rFonts w:hint="eastAsia" w:ascii="宋体" w:cs="宋体"/>
          <w:color w:val="000000" w:themeColor="text1"/>
          <w:sz w:val="24"/>
          <w:lang w:val="zh-CN"/>
        </w:rPr>
        <w:t xml:space="preserve">供应商（公章）： </w:t>
      </w:r>
    </w:p>
    <w:p>
      <w:pPr>
        <w:autoSpaceDE w:val="0"/>
        <w:autoSpaceDN w:val="0"/>
        <w:adjustRightInd w:val="0"/>
        <w:spacing w:line="440" w:lineRule="exact"/>
        <w:rPr>
          <w:rFonts w:ascii="宋体" w:cs="宋体"/>
          <w:color w:val="000000" w:themeColor="text1"/>
          <w:sz w:val="24"/>
          <w:lang w:val="zh-CN"/>
        </w:rPr>
      </w:pPr>
    </w:p>
    <w:p>
      <w:pPr>
        <w:autoSpaceDE w:val="0"/>
        <w:autoSpaceDN w:val="0"/>
        <w:adjustRightInd w:val="0"/>
        <w:spacing w:line="440" w:lineRule="exact"/>
        <w:rPr>
          <w:color w:val="000000" w:themeColor="text1"/>
          <w:szCs w:val="21"/>
        </w:rPr>
      </w:pPr>
      <w:r>
        <w:rPr>
          <w:rFonts w:hint="eastAsia" w:ascii="宋体" w:cs="宋体"/>
          <w:color w:val="000000" w:themeColor="text1"/>
          <w:sz w:val="24"/>
          <w:lang w:val="zh-CN"/>
        </w:rPr>
        <w:t>日期：</w:t>
      </w:r>
      <w:r>
        <w:rPr>
          <w:rFonts w:ascii="宋体" w:cs="宋体"/>
          <w:color w:val="000000" w:themeColor="text1"/>
          <w:sz w:val="24"/>
          <w:u w:val="single"/>
          <w:lang w:val="zh-CN"/>
        </w:rPr>
        <w:t>______</w:t>
      </w:r>
      <w:r>
        <w:rPr>
          <w:rFonts w:hint="eastAsia" w:ascii="宋体" w:cs="宋体"/>
          <w:color w:val="000000" w:themeColor="text1"/>
          <w:sz w:val="24"/>
          <w:lang w:val="zh-CN"/>
        </w:rPr>
        <w:t>年月日</w:t>
      </w:r>
    </w:p>
    <w:p>
      <w:pPr>
        <w:pageBreakBefore/>
        <w:autoSpaceDE w:val="0"/>
        <w:autoSpaceDN w:val="0"/>
        <w:adjustRightInd w:val="0"/>
        <w:spacing w:line="600" w:lineRule="exact"/>
        <w:jc w:val="center"/>
        <w:outlineLvl w:val="2"/>
        <w:rPr>
          <w:rFonts w:ascii="宋体" w:hAnsi="宋体" w:cs="宋体"/>
          <w:b/>
          <w:bCs/>
          <w:color w:val="000000" w:themeColor="text1"/>
          <w:sz w:val="32"/>
          <w:szCs w:val="32"/>
          <w:lang w:val="zh-CN"/>
        </w:rPr>
      </w:pPr>
      <w:bookmarkStart w:id="171" w:name="_Toc47631559"/>
      <w:r>
        <w:rPr>
          <w:rFonts w:hint="eastAsia" w:ascii="宋体" w:hAnsi="宋体" w:cs="宋体"/>
          <w:b/>
          <w:bCs/>
          <w:color w:val="000000" w:themeColor="text1"/>
          <w:sz w:val="32"/>
          <w:szCs w:val="32"/>
          <w:lang w:val="zh-CN"/>
        </w:rPr>
        <w:t>参加政府采购活动前三年内在经营活动中没有重大违法记录的书面声明</w:t>
      </w:r>
      <w:bookmarkEnd w:id="171"/>
    </w:p>
    <w:p>
      <w:pPr>
        <w:autoSpaceDE w:val="0"/>
        <w:autoSpaceDN w:val="0"/>
        <w:adjustRightInd w:val="0"/>
        <w:spacing w:line="440" w:lineRule="exact"/>
        <w:rPr>
          <w:rFonts w:ascii="宋体" w:cs="宋体"/>
          <w:b/>
          <w:bCs/>
          <w:color w:val="000000" w:themeColor="text1"/>
          <w:sz w:val="44"/>
          <w:szCs w:val="44"/>
          <w:lang w:val="zh-CN"/>
        </w:rPr>
      </w:pPr>
    </w:p>
    <w:p>
      <w:pPr>
        <w:autoSpaceDE w:val="0"/>
        <w:autoSpaceDN w:val="0"/>
        <w:adjustRightInd w:val="0"/>
        <w:spacing w:line="440" w:lineRule="exact"/>
        <w:rPr>
          <w:rFonts w:ascii="宋体" w:cs="宋体"/>
          <w:b/>
          <w:bCs/>
          <w:color w:val="000000" w:themeColor="text1"/>
          <w:sz w:val="44"/>
          <w:szCs w:val="44"/>
          <w:lang w:val="zh-CN"/>
        </w:rPr>
      </w:pPr>
    </w:p>
    <w:p>
      <w:pPr>
        <w:autoSpaceDE w:val="0"/>
        <w:autoSpaceDN w:val="0"/>
        <w:adjustRightInd w:val="0"/>
        <w:spacing w:line="440" w:lineRule="exact"/>
        <w:jc w:val="center"/>
        <w:rPr>
          <w:rFonts w:ascii="宋体" w:cs="宋体"/>
          <w:b/>
          <w:bCs/>
          <w:color w:val="000000" w:themeColor="text1"/>
          <w:sz w:val="44"/>
          <w:szCs w:val="44"/>
          <w:lang w:val="zh-CN"/>
        </w:rPr>
      </w:pPr>
      <w:r>
        <w:rPr>
          <w:rFonts w:hint="eastAsia" w:ascii="宋体" w:cs="宋体"/>
          <w:b/>
          <w:bCs/>
          <w:color w:val="000000" w:themeColor="text1"/>
          <w:sz w:val="44"/>
          <w:szCs w:val="44"/>
          <w:lang w:val="zh-CN"/>
        </w:rPr>
        <w:t>声明</w:t>
      </w:r>
    </w:p>
    <w:p>
      <w:pPr>
        <w:autoSpaceDE w:val="0"/>
        <w:autoSpaceDN w:val="0"/>
        <w:adjustRightInd w:val="0"/>
        <w:spacing w:line="440" w:lineRule="exact"/>
        <w:rPr>
          <w:rFonts w:ascii="宋体" w:cs="宋体"/>
          <w:b/>
          <w:bCs/>
          <w:color w:val="000000" w:themeColor="text1"/>
          <w:sz w:val="24"/>
          <w:lang w:val="zh-CN"/>
        </w:rPr>
      </w:pPr>
    </w:p>
    <w:p>
      <w:pPr>
        <w:autoSpaceDE w:val="0"/>
        <w:autoSpaceDN w:val="0"/>
        <w:adjustRightInd w:val="0"/>
        <w:spacing w:line="660" w:lineRule="exact"/>
        <w:ind w:firstLine="470" w:firstLineChars="196"/>
        <w:rPr>
          <w:rFonts w:ascii="宋体" w:cs="宋体"/>
          <w:color w:val="000000" w:themeColor="text1"/>
          <w:sz w:val="24"/>
          <w:lang w:val="zh-CN"/>
        </w:rPr>
      </w:pPr>
      <w:r>
        <w:rPr>
          <w:rFonts w:hint="eastAsia" w:ascii="宋体" w:cs="宋体"/>
          <w:color w:val="000000" w:themeColor="text1"/>
          <w:sz w:val="24"/>
          <w:lang w:val="zh-CN"/>
        </w:rPr>
        <w:t>我</w:t>
      </w:r>
      <w:r>
        <w:rPr>
          <w:rFonts w:hint="eastAsia" w:ascii="宋体" w:cs="宋体"/>
          <w:color w:val="000000" w:themeColor="text1"/>
          <w:sz w:val="24"/>
        </w:rPr>
        <w:t>单位</w:t>
      </w:r>
      <w:r>
        <w:rPr>
          <w:rFonts w:hint="eastAsia" w:ascii="宋体" w:cs="宋体"/>
          <w:color w:val="000000" w:themeColor="text1"/>
          <w:sz w:val="24"/>
          <w:lang w:val="zh-CN"/>
        </w:rPr>
        <w:t>郑重声明：参加本次政府采购活动前三年内，我</w:t>
      </w:r>
      <w:r>
        <w:rPr>
          <w:rFonts w:hint="eastAsia" w:ascii="宋体" w:cs="宋体"/>
          <w:color w:val="000000" w:themeColor="text1"/>
          <w:sz w:val="24"/>
        </w:rPr>
        <w:t>单位</w:t>
      </w:r>
      <w:r>
        <w:rPr>
          <w:rFonts w:hint="eastAsia" w:ascii="宋体" w:cs="宋体"/>
          <w:color w:val="000000" w:themeColor="text1"/>
          <w:sz w:val="24"/>
          <w:lang w:val="zh-CN"/>
        </w:rPr>
        <w:t>在经营活动中没有因违法经营受到刑事处罚或者责令停产停业、吊销许可证或者执照、较大数额罚款等行政处罚。</w:t>
      </w:r>
    </w:p>
    <w:p>
      <w:pPr>
        <w:autoSpaceDE w:val="0"/>
        <w:autoSpaceDN w:val="0"/>
        <w:adjustRightInd w:val="0"/>
        <w:spacing w:line="440" w:lineRule="exact"/>
        <w:rPr>
          <w:rFonts w:ascii="宋体" w:cs="宋体"/>
          <w:color w:val="000000" w:themeColor="text1"/>
          <w:sz w:val="24"/>
          <w:lang w:val="zh-CN"/>
        </w:rPr>
      </w:pPr>
    </w:p>
    <w:p>
      <w:pPr>
        <w:autoSpaceDE w:val="0"/>
        <w:autoSpaceDN w:val="0"/>
        <w:adjustRightInd w:val="0"/>
        <w:spacing w:line="440" w:lineRule="exact"/>
        <w:rPr>
          <w:rFonts w:ascii="宋体" w:cs="宋体"/>
          <w:color w:val="000000" w:themeColor="text1"/>
          <w:sz w:val="24"/>
          <w:lang w:val="zh-CN"/>
        </w:rPr>
      </w:pPr>
    </w:p>
    <w:p>
      <w:pPr>
        <w:autoSpaceDE w:val="0"/>
        <w:autoSpaceDN w:val="0"/>
        <w:adjustRightInd w:val="0"/>
        <w:spacing w:line="600" w:lineRule="exact"/>
        <w:ind w:firstLine="3720" w:firstLineChars="1550"/>
        <w:rPr>
          <w:rFonts w:ascii="宋体" w:cs="宋体"/>
          <w:color w:val="000000" w:themeColor="text1"/>
          <w:sz w:val="24"/>
          <w:u w:val="single"/>
          <w:lang w:val="zh-CN"/>
        </w:rPr>
      </w:pPr>
      <w:r>
        <w:rPr>
          <w:rFonts w:hint="eastAsia" w:ascii="宋体" w:cs="宋体"/>
          <w:color w:val="000000" w:themeColor="text1"/>
          <w:sz w:val="24"/>
          <w:lang w:val="zh-CN"/>
        </w:rPr>
        <w:t>供应商（公章）：</w:t>
      </w:r>
    </w:p>
    <w:p>
      <w:pPr>
        <w:autoSpaceDE w:val="0"/>
        <w:autoSpaceDN w:val="0"/>
        <w:adjustRightInd w:val="0"/>
        <w:spacing w:line="600" w:lineRule="exact"/>
        <w:rPr>
          <w:rFonts w:ascii="宋体" w:cs="宋体"/>
          <w:color w:val="000000" w:themeColor="text1"/>
          <w:sz w:val="24"/>
          <w:lang w:val="zh-CN"/>
        </w:rPr>
      </w:pPr>
    </w:p>
    <w:p>
      <w:pPr>
        <w:autoSpaceDE w:val="0"/>
        <w:autoSpaceDN w:val="0"/>
        <w:adjustRightInd w:val="0"/>
        <w:spacing w:line="600" w:lineRule="exact"/>
        <w:rPr>
          <w:rFonts w:ascii="宋体" w:cs="宋体"/>
          <w:color w:val="000000" w:themeColor="text1"/>
          <w:sz w:val="24"/>
          <w:lang w:val="zh-CN"/>
        </w:rPr>
      </w:pPr>
      <w:r>
        <w:rPr>
          <w:rFonts w:hint="eastAsia" w:ascii="宋体" w:cs="宋体"/>
          <w:color w:val="000000" w:themeColor="text1"/>
          <w:sz w:val="24"/>
          <w:lang w:val="zh-CN"/>
        </w:rPr>
        <w:t>日期：</w:t>
      </w:r>
      <w:r>
        <w:rPr>
          <w:rFonts w:ascii="宋体" w:cs="宋体"/>
          <w:color w:val="000000" w:themeColor="text1"/>
          <w:sz w:val="24"/>
          <w:u w:val="single"/>
          <w:lang w:val="zh-CN"/>
        </w:rPr>
        <w:t>______</w:t>
      </w:r>
      <w:r>
        <w:rPr>
          <w:rFonts w:hint="eastAsia" w:ascii="宋体" w:cs="宋体"/>
          <w:color w:val="000000" w:themeColor="text1"/>
          <w:sz w:val="24"/>
          <w:lang w:val="zh-CN"/>
        </w:rPr>
        <w:t>年月日</w:t>
      </w:r>
    </w:p>
    <w:p>
      <w:pPr>
        <w:pageBreakBefore/>
        <w:autoSpaceDE w:val="0"/>
        <w:autoSpaceDN w:val="0"/>
        <w:adjustRightInd w:val="0"/>
        <w:spacing w:line="440" w:lineRule="exact"/>
        <w:jc w:val="center"/>
        <w:outlineLvl w:val="2"/>
        <w:rPr>
          <w:rFonts w:ascii="宋体" w:hAnsi="宋体" w:cs="宋体"/>
          <w:b/>
          <w:bCs/>
          <w:color w:val="000000" w:themeColor="text1"/>
          <w:sz w:val="32"/>
          <w:szCs w:val="32"/>
          <w:lang w:val="zh-CN"/>
        </w:rPr>
      </w:pPr>
      <w:bookmarkStart w:id="172" w:name="_Toc47630323"/>
      <w:r>
        <w:rPr>
          <w:rFonts w:hint="eastAsia" w:ascii="宋体" w:hAnsi="宋体" w:cs="宋体"/>
          <w:b/>
          <w:bCs/>
          <w:color w:val="000000" w:themeColor="text1"/>
          <w:sz w:val="32"/>
          <w:szCs w:val="32"/>
          <w:lang w:val="zh-CN"/>
        </w:rPr>
        <w:t>法人授权书</w:t>
      </w:r>
      <w:bookmarkEnd w:id="172"/>
    </w:p>
    <w:p>
      <w:pPr>
        <w:tabs>
          <w:tab w:val="left" w:pos="360"/>
        </w:tabs>
        <w:autoSpaceDE w:val="0"/>
        <w:autoSpaceDN w:val="0"/>
        <w:adjustRightInd w:val="0"/>
        <w:ind w:firstLine="480"/>
        <w:rPr>
          <w:rFonts w:ascii="宋体" w:cs="宋体"/>
          <w:color w:val="000000" w:themeColor="text1"/>
          <w:sz w:val="24"/>
          <w:lang w:val="zh-CN"/>
        </w:rPr>
      </w:pPr>
    </w:p>
    <w:p>
      <w:pPr>
        <w:tabs>
          <w:tab w:val="left" w:pos="360"/>
        </w:tabs>
        <w:autoSpaceDE w:val="0"/>
        <w:autoSpaceDN w:val="0"/>
        <w:adjustRightInd w:val="0"/>
        <w:spacing w:line="440" w:lineRule="exact"/>
        <w:ind w:firstLine="480"/>
        <w:rPr>
          <w:rFonts w:ascii="宋体" w:cs="宋体"/>
          <w:color w:val="000000" w:themeColor="text1"/>
          <w:sz w:val="24"/>
          <w:lang w:val="zh-CN"/>
        </w:rPr>
      </w:pPr>
    </w:p>
    <w:p>
      <w:pPr>
        <w:tabs>
          <w:tab w:val="left" w:pos="360"/>
        </w:tabs>
        <w:autoSpaceDE w:val="0"/>
        <w:autoSpaceDN w:val="0"/>
        <w:adjustRightInd w:val="0"/>
        <w:spacing w:line="440" w:lineRule="exact"/>
        <w:ind w:firstLine="480"/>
        <w:rPr>
          <w:color w:val="000000" w:themeColor="text1"/>
          <w:sz w:val="24"/>
        </w:rPr>
      </w:pPr>
      <w:r>
        <w:rPr>
          <w:rFonts w:hint="eastAsia" w:ascii="宋体" w:cs="宋体"/>
          <w:color w:val="000000" w:themeColor="text1"/>
          <w:sz w:val="24"/>
          <w:lang w:val="zh-CN"/>
        </w:rPr>
        <w:t>本授权书声明：</w:t>
      </w:r>
      <w:r>
        <w:rPr>
          <w:color w:val="000000" w:themeColor="text1"/>
          <w:sz w:val="24"/>
        </w:rPr>
        <w:t>____________</w:t>
      </w:r>
      <w:r>
        <w:rPr>
          <w:rFonts w:hint="eastAsia" w:ascii="宋体" w:cs="宋体"/>
          <w:color w:val="000000" w:themeColor="text1"/>
          <w:sz w:val="24"/>
          <w:lang w:val="zh-CN"/>
        </w:rPr>
        <w:t>（供应商名称）授权</w:t>
      </w:r>
      <w:r>
        <w:rPr>
          <w:color w:val="000000" w:themeColor="text1"/>
          <w:sz w:val="24"/>
        </w:rPr>
        <w:t>________________</w:t>
      </w:r>
      <w:r>
        <w:rPr>
          <w:rFonts w:hint="eastAsia" w:ascii="宋体" w:cs="宋体"/>
          <w:color w:val="000000" w:themeColor="text1"/>
          <w:sz w:val="24"/>
          <w:lang w:val="zh-CN"/>
        </w:rPr>
        <w:t>（被授权人的姓名）为我方就项目采购活动的合法代理人，以本</w:t>
      </w:r>
      <w:r>
        <w:rPr>
          <w:rFonts w:hint="eastAsia" w:ascii="宋体" w:cs="宋体"/>
          <w:color w:val="000000" w:themeColor="text1"/>
          <w:sz w:val="24"/>
        </w:rPr>
        <w:t>单位</w:t>
      </w:r>
      <w:r>
        <w:rPr>
          <w:rFonts w:hint="eastAsia" w:ascii="宋体" w:cs="宋体"/>
          <w:color w:val="000000" w:themeColor="text1"/>
          <w:sz w:val="24"/>
          <w:lang w:val="zh-CN"/>
        </w:rPr>
        <w:t>名义全权处理一切与该项目采购有关的事务。</w:t>
      </w:r>
    </w:p>
    <w:p>
      <w:pPr>
        <w:tabs>
          <w:tab w:val="left" w:pos="360"/>
        </w:tabs>
        <w:autoSpaceDE w:val="0"/>
        <w:autoSpaceDN w:val="0"/>
        <w:adjustRightInd w:val="0"/>
        <w:spacing w:line="440" w:lineRule="exact"/>
        <w:ind w:firstLine="480"/>
        <w:rPr>
          <w:color w:val="000000" w:themeColor="text1"/>
          <w:sz w:val="24"/>
        </w:rPr>
      </w:pPr>
      <w:r>
        <w:rPr>
          <w:rFonts w:hint="eastAsia" w:ascii="宋体" w:cs="宋体"/>
          <w:color w:val="000000" w:themeColor="text1"/>
          <w:sz w:val="24"/>
          <w:lang w:val="zh-CN"/>
        </w:rPr>
        <w:t>本授权书于</w:t>
      </w:r>
      <w:r>
        <w:rPr>
          <w:color w:val="000000" w:themeColor="text1"/>
          <w:sz w:val="24"/>
        </w:rPr>
        <w:t>______</w:t>
      </w:r>
      <w:r>
        <w:rPr>
          <w:rFonts w:hint="eastAsia" w:ascii="宋体" w:cs="宋体"/>
          <w:color w:val="000000" w:themeColor="text1"/>
          <w:sz w:val="24"/>
          <w:lang w:val="zh-CN"/>
        </w:rPr>
        <w:t>年</w:t>
      </w:r>
      <w:r>
        <w:rPr>
          <w:color w:val="000000" w:themeColor="text1"/>
          <w:sz w:val="24"/>
        </w:rPr>
        <w:t>____</w:t>
      </w:r>
      <w:r>
        <w:rPr>
          <w:rFonts w:hint="eastAsia" w:ascii="宋体" w:cs="宋体"/>
          <w:color w:val="000000" w:themeColor="text1"/>
          <w:sz w:val="24"/>
          <w:lang w:val="zh-CN"/>
        </w:rPr>
        <w:t>月</w:t>
      </w:r>
      <w:r>
        <w:rPr>
          <w:color w:val="000000" w:themeColor="text1"/>
          <w:sz w:val="24"/>
        </w:rPr>
        <w:t>____</w:t>
      </w:r>
      <w:r>
        <w:rPr>
          <w:rFonts w:hint="eastAsia" w:ascii="宋体" w:cs="宋体"/>
          <w:color w:val="000000" w:themeColor="text1"/>
          <w:sz w:val="24"/>
          <w:lang w:val="zh-CN"/>
        </w:rPr>
        <w:t>日起生效，特此声明。</w:t>
      </w:r>
    </w:p>
    <w:p>
      <w:pPr>
        <w:tabs>
          <w:tab w:val="left" w:pos="360"/>
        </w:tabs>
        <w:autoSpaceDE w:val="0"/>
        <w:autoSpaceDN w:val="0"/>
        <w:adjustRightInd w:val="0"/>
        <w:spacing w:line="440" w:lineRule="exact"/>
        <w:rPr>
          <w:color w:val="000000" w:themeColor="text1"/>
          <w:sz w:val="24"/>
        </w:rPr>
      </w:pPr>
    </w:p>
    <w:p>
      <w:pPr>
        <w:tabs>
          <w:tab w:val="left" w:pos="360"/>
        </w:tabs>
        <w:autoSpaceDE w:val="0"/>
        <w:autoSpaceDN w:val="0"/>
        <w:adjustRightInd w:val="0"/>
        <w:spacing w:line="440" w:lineRule="exact"/>
        <w:rPr>
          <w:color w:val="000000" w:themeColor="text1"/>
          <w:sz w:val="24"/>
        </w:rPr>
      </w:pPr>
    </w:p>
    <w:p>
      <w:pPr>
        <w:tabs>
          <w:tab w:val="left" w:pos="360"/>
        </w:tabs>
        <w:autoSpaceDE w:val="0"/>
        <w:autoSpaceDN w:val="0"/>
        <w:adjustRightInd w:val="0"/>
        <w:spacing w:line="700" w:lineRule="exact"/>
        <w:ind w:firstLine="1200" w:firstLineChars="500"/>
        <w:rPr>
          <w:color w:val="000000" w:themeColor="text1"/>
          <w:sz w:val="24"/>
        </w:rPr>
      </w:pPr>
      <w:r>
        <w:rPr>
          <w:rFonts w:hint="eastAsia" w:ascii="宋体" w:cs="宋体"/>
          <w:color w:val="000000" w:themeColor="text1"/>
          <w:sz w:val="24"/>
          <w:lang w:val="zh-CN"/>
        </w:rPr>
        <w:t>授权代理人（被授权人）（签字）：</w:t>
      </w:r>
      <w:r>
        <w:rPr>
          <w:color w:val="000000" w:themeColor="text1"/>
          <w:sz w:val="24"/>
        </w:rPr>
        <w:t>________________</w:t>
      </w:r>
    </w:p>
    <w:p>
      <w:pPr>
        <w:tabs>
          <w:tab w:val="left" w:pos="360"/>
        </w:tabs>
        <w:autoSpaceDE w:val="0"/>
        <w:autoSpaceDN w:val="0"/>
        <w:adjustRightInd w:val="0"/>
        <w:spacing w:line="700" w:lineRule="exact"/>
        <w:ind w:firstLine="1200" w:firstLineChars="500"/>
        <w:rPr>
          <w:color w:val="000000" w:themeColor="text1"/>
          <w:sz w:val="24"/>
        </w:rPr>
      </w:pPr>
      <w:r>
        <w:rPr>
          <w:rFonts w:hint="eastAsia"/>
          <w:color w:val="000000" w:themeColor="text1"/>
          <w:sz w:val="24"/>
        </w:rPr>
        <w:t>身份证号码（授权代理人）：</w:t>
      </w:r>
      <w:r>
        <w:rPr>
          <w:color w:val="000000" w:themeColor="text1"/>
          <w:sz w:val="24"/>
        </w:rPr>
        <w:t>______________</w:t>
      </w:r>
    </w:p>
    <w:p>
      <w:pPr>
        <w:tabs>
          <w:tab w:val="left" w:pos="360"/>
        </w:tabs>
        <w:autoSpaceDE w:val="0"/>
        <w:autoSpaceDN w:val="0"/>
        <w:adjustRightInd w:val="0"/>
        <w:spacing w:line="700" w:lineRule="exact"/>
        <w:ind w:firstLine="1200" w:firstLineChars="500"/>
        <w:rPr>
          <w:color w:val="000000" w:themeColor="text1"/>
          <w:sz w:val="24"/>
          <w:u w:val="single"/>
        </w:rPr>
      </w:pPr>
      <w:r>
        <w:rPr>
          <w:rFonts w:hint="eastAsia"/>
          <w:color w:val="000000" w:themeColor="text1"/>
          <w:sz w:val="24"/>
        </w:rPr>
        <w:t>联系电话（授权代理人）：（手机）</w:t>
      </w:r>
    </w:p>
    <w:p>
      <w:pPr>
        <w:tabs>
          <w:tab w:val="left" w:pos="360"/>
        </w:tabs>
        <w:autoSpaceDE w:val="0"/>
        <w:autoSpaceDN w:val="0"/>
        <w:adjustRightInd w:val="0"/>
        <w:spacing w:line="700" w:lineRule="exact"/>
        <w:rPr>
          <w:color w:val="000000" w:themeColor="text1"/>
          <w:sz w:val="24"/>
        </w:rPr>
      </w:pPr>
      <w:r>
        <w:rPr>
          <w:rFonts w:hint="eastAsia" w:ascii="宋体" w:cs="宋体"/>
          <w:color w:val="000000" w:themeColor="text1"/>
          <w:sz w:val="24"/>
          <w:lang w:val="zh-CN"/>
        </w:rPr>
        <w:t>单位名称（</w:t>
      </w:r>
      <w:r>
        <w:rPr>
          <w:rFonts w:hint="eastAsia"/>
          <w:color w:val="000000" w:themeColor="text1"/>
          <w:sz w:val="24"/>
        </w:rPr>
        <w:t>授权代理人</w:t>
      </w:r>
      <w:r>
        <w:rPr>
          <w:rFonts w:hint="eastAsia" w:ascii="宋体" w:cs="宋体"/>
          <w:color w:val="000000" w:themeColor="text1"/>
          <w:sz w:val="24"/>
          <w:lang w:val="zh-CN"/>
        </w:rPr>
        <w:t>）：</w:t>
      </w:r>
      <w:r>
        <w:rPr>
          <w:color w:val="000000" w:themeColor="text1"/>
          <w:sz w:val="24"/>
        </w:rPr>
        <w:t>________________________</w:t>
      </w:r>
    </w:p>
    <w:p>
      <w:pPr>
        <w:tabs>
          <w:tab w:val="left" w:pos="360"/>
        </w:tabs>
        <w:autoSpaceDE w:val="0"/>
        <w:autoSpaceDN w:val="0"/>
        <w:adjustRightInd w:val="0"/>
        <w:spacing w:line="700" w:lineRule="exact"/>
        <w:rPr>
          <w:color w:val="000000" w:themeColor="text1"/>
          <w:sz w:val="24"/>
        </w:rPr>
      </w:pPr>
    </w:p>
    <w:p>
      <w:pPr>
        <w:tabs>
          <w:tab w:val="left" w:pos="360"/>
        </w:tabs>
        <w:autoSpaceDE w:val="0"/>
        <w:autoSpaceDN w:val="0"/>
        <w:adjustRightInd w:val="0"/>
        <w:spacing w:line="700" w:lineRule="exact"/>
        <w:rPr>
          <w:color w:val="000000" w:themeColor="text1"/>
          <w:sz w:val="24"/>
        </w:rPr>
      </w:pPr>
    </w:p>
    <w:p>
      <w:pPr>
        <w:tabs>
          <w:tab w:val="left" w:pos="360"/>
        </w:tabs>
        <w:autoSpaceDE w:val="0"/>
        <w:autoSpaceDN w:val="0"/>
        <w:adjustRightInd w:val="0"/>
        <w:spacing w:line="700" w:lineRule="exact"/>
        <w:rPr>
          <w:color w:val="000000" w:themeColor="text1"/>
          <w:sz w:val="24"/>
        </w:rPr>
      </w:pPr>
    </w:p>
    <w:p>
      <w:pPr>
        <w:tabs>
          <w:tab w:val="left" w:pos="360"/>
        </w:tabs>
        <w:autoSpaceDE w:val="0"/>
        <w:autoSpaceDN w:val="0"/>
        <w:adjustRightInd w:val="0"/>
        <w:spacing w:line="700" w:lineRule="exact"/>
        <w:ind w:firstLine="1200" w:firstLineChars="500"/>
        <w:rPr>
          <w:color w:val="000000" w:themeColor="text1"/>
          <w:sz w:val="24"/>
        </w:rPr>
      </w:pPr>
      <w:r>
        <w:rPr>
          <w:rFonts w:hint="eastAsia" w:ascii="宋体" w:cs="宋体"/>
          <w:color w:val="000000" w:themeColor="text1"/>
          <w:sz w:val="24"/>
          <w:lang w:val="zh-CN"/>
        </w:rPr>
        <w:t>法人（授权单位）盖章：</w:t>
      </w:r>
      <w:r>
        <w:rPr>
          <w:color w:val="000000" w:themeColor="text1"/>
          <w:sz w:val="24"/>
        </w:rPr>
        <w:t>________________________</w:t>
      </w:r>
    </w:p>
    <w:p>
      <w:pPr>
        <w:tabs>
          <w:tab w:val="left" w:pos="360"/>
        </w:tabs>
        <w:autoSpaceDE w:val="0"/>
        <w:autoSpaceDN w:val="0"/>
        <w:adjustRightInd w:val="0"/>
        <w:spacing w:line="700" w:lineRule="exact"/>
        <w:ind w:firstLine="480"/>
        <w:rPr>
          <w:color w:val="000000" w:themeColor="text1"/>
          <w:sz w:val="24"/>
        </w:rPr>
      </w:pPr>
      <w:r>
        <w:rPr>
          <w:rFonts w:hint="eastAsia" w:ascii="宋体" w:cs="宋体"/>
          <w:b/>
          <w:color w:val="000000" w:themeColor="text1"/>
          <w:sz w:val="24"/>
          <w:lang w:val="zh-CN"/>
        </w:rPr>
        <w:t>法定代表人（签字或盖章）：</w:t>
      </w:r>
      <w:r>
        <w:rPr>
          <w:color w:val="000000" w:themeColor="text1"/>
          <w:sz w:val="24"/>
        </w:rPr>
        <w:t>_____________________</w:t>
      </w:r>
    </w:p>
    <w:p>
      <w:pPr>
        <w:tabs>
          <w:tab w:val="left" w:pos="360"/>
        </w:tabs>
        <w:autoSpaceDE w:val="0"/>
        <w:autoSpaceDN w:val="0"/>
        <w:adjustRightInd w:val="0"/>
        <w:spacing w:line="700" w:lineRule="exact"/>
        <w:ind w:firstLine="480"/>
        <w:rPr>
          <w:color w:val="000000" w:themeColor="text1"/>
          <w:sz w:val="24"/>
          <w:u w:val="single"/>
        </w:rPr>
      </w:pPr>
      <w:r>
        <w:rPr>
          <w:rFonts w:hint="eastAsia" w:ascii="宋体" w:cs="宋体"/>
          <w:color w:val="000000" w:themeColor="text1"/>
          <w:sz w:val="24"/>
          <w:lang w:val="zh-CN"/>
        </w:rPr>
        <w:t>地址：</w:t>
      </w:r>
    </w:p>
    <w:p>
      <w:pPr>
        <w:autoSpaceDE w:val="0"/>
        <w:autoSpaceDN w:val="0"/>
        <w:adjustRightInd w:val="0"/>
        <w:spacing w:line="560" w:lineRule="exact"/>
        <w:rPr>
          <w:rFonts w:ascii="黑体" w:eastAsia="黑体" w:cs="黑体"/>
          <w:b/>
          <w:bCs/>
          <w:color w:val="000000" w:themeColor="text1"/>
          <w:sz w:val="32"/>
          <w:szCs w:val="32"/>
          <w:lang w:val="zh-CN"/>
        </w:rPr>
      </w:pPr>
      <w:r>
        <w:rPr>
          <w:rFonts w:hint="eastAsia" w:ascii="宋体" w:cs="宋体"/>
          <w:color w:val="000000" w:themeColor="text1"/>
          <w:sz w:val="24"/>
          <w:lang w:val="zh-CN"/>
        </w:rPr>
        <w:t>日期：</w:t>
      </w:r>
      <w:r>
        <w:rPr>
          <w:rFonts w:ascii="宋体" w:cs="宋体"/>
          <w:color w:val="000000" w:themeColor="text1"/>
          <w:sz w:val="24"/>
          <w:u w:val="single"/>
          <w:lang w:val="zh-CN"/>
        </w:rPr>
        <w:t>______</w:t>
      </w:r>
      <w:r>
        <w:rPr>
          <w:rFonts w:hint="eastAsia" w:ascii="宋体" w:cs="宋体"/>
          <w:color w:val="000000" w:themeColor="text1"/>
          <w:sz w:val="24"/>
          <w:lang w:val="zh-CN"/>
        </w:rPr>
        <w:t>年月日</w:t>
      </w:r>
    </w:p>
    <w:p>
      <w:pPr>
        <w:autoSpaceDE w:val="0"/>
        <w:autoSpaceDN w:val="0"/>
        <w:adjustRightInd w:val="0"/>
        <w:spacing w:line="560" w:lineRule="exact"/>
        <w:rPr>
          <w:rFonts w:ascii="黑体" w:eastAsia="黑体" w:cs="黑体"/>
          <w:b/>
          <w:bCs/>
          <w:color w:val="000000" w:themeColor="text1"/>
          <w:sz w:val="32"/>
          <w:szCs w:val="32"/>
          <w:lang w:val="zh-CN"/>
        </w:rPr>
      </w:pPr>
    </w:p>
    <w:p>
      <w:pPr>
        <w:pageBreakBefore/>
        <w:jc w:val="center"/>
        <w:rPr>
          <w:rFonts w:ascii="宋体" w:hAnsi="宋体"/>
          <w:b/>
          <w:color w:val="000000" w:themeColor="text1"/>
          <w:sz w:val="44"/>
        </w:rPr>
      </w:pPr>
      <w:r>
        <w:rPr>
          <w:rFonts w:hint="eastAsia" w:ascii="宋体" w:hAnsi="宋体"/>
          <w:b/>
          <w:color w:val="000000" w:themeColor="text1"/>
          <w:sz w:val="32"/>
          <w:szCs w:val="32"/>
        </w:rPr>
        <w:t>四、磋商响应函</w:t>
      </w:r>
    </w:p>
    <w:p>
      <w:pPr>
        <w:tabs>
          <w:tab w:val="left" w:pos="360"/>
        </w:tabs>
        <w:spacing w:line="520" w:lineRule="exact"/>
        <w:rPr>
          <w:color w:val="000000" w:themeColor="text1"/>
          <w:sz w:val="24"/>
        </w:rPr>
      </w:pPr>
      <w:r>
        <w:rPr>
          <w:rFonts w:hint="eastAsia"/>
          <w:color w:val="000000" w:themeColor="text1"/>
          <w:sz w:val="24"/>
        </w:rPr>
        <w:t>致：盐城工业职业技术学院</w:t>
      </w:r>
    </w:p>
    <w:p>
      <w:pPr>
        <w:tabs>
          <w:tab w:val="left" w:pos="360"/>
        </w:tabs>
        <w:spacing w:line="520" w:lineRule="exact"/>
        <w:ind w:firstLine="480" w:firstLineChars="200"/>
        <w:rPr>
          <w:color w:val="000000" w:themeColor="text1"/>
          <w:sz w:val="24"/>
        </w:rPr>
      </w:pPr>
      <w:r>
        <w:rPr>
          <w:rFonts w:hint="eastAsia"/>
          <w:color w:val="000000" w:themeColor="text1"/>
          <w:sz w:val="24"/>
        </w:rPr>
        <w:t>根据贵方的采购文件，正式授权下述签字人_________ (姓名)代表我方______________（供应商的名称），全权处理本次项目竞争性磋商采购的有关事宜。</w:t>
      </w:r>
    </w:p>
    <w:p>
      <w:pPr>
        <w:tabs>
          <w:tab w:val="left" w:pos="360"/>
        </w:tabs>
        <w:spacing w:line="520" w:lineRule="exact"/>
        <w:ind w:firstLine="480" w:firstLineChars="200"/>
        <w:rPr>
          <w:color w:val="000000" w:themeColor="text1"/>
          <w:sz w:val="24"/>
        </w:rPr>
      </w:pPr>
      <w:r>
        <w:rPr>
          <w:rFonts w:hint="eastAsia"/>
          <w:color w:val="000000" w:themeColor="text1"/>
          <w:sz w:val="24"/>
        </w:rPr>
        <w:t>据此函，__________（签字人）兹宣布同意如下：</w:t>
      </w:r>
    </w:p>
    <w:p>
      <w:pPr>
        <w:tabs>
          <w:tab w:val="left" w:pos="360"/>
        </w:tabs>
        <w:spacing w:line="520" w:lineRule="exact"/>
        <w:ind w:firstLine="480" w:firstLineChars="200"/>
        <w:rPr>
          <w:color w:val="000000" w:themeColor="text1"/>
          <w:sz w:val="24"/>
        </w:rPr>
      </w:pPr>
      <w:r>
        <w:rPr>
          <w:rFonts w:hint="eastAsia"/>
          <w:color w:val="000000" w:themeColor="text1"/>
          <w:sz w:val="24"/>
        </w:rPr>
        <w:t>1.按采购文件规定的各项要求，向买方提供所需货物、服务。</w:t>
      </w:r>
    </w:p>
    <w:p>
      <w:pPr>
        <w:tabs>
          <w:tab w:val="left" w:pos="360"/>
        </w:tabs>
        <w:spacing w:line="520" w:lineRule="exact"/>
        <w:ind w:firstLine="480" w:firstLineChars="200"/>
        <w:rPr>
          <w:color w:val="000000" w:themeColor="text1"/>
          <w:sz w:val="24"/>
        </w:rPr>
      </w:pPr>
      <w:r>
        <w:rPr>
          <w:rFonts w:hint="eastAsia"/>
          <w:color w:val="000000" w:themeColor="text1"/>
          <w:sz w:val="24"/>
        </w:rPr>
        <w:t>2.我们已详细审核全部采购文件及其有效补充文件，我们知道必须放弃提出含糊不清或误解问题的权利。</w:t>
      </w:r>
    </w:p>
    <w:p>
      <w:pPr>
        <w:tabs>
          <w:tab w:val="left" w:pos="360"/>
        </w:tabs>
        <w:spacing w:line="520" w:lineRule="exact"/>
        <w:ind w:firstLine="480" w:firstLineChars="200"/>
        <w:rPr>
          <w:color w:val="000000" w:themeColor="text1"/>
          <w:sz w:val="24"/>
        </w:rPr>
      </w:pPr>
      <w:r>
        <w:rPr>
          <w:rFonts w:hint="eastAsia"/>
          <w:color w:val="000000" w:themeColor="text1"/>
          <w:sz w:val="24"/>
        </w:rPr>
        <w:t>3.我们同意从规定的</w:t>
      </w:r>
      <w:r>
        <w:rPr>
          <w:rFonts w:hint="eastAsia" w:ascii="宋体" w:hAnsi="宋体"/>
          <w:color w:val="000000" w:themeColor="text1"/>
          <w:sz w:val="24"/>
        </w:rPr>
        <w:t>响应文件接收截止时间</w:t>
      </w:r>
      <w:r>
        <w:rPr>
          <w:rFonts w:hint="eastAsia"/>
          <w:color w:val="000000" w:themeColor="text1"/>
          <w:sz w:val="24"/>
        </w:rPr>
        <w:t>起遵循本响应文件，并在规定的磋商有效期期满之前均具有约束力。</w:t>
      </w:r>
    </w:p>
    <w:p>
      <w:pPr>
        <w:tabs>
          <w:tab w:val="left" w:pos="360"/>
        </w:tabs>
        <w:spacing w:line="520" w:lineRule="exact"/>
        <w:ind w:firstLine="480" w:firstLineChars="200"/>
        <w:rPr>
          <w:color w:val="000000" w:themeColor="text1"/>
          <w:sz w:val="24"/>
        </w:rPr>
      </w:pPr>
      <w:r>
        <w:rPr>
          <w:rFonts w:hint="eastAsia"/>
          <w:color w:val="000000" w:themeColor="text1"/>
          <w:sz w:val="24"/>
        </w:rPr>
        <w:t>4.如果在</w:t>
      </w:r>
      <w:r>
        <w:rPr>
          <w:rFonts w:hint="eastAsia" w:ascii="宋体" w:hAnsi="宋体"/>
          <w:color w:val="000000" w:themeColor="text1"/>
          <w:sz w:val="24"/>
        </w:rPr>
        <w:t>响应文件接收截止时间</w:t>
      </w:r>
      <w:r>
        <w:rPr>
          <w:rFonts w:hint="eastAsia"/>
          <w:color w:val="000000" w:themeColor="text1"/>
          <w:sz w:val="24"/>
        </w:rPr>
        <w:t>后规定的谈判有效期内撤回响应文件或成交后拒绝签订合同，我们的磋商保证金可被贵方没收。</w:t>
      </w:r>
    </w:p>
    <w:p>
      <w:pPr>
        <w:tabs>
          <w:tab w:val="left" w:pos="360"/>
        </w:tabs>
        <w:spacing w:line="520" w:lineRule="exact"/>
        <w:ind w:firstLine="480" w:firstLineChars="200"/>
        <w:rPr>
          <w:color w:val="000000" w:themeColor="text1"/>
          <w:sz w:val="24"/>
        </w:rPr>
      </w:pPr>
      <w:r>
        <w:rPr>
          <w:rFonts w:hint="eastAsia"/>
          <w:color w:val="000000" w:themeColor="text1"/>
          <w:sz w:val="24"/>
        </w:rPr>
        <w:t>5.同意向贵方提供贵方可能另外要求的与磋商采购有关的任何证据或资料，并保证我方已提供和将要提供的文件是真实的、准确的。</w:t>
      </w:r>
    </w:p>
    <w:p>
      <w:pPr>
        <w:tabs>
          <w:tab w:val="left" w:pos="360"/>
        </w:tabs>
        <w:spacing w:line="520" w:lineRule="exact"/>
        <w:ind w:firstLine="480" w:firstLineChars="200"/>
        <w:rPr>
          <w:color w:val="000000" w:themeColor="text1"/>
          <w:sz w:val="24"/>
        </w:rPr>
      </w:pPr>
      <w:r>
        <w:rPr>
          <w:rFonts w:hint="eastAsia"/>
          <w:color w:val="000000" w:themeColor="text1"/>
          <w:sz w:val="24"/>
        </w:rPr>
        <w:t>6.一旦我方成交，我方将根据采购文件的规定，严格履行合同的责任和义务，并保证在采购文件规定的时间完成项目，交付买方验收、使用。</w:t>
      </w:r>
    </w:p>
    <w:p>
      <w:pPr>
        <w:tabs>
          <w:tab w:val="left" w:pos="360"/>
        </w:tabs>
        <w:spacing w:line="520" w:lineRule="exact"/>
        <w:ind w:firstLine="480" w:firstLineChars="200"/>
        <w:rPr>
          <w:color w:val="000000" w:themeColor="text1"/>
          <w:sz w:val="24"/>
        </w:rPr>
      </w:pPr>
      <w:r>
        <w:rPr>
          <w:rFonts w:hint="eastAsia"/>
          <w:color w:val="000000" w:themeColor="text1"/>
          <w:sz w:val="24"/>
        </w:rPr>
        <w:t>7.遵守采购文件中要求的收费项目和标准。</w:t>
      </w:r>
    </w:p>
    <w:p>
      <w:pPr>
        <w:tabs>
          <w:tab w:val="left" w:pos="360"/>
        </w:tabs>
        <w:spacing w:line="520" w:lineRule="exact"/>
        <w:ind w:firstLine="480" w:firstLineChars="200"/>
        <w:rPr>
          <w:color w:val="000000" w:themeColor="text1"/>
          <w:sz w:val="24"/>
        </w:rPr>
      </w:pPr>
      <w:r>
        <w:rPr>
          <w:rFonts w:hint="eastAsia"/>
          <w:color w:val="000000" w:themeColor="text1"/>
          <w:sz w:val="24"/>
        </w:rPr>
        <w:t>8.与本竞争性磋商采购有关的正式通讯地址为：</w:t>
      </w:r>
    </w:p>
    <w:p>
      <w:pPr>
        <w:tabs>
          <w:tab w:val="left" w:pos="360"/>
        </w:tabs>
        <w:spacing w:line="520" w:lineRule="exact"/>
        <w:ind w:firstLine="480" w:firstLineChars="200"/>
        <w:rPr>
          <w:color w:val="000000" w:themeColor="text1"/>
          <w:sz w:val="24"/>
        </w:rPr>
      </w:pPr>
      <w:r>
        <w:rPr>
          <w:rFonts w:hint="eastAsia"/>
          <w:color w:val="000000" w:themeColor="text1"/>
          <w:sz w:val="24"/>
        </w:rPr>
        <w:t>地 址：                         邮 编：</w:t>
      </w:r>
    </w:p>
    <w:p>
      <w:pPr>
        <w:tabs>
          <w:tab w:val="left" w:pos="360"/>
        </w:tabs>
        <w:spacing w:line="520" w:lineRule="exact"/>
        <w:ind w:firstLine="480" w:firstLineChars="200"/>
        <w:rPr>
          <w:color w:val="000000" w:themeColor="text1"/>
          <w:sz w:val="24"/>
        </w:rPr>
      </w:pPr>
      <w:r>
        <w:rPr>
          <w:rFonts w:hint="eastAsia"/>
          <w:color w:val="000000" w:themeColor="text1"/>
          <w:sz w:val="24"/>
        </w:rPr>
        <w:t>电 话：                         传 真：</w:t>
      </w:r>
    </w:p>
    <w:p>
      <w:pPr>
        <w:tabs>
          <w:tab w:val="left" w:pos="360"/>
        </w:tabs>
        <w:spacing w:line="520" w:lineRule="exact"/>
        <w:ind w:firstLine="480" w:firstLineChars="200"/>
        <w:rPr>
          <w:color w:val="000000" w:themeColor="text1"/>
          <w:sz w:val="24"/>
        </w:rPr>
      </w:pPr>
      <w:r>
        <w:rPr>
          <w:rFonts w:hint="eastAsia"/>
          <w:color w:val="000000" w:themeColor="text1"/>
          <w:sz w:val="24"/>
        </w:rPr>
        <w:t xml:space="preserve">供应商开户行：                  账 户： </w:t>
      </w:r>
    </w:p>
    <w:p>
      <w:pPr>
        <w:autoSpaceDE w:val="0"/>
        <w:autoSpaceDN w:val="0"/>
        <w:adjustRightInd w:val="0"/>
        <w:spacing w:line="520" w:lineRule="exact"/>
        <w:ind w:left="420" w:firstLine="480"/>
        <w:jc w:val="left"/>
        <w:rPr>
          <w:rFonts w:ascii="宋体" w:cs="宋体"/>
          <w:color w:val="000000" w:themeColor="text1"/>
          <w:sz w:val="24"/>
          <w:lang w:val="zh-CN"/>
        </w:rPr>
      </w:pPr>
      <w:r>
        <w:rPr>
          <w:rFonts w:hint="eastAsia" w:ascii="宋体" w:cs="宋体"/>
          <w:color w:val="000000" w:themeColor="text1"/>
          <w:sz w:val="24"/>
          <w:lang w:val="zh-CN"/>
        </w:rPr>
        <w:t>法定代表人或授权代理人（签字）：</w:t>
      </w:r>
    </w:p>
    <w:p>
      <w:pPr>
        <w:autoSpaceDE w:val="0"/>
        <w:autoSpaceDN w:val="0"/>
        <w:adjustRightInd w:val="0"/>
        <w:spacing w:line="520" w:lineRule="exact"/>
        <w:ind w:left="420" w:firstLine="480"/>
        <w:jc w:val="left"/>
        <w:rPr>
          <w:rFonts w:ascii="宋体" w:cs="宋体"/>
          <w:color w:val="000000" w:themeColor="text1"/>
          <w:sz w:val="24"/>
          <w:lang w:val="zh-CN"/>
        </w:rPr>
      </w:pPr>
      <w:r>
        <w:rPr>
          <w:rFonts w:hint="eastAsia" w:ascii="宋体" w:cs="宋体"/>
          <w:color w:val="000000" w:themeColor="text1"/>
          <w:sz w:val="24"/>
          <w:lang w:val="zh-CN"/>
        </w:rPr>
        <w:t>供应商名称（公章）：</w:t>
      </w:r>
    </w:p>
    <w:p>
      <w:pPr>
        <w:autoSpaceDE w:val="0"/>
        <w:autoSpaceDN w:val="0"/>
        <w:adjustRightInd w:val="0"/>
        <w:spacing w:line="520" w:lineRule="exact"/>
        <w:ind w:left="420" w:firstLine="480"/>
        <w:jc w:val="left"/>
        <w:rPr>
          <w:rFonts w:ascii="宋体" w:cs="宋体"/>
          <w:color w:val="000000" w:themeColor="text1"/>
          <w:sz w:val="24"/>
          <w:lang w:val="zh-CN"/>
        </w:rPr>
      </w:pPr>
      <w:r>
        <w:rPr>
          <w:rFonts w:hint="eastAsia" w:ascii="宋体" w:cs="宋体"/>
          <w:color w:val="000000" w:themeColor="text1"/>
          <w:sz w:val="24"/>
          <w:lang w:val="zh-CN"/>
        </w:rPr>
        <w:t>日期：</w:t>
      </w:r>
      <w:r>
        <w:rPr>
          <w:rFonts w:ascii="宋体" w:cs="宋体"/>
          <w:color w:val="000000" w:themeColor="text1"/>
          <w:sz w:val="24"/>
          <w:lang w:val="zh-CN"/>
        </w:rPr>
        <w:t>________</w:t>
      </w:r>
      <w:r>
        <w:rPr>
          <w:rFonts w:hint="eastAsia" w:ascii="宋体" w:cs="宋体"/>
          <w:color w:val="000000" w:themeColor="text1"/>
          <w:sz w:val="24"/>
          <w:lang w:val="zh-CN"/>
        </w:rPr>
        <w:t>年</w:t>
      </w:r>
      <w:r>
        <w:rPr>
          <w:rFonts w:ascii="宋体" w:cs="宋体"/>
          <w:color w:val="000000" w:themeColor="text1"/>
          <w:sz w:val="24"/>
          <w:lang w:val="zh-CN"/>
        </w:rPr>
        <w:t>____</w:t>
      </w:r>
      <w:r>
        <w:rPr>
          <w:rFonts w:hint="eastAsia" w:ascii="宋体" w:cs="宋体"/>
          <w:color w:val="000000" w:themeColor="text1"/>
          <w:sz w:val="24"/>
          <w:lang w:val="zh-CN"/>
        </w:rPr>
        <w:t>月</w:t>
      </w:r>
      <w:r>
        <w:rPr>
          <w:rFonts w:ascii="宋体" w:cs="宋体"/>
          <w:color w:val="000000" w:themeColor="text1"/>
          <w:sz w:val="24"/>
          <w:lang w:val="zh-CN"/>
        </w:rPr>
        <w:t>____</w:t>
      </w:r>
      <w:r>
        <w:rPr>
          <w:rFonts w:hint="eastAsia" w:ascii="宋体" w:cs="宋体"/>
          <w:color w:val="000000" w:themeColor="text1"/>
          <w:sz w:val="24"/>
          <w:lang w:val="zh-CN"/>
        </w:rPr>
        <w:t>日</w:t>
      </w:r>
    </w:p>
    <w:p>
      <w:pPr>
        <w:ind w:firstLine="3213" w:firstLineChars="1000"/>
        <w:rPr>
          <w:rFonts w:ascii="宋体" w:hAnsi="宋体"/>
          <w:b/>
          <w:color w:val="000000" w:themeColor="text1"/>
          <w:sz w:val="32"/>
          <w:szCs w:val="32"/>
        </w:rPr>
      </w:pPr>
    </w:p>
    <w:p>
      <w:pPr>
        <w:ind w:firstLine="3213" w:firstLineChars="1000"/>
        <w:rPr>
          <w:rFonts w:ascii="宋体" w:hAnsi="宋体"/>
          <w:b/>
          <w:color w:val="000000" w:themeColor="text1"/>
          <w:sz w:val="32"/>
          <w:szCs w:val="32"/>
        </w:rPr>
      </w:pPr>
    </w:p>
    <w:p>
      <w:pPr>
        <w:ind w:firstLine="3213" w:firstLineChars="1000"/>
        <w:rPr>
          <w:rFonts w:ascii="宋体" w:hAnsi="宋体"/>
          <w:b/>
          <w:color w:val="000000" w:themeColor="text1"/>
          <w:sz w:val="32"/>
          <w:szCs w:val="32"/>
        </w:rPr>
      </w:pPr>
    </w:p>
    <w:p>
      <w:pPr>
        <w:ind w:firstLine="3213" w:firstLineChars="1000"/>
        <w:rPr>
          <w:rFonts w:ascii="宋体" w:hAnsi="宋体" w:cs="宋体"/>
          <w:b/>
          <w:color w:val="000000" w:themeColor="text1"/>
          <w:sz w:val="32"/>
          <w:szCs w:val="32"/>
        </w:rPr>
      </w:pPr>
      <w:r>
        <w:rPr>
          <w:rFonts w:hint="eastAsia" w:ascii="宋体" w:hAnsi="宋体"/>
          <w:b/>
          <w:color w:val="000000" w:themeColor="text1"/>
          <w:sz w:val="32"/>
          <w:szCs w:val="32"/>
        </w:rPr>
        <w:t>五、</w:t>
      </w:r>
      <w:r>
        <w:rPr>
          <w:rFonts w:hint="eastAsia" w:ascii="宋体" w:hAnsi="宋体" w:cs="宋体"/>
          <w:b/>
          <w:color w:val="000000" w:themeColor="text1"/>
          <w:sz w:val="32"/>
          <w:szCs w:val="32"/>
        </w:rPr>
        <w:t>开标一览表</w:t>
      </w:r>
    </w:p>
    <w:p>
      <w:pPr>
        <w:ind w:firstLine="3213" w:firstLineChars="1000"/>
        <w:rPr>
          <w:rFonts w:ascii="宋体" w:hAnsi="宋体" w:cs="宋体"/>
          <w:b/>
          <w:color w:val="000000" w:themeColor="text1"/>
          <w:sz w:val="32"/>
          <w:szCs w:val="32"/>
        </w:rPr>
      </w:pPr>
    </w:p>
    <w:tbl>
      <w:tblPr>
        <w:tblStyle w:val="38"/>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noWrap/>
            <w:vAlign w:val="center"/>
          </w:tcPr>
          <w:p>
            <w:pPr>
              <w:ind w:firstLine="482" w:firstLineChars="200"/>
              <w:rPr>
                <w:rFonts w:ascii="宋体" w:hAnsi="宋体" w:cs="宋体"/>
                <w:b/>
                <w:bCs/>
                <w:color w:val="000000" w:themeColor="text1"/>
                <w:sz w:val="24"/>
              </w:rPr>
            </w:pPr>
            <w:r>
              <w:rPr>
                <w:rFonts w:hint="eastAsia" w:ascii="宋体" w:hAnsi="宋体" w:cs="宋体"/>
                <w:b/>
                <w:bCs/>
                <w:color w:val="000000" w:themeColor="text1"/>
                <w:sz w:val="24"/>
              </w:rPr>
              <w:t>项 目 编 号</w:t>
            </w:r>
          </w:p>
        </w:tc>
        <w:tc>
          <w:tcPr>
            <w:tcW w:w="7445" w:type="dxa"/>
            <w:noWrap/>
            <w:vAlign w:val="center"/>
          </w:tcPr>
          <w:p>
            <w:pPr>
              <w:keepNext/>
              <w:keepLines/>
              <w:numPr>
                <w:ilvl w:val="1"/>
                <w:numId w:val="0"/>
              </w:numPr>
              <w:tabs>
                <w:tab w:val="left" w:pos="0"/>
              </w:tabs>
              <w:spacing w:before="260" w:after="260" w:line="416" w:lineRule="auto"/>
              <w:jc w:val="left"/>
              <w:outlineLvl w:val="1"/>
              <w:rPr>
                <w:rFonts w:ascii="宋体" w:hAnsi="宋体" w:cs="宋体"/>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2700" w:type="dxa"/>
            <w:noWrap/>
            <w:vAlign w:val="center"/>
          </w:tcPr>
          <w:p>
            <w:pPr>
              <w:ind w:firstLine="482" w:firstLineChars="200"/>
              <w:rPr>
                <w:rFonts w:ascii="宋体" w:hAnsi="宋体" w:cs="宋体"/>
                <w:b/>
                <w:bCs/>
                <w:color w:val="000000" w:themeColor="text1"/>
                <w:sz w:val="24"/>
              </w:rPr>
            </w:pPr>
            <w:r>
              <w:rPr>
                <w:rFonts w:hint="eastAsia" w:ascii="宋体" w:hAnsi="宋体" w:cs="宋体"/>
                <w:b/>
                <w:bCs/>
                <w:color w:val="000000" w:themeColor="text1"/>
                <w:sz w:val="24"/>
              </w:rPr>
              <w:t>项 目 名 称</w:t>
            </w:r>
          </w:p>
        </w:tc>
        <w:tc>
          <w:tcPr>
            <w:tcW w:w="7445" w:type="dxa"/>
            <w:noWrap/>
            <w:vAlign w:val="center"/>
          </w:tcPr>
          <w:p>
            <w:pPr>
              <w:widowControl/>
              <w:adjustRightInd w:val="0"/>
              <w:snapToGrid w:val="0"/>
              <w:spacing w:line="560" w:lineRule="exact"/>
              <w:rPr>
                <w:rFonts w:ascii="宋体" w:hAnsi="宋体" w:cs="宋体"/>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noWrap/>
            <w:vAlign w:val="center"/>
          </w:tcPr>
          <w:p>
            <w:pPr>
              <w:spacing w:line="500" w:lineRule="exact"/>
              <w:jc w:val="left"/>
              <w:rPr>
                <w:rFonts w:ascii="宋体" w:hAnsi="宋体" w:cs="宋体"/>
                <w:color w:val="000000" w:themeColor="text1"/>
                <w:sz w:val="24"/>
              </w:rPr>
            </w:pPr>
            <w:r>
              <w:rPr>
                <w:rFonts w:hint="eastAsia" w:ascii="宋体" w:hAnsi="宋体" w:cs="宋体"/>
                <w:b/>
                <w:bCs/>
                <w:color w:val="000000" w:themeColor="text1"/>
                <w:sz w:val="24"/>
              </w:rPr>
              <w:t>项目投标报价：（大写）</w:t>
            </w:r>
            <w:r>
              <w:rPr>
                <w:rFonts w:hint="eastAsia" w:ascii="宋体" w:hAnsi="宋体"/>
                <w:bCs/>
                <w:color w:val="000000" w:themeColor="text1"/>
                <w:sz w:val="24"/>
              </w:rPr>
              <w:t>元/年</w:t>
            </w:r>
            <w:r>
              <w:rPr>
                <w:rFonts w:hint="eastAsia" w:ascii="宋体" w:hAnsi="宋体" w:cs="宋体"/>
                <w:b/>
                <w:bCs/>
                <w:color w:val="000000" w:themeColor="text1"/>
                <w:sz w:val="24"/>
              </w:rPr>
              <w:t>，小写：</w:t>
            </w:r>
            <w:r>
              <w:rPr>
                <w:rFonts w:hint="eastAsia" w:ascii="宋体" w:hAnsi="宋体"/>
                <w:bCs/>
                <w:color w:val="000000" w:themeColor="text1"/>
                <w:sz w:val="24"/>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noWrap/>
            <w:vAlign w:val="center"/>
          </w:tcPr>
          <w:p>
            <w:pPr>
              <w:rPr>
                <w:rFonts w:ascii="宋体" w:hAnsi="宋体" w:cs="宋体"/>
                <w:b/>
                <w:bCs/>
                <w:color w:val="000000" w:themeColor="text1"/>
                <w:sz w:val="24"/>
              </w:rPr>
            </w:pPr>
            <w:r>
              <w:rPr>
                <w:rFonts w:hint="eastAsia" w:ascii="宋体" w:hAnsi="宋体" w:cs="宋体"/>
                <w:b/>
                <w:bCs/>
                <w:color w:val="000000" w:themeColor="text1"/>
                <w:sz w:val="24"/>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145" w:type="dxa"/>
            <w:gridSpan w:val="2"/>
            <w:noWrap/>
            <w:vAlign w:val="center"/>
          </w:tcPr>
          <w:p>
            <w:pPr>
              <w:rPr>
                <w:rFonts w:ascii="宋体" w:hAnsi="宋体" w:cs="宋体"/>
                <w:color w:val="000000" w:themeColor="text1"/>
                <w:sz w:val="24"/>
              </w:rPr>
            </w:pPr>
            <w:r>
              <w:rPr>
                <w:rFonts w:hint="eastAsia" w:ascii="宋体" w:hAnsi="宋体" w:cs="宋体"/>
                <w:b/>
                <w:bCs/>
                <w:color w:val="000000" w:themeColor="text1"/>
                <w:sz w:val="24"/>
              </w:rPr>
              <w:t xml:space="preserve">合同履行期限：                                          </w:t>
            </w:r>
          </w:p>
        </w:tc>
      </w:tr>
    </w:tbl>
    <w:p>
      <w:pPr>
        <w:rPr>
          <w:rFonts w:ascii="宋体" w:hAnsi="宋体" w:cs="宋体"/>
          <w:color w:val="000000" w:themeColor="text1"/>
          <w:sz w:val="24"/>
        </w:rPr>
      </w:pPr>
      <w:r>
        <w:rPr>
          <w:rFonts w:hint="eastAsia" w:ascii="宋体" w:hAnsi="宋体" w:cs="宋体"/>
          <w:color w:val="000000" w:themeColor="text1"/>
          <w:sz w:val="24"/>
        </w:rPr>
        <w:t>填写说明：</w:t>
      </w:r>
    </w:p>
    <w:p>
      <w:pPr>
        <w:numPr>
          <w:ilvl w:val="0"/>
          <w:numId w:val="4"/>
        </w:numPr>
        <w:rPr>
          <w:rFonts w:ascii="宋体" w:hAnsi="宋体" w:cs="宋体"/>
          <w:color w:val="000000" w:themeColor="text1"/>
          <w:sz w:val="24"/>
        </w:rPr>
      </w:pPr>
      <w:r>
        <w:rPr>
          <w:rFonts w:hint="eastAsia" w:ascii="宋体" w:hAnsi="宋体" w:cs="宋体"/>
          <w:color w:val="000000" w:themeColor="text1"/>
          <w:sz w:val="24"/>
        </w:rPr>
        <w:t>开标一览表不得填报选择性报价，否则将作为无效投标；</w:t>
      </w:r>
    </w:p>
    <w:p>
      <w:pPr>
        <w:numPr>
          <w:ilvl w:val="0"/>
          <w:numId w:val="4"/>
        </w:numPr>
        <w:rPr>
          <w:rFonts w:ascii="宋体" w:hAnsi="宋体" w:cs="宋体"/>
          <w:color w:val="000000" w:themeColor="text1"/>
          <w:sz w:val="24"/>
        </w:rPr>
      </w:pPr>
      <w:r>
        <w:rPr>
          <w:rFonts w:hint="eastAsia" w:ascii="宋体" w:hAnsi="宋体" w:cs="宋体"/>
          <w:color w:val="000000" w:themeColor="text1"/>
          <w:sz w:val="24"/>
        </w:rPr>
        <w:t>开标一览表中报价与投标分项明细报价表中不符时时，以开标一览表为准；</w:t>
      </w:r>
    </w:p>
    <w:p>
      <w:pPr>
        <w:ind w:left="481" w:leftChars="229" w:firstLine="4320" w:firstLineChars="1800"/>
        <w:rPr>
          <w:rFonts w:ascii="宋体" w:hAnsi="宋体" w:cs="宋体"/>
          <w:color w:val="000000" w:themeColor="text1"/>
          <w:sz w:val="24"/>
        </w:rPr>
      </w:pPr>
    </w:p>
    <w:p>
      <w:pPr>
        <w:ind w:firstLine="4080" w:firstLineChars="1700"/>
        <w:rPr>
          <w:rFonts w:ascii="宋体" w:hAnsi="宋体" w:cs="宋体"/>
          <w:color w:val="000000" w:themeColor="text1"/>
          <w:sz w:val="24"/>
        </w:rPr>
      </w:pPr>
      <w:r>
        <w:rPr>
          <w:rFonts w:hint="eastAsia" w:ascii="宋体" w:hAnsi="宋体" w:cs="宋体"/>
          <w:color w:val="000000" w:themeColor="text1"/>
          <w:sz w:val="24"/>
        </w:rPr>
        <w:t>投标人（单位公章）：</w:t>
      </w:r>
    </w:p>
    <w:p>
      <w:pPr>
        <w:ind w:firstLine="4080" w:firstLineChars="1700"/>
        <w:rPr>
          <w:rFonts w:ascii="宋体" w:hAnsi="宋体" w:cs="宋体"/>
          <w:color w:val="000000" w:themeColor="text1"/>
          <w:sz w:val="24"/>
        </w:rPr>
      </w:pPr>
      <w:r>
        <w:rPr>
          <w:rFonts w:hint="eastAsia" w:ascii="宋体" w:hAnsi="宋体" w:cs="宋体"/>
          <w:color w:val="000000" w:themeColor="text1"/>
          <w:sz w:val="24"/>
        </w:rPr>
        <w:t>法定代表人或授权代表（签字或盖章）：</w:t>
      </w:r>
    </w:p>
    <w:p>
      <w:pPr>
        <w:ind w:left="480"/>
        <w:rPr>
          <w:rFonts w:ascii="宋体" w:hAnsi="宋体" w:cs="宋体"/>
          <w:color w:val="000000" w:themeColor="text1"/>
          <w:sz w:val="24"/>
        </w:rPr>
        <w:sectPr>
          <w:footerReference r:id="rId9" w:type="first"/>
          <w:footerReference r:id="rId8" w:type="default"/>
          <w:pgSz w:w="11906" w:h="16838"/>
          <w:pgMar w:top="1015" w:right="1196" w:bottom="867" w:left="1259" w:header="851" w:footer="907" w:gutter="0"/>
          <w:cols w:space="720" w:num="1"/>
          <w:docGrid w:type="lines" w:linePitch="286" w:charSpace="0"/>
        </w:sectPr>
      </w:pPr>
      <w:r>
        <w:rPr>
          <w:rFonts w:hint="eastAsia" w:ascii="宋体" w:hAnsi="宋体" w:cs="宋体"/>
          <w:color w:val="000000" w:themeColor="text1"/>
          <w:sz w:val="24"/>
        </w:rPr>
        <w:t xml:space="preserve">                              日 期：   年   月   日</w:t>
      </w:r>
    </w:p>
    <w:p>
      <w:pPr>
        <w:spacing w:line="360" w:lineRule="auto"/>
        <w:ind w:firstLine="630" w:firstLineChars="196"/>
        <w:jc w:val="center"/>
        <w:rPr>
          <w:rFonts w:ascii="宋体" w:hAnsi="宋体"/>
          <w:b/>
          <w:bCs/>
          <w:color w:val="000000" w:themeColor="text1"/>
          <w:sz w:val="32"/>
          <w:szCs w:val="32"/>
        </w:rPr>
      </w:pPr>
      <w:r>
        <w:rPr>
          <w:rFonts w:hint="eastAsia" w:ascii="宋体" w:hAnsi="宋体"/>
          <w:b/>
          <w:color w:val="000000" w:themeColor="text1"/>
          <w:sz w:val="32"/>
          <w:szCs w:val="32"/>
        </w:rPr>
        <w:t>六、技术方案、服务承诺等</w:t>
      </w:r>
    </w:p>
    <w:p>
      <w:pPr>
        <w:autoSpaceDE w:val="0"/>
        <w:autoSpaceDN w:val="0"/>
        <w:adjustRightInd w:val="0"/>
        <w:spacing w:line="440" w:lineRule="exact"/>
        <w:ind w:firstLine="480"/>
        <w:rPr>
          <w:rFonts w:ascii="宋体" w:hAnsi="Arial" w:cs="宋体"/>
          <w:color w:val="000000" w:themeColor="text1"/>
          <w:sz w:val="24"/>
        </w:rPr>
      </w:pPr>
    </w:p>
    <w:p>
      <w:pPr>
        <w:autoSpaceDE w:val="0"/>
        <w:autoSpaceDN w:val="0"/>
        <w:adjustRightInd w:val="0"/>
        <w:jc w:val="center"/>
        <w:rPr>
          <w:rFonts w:ascii="黑体" w:hAnsi="Arial" w:eastAsia="黑体" w:cs="黑体"/>
          <w:b/>
          <w:bCs/>
          <w:color w:val="000000" w:themeColor="text1"/>
          <w:sz w:val="36"/>
          <w:szCs w:val="36"/>
        </w:rPr>
      </w:pPr>
    </w:p>
    <w:p>
      <w:pPr>
        <w:ind w:firstLine="964" w:firstLineChars="300"/>
        <w:rPr>
          <w:rFonts w:ascii="宋体" w:hAnsi="宋体"/>
          <w:b/>
          <w:color w:val="000000" w:themeColor="text1"/>
          <w:sz w:val="32"/>
          <w:szCs w:val="32"/>
        </w:rPr>
      </w:pPr>
    </w:p>
    <w:p>
      <w:pPr>
        <w:rPr>
          <w:rFonts w:ascii="宋体" w:hAnsi="宋体" w:cs="宋体"/>
          <w:color w:val="000000" w:themeColor="text1"/>
          <w:sz w:val="32"/>
          <w:szCs w:val="32"/>
        </w:rPr>
        <w:sectPr>
          <w:headerReference r:id="rId10" w:type="default"/>
          <w:footerReference r:id="rId11" w:type="default"/>
          <w:pgSz w:w="11906" w:h="16838"/>
          <w:pgMar w:top="1417" w:right="1588" w:bottom="1417" w:left="1365" w:header="851" w:footer="907" w:gutter="0"/>
          <w:cols w:space="720" w:num="1"/>
          <w:docGrid w:type="lines" w:linePitch="290" w:charSpace="0"/>
        </w:sectPr>
      </w:pPr>
    </w:p>
    <w:bookmarkEnd w:id="155"/>
    <w:bookmarkEnd w:id="156"/>
    <w:bookmarkEnd w:id="157"/>
    <w:bookmarkEnd w:id="162"/>
    <w:bookmarkEnd w:id="163"/>
    <w:bookmarkEnd w:id="164"/>
    <w:bookmarkEnd w:id="165"/>
    <w:bookmarkEnd w:id="166"/>
    <w:bookmarkEnd w:id="167"/>
    <w:bookmarkEnd w:id="168"/>
    <w:bookmarkEnd w:id="169"/>
    <w:p>
      <w:pPr>
        <w:snapToGrid w:val="0"/>
        <w:spacing w:before="50" w:after="50"/>
        <w:rPr>
          <w:rFonts w:ascii="宋体" w:hAnsi="宋体" w:cs="宋体"/>
          <w:color w:val="000000" w:themeColor="text1"/>
          <w:sz w:val="32"/>
          <w:szCs w:val="32"/>
        </w:rPr>
      </w:pPr>
      <w:bookmarkStart w:id="173" w:name="_Hlt26955056"/>
      <w:bookmarkEnd w:id="173"/>
      <w:bookmarkStart w:id="174" w:name="_Hlt26609391"/>
      <w:bookmarkEnd w:id="174"/>
      <w:bookmarkStart w:id="175" w:name="_格式2__法定代表人授权书"/>
      <w:bookmarkEnd w:id="175"/>
      <w:bookmarkStart w:id="176" w:name="_Hlt26955064"/>
      <w:bookmarkEnd w:id="176"/>
      <w:bookmarkStart w:id="177" w:name="_Hlt26671343"/>
      <w:bookmarkEnd w:id="177"/>
      <w:bookmarkStart w:id="178" w:name="_Hlt26609389"/>
      <w:bookmarkEnd w:id="178"/>
      <w:bookmarkStart w:id="179" w:name="_Hlt26671372"/>
      <w:bookmarkEnd w:id="179"/>
      <w:bookmarkStart w:id="180" w:name="_Hlt26580838"/>
      <w:bookmarkEnd w:id="180"/>
      <w:bookmarkStart w:id="181" w:name="_Hlt24879081"/>
      <w:bookmarkEnd w:id="181"/>
      <w:bookmarkStart w:id="182" w:name="_Hlt26671374"/>
      <w:bookmarkEnd w:id="182"/>
      <w:bookmarkStart w:id="183" w:name="_Hlt26955066"/>
      <w:bookmarkEnd w:id="183"/>
      <w:bookmarkStart w:id="184" w:name="_Hlt26782999"/>
      <w:bookmarkEnd w:id="184"/>
    </w:p>
    <w:sectPr>
      <w:footerReference r:id="rId13" w:type="first"/>
      <w:footerReference r:id="rId12" w:type="default"/>
      <w:pgSz w:w="11906" w:h="16838"/>
      <w:pgMar w:top="1440" w:right="1587" w:bottom="1440" w:left="1587" w:header="85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方正黑体_GBK">
    <w:altName w:val="微软雅黑"/>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2"/>
      </w:rPr>
    </w:pPr>
    <w:r>
      <w:fldChar w:fldCharType="begin"/>
    </w:r>
    <w:r>
      <w:rPr>
        <w:rStyle w:val="42"/>
      </w:rPr>
      <w:instrText xml:space="preserve">PAGE  </w:instrText>
    </w:r>
    <w:r>
      <w:fldChar w:fldCharType="separate"/>
    </w:r>
    <w:r>
      <w:rPr>
        <w:rStyle w:val="42"/>
      </w:rPr>
      <w:t>1</w:t>
    </w:r>
    <w:r>
      <w:fldChar w:fldCharType="end"/>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_x0000_s1027" o:spid="_x0000_s1027"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5CUpmzgEAAJcDAAAOAAAAAAAAAAEAIAAAAB8BAABkcnMv&#10;ZTJvRG9jLnhtbFBLBQYAAAAABgAGAFkBAABfBQAAAAA=&#10;">
          <v:path/>
          <v:fill on="f" focussize="0,0"/>
          <v:stroke on="f" joinstyle="miter"/>
          <v:imagedata o:title=""/>
          <o:lock v:ext="edit"/>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m4+OPzgEAAJcDAAAOAAAAAAAAAAEAIAAAAB8BAABkcnMv&#10;ZTJvRG9jLnhtbFBLBQYAAAAABgAGAFkBAABfBQAAAAA=&#10;">
          <v:path/>
          <v:fill on="f" focussize="0,0"/>
          <v:stroke on="f" joinstyle="miter"/>
          <v:imagedata o:title=""/>
          <o:lock v:ext="edit"/>
          <v:textbox inset="0mm,0mm,0mm,0mm" style="mso-fit-shape-to-text:t;">
            <w:txbxContent>
              <w:p>
                <w:pPr>
                  <w:pStyle w:val="23"/>
                </w:pPr>
                <w:r>
                  <w:fldChar w:fldCharType="begin"/>
                </w:r>
                <w:r>
                  <w:instrText xml:space="preserve"> PAGE  \* MERGEFORMAT </w:instrText>
                </w:r>
                <w:r>
                  <w:fldChar w:fldCharType="separate"/>
                </w:r>
                <w:r>
                  <w:t>21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pict>
        <v:shape id="文本框 10"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LwX3vPmAQAAyAMA&#10;AA4AAAAAAAAAAQAgAAAAHgEAAGRycy9lMm9Eb2MueG1sUEsFBgAAAAAGAAYAWQEAAHYFAAAAAA==&#10;">
          <v:path/>
          <v:fill on="f" focussize="0,0"/>
          <v:stroke on="f" joinstyle="miter"/>
          <v:imagedata o:title=""/>
          <o:lock v:ext="edit"/>
          <v:textbox inset="0mm,0mm,0mm,0mm" style="mso-fit-shape-to-text:t;">
            <w:txbxContent>
              <w:p>
                <w:pPr>
                  <w:pStyle w:val="23"/>
                </w:pPr>
                <w:r>
                  <w:fldChar w:fldCharType="begin"/>
                </w:r>
                <w:r>
                  <w:instrText xml:space="preserve"> PAGE  \* MERGEFORMAT </w:instrText>
                </w:r>
                <w:r>
                  <w:fldChar w:fldCharType="separate"/>
                </w:r>
                <w:r>
                  <w:t>33</w:t>
                </w:r>
                <w:r>
                  <w:fldChar w:fldCharType="end"/>
                </w:r>
              </w:p>
            </w:txbxContent>
          </v:textbox>
        </v:shape>
      </w:pict>
    </w:r>
  </w:p>
  <w:p>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文本框 13" o:spid="_x0000_s103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tcOTtegBAADI&#10;AwAADgAAAAAAAAABACAAAAAeAQAAZHJzL2Uyb0RvYy54bWxQSwUGAAAAAAYABgBZAQAAeAUAAAAA&#10;">
          <v:path/>
          <v:fill on="f" focussize="0,0"/>
          <v:stroke on="f" joinstyle="miter"/>
          <v:imagedata o:title=""/>
          <o:lock v:ext="edit"/>
          <v:textbox inset="0mm,0mm,0mm,0mm" style="mso-fit-shape-to-text:t;">
            <w:txbxContent>
              <w:p>
                <w:pPr>
                  <w:pStyle w:val="23"/>
                </w:pPr>
                <w:r>
                  <w:fldChar w:fldCharType="begin"/>
                </w:r>
                <w:r>
                  <w:instrText xml:space="preserve"> PAGE  \* MERGEFORMAT </w:instrText>
                </w:r>
                <w:r>
                  <w:fldChar w:fldCharType="separate"/>
                </w:r>
                <w:r>
                  <w:t>39</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文本框 14"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zg/kk+gBAADI&#10;AwAADgAAAAAAAAABACAAAAAeAQAAZHJzL2Uyb0RvYy54bWxQSwUGAAAAAAYABgBZAQAAeAUAAAAA&#10;">
          <v:path/>
          <v:fill on="f" focussize="0,0"/>
          <v:stroke on="f" joinstyle="miter"/>
          <v:imagedata o:title=""/>
          <o:lock v:ext="edit"/>
          <v:textbox inset="0mm,0mm,0mm,0mm" style="mso-fit-shape-to-text:t;">
            <w:txbxContent>
              <w:p>
                <w:pPr>
                  <w:pStyle w:val="23"/>
                </w:pPr>
                <w:r>
                  <w:fldChar w:fldCharType="begin"/>
                </w:r>
                <w:r>
                  <w:instrText xml:space="preserve"> PAGE  \* MERGEFORMAT </w:instrText>
                </w:r>
                <w:r>
                  <w:fldChar w:fldCharType="separate"/>
                </w:r>
                <w:r>
                  <w:t>34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left" w:pos="3565"/>
        <w:tab w:val="clear" w:pos="4153"/>
        <w:tab w:val="clear" w:pos="830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left" w:pos="3565"/>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480"/>
        </w:tabs>
        <w:ind w:left="480" w:hanging="480"/>
      </w:pPr>
      <w:rPr>
        <w:rFonts w:hint="eastAsia"/>
      </w:rPr>
    </w:lvl>
  </w:abstractNum>
  <w:abstractNum w:abstractNumId="1">
    <w:nsid w:val="06784D56"/>
    <w:multiLevelType w:val="singleLevel"/>
    <w:tmpl w:val="06784D56"/>
    <w:lvl w:ilvl="0" w:tentative="0">
      <w:start w:val="1"/>
      <w:numFmt w:val="upperLetter"/>
      <w:pStyle w:val="89"/>
      <w:lvlText w:val="附录%1."/>
      <w:lvlJc w:val="left"/>
      <w:pPr>
        <w:tabs>
          <w:tab w:val="left" w:pos="907"/>
        </w:tabs>
        <w:ind w:left="907" w:hanging="907"/>
      </w:pPr>
      <w:rPr>
        <w:rFonts w:hint="eastAsia"/>
      </w:rPr>
    </w:lvl>
  </w:abstractNum>
  <w:abstractNum w:abstractNumId="2">
    <w:nsid w:val="237E4D61"/>
    <w:multiLevelType w:val="multilevel"/>
    <w:tmpl w:val="237E4D61"/>
    <w:lvl w:ilvl="0" w:tentative="0">
      <w:start w:val="1"/>
      <w:numFmt w:val="japaneseCounting"/>
      <w:pStyle w:val="85"/>
      <w:lvlText w:val="第%1章"/>
      <w:lvlJc w:val="left"/>
      <w:pPr>
        <w:ind w:left="9351" w:hanging="420"/>
      </w:pPr>
      <w:rPr>
        <w:rFonts w:hint="eastAsia" w:ascii="黑体" w:eastAsia="黑体"/>
        <w:b w:val="0"/>
        <w:sz w:val="36"/>
        <w:lang w:val="en-US"/>
      </w:rPr>
    </w:lvl>
    <w:lvl w:ilvl="1" w:tentative="0">
      <w:start w:val="1"/>
      <w:numFmt w:val="decimal"/>
      <w:pStyle w:val="71"/>
      <w:isLgl/>
      <w:lvlText w:val="%1.%2"/>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72"/>
      <w:isLgl/>
      <w:lvlText w:val="%1.%2.%3"/>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88"/>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3">
    <w:nsid w:val="261E1816"/>
    <w:multiLevelType w:val="multilevel"/>
    <w:tmpl w:val="261E181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4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NiZmIxY2ZiNzg0NjFkYTM1MDM1ZjljNjg4M2E1YWMifQ=="/>
    <w:docVar w:name="KGWebUrl" w:val="http://112.24.96.62:8084/yczfcg/OfficeServer"/>
  </w:docVars>
  <w:rsids>
    <w:rsidRoot w:val="00C26726"/>
    <w:rsid w:val="00002209"/>
    <w:rsid w:val="0000240C"/>
    <w:rsid w:val="00002995"/>
    <w:rsid w:val="00003B42"/>
    <w:rsid w:val="00004021"/>
    <w:rsid w:val="000042B8"/>
    <w:rsid w:val="00005A19"/>
    <w:rsid w:val="00006652"/>
    <w:rsid w:val="00006DD7"/>
    <w:rsid w:val="00010AD8"/>
    <w:rsid w:val="00011007"/>
    <w:rsid w:val="000125B7"/>
    <w:rsid w:val="000136F0"/>
    <w:rsid w:val="00014318"/>
    <w:rsid w:val="000148E1"/>
    <w:rsid w:val="00017387"/>
    <w:rsid w:val="00020761"/>
    <w:rsid w:val="0002077A"/>
    <w:rsid w:val="000217AF"/>
    <w:rsid w:val="0002258C"/>
    <w:rsid w:val="000240E9"/>
    <w:rsid w:val="000247C1"/>
    <w:rsid w:val="00027330"/>
    <w:rsid w:val="000301F8"/>
    <w:rsid w:val="00030231"/>
    <w:rsid w:val="00030A86"/>
    <w:rsid w:val="00031E66"/>
    <w:rsid w:val="00031F03"/>
    <w:rsid w:val="000336E2"/>
    <w:rsid w:val="00035E23"/>
    <w:rsid w:val="00037092"/>
    <w:rsid w:val="00040D8B"/>
    <w:rsid w:val="000410AB"/>
    <w:rsid w:val="00042D59"/>
    <w:rsid w:val="00043706"/>
    <w:rsid w:val="00044140"/>
    <w:rsid w:val="0004532E"/>
    <w:rsid w:val="0005265C"/>
    <w:rsid w:val="00052ABC"/>
    <w:rsid w:val="00053C3A"/>
    <w:rsid w:val="00053FCF"/>
    <w:rsid w:val="000549F6"/>
    <w:rsid w:val="00054CF4"/>
    <w:rsid w:val="00054DE8"/>
    <w:rsid w:val="00055173"/>
    <w:rsid w:val="000562C0"/>
    <w:rsid w:val="000600DE"/>
    <w:rsid w:val="0006058F"/>
    <w:rsid w:val="000621DD"/>
    <w:rsid w:val="0006240C"/>
    <w:rsid w:val="00062CD4"/>
    <w:rsid w:val="00063EEB"/>
    <w:rsid w:val="0006479E"/>
    <w:rsid w:val="00065787"/>
    <w:rsid w:val="000673B6"/>
    <w:rsid w:val="00067530"/>
    <w:rsid w:val="00070030"/>
    <w:rsid w:val="000719A1"/>
    <w:rsid w:val="00072F55"/>
    <w:rsid w:val="0007539D"/>
    <w:rsid w:val="00075883"/>
    <w:rsid w:val="000775B1"/>
    <w:rsid w:val="0008093F"/>
    <w:rsid w:val="00080BF6"/>
    <w:rsid w:val="00080E3B"/>
    <w:rsid w:val="00082802"/>
    <w:rsid w:val="0008297B"/>
    <w:rsid w:val="00083537"/>
    <w:rsid w:val="000842C8"/>
    <w:rsid w:val="00084C1B"/>
    <w:rsid w:val="00084C20"/>
    <w:rsid w:val="000853EF"/>
    <w:rsid w:val="00087456"/>
    <w:rsid w:val="000874DF"/>
    <w:rsid w:val="00087E39"/>
    <w:rsid w:val="000917FE"/>
    <w:rsid w:val="0009200E"/>
    <w:rsid w:val="00092321"/>
    <w:rsid w:val="00092AC7"/>
    <w:rsid w:val="00093560"/>
    <w:rsid w:val="00094791"/>
    <w:rsid w:val="0009545E"/>
    <w:rsid w:val="0009779B"/>
    <w:rsid w:val="00097AFA"/>
    <w:rsid w:val="000A0C03"/>
    <w:rsid w:val="000A3A58"/>
    <w:rsid w:val="000A4069"/>
    <w:rsid w:val="000A4C95"/>
    <w:rsid w:val="000B40D4"/>
    <w:rsid w:val="000B40EA"/>
    <w:rsid w:val="000B57ED"/>
    <w:rsid w:val="000B5FD6"/>
    <w:rsid w:val="000B6B84"/>
    <w:rsid w:val="000B7353"/>
    <w:rsid w:val="000B7DBA"/>
    <w:rsid w:val="000C0811"/>
    <w:rsid w:val="000C13CC"/>
    <w:rsid w:val="000C165D"/>
    <w:rsid w:val="000C1E90"/>
    <w:rsid w:val="000C2F4F"/>
    <w:rsid w:val="000C2F64"/>
    <w:rsid w:val="000C399B"/>
    <w:rsid w:val="000C3E60"/>
    <w:rsid w:val="000C480A"/>
    <w:rsid w:val="000C52A6"/>
    <w:rsid w:val="000C61E3"/>
    <w:rsid w:val="000C6A2B"/>
    <w:rsid w:val="000D0069"/>
    <w:rsid w:val="000D1919"/>
    <w:rsid w:val="000D1D2E"/>
    <w:rsid w:val="000D3F30"/>
    <w:rsid w:val="000D58C3"/>
    <w:rsid w:val="000D5D52"/>
    <w:rsid w:val="000D5EA8"/>
    <w:rsid w:val="000D60FB"/>
    <w:rsid w:val="000D62DE"/>
    <w:rsid w:val="000D6AA5"/>
    <w:rsid w:val="000D6B36"/>
    <w:rsid w:val="000D7F34"/>
    <w:rsid w:val="000D7F45"/>
    <w:rsid w:val="000E20A6"/>
    <w:rsid w:val="000E2C12"/>
    <w:rsid w:val="000E3510"/>
    <w:rsid w:val="000E5E96"/>
    <w:rsid w:val="000E7BF1"/>
    <w:rsid w:val="000F00A8"/>
    <w:rsid w:val="000F0ED1"/>
    <w:rsid w:val="000F10CA"/>
    <w:rsid w:val="000F1672"/>
    <w:rsid w:val="000F5062"/>
    <w:rsid w:val="001000CA"/>
    <w:rsid w:val="001003CB"/>
    <w:rsid w:val="00100B0C"/>
    <w:rsid w:val="0010183D"/>
    <w:rsid w:val="00101D75"/>
    <w:rsid w:val="001023D0"/>
    <w:rsid w:val="0010281D"/>
    <w:rsid w:val="00103B24"/>
    <w:rsid w:val="00103CE1"/>
    <w:rsid w:val="00103DAD"/>
    <w:rsid w:val="00105AC1"/>
    <w:rsid w:val="00105F91"/>
    <w:rsid w:val="00106AFE"/>
    <w:rsid w:val="00106C25"/>
    <w:rsid w:val="00106C7F"/>
    <w:rsid w:val="00107350"/>
    <w:rsid w:val="0011033E"/>
    <w:rsid w:val="0011098B"/>
    <w:rsid w:val="00111474"/>
    <w:rsid w:val="001139D0"/>
    <w:rsid w:val="00113EC0"/>
    <w:rsid w:val="00114C90"/>
    <w:rsid w:val="001159DD"/>
    <w:rsid w:val="00115DA9"/>
    <w:rsid w:val="00115F64"/>
    <w:rsid w:val="00116855"/>
    <w:rsid w:val="001168FD"/>
    <w:rsid w:val="00117A85"/>
    <w:rsid w:val="00117FE8"/>
    <w:rsid w:val="001224B9"/>
    <w:rsid w:val="00123645"/>
    <w:rsid w:val="0012411B"/>
    <w:rsid w:val="00124509"/>
    <w:rsid w:val="00124E53"/>
    <w:rsid w:val="00124EDB"/>
    <w:rsid w:val="00130006"/>
    <w:rsid w:val="00130023"/>
    <w:rsid w:val="00131DF8"/>
    <w:rsid w:val="00131FC6"/>
    <w:rsid w:val="00132253"/>
    <w:rsid w:val="00133AD0"/>
    <w:rsid w:val="00133E40"/>
    <w:rsid w:val="001342F9"/>
    <w:rsid w:val="00136534"/>
    <w:rsid w:val="00136C63"/>
    <w:rsid w:val="0013758C"/>
    <w:rsid w:val="00140183"/>
    <w:rsid w:val="00140C88"/>
    <w:rsid w:val="001413E8"/>
    <w:rsid w:val="00141ED2"/>
    <w:rsid w:val="001423BE"/>
    <w:rsid w:val="001441D9"/>
    <w:rsid w:val="001448F6"/>
    <w:rsid w:val="001453C1"/>
    <w:rsid w:val="001477B4"/>
    <w:rsid w:val="00147FFE"/>
    <w:rsid w:val="001500FD"/>
    <w:rsid w:val="00152FE2"/>
    <w:rsid w:val="0015352F"/>
    <w:rsid w:val="0015365B"/>
    <w:rsid w:val="0015380C"/>
    <w:rsid w:val="00154766"/>
    <w:rsid w:val="00157F58"/>
    <w:rsid w:val="001603BA"/>
    <w:rsid w:val="001619DB"/>
    <w:rsid w:val="00161A22"/>
    <w:rsid w:val="00162B8F"/>
    <w:rsid w:val="00163E81"/>
    <w:rsid w:val="001652AF"/>
    <w:rsid w:val="001661CD"/>
    <w:rsid w:val="001666A1"/>
    <w:rsid w:val="00166C1A"/>
    <w:rsid w:val="00166D37"/>
    <w:rsid w:val="00167437"/>
    <w:rsid w:val="001704C1"/>
    <w:rsid w:val="0017168F"/>
    <w:rsid w:val="001738E5"/>
    <w:rsid w:val="0017441D"/>
    <w:rsid w:val="0017456D"/>
    <w:rsid w:val="001752B9"/>
    <w:rsid w:val="00175616"/>
    <w:rsid w:val="00176CE3"/>
    <w:rsid w:val="00177459"/>
    <w:rsid w:val="001809CA"/>
    <w:rsid w:val="00180F36"/>
    <w:rsid w:val="001811A2"/>
    <w:rsid w:val="001814E8"/>
    <w:rsid w:val="00181C74"/>
    <w:rsid w:val="001852E0"/>
    <w:rsid w:val="001857FA"/>
    <w:rsid w:val="00185E93"/>
    <w:rsid w:val="00185EBC"/>
    <w:rsid w:val="0018633F"/>
    <w:rsid w:val="0018783C"/>
    <w:rsid w:val="00190AC6"/>
    <w:rsid w:val="00190DC9"/>
    <w:rsid w:val="00192059"/>
    <w:rsid w:val="001927E4"/>
    <w:rsid w:val="00192C00"/>
    <w:rsid w:val="001944F2"/>
    <w:rsid w:val="001945E2"/>
    <w:rsid w:val="001969F0"/>
    <w:rsid w:val="00196A9A"/>
    <w:rsid w:val="00196AC7"/>
    <w:rsid w:val="001A152B"/>
    <w:rsid w:val="001A271D"/>
    <w:rsid w:val="001A2A85"/>
    <w:rsid w:val="001A2E80"/>
    <w:rsid w:val="001A323A"/>
    <w:rsid w:val="001A3F34"/>
    <w:rsid w:val="001A54C3"/>
    <w:rsid w:val="001A65E7"/>
    <w:rsid w:val="001A7923"/>
    <w:rsid w:val="001A7E8C"/>
    <w:rsid w:val="001B01DD"/>
    <w:rsid w:val="001B0963"/>
    <w:rsid w:val="001B0DA4"/>
    <w:rsid w:val="001B0E12"/>
    <w:rsid w:val="001B2341"/>
    <w:rsid w:val="001B26A7"/>
    <w:rsid w:val="001B2D0A"/>
    <w:rsid w:val="001B2DD2"/>
    <w:rsid w:val="001B2E95"/>
    <w:rsid w:val="001B4656"/>
    <w:rsid w:val="001B5888"/>
    <w:rsid w:val="001B66DD"/>
    <w:rsid w:val="001B68A6"/>
    <w:rsid w:val="001B72D1"/>
    <w:rsid w:val="001B7F6B"/>
    <w:rsid w:val="001C0759"/>
    <w:rsid w:val="001C0E6D"/>
    <w:rsid w:val="001C19F1"/>
    <w:rsid w:val="001C28C7"/>
    <w:rsid w:val="001C2902"/>
    <w:rsid w:val="001C2F07"/>
    <w:rsid w:val="001C3582"/>
    <w:rsid w:val="001C367B"/>
    <w:rsid w:val="001C6640"/>
    <w:rsid w:val="001D02B3"/>
    <w:rsid w:val="001D26F9"/>
    <w:rsid w:val="001D4376"/>
    <w:rsid w:val="001D4DAD"/>
    <w:rsid w:val="001D5B9A"/>
    <w:rsid w:val="001D5FB7"/>
    <w:rsid w:val="001D657E"/>
    <w:rsid w:val="001E0272"/>
    <w:rsid w:val="001E02FF"/>
    <w:rsid w:val="001E0B1C"/>
    <w:rsid w:val="001E2C89"/>
    <w:rsid w:val="001E5368"/>
    <w:rsid w:val="001E7558"/>
    <w:rsid w:val="001F03F9"/>
    <w:rsid w:val="001F076C"/>
    <w:rsid w:val="001F2FC3"/>
    <w:rsid w:val="00201353"/>
    <w:rsid w:val="00203C51"/>
    <w:rsid w:val="0020428A"/>
    <w:rsid w:val="002043FB"/>
    <w:rsid w:val="0020498C"/>
    <w:rsid w:val="00205770"/>
    <w:rsid w:val="00207423"/>
    <w:rsid w:val="00210843"/>
    <w:rsid w:val="00210DB7"/>
    <w:rsid w:val="0021163B"/>
    <w:rsid w:val="00212174"/>
    <w:rsid w:val="002131CD"/>
    <w:rsid w:val="00213993"/>
    <w:rsid w:val="00214AA2"/>
    <w:rsid w:val="00216A99"/>
    <w:rsid w:val="002178DD"/>
    <w:rsid w:val="002200CD"/>
    <w:rsid w:val="00222A1C"/>
    <w:rsid w:val="00222B72"/>
    <w:rsid w:val="0022451B"/>
    <w:rsid w:val="00224F03"/>
    <w:rsid w:val="002260D7"/>
    <w:rsid w:val="00226599"/>
    <w:rsid w:val="00226EA1"/>
    <w:rsid w:val="0022700E"/>
    <w:rsid w:val="00227061"/>
    <w:rsid w:val="00227367"/>
    <w:rsid w:val="0022736B"/>
    <w:rsid w:val="00230732"/>
    <w:rsid w:val="00233D0E"/>
    <w:rsid w:val="00233E73"/>
    <w:rsid w:val="00234750"/>
    <w:rsid w:val="00235204"/>
    <w:rsid w:val="002358C3"/>
    <w:rsid w:val="0023739D"/>
    <w:rsid w:val="00237847"/>
    <w:rsid w:val="00237EDB"/>
    <w:rsid w:val="002408B3"/>
    <w:rsid w:val="0024513B"/>
    <w:rsid w:val="002452F7"/>
    <w:rsid w:val="00246231"/>
    <w:rsid w:val="00246334"/>
    <w:rsid w:val="00246D0D"/>
    <w:rsid w:val="002500BE"/>
    <w:rsid w:val="00250C6F"/>
    <w:rsid w:val="00250E9F"/>
    <w:rsid w:val="00250EDF"/>
    <w:rsid w:val="0025186C"/>
    <w:rsid w:val="00251FD4"/>
    <w:rsid w:val="002525E2"/>
    <w:rsid w:val="002527BE"/>
    <w:rsid w:val="00253AB8"/>
    <w:rsid w:val="00254113"/>
    <w:rsid w:val="00255236"/>
    <w:rsid w:val="00255FD0"/>
    <w:rsid w:val="00256074"/>
    <w:rsid w:val="0025720B"/>
    <w:rsid w:val="002575BE"/>
    <w:rsid w:val="00261DAA"/>
    <w:rsid w:val="0026504C"/>
    <w:rsid w:val="00265D26"/>
    <w:rsid w:val="00266291"/>
    <w:rsid w:val="0026630F"/>
    <w:rsid w:val="002678B4"/>
    <w:rsid w:val="002679E8"/>
    <w:rsid w:val="00267BA7"/>
    <w:rsid w:val="00267FA8"/>
    <w:rsid w:val="00271284"/>
    <w:rsid w:val="00272DB9"/>
    <w:rsid w:val="00274DB6"/>
    <w:rsid w:val="00274EFA"/>
    <w:rsid w:val="00275AC8"/>
    <w:rsid w:val="00275F57"/>
    <w:rsid w:val="002766DF"/>
    <w:rsid w:val="00280B0D"/>
    <w:rsid w:val="002843CC"/>
    <w:rsid w:val="00284779"/>
    <w:rsid w:val="0028541C"/>
    <w:rsid w:val="00285F5C"/>
    <w:rsid w:val="0029095C"/>
    <w:rsid w:val="00292891"/>
    <w:rsid w:val="002962EF"/>
    <w:rsid w:val="002973EE"/>
    <w:rsid w:val="002978B9"/>
    <w:rsid w:val="002A0105"/>
    <w:rsid w:val="002A26D0"/>
    <w:rsid w:val="002A30A1"/>
    <w:rsid w:val="002A48CE"/>
    <w:rsid w:val="002A5190"/>
    <w:rsid w:val="002A53E9"/>
    <w:rsid w:val="002A557E"/>
    <w:rsid w:val="002A5D51"/>
    <w:rsid w:val="002A6A34"/>
    <w:rsid w:val="002A76B4"/>
    <w:rsid w:val="002A77D2"/>
    <w:rsid w:val="002B09CB"/>
    <w:rsid w:val="002B0FCA"/>
    <w:rsid w:val="002B1A08"/>
    <w:rsid w:val="002B3275"/>
    <w:rsid w:val="002B39A3"/>
    <w:rsid w:val="002B452D"/>
    <w:rsid w:val="002B557E"/>
    <w:rsid w:val="002B635B"/>
    <w:rsid w:val="002B67A8"/>
    <w:rsid w:val="002C103E"/>
    <w:rsid w:val="002C1DA2"/>
    <w:rsid w:val="002C2DDF"/>
    <w:rsid w:val="002C3301"/>
    <w:rsid w:val="002C384A"/>
    <w:rsid w:val="002C45C5"/>
    <w:rsid w:val="002C481F"/>
    <w:rsid w:val="002C5DF1"/>
    <w:rsid w:val="002C6641"/>
    <w:rsid w:val="002C7E15"/>
    <w:rsid w:val="002D0FDC"/>
    <w:rsid w:val="002D1DAC"/>
    <w:rsid w:val="002D31C3"/>
    <w:rsid w:val="002D3E86"/>
    <w:rsid w:val="002D4757"/>
    <w:rsid w:val="002D4E37"/>
    <w:rsid w:val="002D5068"/>
    <w:rsid w:val="002D5241"/>
    <w:rsid w:val="002D63F4"/>
    <w:rsid w:val="002D6990"/>
    <w:rsid w:val="002D69A8"/>
    <w:rsid w:val="002D7108"/>
    <w:rsid w:val="002D74A9"/>
    <w:rsid w:val="002E13FD"/>
    <w:rsid w:val="002E29E8"/>
    <w:rsid w:val="002E50A3"/>
    <w:rsid w:val="002E57AA"/>
    <w:rsid w:val="002E5BA0"/>
    <w:rsid w:val="002E686F"/>
    <w:rsid w:val="002E7866"/>
    <w:rsid w:val="002F05A6"/>
    <w:rsid w:val="002F0BAB"/>
    <w:rsid w:val="002F392A"/>
    <w:rsid w:val="002F541C"/>
    <w:rsid w:val="002F5DD5"/>
    <w:rsid w:val="002F6156"/>
    <w:rsid w:val="002F6336"/>
    <w:rsid w:val="002F6648"/>
    <w:rsid w:val="00301989"/>
    <w:rsid w:val="00301D65"/>
    <w:rsid w:val="003031A4"/>
    <w:rsid w:val="00303A89"/>
    <w:rsid w:val="003043F6"/>
    <w:rsid w:val="00305121"/>
    <w:rsid w:val="003060BD"/>
    <w:rsid w:val="00310118"/>
    <w:rsid w:val="00310266"/>
    <w:rsid w:val="00311D5B"/>
    <w:rsid w:val="00312F22"/>
    <w:rsid w:val="003178B9"/>
    <w:rsid w:val="00317AAC"/>
    <w:rsid w:val="00317EFA"/>
    <w:rsid w:val="00321423"/>
    <w:rsid w:val="00324BFD"/>
    <w:rsid w:val="00330BD2"/>
    <w:rsid w:val="003322B6"/>
    <w:rsid w:val="003324B2"/>
    <w:rsid w:val="00334194"/>
    <w:rsid w:val="003344E4"/>
    <w:rsid w:val="00334C5D"/>
    <w:rsid w:val="00336E84"/>
    <w:rsid w:val="003372C1"/>
    <w:rsid w:val="00337491"/>
    <w:rsid w:val="00341988"/>
    <w:rsid w:val="00342AA7"/>
    <w:rsid w:val="00342F43"/>
    <w:rsid w:val="00344294"/>
    <w:rsid w:val="003446E4"/>
    <w:rsid w:val="003447F1"/>
    <w:rsid w:val="00345CA1"/>
    <w:rsid w:val="0034654D"/>
    <w:rsid w:val="00347A82"/>
    <w:rsid w:val="0035029B"/>
    <w:rsid w:val="00351415"/>
    <w:rsid w:val="00351D59"/>
    <w:rsid w:val="003523BD"/>
    <w:rsid w:val="003539A2"/>
    <w:rsid w:val="00353DBE"/>
    <w:rsid w:val="00356C1F"/>
    <w:rsid w:val="00356CF4"/>
    <w:rsid w:val="0035723A"/>
    <w:rsid w:val="0035740F"/>
    <w:rsid w:val="00357D40"/>
    <w:rsid w:val="00357D8B"/>
    <w:rsid w:val="00360189"/>
    <w:rsid w:val="003607AE"/>
    <w:rsid w:val="00361506"/>
    <w:rsid w:val="00361B27"/>
    <w:rsid w:val="00361C51"/>
    <w:rsid w:val="00361EB0"/>
    <w:rsid w:val="00363078"/>
    <w:rsid w:val="003643AB"/>
    <w:rsid w:val="003672EA"/>
    <w:rsid w:val="0036745C"/>
    <w:rsid w:val="00370FCD"/>
    <w:rsid w:val="00371D58"/>
    <w:rsid w:val="003724FB"/>
    <w:rsid w:val="00372BD1"/>
    <w:rsid w:val="00372D4A"/>
    <w:rsid w:val="003731E5"/>
    <w:rsid w:val="003734BA"/>
    <w:rsid w:val="003747AF"/>
    <w:rsid w:val="003753D4"/>
    <w:rsid w:val="003754BB"/>
    <w:rsid w:val="0037582C"/>
    <w:rsid w:val="00375A16"/>
    <w:rsid w:val="00377815"/>
    <w:rsid w:val="00380C17"/>
    <w:rsid w:val="00381624"/>
    <w:rsid w:val="00382D24"/>
    <w:rsid w:val="00383EA6"/>
    <w:rsid w:val="003853E7"/>
    <w:rsid w:val="00386F1E"/>
    <w:rsid w:val="00387155"/>
    <w:rsid w:val="00387560"/>
    <w:rsid w:val="003906FF"/>
    <w:rsid w:val="00393010"/>
    <w:rsid w:val="00393043"/>
    <w:rsid w:val="003939A5"/>
    <w:rsid w:val="00393FCC"/>
    <w:rsid w:val="0039514E"/>
    <w:rsid w:val="003958F9"/>
    <w:rsid w:val="0039595F"/>
    <w:rsid w:val="00397E2C"/>
    <w:rsid w:val="003A14D3"/>
    <w:rsid w:val="003A1D61"/>
    <w:rsid w:val="003A2A23"/>
    <w:rsid w:val="003A3356"/>
    <w:rsid w:val="003A4589"/>
    <w:rsid w:val="003A535F"/>
    <w:rsid w:val="003A7C2A"/>
    <w:rsid w:val="003B17D9"/>
    <w:rsid w:val="003B1E62"/>
    <w:rsid w:val="003B2B29"/>
    <w:rsid w:val="003B3A2D"/>
    <w:rsid w:val="003B4336"/>
    <w:rsid w:val="003B4940"/>
    <w:rsid w:val="003B6367"/>
    <w:rsid w:val="003B688A"/>
    <w:rsid w:val="003C0EB3"/>
    <w:rsid w:val="003C18B0"/>
    <w:rsid w:val="003C2D7D"/>
    <w:rsid w:val="003C486C"/>
    <w:rsid w:val="003C4A2D"/>
    <w:rsid w:val="003C67AC"/>
    <w:rsid w:val="003C6E00"/>
    <w:rsid w:val="003C79A5"/>
    <w:rsid w:val="003D0AFD"/>
    <w:rsid w:val="003D1264"/>
    <w:rsid w:val="003D15B1"/>
    <w:rsid w:val="003D3EE4"/>
    <w:rsid w:val="003D5538"/>
    <w:rsid w:val="003D5F26"/>
    <w:rsid w:val="003D631F"/>
    <w:rsid w:val="003D6630"/>
    <w:rsid w:val="003D6B8D"/>
    <w:rsid w:val="003D743C"/>
    <w:rsid w:val="003D7B7E"/>
    <w:rsid w:val="003D7D80"/>
    <w:rsid w:val="003E0DD7"/>
    <w:rsid w:val="003E2035"/>
    <w:rsid w:val="003E33CB"/>
    <w:rsid w:val="003E3804"/>
    <w:rsid w:val="003E4184"/>
    <w:rsid w:val="003E6CAE"/>
    <w:rsid w:val="003E7474"/>
    <w:rsid w:val="003E770F"/>
    <w:rsid w:val="003E7CC9"/>
    <w:rsid w:val="003E7DE6"/>
    <w:rsid w:val="003F0A82"/>
    <w:rsid w:val="003F140F"/>
    <w:rsid w:val="003F15F8"/>
    <w:rsid w:val="003F27C9"/>
    <w:rsid w:val="003F2FAB"/>
    <w:rsid w:val="003F3990"/>
    <w:rsid w:val="003F56E6"/>
    <w:rsid w:val="003F6603"/>
    <w:rsid w:val="003F7A76"/>
    <w:rsid w:val="0040049D"/>
    <w:rsid w:val="004029C5"/>
    <w:rsid w:val="0040353E"/>
    <w:rsid w:val="004058C3"/>
    <w:rsid w:val="004061FB"/>
    <w:rsid w:val="00406267"/>
    <w:rsid w:val="0040650C"/>
    <w:rsid w:val="004115C8"/>
    <w:rsid w:val="0041160A"/>
    <w:rsid w:val="004117E7"/>
    <w:rsid w:val="004128D2"/>
    <w:rsid w:val="00412F85"/>
    <w:rsid w:val="0041358B"/>
    <w:rsid w:val="004139F0"/>
    <w:rsid w:val="00413CAC"/>
    <w:rsid w:val="00413DD2"/>
    <w:rsid w:val="00415880"/>
    <w:rsid w:val="004161BE"/>
    <w:rsid w:val="004174C6"/>
    <w:rsid w:val="00417779"/>
    <w:rsid w:val="00417A62"/>
    <w:rsid w:val="00417F65"/>
    <w:rsid w:val="004207B8"/>
    <w:rsid w:val="0042104C"/>
    <w:rsid w:val="00421524"/>
    <w:rsid w:val="004235A3"/>
    <w:rsid w:val="00423858"/>
    <w:rsid w:val="00424C84"/>
    <w:rsid w:val="00424EEA"/>
    <w:rsid w:val="00424F99"/>
    <w:rsid w:val="00425881"/>
    <w:rsid w:val="00427B03"/>
    <w:rsid w:val="00432E03"/>
    <w:rsid w:val="00434C21"/>
    <w:rsid w:val="00435A5D"/>
    <w:rsid w:val="00435CE6"/>
    <w:rsid w:val="0043683F"/>
    <w:rsid w:val="00436D24"/>
    <w:rsid w:val="004374D6"/>
    <w:rsid w:val="00440787"/>
    <w:rsid w:val="00440801"/>
    <w:rsid w:val="0044315C"/>
    <w:rsid w:val="00443690"/>
    <w:rsid w:val="004438D5"/>
    <w:rsid w:val="00443F9E"/>
    <w:rsid w:val="0044459F"/>
    <w:rsid w:val="00452340"/>
    <w:rsid w:val="00452409"/>
    <w:rsid w:val="004526CC"/>
    <w:rsid w:val="00452FC0"/>
    <w:rsid w:val="00453710"/>
    <w:rsid w:val="00454283"/>
    <w:rsid w:val="00454915"/>
    <w:rsid w:val="00456D07"/>
    <w:rsid w:val="0045713F"/>
    <w:rsid w:val="0045728F"/>
    <w:rsid w:val="00462678"/>
    <w:rsid w:val="00462E5E"/>
    <w:rsid w:val="00462FEC"/>
    <w:rsid w:val="0046455A"/>
    <w:rsid w:val="00464631"/>
    <w:rsid w:val="00464CF7"/>
    <w:rsid w:val="00464EAB"/>
    <w:rsid w:val="0046501F"/>
    <w:rsid w:val="00465ADE"/>
    <w:rsid w:val="00467629"/>
    <w:rsid w:val="00472F69"/>
    <w:rsid w:val="004742C1"/>
    <w:rsid w:val="00475495"/>
    <w:rsid w:val="004755B8"/>
    <w:rsid w:val="00475DCB"/>
    <w:rsid w:val="00476E90"/>
    <w:rsid w:val="004775DA"/>
    <w:rsid w:val="00480306"/>
    <w:rsid w:val="0048075D"/>
    <w:rsid w:val="004807F2"/>
    <w:rsid w:val="004841F9"/>
    <w:rsid w:val="00487461"/>
    <w:rsid w:val="00487571"/>
    <w:rsid w:val="00492D0F"/>
    <w:rsid w:val="004940FA"/>
    <w:rsid w:val="004946A2"/>
    <w:rsid w:val="00496FB5"/>
    <w:rsid w:val="004A01F0"/>
    <w:rsid w:val="004A11F7"/>
    <w:rsid w:val="004A1986"/>
    <w:rsid w:val="004A2522"/>
    <w:rsid w:val="004A2ABD"/>
    <w:rsid w:val="004A2F8E"/>
    <w:rsid w:val="004A447F"/>
    <w:rsid w:val="004A522C"/>
    <w:rsid w:val="004A66A0"/>
    <w:rsid w:val="004A7B06"/>
    <w:rsid w:val="004B055B"/>
    <w:rsid w:val="004B110F"/>
    <w:rsid w:val="004B1FC6"/>
    <w:rsid w:val="004B2EB1"/>
    <w:rsid w:val="004B4104"/>
    <w:rsid w:val="004B42E3"/>
    <w:rsid w:val="004C0FA6"/>
    <w:rsid w:val="004C1DBA"/>
    <w:rsid w:val="004C36D8"/>
    <w:rsid w:val="004C3ABA"/>
    <w:rsid w:val="004C4B86"/>
    <w:rsid w:val="004C4C82"/>
    <w:rsid w:val="004C4F86"/>
    <w:rsid w:val="004C6721"/>
    <w:rsid w:val="004C6857"/>
    <w:rsid w:val="004C69F0"/>
    <w:rsid w:val="004C7B48"/>
    <w:rsid w:val="004D0CB4"/>
    <w:rsid w:val="004D15E0"/>
    <w:rsid w:val="004D42EB"/>
    <w:rsid w:val="004D4F43"/>
    <w:rsid w:val="004D55D1"/>
    <w:rsid w:val="004D61BC"/>
    <w:rsid w:val="004D6C82"/>
    <w:rsid w:val="004E02BC"/>
    <w:rsid w:val="004E02C5"/>
    <w:rsid w:val="004E07D8"/>
    <w:rsid w:val="004E0BA6"/>
    <w:rsid w:val="004E1AFB"/>
    <w:rsid w:val="004E2B59"/>
    <w:rsid w:val="004E2F24"/>
    <w:rsid w:val="004E3099"/>
    <w:rsid w:val="004E4AD0"/>
    <w:rsid w:val="004E5C0A"/>
    <w:rsid w:val="004E6500"/>
    <w:rsid w:val="004E68DE"/>
    <w:rsid w:val="004E6C32"/>
    <w:rsid w:val="004E755E"/>
    <w:rsid w:val="004F0A89"/>
    <w:rsid w:val="004F0FDE"/>
    <w:rsid w:val="004F165A"/>
    <w:rsid w:val="004F1872"/>
    <w:rsid w:val="004F578D"/>
    <w:rsid w:val="004F7488"/>
    <w:rsid w:val="00500594"/>
    <w:rsid w:val="00500B91"/>
    <w:rsid w:val="0050116E"/>
    <w:rsid w:val="00503A69"/>
    <w:rsid w:val="005044EC"/>
    <w:rsid w:val="0050648E"/>
    <w:rsid w:val="005118B6"/>
    <w:rsid w:val="00512823"/>
    <w:rsid w:val="005131C0"/>
    <w:rsid w:val="00520A23"/>
    <w:rsid w:val="00521689"/>
    <w:rsid w:val="0052203A"/>
    <w:rsid w:val="00522AB6"/>
    <w:rsid w:val="00523165"/>
    <w:rsid w:val="005243E3"/>
    <w:rsid w:val="00525672"/>
    <w:rsid w:val="00527ABD"/>
    <w:rsid w:val="00530403"/>
    <w:rsid w:val="00530849"/>
    <w:rsid w:val="00530EA1"/>
    <w:rsid w:val="00531D06"/>
    <w:rsid w:val="00532668"/>
    <w:rsid w:val="005327FF"/>
    <w:rsid w:val="00537C06"/>
    <w:rsid w:val="00537CBD"/>
    <w:rsid w:val="00540537"/>
    <w:rsid w:val="005429B5"/>
    <w:rsid w:val="00543E54"/>
    <w:rsid w:val="005465D7"/>
    <w:rsid w:val="0054760C"/>
    <w:rsid w:val="00547AE1"/>
    <w:rsid w:val="005506B2"/>
    <w:rsid w:val="00551AE2"/>
    <w:rsid w:val="00551B11"/>
    <w:rsid w:val="00551DB9"/>
    <w:rsid w:val="0055248C"/>
    <w:rsid w:val="0055409B"/>
    <w:rsid w:val="00554B99"/>
    <w:rsid w:val="00557959"/>
    <w:rsid w:val="00561878"/>
    <w:rsid w:val="00565E48"/>
    <w:rsid w:val="005663BE"/>
    <w:rsid w:val="005671FA"/>
    <w:rsid w:val="005718B4"/>
    <w:rsid w:val="00572214"/>
    <w:rsid w:val="00572E4A"/>
    <w:rsid w:val="005730E1"/>
    <w:rsid w:val="00573545"/>
    <w:rsid w:val="005753D7"/>
    <w:rsid w:val="0057691F"/>
    <w:rsid w:val="00577848"/>
    <w:rsid w:val="00580F02"/>
    <w:rsid w:val="00581B3E"/>
    <w:rsid w:val="00582E3A"/>
    <w:rsid w:val="00582F9F"/>
    <w:rsid w:val="00586E27"/>
    <w:rsid w:val="00587EDC"/>
    <w:rsid w:val="005901BA"/>
    <w:rsid w:val="005908A3"/>
    <w:rsid w:val="00592EFC"/>
    <w:rsid w:val="00594062"/>
    <w:rsid w:val="00594B30"/>
    <w:rsid w:val="00595080"/>
    <w:rsid w:val="0059576F"/>
    <w:rsid w:val="0059579B"/>
    <w:rsid w:val="00595A9E"/>
    <w:rsid w:val="005973BC"/>
    <w:rsid w:val="005A0910"/>
    <w:rsid w:val="005A187F"/>
    <w:rsid w:val="005A283A"/>
    <w:rsid w:val="005A2BC0"/>
    <w:rsid w:val="005A3EBC"/>
    <w:rsid w:val="005A4860"/>
    <w:rsid w:val="005A4892"/>
    <w:rsid w:val="005A686E"/>
    <w:rsid w:val="005A7180"/>
    <w:rsid w:val="005A78AC"/>
    <w:rsid w:val="005B0DD9"/>
    <w:rsid w:val="005B18C2"/>
    <w:rsid w:val="005B2800"/>
    <w:rsid w:val="005B36F7"/>
    <w:rsid w:val="005B3F7D"/>
    <w:rsid w:val="005B4035"/>
    <w:rsid w:val="005B460A"/>
    <w:rsid w:val="005B73C6"/>
    <w:rsid w:val="005C09B7"/>
    <w:rsid w:val="005C1804"/>
    <w:rsid w:val="005C1A3F"/>
    <w:rsid w:val="005C1CDE"/>
    <w:rsid w:val="005C1E07"/>
    <w:rsid w:val="005C3AF5"/>
    <w:rsid w:val="005C58D5"/>
    <w:rsid w:val="005C7307"/>
    <w:rsid w:val="005D0522"/>
    <w:rsid w:val="005D07E7"/>
    <w:rsid w:val="005D0EF6"/>
    <w:rsid w:val="005D1493"/>
    <w:rsid w:val="005D1787"/>
    <w:rsid w:val="005D3416"/>
    <w:rsid w:val="005D3F09"/>
    <w:rsid w:val="005D5EE3"/>
    <w:rsid w:val="005D60CC"/>
    <w:rsid w:val="005D631C"/>
    <w:rsid w:val="005D6806"/>
    <w:rsid w:val="005D6E84"/>
    <w:rsid w:val="005D6E94"/>
    <w:rsid w:val="005D7294"/>
    <w:rsid w:val="005D7BAA"/>
    <w:rsid w:val="005E1D74"/>
    <w:rsid w:val="005E2889"/>
    <w:rsid w:val="005E2C1E"/>
    <w:rsid w:val="005E2CF0"/>
    <w:rsid w:val="005E32AE"/>
    <w:rsid w:val="005E388F"/>
    <w:rsid w:val="005E5272"/>
    <w:rsid w:val="005E5697"/>
    <w:rsid w:val="005E61E4"/>
    <w:rsid w:val="005E6802"/>
    <w:rsid w:val="005F02A3"/>
    <w:rsid w:val="005F02DC"/>
    <w:rsid w:val="005F0EFA"/>
    <w:rsid w:val="005F2C79"/>
    <w:rsid w:val="005F376A"/>
    <w:rsid w:val="005F380B"/>
    <w:rsid w:val="005F423E"/>
    <w:rsid w:val="005F4E68"/>
    <w:rsid w:val="005F5701"/>
    <w:rsid w:val="005F5CD3"/>
    <w:rsid w:val="005F632F"/>
    <w:rsid w:val="005F6927"/>
    <w:rsid w:val="005F6BF5"/>
    <w:rsid w:val="005F6DFE"/>
    <w:rsid w:val="005F7875"/>
    <w:rsid w:val="0060059F"/>
    <w:rsid w:val="00600662"/>
    <w:rsid w:val="00600678"/>
    <w:rsid w:val="006018BE"/>
    <w:rsid w:val="00603519"/>
    <w:rsid w:val="00603DD9"/>
    <w:rsid w:val="006047D8"/>
    <w:rsid w:val="006049D2"/>
    <w:rsid w:val="00604B73"/>
    <w:rsid w:val="006064D6"/>
    <w:rsid w:val="00606773"/>
    <w:rsid w:val="00606E66"/>
    <w:rsid w:val="00607240"/>
    <w:rsid w:val="00607321"/>
    <w:rsid w:val="00607A07"/>
    <w:rsid w:val="0061003A"/>
    <w:rsid w:val="0061310A"/>
    <w:rsid w:val="0061322A"/>
    <w:rsid w:val="00613E51"/>
    <w:rsid w:val="006151B9"/>
    <w:rsid w:val="00615E46"/>
    <w:rsid w:val="00616121"/>
    <w:rsid w:val="006165C5"/>
    <w:rsid w:val="00616C9A"/>
    <w:rsid w:val="00617E6A"/>
    <w:rsid w:val="006202FC"/>
    <w:rsid w:val="00621698"/>
    <w:rsid w:val="00621782"/>
    <w:rsid w:val="00622816"/>
    <w:rsid w:val="00624643"/>
    <w:rsid w:val="00626983"/>
    <w:rsid w:val="006278B1"/>
    <w:rsid w:val="00627C83"/>
    <w:rsid w:val="006304B1"/>
    <w:rsid w:val="006304FA"/>
    <w:rsid w:val="00631433"/>
    <w:rsid w:val="0063353D"/>
    <w:rsid w:val="00635CA1"/>
    <w:rsid w:val="00640744"/>
    <w:rsid w:val="00640A64"/>
    <w:rsid w:val="00642254"/>
    <w:rsid w:val="006433A3"/>
    <w:rsid w:val="00644341"/>
    <w:rsid w:val="00644499"/>
    <w:rsid w:val="00645C14"/>
    <w:rsid w:val="0064652C"/>
    <w:rsid w:val="0064679A"/>
    <w:rsid w:val="00651592"/>
    <w:rsid w:val="00652A30"/>
    <w:rsid w:val="0065540C"/>
    <w:rsid w:val="006578D0"/>
    <w:rsid w:val="00657B66"/>
    <w:rsid w:val="00657FBE"/>
    <w:rsid w:val="00661637"/>
    <w:rsid w:val="00662D5B"/>
    <w:rsid w:val="00662E27"/>
    <w:rsid w:val="0066449B"/>
    <w:rsid w:val="006659F6"/>
    <w:rsid w:val="00666410"/>
    <w:rsid w:val="006701AE"/>
    <w:rsid w:val="00670790"/>
    <w:rsid w:val="00670EE6"/>
    <w:rsid w:val="006719B8"/>
    <w:rsid w:val="00673327"/>
    <w:rsid w:val="00673497"/>
    <w:rsid w:val="0067449D"/>
    <w:rsid w:val="00675AC8"/>
    <w:rsid w:val="00675F6A"/>
    <w:rsid w:val="00675FCD"/>
    <w:rsid w:val="006811BF"/>
    <w:rsid w:val="00682104"/>
    <w:rsid w:val="006842B7"/>
    <w:rsid w:val="00684431"/>
    <w:rsid w:val="006851C6"/>
    <w:rsid w:val="00685DE1"/>
    <w:rsid w:val="006863B4"/>
    <w:rsid w:val="00690494"/>
    <w:rsid w:val="00691F34"/>
    <w:rsid w:val="0069271A"/>
    <w:rsid w:val="00692774"/>
    <w:rsid w:val="00693DFF"/>
    <w:rsid w:val="00695541"/>
    <w:rsid w:val="0069623B"/>
    <w:rsid w:val="00697C15"/>
    <w:rsid w:val="006A0D6B"/>
    <w:rsid w:val="006A2DCE"/>
    <w:rsid w:val="006A4309"/>
    <w:rsid w:val="006A62F9"/>
    <w:rsid w:val="006A696A"/>
    <w:rsid w:val="006B25A6"/>
    <w:rsid w:val="006B25A8"/>
    <w:rsid w:val="006B2E2C"/>
    <w:rsid w:val="006B32F5"/>
    <w:rsid w:val="006B3D0D"/>
    <w:rsid w:val="006B3F34"/>
    <w:rsid w:val="006B5846"/>
    <w:rsid w:val="006B7F2D"/>
    <w:rsid w:val="006C14E1"/>
    <w:rsid w:val="006C198C"/>
    <w:rsid w:val="006C227F"/>
    <w:rsid w:val="006C3412"/>
    <w:rsid w:val="006C3C1A"/>
    <w:rsid w:val="006C432F"/>
    <w:rsid w:val="006C4A0E"/>
    <w:rsid w:val="006C4D4B"/>
    <w:rsid w:val="006C511D"/>
    <w:rsid w:val="006C690E"/>
    <w:rsid w:val="006C7255"/>
    <w:rsid w:val="006C77EC"/>
    <w:rsid w:val="006D1619"/>
    <w:rsid w:val="006D306D"/>
    <w:rsid w:val="006D450A"/>
    <w:rsid w:val="006D56F2"/>
    <w:rsid w:val="006D5F00"/>
    <w:rsid w:val="006D7E2E"/>
    <w:rsid w:val="006E0BA3"/>
    <w:rsid w:val="006E0C81"/>
    <w:rsid w:val="006E0D0C"/>
    <w:rsid w:val="006E1684"/>
    <w:rsid w:val="006E201C"/>
    <w:rsid w:val="006E359E"/>
    <w:rsid w:val="006E7097"/>
    <w:rsid w:val="006E75B6"/>
    <w:rsid w:val="006E7DC0"/>
    <w:rsid w:val="006F043A"/>
    <w:rsid w:val="006F0917"/>
    <w:rsid w:val="006F092D"/>
    <w:rsid w:val="006F1CAC"/>
    <w:rsid w:val="006F435B"/>
    <w:rsid w:val="006F67AA"/>
    <w:rsid w:val="006F72E8"/>
    <w:rsid w:val="00700731"/>
    <w:rsid w:val="00700E71"/>
    <w:rsid w:val="007018C5"/>
    <w:rsid w:val="00702720"/>
    <w:rsid w:val="0070528A"/>
    <w:rsid w:val="00705662"/>
    <w:rsid w:val="00706C16"/>
    <w:rsid w:val="00706FD4"/>
    <w:rsid w:val="00707621"/>
    <w:rsid w:val="00707A8C"/>
    <w:rsid w:val="00707CDF"/>
    <w:rsid w:val="007111CF"/>
    <w:rsid w:val="00711545"/>
    <w:rsid w:val="00712109"/>
    <w:rsid w:val="00712CED"/>
    <w:rsid w:val="007130D6"/>
    <w:rsid w:val="007131EA"/>
    <w:rsid w:val="0071502D"/>
    <w:rsid w:val="00715549"/>
    <w:rsid w:val="00715AFD"/>
    <w:rsid w:val="00716661"/>
    <w:rsid w:val="007166A2"/>
    <w:rsid w:val="00716F21"/>
    <w:rsid w:val="007204ED"/>
    <w:rsid w:val="00720E76"/>
    <w:rsid w:val="00721264"/>
    <w:rsid w:val="00721974"/>
    <w:rsid w:val="00723086"/>
    <w:rsid w:val="00723489"/>
    <w:rsid w:val="00723D15"/>
    <w:rsid w:val="007242B1"/>
    <w:rsid w:val="0072444C"/>
    <w:rsid w:val="00725473"/>
    <w:rsid w:val="00726332"/>
    <w:rsid w:val="00726721"/>
    <w:rsid w:val="007318A5"/>
    <w:rsid w:val="00733340"/>
    <w:rsid w:val="0073470B"/>
    <w:rsid w:val="00734A79"/>
    <w:rsid w:val="00735E53"/>
    <w:rsid w:val="007360BE"/>
    <w:rsid w:val="007368D7"/>
    <w:rsid w:val="00737245"/>
    <w:rsid w:val="007403B2"/>
    <w:rsid w:val="00740FC5"/>
    <w:rsid w:val="007410F2"/>
    <w:rsid w:val="0074117A"/>
    <w:rsid w:val="00741FAA"/>
    <w:rsid w:val="007423F3"/>
    <w:rsid w:val="00743402"/>
    <w:rsid w:val="007439D1"/>
    <w:rsid w:val="00743C72"/>
    <w:rsid w:val="007441C0"/>
    <w:rsid w:val="00744BDA"/>
    <w:rsid w:val="00744F0F"/>
    <w:rsid w:val="00745106"/>
    <w:rsid w:val="007467D3"/>
    <w:rsid w:val="00747688"/>
    <w:rsid w:val="0075082A"/>
    <w:rsid w:val="00750E14"/>
    <w:rsid w:val="007514A8"/>
    <w:rsid w:val="007519DD"/>
    <w:rsid w:val="007521AE"/>
    <w:rsid w:val="007525C8"/>
    <w:rsid w:val="00752C93"/>
    <w:rsid w:val="0075425A"/>
    <w:rsid w:val="007609F6"/>
    <w:rsid w:val="00760A21"/>
    <w:rsid w:val="00760D30"/>
    <w:rsid w:val="00762878"/>
    <w:rsid w:val="00762BA6"/>
    <w:rsid w:val="00763729"/>
    <w:rsid w:val="00763E8C"/>
    <w:rsid w:val="007640AE"/>
    <w:rsid w:val="00765FB9"/>
    <w:rsid w:val="00771807"/>
    <w:rsid w:val="00773E86"/>
    <w:rsid w:val="00774E80"/>
    <w:rsid w:val="007751D9"/>
    <w:rsid w:val="00775373"/>
    <w:rsid w:val="00775588"/>
    <w:rsid w:val="007763E2"/>
    <w:rsid w:val="00776D93"/>
    <w:rsid w:val="00777A93"/>
    <w:rsid w:val="00780510"/>
    <w:rsid w:val="0078081C"/>
    <w:rsid w:val="007809E3"/>
    <w:rsid w:val="00780C2D"/>
    <w:rsid w:val="0078246A"/>
    <w:rsid w:val="007827E8"/>
    <w:rsid w:val="0078344A"/>
    <w:rsid w:val="00784602"/>
    <w:rsid w:val="00784BB8"/>
    <w:rsid w:val="00786130"/>
    <w:rsid w:val="00791533"/>
    <w:rsid w:val="00791A8A"/>
    <w:rsid w:val="00791AFA"/>
    <w:rsid w:val="007920DD"/>
    <w:rsid w:val="0079216E"/>
    <w:rsid w:val="007926D0"/>
    <w:rsid w:val="00792C08"/>
    <w:rsid w:val="00792C56"/>
    <w:rsid w:val="00793BFA"/>
    <w:rsid w:val="0079412E"/>
    <w:rsid w:val="007941D7"/>
    <w:rsid w:val="00795624"/>
    <w:rsid w:val="007957C8"/>
    <w:rsid w:val="007965C9"/>
    <w:rsid w:val="00796A8E"/>
    <w:rsid w:val="0079755C"/>
    <w:rsid w:val="00797A0A"/>
    <w:rsid w:val="007A040A"/>
    <w:rsid w:val="007A06E3"/>
    <w:rsid w:val="007A1D59"/>
    <w:rsid w:val="007A246F"/>
    <w:rsid w:val="007A3227"/>
    <w:rsid w:val="007A384C"/>
    <w:rsid w:val="007A57E3"/>
    <w:rsid w:val="007A58E4"/>
    <w:rsid w:val="007A5B09"/>
    <w:rsid w:val="007A6E00"/>
    <w:rsid w:val="007B1E9D"/>
    <w:rsid w:val="007B27EE"/>
    <w:rsid w:val="007B39DD"/>
    <w:rsid w:val="007B5E8D"/>
    <w:rsid w:val="007C0543"/>
    <w:rsid w:val="007C102B"/>
    <w:rsid w:val="007C248F"/>
    <w:rsid w:val="007C3A19"/>
    <w:rsid w:val="007C4592"/>
    <w:rsid w:val="007C5FBC"/>
    <w:rsid w:val="007D059E"/>
    <w:rsid w:val="007D36A7"/>
    <w:rsid w:val="007D5061"/>
    <w:rsid w:val="007D5F6E"/>
    <w:rsid w:val="007D6692"/>
    <w:rsid w:val="007E1412"/>
    <w:rsid w:val="007E1661"/>
    <w:rsid w:val="007E1B40"/>
    <w:rsid w:val="007E5487"/>
    <w:rsid w:val="007E58D2"/>
    <w:rsid w:val="007F38C9"/>
    <w:rsid w:val="007F4A9E"/>
    <w:rsid w:val="007F4AF1"/>
    <w:rsid w:val="007F4D11"/>
    <w:rsid w:val="007F4FE9"/>
    <w:rsid w:val="00800336"/>
    <w:rsid w:val="00800F97"/>
    <w:rsid w:val="0080481D"/>
    <w:rsid w:val="00804969"/>
    <w:rsid w:val="00805E23"/>
    <w:rsid w:val="008069CF"/>
    <w:rsid w:val="00807E5F"/>
    <w:rsid w:val="008103C9"/>
    <w:rsid w:val="008106E5"/>
    <w:rsid w:val="00811F92"/>
    <w:rsid w:val="0081283A"/>
    <w:rsid w:val="008128E0"/>
    <w:rsid w:val="00812BC4"/>
    <w:rsid w:val="008134B2"/>
    <w:rsid w:val="00814635"/>
    <w:rsid w:val="008146C7"/>
    <w:rsid w:val="00814CF1"/>
    <w:rsid w:val="00815747"/>
    <w:rsid w:val="0081639F"/>
    <w:rsid w:val="00820270"/>
    <w:rsid w:val="008202BD"/>
    <w:rsid w:val="00821F2B"/>
    <w:rsid w:val="00822155"/>
    <w:rsid w:val="008230FF"/>
    <w:rsid w:val="00824C50"/>
    <w:rsid w:val="008253D7"/>
    <w:rsid w:val="0083385D"/>
    <w:rsid w:val="008346FC"/>
    <w:rsid w:val="00834AC1"/>
    <w:rsid w:val="00835A29"/>
    <w:rsid w:val="008361D3"/>
    <w:rsid w:val="00836F40"/>
    <w:rsid w:val="00837022"/>
    <w:rsid w:val="008413A2"/>
    <w:rsid w:val="008415CD"/>
    <w:rsid w:val="00846669"/>
    <w:rsid w:val="00846874"/>
    <w:rsid w:val="00847467"/>
    <w:rsid w:val="00847F67"/>
    <w:rsid w:val="008518CD"/>
    <w:rsid w:val="008520B1"/>
    <w:rsid w:val="00852499"/>
    <w:rsid w:val="0085311A"/>
    <w:rsid w:val="00853FBA"/>
    <w:rsid w:val="00855A96"/>
    <w:rsid w:val="00855C65"/>
    <w:rsid w:val="008562D4"/>
    <w:rsid w:val="008565D4"/>
    <w:rsid w:val="0085690F"/>
    <w:rsid w:val="00856FE5"/>
    <w:rsid w:val="0085710A"/>
    <w:rsid w:val="008577AA"/>
    <w:rsid w:val="00860D20"/>
    <w:rsid w:val="008636AF"/>
    <w:rsid w:val="0086393A"/>
    <w:rsid w:val="0086446C"/>
    <w:rsid w:val="0086559D"/>
    <w:rsid w:val="00866077"/>
    <w:rsid w:val="00866583"/>
    <w:rsid w:val="00866C27"/>
    <w:rsid w:val="00867DE6"/>
    <w:rsid w:val="00870021"/>
    <w:rsid w:val="0087083F"/>
    <w:rsid w:val="008729FC"/>
    <w:rsid w:val="00873257"/>
    <w:rsid w:val="00874388"/>
    <w:rsid w:val="008746E2"/>
    <w:rsid w:val="008750D9"/>
    <w:rsid w:val="00875B6C"/>
    <w:rsid w:val="00875CCC"/>
    <w:rsid w:val="0087639C"/>
    <w:rsid w:val="008763C7"/>
    <w:rsid w:val="0087742F"/>
    <w:rsid w:val="00877816"/>
    <w:rsid w:val="00877B2B"/>
    <w:rsid w:val="008801EC"/>
    <w:rsid w:val="00882C3A"/>
    <w:rsid w:val="00883B89"/>
    <w:rsid w:val="008847C0"/>
    <w:rsid w:val="00885B13"/>
    <w:rsid w:val="0088666B"/>
    <w:rsid w:val="00886767"/>
    <w:rsid w:val="00886877"/>
    <w:rsid w:val="00886A81"/>
    <w:rsid w:val="00887DB9"/>
    <w:rsid w:val="00890E76"/>
    <w:rsid w:val="00894680"/>
    <w:rsid w:val="00894B8C"/>
    <w:rsid w:val="00894FA8"/>
    <w:rsid w:val="00896816"/>
    <w:rsid w:val="00896959"/>
    <w:rsid w:val="008A14C6"/>
    <w:rsid w:val="008A2157"/>
    <w:rsid w:val="008A35B2"/>
    <w:rsid w:val="008A375D"/>
    <w:rsid w:val="008A6761"/>
    <w:rsid w:val="008A6BAC"/>
    <w:rsid w:val="008A6C97"/>
    <w:rsid w:val="008A712F"/>
    <w:rsid w:val="008A72C1"/>
    <w:rsid w:val="008A74EF"/>
    <w:rsid w:val="008B29D9"/>
    <w:rsid w:val="008B2E6E"/>
    <w:rsid w:val="008B61B4"/>
    <w:rsid w:val="008B6A7C"/>
    <w:rsid w:val="008B79E8"/>
    <w:rsid w:val="008C063F"/>
    <w:rsid w:val="008C10B9"/>
    <w:rsid w:val="008C12B5"/>
    <w:rsid w:val="008C1398"/>
    <w:rsid w:val="008C1EDC"/>
    <w:rsid w:val="008C1FDB"/>
    <w:rsid w:val="008C2AE6"/>
    <w:rsid w:val="008C3196"/>
    <w:rsid w:val="008C7161"/>
    <w:rsid w:val="008C738E"/>
    <w:rsid w:val="008D0162"/>
    <w:rsid w:val="008D12C0"/>
    <w:rsid w:val="008D1ABD"/>
    <w:rsid w:val="008D2B74"/>
    <w:rsid w:val="008D3F84"/>
    <w:rsid w:val="008D4433"/>
    <w:rsid w:val="008D4AC9"/>
    <w:rsid w:val="008D60B6"/>
    <w:rsid w:val="008D7BA0"/>
    <w:rsid w:val="008E00AA"/>
    <w:rsid w:val="008E0175"/>
    <w:rsid w:val="008E05C9"/>
    <w:rsid w:val="008E2815"/>
    <w:rsid w:val="008E38B1"/>
    <w:rsid w:val="008E5C59"/>
    <w:rsid w:val="008E674E"/>
    <w:rsid w:val="008E76D1"/>
    <w:rsid w:val="008E7BC5"/>
    <w:rsid w:val="008E7D85"/>
    <w:rsid w:val="008F0497"/>
    <w:rsid w:val="008F0A20"/>
    <w:rsid w:val="008F0D12"/>
    <w:rsid w:val="008F11D7"/>
    <w:rsid w:val="008F31E5"/>
    <w:rsid w:val="008F32E1"/>
    <w:rsid w:val="008F3443"/>
    <w:rsid w:val="008F3874"/>
    <w:rsid w:val="008F4F2B"/>
    <w:rsid w:val="008F514C"/>
    <w:rsid w:val="008F6AFF"/>
    <w:rsid w:val="008F70CB"/>
    <w:rsid w:val="009042EA"/>
    <w:rsid w:val="00904537"/>
    <w:rsid w:val="0090496F"/>
    <w:rsid w:val="009053C4"/>
    <w:rsid w:val="009060B0"/>
    <w:rsid w:val="00906F4F"/>
    <w:rsid w:val="00907865"/>
    <w:rsid w:val="00910404"/>
    <w:rsid w:val="0091157A"/>
    <w:rsid w:val="00911609"/>
    <w:rsid w:val="00911695"/>
    <w:rsid w:val="00911ACC"/>
    <w:rsid w:val="00911C55"/>
    <w:rsid w:val="00912B57"/>
    <w:rsid w:val="00913AEC"/>
    <w:rsid w:val="00914037"/>
    <w:rsid w:val="0091454B"/>
    <w:rsid w:val="009157EF"/>
    <w:rsid w:val="00916FEA"/>
    <w:rsid w:val="009171B3"/>
    <w:rsid w:val="009178AD"/>
    <w:rsid w:val="00920908"/>
    <w:rsid w:val="009217BE"/>
    <w:rsid w:val="009239BA"/>
    <w:rsid w:val="00924044"/>
    <w:rsid w:val="00925940"/>
    <w:rsid w:val="00926350"/>
    <w:rsid w:val="009270BF"/>
    <w:rsid w:val="0093192C"/>
    <w:rsid w:val="00931DAB"/>
    <w:rsid w:val="00931FC4"/>
    <w:rsid w:val="00932C8F"/>
    <w:rsid w:val="0093375A"/>
    <w:rsid w:val="00935457"/>
    <w:rsid w:val="009357D8"/>
    <w:rsid w:val="009366D6"/>
    <w:rsid w:val="00936953"/>
    <w:rsid w:val="00937F5B"/>
    <w:rsid w:val="009409A6"/>
    <w:rsid w:val="00940E72"/>
    <w:rsid w:val="00942662"/>
    <w:rsid w:val="0094336E"/>
    <w:rsid w:val="00943C36"/>
    <w:rsid w:val="00943F97"/>
    <w:rsid w:val="00944BCF"/>
    <w:rsid w:val="00944CC7"/>
    <w:rsid w:val="0094501A"/>
    <w:rsid w:val="00945396"/>
    <w:rsid w:val="00945997"/>
    <w:rsid w:val="0094679D"/>
    <w:rsid w:val="00947613"/>
    <w:rsid w:val="00950313"/>
    <w:rsid w:val="00950A1B"/>
    <w:rsid w:val="00950BAD"/>
    <w:rsid w:val="00950F35"/>
    <w:rsid w:val="0095178F"/>
    <w:rsid w:val="009524F8"/>
    <w:rsid w:val="00954A6D"/>
    <w:rsid w:val="00954C41"/>
    <w:rsid w:val="00955C8A"/>
    <w:rsid w:val="00955E00"/>
    <w:rsid w:val="00956043"/>
    <w:rsid w:val="009564D1"/>
    <w:rsid w:val="00961003"/>
    <w:rsid w:val="0096110C"/>
    <w:rsid w:val="00963615"/>
    <w:rsid w:val="00964AF7"/>
    <w:rsid w:val="00964B85"/>
    <w:rsid w:val="00964CE8"/>
    <w:rsid w:val="00965270"/>
    <w:rsid w:val="009653D5"/>
    <w:rsid w:val="0096553B"/>
    <w:rsid w:val="00967E56"/>
    <w:rsid w:val="00967EDA"/>
    <w:rsid w:val="00970579"/>
    <w:rsid w:val="00970DC7"/>
    <w:rsid w:val="00971356"/>
    <w:rsid w:val="0097137A"/>
    <w:rsid w:val="0097157B"/>
    <w:rsid w:val="00972C35"/>
    <w:rsid w:val="00973E5E"/>
    <w:rsid w:val="009746DA"/>
    <w:rsid w:val="00974CCC"/>
    <w:rsid w:val="00974FE8"/>
    <w:rsid w:val="00976A82"/>
    <w:rsid w:val="00976C10"/>
    <w:rsid w:val="00977A1C"/>
    <w:rsid w:val="00981AB9"/>
    <w:rsid w:val="00981F25"/>
    <w:rsid w:val="009820B7"/>
    <w:rsid w:val="00983309"/>
    <w:rsid w:val="00983540"/>
    <w:rsid w:val="009836FD"/>
    <w:rsid w:val="00983D4F"/>
    <w:rsid w:val="00985109"/>
    <w:rsid w:val="009866F4"/>
    <w:rsid w:val="00991EA0"/>
    <w:rsid w:val="00992445"/>
    <w:rsid w:val="009929DD"/>
    <w:rsid w:val="009954BA"/>
    <w:rsid w:val="00995CA5"/>
    <w:rsid w:val="00997DDD"/>
    <w:rsid w:val="009A01C1"/>
    <w:rsid w:val="009A1BF2"/>
    <w:rsid w:val="009A2098"/>
    <w:rsid w:val="009A2419"/>
    <w:rsid w:val="009A2FAC"/>
    <w:rsid w:val="009A3639"/>
    <w:rsid w:val="009A3A8A"/>
    <w:rsid w:val="009A4146"/>
    <w:rsid w:val="009A48E6"/>
    <w:rsid w:val="009A7522"/>
    <w:rsid w:val="009A76D0"/>
    <w:rsid w:val="009B005B"/>
    <w:rsid w:val="009B0752"/>
    <w:rsid w:val="009B1153"/>
    <w:rsid w:val="009B1EA0"/>
    <w:rsid w:val="009B241F"/>
    <w:rsid w:val="009B29C2"/>
    <w:rsid w:val="009B6B0B"/>
    <w:rsid w:val="009B6BEA"/>
    <w:rsid w:val="009B6C7C"/>
    <w:rsid w:val="009B79B6"/>
    <w:rsid w:val="009B7D7C"/>
    <w:rsid w:val="009C1E6B"/>
    <w:rsid w:val="009C20F6"/>
    <w:rsid w:val="009C2BCF"/>
    <w:rsid w:val="009C39EF"/>
    <w:rsid w:val="009C44BC"/>
    <w:rsid w:val="009C5A6B"/>
    <w:rsid w:val="009C62EA"/>
    <w:rsid w:val="009C68DA"/>
    <w:rsid w:val="009C704F"/>
    <w:rsid w:val="009D045B"/>
    <w:rsid w:val="009D0DFB"/>
    <w:rsid w:val="009D2B21"/>
    <w:rsid w:val="009D3078"/>
    <w:rsid w:val="009D3E98"/>
    <w:rsid w:val="009D4031"/>
    <w:rsid w:val="009E0D01"/>
    <w:rsid w:val="009E14FB"/>
    <w:rsid w:val="009E2247"/>
    <w:rsid w:val="009E28D5"/>
    <w:rsid w:val="009F0848"/>
    <w:rsid w:val="009F28A3"/>
    <w:rsid w:val="009F2A9E"/>
    <w:rsid w:val="009F386B"/>
    <w:rsid w:val="009F497A"/>
    <w:rsid w:val="009F51AC"/>
    <w:rsid w:val="009F5E08"/>
    <w:rsid w:val="009F79A5"/>
    <w:rsid w:val="00A001C4"/>
    <w:rsid w:val="00A05E25"/>
    <w:rsid w:val="00A05E55"/>
    <w:rsid w:val="00A07863"/>
    <w:rsid w:val="00A10AD7"/>
    <w:rsid w:val="00A11426"/>
    <w:rsid w:val="00A11554"/>
    <w:rsid w:val="00A12A91"/>
    <w:rsid w:val="00A138AE"/>
    <w:rsid w:val="00A1407A"/>
    <w:rsid w:val="00A14351"/>
    <w:rsid w:val="00A14C2C"/>
    <w:rsid w:val="00A15177"/>
    <w:rsid w:val="00A16028"/>
    <w:rsid w:val="00A17153"/>
    <w:rsid w:val="00A17D06"/>
    <w:rsid w:val="00A17FFE"/>
    <w:rsid w:val="00A20A9E"/>
    <w:rsid w:val="00A210B4"/>
    <w:rsid w:val="00A215F6"/>
    <w:rsid w:val="00A21934"/>
    <w:rsid w:val="00A254DB"/>
    <w:rsid w:val="00A30620"/>
    <w:rsid w:val="00A3248E"/>
    <w:rsid w:val="00A33394"/>
    <w:rsid w:val="00A33F62"/>
    <w:rsid w:val="00A34805"/>
    <w:rsid w:val="00A3624E"/>
    <w:rsid w:val="00A369FF"/>
    <w:rsid w:val="00A36BED"/>
    <w:rsid w:val="00A36CD1"/>
    <w:rsid w:val="00A40828"/>
    <w:rsid w:val="00A41045"/>
    <w:rsid w:val="00A41EAA"/>
    <w:rsid w:val="00A439E2"/>
    <w:rsid w:val="00A43F55"/>
    <w:rsid w:val="00A44256"/>
    <w:rsid w:val="00A45C01"/>
    <w:rsid w:val="00A465D7"/>
    <w:rsid w:val="00A479A8"/>
    <w:rsid w:val="00A519D8"/>
    <w:rsid w:val="00A530A7"/>
    <w:rsid w:val="00A54F6D"/>
    <w:rsid w:val="00A5564D"/>
    <w:rsid w:val="00A557D2"/>
    <w:rsid w:val="00A56A90"/>
    <w:rsid w:val="00A57360"/>
    <w:rsid w:val="00A60E9B"/>
    <w:rsid w:val="00A612AB"/>
    <w:rsid w:val="00A61902"/>
    <w:rsid w:val="00A6328A"/>
    <w:rsid w:val="00A63D70"/>
    <w:rsid w:val="00A646DB"/>
    <w:rsid w:val="00A64BC8"/>
    <w:rsid w:val="00A65921"/>
    <w:rsid w:val="00A6638D"/>
    <w:rsid w:val="00A669B8"/>
    <w:rsid w:val="00A67390"/>
    <w:rsid w:val="00A67965"/>
    <w:rsid w:val="00A67AD7"/>
    <w:rsid w:val="00A72903"/>
    <w:rsid w:val="00A734E6"/>
    <w:rsid w:val="00A74521"/>
    <w:rsid w:val="00A74A43"/>
    <w:rsid w:val="00A75F07"/>
    <w:rsid w:val="00A762EC"/>
    <w:rsid w:val="00A7792E"/>
    <w:rsid w:val="00A816A4"/>
    <w:rsid w:val="00A819D0"/>
    <w:rsid w:val="00A819F3"/>
    <w:rsid w:val="00A83520"/>
    <w:rsid w:val="00A86303"/>
    <w:rsid w:val="00A867EB"/>
    <w:rsid w:val="00A874F5"/>
    <w:rsid w:val="00A90884"/>
    <w:rsid w:val="00A92638"/>
    <w:rsid w:val="00A9308D"/>
    <w:rsid w:val="00A9365D"/>
    <w:rsid w:val="00A93CF9"/>
    <w:rsid w:val="00A93E6D"/>
    <w:rsid w:val="00A9431F"/>
    <w:rsid w:val="00A96C33"/>
    <w:rsid w:val="00AA045D"/>
    <w:rsid w:val="00AA5446"/>
    <w:rsid w:val="00AA6B50"/>
    <w:rsid w:val="00AB015B"/>
    <w:rsid w:val="00AB1CDD"/>
    <w:rsid w:val="00AB2E74"/>
    <w:rsid w:val="00AB350E"/>
    <w:rsid w:val="00AB4432"/>
    <w:rsid w:val="00AB5163"/>
    <w:rsid w:val="00AB5604"/>
    <w:rsid w:val="00AB5AA9"/>
    <w:rsid w:val="00AB5DAA"/>
    <w:rsid w:val="00AB6A6A"/>
    <w:rsid w:val="00AB7684"/>
    <w:rsid w:val="00AC0B83"/>
    <w:rsid w:val="00AC3CB6"/>
    <w:rsid w:val="00AC5D4F"/>
    <w:rsid w:val="00AC5E5D"/>
    <w:rsid w:val="00AC755A"/>
    <w:rsid w:val="00AD0EF9"/>
    <w:rsid w:val="00AD1211"/>
    <w:rsid w:val="00AD2E28"/>
    <w:rsid w:val="00AD3158"/>
    <w:rsid w:val="00AD3A72"/>
    <w:rsid w:val="00AD42F0"/>
    <w:rsid w:val="00AD58F7"/>
    <w:rsid w:val="00AD7066"/>
    <w:rsid w:val="00AD751C"/>
    <w:rsid w:val="00AD763E"/>
    <w:rsid w:val="00AE03BE"/>
    <w:rsid w:val="00AE0DC6"/>
    <w:rsid w:val="00AE1913"/>
    <w:rsid w:val="00AE37A2"/>
    <w:rsid w:val="00AE3D40"/>
    <w:rsid w:val="00AE457E"/>
    <w:rsid w:val="00AE4CB1"/>
    <w:rsid w:val="00AE4F1D"/>
    <w:rsid w:val="00AE5820"/>
    <w:rsid w:val="00AE639A"/>
    <w:rsid w:val="00AE6916"/>
    <w:rsid w:val="00AF121D"/>
    <w:rsid w:val="00AF1754"/>
    <w:rsid w:val="00AF1C0F"/>
    <w:rsid w:val="00AF1C84"/>
    <w:rsid w:val="00AF2AB3"/>
    <w:rsid w:val="00AF5C9D"/>
    <w:rsid w:val="00AF7B29"/>
    <w:rsid w:val="00AF7D58"/>
    <w:rsid w:val="00B002F0"/>
    <w:rsid w:val="00B006D6"/>
    <w:rsid w:val="00B02C68"/>
    <w:rsid w:val="00B03096"/>
    <w:rsid w:val="00B03769"/>
    <w:rsid w:val="00B03AA8"/>
    <w:rsid w:val="00B04539"/>
    <w:rsid w:val="00B04BC6"/>
    <w:rsid w:val="00B06466"/>
    <w:rsid w:val="00B067AA"/>
    <w:rsid w:val="00B06B41"/>
    <w:rsid w:val="00B0762C"/>
    <w:rsid w:val="00B10570"/>
    <w:rsid w:val="00B10765"/>
    <w:rsid w:val="00B108A9"/>
    <w:rsid w:val="00B10FCA"/>
    <w:rsid w:val="00B121C4"/>
    <w:rsid w:val="00B12BD3"/>
    <w:rsid w:val="00B1392C"/>
    <w:rsid w:val="00B20661"/>
    <w:rsid w:val="00B21603"/>
    <w:rsid w:val="00B217FF"/>
    <w:rsid w:val="00B21F5B"/>
    <w:rsid w:val="00B22FF4"/>
    <w:rsid w:val="00B23047"/>
    <w:rsid w:val="00B23F07"/>
    <w:rsid w:val="00B24977"/>
    <w:rsid w:val="00B24CCF"/>
    <w:rsid w:val="00B251F9"/>
    <w:rsid w:val="00B25CA8"/>
    <w:rsid w:val="00B26229"/>
    <w:rsid w:val="00B27EB1"/>
    <w:rsid w:val="00B3018E"/>
    <w:rsid w:val="00B307B5"/>
    <w:rsid w:val="00B30BDF"/>
    <w:rsid w:val="00B311C1"/>
    <w:rsid w:val="00B3152B"/>
    <w:rsid w:val="00B31916"/>
    <w:rsid w:val="00B31E51"/>
    <w:rsid w:val="00B32472"/>
    <w:rsid w:val="00B33C06"/>
    <w:rsid w:val="00B41051"/>
    <w:rsid w:val="00B424E0"/>
    <w:rsid w:val="00B432AB"/>
    <w:rsid w:val="00B4346C"/>
    <w:rsid w:val="00B439F1"/>
    <w:rsid w:val="00B44E19"/>
    <w:rsid w:val="00B44EFA"/>
    <w:rsid w:val="00B44FBE"/>
    <w:rsid w:val="00B45DC0"/>
    <w:rsid w:val="00B478C5"/>
    <w:rsid w:val="00B504B8"/>
    <w:rsid w:val="00B50C32"/>
    <w:rsid w:val="00B51AE9"/>
    <w:rsid w:val="00B53B25"/>
    <w:rsid w:val="00B53DD0"/>
    <w:rsid w:val="00B54043"/>
    <w:rsid w:val="00B54BC2"/>
    <w:rsid w:val="00B5558E"/>
    <w:rsid w:val="00B579C0"/>
    <w:rsid w:val="00B60359"/>
    <w:rsid w:val="00B60D04"/>
    <w:rsid w:val="00B60D8D"/>
    <w:rsid w:val="00B612BC"/>
    <w:rsid w:val="00B617D1"/>
    <w:rsid w:val="00B618D2"/>
    <w:rsid w:val="00B62369"/>
    <w:rsid w:val="00B65D2D"/>
    <w:rsid w:val="00B678F1"/>
    <w:rsid w:val="00B67F75"/>
    <w:rsid w:val="00B70ABA"/>
    <w:rsid w:val="00B72A9C"/>
    <w:rsid w:val="00B7326C"/>
    <w:rsid w:val="00B738B7"/>
    <w:rsid w:val="00B74F1D"/>
    <w:rsid w:val="00B75865"/>
    <w:rsid w:val="00B75CA7"/>
    <w:rsid w:val="00B767EF"/>
    <w:rsid w:val="00B768BF"/>
    <w:rsid w:val="00B77BCB"/>
    <w:rsid w:val="00B805A0"/>
    <w:rsid w:val="00B812E6"/>
    <w:rsid w:val="00B83F5B"/>
    <w:rsid w:val="00B90A1A"/>
    <w:rsid w:val="00B90FDD"/>
    <w:rsid w:val="00B91185"/>
    <w:rsid w:val="00B925BD"/>
    <w:rsid w:val="00B92BF9"/>
    <w:rsid w:val="00B9380C"/>
    <w:rsid w:val="00B941B9"/>
    <w:rsid w:val="00B9437F"/>
    <w:rsid w:val="00B94FB5"/>
    <w:rsid w:val="00B957C4"/>
    <w:rsid w:val="00B95AC4"/>
    <w:rsid w:val="00B96755"/>
    <w:rsid w:val="00BA1B06"/>
    <w:rsid w:val="00BA2C11"/>
    <w:rsid w:val="00BA2D3A"/>
    <w:rsid w:val="00BA324F"/>
    <w:rsid w:val="00BA34C5"/>
    <w:rsid w:val="00BA394B"/>
    <w:rsid w:val="00BA4142"/>
    <w:rsid w:val="00BA4507"/>
    <w:rsid w:val="00BA4701"/>
    <w:rsid w:val="00BA7261"/>
    <w:rsid w:val="00BA73A9"/>
    <w:rsid w:val="00BB06A5"/>
    <w:rsid w:val="00BB0788"/>
    <w:rsid w:val="00BB0D9C"/>
    <w:rsid w:val="00BB146C"/>
    <w:rsid w:val="00BB38F1"/>
    <w:rsid w:val="00BB3B46"/>
    <w:rsid w:val="00BB5CEF"/>
    <w:rsid w:val="00BB6BFB"/>
    <w:rsid w:val="00BB6D61"/>
    <w:rsid w:val="00BB7A2A"/>
    <w:rsid w:val="00BB7C27"/>
    <w:rsid w:val="00BC0D6B"/>
    <w:rsid w:val="00BC17B1"/>
    <w:rsid w:val="00BC2282"/>
    <w:rsid w:val="00BC5A71"/>
    <w:rsid w:val="00BC606F"/>
    <w:rsid w:val="00BC60DE"/>
    <w:rsid w:val="00BD1B88"/>
    <w:rsid w:val="00BD2902"/>
    <w:rsid w:val="00BD2B14"/>
    <w:rsid w:val="00BD2EBB"/>
    <w:rsid w:val="00BD2F1A"/>
    <w:rsid w:val="00BD636A"/>
    <w:rsid w:val="00BD6CCC"/>
    <w:rsid w:val="00BD7569"/>
    <w:rsid w:val="00BD7829"/>
    <w:rsid w:val="00BD7AC3"/>
    <w:rsid w:val="00BE05A3"/>
    <w:rsid w:val="00BE1053"/>
    <w:rsid w:val="00BE166C"/>
    <w:rsid w:val="00BE1B02"/>
    <w:rsid w:val="00BE2B34"/>
    <w:rsid w:val="00BE4CA4"/>
    <w:rsid w:val="00BE514B"/>
    <w:rsid w:val="00BE671D"/>
    <w:rsid w:val="00BE73F8"/>
    <w:rsid w:val="00BE7D8D"/>
    <w:rsid w:val="00BF02D5"/>
    <w:rsid w:val="00BF0BC0"/>
    <w:rsid w:val="00BF1D38"/>
    <w:rsid w:val="00BF38A4"/>
    <w:rsid w:val="00BF3B60"/>
    <w:rsid w:val="00BF3F18"/>
    <w:rsid w:val="00BF48C2"/>
    <w:rsid w:val="00BF51A0"/>
    <w:rsid w:val="00BF6361"/>
    <w:rsid w:val="00BF775B"/>
    <w:rsid w:val="00BF792B"/>
    <w:rsid w:val="00C00AAD"/>
    <w:rsid w:val="00C00C49"/>
    <w:rsid w:val="00C01E3F"/>
    <w:rsid w:val="00C03A8F"/>
    <w:rsid w:val="00C04B05"/>
    <w:rsid w:val="00C058BB"/>
    <w:rsid w:val="00C05934"/>
    <w:rsid w:val="00C0622E"/>
    <w:rsid w:val="00C075D8"/>
    <w:rsid w:val="00C07850"/>
    <w:rsid w:val="00C10208"/>
    <w:rsid w:val="00C12893"/>
    <w:rsid w:val="00C12E86"/>
    <w:rsid w:val="00C13F54"/>
    <w:rsid w:val="00C14D38"/>
    <w:rsid w:val="00C1589C"/>
    <w:rsid w:val="00C16861"/>
    <w:rsid w:val="00C173C7"/>
    <w:rsid w:val="00C2029B"/>
    <w:rsid w:val="00C20DD6"/>
    <w:rsid w:val="00C21DBE"/>
    <w:rsid w:val="00C2223D"/>
    <w:rsid w:val="00C25EA5"/>
    <w:rsid w:val="00C26419"/>
    <w:rsid w:val="00C26726"/>
    <w:rsid w:val="00C27373"/>
    <w:rsid w:val="00C30A7F"/>
    <w:rsid w:val="00C3211D"/>
    <w:rsid w:val="00C3257D"/>
    <w:rsid w:val="00C327CB"/>
    <w:rsid w:val="00C34C53"/>
    <w:rsid w:val="00C35156"/>
    <w:rsid w:val="00C3527C"/>
    <w:rsid w:val="00C35890"/>
    <w:rsid w:val="00C3589E"/>
    <w:rsid w:val="00C36494"/>
    <w:rsid w:val="00C43284"/>
    <w:rsid w:val="00C433D1"/>
    <w:rsid w:val="00C442A2"/>
    <w:rsid w:val="00C45ABC"/>
    <w:rsid w:val="00C45B02"/>
    <w:rsid w:val="00C45E5E"/>
    <w:rsid w:val="00C463C2"/>
    <w:rsid w:val="00C515B6"/>
    <w:rsid w:val="00C521F7"/>
    <w:rsid w:val="00C523C4"/>
    <w:rsid w:val="00C52741"/>
    <w:rsid w:val="00C5297C"/>
    <w:rsid w:val="00C540B2"/>
    <w:rsid w:val="00C5523A"/>
    <w:rsid w:val="00C557AD"/>
    <w:rsid w:val="00C566B0"/>
    <w:rsid w:val="00C56BBD"/>
    <w:rsid w:val="00C57572"/>
    <w:rsid w:val="00C603C1"/>
    <w:rsid w:val="00C60CD6"/>
    <w:rsid w:val="00C6133E"/>
    <w:rsid w:val="00C63B48"/>
    <w:rsid w:val="00C63CEB"/>
    <w:rsid w:val="00C65A25"/>
    <w:rsid w:val="00C661F8"/>
    <w:rsid w:val="00C663BE"/>
    <w:rsid w:val="00C665AF"/>
    <w:rsid w:val="00C66A7A"/>
    <w:rsid w:val="00C712D4"/>
    <w:rsid w:val="00C73FC4"/>
    <w:rsid w:val="00C74905"/>
    <w:rsid w:val="00C7585F"/>
    <w:rsid w:val="00C75BFD"/>
    <w:rsid w:val="00C760A8"/>
    <w:rsid w:val="00C7614D"/>
    <w:rsid w:val="00C80246"/>
    <w:rsid w:val="00C80259"/>
    <w:rsid w:val="00C81B89"/>
    <w:rsid w:val="00C83299"/>
    <w:rsid w:val="00C83C63"/>
    <w:rsid w:val="00C84357"/>
    <w:rsid w:val="00C84EF6"/>
    <w:rsid w:val="00C85384"/>
    <w:rsid w:val="00C8690F"/>
    <w:rsid w:val="00C871ED"/>
    <w:rsid w:val="00C9016E"/>
    <w:rsid w:val="00C901A3"/>
    <w:rsid w:val="00C91B7E"/>
    <w:rsid w:val="00C926AE"/>
    <w:rsid w:val="00C931DF"/>
    <w:rsid w:val="00C9589E"/>
    <w:rsid w:val="00CA0ACC"/>
    <w:rsid w:val="00CA504C"/>
    <w:rsid w:val="00CA54DD"/>
    <w:rsid w:val="00CA5904"/>
    <w:rsid w:val="00CA6397"/>
    <w:rsid w:val="00CA65B1"/>
    <w:rsid w:val="00CA6876"/>
    <w:rsid w:val="00CA6F68"/>
    <w:rsid w:val="00CB078E"/>
    <w:rsid w:val="00CB158F"/>
    <w:rsid w:val="00CB1CA8"/>
    <w:rsid w:val="00CB29F1"/>
    <w:rsid w:val="00CB363B"/>
    <w:rsid w:val="00CB3B77"/>
    <w:rsid w:val="00CB57CC"/>
    <w:rsid w:val="00CB58B8"/>
    <w:rsid w:val="00CB5B02"/>
    <w:rsid w:val="00CB5F7F"/>
    <w:rsid w:val="00CB64E4"/>
    <w:rsid w:val="00CB6630"/>
    <w:rsid w:val="00CB6945"/>
    <w:rsid w:val="00CB72A1"/>
    <w:rsid w:val="00CB7610"/>
    <w:rsid w:val="00CB79D5"/>
    <w:rsid w:val="00CB7C99"/>
    <w:rsid w:val="00CB7D3B"/>
    <w:rsid w:val="00CC077A"/>
    <w:rsid w:val="00CC1AE2"/>
    <w:rsid w:val="00CC4FCB"/>
    <w:rsid w:val="00CC627C"/>
    <w:rsid w:val="00CC6D4E"/>
    <w:rsid w:val="00CC7D20"/>
    <w:rsid w:val="00CC7F69"/>
    <w:rsid w:val="00CD18A1"/>
    <w:rsid w:val="00CD1B90"/>
    <w:rsid w:val="00CD27BE"/>
    <w:rsid w:val="00CD30C7"/>
    <w:rsid w:val="00CD3978"/>
    <w:rsid w:val="00CD3EC6"/>
    <w:rsid w:val="00CD3ED1"/>
    <w:rsid w:val="00CD4527"/>
    <w:rsid w:val="00CD4AB0"/>
    <w:rsid w:val="00CD4BFE"/>
    <w:rsid w:val="00CD6BEA"/>
    <w:rsid w:val="00CD7211"/>
    <w:rsid w:val="00CE020F"/>
    <w:rsid w:val="00CE0D22"/>
    <w:rsid w:val="00CE2EE8"/>
    <w:rsid w:val="00CE3A18"/>
    <w:rsid w:val="00CE3DA3"/>
    <w:rsid w:val="00CE3F59"/>
    <w:rsid w:val="00CE444A"/>
    <w:rsid w:val="00CE523D"/>
    <w:rsid w:val="00CE59AE"/>
    <w:rsid w:val="00CE63DA"/>
    <w:rsid w:val="00CE6844"/>
    <w:rsid w:val="00CE6E62"/>
    <w:rsid w:val="00CE6EA0"/>
    <w:rsid w:val="00CF0171"/>
    <w:rsid w:val="00CF1C98"/>
    <w:rsid w:val="00CF20F6"/>
    <w:rsid w:val="00CF2483"/>
    <w:rsid w:val="00CF2A88"/>
    <w:rsid w:val="00CF3367"/>
    <w:rsid w:val="00CF4F68"/>
    <w:rsid w:val="00CF5353"/>
    <w:rsid w:val="00CF53BC"/>
    <w:rsid w:val="00CF5E10"/>
    <w:rsid w:val="00CF655B"/>
    <w:rsid w:val="00D00591"/>
    <w:rsid w:val="00D00E4D"/>
    <w:rsid w:val="00D022D6"/>
    <w:rsid w:val="00D03128"/>
    <w:rsid w:val="00D037F4"/>
    <w:rsid w:val="00D038CA"/>
    <w:rsid w:val="00D03996"/>
    <w:rsid w:val="00D0474A"/>
    <w:rsid w:val="00D052E3"/>
    <w:rsid w:val="00D07305"/>
    <w:rsid w:val="00D11EFC"/>
    <w:rsid w:val="00D1273B"/>
    <w:rsid w:val="00D14E2E"/>
    <w:rsid w:val="00D1599C"/>
    <w:rsid w:val="00D2006D"/>
    <w:rsid w:val="00D218D7"/>
    <w:rsid w:val="00D2193E"/>
    <w:rsid w:val="00D21CB9"/>
    <w:rsid w:val="00D21D21"/>
    <w:rsid w:val="00D22B58"/>
    <w:rsid w:val="00D2322E"/>
    <w:rsid w:val="00D24B15"/>
    <w:rsid w:val="00D24DBB"/>
    <w:rsid w:val="00D25CCD"/>
    <w:rsid w:val="00D264CF"/>
    <w:rsid w:val="00D26851"/>
    <w:rsid w:val="00D278AB"/>
    <w:rsid w:val="00D27D8A"/>
    <w:rsid w:val="00D30D9E"/>
    <w:rsid w:val="00D3176D"/>
    <w:rsid w:val="00D3445B"/>
    <w:rsid w:val="00D3471A"/>
    <w:rsid w:val="00D34C41"/>
    <w:rsid w:val="00D34D8F"/>
    <w:rsid w:val="00D36244"/>
    <w:rsid w:val="00D365BB"/>
    <w:rsid w:val="00D40FCA"/>
    <w:rsid w:val="00D41375"/>
    <w:rsid w:val="00D42E7B"/>
    <w:rsid w:val="00D46EDD"/>
    <w:rsid w:val="00D474EF"/>
    <w:rsid w:val="00D47730"/>
    <w:rsid w:val="00D50BB3"/>
    <w:rsid w:val="00D51AFC"/>
    <w:rsid w:val="00D51B8D"/>
    <w:rsid w:val="00D51C00"/>
    <w:rsid w:val="00D5290C"/>
    <w:rsid w:val="00D529C5"/>
    <w:rsid w:val="00D53832"/>
    <w:rsid w:val="00D53AF1"/>
    <w:rsid w:val="00D54DF3"/>
    <w:rsid w:val="00D55759"/>
    <w:rsid w:val="00D574F9"/>
    <w:rsid w:val="00D61023"/>
    <w:rsid w:val="00D61581"/>
    <w:rsid w:val="00D61BB0"/>
    <w:rsid w:val="00D6212C"/>
    <w:rsid w:val="00D62657"/>
    <w:rsid w:val="00D62739"/>
    <w:rsid w:val="00D639C2"/>
    <w:rsid w:val="00D63DC2"/>
    <w:rsid w:val="00D64F48"/>
    <w:rsid w:val="00D66E25"/>
    <w:rsid w:val="00D66E74"/>
    <w:rsid w:val="00D67BF8"/>
    <w:rsid w:val="00D67EAE"/>
    <w:rsid w:val="00D70B9D"/>
    <w:rsid w:val="00D72A80"/>
    <w:rsid w:val="00D73D67"/>
    <w:rsid w:val="00D744C3"/>
    <w:rsid w:val="00D76669"/>
    <w:rsid w:val="00D779D4"/>
    <w:rsid w:val="00D77B47"/>
    <w:rsid w:val="00D77E02"/>
    <w:rsid w:val="00D808AA"/>
    <w:rsid w:val="00D82C98"/>
    <w:rsid w:val="00D8357C"/>
    <w:rsid w:val="00D8392C"/>
    <w:rsid w:val="00D83958"/>
    <w:rsid w:val="00D84F70"/>
    <w:rsid w:val="00D8548E"/>
    <w:rsid w:val="00D859E4"/>
    <w:rsid w:val="00D85C19"/>
    <w:rsid w:val="00D90522"/>
    <w:rsid w:val="00D93656"/>
    <w:rsid w:val="00D94099"/>
    <w:rsid w:val="00D9470D"/>
    <w:rsid w:val="00D9482F"/>
    <w:rsid w:val="00D94E24"/>
    <w:rsid w:val="00D954C0"/>
    <w:rsid w:val="00D960A9"/>
    <w:rsid w:val="00D96A12"/>
    <w:rsid w:val="00D96B15"/>
    <w:rsid w:val="00D97604"/>
    <w:rsid w:val="00DA0BD5"/>
    <w:rsid w:val="00DA0EDC"/>
    <w:rsid w:val="00DA1DE5"/>
    <w:rsid w:val="00DA25A5"/>
    <w:rsid w:val="00DA32F6"/>
    <w:rsid w:val="00DA338F"/>
    <w:rsid w:val="00DA36EA"/>
    <w:rsid w:val="00DA3C3A"/>
    <w:rsid w:val="00DA46EE"/>
    <w:rsid w:val="00DA4BF7"/>
    <w:rsid w:val="00DA50E9"/>
    <w:rsid w:val="00DA65E3"/>
    <w:rsid w:val="00DA686F"/>
    <w:rsid w:val="00DA6FA6"/>
    <w:rsid w:val="00DA7398"/>
    <w:rsid w:val="00DA7C99"/>
    <w:rsid w:val="00DB1199"/>
    <w:rsid w:val="00DB12A8"/>
    <w:rsid w:val="00DB1912"/>
    <w:rsid w:val="00DB1BCE"/>
    <w:rsid w:val="00DB20DE"/>
    <w:rsid w:val="00DB3B3B"/>
    <w:rsid w:val="00DB5E8F"/>
    <w:rsid w:val="00DB69B6"/>
    <w:rsid w:val="00DB6BEF"/>
    <w:rsid w:val="00DC0F04"/>
    <w:rsid w:val="00DC1704"/>
    <w:rsid w:val="00DC256B"/>
    <w:rsid w:val="00DC2EED"/>
    <w:rsid w:val="00DC3803"/>
    <w:rsid w:val="00DC42EB"/>
    <w:rsid w:val="00DC458B"/>
    <w:rsid w:val="00DC4CA6"/>
    <w:rsid w:val="00DD00E7"/>
    <w:rsid w:val="00DD0529"/>
    <w:rsid w:val="00DD1985"/>
    <w:rsid w:val="00DD25DA"/>
    <w:rsid w:val="00DD3211"/>
    <w:rsid w:val="00DD38FC"/>
    <w:rsid w:val="00DD3E64"/>
    <w:rsid w:val="00DD3E73"/>
    <w:rsid w:val="00DD3EEF"/>
    <w:rsid w:val="00DD4ABC"/>
    <w:rsid w:val="00DD5126"/>
    <w:rsid w:val="00DE0750"/>
    <w:rsid w:val="00DE24B6"/>
    <w:rsid w:val="00DE2F70"/>
    <w:rsid w:val="00DE4D0F"/>
    <w:rsid w:val="00DE57E9"/>
    <w:rsid w:val="00DE65E5"/>
    <w:rsid w:val="00DF0AEC"/>
    <w:rsid w:val="00DF148C"/>
    <w:rsid w:val="00DF1ABF"/>
    <w:rsid w:val="00DF392D"/>
    <w:rsid w:val="00DF4593"/>
    <w:rsid w:val="00DF4A85"/>
    <w:rsid w:val="00DF4C75"/>
    <w:rsid w:val="00DF5783"/>
    <w:rsid w:val="00DF7128"/>
    <w:rsid w:val="00E01595"/>
    <w:rsid w:val="00E02FD1"/>
    <w:rsid w:val="00E036C8"/>
    <w:rsid w:val="00E04CA8"/>
    <w:rsid w:val="00E052AE"/>
    <w:rsid w:val="00E05E83"/>
    <w:rsid w:val="00E0695F"/>
    <w:rsid w:val="00E07523"/>
    <w:rsid w:val="00E10A09"/>
    <w:rsid w:val="00E12531"/>
    <w:rsid w:val="00E13649"/>
    <w:rsid w:val="00E14D35"/>
    <w:rsid w:val="00E154B6"/>
    <w:rsid w:val="00E217C2"/>
    <w:rsid w:val="00E21EAD"/>
    <w:rsid w:val="00E228B7"/>
    <w:rsid w:val="00E23CF4"/>
    <w:rsid w:val="00E24062"/>
    <w:rsid w:val="00E24C05"/>
    <w:rsid w:val="00E25754"/>
    <w:rsid w:val="00E26EEE"/>
    <w:rsid w:val="00E27578"/>
    <w:rsid w:val="00E3121C"/>
    <w:rsid w:val="00E3263D"/>
    <w:rsid w:val="00E34295"/>
    <w:rsid w:val="00E343D9"/>
    <w:rsid w:val="00E35F27"/>
    <w:rsid w:val="00E3647F"/>
    <w:rsid w:val="00E419AD"/>
    <w:rsid w:val="00E41DF1"/>
    <w:rsid w:val="00E42C09"/>
    <w:rsid w:val="00E43162"/>
    <w:rsid w:val="00E43DC4"/>
    <w:rsid w:val="00E4409E"/>
    <w:rsid w:val="00E44C16"/>
    <w:rsid w:val="00E47249"/>
    <w:rsid w:val="00E51492"/>
    <w:rsid w:val="00E535EE"/>
    <w:rsid w:val="00E543BF"/>
    <w:rsid w:val="00E54760"/>
    <w:rsid w:val="00E5530D"/>
    <w:rsid w:val="00E559A9"/>
    <w:rsid w:val="00E60AB4"/>
    <w:rsid w:val="00E60F5E"/>
    <w:rsid w:val="00E655C7"/>
    <w:rsid w:val="00E65DE7"/>
    <w:rsid w:val="00E65EBA"/>
    <w:rsid w:val="00E67EB5"/>
    <w:rsid w:val="00E70E49"/>
    <w:rsid w:val="00E739CE"/>
    <w:rsid w:val="00E74ED2"/>
    <w:rsid w:val="00E770AE"/>
    <w:rsid w:val="00E77B97"/>
    <w:rsid w:val="00E77FC8"/>
    <w:rsid w:val="00E82CC2"/>
    <w:rsid w:val="00E832C2"/>
    <w:rsid w:val="00E84A1C"/>
    <w:rsid w:val="00E850D1"/>
    <w:rsid w:val="00E8534E"/>
    <w:rsid w:val="00E85CB4"/>
    <w:rsid w:val="00E872C9"/>
    <w:rsid w:val="00E8786E"/>
    <w:rsid w:val="00E900A1"/>
    <w:rsid w:val="00E90359"/>
    <w:rsid w:val="00E90825"/>
    <w:rsid w:val="00E90B85"/>
    <w:rsid w:val="00E90E37"/>
    <w:rsid w:val="00E91D3E"/>
    <w:rsid w:val="00E92B37"/>
    <w:rsid w:val="00E9475C"/>
    <w:rsid w:val="00E97F3E"/>
    <w:rsid w:val="00EA1EA1"/>
    <w:rsid w:val="00EA26B4"/>
    <w:rsid w:val="00EA2B7D"/>
    <w:rsid w:val="00EA2E63"/>
    <w:rsid w:val="00EA2FF2"/>
    <w:rsid w:val="00EA30E4"/>
    <w:rsid w:val="00EA4571"/>
    <w:rsid w:val="00EA6038"/>
    <w:rsid w:val="00EA7AA8"/>
    <w:rsid w:val="00EB0B1B"/>
    <w:rsid w:val="00EB102A"/>
    <w:rsid w:val="00EB19C6"/>
    <w:rsid w:val="00EB441A"/>
    <w:rsid w:val="00EB4CAE"/>
    <w:rsid w:val="00EB56AA"/>
    <w:rsid w:val="00EB60E8"/>
    <w:rsid w:val="00EB7CD1"/>
    <w:rsid w:val="00EC00F3"/>
    <w:rsid w:val="00EC0B91"/>
    <w:rsid w:val="00EC1AE5"/>
    <w:rsid w:val="00EC4C32"/>
    <w:rsid w:val="00EC6871"/>
    <w:rsid w:val="00EC7E96"/>
    <w:rsid w:val="00ED125E"/>
    <w:rsid w:val="00ED16F4"/>
    <w:rsid w:val="00ED3A98"/>
    <w:rsid w:val="00ED4AF0"/>
    <w:rsid w:val="00ED5D92"/>
    <w:rsid w:val="00EE1624"/>
    <w:rsid w:val="00EE1DE8"/>
    <w:rsid w:val="00EE25A1"/>
    <w:rsid w:val="00EE3A04"/>
    <w:rsid w:val="00EE5AB5"/>
    <w:rsid w:val="00EE5D2B"/>
    <w:rsid w:val="00EF0BD8"/>
    <w:rsid w:val="00EF0EB4"/>
    <w:rsid w:val="00EF11F5"/>
    <w:rsid w:val="00EF1A4A"/>
    <w:rsid w:val="00EF1B52"/>
    <w:rsid w:val="00EF20DF"/>
    <w:rsid w:val="00EF30BB"/>
    <w:rsid w:val="00EF3192"/>
    <w:rsid w:val="00EF385C"/>
    <w:rsid w:val="00EF3B54"/>
    <w:rsid w:val="00EF4111"/>
    <w:rsid w:val="00EF41A2"/>
    <w:rsid w:val="00EF4CA2"/>
    <w:rsid w:val="00EF4EE7"/>
    <w:rsid w:val="00EF518B"/>
    <w:rsid w:val="00EF54CF"/>
    <w:rsid w:val="00EF576F"/>
    <w:rsid w:val="00EF6548"/>
    <w:rsid w:val="00EF6A43"/>
    <w:rsid w:val="00EF6B45"/>
    <w:rsid w:val="00EF6F13"/>
    <w:rsid w:val="00F00CC4"/>
    <w:rsid w:val="00F012EE"/>
    <w:rsid w:val="00F0203E"/>
    <w:rsid w:val="00F029CF"/>
    <w:rsid w:val="00F04313"/>
    <w:rsid w:val="00F04749"/>
    <w:rsid w:val="00F04905"/>
    <w:rsid w:val="00F0503C"/>
    <w:rsid w:val="00F05189"/>
    <w:rsid w:val="00F054F2"/>
    <w:rsid w:val="00F07E38"/>
    <w:rsid w:val="00F110CE"/>
    <w:rsid w:val="00F122C7"/>
    <w:rsid w:val="00F126DC"/>
    <w:rsid w:val="00F1446D"/>
    <w:rsid w:val="00F14C54"/>
    <w:rsid w:val="00F1532B"/>
    <w:rsid w:val="00F15706"/>
    <w:rsid w:val="00F16F93"/>
    <w:rsid w:val="00F17117"/>
    <w:rsid w:val="00F20160"/>
    <w:rsid w:val="00F20C9C"/>
    <w:rsid w:val="00F22BFC"/>
    <w:rsid w:val="00F22C2C"/>
    <w:rsid w:val="00F22C7D"/>
    <w:rsid w:val="00F232ED"/>
    <w:rsid w:val="00F24DE7"/>
    <w:rsid w:val="00F25CEB"/>
    <w:rsid w:val="00F27F65"/>
    <w:rsid w:val="00F30E8A"/>
    <w:rsid w:val="00F322A2"/>
    <w:rsid w:val="00F335AE"/>
    <w:rsid w:val="00F349DF"/>
    <w:rsid w:val="00F3597A"/>
    <w:rsid w:val="00F35B3C"/>
    <w:rsid w:val="00F37730"/>
    <w:rsid w:val="00F40967"/>
    <w:rsid w:val="00F40968"/>
    <w:rsid w:val="00F42115"/>
    <w:rsid w:val="00F42851"/>
    <w:rsid w:val="00F43705"/>
    <w:rsid w:val="00F454B7"/>
    <w:rsid w:val="00F45F14"/>
    <w:rsid w:val="00F46B27"/>
    <w:rsid w:val="00F46C31"/>
    <w:rsid w:val="00F5030E"/>
    <w:rsid w:val="00F50658"/>
    <w:rsid w:val="00F50C66"/>
    <w:rsid w:val="00F5118F"/>
    <w:rsid w:val="00F51437"/>
    <w:rsid w:val="00F51D42"/>
    <w:rsid w:val="00F527E6"/>
    <w:rsid w:val="00F53A58"/>
    <w:rsid w:val="00F54D2B"/>
    <w:rsid w:val="00F55CC3"/>
    <w:rsid w:val="00F560FC"/>
    <w:rsid w:val="00F57269"/>
    <w:rsid w:val="00F57750"/>
    <w:rsid w:val="00F57B99"/>
    <w:rsid w:val="00F60FD4"/>
    <w:rsid w:val="00F611FE"/>
    <w:rsid w:val="00F61780"/>
    <w:rsid w:val="00F62A39"/>
    <w:rsid w:val="00F64409"/>
    <w:rsid w:val="00F64FE9"/>
    <w:rsid w:val="00F659BD"/>
    <w:rsid w:val="00F65ADB"/>
    <w:rsid w:val="00F66C03"/>
    <w:rsid w:val="00F67714"/>
    <w:rsid w:val="00F71FD8"/>
    <w:rsid w:val="00F7287D"/>
    <w:rsid w:val="00F74482"/>
    <w:rsid w:val="00F74827"/>
    <w:rsid w:val="00F74CD9"/>
    <w:rsid w:val="00F76700"/>
    <w:rsid w:val="00F80470"/>
    <w:rsid w:val="00F810BF"/>
    <w:rsid w:val="00F84333"/>
    <w:rsid w:val="00F84AE3"/>
    <w:rsid w:val="00F84F73"/>
    <w:rsid w:val="00F85207"/>
    <w:rsid w:val="00F864F8"/>
    <w:rsid w:val="00F87269"/>
    <w:rsid w:val="00F917A6"/>
    <w:rsid w:val="00F9220F"/>
    <w:rsid w:val="00F94CA1"/>
    <w:rsid w:val="00F975FD"/>
    <w:rsid w:val="00FA0081"/>
    <w:rsid w:val="00FA2D75"/>
    <w:rsid w:val="00FA395E"/>
    <w:rsid w:val="00FA530A"/>
    <w:rsid w:val="00FA5CB0"/>
    <w:rsid w:val="00FA6E59"/>
    <w:rsid w:val="00FB1CB1"/>
    <w:rsid w:val="00FB2F93"/>
    <w:rsid w:val="00FB397B"/>
    <w:rsid w:val="00FB4317"/>
    <w:rsid w:val="00FC0396"/>
    <w:rsid w:val="00FC0459"/>
    <w:rsid w:val="00FC0EC1"/>
    <w:rsid w:val="00FC148D"/>
    <w:rsid w:val="00FC2FCC"/>
    <w:rsid w:val="00FC3716"/>
    <w:rsid w:val="00FC39DF"/>
    <w:rsid w:val="00FC403A"/>
    <w:rsid w:val="00FC5106"/>
    <w:rsid w:val="00FC52F3"/>
    <w:rsid w:val="00FC536D"/>
    <w:rsid w:val="00FC75BD"/>
    <w:rsid w:val="00FC75CE"/>
    <w:rsid w:val="00FD04DB"/>
    <w:rsid w:val="00FD1E18"/>
    <w:rsid w:val="00FD310B"/>
    <w:rsid w:val="00FD34E1"/>
    <w:rsid w:val="00FD3643"/>
    <w:rsid w:val="00FD3C2F"/>
    <w:rsid w:val="00FD53E7"/>
    <w:rsid w:val="00FD609E"/>
    <w:rsid w:val="00FD70A6"/>
    <w:rsid w:val="00FE07B0"/>
    <w:rsid w:val="00FE0F26"/>
    <w:rsid w:val="00FE1709"/>
    <w:rsid w:val="00FE3417"/>
    <w:rsid w:val="00FE34EA"/>
    <w:rsid w:val="00FE3696"/>
    <w:rsid w:val="00FE401B"/>
    <w:rsid w:val="00FE6959"/>
    <w:rsid w:val="00FE6F0C"/>
    <w:rsid w:val="00FF0002"/>
    <w:rsid w:val="00FF0294"/>
    <w:rsid w:val="00FF2E2B"/>
    <w:rsid w:val="00FF3B77"/>
    <w:rsid w:val="00FF5ADC"/>
    <w:rsid w:val="010E1785"/>
    <w:rsid w:val="01191EC9"/>
    <w:rsid w:val="013951EE"/>
    <w:rsid w:val="01741286"/>
    <w:rsid w:val="01E57CE7"/>
    <w:rsid w:val="020E652C"/>
    <w:rsid w:val="02507017"/>
    <w:rsid w:val="025E2B68"/>
    <w:rsid w:val="02915975"/>
    <w:rsid w:val="029F6475"/>
    <w:rsid w:val="036158D5"/>
    <w:rsid w:val="0414222C"/>
    <w:rsid w:val="04295AF6"/>
    <w:rsid w:val="04313363"/>
    <w:rsid w:val="054068D3"/>
    <w:rsid w:val="05BD1472"/>
    <w:rsid w:val="06002BF1"/>
    <w:rsid w:val="06024EB4"/>
    <w:rsid w:val="065019E8"/>
    <w:rsid w:val="06CC188F"/>
    <w:rsid w:val="075B48E7"/>
    <w:rsid w:val="077274B4"/>
    <w:rsid w:val="078D118D"/>
    <w:rsid w:val="07C87D4F"/>
    <w:rsid w:val="08065942"/>
    <w:rsid w:val="0875390F"/>
    <w:rsid w:val="08B3271C"/>
    <w:rsid w:val="08D60398"/>
    <w:rsid w:val="08D7693C"/>
    <w:rsid w:val="08E323E6"/>
    <w:rsid w:val="09B0000D"/>
    <w:rsid w:val="09E73B65"/>
    <w:rsid w:val="0AB175FE"/>
    <w:rsid w:val="0AC56E1B"/>
    <w:rsid w:val="0AE128F9"/>
    <w:rsid w:val="0AF73F75"/>
    <w:rsid w:val="0B351905"/>
    <w:rsid w:val="0BA443D9"/>
    <w:rsid w:val="0C083041"/>
    <w:rsid w:val="0C826DBD"/>
    <w:rsid w:val="0C863D0A"/>
    <w:rsid w:val="0C9F2624"/>
    <w:rsid w:val="0CA1396D"/>
    <w:rsid w:val="0CED2F19"/>
    <w:rsid w:val="0CFD0799"/>
    <w:rsid w:val="0D2713AC"/>
    <w:rsid w:val="0D6E60A1"/>
    <w:rsid w:val="0DFE22D9"/>
    <w:rsid w:val="0E0136C9"/>
    <w:rsid w:val="0E213734"/>
    <w:rsid w:val="0E362D17"/>
    <w:rsid w:val="0E772FFE"/>
    <w:rsid w:val="0EA42041"/>
    <w:rsid w:val="0EA526FB"/>
    <w:rsid w:val="0EE95F2E"/>
    <w:rsid w:val="0F77484E"/>
    <w:rsid w:val="0FBC36A8"/>
    <w:rsid w:val="1032392F"/>
    <w:rsid w:val="12394617"/>
    <w:rsid w:val="131D32BC"/>
    <w:rsid w:val="1324237C"/>
    <w:rsid w:val="13553A2D"/>
    <w:rsid w:val="135F070C"/>
    <w:rsid w:val="14005A63"/>
    <w:rsid w:val="142C4790"/>
    <w:rsid w:val="14326710"/>
    <w:rsid w:val="14556BEA"/>
    <w:rsid w:val="14752FAA"/>
    <w:rsid w:val="147E5875"/>
    <w:rsid w:val="14956D51"/>
    <w:rsid w:val="157508D6"/>
    <w:rsid w:val="158F5F93"/>
    <w:rsid w:val="160C119D"/>
    <w:rsid w:val="164B117D"/>
    <w:rsid w:val="16C4640B"/>
    <w:rsid w:val="17265EA2"/>
    <w:rsid w:val="176F633A"/>
    <w:rsid w:val="18786FC5"/>
    <w:rsid w:val="18AA728B"/>
    <w:rsid w:val="18CC2AA3"/>
    <w:rsid w:val="18DA63AE"/>
    <w:rsid w:val="18EE3568"/>
    <w:rsid w:val="19CE0D2C"/>
    <w:rsid w:val="19DE31E4"/>
    <w:rsid w:val="1A37614A"/>
    <w:rsid w:val="1A5759B8"/>
    <w:rsid w:val="1A7E2CC5"/>
    <w:rsid w:val="1A847792"/>
    <w:rsid w:val="1AA52ACC"/>
    <w:rsid w:val="1B001D3C"/>
    <w:rsid w:val="1B093F4A"/>
    <w:rsid w:val="1B1F09DB"/>
    <w:rsid w:val="1B90295F"/>
    <w:rsid w:val="1C247978"/>
    <w:rsid w:val="1C82487C"/>
    <w:rsid w:val="1C8F72B0"/>
    <w:rsid w:val="1CC85207"/>
    <w:rsid w:val="1D2327C9"/>
    <w:rsid w:val="1DDA7E60"/>
    <w:rsid w:val="1E3E5C0F"/>
    <w:rsid w:val="1E576EC2"/>
    <w:rsid w:val="1E685937"/>
    <w:rsid w:val="1EB46DC0"/>
    <w:rsid w:val="1EC13BA9"/>
    <w:rsid w:val="1F164BA3"/>
    <w:rsid w:val="1F5355D2"/>
    <w:rsid w:val="1F644FE7"/>
    <w:rsid w:val="1F69244F"/>
    <w:rsid w:val="1FA248BE"/>
    <w:rsid w:val="1FAF5F64"/>
    <w:rsid w:val="1FF831A3"/>
    <w:rsid w:val="20051744"/>
    <w:rsid w:val="2021608A"/>
    <w:rsid w:val="206E3D90"/>
    <w:rsid w:val="20BE1146"/>
    <w:rsid w:val="20D776FC"/>
    <w:rsid w:val="21321F54"/>
    <w:rsid w:val="21BF0DB3"/>
    <w:rsid w:val="21C15542"/>
    <w:rsid w:val="220E6DFD"/>
    <w:rsid w:val="227D7112"/>
    <w:rsid w:val="23021C3E"/>
    <w:rsid w:val="23401A08"/>
    <w:rsid w:val="239D1435"/>
    <w:rsid w:val="23A26745"/>
    <w:rsid w:val="242F51F8"/>
    <w:rsid w:val="24C75BE5"/>
    <w:rsid w:val="24F23827"/>
    <w:rsid w:val="250D2898"/>
    <w:rsid w:val="254536C0"/>
    <w:rsid w:val="2582201D"/>
    <w:rsid w:val="258F4BEA"/>
    <w:rsid w:val="25A1313E"/>
    <w:rsid w:val="266E4534"/>
    <w:rsid w:val="269D1B1A"/>
    <w:rsid w:val="26AB2AB3"/>
    <w:rsid w:val="282D0C60"/>
    <w:rsid w:val="28736EE8"/>
    <w:rsid w:val="28A5278E"/>
    <w:rsid w:val="28AA435F"/>
    <w:rsid w:val="28CA34E6"/>
    <w:rsid w:val="28CD7C57"/>
    <w:rsid w:val="29051F45"/>
    <w:rsid w:val="296F67BB"/>
    <w:rsid w:val="299759CD"/>
    <w:rsid w:val="29A14029"/>
    <w:rsid w:val="29C528E9"/>
    <w:rsid w:val="2A33160C"/>
    <w:rsid w:val="2AA92C8F"/>
    <w:rsid w:val="2ACA518C"/>
    <w:rsid w:val="2B067FB3"/>
    <w:rsid w:val="2B6B5BAF"/>
    <w:rsid w:val="2C690B61"/>
    <w:rsid w:val="2C7A3796"/>
    <w:rsid w:val="2CC517E0"/>
    <w:rsid w:val="2CDA45B3"/>
    <w:rsid w:val="2D0955AA"/>
    <w:rsid w:val="2D8E417B"/>
    <w:rsid w:val="2DDF0DBB"/>
    <w:rsid w:val="2E6E69B7"/>
    <w:rsid w:val="2E8B276B"/>
    <w:rsid w:val="2EAC32CA"/>
    <w:rsid w:val="2EDF52CD"/>
    <w:rsid w:val="2EFE3262"/>
    <w:rsid w:val="2F051761"/>
    <w:rsid w:val="2FDC67BC"/>
    <w:rsid w:val="30493C99"/>
    <w:rsid w:val="30A27A02"/>
    <w:rsid w:val="31113BB9"/>
    <w:rsid w:val="31442282"/>
    <w:rsid w:val="314A2ED0"/>
    <w:rsid w:val="318B5D17"/>
    <w:rsid w:val="319C0B72"/>
    <w:rsid w:val="31CB61D5"/>
    <w:rsid w:val="32272D2F"/>
    <w:rsid w:val="32B349CE"/>
    <w:rsid w:val="32D96440"/>
    <w:rsid w:val="330D60D0"/>
    <w:rsid w:val="33971D57"/>
    <w:rsid w:val="33C41013"/>
    <w:rsid w:val="33FC117F"/>
    <w:rsid w:val="3430623A"/>
    <w:rsid w:val="353F2AF1"/>
    <w:rsid w:val="35421988"/>
    <w:rsid w:val="354D61F8"/>
    <w:rsid w:val="35C65829"/>
    <w:rsid w:val="3617762D"/>
    <w:rsid w:val="36655BEC"/>
    <w:rsid w:val="367B5207"/>
    <w:rsid w:val="3687760E"/>
    <w:rsid w:val="36D42507"/>
    <w:rsid w:val="36D86814"/>
    <w:rsid w:val="37056C0B"/>
    <w:rsid w:val="37B4718A"/>
    <w:rsid w:val="37D206B9"/>
    <w:rsid w:val="38B226E6"/>
    <w:rsid w:val="38B8290A"/>
    <w:rsid w:val="38C57355"/>
    <w:rsid w:val="393E371B"/>
    <w:rsid w:val="39B46078"/>
    <w:rsid w:val="39EB5AC7"/>
    <w:rsid w:val="39F13FD3"/>
    <w:rsid w:val="3A0541E7"/>
    <w:rsid w:val="3A4027D3"/>
    <w:rsid w:val="3B300C4F"/>
    <w:rsid w:val="3B8D0892"/>
    <w:rsid w:val="3BA3664B"/>
    <w:rsid w:val="3BCD0A8E"/>
    <w:rsid w:val="3BF86AF8"/>
    <w:rsid w:val="3C4F4D67"/>
    <w:rsid w:val="3C6E1B37"/>
    <w:rsid w:val="3C975859"/>
    <w:rsid w:val="3C9A54C0"/>
    <w:rsid w:val="3CC37BD7"/>
    <w:rsid w:val="3D9E6A81"/>
    <w:rsid w:val="3DAB762D"/>
    <w:rsid w:val="3DE14523"/>
    <w:rsid w:val="3E2F62AD"/>
    <w:rsid w:val="3E7C414F"/>
    <w:rsid w:val="3EFD002E"/>
    <w:rsid w:val="3F231CD5"/>
    <w:rsid w:val="40135488"/>
    <w:rsid w:val="40343498"/>
    <w:rsid w:val="40524EB3"/>
    <w:rsid w:val="405D41A0"/>
    <w:rsid w:val="41057F47"/>
    <w:rsid w:val="412D1C32"/>
    <w:rsid w:val="418014D4"/>
    <w:rsid w:val="41D278D8"/>
    <w:rsid w:val="41D41B37"/>
    <w:rsid w:val="42A006A8"/>
    <w:rsid w:val="42CC3814"/>
    <w:rsid w:val="42D20D0E"/>
    <w:rsid w:val="42EC0ED5"/>
    <w:rsid w:val="43171A2D"/>
    <w:rsid w:val="43CF770F"/>
    <w:rsid w:val="44311C5D"/>
    <w:rsid w:val="446D2AD1"/>
    <w:rsid w:val="44D97966"/>
    <w:rsid w:val="44E00757"/>
    <w:rsid w:val="4512417A"/>
    <w:rsid w:val="451C5F88"/>
    <w:rsid w:val="45403910"/>
    <w:rsid w:val="454C65D6"/>
    <w:rsid w:val="45560200"/>
    <w:rsid w:val="45CD6335"/>
    <w:rsid w:val="45D273D4"/>
    <w:rsid w:val="461C6F45"/>
    <w:rsid w:val="462F1B6A"/>
    <w:rsid w:val="467A747E"/>
    <w:rsid w:val="46C60365"/>
    <w:rsid w:val="4793713A"/>
    <w:rsid w:val="47C5377E"/>
    <w:rsid w:val="483E4BCC"/>
    <w:rsid w:val="4951531F"/>
    <w:rsid w:val="49F437B1"/>
    <w:rsid w:val="4A5876A2"/>
    <w:rsid w:val="4AB905B5"/>
    <w:rsid w:val="4ACC55F8"/>
    <w:rsid w:val="4AE044E4"/>
    <w:rsid w:val="4B4A7A08"/>
    <w:rsid w:val="4B984774"/>
    <w:rsid w:val="4BB11961"/>
    <w:rsid w:val="4BCD1850"/>
    <w:rsid w:val="4C2B5802"/>
    <w:rsid w:val="4C7A6F4F"/>
    <w:rsid w:val="4CB6233B"/>
    <w:rsid w:val="4CE56146"/>
    <w:rsid w:val="4CE72EE9"/>
    <w:rsid w:val="4CFB4554"/>
    <w:rsid w:val="4E863478"/>
    <w:rsid w:val="4FA3484D"/>
    <w:rsid w:val="50156120"/>
    <w:rsid w:val="50CE66EB"/>
    <w:rsid w:val="50E76848"/>
    <w:rsid w:val="51471DBC"/>
    <w:rsid w:val="5195132D"/>
    <w:rsid w:val="51A935D2"/>
    <w:rsid w:val="522F53F2"/>
    <w:rsid w:val="536B7620"/>
    <w:rsid w:val="53885D18"/>
    <w:rsid w:val="53CF20ED"/>
    <w:rsid w:val="54173089"/>
    <w:rsid w:val="542B2CE5"/>
    <w:rsid w:val="5494724B"/>
    <w:rsid w:val="54BE4E76"/>
    <w:rsid w:val="54D6142D"/>
    <w:rsid w:val="5798756F"/>
    <w:rsid w:val="57EA7765"/>
    <w:rsid w:val="57FC47EF"/>
    <w:rsid w:val="5844123A"/>
    <w:rsid w:val="588B7AE0"/>
    <w:rsid w:val="589668C2"/>
    <w:rsid w:val="58BF4388"/>
    <w:rsid w:val="591D4294"/>
    <w:rsid w:val="592736A5"/>
    <w:rsid w:val="59364BCF"/>
    <w:rsid w:val="593D3F75"/>
    <w:rsid w:val="595905EB"/>
    <w:rsid w:val="5A406238"/>
    <w:rsid w:val="5AA0129B"/>
    <w:rsid w:val="5B0D144D"/>
    <w:rsid w:val="5B161205"/>
    <w:rsid w:val="5BB21672"/>
    <w:rsid w:val="5C6C3F69"/>
    <w:rsid w:val="5C7B3E22"/>
    <w:rsid w:val="5CD21AE6"/>
    <w:rsid w:val="5E670891"/>
    <w:rsid w:val="5E862437"/>
    <w:rsid w:val="5EAF5952"/>
    <w:rsid w:val="5F0D2502"/>
    <w:rsid w:val="5F15753B"/>
    <w:rsid w:val="5F3B3AF0"/>
    <w:rsid w:val="5F566B36"/>
    <w:rsid w:val="5FF1594F"/>
    <w:rsid w:val="60133570"/>
    <w:rsid w:val="60785B62"/>
    <w:rsid w:val="60A10A50"/>
    <w:rsid w:val="60CC4B63"/>
    <w:rsid w:val="60DE03F7"/>
    <w:rsid w:val="60E43A20"/>
    <w:rsid w:val="60F676D0"/>
    <w:rsid w:val="61345951"/>
    <w:rsid w:val="6169082B"/>
    <w:rsid w:val="61AE5C35"/>
    <w:rsid w:val="61F10562"/>
    <w:rsid w:val="62505129"/>
    <w:rsid w:val="626B68AD"/>
    <w:rsid w:val="628306A0"/>
    <w:rsid w:val="62960877"/>
    <w:rsid w:val="62AC1010"/>
    <w:rsid w:val="63252EE5"/>
    <w:rsid w:val="63964915"/>
    <w:rsid w:val="63DF615C"/>
    <w:rsid w:val="63EB5302"/>
    <w:rsid w:val="63F61C71"/>
    <w:rsid w:val="642440DA"/>
    <w:rsid w:val="645B076B"/>
    <w:rsid w:val="645F503F"/>
    <w:rsid w:val="64BB1DA4"/>
    <w:rsid w:val="651C2E49"/>
    <w:rsid w:val="65A41D63"/>
    <w:rsid w:val="675C26AC"/>
    <w:rsid w:val="677713DB"/>
    <w:rsid w:val="67E556EA"/>
    <w:rsid w:val="682219FF"/>
    <w:rsid w:val="686943FF"/>
    <w:rsid w:val="686A3197"/>
    <w:rsid w:val="6875090C"/>
    <w:rsid w:val="688A0F22"/>
    <w:rsid w:val="688D24AB"/>
    <w:rsid w:val="68EE27AF"/>
    <w:rsid w:val="691320EA"/>
    <w:rsid w:val="691C16EB"/>
    <w:rsid w:val="6A5E01CF"/>
    <w:rsid w:val="6A926DE2"/>
    <w:rsid w:val="6AB309E2"/>
    <w:rsid w:val="6B0D4EFB"/>
    <w:rsid w:val="6B0E25AD"/>
    <w:rsid w:val="6B1B5C25"/>
    <w:rsid w:val="6B323075"/>
    <w:rsid w:val="6B7206C7"/>
    <w:rsid w:val="6BA47014"/>
    <w:rsid w:val="6BE82F72"/>
    <w:rsid w:val="6C112937"/>
    <w:rsid w:val="6C313F24"/>
    <w:rsid w:val="6C47636A"/>
    <w:rsid w:val="6C5C664E"/>
    <w:rsid w:val="6C5F5E1F"/>
    <w:rsid w:val="6C940B8E"/>
    <w:rsid w:val="6C98265F"/>
    <w:rsid w:val="6CF525F3"/>
    <w:rsid w:val="6D0C08CB"/>
    <w:rsid w:val="6D103390"/>
    <w:rsid w:val="6D1441C7"/>
    <w:rsid w:val="6D4404BD"/>
    <w:rsid w:val="6D7A7B2A"/>
    <w:rsid w:val="6DB871A6"/>
    <w:rsid w:val="6DF56EF4"/>
    <w:rsid w:val="6E0D0BCC"/>
    <w:rsid w:val="6EC56F0B"/>
    <w:rsid w:val="6EE43A75"/>
    <w:rsid w:val="6F0444CA"/>
    <w:rsid w:val="6F5A7BE6"/>
    <w:rsid w:val="6F5F22FF"/>
    <w:rsid w:val="6F6D3412"/>
    <w:rsid w:val="6F6F3DFC"/>
    <w:rsid w:val="6F8519DA"/>
    <w:rsid w:val="6FFD0830"/>
    <w:rsid w:val="70000F56"/>
    <w:rsid w:val="702C55B3"/>
    <w:rsid w:val="70315228"/>
    <w:rsid w:val="705120F5"/>
    <w:rsid w:val="70942D79"/>
    <w:rsid w:val="70E62883"/>
    <w:rsid w:val="70EE2F72"/>
    <w:rsid w:val="715B2C62"/>
    <w:rsid w:val="718D0CE2"/>
    <w:rsid w:val="71964AD0"/>
    <w:rsid w:val="71F160DA"/>
    <w:rsid w:val="72CF278C"/>
    <w:rsid w:val="72D111F4"/>
    <w:rsid w:val="72EF60C6"/>
    <w:rsid w:val="73665E3E"/>
    <w:rsid w:val="7389134A"/>
    <w:rsid w:val="741F62AC"/>
    <w:rsid w:val="74717A57"/>
    <w:rsid w:val="75162830"/>
    <w:rsid w:val="75297F6C"/>
    <w:rsid w:val="75423D8E"/>
    <w:rsid w:val="75A90606"/>
    <w:rsid w:val="7646683B"/>
    <w:rsid w:val="764D7182"/>
    <w:rsid w:val="76833CF3"/>
    <w:rsid w:val="76B448EB"/>
    <w:rsid w:val="771E5A14"/>
    <w:rsid w:val="772C6E69"/>
    <w:rsid w:val="774C75D7"/>
    <w:rsid w:val="77842612"/>
    <w:rsid w:val="77A36582"/>
    <w:rsid w:val="77CA7BF4"/>
    <w:rsid w:val="77E735C3"/>
    <w:rsid w:val="77EE64DC"/>
    <w:rsid w:val="780611BB"/>
    <w:rsid w:val="7815615E"/>
    <w:rsid w:val="78C04FB1"/>
    <w:rsid w:val="78C07DEB"/>
    <w:rsid w:val="78C20F84"/>
    <w:rsid w:val="799B7249"/>
    <w:rsid w:val="79A35C25"/>
    <w:rsid w:val="79C932E6"/>
    <w:rsid w:val="7AB75180"/>
    <w:rsid w:val="7AF61AD0"/>
    <w:rsid w:val="7B08266C"/>
    <w:rsid w:val="7BCD548D"/>
    <w:rsid w:val="7C2510D6"/>
    <w:rsid w:val="7C3A2BEC"/>
    <w:rsid w:val="7C910E4E"/>
    <w:rsid w:val="7CC21805"/>
    <w:rsid w:val="7CE302F4"/>
    <w:rsid w:val="7CF737CE"/>
    <w:rsid w:val="7D673B13"/>
    <w:rsid w:val="7D76270C"/>
    <w:rsid w:val="7DC32349"/>
    <w:rsid w:val="7E242A9A"/>
    <w:rsid w:val="7E464743"/>
    <w:rsid w:val="7E8D4DC5"/>
    <w:rsid w:val="7E937D5C"/>
    <w:rsid w:val="7F2175A1"/>
    <w:rsid w:val="7FA2768C"/>
    <w:rsid w:val="7FE00DBA"/>
    <w:rsid w:val="7FED36F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outlineLvl w:val="0"/>
    </w:pPr>
    <w:rPr>
      <w:rFonts w:ascii="楷体_GB2312" w:eastAsia="楷体_GB2312"/>
      <w:sz w:val="28"/>
      <w:szCs w:val="20"/>
    </w:rPr>
  </w:style>
  <w:style w:type="paragraph" w:styleId="4">
    <w:name w:val="heading 2"/>
    <w:basedOn w:val="3"/>
    <w:next w:val="1"/>
    <w:qFormat/>
    <w:uiPriority w:val="0"/>
    <w:pPr>
      <w:keepLines/>
      <w:spacing w:before="260" w:after="260" w:line="416" w:lineRule="auto"/>
      <w:jc w:val="center"/>
      <w:outlineLvl w:val="1"/>
    </w:pPr>
    <w:rPr>
      <w:rFonts w:ascii="Arial" w:hAnsi="Arial" w:eastAsia="幼圆"/>
      <w:b/>
      <w:sz w:val="44"/>
    </w:rPr>
  </w:style>
  <w:style w:type="paragraph" w:styleId="5">
    <w:name w:val="heading 3"/>
    <w:basedOn w:val="1"/>
    <w:next w:val="6"/>
    <w:qFormat/>
    <w:uiPriority w:val="0"/>
    <w:pPr>
      <w:keepNext/>
      <w:keepLines/>
      <w:spacing w:before="260" w:after="260" w:line="416" w:lineRule="auto"/>
      <w:outlineLvl w:val="2"/>
    </w:pPr>
    <w:rPr>
      <w:b/>
      <w:sz w:val="32"/>
      <w:szCs w:val="20"/>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outlineLvl w:val="4"/>
    </w:pPr>
    <w:rPr>
      <w:rFonts w:ascii="宋体" w:hAnsi="宋体"/>
      <w:b/>
      <w:bCs/>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7"/>
    <w:qFormat/>
    <w:uiPriority w:val="0"/>
    <w:pPr>
      <w:ind w:firstLine="420"/>
    </w:pPr>
    <w:rPr>
      <w:szCs w:val="20"/>
    </w:rPr>
  </w:style>
  <w:style w:type="paragraph" w:styleId="8">
    <w:name w:val="toc 7"/>
    <w:basedOn w:val="1"/>
    <w:next w:val="1"/>
    <w:semiHidden/>
    <w:qFormat/>
    <w:uiPriority w:val="0"/>
    <w:pPr>
      <w:ind w:left="2520" w:leftChars="1200"/>
    </w:pPr>
  </w:style>
  <w:style w:type="paragraph" w:styleId="9">
    <w:name w:val="Document Map"/>
    <w:basedOn w:val="1"/>
    <w:semiHidden/>
    <w:qFormat/>
    <w:uiPriority w:val="0"/>
    <w:pPr>
      <w:shd w:val="clear" w:color="auto" w:fill="000080"/>
    </w:pPr>
  </w:style>
  <w:style w:type="paragraph" w:styleId="10">
    <w:name w:val="annotation text"/>
    <w:basedOn w:val="1"/>
    <w:link w:val="48"/>
    <w:qFormat/>
    <w:uiPriority w:val="99"/>
    <w:pPr>
      <w:jc w:val="left"/>
    </w:pPr>
  </w:style>
  <w:style w:type="paragraph" w:styleId="11">
    <w:name w:val="Body Text 3"/>
    <w:basedOn w:val="1"/>
    <w:qFormat/>
    <w:uiPriority w:val="0"/>
    <w:rPr>
      <w:rFonts w:ascii="仿宋_GB2312" w:hAnsi="Arial" w:eastAsia="仿宋_GB2312"/>
      <w:sz w:val="32"/>
      <w:szCs w:val="20"/>
    </w:rPr>
  </w:style>
  <w:style w:type="paragraph" w:styleId="12">
    <w:name w:val="Body Text"/>
    <w:basedOn w:val="1"/>
    <w:next w:val="1"/>
    <w:qFormat/>
    <w:uiPriority w:val="0"/>
    <w:rPr>
      <w:rFonts w:ascii="楷体_GB2312" w:hAnsi="Arial" w:eastAsia="楷体_GB2312"/>
      <w:sz w:val="28"/>
      <w:szCs w:val="20"/>
    </w:rPr>
  </w:style>
  <w:style w:type="paragraph" w:styleId="13">
    <w:name w:val="Body Text Indent"/>
    <w:basedOn w:val="1"/>
    <w:next w:val="14"/>
    <w:qFormat/>
    <w:uiPriority w:val="0"/>
    <w:pPr>
      <w:ind w:firstLine="645"/>
    </w:pPr>
    <w:rPr>
      <w:rFonts w:ascii="楷体_GB2312" w:eastAsia="楷体_GB2312"/>
      <w:sz w:val="32"/>
      <w:szCs w:val="20"/>
    </w:rPr>
  </w:style>
  <w:style w:type="paragraph" w:styleId="14">
    <w:name w:val="envelope return"/>
    <w:basedOn w:val="1"/>
    <w:qFormat/>
    <w:uiPriority w:val="0"/>
    <w:pPr>
      <w:snapToGrid w:val="0"/>
    </w:pPr>
    <w:rPr>
      <w:rFonts w:ascii="Arial" w:hAnsi="Arial" w:cs="Arial"/>
    </w:rPr>
  </w:style>
  <w:style w:type="paragraph" w:styleId="15">
    <w:name w:val="Block Text"/>
    <w:basedOn w:val="1"/>
    <w:qFormat/>
    <w:uiPriority w:val="99"/>
    <w:pPr>
      <w:spacing w:after="120"/>
      <w:ind w:left="1440" w:leftChars="700" w:right="1440" w:rightChars="700"/>
    </w:pPr>
  </w:style>
  <w:style w:type="paragraph" w:styleId="16">
    <w:name w:val="toc 5"/>
    <w:basedOn w:val="1"/>
    <w:next w:val="1"/>
    <w:semiHidden/>
    <w:qFormat/>
    <w:uiPriority w:val="0"/>
    <w:pPr>
      <w:ind w:left="1680" w:leftChars="800"/>
    </w:pPr>
  </w:style>
  <w:style w:type="paragraph" w:styleId="17">
    <w:name w:val="toc 3"/>
    <w:basedOn w:val="1"/>
    <w:next w:val="1"/>
    <w:semiHidden/>
    <w:qFormat/>
    <w:uiPriority w:val="0"/>
    <w:pPr>
      <w:tabs>
        <w:tab w:val="right" w:leader="dot" w:pos="9440"/>
      </w:tabs>
      <w:spacing w:line="240" w:lineRule="exact"/>
      <w:ind w:left="539"/>
      <w:jc w:val="left"/>
    </w:pPr>
    <w:rPr>
      <w:rFonts w:ascii="黑体" w:hAnsi="宋体" w:eastAsia="黑体"/>
      <w:bCs/>
      <w:iCs/>
      <w:sz w:val="18"/>
      <w:szCs w:val="32"/>
    </w:rPr>
  </w:style>
  <w:style w:type="paragraph" w:styleId="18">
    <w:name w:val="Plain Text"/>
    <w:basedOn w:val="1"/>
    <w:qFormat/>
    <w:uiPriority w:val="0"/>
    <w:rPr>
      <w:rFonts w:hint="eastAsia" w:ascii="宋体" w:hAnsi="Courier New"/>
      <w:szCs w:val="20"/>
    </w:rPr>
  </w:style>
  <w:style w:type="paragraph" w:styleId="19">
    <w:name w:val="toc 8"/>
    <w:basedOn w:val="1"/>
    <w:next w:val="1"/>
    <w:semiHidden/>
    <w:qFormat/>
    <w:uiPriority w:val="0"/>
    <w:pPr>
      <w:ind w:left="2940" w:leftChars="1400"/>
    </w:pPr>
  </w:style>
  <w:style w:type="paragraph" w:styleId="20">
    <w:name w:val="Date"/>
    <w:basedOn w:val="1"/>
    <w:next w:val="1"/>
    <w:qFormat/>
    <w:uiPriority w:val="0"/>
    <w:rPr>
      <w:sz w:val="24"/>
      <w:szCs w:val="20"/>
    </w:rPr>
  </w:style>
  <w:style w:type="paragraph" w:styleId="21">
    <w:name w:val="Body Text Indent 2"/>
    <w:basedOn w:val="1"/>
    <w:qFormat/>
    <w:uiPriority w:val="0"/>
    <w:pPr>
      <w:ind w:firstLine="560" w:firstLineChars="200"/>
    </w:pPr>
    <w:rPr>
      <w:rFonts w:ascii="宋体" w:hAnsi="宋体"/>
      <w:sz w:val="28"/>
    </w:rPr>
  </w:style>
  <w:style w:type="paragraph" w:styleId="22">
    <w:name w:val="Balloon Text"/>
    <w:basedOn w:val="1"/>
    <w:semiHidden/>
    <w:qFormat/>
    <w:uiPriority w:val="0"/>
    <w:rPr>
      <w:sz w:val="18"/>
      <w:szCs w:val="18"/>
    </w:rPr>
  </w:style>
  <w:style w:type="paragraph" w:styleId="23">
    <w:name w:val="footer"/>
    <w:basedOn w:val="1"/>
    <w:next w:val="12"/>
    <w:qFormat/>
    <w:uiPriority w:val="0"/>
    <w:pPr>
      <w:tabs>
        <w:tab w:val="center" w:pos="4153"/>
        <w:tab w:val="right" w:pos="8306"/>
      </w:tabs>
      <w:snapToGrid w:val="0"/>
      <w:jc w:val="left"/>
    </w:pPr>
    <w:rPr>
      <w:sz w:val="18"/>
      <w:szCs w:val="20"/>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pPr>
      <w:tabs>
        <w:tab w:val="right" w:leader="dot" w:pos="9440"/>
      </w:tabs>
      <w:spacing w:before="120" w:after="120" w:line="300" w:lineRule="exact"/>
      <w:jc w:val="left"/>
    </w:pPr>
    <w:rPr>
      <w:rFonts w:ascii="黑体" w:eastAsia="黑体"/>
      <w:b/>
      <w:caps/>
      <w:sz w:val="18"/>
      <w:szCs w:val="28"/>
    </w:rPr>
  </w:style>
  <w:style w:type="paragraph" w:styleId="26">
    <w:name w:val="toc 4"/>
    <w:basedOn w:val="1"/>
    <w:next w:val="1"/>
    <w:semiHidden/>
    <w:qFormat/>
    <w:uiPriority w:val="0"/>
    <w:pPr>
      <w:ind w:left="1260" w:leftChars="600"/>
    </w:pPr>
  </w:style>
  <w:style w:type="paragraph" w:styleId="27">
    <w:name w:val="toc 6"/>
    <w:basedOn w:val="1"/>
    <w:next w:val="1"/>
    <w:semiHidden/>
    <w:qFormat/>
    <w:uiPriority w:val="0"/>
    <w:pPr>
      <w:ind w:left="2100" w:leftChars="1000"/>
    </w:pPr>
  </w:style>
  <w:style w:type="paragraph" w:styleId="28">
    <w:name w:val="Body Text Indent 3"/>
    <w:basedOn w:val="1"/>
    <w:qFormat/>
    <w:uiPriority w:val="0"/>
    <w:pPr>
      <w:ind w:firstLine="523"/>
    </w:pPr>
    <w:rPr>
      <w:rFonts w:ascii="仿宋_GB2312" w:hAnsi="宋体" w:eastAsia="仿宋_GB2312"/>
      <w:sz w:val="24"/>
    </w:rPr>
  </w:style>
  <w:style w:type="paragraph" w:styleId="29">
    <w:name w:val="toc 2"/>
    <w:basedOn w:val="1"/>
    <w:next w:val="1"/>
    <w:semiHidden/>
    <w:qFormat/>
    <w:uiPriority w:val="0"/>
    <w:pPr>
      <w:tabs>
        <w:tab w:val="right" w:leader="dot" w:pos="9440"/>
      </w:tabs>
      <w:spacing w:line="260" w:lineRule="exact"/>
      <w:jc w:val="left"/>
    </w:pPr>
    <w:rPr>
      <w:rFonts w:ascii="黑体" w:eastAsia="黑体"/>
      <w:b/>
      <w:bCs/>
      <w:smallCaps/>
      <w:sz w:val="18"/>
      <w:szCs w:val="44"/>
    </w:rPr>
  </w:style>
  <w:style w:type="paragraph" w:styleId="30">
    <w:name w:val="toc 9"/>
    <w:basedOn w:val="1"/>
    <w:next w:val="1"/>
    <w:semiHidden/>
    <w:qFormat/>
    <w:uiPriority w:val="0"/>
    <w:pPr>
      <w:ind w:left="3360" w:leftChars="1600"/>
    </w:pPr>
  </w:style>
  <w:style w:type="paragraph" w:styleId="31">
    <w:name w:val="Body Text 2"/>
    <w:basedOn w:val="1"/>
    <w:qFormat/>
    <w:uiPriority w:val="0"/>
    <w:pPr>
      <w:jc w:val="center"/>
    </w:pPr>
    <w:rPr>
      <w:rFonts w:ascii="仿宋_GB2312" w:eastAsia="仿宋_GB2312"/>
      <w:sz w:val="44"/>
    </w:rPr>
  </w:style>
  <w:style w:type="paragraph" w:styleId="32">
    <w:name w:val="HTML Preformatted"/>
    <w:basedOn w:val="1"/>
    <w:link w:val="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semiHidden/>
    <w:qFormat/>
    <w:uiPriority w:val="0"/>
    <w:rPr>
      <w:rFonts w:ascii="宋体" w:hAnsi="宋体"/>
      <w:szCs w:val="18"/>
    </w:rPr>
  </w:style>
  <w:style w:type="paragraph" w:styleId="35">
    <w:name w:val="annotation subject"/>
    <w:basedOn w:val="10"/>
    <w:next w:val="10"/>
    <w:link w:val="46"/>
    <w:qFormat/>
    <w:uiPriority w:val="0"/>
    <w:rPr>
      <w:b/>
      <w:bCs/>
    </w:rPr>
  </w:style>
  <w:style w:type="paragraph" w:styleId="36">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37">
    <w:name w:val="Body Text First Indent 2"/>
    <w:basedOn w:val="13"/>
    <w:next w:val="1"/>
    <w:qFormat/>
    <w:uiPriority w:val="0"/>
    <w:pPr>
      <w:spacing w:line="360" w:lineRule="auto"/>
      <w:ind w:firstLine="420" w:firstLineChars="200"/>
    </w:pPr>
    <w:rPr>
      <w:rFonts w:ascii="Calibri" w:hAnsi="Calibri" w:eastAsia="宋体"/>
      <w:sz w:val="21"/>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qFormat/>
    <w:uiPriority w:val="99"/>
    <w:rPr>
      <w:sz w:val="21"/>
      <w:szCs w:val="21"/>
    </w:rPr>
  </w:style>
  <w:style w:type="character" w:customStyle="1" w:styleId="46">
    <w:name w:val="批注主题 Char"/>
    <w:link w:val="35"/>
    <w:qFormat/>
    <w:uiPriority w:val="0"/>
    <w:rPr>
      <w:b/>
      <w:bCs/>
      <w:kern w:val="2"/>
      <w:sz w:val="21"/>
      <w:szCs w:val="24"/>
    </w:rPr>
  </w:style>
  <w:style w:type="character" w:customStyle="1" w:styleId="47">
    <w:name w:val="正文缩进 Char"/>
    <w:link w:val="6"/>
    <w:qFormat/>
    <w:uiPriority w:val="0"/>
    <w:rPr>
      <w:rFonts w:eastAsia="宋体"/>
      <w:kern w:val="2"/>
      <w:sz w:val="21"/>
      <w:lang w:val="en-US" w:eastAsia="zh-CN" w:bidi="ar-SA"/>
    </w:rPr>
  </w:style>
  <w:style w:type="character" w:customStyle="1" w:styleId="48">
    <w:name w:val="批注文字 Char"/>
    <w:link w:val="10"/>
    <w:qFormat/>
    <w:uiPriority w:val="99"/>
    <w:rPr>
      <w:kern w:val="2"/>
      <w:sz w:val="21"/>
      <w:szCs w:val="24"/>
    </w:rPr>
  </w:style>
  <w:style w:type="character" w:customStyle="1" w:styleId="49">
    <w:name w:val="标题 1 Char"/>
    <w:link w:val="3"/>
    <w:qFormat/>
    <w:uiPriority w:val="0"/>
    <w:rPr>
      <w:rFonts w:ascii="楷体_GB2312" w:eastAsia="楷体_GB2312"/>
      <w:kern w:val="2"/>
      <w:sz w:val="28"/>
      <w:lang w:val="en-US" w:eastAsia="zh-CN" w:bidi="ar-SA"/>
    </w:rPr>
  </w:style>
  <w:style w:type="character" w:customStyle="1" w:styleId="50">
    <w:name w:val="标题2 Char"/>
    <w:qFormat/>
    <w:uiPriority w:val="0"/>
    <w:rPr>
      <w:rFonts w:ascii="方正楷体_GBK" w:hAnsi="Book Antiqua" w:eastAsia="方正楷体_GBK"/>
      <w:snapToGrid w:val="0"/>
      <w:sz w:val="32"/>
      <w:lang w:val="en-US" w:eastAsia="zh-CN" w:bidi="ar-SA"/>
    </w:rPr>
  </w:style>
  <w:style w:type="character" w:customStyle="1" w:styleId="51">
    <w:name w:val="列出段落 Char"/>
    <w:link w:val="52"/>
    <w:qFormat/>
    <w:locked/>
    <w:uiPriority w:val="34"/>
    <w:rPr>
      <w:rFonts w:ascii="Calibri" w:hAnsi="Calibri"/>
      <w:sz w:val="24"/>
      <w:szCs w:val="24"/>
      <w:lang w:eastAsia="en-US" w:bidi="en-US"/>
    </w:rPr>
  </w:style>
  <w:style w:type="paragraph" w:customStyle="1" w:styleId="52">
    <w:name w:val="列出段落1"/>
    <w:basedOn w:val="1"/>
    <w:link w:val="51"/>
    <w:qFormat/>
    <w:uiPriority w:val="34"/>
    <w:pPr>
      <w:widowControl/>
      <w:ind w:left="720"/>
      <w:contextualSpacing/>
      <w:jc w:val="left"/>
    </w:pPr>
    <w:rPr>
      <w:rFonts w:ascii="Calibri" w:hAnsi="Calibri"/>
      <w:kern w:val="0"/>
      <w:sz w:val="24"/>
      <w:lang w:eastAsia="en-US" w:bidi="en-US"/>
    </w:rPr>
  </w:style>
  <w:style w:type="character" w:customStyle="1" w:styleId="53">
    <w:name w:val="jj1"/>
    <w:qFormat/>
    <w:uiPriority w:val="0"/>
    <w:rPr>
      <w:sz w:val="20"/>
      <w:szCs w:val="20"/>
      <w:u w:val="none"/>
    </w:rPr>
  </w:style>
  <w:style w:type="character" w:customStyle="1" w:styleId="54">
    <w:name w:val="HTML 预设格式 Char"/>
    <w:link w:val="32"/>
    <w:qFormat/>
    <w:uiPriority w:val="0"/>
    <w:rPr>
      <w:rFonts w:ascii="黑体" w:hAnsi="Courier New" w:eastAsia="黑体" w:cs="Courier New"/>
    </w:rPr>
  </w:style>
  <w:style w:type="character" w:customStyle="1" w:styleId="55">
    <w:name w:val="普通正文 Char"/>
    <w:link w:val="56"/>
    <w:qFormat/>
    <w:uiPriority w:val="0"/>
    <w:rPr>
      <w:rFonts w:ascii="Arial" w:hAnsi="Arial"/>
      <w:sz w:val="24"/>
      <w:szCs w:val="24"/>
    </w:rPr>
  </w:style>
  <w:style w:type="paragraph" w:customStyle="1" w:styleId="56">
    <w:name w:val="普通正文"/>
    <w:basedOn w:val="1"/>
    <w:link w:val="55"/>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57">
    <w:name w:val="font31"/>
    <w:basedOn w:val="40"/>
    <w:qFormat/>
    <w:uiPriority w:val="0"/>
    <w:rPr>
      <w:rFonts w:hint="eastAsia" w:ascii="宋体" w:hAnsi="宋体" w:eastAsia="宋体" w:cs="宋体"/>
      <w:b/>
      <w:bCs/>
      <w:color w:val="000000"/>
      <w:sz w:val="20"/>
      <w:szCs w:val="20"/>
      <w:u w:val="none"/>
    </w:rPr>
  </w:style>
  <w:style w:type="paragraph" w:customStyle="1" w:styleId="58">
    <w:name w:val="Default"/>
    <w:next w:val="59"/>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0">
    <w:name w:val="标题3"/>
    <w:basedOn w:val="1"/>
    <w:next w:val="1"/>
    <w:qFormat/>
    <w:uiPriority w:val="0"/>
    <w:rPr>
      <w:rFonts w:eastAsia="方正黑体_GBK"/>
    </w:rPr>
  </w:style>
  <w:style w:type="paragraph" w:customStyle="1" w:styleId="61">
    <w:name w:val="Heading 71"/>
    <w:basedOn w:val="1"/>
    <w:qFormat/>
    <w:uiPriority w:val="0"/>
    <w:pPr>
      <w:jc w:val="left"/>
      <w:outlineLvl w:val="7"/>
    </w:pPr>
    <w:rPr>
      <w:rFonts w:ascii="宋体" w:hAnsi="宋体" w:cs="宋体"/>
      <w:kern w:val="0"/>
      <w:sz w:val="28"/>
      <w:szCs w:val="28"/>
      <w:lang w:eastAsia="en-US"/>
    </w:rPr>
  </w:style>
  <w:style w:type="paragraph" w:customStyle="1" w:styleId="62">
    <w:name w:val="正文1"/>
    <w:qFormat/>
    <w:uiPriority w:val="0"/>
    <w:pPr>
      <w:jc w:val="both"/>
    </w:pPr>
    <w:rPr>
      <w:rFonts w:ascii="等线" w:hAnsi="等线" w:eastAsia="宋体" w:cs="宋体"/>
      <w:kern w:val="2"/>
      <w:sz w:val="21"/>
      <w:szCs w:val="21"/>
      <w:lang w:val="en-US" w:eastAsia="zh-CN" w:bidi="ar-SA"/>
    </w:rPr>
  </w:style>
  <w:style w:type="paragraph" w:styleId="63">
    <w:name w:val="List Paragraph"/>
    <w:basedOn w:val="1"/>
    <w:qFormat/>
    <w:uiPriority w:val="34"/>
    <w:pPr>
      <w:ind w:firstLine="420" w:firstLineChars="200"/>
    </w:pPr>
    <w:rPr>
      <w:rFonts w:ascii="Calibri" w:hAnsi="Calibri"/>
      <w:szCs w:val="22"/>
    </w:rPr>
  </w:style>
  <w:style w:type="paragraph" w:customStyle="1" w:styleId="64">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65">
    <w:name w:val="BioQuote Tekst"/>
    <w:basedOn w:val="1"/>
    <w:qFormat/>
    <w:uiPriority w:val="0"/>
    <w:pPr>
      <w:ind w:right="-1"/>
    </w:pPr>
    <w:rPr>
      <w:rFonts w:ascii="Arial" w:hAnsi="Arial"/>
      <w:snapToGrid w:val="0"/>
      <w:kern w:val="0"/>
      <w:sz w:val="22"/>
      <w:szCs w:val="20"/>
      <w:lang w:eastAsia="en-US"/>
    </w:rPr>
  </w:style>
  <w:style w:type="paragraph" w:customStyle="1" w:styleId="66">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67">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68">
    <w:name w:val="标题2"/>
    <w:basedOn w:val="1"/>
    <w:next w:val="1"/>
    <w:qFormat/>
    <w:uiPriority w:val="0"/>
    <w:pPr>
      <w:jc w:val="center"/>
    </w:pPr>
    <w:rPr>
      <w:rFonts w:eastAsia="方正楷体_GBK"/>
    </w:rPr>
  </w:style>
  <w:style w:type="paragraph" w:customStyle="1" w:styleId="69">
    <w:name w:val="默认段落字体 Para Char Char Char Char Char Char Char Char Char1 Char Char Char Char Char Char Char"/>
    <w:basedOn w:val="9"/>
    <w:qFormat/>
    <w:uiPriority w:val="0"/>
    <w:rPr>
      <w:rFonts w:ascii="Tahoma" w:hAnsi="Tahoma"/>
      <w:sz w:val="24"/>
    </w:rPr>
  </w:style>
  <w:style w:type="paragraph" w:customStyle="1" w:styleId="70">
    <w:name w:val="_Style 69"/>
    <w:semiHidden/>
    <w:qFormat/>
    <w:uiPriority w:val="99"/>
    <w:rPr>
      <w:rFonts w:ascii="Times New Roman" w:hAnsi="Times New Roman" w:eastAsia="宋体" w:cs="Times New Roman"/>
      <w:kern w:val="2"/>
      <w:sz w:val="21"/>
      <w:szCs w:val="24"/>
      <w:lang w:val="en-US" w:eastAsia="zh-CN" w:bidi="ar-SA"/>
    </w:rPr>
  </w:style>
  <w:style w:type="paragraph" w:customStyle="1" w:styleId="71">
    <w:name w:val="正文 1.1"/>
    <w:basedOn w:val="1"/>
    <w:next w:val="72"/>
    <w:qFormat/>
    <w:uiPriority w:val="0"/>
    <w:pPr>
      <w:numPr>
        <w:ilvl w:val="1"/>
        <w:numId w:val="1"/>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72">
    <w:name w:val="正文 1.1.1"/>
    <w:basedOn w:val="1"/>
    <w:next w:val="1"/>
    <w:qFormat/>
    <w:uiPriority w:val="0"/>
    <w:pPr>
      <w:numPr>
        <w:ilvl w:val="2"/>
        <w:numId w:val="1"/>
      </w:numPr>
      <w:adjustRightInd w:val="0"/>
      <w:spacing w:line="360" w:lineRule="auto"/>
      <w:textAlignment w:val="baseline"/>
      <w:outlineLvl w:val="2"/>
    </w:pPr>
    <w:rPr>
      <w:rFonts w:ascii="宋体" w:hAnsi="宋体"/>
      <w:color w:val="000000"/>
      <w:kern w:val="0"/>
      <w:sz w:val="28"/>
      <w:szCs w:val="21"/>
    </w:rPr>
  </w:style>
  <w:style w:type="paragraph" w:customStyle="1" w:styleId="73">
    <w:name w:val="Coms Alinea"/>
    <w:qFormat/>
    <w:uiPriority w:val="0"/>
    <w:pPr>
      <w:widowControl w:val="0"/>
    </w:pPr>
    <w:rPr>
      <w:rFonts w:ascii="Arial" w:hAnsi="Arial" w:eastAsia="宋体" w:cs="Arial"/>
      <w:lang w:val="en-US" w:eastAsia="zh-CN" w:bidi="ar-SA"/>
    </w:rPr>
  </w:style>
  <w:style w:type="paragraph" w:customStyle="1" w:styleId="74">
    <w:name w:val="Heading 41"/>
    <w:basedOn w:val="1"/>
    <w:qFormat/>
    <w:uiPriority w:val="0"/>
    <w:pPr>
      <w:jc w:val="left"/>
      <w:outlineLvl w:val="4"/>
    </w:pPr>
    <w:rPr>
      <w:rFonts w:ascii="宋体" w:hAnsi="宋体" w:cs="宋体"/>
      <w:kern w:val="0"/>
      <w:sz w:val="32"/>
      <w:szCs w:val="32"/>
      <w:lang w:eastAsia="en-US"/>
    </w:rPr>
  </w:style>
  <w:style w:type="paragraph" w:customStyle="1" w:styleId="75">
    <w:name w:val="列出段落3"/>
    <w:basedOn w:val="1"/>
    <w:qFormat/>
    <w:uiPriority w:val="0"/>
    <w:pPr>
      <w:ind w:firstLine="420" w:firstLineChars="200"/>
    </w:pPr>
    <w:rPr>
      <w:szCs w:val="20"/>
    </w:rPr>
  </w:style>
  <w:style w:type="paragraph" w:customStyle="1" w:styleId="76">
    <w:name w:val="Char"/>
    <w:basedOn w:val="1"/>
    <w:qFormat/>
    <w:uiPriority w:val="0"/>
    <w:rPr>
      <w:rFonts w:ascii="Tahoma" w:hAnsi="Tahoma"/>
      <w:snapToGrid w:val="0"/>
      <w:sz w:val="24"/>
      <w:szCs w:val="20"/>
    </w:rPr>
  </w:style>
  <w:style w:type="paragraph" w:customStyle="1" w:styleId="77">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78">
    <w:name w:val="Table Paragraph"/>
    <w:basedOn w:val="1"/>
    <w:qFormat/>
    <w:uiPriority w:val="1"/>
    <w:rPr>
      <w:rFonts w:ascii="宋体" w:hAnsi="宋体" w:cs="宋体"/>
      <w:lang w:val="zh-CN" w:bidi="zh-CN"/>
    </w:rPr>
  </w:style>
  <w:style w:type="paragraph" w:customStyle="1" w:styleId="79">
    <w:name w:val="Char Char Char Char"/>
    <w:basedOn w:val="9"/>
    <w:qFormat/>
    <w:uiPriority w:val="0"/>
    <w:pPr>
      <w:adjustRightInd w:val="0"/>
      <w:snapToGrid w:val="0"/>
      <w:spacing w:line="360" w:lineRule="auto"/>
    </w:pPr>
    <w:rPr>
      <w:rFonts w:ascii="Tahoma" w:hAnsi="Tahoma"/>
      <w:sz w:val="24"/>
    </w:rPr>
  </w:style>
  <w:style w:type="paragraph" w:customStyle="1" w:styleId="80">
    <w:name w:val="正文11"/>
    <w:qFormat/>
    <w:uiPriority w:val="0"/>
    <w:rPr>
      <w:rFonts w:ascii="Helvetica" w:hAnsi="Helvetica" w:eastAsia="Arial Unicode MS" w:cs="Arial Unicode MS"/>
      <w:color w:val="000000"/>
      <w:sz w:val="22"/>
      <w:szCs w:val="22"/>
      <w:lang w:val="en-US" w:eastAsia="zh-CN" w:bidi="ar-SA"/>
    </w:rPr>
  </w:style>
  <w:style w:type="paragraph" w:customStyle="1" w:styleId="8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82">
    <w:name w:val="Char Char Char Char1 Char Char"/>
    <w:basedOn w:val="1"/>
    <w:qFormat/>
    <w:uiPriority w:val="0"/>
    <w:pPr>
      <w:tabs>
        <w:tab w:val="left" w:pos="360"/>
      </w:tabs>
    </w:pPr>
    <w:rPr>
      <w:sz w:val="24"/>
    </w:rPr>
  </w:style>
  <w:style w:type="paragraph" w:customStyle="1" w:styleId="83">
    <w:name w:val="Table Text"/>
    <w:qFormat/>
    <w:uiPriority w:val="0"/>
    <w:pPr>
      <w:snapToGrid w:val="0"/>
      <w:spacing w:beforeLines="50" w:after="80"/>
      <w:jc w:val="center"/>
    </w:pPr>
    <w:rPr>
      <w:rFonts w:ascii="仿宋_GB2312" w:hAnsi="宋体" w:eastAsia="仿宋_GB2312" w:cs="Times New Roman"/>
      <w:sz w:val="24"/>
      <w:lang w:val="en-US" w:eastAsia="zh-CN" w:bidi="ar-SA"/>
    </w:rPr>
  </w:style>
  <w:style w:type="paragraph" w:customStyle="1" w:styleId="84">
    <w:name w:val="Char1"/>
    <w:basedOn w:val="1"/>
    <w:qFormat/>
    <w:uiPriority w:val="0"/>
    <w:pPr>
      <w:tabs>
        <w:tab w:val="left" w:pos="360"/>
      </w:tabs>
    </w:pPr>
    <w:rPr>
      <w:sz w:val="24"/>
    </w:rPr>
  </w:style>
  <w:style w:type="paragraph" w:customStyle="1" w:styleId="85">
    <w:name w:val="正文 第一章"/>
    <w:basedOn w:val="1"/>
    <w:next w:val="71"/>
    <w:qFormat/>
    <w:uiPriority w:val="0"/>
    <w:pPr>
      <w:pageBreakBefore/>
      <w:numPr>
        <w:ilvl w:val="0"/>
        <w:numId w:val="1"/>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86">
    <w:name w:val="Char Char Char Char1 Char Char Char"/>
    <w:basedOn w:val="9"/>
    <w:qFormat/>
    <w:uiPriority w:val="0"/>
    <w:pPr>
      <w:adjustRightInd w:val="0"/>
      <w:snapToGrid w:val="0"/>
      <w:spacing w:line="360" w:lineRule="auto"/>
    </w:pPr>
    <w:rPr>
      <w:rFonts w:ascii="Tahoma" w:hAnsi="Tahoma"/>
      <w:sz w:val="24"/>
    </w:rPr>
  </w:style>
  <w:style w:type="paragraph" w:customStyle="1" w:styleId="87">
    <w:name w:val="xl47"/>
    <w:basedOn w:val="1"/>
    <w:qFormat/>
    <w:uiPriority w:val="0"/>
    <w:pPr>
      <w:widowControl/>
      <w:spacing w:before="100" w:beforeAutospacing="1" w:after="100" w:afterAutospacing="1"/>
      <w:jc w:val="center"/>
    </w:pPr>
    <w:rPr>
      <w:rFonts w:hint="eastAsia" w:ascii="方正姚体" w:hAnsi="宋体" w:eastAsia="方正姚体"/>
      <w:b/>
      <w:bCs/>
      <w:kern w:val="0"/>
      <w:sz w:val="36"/>
      <w:szCs w:val="36"/>
    </w:rPr>
  </w:style>
  <w:style w:type="paragraph" w:customStyle="1" w:styleId="88">
    <w:name w:val="第四级"/>
    <w:basedOn w:val="1"/>
    <w:next w:val="1"/>
    <w:qFormat/>
    <w:uiPriority w:val="0"/>
    <w:pPr>
      <w:numPr>
        <w:ilvl w:val="3"/>
        <w:numId w:val="1"/>
      </w:numPr>
      <w:adjustRightInd w:val="0"/>
      <w:spacing w:line="360" w:lineRule="auto"/>
      <w:textAlignment w:val="baseline"/>
    </w:pPr>
    <w:rPr>
      <w:rFonts w:ascii="宋体" w:hAnsi="宋体" w:eastAsia="仿宋"/>
      <w:kern w:val="0"/>
      <w:sz w:val="28"/>
      <w:szCs w:val="21"/>
    </w:rPr>
  </w:style>
  <w:style w:type="paragraph" w:customStyle="1" w:styleId="89">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character" w:customStyle="1" w:styleId="90">
    <w:name w:val="NormalCharacter"/>
    <w:semiHidden/>
    <w:qFormat/>
    <w:uiPriority w:val="0"/>
  </w:style>
  <w:style w:type="paragraph" w:customStyle="1" w:styleId="91">
    <w:name w:val="Heading2"/>
    <w:basedOn w:val="1"/>
    <w:next w:val="92"/>
    <w:qFormat/>
    <w:uiPriority w:val="0"/>
    <w:pPr>
      <w:keepNext/>
      <w:keepLines/>
      <w:spacing w:before="260" w:after="260" w:line="416" w:lineRule="auto"/>
      <w:jc w:val="center"/>
    </w:pPr>
    <w:rPr>
      <w:rFonts w:ascii="Arial" w:hAnsi="Arial" w:eastAsia="幼圆" w:cs="Arial"/>
      <w:b/>
      <w:bCs/>
      <w:sz w:val="44"/>
      <w:szCs w:val="44"/>
    </w:rPr>
  </w:style>
  <w:style w:type="paragraph" w:customStyle="1" w:styleId="92">
    <w:name w:val="NormalIndent"/>
    <w:basedOn w:val="1"/>
    <w:qFormat/>
    <w:uiPriority w:val="0"/>
    <w:pPr>
      <w:ind w:firstLine="420"/>
    </w:pPr>
  </w:style>
  <w:style w:type="paragraph" w:customStyle="1" w:styleId="93">
    <w:name w:val="纯文本1"/>
    <w:basedOn w:val="1"/>
    <w:qFormat/>
    <w:uiPriority w:val="0"/>
    <w:rPr>
      <w:rFonts w:ascii="宋体" w:hAnsi="Courier New"/>
      <w:sz w:val="28"/>
    </w:rPr>
  </w:style>
  <w:style w:type="character" w:customStyle="1" w:styleId="94">
    <w:name w:val="apple-converted-space"/>
    <w:basedOn w:val="40"/>
    <w:qFormat/>
    <w:uiPriority w:val="99"/>
  </w:style>
  <w:style w:type="paragraph" w:customStyle="1" w:styleId="95">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8"/>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16135</Words>
  <Characters>16997</Characters>
  <Lines>130</Lines>
  <Paragraphs>36</Paragraphs>
  <TotalTime>9</TotalTime>
  <ScaleCrop>false</ScaleCrop>
  <LinksUpToDate>false</LinksUpToDate>
  <CharactersWithSpaces>17544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2021-09-24T02:29:00Z</dcterms:created>
  <dc:creator>cgzx</dc:creator>
  <cp:lastModifiedBy>赵萌</cp:lastModifiedBy>
  <cp:lastPrinted>2022-03-02T03:08:00Z</cp:lastPrinted>
  <dcterms:modified xsi:type="dcterms:W3CDTF">2022-09-07T03:13:59Z</dcterms:modified>
  <dc:title>总  目  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E25A9A774B8B4A80970C329FE7F9EE92</vt:lpwstr>
  </property>
</Properties>
</file>