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34BA5">
      <w:pPr>
        <w:pStyle w:val="20"/>
        <w:ind w:left="0" w:leftChars="0" w:firstLine="0" w:firstLineChars="0"/>
        <w:rPr>
          <w:rFonts w:ascii="宋体" w:hAnsi="宋体" w:eastAsia="宋体" w:cs="宋体"/>
          <w:color w:val="000000" w:themeColor="text1"/>
          <w14:textFill>
            <w14:solidFill>
              <w14:schemeClr w14:val="tx1"/>
            </w14:solidFill>
          </w14:textFill>
        </w:rPr>
      </w:pPr>
    </w:p>
    <w:p w14:paraId="59033E47">
      <w:pPr>
        <w:spacing w:line="500" w:lineRule="exact"/>
        <w:rPr>
          <w:rFonts w:ascii="宋体" w:hAnsi="宋体" w:cs="宋体"/>
          <w:b/>
          <w:color w:val="000000" w:themeColor="text1"/>
          <w:sz w:val="28"/>
          <w:szCs w:val="28"/>
          <w14:textFill>
            <w14:solidFill>
              <w14:schemeClr w14:val="tx1"/>
            </w14:solidFill>
          </w14:textFill>
        </w:rPr>
      </w:pPr>
    </w:p>
    <w:p w14:paraId="0423141C">
      <w:pPr>
        <w:pStyle w:val="20"/>
        <w:ind w:firstLine="422"/>
        <w:rPr>
          <w:rFonts w:ascii="宋体" w:hAnsi="宋体" w:eastAsia="宋体" w:cs="宋体"/>
          <w:color w:val="000000" w:themeColor="text1"/>
          <w14:textFill>
            <w14:solidFill>
              <w14:schemeClr w14:val="tx1"/>
            </w14:solidFill>
          </w14:textFill>
        </w:rPr>
      </w:pPr>
    </w:p>
    <w:p w14:paraId="6D1C5583">
      <w:pPr>
        <w:spacing w:line="360" w:lineRule="auto"/>
        <w:jc w:val="center"/>
        <w:rPr>
          <w:rFonts w:hint="eastAsia" w:ascii="宋体" w:hAnsi="宋体" w:cs="宋体"/>
          <w:b/>
          <w:color w:val="000000" w:themeColor="text1"/>
          <w:sz w:val="44"/>
          <w:szCs w:val="44"/>
          <w:lang w:eastAsia="zh-CN"/>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盐城工业职业技术学院</w:t>
      </w:r>
    </w:p>
    <w:p w14:paraId="7B0DC368">
      <w:pPr>
        <w:spacing w:line="360" w:lineRule="auto"/>
        <w:jc w:val="center"/>
        <w:rPr>
          <w:rFonts w:hint="eastAsia" w:ascii="宋体" w:hAnsi="宋体" w:eastAsia="宋体" w:cs="宋体"/>
          <w:b/>
          <w:color w:val="000000" w:themeColor="text1"/>
          <w:sz w:val="44"/>
          <w:szCs w:val="44"/>
          <w:lang w:eastAsia="zh-CN"/>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建筑外墙涂料修补及室外木桥、木平台维修</w:t>
      </w:r>
    </w:p>
    <w:p w14:paraId="50E2F1F1">
      <w:pPr>
        <w:spacing w:line="480" w:lineRule="auto"/>
        <w:rPr>
          <w:rFonts w:ascii="宋体" w:hAnsi="宋体" w:cs="宋体"/>
          <w:color w:val="000000" w:themeColor="text1"/>
          <w:sz w:val="24"/>
          <w14:textFill>
            <w14:solidFill>
              <w14:schemeClr w14:val="tx1"/>
            </w14:solidFill>
          </w14:textFill>
        </w:rPr>
      </w:pPr>
    </w:p>
    <w:p w14:paraId="4C0EAE49">
      <w:pPr>
        <w:spacing w:line="480" w:lineRule="auto"/>
        <w:jc w:val="center"/>
        <w:rPr>
          <w:rFonts w:ascii="宋体" w:hAnsi="宋体" w:cs="宋体"/>
          <w:b/>
          <w:color w:val="000000" w:themeColor="text1"/>
          <w:sz w:val="84"/>
          <w:szCs w:val="84"/>
          <w14:textFill>
            <w14:solidFill>
              <w14:schemeClr w14:val="tx1"/>
            </w14:solidFill>
          </w14:textFill>
        </w:rPr>
      </w:pPr>
      <w:r>
        <w:rPr>
          <w:rFonts w:hint="eastAsia" w:ascii="宋体" w:hAnsi="宋体" w:cs="宋体"/>
          <w:b/>
          <w:color w:val="000000" w:themeColor="text1"/>
          <w:sz w:val="84"/>
          <w:szCs w:val="84"/>
          <w14:textFill>
            <w14:solidFill>
              <w14:schemeClr w14:val="tx1"/>
            </w14:solidFill>
          </w14:textFill>
        </w:rPr>
        <w:t>招 标 文 件</w:t>
      </w:r>
    </w:p>
    <w:p w14:paraId="7041C354">
      <w:pPr>
        <w:jc w:val="center"/>
        <w:rPr>
          <w:rFonts w:ascii="宋体" w:hAnsi="宋体" w:cs="宋体"/>
          <w:b/>
          <w:color w:val="000000" w:themeColor="text1"/>
          <w:sz w:val="72"/>
          <w:szCs w:val="72"/>
          <w14:textFill>
            <w14:solidFill>
              <w14:schemeClr w14:val="tx1"/>
            </w14:solidFill>
          </w14:textFill>
        </w:rPr>
      </w:pPr>
    </w:p>
    <w:p w14:paraId="49C838FB">
      <w:pPr>
        <w:jc w:val="center"/>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项目编号：</w:t>
      </w:r>
      <w:r>
        <w:rPr>
          <w:rFonts w:hint="eastAsia" w:ascii="宋体" w:hAnsi="宋体" w:cs="宋体"/>
          <w:b/>
          <w:color w:val="000000" w:themeColor="text1"/>
          <w:sz w:val="30"/>
          <w:szCs w:val="30"/>
          <w:lang w:eastAsia="zh-CN"/>
          <w14:textFill>
            <w14:solidFill>
              <w14:schemeClr w14:val="tx1"/>
            </w14:solidFill>
          </w14:textFill>
        </w:rPr>
        <w:t xml:space="preserve">2024-022N </w:t>
      </w:r>
    </w:p>
    <w:p w14:paraId="1CC3B71A">
      <w:pPr>
        <w:spacing w:line="500" w:lineRule="exact"/>
        <w:rPr>
          <w:rFonts w:ascii="宋体" w:hAnsi="宋体" w:cs="宋体"/>
          <w:color w:val="000000" w:themeColor="text1"/>
          <w14:textFill>
            <w14:solidFill>
              <w14:schemeClr w14:val="tx1"/>
            </w14:solidFill>
          </w14:textFill>
        </w:rPr>
      </w:pPr>
    </w:p>
    <w:p w14:paraId="15D45692">
      <w:pPr>
        <w:spacing w:line="500" w:lineRule="exact"/>
        <w:rPr>
          <w:rFonts w:ascii="宋体" w:hAnsi="宋体" w:cs="宋体"/>
          <w:color w:val="000000" w:themeColor="text1"/>
          <w14:textFill>
            <w14:solidFill>
              <w14:schemeClr w14:val="tx1"/>
            </w14:solidFill>
          </w14:textFill>
        </w:rPr>
      </w:pPr>
    </w:p>
    <w:p w14:paraId="099B769B">
      <w:pPr>
        <w:spacing w:line="500" w:lineRule="exact"/>
        <w:rPr>
          <w:rFonts w:ascii="宋体" w:hAnsi="宋体" w:cs="宋体"/>
          <w:color w:val="000000" w:themeColor="text1"/>
          <w14:textFill>
            <w14:solidFill>
              <w14:schemeClr w14:val="tx1"/>
            </w14:solidFill>
          </w14:textFill>
        </w:rPr>
      </w:pPr>
    </w:p>
    <w:p w14:paraId="0612FB25">
      <w:pPr>
        <w:spacing w:line="500" w:lineRule="exact"/>
        <w:rPr>
          <w:rFonts w:ascii="宋体" w:hAnsi="宋体" w:cs="宋体"/>
          <w:color w:val="000000" w:themeColor="text1"/>
          <w14:textFill>
            <w14:solidFill>
              <w14:schemeClr w14:val="tx1"/>
            </w14:solidFill>
          </w14:textFill>
        </w:rPr>
      </w:pPr>
    </w:p>
    <w:p w14:paraId="524BE51D">
      <w:pPr>
        <w:spacing w:line="500" w:lineRule="exact"/>
        <w:rPr>
          <w:rFonts w:ascii="宋体" w:hAnsi="宋体" w:cs="宋体"/>
          <w:color w:val="000000" w:themeColor="text1"/>
          <w14:textFill>
            <w14:solidFill>
              <w14:schemeClr w14:val="tx1"/>
            </w14:solidFill>
          </w14:textFill>
        </w:rPr>
      </w:pPr>
    </w:p>
    <w:p w14:paraId="24D52D83">
      <w:pPr>
        <w:spacing w:line="500" w:lineRule="exact"/>
        <w:rPr>
          <w:rFonts w:ascii="宋体" w:hAnsi="宋体" w:cs="宋体"/>
          <w:color w:val="000000" w:themeColor="text1"/>
          <w14:textFill>
            <w14:solidFill>
              <w14:schemeClr w14:val="tx1"/>
            </w14:solidFill>
          </w14:textFill>
        </w:rPr>
      </w:pPr>
    </w:p>
    <w:p w14:paraId="567ED922">
      <w:pPr>
        <w:spacing w:line="500" w:lineRule="exact"/>
        <w:rPr>
          <w:rFonts w:ascii="宋体" w:hAnsi="宋体" w:cs="宋体"/>
          <w:color w:val="000000" w:themeColor="text1"/>
          <w14:textFill>
            <w14:solidFill>
              <w14:schemeClr w14:val="tx1"/>
            </w14:solidFill>
          </w14:textFill>
        </w:rPr>
      </w:pPr>
    </w:p>
    <w:p w14:paraId="3B0DAF68">
      <w:pPr>
        <w:spacing w:line="500" w:lineRule="exact"/>
        <w:rPr>
          <w:rFonts w:ascii="宋体" w:hAnsi="宋体" w:cs="宋体"/>
          <w:color w:val="000000" w:themeColor="text1"/>
          <w14:textFill>
            <w14:solidFill>
              <w14:schemeClr w14:val="tx1"/>
            </w14:solidFill>
          </w14:textFill>
        </w:rPr>
      </w:pPr>
    </w:p>
    <w:p w14:paraId="69B55588">
      <w:pPr>
        <w:jc w:val="center"/>
        <w:rPr>
          <w:rFonts w:ascii="宋体" w:hAnsi="宋体" w:cs="宋体"/>
          <w:bCs/>
          <w:color w:val="000000" w:themeColor="text1"/>
          <w:sz w:val="36"/>
          <w:szCs w:val="36"/>
          <w14:textFill>
            <w14:solidFill>
              <w14:schemeClr w14:val="tx1"/>
            </w14:solidFill>
          </w14:textFill>
        </w:rPr>
      </w:pPr>
      <w:r>
        <w:rPr>
          <w:rFonts w:hint="eastAsia" w:ascii="宋体" w:hAnsi="宋体" w:cs="宋体"/>
          <w:bCs/>
          <w:color w:val="000000" w:themeColor="text1"/>
          <w:sz w:val="36"/>
          <w:szCs w:val="36"/>
          <w14:textFill>
            <w14:solidFill>
              <w14:schemeClr w14:val="tx1"/>
            </w14:solidFill>
          </w14:textFill>
        </w:rPr>
        <w:t>盐城工业职业技术学院</w:t>
      </w:r>
    </w:p>
    <w:p w14:paraId="4223A0E5">
      <w:pPr>
        <w:jc w:val="center"/>
        <w:rPr>
          <w:rFonts w:hint="eastAsia" w:ascii="宋体" w:hAnsi="宋体" w:eastAsia="宋体" w:cs="宋体"/>
          <w:color w:val="000000" w:themeColor="text1"/>
          <w:sz w:val="36"/>
          <w:szCs w:val="36"/>
          <w:lang w:eastAsia="zh-CN"/>
          <w14:textFill>
            <w14:solidFill>
              <w14:schemeClr w14:val="tx1"/>
            </w14:solidFill>
          </w14:textFill>
        </w:rPr>
      </w:pPr>
      <w:r>
        <w:rPr>
          <w:rFonts w:hint="eastAsia" w:ascii="宋体" w:hAnsi="宋体" w:cs="宋体"/>
          <w:color w:val="000000" w:themeColor="text1"/>
          <w:sz w:val="36"/>
          <w:szCs w:val="36"/>
          <w:lang w:eastAsia="zh-CN"/>
          <w14:textFill>
            <w14:solidFill>
              <w14:schemeClr w14:val="tx1"/>
            </w14:solidFill>
          </w14:textFill>
        </w:rPr>
        <w:t>南京建淳造价师事务所有限公司</w:t>
      </w:r>
    </w:p>
    <w:p w14:paraId="4817015F">
      <w:pPr>
        <w:jc w:val="center"/>
        <w:rPr>
          <w:rFonts w:ascii="宋体" w:hAnsi="宋体" w:cs="宋体"/>
          <w:color w:val="000000" w:themeColor="text1"/>
          <w:sz w:val="36"/>
          <w:szCs w:val="36"/>
          <w14:textFill>
            <w14:solidFill>
              <w14:schemeClr w14:val="tx1"/>
            </w14:solidFill>
          </w14:textFill>
        </w:rPr>
      </w:pPr>
      <w:r>
        <w:rPr>
          <w:rFonts w:hint="eastAsia" w:ascii="宋体" w:hAnsi="宋体" w:cs="宋体"/>
          <w:color w:val="000000" w:themeColor="text1"/>
          <w:sz w:val="36"/>
          <w:szCs w:val="36"/>
          <w14:textFill>
            <w14:solidFill>
              <w14:schemeClr w14:val="tx1"/>
            </w14:solidFill>
          </w14:textFill>
        </w:rPr>
        <w:t>202</w:t>
      </w:r>
      <w:r>
        <w:rPr>
          <w:rFonts w:hint="eastAsia" w:ascii="宋体" w:hAnsi="宋体" w:cs="宋体"/>
          <w:color w:val="000000" w:themeColor="text1"/>
          <w:sz w:val="36"/>
          <w:szCs w:val="36"/>
          <w:lang w:val="en-US" w:eastAsia="zh-CN"/>
          <w14:textFill>
            <w14:solidFill>
              <w14:schemeClr w14:val="tx1"/>
            </w14:solidFill>
          </w14:textFill>
        </w:rPr>
        <w:t>4</w:t>
      </w:r>
      <w:r>
        <w:rPr>
          <w:rFonts w:hint="eastAsia" w:ascii="宋体" w:hAnsi="宋体" w:cs="宋体"/>
          <w:color w:val="000000" w:themeColor="text1"/>
          <w:sz w:val="36"/>
          <w:szCs w:val="36"/>
          <w14:textFill>
            <w14:solidFill>
              <w14:schemeClr w14:val="tx1"/>
            </w14:solidFill>
          </w14:textFill>
        </w:rPr>
        <w:t>年</w:t>
      </w:r>
      <w:r>
        <w:rPr>
          <w:rFonts w:hint="eastAsia" w:ascii="宋体" w:hAnsi="宋体" w:cs="宋体"/>
          <w:color w:val="000000" w:themeColor="text1"/>
          <w:sz w:val="36"/>
          <w:szCs w:val="36"/>
          <w:lang w:val="en-US" w:eastAsia="zh-CN"/>
          <w14:textFill>
            <w14:solidFill>
              <w14:schemeClr w14:val="tx1"/>
            </w14:solidFill>
          </w14:textFill>
        </w:rPr>
        <w:t>8</w:t>
      </w:r>
      <w:r>
        <w:rPr>
          <w:rFonts w:hint="eastAsia" w:ascii="宋体" w:hAnsi="宋体" w:cs="宋体"/>
          <w:color w:val="000000" w:themeColor="text1"/>
          <w:sz w:val="36"/>
          <w:szCs w:val="36"/>
          <w14:textFill>
            <w14:solidFill>
              <w14:schemeClr w14:val="tx1"/>
            </w14:solidFill>
          </w14:textFill>
        </w:rPr>
        <w:t>月</w:t>
      </w:r>
      <w:r>
        <w:rPr>
          <w:rFonts w:hint="eastAsia" w:ascii="宋体" w:hAnsi="宋体" w:cs="宋体"/>
          <w:color w:val="000000" w:themeColor="text1"/>
          <w:sz w:val="36"/>
          <w:szCs w:val="36"/>
          <w:lang w:val="en-US" w:eastAsia="zh-CN"/>
          <w14:textFill>
            <w14:solidFill>
              <w14:schemeClr w14:val="tx1"/>
            </w14:solidFill>
          </w14:textFill>
        </w:rPr>
        <w:t>8</w:t>
      </w:r>
      <w:r>
        <w:rPr>
          <w:rFonts w:hint="eastAsia" w:ascii="宋体" w:hAnsi="宋体" w:cs="宋体"/>
          <w:color w:val="000000" w:themeColor="text1"/>
          <w:sz w:val="36"/>
          <w:szCs w:val="36"/>
          <w14:textFill>
            <w14:solidFill>
              <w14:schemeClr w14:val="tx1"/>
            </w14:solidFill>
          </w14:textFill>
        </w:rPr>
        <w:t>日</w:t>
      </w:r>
    </w:p>
    <w:p w14:paraId="6A46F996">
      <w:pPr>
        <w:spacing w:line="400" w:lineRule="exact"/>
        <w:rPr>
          <w:rFonts w:ascii="宋体" w:hAnsi="宋体" w:cs="宋体"/>
          <w:color w:val="000000" w:themeColor="text1"/>
          <w:sz w:val="24"/>
          <w14:textFill>
            <w14:solidFill>
              <w14:schemeClr w14:val="tx1"/>
            </w14:solidFill>
          </w14:textFill>
        </w:rPr>
      </w:pPr>
    </w:p>
    <w:p w14:paraId="3E123731">
      <w:pPr>
        <w:tabs>
          <w:tab w:val="left" w:pos="900"/>
        </w:tabs>
        <w:spacing w:line="440" w:lineRule="exact"/>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32"/>
          <w:szCs w:val="32"/>
          <w:lang w:eastAsia="zh-CN"/>
          <w14:textFill>
            <w14:solidFill>
              <w14:schemeClr w14:val="tx1"/>
            </w14:solidFill>
          </w14:textFill>
        </w:rPr>
        <w:t>盐城工业职业技术学院建筑外墙涂料修补及室外木桥、木平台维修</w:t>
      </w:r>
      <w:r>
        <w:rPr>
          <w:rFonts w:hint="eastAsia" w:ascii="宋体" w:hAnsi="宋体" w:cs="宋体"/>
          <w:b/>
          <w:bCs/>
          <w:color w:val="000000" w:themeColor="text1"/>
          <w:sz w:val="32"/>
          <w:szCs w:val="32"/>
          <w14:textFill>
            <w14:solidFill>
              <w14:schemeClr w14:val="tx1"/>
            </w14:solidFill>
          </w14:textFill>
        </w:rPr>
        <w:t>招标公告</w:t>
      </w:r>
    </w:p>
    <w:p w14:paraId="3EA17A87">
      <w:pPr>
        <w:tabs>
          <w:tab w:val="left" w:pos="900"/>
        </w:tabs>
        <w:spacing w:line="440" w:lineRule="exact"/>
        <w:ind w:firstLine="480" w:firstLineChars="200"/>
        <w:jc w:val="left"/>
        <w:rPr>
          <w:rFonts w:ascii="宋体" w:hAnsi="宋体" w:cs="宋体"/>
          <w:color w:val="000000" w:themeColor="text1"/>
          <w:sz w:val="24"/>
          <w14:textFill>
            <w14:solidFill>
              <w14:schemeClr w14:val="tx1"/>
            </w14:solidFill>
          </w14:textFill>
        </w:rPr>
      </w:pPr>
    </w:p>
    <w:p w14:paraId="5919D38A">
      <w:pPr>
        <w:tabs>
          <w:tab w:val="left" w:pos="900"/>
        </w:tabs>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根据盐城工业职业技术学院招标采购计划，</w:t>
      </w:r>
      <w:r>
        <w:rPr>
          <w:rFonts w:hint="eastAsia" w:ascii="宋体" w:hAnsi="宋体" w:cs="宋体"/>
          <w:color w:val="000000" w:themeColor="text1"/>
          <w:sz w:val="24"/>
          <w:lang w:eastAsia="zh-CN"/>
          <w14:textFill>
            <w14:solidFill>
              <w14:schemeClr w14:val="tx1"/>
            </w14:solidFill>
          </w14:textFill>
        </w:rPr>
        <w:t>南京建淳造价师事务所有限公司</w:t>
      </w:r>
      <w:r>
        <w:rPr>
          <w:rFonts w:hint="eastAsia" w:ascii="宋体" w:hAnsi="宋体" w:cs="宋体"/>
          <w:color w:val="000000" w:themeColor="text1"/>
          <w:sz w:val="24"/>
          <w14:textFill>
            <w14:solidFill>
              <w14:schemeClr w14:val="tx1"/>
            </w14:solidFill>
          </w14:textFill>
        </w:rPr>
        <w:t>受盐城工业职业技术学院</w:t>
      </w:r>
      <w:r>
        <w:rPr>
          <w:rFonts w:hint="eastAsia" w:ascii="宋体" w:hAnsi="宋体" w:cs="宋体"/>
          <w:color w:val="000000" w:themeColor="text1"/>
          <w:sz w:val="24"/>
          <w14:textFill>
            <w14:solidFill>
              <w14:schemeClr w14:val="tx1"/>
            </w14:solidFill>
          </w14:textFill>
        </w:rPr>
        <w:softHyphen/>
      </w:r>
      <w:r>
        <w:rPr>
          <w:rFonts w:hint="eastAsia" w:ascii="宋体" w:hAnsi="宋体" w:cs="宋体"/>
          <w:color w:val="000000" w:themeColor="text1"/>
          <w:sz w:val="24"/>
          <w14:textFill>
            <w14:solidFill>
              <w14:schemeClr w14:val="tx1"/>
            </w14:solidFill>
          </w14:textFill>
        </w:rPr>
        <w:softHyphen/>
      </w:r>
      <w:r>
        <w:rPr>
          <w:rFonts w:hint="eastAsia" w:ascii="宋体" w:hAnsi="宋体" w:cs="宋体"/>
          <w:color w:val="000000" w:themeColor="text1"/>
          <w:sz w:val="24"/>
          <w14:textFill>
            <w14:solidFill>
              <w14:schemeClr w14:val="tx1"/>
            </w14:solidFill>
          </w14:textFill>
        </w:rPr>
        <w:t>的委托，就其所需的</w:t>
      </w:r>
      <w:r>
        <w:rPr>
          <w:rFonts w:hint="eastAsia" w:ascii="宋体" w:hAnsi="宋体" w:cs="宋体"/>
          <w:color w:val="000000" w:themeColor="text1"/>
          <w:sz w:val="24"/>
          <w:lang w:eastAsia="zh-CN"/>
          <w14:textFill>
            <w14:solidFill>
              <w14:schemeClr w14:val="tx1"/>
            </w14:solidFill>
          </w14:textFill>
        </w:rPr>
        <w:t>建筑外墙涂料修补及室外木桥、木平台维修</w:t>
      </w:r>
      <w:bookmarkStart w:id="8" w:name="_GoBack"/>
      <w:bookmarkEnd w:id="8"/>
      <w:r>
        <w:rPr>
          <w:rFonts w:hint="eastAsia" w:ascii="宋体" w:hAnsi="宋体" w:cs="宋体"/>
          <w:color w:val="000000" w:themeColor="text1"/>
          <w:sz w:val="24"/>
          <w14:textFill>
            <w14:solidFill>
              <w14:schemeClr w14:val="tx1"/>
            </w14:solidFill>
          </w14:textFill>
        </w:rPr>
        <w:t>进行公开招标，欢迎符合相关条件的合格投标人投标。</w:t>
      </w:r>
    </w:p>
    <w:p w14:paraId="78C3E34D">
      <w:pPr>
        <w:tabs>
          <w:tab w:val="left" w:pos="900"/>
        </w:tabs>
        <w:spacing w:line="440" w:lineRule="exact"/>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一、招标工程名称及编号</w:t>
      </w:r>
    </w:p>
    <w:p w14:paraId="65FCEC52">
      <w:pPr>
        <w:tabs>
          <w:tab w:val="left" w:pos="900"/>
        </w:tabs>
        <w:spacing w:line="440" w:lineRule="exact"/>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工程名称：</w:t>
      </w:r>
      <w:r>
        <w:rPr>
          <w:rFonts w:hint="eastAsia" w:ascii="宋体" w:hAnsi="宋体" w:cs="宋体"/>
          <w:color w:val="000000" w:themeColor="text1"/>
          <w:sz w:val="24"/>
          <w:lang w:eastAsia="zh-CN"/>
          <w14:textFill>
            <w14:solidFill>
              <w14:schemeClr w14:val="tx1"/>
            </w14:solidFill>
          </w14:textFill>
        </w:rPr>
        <w:t>盐城工业职业技术学院建筑外墙涂料修补及室外木桥、木平台维修</w:t>
      </w:r>
    </w:p>
    <w:p w14:paraId="2BD9B203">
      <w:pPr>
        <w:tabs>
          <w:tab w:val="left" w:pos="900"/>
        </w:tabs>
        <w:spacing w:line="440" w:lineRule="exact"/>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标书编号：</w:t>
      </w:r>
      <w:r>
        <w:rPr>
          <w:rFonts w:hint="eastAsia" w:ascii="宋体" w:hAnsi="宋体" w:cs="宋体"/>
          <w:color w:val="000000" w:themeColor="text1"/>
          <w:sz w:val="24"/>
          <w:lang w:eastAsia="zh-CN"/>
          <w14:textFill>
            <w14:solidFill>
              <w14:schemeClr w14:val="tx1"/>
            </w14:solidFill>
          </w14:textFill>
        </w:rPr>
        <w:t xml:space="preserve">2024-022N </w:t>
      </w:r>
    </w:p>
    <w:p w14:paraId="34D63E91">
      <w:pPr>
        <w:tabs>
          <w:tab w:val="left" w:pos="900"/>
        </w:tabs>
        <w:spacing w:line="440" w:lineRule="exact"/>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二、工程概况</w:t>
      </w:r>
    </w:p>
    <w:p w14:paraId="46AC3F72">
      <w:pPr>
        <w:snapToGrid w:val="0"/>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1、工程地点：盐城工业职业技术学院内（盐城市解放南路285号）。</w:t>
      </w:r>
    </w:p>
    <w:p w14:paraId="763C9BE5">
      <w:pPr>
        <w:snapToGrid w:val="0"/>
        <w:spacing w:line="44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2、工期要求：自甲方通知开</w:t>
      </w:r>
      <w:r>
        <w:rPr>
          <w:rFonts w:hint="eastAsia" w:ascii="宋体" w:hAnsi="宋体" w:cs="宋体"/>
          <w:color w:val="000000" w:themeColor="text1"/>
          <w:sz w:val="24"/>
          <w:highlight w:val="none"/>
          <w14:textFill>
            <w14:solidFill>
              <w14:schemeClr w14:val="tx1"/>
            </w14:solidFill>
          </w14:textFill>
        </w:rPr>
        <w:t>工之日起</w:t>
      </w:r>
      <w:r>
        <w:rPr>
          <w:rFonts w:hint="eastAsia" w:ascii="宋体" w:hAnsi="宋体" w:cs="宋体"/>
          <w:color w:val="000000" w:themeColor="text1"/>
          <w:sz w:val="24"/>
          <w:highlight w:val="none"/>
          <w:lang w:val="en-US" w:eastAsia="zh-CN"/>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日历天内全部通过竣工验收合格并交付使用。</w:t>
      </w:r>
    </w:p>
    <w:p w14:paraId="0C72231E">
      <w:pPr>
        <w:snapToGrid w:val="0"/>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3、质量要求：国家合格标准。 </w:t>
      </w:r>
    </w:p>
    <w:p w14:paraId="0074C6A6">
      <w:pPr>
        <w:snapToGrid w:val="0"/>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4、资金来源及落实情况：国有资金且已落实。 </w:t>
      </w:r>
    </w:p>
    <w:p w14:paraId="6D3CB0E6">
      <w:pPr>
        <w:snapToGrid w:val="0"/>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5、招标范围及标段划分：</w:t>
      </w:r>
      <w:r>
        <w:rPr>
          <w:rFonts w:hint="eastAsia" w:ascii="宋体" w:hAnsi="宋体" w:cs="宋体"/>
          <w:color w:val="000000" w:themeColor="text1"/>
          <w:sz w:val="24"/>
          <w:lang w:eastAsia="zh-CN"/>
          <w14:textFill>
            <w14:solidFill>
              <w14:schemeClr w14:val="tx1"/>
            </w14:solidFill>
          </w14:textFill>
        </w:rPr>
        <w:t>盐城工业职业技术学院建筑外墙涂料修补及室外木桥、木平台维修项目</w:t>
      </w:r>
      <w:r>
        <w:rPr>
          <w:rFonts w:hint="eastAsia" w:ascii="宋体" w:hAnsi="宋体" w:cs="宋体"/>
          <w:color w:val="000000" w:themeColor="text1"/>
          <w:sz w:val="24"/>
          <w14:textFill>
            <w14:solidFill>
              <w14:schemeClr w14:val="tx1"/>
            </w14:solidFill>
          </w14:textFill>
        </w:rPr>
        <w:t>，具体内容详按工程量清单及招标人要求执行，招标人保留进行调整的权利。本次招标共为1个标段。</w:t>
      </w:r>
    </w:p>
    <w:p w14:paraId="7AECE902">
      <w:pPr>
        <w:snapToGrid w:val="0"/>
        <w:spacing w:line="440" w:lineRule="exact"/>
        <w:ind w:firstLine="48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6、工程规模：</w:t>
      </w:r>
      <w:r>
        <w:rPr>
          <w:rFonts w:hint="eastAsia" w:ascii="宋体" w:hAnsi="宋体" w:cs="宋体"/>
          <w:color w:val="000000" w:themeColor="text1"/>
          <w:sz w:val="24"/>
          <w:lang w:val="en-US" w:eastAsia="zh-CN"/>
          <w14:textFill>
            <w14:solidFill>
              <w14:schemeClr w14:val="tx1"/>
            </w14:solidFill>
          </w14:textFill>
        </w:rPr>
        <w:t>预算价（</w:t>
      </w:r>
      <w:r>
        <w:rPr>
          <w:rFonts w:hint="eastAsia" w:ascii="宋体" w:hAnsi="宋体" w:cs="宋体"/>
          <w:color w:val="000000" w:themeColor="text1"/>
          <w:sz w:val="24"/>
          <w14:textFill>
            <w14:solidFill>
              <w14:schemeClr w14:val="tx1"/>
            </w14:solidFill>
          </w14:textFill>
        </w:rPr>
        <w:t>最高</w:t>
      </w:r>
      <w:r>
        <w:rPr>
          <w:rFonts w:hint="eastAsia" w:ascii="宋体" w:hAnsi="宋体" w:cs="宋体"/>
          <w:color w:val="000000" w:themeColor="text1"/>
          <w:sz w:val="24"/>
          <w:lang w:val="en-US" w:eastAsia="zh-CN"/>
          <w14:textFill>
            <w14:solidFill>
              <w14:schemeClr w14:val="tx1"/>
            </w14:solidFill>
          </w14:textFill>
        </w:rPr>
        <w:t>投标</w:t>
      </w:r>
      <w:r>
        <w:rPr>
          <w:rFonts w:hint="eastAsia" w:ascii="宋体" w:hAnsi="宋体" w:cs="宋体"/>
          <w:color w:val="000000" w:themeColor="text1"/>
          <w:sz w:val="24"/>
          <w14:textFill>
            <w14:solidFill>
              <w14:schemeClr w14:val="tx1"/>
            </w14:solidFill>
          </w14:textFill>
        </w:rPr>
        <w:t>限价</w:t>
      </w:r>
      <w:r>
        <w:rPr>
          <w:rFonts w:hint="eastAsia" w:ascii="宋体" w:hAnsi="宋体" w:cs="宋体"/>
          <w:color w:val="000000" w:themeColor="text1"/>
          <w:sz w:val="24"/>
          <w:lang w:val="en-US" w:eastAsia="zh-CN"/>
          <w14:textFill>
            <w14:solidFill>
              <w14:schemeClr w14:val="tx1"/>
            </w14:solidFill>
          </w14:textFill>
        </w:rPr>
        <w:t>）为</w:t>
      </w:r>
      <w:r>
        <w:rPr>
          <w:rFonts w:hint="eastAsia" w:ascii="宋体" w:hAnsi="宋体" w:cs="宋体"/>
          <w:color w:val="000000" w:themeColor="text1"/>
          <w:sz w:val="24"/>
          <w:highlight w:val="none"/>
          <w:lang w:val="en-US" w:eastAsia="zh-CN"/>
          <w14:textFill>
            <w14:solidFill>
              <w14:schemeClr w14:val="tx1"/>
            </w14:solidFill>
          </w14:textFill>
        </w:rPr>
        <w:t>16万</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lang w:eastAsia="zh-CN"/>
          <w14:textFill>
            <w14:solidFill>
              <w14:schemeClr w14:val="tx1"/>
            </w14:solidFill>
          </w14:textFill>
        </w:rPr>
        <w:t>。</w:t>
      </w:r>
    </w:p>
    <w:p w14:paraId="32872C64">
      <w:pPr>
        <w:tabs>
          <w:tab w:val="left" w:pos="900"/>
        </w:tabs>
        <w:spacing w:line="440" w:lineRule="exact"/>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三、投标人资格要求</w:t>
      </w:r>
    </w:p>
    <w:p w14:paraId="0A442138">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1、</w:t>
      </w:r>
      <w:r>
        <w:rPr>
          <w:rFonts w:hint="eastAsia" w:ascii="宋体" w:hAnsi="宋体" w:cs="宋体"/>
          <w:bCs/>
          <w:color w:val="000000" w:themeColor="text1"/>
          <w:sz w:val="24"/>
          <w14:textFill>
            <w14:solidFill>
              <w14:schemeClr w14:val="tx1"/>
            </w14:solidFill>
          </w14:textFill>
        </w:rPr>
        <w:t>投标人资格要求：投标人具有建设行政主管部门核发的建筑工程施工总承包三级及以上资质或建筑装修装饰工程专业承包二级及以上资质的独立法人，并持有安全生产许可证。</w:t>
      </w:r>
    </w:p>
    <w:p w14:paraId="248E8907">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财务要求：投标人应具有独立订立合同的能力，未处于财产被接管、冻结和破产状态。</w:t>
      </w:r>
    </w:p>
    <w:p w14:paraId="64AB3ADF">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信誉要求</w:t>
      </w:r>
    </w:p>
    <w:p w14:paraId="3F30BA7F">
      <w:pPr>
        <w:spacing w:line="44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1</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投标人没有被国家、江苏省省级有关部门及盐城市级有关部门暂停招投标或市场准入资格且在公示处罚期内。</w:t>
      </w:r>
    </w:p>
    <w:p w14:paraId="1F7D5F68">
      <w:pPr>
        <w:spacing w:line="440" w:lineRule="exact"/>
        <w:ind w:firstLine="480" w:firstLineChars="200"/>
        <w:jc w:val="left"/>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（2）在招投标活动中因本招标文件第五部分10.1.1、10.1.2所列的不良行为，在“江苏省建设工程招标网”公示期间的。</w:t>
      </w:r>
    </w:p>
    <w:p w14:paraId="4C10A530">
      <w:pPr>
        <w:spacing w:line="44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3</w:t>
      </w:r>
      <w:r>
        <w:rPr>
          <w:rFonts w:hint="eastAsia" w:ascii="宋体" w:hAnsi="宋体" w:eastAsia="宋体" w:cs="宋体"/>
          <w:bCs/>
          <w:color w:val="000000" w:themeColor="text1"/>
          <w:sz w:val="24"/>
          <w14:textFill>
            <w14:solidFill>
              <w14:schemeClr w14:val="tx1"/>
            </w14:solidFill>
          </w14:textFill>
        </w:rPr>
        <w:t>）近3年内有行贿犯罪行为且被记录，或者法定代表人、项目负责人有行贿犯罪记录且自记录之日起未超过5年的。（均自记录之日起至投标截止日止）</w:t>
      </w:r>
    </w:p>
    <w:p w14:paraId="59D2E82E">
      <w:pPr>
        <w:spacing w:line="44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4</w:t>
      </w:r>
      <w:r>
        <w:rPr>
          <w:rFonts w:hint="eastAsia" w:ascii="宋体" w:hAnsi="宋体" w:eastAsia="宋体" w:cs="宋体"/>
          <w:bCs/>
          <w:color w:val="000000" w:themeColor="text1"/>
          <w:sz w:val="24"/>
          <w14:textFill>
            <w14:solidFill>
              <w14:schemeClr w14:val="tx1"/>
            </w14:solidFill>
          </w14:textFill>
        </w:rPr>
        <w:t xml:space="preserve">）被人民法院列为失信被执行人的信息正在被“信用中国”、“信用江苏”网站公布的，投标截止时间前失信被执行人信息已撤销或更正的除外。 </w:t>
      </w:r>
    </w:p>
    <w:p w14:paraId="1BDA9D4C">
      <w:pPr>
        <w:spacing w:line="44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5</w:t>
      </w:r>
      <w:r>
        <w:rPr>
          <w:rFonts w:hint="eastAsia" w:ascii="宋体" w:hAnsi="宋体" w:eastAsia="宋体" w:cs="宋体"/>
          <w:bCs/>
          <w:color w:val="000000" w:themeColor="text1"/>
          <w:sz w:val="24"/>
          <w14:textFill>
            <w14:solidFill>
              <w14:schemeClr w14:val="tx1"/>
            </w14:solidFill>
          </w14:textFill>
        </w:rPr>
        <w:t>）投标人作为失信联合惩戒对象被采取依法限制参与建设工程招投标惩戒措施的，且被有关部门推送在“信用中国”、“信用江苏”、“信用盐城”相关网站公示且在有效期内的。</w:t>
      </w:r>
    </w:p>
    <w:p w14:paraId="470676D9">
      <w:pPr>
        <w:spacing w:line="44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2A5D6F0F">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4、</w:t>
      </w:r>
      <w:r>
        <w:rPr>
          <w:rFonts w:hint="eastAsia" w:ascii="宋体" w:hAnsi="宋体" w:cs="宋体"/>
          <w:bCs/>
          <w:color w:val="000000" w:themeColor="text1"/>
          <w:sz w:val="24"/>
          <w14:textFill>
            <w14:solidFill>
              <w14:schemeClr w14:val="tx1"/>
            </w14:solidFill>
          </w14:textFill>
        </w:rPr>
        <w:t>投标项目负责人资格要求：项目负责人须具有建筑工程专业二级及以上建造师资格，同时须具有安全生产考核合格证（B类）。</w:t>
      </w:r>
    </w:p>
    <w:p w14:paraId="2BA34EB8">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5、</w:t>
      </w:r>
      <w:r>
        <w:rPr>
          <w:rFonts w:hint="eastAsia" w:ascii="宋体" w:hAnsi="宋体" w:cs="宋体"/>
          <w:bCs/>
          <w:color w:val="000000" w:themeColor="text1"/>
          <w:sz w:val="24"/>
          <w14:textFill>
            <w14:solidFill>
              <w14:schemeClr w14:val="tx1"/>
            </w14:solidFill>
          </w14:textFill>
        </w:rPr>
        <w:t>项目负责人从本工程投标文件递交截止之日起必须满足下列条件：</w:t>
      </w:r>
    </w:p>
    <w:p w14:paraId="2F3733C9">
      <w:pPr>
        <w:spacing w:line="440" w:lineRule="exact"/>
        <w:ind w:firstLine="480" w:firstLineChars="200"/>
        <w:jc w:val="left"/>
        <w:rPr>
          <w:rFonts w:hint="eastAsia" w:ascii="宋体" w:hAnsi="宋体" w:cs="宋体"/>
          <w:bCs/>
          <w:color w:val="000000" w:themeColor="text1"/>
          <w:sz w:val="24"/>
          <w:lang w:eastAsia="zh-CN"/>
          <w14:textFill>
            <w14:solidFill>
              <w14:schemeClr w14:val="tx1"/>
            </w14:solidFill>
          </w14:textFill>
        </w:rPr>
      </w:pPr>
      <w:r>
        <w:rPr>
          <w:rFonts w:ascii="宋体" w:hAnsi="宋体" w:cs="宋体"/>
          <w:bCs/>
          <w:color w:val="000000" w:themeColor="text1"/>
          <w:sz w:val="24"/>
          <w14:textFill>
            <w14:solidFill>
              <w14:schemeClr w14:val="tx1"/>
            </w14:solidFill>
          </w14:textFill>
        </w:rPr>
        <w:t>项目负责人不得同时在两个或者两个以上单位受聘或者执业</w:t>
      </w:r>
      <w:r>
        <w:rPr>
          <w:rFonts w:hint="eastAsia" w:ascii="宋体" w:hAnsi="宋体" w:cs="宋体"/>
          <w:bCs/>
          <w:color w:val="000000" w:themeColor="text1"/>
          <w:sz w:val="24"/>
          <w:lang w:eastAsia="zh-CN"/>
          <w14:textFill>
            <w14:solidFill>
              <w14:schemeClr w14:val="tx1"/>
            </w14:solidFill>
          </w14:textFill>
        </w:rPr>
        <w:t>。</w:t>
      </w:r>
    </w:p>
    <w:p w14:paraId="40A35894">
      <w:pPr>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项目负责人是非变更后无在建工程，或项目负责人是变更后无在建工程（必须原合同工期已满且变更备案之日已满 6个月），或因非承包方原因致使工程项目停工或因故不能按期开工、且已办理了项目负责人解锁手续，或项目负责人有在建工程，但该在建工程与本次招标的工程属于同一工程项目、同一项目批 文、同一施工地点分段发包或分期施工的情况且总的工程规模在 项目负责人执业范围之内。</w:t>
      </w:r>
    </w:p>
    <w:p w14:paraId="74B1E6FB">
      <w:pPr>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在建</w:t>
      </w:r>
      <w:r>
        <w:rPr>
          <w:rFonts w:ascii="宋体" w:hAnsi="宋体" w:cs="宋体"/>
          <w:bCs/>
          <w:color w:val="000000" w:themeColor="text1"/>
          <w:sz w:val="24"/>
          <w14:textFill>
            <w14:solidFill>
              <w14:schemeClr w14:val="tx1"/>
            </w14:solidFill>
          </w14:textFill>
        </w:rPr>
        <w:t>工程</w:t>
      </w:r>
      <w:r>
        <w:rPr>
          <w:rFonts w:hint="eastAsia" w:ascii="宋体" w:hAnsi="宋体" w:cs="宋体"/>
          <w:bCs/>
          <w:color w:val="000000" w:themeColor="text1"/>
          <w:sz w:val="24"/>
          <w14:textFill>
            <w14:solidFill>
              <w14:schemeClr w14:val="tx1"/>
            </w14:solidFill>
          </w14:textFill>
        </w:rPr>
        <w:t>：</w:t>
      </w:r>
      <w:r>
        <w:rPr>
          <w:rFonts w:ascii="宋体" w:hAnsi="宋体" w:cs="宋体"/>
          <w:bCs/>
          <w:color w:val="000000" w:themeColor="text1"/>
          <w:sz w:val="24"/>
          <w14:textFill>
            <w14:solidFill>
              <w14:schemeClr w14:val="tx1"/>
            </w14:solidFill>
          </w14:textFill>
        </w:rPr>
        <w:t>处于中标结果公告（直接发包的项目以网上合同备案</w:t>
      </w:r>
      <w:r>
        <w:rPr>
          <w:rFonts w:hint="eastAsia" w:ascii="宋体" w:hAnsi="宋体" w:cs="宋体"/>
          <w:bCs/>
          <w:color w:val="000000" w:themeColor="text1"/>
          <w:sz w:val="24"/>
          <w14:textFill>
            <w14:solidFill>
              <w14:schemeClr w14:val="tx1"/>
            </w14:solidFill>
          </w14:textFill>
        </w:rPr>
        <w:t>或归集</w:t>
      </w:r>
      <w:r>
        <w:rPr>
          <w:rFonts w:ascii="宋体" w:hAnsi="宋体" w:cs="宋体"/>
          <w:bCs/>
          <w:color w:val="000000" w:themeColor="text1"/>
          <w:sz w:val="24"/>
          <w14:textFill>
            <w14:solidFill>
              <w14:schemeClr w14:val="tx1"/>
            </w14:solidFill>
          </w14:textFill>
        </w:rPr>
        <w:t>为准）到合同约定的工程全部完成且竣工验收合格期间的工程。竣工验收证明是指由建设单位（或监理）组织工程建设各方验收合格， 并签署相应的单位工程质量竣工验收记录或者分部工程质量验 收记录等验收文件。</w:t>
      </w:r>
    </w:p>
    <w:p w14:paraId="07110310">
      <w:pPr>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本项目招标文件项目负责人有在养护期内的绿化养护、市政养护项目的，</w:t>
      </w:r>
      <w:r>
        <w:rPr>
          <w:rFonts w:ascii="宋体" w:hAnsi="宋体" w:cs="宋体"/>
          <w:bCs/>
          <w:color w:val="000000" w:themeColor="text1"/>
          <w:sz w:val="24"/>
          <w14:textFill>
            <w14:solidFill>
              <w14:schemeClr w14:val="tx1"/>
            </w14:solidFill>
          </w14:textFill>
        </w:rPr>
        <w:t>不属于招标公告及文件规定的有在建工程</w:t>
      </w:r>
      <w:r>
        <w:rPr>
          <w:rFonts w:hint="eastAsia" w:ascii="宋体" w:hAnsi="宋体" w:cs="宋体"/>
          <w:bCs/>
          <w:color w:val="000000" w:themeColor="text1"/>
          <w:sz w:val="24"/>
          <w14:textFill>
            <w14:solidFill>
              <w14:schemeClr w14:val="tx1"/>
            </w14:solidFill>
          </w14:textFill>
        </w:rPr>
        <w:t>。绿化养护、市政养护工程招标，对项目负责人是否有在建工程不作要求。</w:t>
      </w:r>
    </w:p>
    <w:p w14:paraId="39B720B6">
      <w:pPr>
        <w:spacing w:line="440" w:lineRule="exact"/>
        <w:ind w:firstLine="480" w:firstLineChars="200"/>
        <w:jc w:val="left"/>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6、投标申请人代理人及投标承诺的项目部人员均为本单位的正式职工，投标时提供代理人及项目负责人从2024年4月开始至投标截止之日当月至少1个月在本单位缴纳养老保险缴费记录证明。（退休人员提供在本单位相关证明）。</w:t>
      </w:r>
    </w:p>
    <w:p w14:paraId="03D9E909">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本工程投标时，仅需提供项目经理相关资料，项目部其他人员施工时按现场管理规定要求配备到位。</w:t>
      </w:r>
    </w:p>
    <w:p w14:paraId="7005DD8B">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7、</w:t>
      </w:r>
      <w:r>
        <w:rPr>
          <w:rFonts w:hint="eastAsia" w:ascii="宋体" w:hAnsi="宋体" w:cs="宋体"/>
          <w:bCs/>
          <w:color w:val="000000" w:themeColor="text1"/>
          <w:sz w:val="24"/>
          <w14:textFill>
            <w14:solidFill>
              <w14:schemeClr w14:val="tx1"/>
            </w14:solidFill>
          </w14:textFill>
        </w:rPr>
        <w:t>本招标工程不接受联合体投标。</w:t>
      </w:r>
    </w:p>
    <w:p w14:paraId="17B067CA">
      <w:pPr>
        <w:spacing w:line="440" w:lineRule="exact"/>
        <w:ind w:firstLine="480" w:firstLineChars="200"/>
        <w:jc w:val="left"/>
        <w:rPr>
          <w:rFonts w:ascii="宋体" w:hAnsi="宋体" w:cs="宋体"/>
          <w:b/>
          <w:color w:val="000000" w:themeColor="text1"/>
          <w:kern w:val="0"/>
          <w:sz w:val="24"/>
          <w:shd w:val="clear" w:color="auto" w:fill="FFFFFF"/>
          <w14:textFill>
            <w14:solidFill>
              <w14:schemeClr w14:val="tx1"/>
            </w14:solidFill>
          </w14:textFill>
        </w:rPr>
      </w:pPr>
      <w:r>
        <w:rPr>
          <w:rFonts w:hint="eastAsia" w:ascii="宋体" w:hAnsi="宋体" w:cs="宋体"/>
          <w:b/>
          <w:color w:val="000000" w:themeColor="text1"/>
          <w:kern w:val="0"/>
          <w:sz w:val="24"/>
          <w:shd w:val="clear" w:color="auto" w:fill="FFFFFF"/>
          <w14:textFill>
            <w14:solidFill>
              <w14:schemeClr w14:val="tx1"/>
            </w14:solidFill>
          </w14:textFill>
        </w:rPr>
        <w:t>四、资格审查办法：</w:t>
      </w:r>
      <w:r>
        <w:rPr>
          <w:rFonts w:hint="eastAsia" w:ascii="宋体" w:hAnsi="宋体" w:cs="宋体"/>
          <w:b/>
          <w:bCs/>
          <w:color w:val="000000" w:themeColor="text1"/>
          <w:sz w:val="24"/>
          <w14:textFill>
            <w14:solidFill>
              <w14:schemeClr w14:val="tx1"/>
            </w14:solidFill>
          </w14:textFill>
        </w:rPr>
        <w:t>资格后审</w:t>
      </w:r>
      <w:r>
        <w:rPr>
          <w:rFonts w:hint="eastAsia" w:ascii="宋体" w:hAnsi="宋体" w:cs="宋体"/>
          <w:bCs/>
          <w:color w:val="000000" w:themeColor="text1"/>
          <w:kern w:val="0"/>
          <w:sz w:val="24"/>
          <w:shd w:val="clear" w:color="auto" w:fill="FFFFFF"/>
          <w14:textFill>
            <w14:solidFill>
              <w14:schemeClr w14:val="tx1"/>
            </w14:solidFill>
          </w14:textFill>
        </w:rPr>
        <w:t>。</w:t>
      </w:r>
    </w:p>
    <w:p w14:paraId="0AB0AA11">
      <w:pPr>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shd w:val="clear" w:color="auto" w:fill="FFFFFF"/>
          <w14:textFill>
            <w14:solidFill>
              <w14:schemeClr w14:val="tx1"/>
            </w14:solidFill>
          </w14:textFill>
        </w:rPr>
        <w:t>五、评标定标办法：</w:t>
      </w:r>
      <w:r>
        <w:rPr>
          <w:rFonts w:hint="eastAsia" w:ascii="宋体" w:hAnsi="宋体" w:cs="宋体"/>
          <w:color w:val="000000" w:themeColor="text1"/>
          <w:sz w:val="24"/>
          <w14:textFill>
            <w14:solidFill>
              <w14:schemeClr w14:val="tx1"/>
            </w14:solidFill>
          </w14:textFill>
        </w:rPr>
        <w:t>采用</w:t>
      </w:r>
      <w:r>
        <w:rPr>
          <w:rFonts w:hint="eastAsia" w:ascii="宋体" w:hAnsi="宋体" w:cs="宋体"/>
          <w:color w:val="000000" w:themeColor="text1"/>
          <w:sz w:val="24"/>
          <w:lang w:val="en-US" w:eastAsia="zh-CN"/>
          <w14:textFill>
            <w14:solidFill>
              <w14:schemeClr w14:val="tx1"/>
            </w14:solidFill>
          </w14:textFill>
        </w:rPr>
        <w:t>合理低价法</w:t>
      </w:r>
      <w:r>
        <w:rPr>
          <w:rFonts w:hint="eastAsia" w:ascii="宋体" w:hAnsi="宋体" w:cs="宋体"/>
          <w:color w:val="000000" w:themeColor="text1"/>
          <w:sz w:val="24"/>
          <w14:textFill>
            <w14:solidFill>
              <w14:schemeClr w14:val="tx1"/>
            </w14:solidFill>
          </w14:textFill>
        </w:rPr>
        <w:t>，具体详见招标文件正文。</w:t>
      </w:r>
    </w:p>
    <w:p w14:paraId="099A243F">
      <w:pPr>
        <w:spacing w:line="440" w:lineRule="exact"/>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六、招标文件提供信息</w:t>
      </w:r>
    </w:p>
    <w:p w14:paraId="2DA3201B">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地点：盐城工业职业技术学院招标采购网</w:t>
      </w:r>
    </w:p>
    <w:p w14:paraId="30A6EA0E">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方式：符合资格要求的投标人可自行下载采购文件，采购文件见盐城工业职业技术学院招标采购网本公告附件。</w:t>
      </w:r>
    </w:p>
    <w:p w14:paraId="39E0B377">
      <w:pPr>
        <w:adjustRightInd w:val="0"/>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报名时间及地点：</w:t>
      </w:r>
      <w:r>
        <w:rPr>
          <w:rStyle w:val="64"/>
          <w:rFonts w:hint="eastAsia" w:ascii="宋体" w:hAnsi="宋体" w:cs="宋体"/>
          <w:color w:val="000000" w:themeColor="text1"/>
          <w:sz w:val="24"/>
          <w14:textFill>
            <w14:solidFill>
              <w14:schemeClr w14:val="tx1"/>
            </w14:solidFill>
          </w14:textFill>
        </w:rPr>
        <w:t>本公告发布后凡具备上述资格条件，并自愿参加本项目投标的投标人应于</w:t>
      </w:r>
      <w:r>
        <w:rPr>
          <w:rFonts w:hint="eastAsia" w:ascii="宋体" w:hAnsi="宋体" w:cs="宋体"/>
          <w:bCs/>
          <w:color w:val="000000" w:themeColor="text1"/>
          <w:sz w:val="24"/>
          <w14:textFill>
            <w14:solidFill>
              <w14:schemeClr w14:val="tx1"/>
            </w14:solidFill>
          </w14:textFill>
        </w:rPr>
        <w:t>2024年</w:t>
      </w:r>
      <w:r>
        <w:rPr>
          <w:rFonts w:hint="eastAsia" w:ascii="宋体" w:hAnsi="宋体" w:cs="宋体"/>
          <w:bCs/>
          <w:color w:val="000000" w:themeColor="text1"/>
          <w:sz w:val="24"/>
          <w:lang w:val="en-US" w:eastAsia="zh-CN"/>
          <w14:textFill>
            <w14:solidFill>
              <w14:schemeClr w14:val="tx1"/>
            </w14:solidFill>
          </w14:textFill>
        </w:rPr>
        <w:t>8</w:t>
      </w:r>
      <w:r>
        <w:rPr>
          <w:rFonts w:hint="eastAsia"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lang w:val="en-US" w:eastAsia="zh-CN"/>
          <w14:textFill>
            <w14:solidFill>
              <w14:schemeClr w14:val="tx1"/>
            </w14:solidFill>
          </w14:textFill>
        </w:rPr>
        <w:t>8</w:t>
      </w:r>
      <w:r>
        <w:rPr>
          <w:rFonts w:hint="eastAsia" w:ascii="宋体" w:hAnsi="宋体" w:cs="宋体"/>
          <w:bCs/>
          <w:color w:val="000000" w:themeColor="text1"/>
          <w:sz w:val="24"/>
          <w14:textFill>
            <w14:solidFill>
              <w14:schemeClr w14:val="tx1"/>
            </w14:solidFill>
          </w14:textFill>
        </w:rPr>
        <w:t>日至2024年</w:t>
      </w:r>
      <w:r>
        <w:rPr>
          <w:rFonts w:hint="eastAsia" w:ascii="宋体" w:hAnsi="宋体" w:cs="宋体"/>
          <w:bCs/>
          <w:color w:val="000000" w:themeColor="text1"/>
          <w:sz w:val="24"/>
          <w:lang w:val="en-US" w:eastAsia="zh-CN"/>
          <w14:textFill>
            <w14:solidFill>
              <w14:schemeClr w14:val="tx1"/>
            </w14:solidFill>
          </w14:textFill>
        </w:rPr>
        <w:t>8</w:t>
      </w:r>
      <w:r>
        <w:rPr>
          <w:rFonts w:hint="eastAsia" w:ascii="宋体" w:hAnsi="宋体" w:cs="宋体"/>
          <w:bCs/>
          <w:color w:val="000000" w:themeColor="text1"/>
          <w:sz w:val="24"/>
          <w14:textFill>
            <w14:solidFill>
              <w14:schemeClr w14:val="tx1"/>
            </w14:solidFill>
          </w14:textFill>
        </w:rPr>
        <w:t>月</w:t>
      </w:r>
      <w:r>
        <w:rPr>
          <w:rFonts w:hint="eastAsia" w:ascii="宋体" w:hAnsi="宋体" w:cs="宋体"/>
          <w:bCs/>
          <w:color w:val="000000" w:themeColor="text1"/>
          <w:sz w:val="24"/>
          <w:lang w:val="en-US" w:eastAsia="zh-CN"/>
          <w14:textFill>
            <w14:solidFill>
              <w14:schemeClr w14:val="tx1"/>
            </w14:solidFill>
          </w14:textFill>
        </w:rPr>
        <w:t>16</w:t>
      </w:r>
      <w:r>
        <w:rPr>
          <w:rFonts w:hint="eastAsia" w:ascii="宋体" w:hAnsi="宋体" w:cs="宋体"/>
          <w:bCs/>
          <w:color w:val="000000" w:themeColor="text1"/>
          <w:sz w:val="24"/>
          <w14:textFill>
            <w14:solidFill>
              <w14:schemeClr w14:val="tx1"/>
            </w14:solidFill>
          </w14:textFill>
        </w:rPr>
        <w:t>日</w:t>
      </w:r>
      <w:r>
        <w:rPr>
          <w:rStyle w:val="64"/>
          <w:rFonts w:hint="eastAsia" w:ascii="宋体" w:hAnsi="宋体" w:cs="宋体"/>
          <w:color w:val="000000" w:themeColor="text1"/>
          <w:sz w:val="24"/>
          <w14:textFill>
            <w14:solidFill>
              <w14:schemeClr w14:val="tx1"/>
            </w14:solidFill>
          </w14:textFill>
        </w:rPr>
        <w:t>委派本单位正式人员携带单位介绍信或授权委托书扫描件至我单位或添加微信（微信号:</w:t>
      </w:r>
      <w:r>
        <w:rPr>
          <w:rStyle w:val="64"/>
          <w:rFonts w:hint="eastAsia" w:ascii="宋体" w:hAnsi="宋体" w:cs="宋体"/>
          <w:color w:val="000000" w:themeColor="text1"/>
          <w:sz w:val="24"/>
          <w:lang w:val="en-US" w:eastAsia="zh-CN"/>
          <w14:textFill>
            <w14:solidFill>
              <w14:schemeClr w14:val="tx1"/>
            </w14:solidFill>
          </w14:textFill>
        </w:rPr>
        <w:t>13024494996</w:t>
      </w:r>
      <w:r>
        <w:rPr>
          <w:rStyle w:val="64"/>
          <w:rFonts w:hint="eastAsia" w:ascii="宋体" w:hAnsi="宋体" w:cs="宋体"/>
          <w:color w:val="000000" w:themeColor="text1"/>
          <w:sz w:val="24"/>
          <w14:textFill>
            <w14:solidFill>
              <w14:schemeClr w14:val="tx1"/>
            </w14:solidFill>
          </w14:textFill>
        </w:rPr>
        <w:t>）购买招标文件，逾期的不予接收。</w:t>
      </w:r>
    </w:p>
    <w:p w14:paraId="31B912C1">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售价：人民币</w:t>
      </w:r>
      <w:r>
        <w:rPr>
          <w:rFonts w:hint="eastAsia" w:ascii="宋体" w:hAnsi="宋体" w:cs="宋体"/>
          <w:bCs/>
          <w:color w:val="000000" w:themeColor="text1"/>
          <w:sz w:val="24"/>
          <w:highlight w:val="none"/>
          <w14:textFill>
            <w14:solidFill>
              <w14:schemeClr w14:val="tx1"/>
            </w14:solidFill>
          </w14:textFill>
        </w:rPr>
        <w:t>300元，</w:t>
      </w:r>
      <w:r>
        <w:rPr>
          <w:rFonts w:hint="eastAsia" w:ascii="宋体" w:hAnsi="宋体" w:cs="宋体"/>
          <w:bCs/>
          <w:color w:val="000000" w:themeColor="text1"/>
          <w:sz w:val="24"/>
          <w14:textFill>
            <w14:solidFill>
              <w14:schemeClr w14:val="tx1"/>
            </w14:solidFill>
          </w14:textFill>
        </w:rPr>
        <w:t>售后不退。</w:t>
      </w:r>
    </w:p>
    <w:p w14:paraId="4575CBE7">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有关本次招标的事项若存在变动或修改，敬请及时关注盐城工业职业技术学院招标采购网发布的信息更正公告。</w:t>
      </w:r>
    </w:p>
    <w:p w14:paraId="1976749C">
      <w:pPr>
        <w:tabs>
          <w:tab w:val="left" w:pos="900"/>
        </w:tabs>
        <w:spacing w:line="440" w:lineRule="exact"/>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w:t>
      </w:r>
      <w:r>
        <w:rPr>
          <w:rFonts w:hint="eastAsia" w:ascii="宋体" w:hAnsi="宋体" w:cs="宋体"/>
          <w:b/>
          <w:bCs/>
          <w:color w:val="000000" w:themeColor="text1"/>
          <w:sz w:val="24"/>
          <w14:textFill>
            <w14:solidFill>
              <w14:schemeClr w14:val="tx1"/>
            </w14:solidFill>
          </w14:textFill>
        </w:rPr>
        <w:t>投标文件接收信息</w:t>
      </w:r>
    </w:p>
    <w:p w14:paraId="55AC7A5C">
      <w:pPr>
        <w:tabs>
          <w:tab w:val="left" w:pos="900"/>
        </w:tabs>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投标文件接收时间：202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时</w:t>
      </w:r>
      <w:r>
        <w:rPr>
          <w:rFonts w:hint="eastAsia" w:ascii="宋体" w:hAnsi="宋体" w:cs="宋体"/>
          <w:color w:val="000000" w:themeColor="text1"/>
          <w:sz w:val="24"/>
          <w:lang w:val="en-US" w:eastAsia="zh-CN"/>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分</w:t>
      </w:r>
    </w:p>
    <w:p w14:paraId="0A9F4EB8">
      <w:pPr>
        <w:tabs>
          <w:tab w:val="left" w:pos="900"/>
        </w:tabs>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投标文件接收截止时间：202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时</w:t>
      </w:r>
      <w:r>
        <w:rPr>
          <w:rFonts w:hint="eastAsia" w:ascii="宋体" w:hAnsi="宋体" w:cs="宋体"/>
          <w:color w:val="000000" w:themeColor="text1"/>
          <w:sz w:val="24"/>
          <w:lang w:val="en-US" w:eastAsia="zh-CN"/>
          <w14:textFill>
            <w14:solidFill>
              <w14:schemeClr w14:val="tx1"/>
            </w14:solidFill>
          </w14:textFill>
        </w:rPr>
        <w:t>00</w:t>
      </w:r>
      <w:r>
        <w:rPr>
          <w:rFonts w:hint="eastAsia" w:ascii="宋体" w:hAnsi="宋体" w:cs="宋体"/>
          <w:color w:val="000000" w:themeColor="text1"/>
          <w:sz w:val="24"/>
          <w14:textFill>
            <w14:solidFill>
              <w14:schemeClr w14:val="tx1"/>
            </w14:solidFill>
          </w14:textFill>
        </w:rPr>
        <w:t>分</w:t>
      </w:r>
    </w:p>
    <w:p w14:paraId="1AA12C9D">
      <w:pPr>
        <w:spacing w:line="44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投标文件接收地点：</w:t>
      </w:r>
      <w:r>
        <w:rPr>
          <w:rStyle w:val="64"/>
          <w:rFonts w:hint="eastAsia" w:ascii="宋体" w:hAnsi="宋体" w:cs="宋体"/>
          <w:color w:val="000000" w:themeColor="text1"/>
          <w:sz w:val="24"/>
          <w14:textFill>
            <w14:solidFill>
              <w14:schemeClr w14:val="tx1"/>
            </w14:solidFill>
          </w14:textFill>
        </w:rPr>
        <w:t>盐城工业职业技术学院（盐城市解放南路285号）南食堂四楼402开标室</w:t>
      </w:r>
      <w:r>
        <w:rPr>
          <w:rFonts w:hint="eastAsia" w:ascii="宋体" w:hAnsi="宋体" w:cs="宋体"/>
          <w:bCs/>
          <w:color w:val="000000" w:themeColor="text1"/>
          <w:sz w:val="24"/>
          <w14:textFill>
            <w14:solidFill>
              <w14:schemeClr w14:val="tx1"/>
            </w14:solidFill>
          </w14:textFill>
        </w:rPr>
        <w:t>。</w:t>
      </w:r>
    </w:p>
    <w:p w14:paraId="6A44D7DE">
      <w:pPr>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八、开标有关信息</w:t>
      </w:r>
    </w:p>
    <w:p w14:paraId="7D4071A4">
      <w:pPr>
        <w:spacing w:line="44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开标时间：</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时</w:t>
      </w:r>
      <w:r>
        <w:rPr>
          <w:rFonts w:hint="eastAsia" w:ascii="宋体" w:hAnsi="宋体" w:cs="宋体"/>
          <w:color w:val="000000" w:themeColor="text1"/>
          <w:sz w:val="24"/>
          <w:lang w:val="en-US" w:eastAsia="zh-CN"/>
          <w14:textFill>
            <w14:solidFill>
              <w14:schemeClr w14:val="tx1"/>
            </w14:solidFill>
          </w14:textFill>
        </w:rPr>
        <w:t>00</w:t>
      </w:r>
      <w:r>
        <w:rPr>
          <w:rFonts w:hint="eastAsia" w:ascii="宋体" w:hAnsi="宋体" w:cs="宋体"/>
          <w:color w:val="000000" w:themeColor="text1"/>
          <w:sz w:val="24"/>
          <w14:textFill>
            <w14:solidFill>
              <w14:schemeClr w14:val="tx1"/>
            </w14:solidFill>
          </w14:textFill>
        </w:rPr>
        <w:t>分</w:t>
      </w:r>
    </w:p>
    <w:p w14:paraId="321CE350">
      <w:pPr>
        <w:spacing w:line="44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开标地点：</w:t>
      </w:r>
      <w:r>
        <w:rPr>
          <w:rStyle w:val="64"/>
          <w:rFonts w:hint="eastAsia" w:ascii="宋体" w:hAnsi="宋体" w:cs="宋体"/>
          <w:color w:val="000000" w:themeColor="text1"/>
          <w:sz w:val="24"/>
          <w14:textFill>
            <w14:solidFill>
              <w14:schemeClr w14:val="tx1"/>
            </w14:solidFill>
          </w14:textFill>
        </w:rPr>
        <w:t>盐城工业职业技术学院（盐城市解放南路285号）南食堂四楼402开标室</w:t>
      </w:r>
      <w:r>
        <w:rPr>
          <w:rFonts w:hint="eastAsia" w:ascii="宋体" w:hAnsi="宋体" w:cs="宋体"/>
          <w:bCs/>
          <w:color w:val="000000" w:themeColor="text1"/>
          <w:sz w:val="24"/>
          <w14:textFill>
            <w14:solidFill>
              <w14:schemeClr w14:val="tx1"/>
            </w14:solidFill>
          </w14:textFill>
        </w:rPr>
        <w:t>。</w:t>
      </w:r>
    </w:p>
    <w:p w14:paraId="7603E633">
      <w:pPr>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九、本次招标联系事项</w:t>
      </w:r>
    </w:p>
    <w:p w14:paraId="64013278">
      <w:pPr>
        <w:tabs>
          <w:tab w:val="left" w:pos="900"/>
        </w:tabs>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（一）采购人项目联系人：</w:t>
      </w:r>
      <w:r>
        <w:rPr>
          <w:rFonts w:hint="eastAsia" w:ascii="宋体" w:hAnsi="宋体" w:cs="宋体"/>
          <w:color w:val="000000" w:themeColor="text1"/>
          <w:sz w:val="24"/>
          <w:lang w:val="en-US" w:eastAsia="zh-CN"/>
          <w14:textFill>
            <w14:solidFill>
              <w14:schemeClr w14:val="tx1"/>
            </w14:solidFill>
          </w14:textFill>
        </w:rPr>
        <w:t>周老师</w:t>
      </w:r>
      <w:r>
        <w:rPr>
          <w:rFonts w:hint="eastAsia" w:ascii="宋体" w:hAnsi="宋体" w:cs="宋体"/>
          <w:color w:val="000000" w:themeColor="text1"/>
          <w:sz w:val="24"/>
          <w14:textFill>
            <w14:solidFill>
              <w14:schemeClr w14:val="tx1"/>
            </w14:solidFill>
          </w14:textFill>
        </w:rPr>
        <w:t>，联系电话：15</w:t>
      </w:r>
      <w:r>
        <w:rPr>
          <w:rFonts w:hint="eastAsia" w:ascii="宋体" w:hAnsi="宋体" w:cs="宋体"/>
          <w:color w:val="000000" w:themeColor="text1"/>
          <w:sz w:val="24"/>
          <w:lang w:val="en-US" w:eastAsia="zh-CN"/>
          <w14:textFill>
            <w14:solidFill>
              <w14:schemeClr w14:val="tx1"/>
            </w14:solidFill>
          </w14:textFill>
        </w:rPr>
        <w:t>262231162</w:t>
      </w:r>
      <w:r>
        <w:rPr>
          <w:rFonts w:hint="eastAsia" w:ascii="宋体" w:hAnsi="宋体" w:cs="宋体"/>
          <w:color w:val="000000" w:themeColor="text1"/>
          <w:sz w:val="24"/>
          <w14:textFill>
            <w14:solidFill>
              <w14:schemeClr w14:val="tx1"/>
            </w14:solidFill>
          </w14:textFill>
        </w:rPr>
        <w:t>；</w:t>
      </w:r>
    </w:p>
    <w:p w14:paraId="36E15F8B">
      <w:pPr>
        <w:tabs>
          <w:tab w:val="left" w:pos="900"/>
        </w:tabs>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采购人招标联系人：赵老师，联系电话：0515-8858</w:t>
      </w:r>
      <w:r>
        <w:rPr>
          <w:rFonts w:hint="eastAsia" w:ascii="宋体" w:hAnsi="宋体" w:cs="宋体"/>
          <w:color w:val="000000" w:themeColor="text1"/>
          <w:sz w:val="24"/>
          <w:lang w:val="en-US" w:eastAsia="zh-CN"/>
          <w14:textFill>
            <w14:solidFill>
              <w14:schemeClr w14:val="tx1"/>
            </w14:solidFill>
          </w14:textFill>
        </w:rPr>
        <w:t>0406</w:t>
      </w:r>
      <w:r>
        <w:rPr>
          <w:rFonts w:hint="eastAsia" w:ascii="宋体" w:hAnsi="宋体" w:cs="宋体"/>
          <w:color w:val="000000" w:themeColor="text1"/>
          <w:sz w:val="24"/>
          <w14:textFill>
            <w14:solidFill>
              <w14:schemeClr w14:val="tx1"/>
            </w14:solidFill>
          </w14:textFill>
        </w:rPr>
        <w:t>；</w:t>
      </w:r>
    </w:p>
    <w:p w14:paraId="0B9F4C09">
      <w:pPr>
        <w:tabs>
          <w:tab w:val="left" w:pos="900"/>
        </w:tabs>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地址：盐城工业职业技术学院；</w:t>
      </w:r>
    </w:p>
    <w:p w14:paraId="09D1203C">
      <w:pPr>
        <w:tabs>
          <w:tab w:val="left" w:pos="900"/>
        </w:tabs>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（二）招标代理机构联系人：</w:t>
      </w:r>
      <w:r>
        <w:rPr>
          <w:rFonts w:hint="eastAsia" w:ascii="宋体" w:hAnsi="宋体" w:cs="宋体"/>
          <w:color w:val="000000" w:themeColor="text1"/>
          <w:sz w:val="24"/>
          <w:lang w:val="en-US" w:eastAsia="zh-CN"/>
          <w14:textFill>
            <w14:solidFill>
              <w14:schemeClr w14:val="tx1"/>
            </w14:solidFill>
          </w14:textFill>
        </w:rPr>
        <w:t>周先生</w:t>
      </w:r>
      <w:r>
        <w:rPr>
          <w:rFonts w:hint="eastAsia" w:ascii="宋体" w:hAnsi="宋体" w:cs="宋体"/>
          <w:color w:val="000000" w:themeColor="text1"/>
          <w:sz w:val="24"/>
          <w14:textFill>
            <w14:solidFill>
              <w14:schemeClr w14:val="tx1"/>
            </w14:solidFill>
          </w14:textFill>
        </w:rPr>
        <w:t>， 联系电话：</w:t>
      </w:r>
      <w:r>
        <w:rPr>
          <w:rFonts w:hint="eastAsia" w:ascii="宋体" w:hAnsi="宋体" w:cs="宋体"/>
          <w:color w:val="000000" w:themeColor="text1"/>
          <w:sz w:val="24"/>
          <w:lang w:val="en-US" w:eastAsia="zh-CN"/>
          <w14:textFill>
            <w14:solidFill>
              <w14:schemeClr w14:val="tx1"/>
            </w14:solidFill>
          </w14:textFill>
        </w:rPr>
        <w:t>13024494996</w:t>
      </w:r>
      <w:r>
        <w:rPr>
          <w:rFonts w:hint="eastAsia" w:ascii="宋体" w:hAnsi="宋体" w:cs="宋体"/>
          <w:color w:val="000000" w:themeColor="text1"/>
          <w:sz w:val="24"/>
          <w14:textFill>
            <w14:solidFill>
              <w14:schemeClr w14:val="tx1"/>
            </w14:solidFill>
          </w14:textFill>
        </w:rPr>
        <w:t>；</w:t>
      </w:r>
    </w:p>
    <w:p w14:paraId="4357BC50">
      <w:pPr>
        <w:tabs>
          <w:tab w:val="left" w:pos="900"/>
        </w:tabs>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招标代理机构联系地址：</w:t>
      </w:r>
      <w:r>
        <w:rPr>
          <w:rStyle w:val="64"/>
          <w:rFonts w:hint="eastAsia" w:ascii="宋体" w:hAnsi="宋体" w:cs="宋体"/>
          <w:color w:val="000000" w:themeColor="text1"/>
          <w:sz w:val="24"/>
          <w:szCs w:val="24"/>
          <w14:textFill>
            <w14:solidFill>
              <w14:schemeClr w14:val="tx1"/>
            </w14:solidFill>
          </w14:textFill>
        </w:rPr>
        <w:t>盐城市金融城四号楼1103</w:t>
      </w:r>
      <w:r>
        <w:rPr>
          <w:rFonts w:hint="eastAsia" w:ascii="宋体" w:hAnsi="宋体" w:cs="宋体"/>
          <w:color w:val="000000" w:themeColor="text1"/>
          <w:sz w:val="24"/>
          <w14:textFill>
            <w14:solidFill>
              <w14:schemeClr w14:val="tx1"/>
            </w14:solidFill>
          </w14:textFill>
        </w:rPr>
        <w:t xml:space="preserve">。 </w:t>
      </w:r>
    </w:p>
    <w:p w14:paraId="55CF7005">
      <w:pPr>
        <w:spacing w:line="440" w:lineRule="exact"/>
        <w:ind w:firstLine="480"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十、投标文件制作份数要求</w:t>
      </w:r>
    </w:p>
    <w:p w14:paraId="10E8AF1E">
      <w:pPr>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正本份数：1份，副本份数：4份。</w:t>
      </w:r>
    </w:p>
    <w:p w14:paraId="60FC5F69">
      <w:pPr>
        <w:spacing w:line="440" w:lineRule="exact"/>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十一、本次招标投标保证金</w:t>
      </w:r>
    </w:p>
    <w:p w14:paraId="64CF0019">
      <w:pPr>
        <w:spacing w:line="440" w:lineRule="exact"/>
        <w:ind w:firstLine="480" w:firstLineChars="200"/>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本次招标收取保证金。本工程投标保证金金额为人民币</w:t>
      </w:r>
      <w:r>
        <w:rPr>
          <w:rFonts w:hint="eastAsia" w:ascii="宋体" w:hAnsi="宋体" w:cs="宋体"/>
          <w:b/>
          <w:bCs/>
          <w:color w:val="000000" w:themeColor="text1"/>
          <w:sz w:val="24"/>
          <w:u w:val="single"/>
          <w:lang w:val="en-US" w:eastAsia="zh-CN"/>
          <w14:textFill>
            <w14:solidFill>
              <w14:schemeClr w14:val="tx1"/>
            </w14:solidFill>
          </w14:textFill>
        </w:rPr>
        <w:t>叁仟元</w:t>
      </w:r>
      <w:r>
        <w:rPr>
          <w:rFonts w:hint="eastAsia" w:ascii="宋体" w:hAnsi="宋体" w:cs="宋体"/>
          <w:b/>
          <w:bCs/>
          <w:color w:val="000000" w:themeColor="text1"/>
          <w:sz w:val="24"/>
          <w:u w:val="single"/>
          <w14:textFill>
            <w14:solidFill>
              <w14:schemeClr w14:val="tx1"/>
            </w14:solidFill>
          </w14:textFill>
        </w:rPr>
        <w:t>整</w:t>
      </w:r>
      <w:r>
        <w:rPr>
          <w:rFonts w:hint="eastAsia" w:ascii="宋体" w:hAnsi="宋体" w:cs="宋体"/>
          <w:color w:val="000000" w:themeColor="text1"/>
          <w:sz w:val="24"/>
          <w14:textFill>
            <w14:solidFill>
              <w14:schemeClr w14:val="tx1"/>
            </w14:solidFill>
          </w14:textFill>
        </w:rPr>
        <w:t>，投标保证金必须在</w:t>
      </w:r>
      <w:r>
        <w:rPr>
          <w:rFonts w:hint="eastAsia" w:ascii="宋体" w:hAnsi="宋体" w:cs="宋体"/>
          <w:bCs/>
          <w:color w:val="000000" w:themeColor="text1"/>
          <w:sz w:val="24"/>
          <w14:textFill>
            <w14:solidFill>
              <w14:schemeClr w14:val="tx1"/>
            </w14:solidFill>
          </w14:textFill>
        </w:rPr>
        <w:t>投标文件接收截止时间</w:t>
      </w:r>
      <w:r>
        <w:rPr>
          <w:rFonts w:hint="eastAsia" w:ascii="宋体" w:hAnsi="宋体" w:cs="宋体"/>
          <w:color w:val="000000" w:themeColor="text1"/>
          <w:sz w:val="24"/>
          <w14:textFill>
            <w14:solidFill>
              <w14:schemeClr w14:val="tx1"/>
            </w14:solidFill>
          </w14:textFill>
        </w:rPr>
        <w:t>前与投标文件一起送达投标文件接收地点（不要密封在响应文件中）。</w:t>
      </w:r>
    </w:p>
    <w:p w14:paraId="684F69CB">
      <w:pPr>
        <w:spacing w:line="440" w:lineRule="exact"/>
        <w:ind w:firstLine="480" w:firstLineChars="200"/>
        <w:outlineLvl w:val="1"/>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投标保证金必须采用有效银行本票或银行汇票，不接受电汇、转账、现金、现金交款单、支票或其他形式的保证金。</w:t>
      </w:r>
      <w:r>
        <w:rPr>
          <w:rFonts w:hint="eastAsia" w:ascii="宋体" w:hAnsi="宋体" w:cs="宋体"/>
          <w:color w:val="000000" w:themeColor="text1"/>
          <w:kern w:val="0"/>
          <w:sz w:val="24"/>
          <w14:textFill>
            <w14:solidFill>
              <w14:schemeClr w14:val="tx1"/>
            </w14:solidFill>
          </w14:textFill>
        </w:rPr>
        <w:t>各投标人须在</w:t>
      </w:r>
      <w:r>
        <w:rPr>
          <w:rFonts w:hint="eastAsia" w:ascii="宋体" w:hAnsi="宋体" w:cs="宋体"/>
          <w:bCs/>
          <w:color w:val="000000" w:themeColor="text1"/>
          <w:sz w:val="24"/>
          <w14:textFill>
            <w14:solidFill>
              <w14:schemeClr w14:val="tx1"/>
            </w14:solidFill>
          </w14:textFill>
        </w:rPr>
        <w:t>投标文件接收截止时间</w:t>
      </w:r>
      <w:r>
        <w:rPr>
          <w:rFonts w:hint="eastAsia" w:ascii="宋体" w:hAnsi="宋体" w:cs="宋体"/>
          <w:color w:val="000000" w:themeColor="text1"/>
          <w:kern w:val="0"/>
          <w:sz w:val="24"/>
          <w14:textFill>
            <w14:solidFill>
              <w14:schemeClr w14:val="tx1"/>
            </w14:solidFill>
          </w14:textFill>
        </w:rPr>
        <w:t>前将投标保证金从投标人本单位的基本账户上汇出（不入账），以投标人汇出资金的银行日期为准，且保证金汇出单位必须与投标人名称一致，</w:t>
      </w:r>
      <w:r>
        <w:rPr>
          <w:rFonts w:hint="eastAsia" w:ascii="宋体" w:hAnsi="宋体" w:cs="宋体"/>
          <w:b/>
          <w:bCs/>
          <w:color w:val="000000" w:themeColor="text1"/>
          <w:kern w:val="0"/>
          <w:sz w:val="24"/>
          <w14:textFill>
            <w14:solidFill>
              <w14:schemeClr w14:val="tx1"/>
            </w14:solidFill>
          </w14:textFill>
        </w:rPr>
        <w:t>收款人名称：</w:t>
      </w:r>
      <w:r>
        <w:rPr>
          <w:rFonts w:hint="eastAsia" w:ascii="宋体" w:hAnsi="宋体" w:cs="宋体"/>
          <w:b/>
          <w:bCs/>
          <w:color w:val="000000" w:themeColor="text1"/>
          <w:sz w:val="24"/>
          <w:lang w:eastAsia="zh-CN"/>
          <w14:textFill>
            <w14:solidFill>
              <w14:schemeClr w14:val="tx1"/>
            </w14:solidFill>
          </w14:textFill>
        </w:rPr>
        <w:t>南京建淳造价师事务所有限公司盐南分公司</w:t>
      </w:r>
      <w:r>
        <w:rPr>
          <w:rFonts w:hint="eastAsia" w:ascii="宋体" w:hAnsi="宋体" w:cs="宋体"/>
          <w:b/>
          <w:bCs/>
          <w:color w:val="000000" w:themeColor="text1"/>
          <w:sz w:val="24"/>
          <w14:textFill>
            <w14:solidFill>
              <w14:schemeClr w14:val="tx1"/>
            </w14:solidFill>
          </w14:textFill>
        </w:rPr>
        <w:t>，开户行：江苏盐城农村商业银行股份有限公司，账号：</w:t>
      </w:r>
      <w:r>
        <w:rPr>
          <w:rFonts w:hint="eastAsia" w:ascii="宋体" w:hAnsi="宋体" w:cs="宋体"/>
          <w:b/>
          <w:bCs/>
          <w:color w:val="000000" w:themeColor="text1"/>
          <w:sz w:val="24"/>
          <w:lang w:eastAsia="zh-CN"/>
          <w14:textFill>
            <w14:solidFill>
              <w14:schemeClr w14:val="tx1"/>
            </w14:solidFill>
          </w14:textFill>
        </w:rPr>
        <w:t>3209020011010000100638</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投标文件接收截止时间前</w:t>
      </w:r>
      <w:r>
        <w:rPr>
          <w:rFonts w:hint="eastAsia" w:ascii="宋体" w:hAnsi="宋体" w:cs="宋体"/>
          <w:color w:val="000000" w:themeColor="text1"/>
          <w:kern w:val="0"/>
          <w:sz w:val="24"/>
          <w14:textFill>
            <w14:solidFill>
              <w14:schemeClr w14:val="tx1"/>
            </w14:solidFill>
          </w14:textFill>
        </w:rPr>
        <w:t>，各投标人将有效银行本票原件或银行汇票原件带至开标现场交工作人员核验，未按上述要求交纳投标保证金的，</w:t>
      </w:r>
      <w:r>
        <w:rPr>
          <w:rFonts w:hint="eastAsia" w:ascii="宋体" w:hAnsi="宋体" w:cs="宋体"/>
          <w:color w:val="000000" w:themeColor="text1"/>
          <w:sz w:val="24"/>
          <w14:textFill>
            <w14:solidFill>
              <w14:schemeClr w14:val="tx1"/>
            </w14:solidFill>
          </w14:textFill>
        </w:rPr>
        <w:t>将被视为非响应性投标而予以拒绝。</w:t>
      </w:r>
    </w:p>
    <w:p w14:paraId="30483D54">
      <w:pPr>
        <w:spacing w:line="440" w:lineRule="exact"/>
        <w:ind w:firstLine="480" w:firstLineChars="200"/>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投标保证金退还方式：未中标人的投标保证金现场退还，中标人的投标保证金在签订合同并交纳招标代理服务费后，凭合同原件及交费凭证至招标代理机构财务部退还。</w:t>
      </w:r>
    </w:p>
    <w:p w14:paraId="06F59C7C">
      <w:pPr>
        <w:spacing w:line="440" w:lineRule="exact"/>
        <w:ind w:firstLine="5760" w:firstLineChars="2400"/>
        <w:outlineLvl w:val="1"/>
        <w:rPr>
          <w:rFonts w:ascii="宋体" w:hAnsi="宋体" w:cs="宋体"/>
          <w:color w:val="000000" w:themeColor="text1"/>
          <w:kern w:val="0"/>
          <w:sz w:val="24"/>
          <w14:textFill>
            <w14:solidFill>
              <w14:schemeClr w14:val="tx1"/>
            </w14:solidFill>
          </w14:textFill>
        </w:rPr>
      </w:pPr>
    </w:p>
    <w:p w14:paraId="6643D508">
      <w:pPr>
        <w:pStyle w:val="20"/>
        <w:rPr>
          <w:color w:val="000000" w:themeColor="text1"/>
          <w14:textFill>
            <w14:solidFill>
              <w14:schemeClr w14:val="tx1"/>
            </w14:solidFill>
          </w14:textFill>
        </w:rPr>
      </w:pPr>
    </w:p>
    <w:p w14:paraId="7942D56A">
      <w:pPr>
        <w:spacing w:line="440" w:lineRule="exact"/>
        <w:ind w:firstLine="5760" w:firstLineChars="2400"/>
        <w:outlineLvl w:val="1"/>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盐城工业职业技术学院</w:t>
      </w:r>
    </w:p>
    <w:p w14:paraId="15A6E09F">
      <w:pPr>
        <w:spacing w:line="440" w:lineRule="exact"/>
        <w:ind w:firstLine="5520" w:firstLineChars="2300"/>
        <w:outlineLvl w:val="1"/>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南京建淳造价师事务所有限公司</w:t>
      </w:r>
    </w:p>
    <w:p w14:paraId="479AE2EE">
      <w:pPr>
        <w:spacing w:line="440" w:lineRule="exact"/>
        <w:ind w:firstLine="6240" w:firstLineChars="2600"/>
        <w:outlineLvl w:val="1"/>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年</w:t>
      </w:r>
      <w:r>
        <w:rPr>
          <w:rFonts w:hint="eastAsia" w:ascii="宋体" w:hAnsi="宋体" w:cs="宋体"/>
          <w:color w:val="000000" w:themeColor="text1"/>
          <w:kern w:val="0"/>
          <w:sz w:val="24"/>
          <w:lang w:val="en-US" w:eastAsia="zh-CN"/>
          <w14:textFill>
            <w14:solidFill>
              <w14:schemeClr w14:val="tx1"/>
            </w14:solidFill>
          </w14:textFill>
        </w:rPr>
        <w:t>8</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8</w:t>
      </w:r>
      <w:r>
        <w:rPr>
          <w:rFonts w:hint="eastAsia" w:ascii="宋体" w:hAnsi="宋体" w:cs="宋体"/>
          <w:color w:val="000000" w:themeColor="text1"/>
          <w:kern w:val="0"/>
          <w:sz w:val="24"/>
          <w14:textFill>
            <w14:solidFill>
              <w14:schemeClr w14:val="tx1"/>
            </w14:solidFill>
          </w14:textFill>
        </w:rPr>
        <w:t>日</w:t>
      </w:r>
    </w:p>
    <w:p w14:paraId="10B5C27B">
      <w:pPr>
        <w:spacing w:line="50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br w:type="page"/>
      </w:r>
    </w:p>
    <w:p w14:paraId="499C8FD3">
      <w:pPr>
        <w:jc w:val="center"/>
        <w:rPr>
          <w:rFonts w:ascii="宋体" w:hAnsi="宋体" w:cs="宋体"/>
          <w:b/>
          <w:bCs/>
          <w:color w:val="000000" w:themeColor="text1"/>
          <w:sz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第一部分  投标须知</w:t>
      </w:r>
    </w:p>
    <w:p w14:paraId="3DBA235C">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前 附 表</w:t>
      </w:r>
    </w:p>
    <w:tbl>
      <w:tblPr>
        <w:tblStyle w:val="21"/>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8666"/>
      </w:tblGrid>
      <w:tr w14:paraId="4F615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29" w:type="dxa"/>
            <w:tcBorders>
              <w:top w:val="single" w:color="auto" w:sz="8" w:space="0"/>
              <w:left w:val="single" w:color="auto" w:sz="8" w:space="0"/>
              <w:bottom w:val="single" w:color="auto" w:sz="4" w:space="0"/>
              <w:right w:val="single" w:color="auto" w:sz="4" w:space="0"/>
            </w:tcBorders>
            <w:vAlign w:val="center"/>
          </w:tcPr>
          <w:p w14:paraId="3F54B299">
            <w:pPr>
              <w:pStyle w:val="11"/>
              <w:adjustRightInd w:val="0"/>
              <w:snapToGrid w:val="0"/>
              <w:spacing w:line="320" w:lineRule="exact"/>
              <w:jc w:val="center"/>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序号</w:t>
            </w:r>
          </w:p>
        </w:tc>
        <w:tc>
          <w:tcPr>
            <w:tcW w:w="8666" w:type="dxa"/>
            <w:tcBorders>
              <w:top w:val="single" w:color="auto" w:sz="8" w:space="0"/>
              <w:left w:val="single" w:color="auto" w:sz="4" w:space="0"/>
              <w:bottom w:val="single" w:color="auto" w:sz="4" w:space="0"/>
              <w:right w:val="single" w:color="auto" w:sz="8" w:space="0"/>
            </w:tcBorders>
            <w:vAlign w:val="center"/>
          </w:tcPr>
          <w:p w14:paraId="0B1C17CF">
            <w:pPr>
              <w:pStyle w:val="11"/>
              <w:adjustRightInd w:val="0"/>
              <w:snapToGrid w:val="0"/>
              <w:spacing w:line="320" w:lineRule="exact"/>
              <w:jc w:val="center"/>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招      标      概      况</w:t>
            </w:r>
          </w:p>
        </w:tc>
      </w:tr>
      <w:tr w14:paraId="1DE1B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036B9282">
            <w:pPr>
              <w:pStyle w:val="11"/>
              <w:adjustRightInd w:val="0"/>
              <w:snapToGrid w:val="0"/>
              <w:spacing w:line="320" w:lineRule="exact"/>
              <w:jc w:val="center"/>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1</w:t>
            </w:r>
          </w:p>
        </w:tc>
        <w:tc>
          <w:tcPr>
            <w:tcW w:w="8666" w:type="dxa"/>
            <w:tcBorders>
              <w:top w:val="single" w:color="auto" w:sz="4" w:space="0"/>
              <w:left w:val="single" w:color="auto" w:sz="4" w:space="0"/>
              <w:bottom w:val="single" w:color="auto" w:sz="4" w:space="0"/>
              <w:right w:val="single" w:color="auto" w:sz="8" w:space="0"/>
            </w:tcBorders>
            <w:vAlign w:val="center"/>
          </w:tcPr>
          <w:p w14:paraId="7C9D8A60">
            <w:pPr>
              <w:pStyle w:val="11"/>
              <w:adjustRightInd w:val="0"/>
              <w:snapToGrid w:val="0"/>
              <w:spacing w:line="300" w:lineRule="exact"/>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工程名称：</w:t>
            </w:r>
            <w:r>
              <w:rPr>
                <w:rFonts w:hint="eastAsia" w:hAnsi="宋体" w:cs="宋体"/>
                <w:color w:val="000000" w:themeColor="text1"/>
                <w:kern w:val="2"/>
                <w:sz w:val="24"/>
                <w:lang w:eastAsia="zh-CN"/>
                <w14:textFill>
                  <w14:solidFill>
                    <w14:schemeClr w14:val="tx1"/>
                  </w14:solidFill>
                </w14:textFill>
              </w:rPr>
              <w:t>盐城工业职业技术学院建筑外墙涂料修补及室外木桥、木平台维修</w:t>
            </w:r>
            <w:r>
              <w:rPr>
                <w:rFonts w:hint="eastAsia" w:hAnsi="宋体" w:cs="宋体"/>
                <w:color w:val="000000" w:themeColor="text1"/>
                <w:kern w:val="2"/>
                <w:sz w:val="24"/>
                <w14:textFill>
                  <w14:solidFill>
                    <w14:schemeClr w14:val="tx1"/>
                  </w14:solidFill>
                </w14:textFill>
              </w:rPr>
              <w:t>　　　　</w:t>
            </w:r>
          </w:p>
          <w:p w14:paraId="1B970F56">
            <w:pPr>
              <w:pStyle w:val="11"/>
              <w:adjustRightInd w:val="0"/>
              <w:snapToGrid w:val="0"/>
              <w:spacing w:line="300" w:lineRule="exact"/>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招标人名称：盐城工业职业技术学院</w:t>
            </w:r>
          </w:p>
          <w:p w14:paraId="48C735C8">
            <w:pPr>
              <w:pStyle w:val="11"/>
              <w:adjustRightInd w:val="0"/>
              <w:snapToGrid w:val="0"/>
              <w:spacing w:line="300" w:lineRule="exact"/>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招标范围及标段划分：</w:t>
            </w:r>
            <w:r>
              <w:rPr>
                <w:rFonts w:hint="eastAsia" w:hAnsi="宋体" w:cs="宋体"/>
                <w:color w:val="000000" w:themeColor="text1"/>
                <w:kern w:val="2"/>
                <w:sz w:val="24"/>
                <w:lang w:eastAsia="zh-CN"/>
                <w14:textFill>
                  <w14:solidFill>
                    <w14:schemeClr w14:val="tx1"/>
                  </w14:solidFill>
                </w14:textFill>
              </w:rPr>
              <w:t>盐城工业职业技术学院建筑外墙涂料修补及室外木桥、木平台维修</w:t>
            </w:r>
            <w:r>
              <w:rPr>
                <w:rFonts w:hint="eastAsia" w:hAnsi="宋体" w:cs="宋体"/>
                <w:color w:val="000000" w:themeColor="text1"/>
                <w:kern w:val="2"/>
                <w:sz w:val="24"/>
                <w14:textFill>
                  <w14:solidFill>
                    <w14:schemeClr w14:val="tx1"/>
                  </w14:solidFill>
                </w14:textFill>
              </w:rPr>
              <w:t>，具体内容详按工程量清单及招标人要求执行，招标人保留进行调整的权利。本次招标共为1个标段。</w:t>
            </w:r>
          </w:p>
          <w:p w14:paraId="621D2DF2">
            <w:pPr>
              <w:pStyle w:val="11"/>
              <w:adjustRightInd w:val="0"/>
              <w:snapToGrid w:val="0"/>
              <w:spacing w:line="300" w:lineRule="exact"/>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质量标准：国家合格标准</w:t>
            </w:r>
          </w:p>
          <w:p w14:paraId="4162BDE8">
            <w:pPr>
              <w:pStyle w:val="11"/>
              <w:adjustRightInd w:val="0"/>
              <w:snapToGrid w:val="0"/>
              <w:spacing w:line="300" w:lineRule="exact"/>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工期要求：自甲方通知开工之日起</w:t>
            </w:r>
            <w:r>
              <w:rPr>
                <w:rFonts w:hint="eastAsia" w:hAnsi="宋体" w:cs="宋体"/>
                <w:color w:val="000000" w:themeColor="text1"/>
                <w:kern w:val="2"/>
                <w:sz w:val="24"/>
                <w:highlight w:val="none"/>
                <w:lang w:val="en-US" w:eastAsia="zh-CN"/>
                <w14:textFill>
                  <w14:solidFill>
                    <w14:schemeClr w14:val="tx1"/>
                  </w14:solidFill>
                </w14:textFill>
              </w:rPr>
              <w:t>20</w:t>
            </w:r>
            <w:r>
              <w:rPr>
                <w:rFonts w:hint="eastAsia" w:hAnsi="宋体" w:cs="宋体"/>
                <w:color w:val="000000" w:themeColor="text1"/>
                <w:kern w:val="2"/>
                <w:sz w:val="24"/>
                <w:highlight w:val="none"/>
                <w14:textFill>
                  <w14:solidFill>
                    <w14:schemeClr w14:val="tx1"/>
                  </w14:solidFill>
                </w14:textFill>
              </w:rPr>
              <w:t>日历天</w:t>
            </w:r>
            <w:r>
              <w:rPr>
                <w:rFonts w:hint="eastAsia" w:hAnsi="宋体" w:cs="宋体"/>
                <w:color w:val="000000" w:themeColor="text1"/>
                <w:kern w:val="2"/>
                <w:sz w:val="24"/>
                <w14:textFill>
                  <w14:solidFill>
                    <w14:schemeClr w14:val="tx1"/>
                  </w14:solidFill>
                </w14:textFill>
              </w:rPr>
              <w:t>内全部通过竣工验收合格并交付使用。</w:t>
            </w:r>
          </w:p>
        </w:tc>
      </w:tr>
      <w:tr w14:paraId="304F4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4D071928">
            <w:pPr>
              <w:pStyle w:val="45"/>
              <w:adjustRightInd w:val="0"/>
              <w:snapToGrid w:val="0"/>
              <w:spacing w:line="320" w:lineRule="exact"/>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8666" w:type="dxa"/>
            <w:tcBorders>
              <w:top w:val="single" w:color="auto" w:sz="4" w:space="0"/>
              <w:left w:val="single" w:color="auto" w:sz="4" w:space="0"/>
              <w:bottom w:val="single" w:color="auto" w:sz="4" w:space="0"/>
              <w:right w:val="single" w:color="auto" w:sz="8" w:space="0"/>
            </w:tcBorders>
            <w:vAlign w:val="center"/>
          </w:tcPr>
          <w:p w14:paraId="0257BABE">
            <w:pPr>
              <w:spacing w:line="300" w:lineRule="exact"/>
              <w:outlineLvl w:val="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本次招标收取保证金。本工程投标保证金金额为人民币</w:t>
            </w:r>
            <w:r>
              <w:rPr>
                <w:rFonts w:hint="eastAsia" w:ascii="宋体" w:hAnsi="宋体" w:cs="宋体"/>
                <w:b/>
                <w:bCs/>
                <w:color w:val="000000" w:themeColor="text1"/>
                <w:sz w:val="24"/>
                <w:u w:val="single"/>
                <w:lang w:val="en-US" w:eastAsia="zh-CN"/>
                <w14:textFill>
                  <w14:solidFill>
                    <w14:schemeClr w14:val="tx1"/>
                  </w14:solidFill>
                </w14:textFill>
              </w:rPr>
              <w:t>叁仟元</w:t>
            </w:r>
            <w:r>
              <w:rPr>
                <w:rFonts w:hint="eastAsia" w:ascii="宋体" w:hAnsi="宋体" w:cs="宋体"/>
                <w:b/>
                <w:bCs/>
                <w:color w:val="000000" w:themeColor="text1"/>
                <w:sz w:val="24"/>
                <w:u w:val="single"/>
                <w14:textFill>
                  <w14:solidFill>
                    <w14:schemeClr w14:val="tx1"/>
                  </w14:solidFill>
                </w14:textFill>
              </w:rPr>
              <w:t>整</w:t>
            </w:r>
            <w:r>
              <w:rPr>
                <w:rFonts w:hint="eastAsia" w:ascii="宋体" w:hAnsi="宋体" w:cs="宋体"/>
                <w:color w:val="000000" w:themeColor="text1"/>
                <w:sz w:val="24"/>
                <w14:textFill>
                  <w14:solidFill>
                    <w14:schemeClr w14:val="tx1"/>
                  </w14:solidFill>
                </w14:textFill>
              </w:rPr>
              <w:t>，投标保证金必须在投标文件接收截止时间前与投标文件一起送达投标文件接收地点（不要密封在响应文件中）。</w:t>
            </w:r>
          </w:p>
          <w:p w14:paraId="4DD366E1">
            <w:pPr>
              <w:spacing w:line="300" w:lineRule="exact"/>
              <w:outlineLvl w:val="1"/>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投标保证金必须采用有效银行本票或银行汇票，不接受电汇、转账、现金、现金交款单、支票或其他形式的保证金。</w:t>
            </w:r>
            <w:r>
              <w:rPr>
                <w:rFonts w:hint="eastAsia" w:ascii="宋体" w:hAnsi="宋体" w:cs="宋体"/>
                <w:color w:val="000000" w:themeColor="text1"/>
                <w:kern w:val="0"/>
                <w:sz w:val="24"/>
                <w14:textFill>
                  <w14:solidFill>
                    <w14:schemeClr w14:val="tx1"/>
                  </w14:solidFill>
                </w14:textFill>
              </w:rPr>
              <w:t>各投标人须在</w:t>
            </w:r>
            <w:r>
              <w:rPr>
                <w:rFonts w:hint="eastAsia" w:ascii="宋体" w:hAnsi="宋体" w:cs="宋体"/>
                <w:bCs/>
                <w:color w:val="000000" w:themeColor="text1"/>
                <w:sz w:val="24"/>
                <w14:textFill>
                  <w14:solidFill>
                    <w14:schemeClr w14:val="tx1"/>
                  </w14:solidFill>
                </w14:textFill>
              </w:rPr>
              <w:t>投标文件接收截止时间</w:t>
            </w:r>
            <w:r>
              <w:rPr>
                <w:rFonts w:hint="eastAsia" w:ascii="宋体" w:hAnsi="宋体" w:cs="宋体"/>
                <w:color w:val="000000" w:themeColor="text1"/>
                <w:kern w:val="0"/>
                <w:sz w:val="24"/>
                <w14:textFill>
                  <w14:solidFill>
                    <w14:schemeClr w14:val="tx1"/>
                  </w14:solidFill>
                </w14:textFill>
              </w:rPr>
              <w:t>前将投标保证金从投标人本单位的基本账户上汇出（不入账），以投标人汇出资金的银行日期为准，且保证金汇出单位必须与投标人名称一致，</w:t>
            </w:r>
            <w:r>
              <w:rPr>
                <w:rFonts w:hint="eastAsia" w:ascii="宋体" w:hAnsi="宋体" w:cs="宋体"/>
                <w:b/>
                <w:bCs/>
                <w:color w:val="000000" w:themeColor="text1"/>
                <w:kern w:val="0"/>
                <w:sz w:val="24"/>
                <w14:textFill>
                  <w14:solidFill>
                    <w14:schemeClr w14:val="tx1"/>
                  </w14:solidFill>
                </w14:textFill>
              </w:rPr>
              <w:t>收款人名称：</w:t>
            </w:r>
            <w:r>
              <w:rPr>
                <w:rFonts w:hint="eastAsia" w:ascii="宋体" w:hAnsi="宋体" w:cs="宋体"/>
                <w:b/>
                <w:bCs/>
                <w:color w:val="000000" w:themeColor="text1"/>
                <w:sz w:val="24"/>
                <w:lang w:eastAsia="zh-CN"/>
                <w14:textFill>
                  <w14:solidFill>
                    <w14:schemeClr w14:val="tx1"/>
                  </w14:solidFill>
                </w14:textFill>
              </w:rPr>
              <w:t>南京建淳造价师事务所有限公司盐南分公司</w:t>
            </w:r>
            <w:r>
              <w:rPr>
                <w:rFonts w:hint="eastAsia" w:ascii="宋体" w:hAnsi="宋体" w:cs="宋体"/>
                <w:b/>
                <w:bCs/>
                <w:color w:val="000000" w:themeColor="text1"/>
                <w:sz w:val="24"/>
                <w14:textFill>
                  <w14:solidFill>
                    <w14:schemeClr w14:val="tx1"/>
                  </w14:solidFill>
                </w14:textFill>
              </w:rPr>
              <w:t>，开户行：江苏盐城农村商业银行股份有限公司，账号：</w:t>
            </w:r>
            <w:r>
              <w:rPr>
                <w:rFonts w:hint="eastAsia" w:ascii="宋体" w:hAnsi="宋体" w:cs="宋体"/>
                <w:b/>
                <w:bCs/>
                <w:color w:val="000000" w:themeColor="text1"/>
                <w:sz w:val="24"/>
                <w:lang w:eastAsia="zh-CN"/>
                <w14:textFill>
                  <w14:solidFill>
                    <w14:schemeClr w14:val="tx1"/>
                  </w14:solidFill>
                </w14:textFill>
              </w:rPr>
              <w:t>3209020011010000100638</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投标文件接收截止时间前</w:t>
            </w:r>
            <w:r>
              <w:rPr>
                <w:rFonts w:hint="eastAsia" w:ascii="宋体" w:hAnsi="宋体" w:cs="宋体"/>
                <w:color w:val="000000" w:themeColor="text1"/>
                <w:kern w:val="0"/>
                <w:sz w:val="24"/>
                <w14:textFill>
                  <w14:solidFill>
                    <w14:schemeClr w14:val="tx1"/>
                  </w14:solidFill>
                </w14:textFill>
              </w:rPr>
              <w:t>，各投标人将有效银行本票原件或银行汇票原件带至开标现场交工作人员核验，未按上述要求交纳投标保证金的，</w:t>
            </w:r>
            <w:r>
              <w:rPr>
                <w:rFonts w:hint="eastAsia" w:ascii="宋体" w:hAnsi="宋体" w:cs="宋体"/>
                <w:color w:val="000000" w:themeColor="text1"/>
                <w:sz w:val="24"/>
                <w14:textFill>
                  <w14:solidFill>
                    <w14:schemeClr w14:val="tx1"/>
                  </w14:solidFill>
                </w14:textFill>
              </w:rPr>
              <w:t>将被视为非响应性投标而予以拒绝。</w:t>
            </w:r>
          </w:p>
          <w:p w14:paraId="358BCA80">
            <w:pPr>
              <w:spacing w:line="300" w:lineRule="exact"/>
              <w:outlineLvl w:val="1"/>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投标保证金退还方式：未中标人的投标保证金现场退还，中标人的投标保证金在签订合同并交纳招标代理服务费后，凭合同原件及交费凭证至招标代理机构财务部退还。</w:t>
            </w:r>
          </w:p>
        </w:tc>
      </w:tr>
      <w:tr w14:paraId="72D58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7"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013FE60C">
            <w:pPr>
              <w:pStyle w:val="45"/>
              <w:adjustRightInd w:val="0"/>
              <w:snapToGrid w:val="0"/>
              <w:spacing w:line="320" w:lineRule="exact"/>
              <w:jc w:val="center"/>
              <w:rPr>
                <w:rFonts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8666" w:type="dxa"/>
            <w:tcBorders>
              <w:top w:val="single" w:color="auto" w:sz="4" w:space="0"/>
              <w:left w:val="single" w:color="auto" w:sz="4" w:space="0"/>
              <w:bottom w:val="single" w:color="auto" w:sz="4" w:space="0"/>
              <w:right w:val="single" w:color="auto" w:sz="8" w:space="0"/>
            </w:tcBorders>
            <w:vAlign w:val="center"/>
          </w:tcPr>
          <w:p w14:paraId="2D746CF7">
            <w:pPr>
              <w:pStyle w:val="11"/>
              <w:adjustRightInd w:val="0"/>
              <w:snapToGrid w:val="0"/>
              <w:spacing w:line="300" w:lineRule="exact"/>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 xml:space="preserve">递交疑问时间：投标文件接收截止时间3日前； </w:t>
            </w:r>
          </w:p>
          <w:p w14:paraId="14A17BA6">
            <w:pPr>
              <w:pStyle w:val="11"/>
              <w:adjustRightInd w:val="0"/>
              <w:snapToGrid w:val="0"/>
              <w:spacing w:line="300" w:lineRule="exact"/>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递交方式：发送电子邮件并电话告知，递交地址（邮箱）：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"mailto:854320948@qq.com" </w:instrText>
            </w:r>
            <w:r>
              <w:rPr>
                <w:color w:val="000000" w:themeColor="text1"/>
                <w14:textFill>
                  <w14:solidFill>
                    <w14:schemeClr w14:val="tx1"/>
                  </w14:solidFill>
                </w14:textFill>
              </w:rPr>
              <w:fldChar w:fldCharType="separate"/>
            </w:r>
            <w:r>
              <w:rPr>
                <w:rStyle w:val="32"/>
                <w:rFonts w:hint="eastAsia" w:hAnsi="宋体" w:cs="宋体"/>
                <w:color w:val="000000" w:themeColor="text1"/>
                <w:kern w:val="2"/>
                <w:sz w:val="24"/>
                <w:lang w:val="en-US" w:eastAsia="zh-CN"/>
                <w14:textFill>
                  <w14:solidFill>
                    <w14:schemeClr w14:val="tx1"/>
                  </w14:solidFill>
                </w14:textFill>
              </w:rPr>
              <w:t>1727707827</w:t>
            </w:r>
            <w:r>
              <w:rPr>
                <w:rStyle w:val="32"/>
                <w:rFonts w:hint="eastAsia" w:hAnsi="宋体" w:cs="宋体"/>
                <w:color w:val="000000" w:themeColor="text1"/>
                <w:kern w:val="2"/>
                <w:sz w:val="24"/>
                <w14:textFill>
                  <w14:solidFill>
                    <w14:schemeClr w14:val="tx1"/>
                  </w14:solidFill>
                </w14:textFill>
              </w:rPr>
              <w:t>@qq.com</w:t>
            </w:r>
            <w:r>
              <w:rPr>
                <w:rStyle w:val="32"/>
                <w:rFonts w:hint="eastAsia" w:hAnsi="宋体" w:cs="宋体"/>
                <w:color w:val="000000" w:themeColor="text1"/>
                <w:kern w:val="2"/>
                <w:sz w:val="24"/>
                <w14:textFill>
                  <w14:solidFill>
                    <w14:schemeClr w14:val="tx1"/>
                  </w14:solidFill>
                </w14:textFill>
              </w:rPr>
              <w:fldChar w:fldCharType="end"/>
            </w:r>
            <w:r>
              <w:rPr>
                <w:rFonts w:hint="eastAsia" w:hAnsi="宋体" w:cs="宋体"/>
                <w:color w:val="000000" w:themeColor="text1"/>
                <w:kern w:val="2"/>
                <w:sz w:val="24"/>
                <w14:textFill>
                  <w14:solidFill>
                    <w14:schemeClr w14:val="tx1"/>
                  </w14:solidFill>
                </w14:textFill>
              </w:rPr>
              <w:t xml:space="preserve">。 </w:t>
            </w:r>
          </w:p>
          <w:p w14:paraId="3899BF71">
            <w:pPr>
              <w:pStyle w:val="11"/>
              <w:adjustRightInd w:val="0"/>
              <w:snapToGrid w:val="0"/>
              <w:spacing w:line="300" w:lineRule="exact"/>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投标人须及时登录</w:t>
            </w:r>
            <w:r>
              <w:rPr>
                <w:rFonts w:hint="eastAsia" w:hAnsi="宋体" w:cs="宋体"/>
                <w:bCs/>
                <w:color w:val="000000" w:themeColor="text1"/>
                <w:sz w:val="24"/>
                <w14:textFill>
                  <w14:solidFill>
                    <w14:schemeClr w14:val="tx1"/>
                  </w14:solidFill>
                </w14:textFill>
              </w:rPr>
              <w:t>“盐城工业职业技术学院招标采购网”</w:t>
            </w:r>
            <w:r>
              <w:rPr>
                <w:rFonts w:hint="eastAsia" w:hAnsi="宋体" w:cs="宋体"/>
                <w:color w:val="000000" w:themeColor="text1"/>
                <w:kern w:val="2"/>
                <w:sz w:val="24"/>
                <w14:textFill>
                  <w14:solidFill>
                    <w14:schemeClr w14:val="tx1"/>
                  </w14:solidFill>
                </w14:textFill>
              </w:rPr>
              <w:t>，查询招标答疑、补充通知、中标结果等相关内容，以上内容均在网上发布，不再另行通知。</w:t>
            </w:r>
          </w:p>
        </w:tc>
      </w:tr>
      <w:tr w14:paraId="3B1D3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6E85BD02">
            <w:pPr>
              <w:pStyle w:val="11"/>
              <w:adjustRightInd w:val="0"/>
              <w:snapToGrid w:val="0"/>
              <w:spacing w:line="320" w:lineRule="exact"/>
              <w:jc w:val="center"/>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4</w:t>
            </w:r>
          </w:p>
        </w:tc>
        <w:tc>
          <w:tcPr>
            <w:tcW w:w="8666" w:type="dxa"/>
            <w:vAlign w:val="center"/>
          </w:tcPr>
          <w:p w14:paraId="00AFED4B">
            <w:pPr>
              <w:pStyle w:val="11"/>
              <w:adjustRightInd w:val="0"/>
              <w:snapToGrid w:val="0"/>
              <w:spacing w:line="300" w:lineRule="exact"/>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投标文件递交截止时间：</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w:t>
            </w:r>
            <w:r>
              <w:rPr>
                <w:rFonts w:hint="eastAsia"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月</w:t>
            </w:r>
            <w:r>
              <w:rPr>
                <w:rFonts w:hint="eastAsia" w:hAnsi="宋体" w:cs="宋体"/>
                <w:color w:val="000000" w:themeColor="text1"/>
                <w:sz w:val="24"/>
                <w:lang w:val="en-US" w:eastAsia="zh-CN"/>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时</w:t>
            </w:r>
            <w:r>
              <w:rPr>
                <w:rFonts w:hint="eastAsia" w:ascii="宋体" w:hAnsi="宋体" w:cs="宋体"/>
                <w:color w:val="000000" w:themeColor="text1"/>
                <w:sz w:val="24"/>
                <w:lang w:val="en-US" w:eastAsia="zh-CN"/>
                <w14:textFill>
                  <w14:solidFill>
                    <w14:schemeClr w14:val="tx1"/>
                  </w14:solidFill>
                </w14:textFill>
              </w:rPr>
              <w:t>00</w:t>
            </w:r>
            <w:r>
              <w:rPr>
                <w:rFonts w:hint="eastAsia" w:ascii="宋体" w:hAnsi="宋体" w:cs="宋体"/>
                <w:color w:val="000000" w:themeColor="text1"/>
                <w:sz w:val="24"/>
                <w14:textFill>
                  <w14:solidFill>
                    <w14:schemeClr w14:val="tx1"/>
                  </w14:solidFill>
                </w14:textFill>
              </w:rPr>
              <w:t>分</w:t>
            </w:r>
            <w:r>
              <w:rPr>
                <w:rFonts w:hint="eastAsia" w:hAnsi="宋体" w:cs="宋体"/>
                <w:color w:val="000000" w:themeColor="text1"/>
                <w:kern w:val="2"/>
                <w:sz w:val="24"/>
                <w14:textFill>
                  <w14:solidFill>
                    <w14:schemeClr w14:val="tx1"/>
                  </w14:solidFill>
                </w14:textFill>
              </w:rPr>
              <w:t>；</w:t>
            </w:r>
          </w:p>
          <w:p w14:paraId="11E15B5E">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地点: </w:t>
            </w:r>
            <w:r>
              <w:rPr>
                <w:rStyle w:val="64"/>
                <w:rFonts w:hint="eastAsia" w:ascii="宋体" w:hAnsi="宋体"/>
                <w:color w:val="000000" w:themeColor="text1"/>
                <w:sz w:val="24"/>
                <w14:textFill>
                  <w14:solidFill>
                    <w14:schemeClr w14:val="tx1"/>
                  </w14:solidFill>
                </w14:textFill>
              </w:rPr>
              <w:t>盐城工业职业技术学院（盐城市解放南路285号）南食堂四楼402开标室</w:t>
            </w:r>
            <w:r>
              <w:rPr>
                <w:rFonts w:hint="eastAsia" w:ascii="宋体" w:hAnsi="宋体" w:cs="宋体"/>
                <w:bCs/>
                <w:color w:val="000000" w:themeColor="text1"/>
                <w:sz w:val="24"/>
                <w14:textFill>
                  <w14:solidFill>
                    <w14:schemeClr w14:val="tx1"/>
                  </w14:solidFill>
                </w14:textFill>
              </w:rPr>
              <w:t>。</w:t>
            </w:r>
          </w:p>
        </w:tc>
      </w:tr>
      <w:tr w14:paraId="6AD79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9" w:type="dxa"/>
            <w:tcBorders>
              <w:top w:val="single" w:color="auto" w:sz="4" w:space="0"/>
              <w:left w:val="single" w:color="auto" w:sz="8" w:space="0"/>
              <w:bottom w:val="single" w:color="auto" w:sz="4" w:space="0"/>
              <w:right w:val="single" w:color="auto" w:sz="4" w:space="0"/>
            </w:tcBorders>
            <w:vAlign w:val="center"/>
          </w:tcPr>
          <w:p w14:paraId="539C017C">
            <w:pPr>
              <w:pStyle w:val="11"/>
              <w:adjustRightInd w:val="0"/>
              <w:snapToGrid w:val="0"/>
              <w:spacing w:line="320" w:lineRule="exact"/>
              <w:jc w:val="center"/>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5</w:t>
            </w:r>
          </w:p>
        </w:tc>
        <w:tc>
          <w:tcPr>
            <w:tcW w:w="8666" w:type="dxa"/>
            <w:tcBorders>
              <w:top w:val="single" w:color="auto" w:sz="4" w:space="0"/>
              <w:left w:val="single" w:color="auto" w:sz="4" w:space="0"/>
              <w:bottom w:val="single" w:color="auto" w:sz="4" w:space="0"/>
              <w:right w:val="single" w:color="auto" w:sz="8" w:space="0"/>
            </w:tcBorders>
            <w:vAlign w:val="center"/>
          </w:tcPr>
          <w:p w14:paraId="0538D4E4">
            <w:pPr>
              <w:pStyle w:val="11"/>
              <w:adjustRightInd w:val="0"/>
              <w:snapToGrid w:val="0"/>
              <w:spacing w:line="300" w:lineRule="exact"/>
              <w:rPr>
                <w:rFonts w:hAnsi="宋体" w:cs="宋体"/>
                <w:color w:val="000000" w:themeColor="text1"/>
                <w:kern w:val="2"/>
                <w:sz w:val="24"/>
                <w14:textFill>
                  <w14:solidFill>
                    <w14:schemeClr w14:val="tx1"/>
                  </w14:solidFill>
                </w14:textFill>
              </w:rPr>
            </w:pPr>
            <w:r>
              <w:rPr>
                <w:rFonts w:hint="eastAsia" w:hAnsi="宋体" w:cs="宋体"/>
                <w:color w:val="000000" w:themeColor="text1"/>
                <w:kern w:val="2"/>
                <w:sz w:val="24"/>
                <w14:textFill>
                  <w14:solidFill>
                    <w14:schemeClr w14:val="tx1"/>
                  </w14:solidFill>
                </w14:textFill>
              </w:rPr>
              <w:t>开标时间：</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w:t>
            </w:r>
            <w:r>
              <w:rPr>
                <w:rFonts w:hint="eastAsia"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月</w:t>
            </w:r>
            <w:r>
              <w:rPr>
                <w:rFonts w:hint="eastAsia" w:hAnsi="宋体" w:cs="宋体"/>
                <w:color w:val="000000" w:themeColor="text1"/>
                <w:sz w:val="24"/>
                <w:lang w:val="en-US" w:eastAsia="zh-CN"/>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时</w:t>
            </w:r>
            <w:r>
              <w:rPr>
                <w:rFonts w:hint="eastAsia" w:ascii="宋体" w:hAnsi="宋体" w:cs="宋体"/>
                <w:color w:val="000000" w:themeColor="text1"/>
                <w:sz w:val="24"/>
                <w:lang w:val="en-US" w:eastAsia="zh-CN"/>
                <w14:textFill>
                  <w14:solidFill>
                    <w14:schemeClr w14:val="tx1"/>
                  </w14:solidFill>
                </w14:textFill>
              </w:rPr>
              <w:t>00</w:t>
            </w:r>
            <w:r>
              <w:rPr>
                <w:rFonts w:hint="eastAsia" w:ascii="宋体" w:hAnsi="宋体" w:cs="宋体"/>
                <w:color w:val="000000" w:themeColor="text1"/>
                <w:sz w:val="24"/>
                <w14:textFill>
                  <w14:solidFill>
                    <w14:schemeClr w14:val="tx1"/>
                  </w14:solidFill>
                </w14:textFill>
              </w:rPr>
              <w:t>分</w:t>
            </w:r>
            <w:r>
              <w:rPr>
                <w:rFonts w:hint="eastAsia" w:hAnsi="宋体" w:cs="宋体"/>
                <w:color w:val="000000" w:themeColor="text1"/>
                <w:kern w:val="2"/>
                <w:sz w:val="24"/>
                <w14:textFill>
                  <w14:solidFill>
                    <w14:schemeClr w14:val="tx1"/>
                  </w14:solidFill>
                </w14:textFill>
              </w:rPr>
              <w:t>；</w:t>
            </w:r>
          </w:p>
          <w:p w14:paraId="0D0FD53D">
            <w:pPr>
              <w:spacing w:line="440" w:lineRule="exact"/>
              <w:rPr>
                <w:rFonts w:hAnsi="宋体" w:cs="宋体"/>
                <w:color w:val="000000" w:themeColor="text1"/>
                <w:sz w:val="24"/>
                <w:u w:val="single"/>
                <w14:textFill>
                  <w14:solidFill>
                    <w14:schemeClr w14:val="tx1"/>
                  </w14:solidFill>
                </w14:textFill>
              </w:rPr>
            </w:pPr>
            <w:r>
              <w:rPr>
                <w:rFonts w:hint="eastAsia" w:hAnsi="宋体" w:cs="宋体"/>
                <w:color w:val="000000" w:themeColor="text1"/>
                <w:sz w:val="24"/>
                <w14:textFill>
                  <w14:solidFill>
                    <w14:schemeClr w14:val="tx1"/>
                  </w14:solidFill>
                </w14:textFill>
              </w:rPr>
              <w:t>地点:</w:t>
            </w:r>
            <w:r>
              <w:rPr>
                <w:rStyle w:val="64"/>
                <w:rFonts w:hint="eastAsia" w:ascii="宋体" w:hAnsi="宋体"/>
                <w:color w:val="000000" w:themeColor="text1"/>
                <w:sz w:val="24"/>
                <w14:textFill>
                  <w14:solidFill>
                    <w14:schemeClr w14:val="tx1"/>
                  </w14:solidFill>
                </w14:textFill>
              </w:rPr>
              <w:t>盐城工业职业技术学院（盐城市解放南路285号）南食堂四楼402开标室</w:t>
            </w:r>
            <w:r>
              <w:rPr>
                <w:rFonts w:hint="eastAsia" w:ascii="宋体" w:hAnsi="宋体" w:cs="宋体"/>
                <w:bCs/>
                <w:color w:val="000000" w:themeColor="text1"/>
                <w:sz w:val="24"/>
                <w14:textFill>
                  <w14:solidFill>
                    <w14:schemeClr w14:val="tx1"/>
                  </w14:solidFill>
                </w14:textFill>
              </w:rPr>
              <w:t>。</w:t>
            </w:r>
          </w:p>
          <w:p w14:paraId="6134500F">
            <w:pPr>
              <w:spacing w:line="3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必须出席开标会的人员：投标人的法定代表人或委托代理人；</w:t>
            </w:r>
          </w:p>
          <w:p w14:paraId="54DB5C4A">
            <w:pPr>
              <w:spacing w:line="30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14:paraId="3AF05DB9">
      <w:pPr>
        <w:spacing w:line="500" w:lineRule="exact"/>
        <w:ind w:firstLine="480" w:firstLineChars="200"/>
        <w:jc w:val="center"/>
        <w:rPr>
          <w:rFonts w:ascii="宋体" w:hAnsi="宋体" w:cs="宋体"/>
          <w:b/>
          <w:bCs/>
          <w:color w:val="000000" w:themeColor="text1"/>
          <w:sz w:val="4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第二部分  总则</w:t>
      </w:r>
    </w:p>
    <w:p w14:paraId="0EBAA3FD">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1、综合说明</w:t>
      </w:r>
    </w:p>
    <w:p w14:paraId="69AB6AFF">
      <w:pPr>
        <w:snapToGrid w:val="0"/>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1.1</w:t>
      </w:r>
      <w:r>
        <w:rPr>
          <w:rFonts w:hint="eastAsia" w:ascii="宋体" w:hAnsi="宋体" w:cs="宋体"/>
          <w:b/>
          <w:color w:val="000000" w:themeColor="text1"/>
          <w:sz w:val="24"/>
          <w14:textFill>
            <w14:solidFill>
              <w14:schemeClr w14:val="tx1"/>
            </w14:solidFill>
          </w14:textFill>
        </w:rPr>
        <w:t>招标范围及标段划分：</w:t>
      </w:r>
      <w:r>
        <w:rPr>
          <w:rFonts w:hint="eastAsia" w:ascii="宋体" w:hAnsi="宋体" w:cs="宋体"/>
          <w:color w:val="000000" w:themeColor="text1"/>
          <w:sz w:val="24"/>
          <w:lang w:eastAsia="zh-CN"/>
          <w14:textFill>
            <w14:solidFill>
              <w14:schemeClr w14:val="tx1"/>
            </w14:solidFill>
          </w14:textFill>
        </w:rPr>
        <w:t>盐城工业职业技术学院建筑外墙涂料修补及室外木桥、木平台维修项目</w:t>
      </w:r>
      <w:r>
        <w:rPr>
          <w:rFonts w:hint="eastAsia" w:ascii="宋体" w:hAnsi="宋体" w:cs="宋体"/>
          <w:color w:val="000000" w:themeColor="text1"/>
          <w:sz w:val="24"/>
          <w14:textFill>
            <w14:solidFill>
              <w14:schemeClr w14:val="tx1"/>
            </w14:solidFill>
          </w14:textFill>
        </w:rPr>
        <w:t>，具体内容详按工程量清单及招标人要求执行，招标人保留进行调整的权利。本次招标共为1个标段。</w:t>
      </w:r>
    </w:p>
    <w:p w14:paraId="6D775899">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1.2项目地点：</w:t>
      </w:r>
      <w:r>
        <w:rPr>
          <w:rFonts w:hint="eastAsia" w:ascii="宋体" w:hAnsi="宋体" w:cs="宋体"/>
          <w:color w:val="000000" w:themeColor="text1"/>
          <w:sz w:val="24"/>
          <w14:textFill>
            <w14:solidFill>
              <w14:schemeClr w14:val="tx1"/>
            </w14:solidFill>
          </w14:textFill>
        </w:rPr>
        <w:t>盐城工业职业技术学院内（盐城市解放南路285号）。</w:t>
      </w:r>
    </w:p>
    <w:p w14:paraId="1D32925C">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1.3承包方式：</w:t>
      </w:r>
      <w:r>
        <w:rPr>
          <w:rFonts w:hint="eastAsia" w:ascii="宋体" w:hAnsi="宋体" w:cs="宋体"/>
          <w:color w:val="000000" w:themeColor="text1"/>
          <w:sz w:val="24"/>
          <w14:textFill>
            <w14:solidFill>
              <w14:schemeClr w14:val="tx1"/>
            </w14:solidFill>
          </w14:textFill>
        </w:rPr>
        <w:t>包工包料。</w:t>
      </w:r>
    </w:p>
    <w:p w14:paraId="3B0DFD92">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1.4资金来源及比例：</w:t>
      </w:r>
      <w:r>
        <w:rPr>
          <w:rFonts w:hint="eastAsia" w:ascii="宋体" w:hAnsi="宋体" w:cs="宋体"/>
          <w:color w:val="000000" w:themeColor="text1"/>
          <w:sz w:val="24"/>
          <w14:textFill>
            <w14:solidFill>
              <w14:schemeClr w14:val="tx1"/>
            </w14:solidFill>
          </w14:textFill>
        </w:rPr>
        <w:t>国有资金100%。</w:t>
      </w:r>
    </w:p>
    <w:p w14:paraId="4F9BFB2F">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2、招标方式</w:t>
      </w:r>
    </w:p>
    <w:p w14:paraId="12EFBAFB">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本项目招标方式：公开招标。</w:t>
      </w:r>
    </w:p>
    <w:p w14:paraId="39F25BEC">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招标文件的组成：本项目招标文件由投标须知、总则、技术参数、投标文件编制方法及要求、开标、评标、定标、合同主要条款、评标定标办法、附件等八部分等内容组成。</w:t>
      </w:r>
    </w:p>
    <w:p w14:paraId="0343932A">
      <w:pPr>
        <w:snapToGrid w:val="0"/>
        <w:spacing w:line="500" w:lineRule="exact"/>
        <w:ind w:firstLine="480"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3、投标人资格要求</w:t>
      </w:r>
    </w:p>
    <w:p w14:paraId="7C4C1A72">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3.1投标人资格要求：投标人具有建设行政主管部门核发的建筑工程施工总承包三级及以上资质或建筑装修装饰工程专业承包二级及以上资质的独立法人，并持有安全生产许可证。</w:t>
      </w:r>
    </w:p>
    <w:p w14:paraId="1C8C6A65">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3.2财务要求：投标人应具有独立订立合同的能力，未处于财产被接管、冻结和破产状态。</w:t>
      </w:r>
    </w:p>
    <w:p w14:paraId="41C0B43D">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3.3信誉要求</w:t>
      </w:r>
    </w:p>
    <w:p w14:paraId="7A7ABEAB">
      <w:pPr>
        <w:spacing w:line="44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1</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投标人没有被国家、江苏省省级有关部门及盐城市级有关部门暂停招投标或市场准入资格且在公示处罚期内。</w:t>
      </w:r>
    </w:p>
    <w:p w14:paraId="458C1AF0">
      <w:pPr>
        <w:spacing w:line="440" w:lineRule="exact"/>
        <w:ind w:firstLine="480" w:firstLineChars="200"/>
        <w:jc w:val="left"/>
        <w:rPr>
          <w:rFonts w:hint="eastAsia" w:ascii="宋体" w:hAnsi="宋体" w:eastAsia="宋体" w:cs="宋体"/>
          <w:bCs/>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lang w:val="en-US" w:eastAsia="zh-CN"/>
          <w14:textFill>
            <w14:solidFill>
              <w14:schemeClr w14:val="tx1"/>
            </w14:solidFill>
          </w14:textFill>
        </w:rPr>
        <w:t>（2）在招投标活动中因本招标文件第五部分10.1.1、10.1.2所列的不良行为，在“江苏省建设工程招标网”公示期间的。</w:t>
      </w:r>
    </w:p>
    <w:p w14:paraId="1B375F8C">
      <w:pPr>
        <w:spacing w:line="44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3</w:t>
      </w:r>
      <w:r>
        <w:rPr>
          <w:rFonts w:hint="eastAsia" w:ascii="宋体" w:hAnsi="宋体" w:eastAsia="宋体" w:cs="宋体"/>
          <w:bCs/>
          <w:color w:val="000000" w:themeColor="text1"/>
          <w:sz w:val="24"/>
          <w14:textFill>
            <w14:solidFill>
              <w14:schemeClr w14:val="tx1"/>
            </w14:solidFill>
          </w14:textFill>
        </w:rPr>
        <w:t>）近3年内有行贿犯罪行为且被记录，或者法定代表人、项目负责人有行贿犯罪记录且自记录之日起未超过5年的。（均自记录之日起至投标截止日止）</w:t>
      </w:r>
    </w:p>
    <w:p w14:paraId="44507EB3">
      <w:pPr>
        <w:spacing w:line="44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4</w:t>
      </w:r>
      <w:r>
        <w:rPr>
          <w:rFonts w:hint="eastAsia" w:ascii="宋体" w:hAnsi="宋体" w:eastAsia="宋体" w:cs="宋体"/>
          <w:bCs/>
          <w:color w:val="000000" w:themeColor="text1"/>
          <w:sz w:val="24"/>
          <w14:textFill>
            <w14:solidFill>
              <w14:schemeClr w14:val="tx1"/>
            </w14:solidFill>
          </w14:textFill>
        </w:rPr>
        <w:t xml:space="preserve">）被人民法院列为失信被执行人的信息正在被“信用中国”、“信用江苏”网站公布的，投标截止时间前失信被执行人信息已撤销或更正的除外。 </w:t>
      </w:r>
    </w:p>
    <w:p w14:paraId="32FCC863">
      <w:pPr>
        <w:spacing w:line="44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5</w:t>
      </w:r>
      <w:r>
        <w:rPr>
          <w:rFonts w:hint="eastAsia" w:ascii="宋体" w:hAnsi="宋体" w:eastAsia="宋体" w:cs="宋体"/>
          <w:bCs/>
          <w:color w:val="000000" w:themeColor="text1"/>
          <w:sz w:val="24"/>
          <w14:textFill>
            <w14:solidFill>
              <w14:schemeClr w14:val="tx1"/>
            </w14:solidFill>
          </w14:textFill>
        </w:rPr>
        <w:t>）投标人作为失信联合惩戒对象被采取依法限制参与建设工程招投标惩戒措施的，且被有关部门推送在“信用中国”、“信用江苏”、“信用盐城”相关网站公示且在有效期内的。</w:t>
      </w:r>
    </w:p>
    <w:p w14:paraId="3353336C">
      <w:pPr>
        <w:spacing w:line="44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448839D1">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3.4投标项目负责人资格要求：项目负责人须具有建筑工程专业二级及以上建造师资格，同时须具有安全生产考核合格证（B类）。</w:t>
      </w:r>
    </w:p>
    <w:p w14:paraId="5390E7CE">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3.5项目负责人从本工程投标文件递交截止之日起必须满足下列条件：</w:t>
      </w:r>
    </w:p>
    <w:p w14:paraId="74302EFB">
      <w:pPr>
        <w:spacing w:line="440" w:lineRule="exact"/>
        <w:ind w:firstLine="480" w:firstLineChars="200"/>
        <w:jc w:val="left"/>
        <w:rPr>
          <w:rFonts w:hint="eastAsia" w:ascii="宋体" w:hAnsi="宋体" w:cs="宋体"/>
          <w:bCs/>
          <w:color w:val="000000" w:themeColor="text1"/>
          <w:sz w:val="24"/>
          <w:lang w:eastAsia="zh-CN"/>
          <w14:textFill>
            <w14:solidFill>
              <w14:schemeClr w14:val="tx1"/>
            </w14:solidFill>
          </w14:textFill>
        </w:rPr>
      </w:pPr>
      <w:r>
        <w:rPr>
          <w:rFonts w:ascii="宋体" w:hAnsi="宋体" w:cs="宋体"/>
          <w:bCs/>
          <w:color w:val="000000" w:themeColor="text1"/>
          <w:sz w:val="24"/>
          <w14:textFill>
            <w14:solidFill>
              <w14:schemeClr w14:val="tx1"/>
            </w14:solidFill>
          </w14:textFill>
        </w:rPr>
        <w:t>项目负责人不得同时在两个或者两个以上单位受聘或者执业</w:t>
      </w:r>
      <w:r>
        <w:rPr>
          <w:rFonts w:hint="eastAsia" w:ascii="宋体" w:hAnsi="宋体" w:cs="宋体"/>
          <w:bCs/>
          <w:color w:val="000000" w:themeColor="text1"/>
          <w:sz w:val="24"/>
          <w:lang w:eastAsia="zh-CN"/>
          <w14:textFill>
            <w14:solidFill>
              <w14:schemeClr w14:val="tx1"/>
            </w14:solidFill>
          </w14:textFill>
        </w:rPr>
        <w:t>。</w:t>
      </w:r>
    </w:p>
    <w:p w14:paraId="5C2C212F">
      <w:pPr>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项目负责人是非变更后无在建工程，或项目负责人是变更后无在建工程（必须原合同工期已满且变更备案之日已满 6个月），或因非承包方原因致使工程项目停工或因故不能按期开工、且已办理了项目负责人解锁手续，或项目负责人有在建工程，但该在建工程与本次招标的工程属于同一工程项目、同一项目批 文、同一施工地点分段发包或分期施工的情况且总的工程规模在 项目负责人执业范围之内。</w:t>
      </w:r>
    </w:p>
    <w:p w14:paraId="6826487F">
      <w:pPr>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在建</w:t>
      </w:r>
      <w:r>
        <w:rPr>
          <w:rFonts w:ascii="宋体" w:hAnsi="宋体" w:cs="宋体"/>
          <w:bCs/>
          <w:color w:val="000000" w:themeColor="text1"/>
          <w:sz w:val="24"/>
          <w14:textFill>
            <w14:solidFill>
              <w14:schemeClr w14:val="tx1"/>
            </w14:solidFill>
          </w14:textFill>
        </w:rPr>
        <w:t>工程</w:t>
      </w:r>
      <w:r>
        <w:rPr>
          <w:rFonts w:hint="eastAsia" w:ascii="宋体" w:hAnsi="宋体" w:cs="宋体"/>
          <w:bCs/>
          <w:color w:val="000000" w:themeColor="text1"/>
          <w:sz w:val="24"/>
          <w14:textFill>
            <w14:solidFill>
              <w14:schemeClr w14:val="tx1"/>
            </w14:solidFill>
          </w14:textFill>
        </w:rPr>
        <w:t>：</w:t>
      </w:r>
      <w:r>
        <w:rPr>
          <w:rFonts w:ascii="宋体" w:hAnsi="宋体" w:cs="宋体"/>
          <w:bCs/>
          <w:color w:val="000000" w:themeColor="text1"/>
          <w:sz w:val="24"/>
          <w14:textFill>
            <w14:solidFill>
              <w14:schemeClr w14:val="tx1"/>
            </w14:solidFill>
          </w14:textFill>
        </w:rPr>
        <w:t>处于中标结果公告（直接发包的项目以网上合同备案</w:t>
      </w:r>
      <w:r>
        <w:rPr>
          <w:rFonts w:hint="eastAsia" w:ascii="宋体" w:hAnsi="宋体" w:cs="宋体"/>
          <w:bCs/>
          <w:color w:val="000000" w:themeColor="text1"/>
          <w:sz w:val="24"/>
          <w14:textFill>
            <w14:solidFill>
              <w14:schemeClr w14:val="tx1"/>
            </w14:solidFill>
          </w14:textFill>
        </w:rPr>
        <w:t>或归集</w:t>
      </w:r>
      <w:r>
        <w:rPr>
          <w:rFonts w:ascii="宋体" w:hAnsi="宋体" w:cs="宋体"/>
          <w:bCs/>
          <w:color w:val="000000" w:themeColor="text1"/>
          <w:sz w:val="24"/>
          <w14:textFill>
            <w14:solidFill>
              <w14:schemeClr w14:val="tx1"/>
            </w14:solidFill>
          </w14:textFill>
        </w:rPr>
        <w:t>为准）到合同约定的工程全部完成且竣工验收合格期间的工程。竣工验收证明是指由建设单位（或监理）组织工程建设各方验收合格， 并签署相应的单位工程质量竣工验收记录或者分部工程质量验 收记录等验收文件。</w:t>
      </w:r>
    </w:p>
    <w:p w14:paraId="71319513">
      <w:pPr>
        <w:spacing w:line="440" w:lineRule="exact"/>
        <w:ind w:firstLine="480" w:firstLineChars="20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本项目招标文件项目负责人有在养护期内的绿化养护、市政养护项目的，</w:t>
      </w:r>
      <w:r>
        <w:rPr>
          <w:rFonts w:ascii="宋体" w:hAnsi="宋体" w:cs="宋体"/>
          <w:bCs/>
          <w:color w:val="000000" w:themeColor="text1"/>
          <w:sz w:val="24"/>
          <w14:textFill>
            <w14:solidFill>
              <w14:schemeClr w14:val="tx1"/>
            </w14:solidFill>
          </w14:textFill>
        </w:rPr>
        <w:t>不属于招标公告及文件规定的有在建工程</w:t>
      </w:r>
      <w:r>
        <w:rPr>
          <w:rFonts w:hint="eastAsia" w:ascii="宋体" w:hAnsi="宋体" w:cs="宋体"/>
          <w:bCs/>
          <w:color w:val="000000" w:themeColor="text1"/>
          <w:sz w:val="24"/>
          <w14:textFill>
            <w14:solidFill>
              <w14:schemeClr w14:val="tx1"/>
            </w14:solidFill>
          </w14:textFill>
        </w:rPr>
        <w:t>。绿化养护、市政养护工程招标，对项目负责人是否有在建工程不作要求。</w:t>
      </w:r>
    </w:p>
    <w:p w14:paraId="3675FD90">
      <w:pPr>
        <w:spacing w:line="440" w:lineRule="exact"/>
        <w:ind w:firstLine="480" w:firstLineChars="200"/>
        <w:jc w:val="left"/>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3.6投标申请人代理人及投标承诺的项目部人员均为本单位的正式职工，投标时提供代理人及项目负责人从2024年4月开始至投标截止之日当月至少1个月在本单位缴纳养老保险缴费记录证明。（退休人员提供在本单位相关证明）。</w:t>
      </w:r>
    </w:p>
    <w:p w14:paraId="0F347595">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本工程投标时，仅需提供项目经理相关资料，项目部其他人员施工时按现场管理规定要求配备到位。</w:t>
      </w:r>
    </w:p>
    <w:p w14:paraId="42234192">
      <w:pPr>
        <w:spacing w:line="44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r>
        <w:rPr>
          <w:rFonts w:hint="eastAsia" w:ascii="宋体" w:hAnsi="宋体" w:cs="宋体"/>
          <w:bCs/>
          <w:color w:val="000000" w:themeColor="text1"/>
          <w:sz w:val="24"/>
          <w:lang w:val="en-US" w:eastAsia="zh-CN"/>
          <w14:textFill>
            <w14:solidFill>
              <w14:schemeClr w14:val="tx1"/>
            </w14:solidFill>
          </w14:textFill>
        </w:rPr>
        <w:t>7</w:t>
      </w:r>
      <w:r>
        <w:rPr>
          <w:rFonts w:hint="eastAsia" w:ascii="宋体" w:hAnsi="宋体" w:cs="宋体"/>
          <w:bCs/>
          <w:color w:val="000000" w:themeColor="text1"/>
          <w:sz w:val="24"/>
          <w14:textFill>
            <w14:solidFill>
              <w14:schemeClr w14:val="tx1"/>
            </w14:solidFill>
          </w14:textFill>
        </w:rPr>
        <w:t>本招标工程不接受联合体投标。</w:t>
      </w:r>
    </w:p>
    <w:p w14:paraId="79A80193">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投标人不得存在下列情形之一：</w:t>
      </w:r>
    </w:p>
    <w:p w14:paraId="79302666">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.1.为招标人不具有独立法人资格的附属机构（单位）。</w:t>
      </w:r>
    </w:p>
    <w:p w14:paraId="6BFFC346">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.2.为本招标项目的监理人、代建人、项目管理人，以及为本招标项目提供招标代理、设计服务的。</w:t>
      </w:r>
    </w:p>
    <w:p w14:paraId="073607F7">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.3.与本招标项目的监理人、代建人、招标代理机构同为一个法定代表人的，或者相互控股、参股的。</w:t>
      </w:r>
    </w:p>
    <w:p w14:paraId="18C85B1A">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.4.与招标人存在利害关系可能影响招标公正性的。</w:t>
      </w:r>
    </w:p>
    <w:p w14:paraId="10B4C307">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 xml:space="preserve">.5.单位负责人为同一人或者存在控股、管理关系的不同单位。    </w:t>
      </w:r>
    </w:p>
    <w:p w14:paraId="72E53906">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.6.处于被责令停业、财产被接管、冻结和破产状态，以及投标资格被取消或者被暂停且在暂停期内。</w:t>
      </w:r>
    </w:p>
    <w:p w14:paraId="460E3084">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.7.因拖欠工人工资或者因发生质量安全事故被有关部门限制在招标项目所在地承接工程的。</w:t>
      </w:r>
    </w:p>
    <w:p w14:paraId="5674D9D0">
      <w:pPr>
        <w:snapToGrid w:val="0"/>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符合法律、法规规定的其他条件。</w:t>
      </w:r>
    </w:p>
    <w:p w14:paraId="43E9D647">
      <w:pPr>
        <w:spacing w:line="500" w:lineRule="exact"/>
        <w:ind w:firstLine="480"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4、资格审查方式 </w:t>
      </w:r>
    </w:p>
    <w:p w14:paraId="25090FE9">
      <w:pPr>
        <w:snapToGrid w:val="0"/>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4.1本招标项目资格审查方式：采用</w:t>
      </w:r>
      <w:r>
        <w:rPr>
          <w:rFonts w:hint="eastAsia" w:ascii="宋体" w:hAnsi="宋体" w:cs="宋体"/>
          <w:b/>
          <w:color w:val="000000" w:themeColor="text1"/>
          <w:sz w:val="24"/>
          <w:u w:val="single"/>
          <w14:textFill>
            <w14:solidFill>
              <w14:schemeClr w14:val="tx1"/>
            </w14:solidFill>
          </w14:textFill>
        </w:rPr>
        <w:t>资格后审</w:t>
      </w:r>
      <w:r>
        <w:rPr>
          <w:rFonts w:hint="eastAsia" w:ascii="宋体" w:hAnsi="宋体" w:cs="宋体"/>
          <w:color w:val="000000" w:themeColor="text1"/>
          <w:sz w:val="24"/>
          <w14:textFill>
            <w14:solidFill>
              <w14:schemeClr w14:val="tx1"/>
            </w14:solidFill>
          </w14:textFill>
        </w:rPr>
        <w:t>办法。</w:t>
      </w:r>
    </w:p>
    <w:p w14:paraId="12955083">
      <w:pPr>
        <w:snapToGrid w:val="0"/>
        <w:spacing w:line="500" w:lineRule="exact"/>
        <w:ind w:firstLine="480"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5、投标有效期</w:t>
      </w:r>
    </w:p>
    <w:p w14:paraId="5587C5FA">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本招标项目投标有效期为</w:t>
      </w:r>
      <w:r>
        <w:rPr>
          <w:rFonts w:hint="eastAsia" w:ascii="宋体" w:hAnsi="宋体" w:cs="宋体"/>
          <w:color w:val="000000" w:themeColor="text1"/>
          <w:sz w:val="24"/>
          <w:u w:val="single"/>
          <w:lang w:val="en-US" w:eastAsia="zh-CN"/>
          <w14:textFill>
            <w14:solidFill>
              <w14:schemeClr w14:val="tx1"/>
            </w14:solidFill>
          </w14:textFill>
        </w:rPr>
        <w:t>90</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F62210B">
      <w:pPr>
        <w:spacing w:line="500" w:lineRule="exact"/>
        <w:ind w:firstLine="480"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6、投标保证金</w:t>
      </w:r>
    </w:p>
    <w:p w14:paraId="519B71B5">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14:paraId="6E64FB7F">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投标人缴纳投标保证金的，无故不投标的投标保证金暂扣；如因特殊原因不能投标的，应与开标前向招标人提出书面申请并说明原因，获得招标人的认可。</w:t>
      </w:r>
    </w:p>
    <w:p w14:paraId="6F51362E">
      <w:pPr>
        <w:adjustRightInd w:val="0"/>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6.2　除不可抗力情况外，投标人出现下列情形之一的，没收其投标保证金，已中标的，取消其中标资格，给招标人造成的损失超过投标保证金数额的，中标人还应当对超过部分予以赔偿：  </w:t>
      </w:r>
    </w:p>
    <w:p w14:paraId="78BC4924">
      <w:pPr>
        <w:adjustRightInd w:val="0"/>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6.2.1投标人在投标有效期内撤回或修改其投标文件的；</w:t>
      </w:r>
    </w:p>
    <w:p w14:paraId="6B6A71FA">
      <w:pPr>
        <w:adjustRightInd w:val="0"/>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6.2.2中标后无正当理由放弃中标项目的；</w:t>
      </w:r>
    </w:p>
    <w:p w14:paraId="6BC599F7">
      <w:pPr>
        <w:adjustRightInd w:val="0"/>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6.2.3中标后拒不按照招标文件的要求提交履约保证金的；</w:t>
      </w:r>
    </w:p>
    <w:p w14:paraId="38FD0340">
      <w:pPr>
        <w:adjustRightInd w:val="0"/>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6.2.4中标后无正当理由不与招标人签订合同，或者在签订合同时向招标人提出附加条件或者更改合同实质性内容要求的。</w:t>
      </w:r>
    </w:p>
    <w:p w14:paraId="20BF93DE">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6.2.5投标有效期间，投标人在中国行政区域有不良行为记录且在公示期内，经查属实的；</w:t>
      </w:r>
    </w:p>
    <w:p w14:paraId="692C1B9F">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6.2.6投标人的</w:t>
      </w:r>
      <w:r>
        <w:rPr>
          <w:rFonts w:hint="eastAsia" w:ascii="宋体" w:hAnsi="宋体" w:cs="宋体"/>
          <w:color w:val="000000" w:themeColor="text1"/>
          <w:sz w:val="24"/>
          <w:shd w:val="clear" w:color="auto" w:fill="FFFFFF"/>
          <w14:textFill>
            <w14:solidFill>
              <w14:schemeClr w14:val="tx1"/>
            </w14:solidFill>
          </w14:textFill>
        </w:rPr>
        <w:t>项目负责人</w:t>
      </w:r>
      <w:r>
        <w:rPr>
          <w:rFonts w:hint="eastAsia" w:ascii="宋体" w:hAnsi="宋体" w:cs="宋体"/>
          <w:color w:val="000000" w:themeColor="text1"/>
          <w:sz w:val="24"/>
          <w14:textFill>
            <w14:solidFill>
              <w14:schemeClr w14:val="tx1"/>
            </w14:solidFill>
          </w14:textFill>
        </w:rPr>
        <w:t>被反映或投诉有在建工程，并经查属实的。</w:t>
      </w:r>
    </w:p>
    <w:p w14:paraId="26E7488C">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6.2.7 投标人存在串通投标行为的。</w:t>
      </w:r>
    </w:p>
    <w:p w14:paraId="47F9BC43">
      <w:pPr>
        <w:adjustRightInd w:val="0"/>
        <w:snapToGrid w:val="0"/>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投标人（中标人）存在前款所述情形的，除按有关法律法规规定处罚外，还将作为其不良行为记录在有关网站上予以公示。</w:t>
      </w:r>
    </w:p>
    <w:p w14:paraId="3A90E403">
      <w:pPr>
        <w:spacing w:line="500" w:lineRule="exact"/>
        <w:ind w:firstLine="480"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7</w:t>
      </w:r>
      <w:r>
        <w:rPr>
          <w:rFonts w:hint="eastAsia" w:ascii="宋体" w:hAnsi="宋体" w:eastAsia="宋体" w:cs="宋体"/>
          <w:b/>
          <w:bCs/>
          <w:color w:val="000000" w:themeColor="text1"/>
          <w:sz w:val="24"/>
          <w14:textFill>
            <w14:solidFill>
              <w14:schemeClr w14:val="tx1"/>
            </w14:solidFill>
          </w14:textFill>
        </w:rPr>
        <w:t>、踏勘现场</w:t>
      </w:r>
    </w:p>
    <w:p w14:paraId="064460E2">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.1 投标人根据需要自行踏勘项目现场。</w:t>
      </w:r>
      <w:r>
        <w:rPr>
          <w:rFonts w:hint="eastAsia" w:ascii="宋体" w:hAnsi="宋体" w:eastAsia="宋体" w:cs="宋体"/>
          <w:color w:val="000000" w:themeColor="text1"/>
          <w:sz w:val="24"/>
          <w:lang w:val="en-US" w:eastAsia="zh-CN"/>
          <w14:textFill>
            <w14:solidFill>
              <w14:schemeClr w14:val="tx1"/>
            </w14:solidFill>
          </w14:textFill>
        </w:rPr>
        <w:t>投标人应自行进行现场考察，中标后不再增加任何费用。不进行现场察看的视为对现场情况已经准确了解，后果自行承担。</w:t>
      </w:r>
    </w:p>
    <w:p w14:paraId="23DA1CED">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.2 投标人踏勘现场发生的费用自理。</w:t>
      </w:r>
    </w:p>
    <w:p w14:paraId="411FDA9B">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.3 投标人自行负责在踏勘现场中所发生的人员伤亡和财产损失。</w:t>
      </w:r>
    </w:p>
    <w:p w14:paraId="3C159768">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5ED79DB9">
      <w:pPr>
        <w:spacing w:line="50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第三部分  技术参数</w:t>
      </w:r>
    </w:p>
    <w:p w14:paraId="4642CACE">
      <w:pPr>
        <w:spacing w:line="500" w:lineRule="exact"/>
        <w:jc w:val="center"/>
        <w:rPr>
          <w:rFonts w:ascii="宋体" w:hAnsi="宋体" w:cs="宋体"/>
          <w:b/>
          <w:color w:val="000000" w:themeColor="text1"/>
          <w:sz w:val="44"/>
          <w:szCs w:val="44"/>
          <w14:textFill>
            <w14:solidFill>
              <w14:schemeClr w14:val="tx1"/>
            </w14:solidFill>
          </w14:textFill>
        </w:rPr>
      </w:pPr>
    </w:p>
    <w:p w14:paraId="74013D63">
      <w:pPr>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1、计税方式</w:t>
      </w:r>
    </w:p>
    <w:p w14:paraId="41760A29">
      <w:pPr>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本项目采用增值税一般计税方法。</w:t>
      </w:r>
    </w:p>
    <w:p w14:paraId="6B0AE5BC">
      <w:pPr>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2、合同定价方式</w:t>
      </w:r>
    </w:p>
    <w:p w14:paraId="56C03B02">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全费用综合单价合同。本项目建设工程合同采用“全费用综合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14:paraId="1A167B67">
      <w:pPr>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3、投标报价</w:t>
      </w:r>
    </w:p>
    <w:p w14:paraId="598A9800">
      <w:pPr>
        <w:autoSpaceDN w:val="0"/>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14:paraId="7EE751EE">
      <w:pPr>
        <w:autoSpaceDN w:val="0"/>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投标报价的方式：全费用综合单价报价。以体现风险共担的原则。由招标人提供工程量清单，投标人以工程量清单及图纸为基础填报相应的全费用单价并计算合价。招标人要求投标人承担本招标文件合同专用条款中约定的风险内容及其范围（幅度）产生的风险费用，在施工过程中，当出现的风险内容及其范围（幅度）在合同约定的范围内，工程价款不作调整。</w:t>
      </w:r>
    </w:p>
    <w:p w14:paraId="53554421">
      <w:pPr>
        <w:autoSpaceDN w:val="0"/>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若无相关设计变更，除本招标文件及施工合同约定允许调整外中标的全费用单价不予调整，工程量按实际完成工程量结算。</w:t>
      </w:r>
    </w:p>
    <w:p w14:paraId="52A1227D">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投标报价的计价方法：本工程投标报价采用“工程量清单计价”法。投标人应根据招标人提供的工程量清单和施工图纸计算工程项目的全费用单价和合价。工程量清单中每一个子目的单项均需计算并填写全费用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14:paraId="6CB34968">
      <w:pPr>
        <w:kinsoku w:val="0"/>
        <w:overflowPunct w:val="0"/>
        <w:autoSpaceDE w:val="0"/>
        <w:autoSpaceDN w:val="0"/>
        <w:adjustRightInd w:val="0"/>
        <w:spacing w:line="440" w:lineRule="exact"/>
        <w:ind w:firstLine="480" w:firstLineChars="200"/>
        <w:jc w:val="left"/>
        <w:rPr>
          <w:rFonts w:hint="eastAsia" w:ascii="宋体" w:hAnsi="宋体" w:eastAsia="宋体" w:cs="宋体"/>
          <w:b/>
          <w:bCs/>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w:t>
      </w:r>
      <w:bookmarkStart w:id="0" w:name="_Toc300834967"/>
      <w:bookmarkEnd w:id="0"/>
      <w:bookmarkStart w:id="1" w:name="_Toc247513970"/>
      <w:bookmarkEnd w:id="1"/>
      <w:bookmarkStart w:id="2" w:name="_Toc247527571"/>
      <w:bookmarkEnd w:id="2"/>
      <w:bookmarkStart w:id="3" w:name="_Toc152045546"/>
      <w:bookmarkEnd w:id="3"/>
      <w:bookmarkStart w:id="4" w:name="_Toc152042322"/>
      <w:bookmarkEnd w:id="4"/>
      <w:bookmarkStart w:id="5" w:name="_Toc144974514"/>
      <w:bookmarkEnd w:id="5"/>
      <w:r>
        <w:rPr>
          <w:rFonts w:hint="eastAsia" w:ascii="宋体" w:hAnsi="宋体" w:cs="宋体"/>
          <w:b/>
          <w:bCs/>
          <w:color w:val="000000" w:themeColor="text1"/>
          <w:sz w:val="24"/>
          <w:lang w:eastAsia="zh-CN"/>
          <w14:textFill>
            <w14:solidFill>
              <w14:schemeClr w14:val="tx1"/>
            </w14:solidFill>
          </w14:textFill>
        </w:rPr>
        <w:t>最高投标限价</w:t>
      </w:r>
    </w:p>
    <w:p w14:paraId="554B7A32">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4.1本工程</w:t>
      </w:r>
      <w:r>
        <w:rPr>
          <w:rFonts w:hint="eastAsia" w:ascii="宋体" w:hAnsi="宋体" w:cs="宋体"/>
          <w:b/>
          <w:color w:val="000000" w:themeColor="text1"/>
          <w:sz w:val="24"/>
          <w:lang w:eastAsia="zh-CN"/>
          <w14:textFill>
            <w14:solidFill>
              <w14:schemeClr w14:val="tx1"/>
            </w14:solidFill>
          </w14:textFill>
        </w:rPr>
        <w:t>最高投标限价</w:t>
      </w:r>
      <w:r>
        <w:rPr>
          <w:rFonts w:hint="eastAsia" w:ascii="宋体" w:hAnsi="宋体" w:cs="宋体"/>
          <w:b/>
          <w:color w:val="000000" w:themeColor="text1"/>
          <w:sz w:val="24"/>
          <w14:textFill>
            <w14:solidFill>
              <w14:schemeClr w14:val="tx1"/>
            </w14:solidFill>
          </w14:textFill>
        </w:rPr>
        <w:t>为人民币</w:t>
      </w:r>
      <w:r>
        <w:rPr>
          <w:rFonts w:hint="eastAsia" w:ascii="宋体" w:hAnsi="宋体" w:cs="宋体"/>
          <w:b/>
          <w:color w:val="000000" w:themeColor="text1"/>
          <w:sz w:val="24"/>
          <w:highlight w:val="none"/>
          <w:u w:val="single"/>
          <w:lang w:val="en-US" w:eastAsia="zh-CN"/>
          <w14:textFill>
            <w14:solidFill>
              <w14:schemeClr w14:val="tx1"/>
            </w14:solidFill>
          </w14:textFill>
        </w:rPr>
        <w:t>16万</w:t>
      </w:r>
      <w:r>
        <w:rPr>
          <w:rFonts w:hint="eastAsia" w:ascii="宋体" w:hAnsi="宋体" w:cs="宋体"/>
          <w:b/>
          <w:color w:val="000000" w:themeColor="text1"/>
          <w:sz w:val="24"/>
          <w:highlight w:val="none"/>
          <w:u w:val="single"/>
          <w14:textFill>
            <w14:solidFill>
              <w14:schemeClr w14:val="tx1"/>
            </w14:solidFill>
          </w14:textFill>
        </w:rPr>
        <w:t>元</w:t>
      </w:r>
      <w:r>
        <w:rPr>
          <w:rFonts w:hint="eastAsia" w:ascii="宋体" w:hAnsi="宋体" w:cs="宋体"/>
          <w:color w:val="000000" w:themeColor="text1"/>
          <w:sz w:val="24"/>
          <w14:textFill>
            <w14:solidFill>
              <w14:schemeClr w14:val="tx1"/>
            </w14:solidFill>
          </w14:textFill>
        </w:rPr>
        <w:t>。投标人的投标报价不得超过</w:t>
      </w:r>
      <w:r>
        <w:rPr>
          <w:rFonts w:hint="eastAsia" w:ascii="宋体" w:hAnsi="宋体" w:cs="宋体"/>
          <w:color w:val="000000" w:themeColor="text1"/>
          <w:sz w:val="24"/>
          <w:lang w:eastAsia="zh-CN"/>
          <w14:textFill>
            <w14:solidFill>
              <w14:schemeClr w14:val="tx1"/>
            </w14:solidFill>
          </w14:textFill>
        </w:rPr>
        <w:t>最高投标限价</w:t>
      </w:r>
      <w:r>
        <w:rPr>
          <w:rFonts w:hint="eastAsia" w:ascii="宋体" w:hAnsi="宋体" w:cs="宋体"/>
          <w:color w:val="000000" w:themeColor="text1"/>
          <w:sz w:val="24"/>
          <w14:textFill>
            <w14:solidFill>
              <w14:schemeClr w14:val="tx1"/>
            </w14:solidFill>
          </w14:textFill>
        </w:rPr>
        <w:t>价，否则作为无效标书处理。</w:t>
      </w:r>
    </w:p>
    <w:p w14:paraId="161A2613">
      <w:pPr>
        <w:spacing w:line="440" w:lineRule="exact"/>
        <w:ind w:firstLine="420"/>
        <w:rPr>
          <w:rFonts w:ascii="宋体" w:hAnsi="宋体" w:cs="宋体"/>
          <w:color w:val="000000" w:themeColor="text1"/>
          <w:kern w:val="1"/>
          <w:sz w:val="24"/>
          <w14:textFill>
            <w14:solidFill>
              <w14:schemeClr w14:val="tx1"/>
            </w14:solidFill>
          </w14:textFill>
        </w:rPr>
      </w:pPr>
      <w:r>
        <w:rPr>
          <w:rFonts w:hint="eastAsia" w:ascii="宋体" w:hAnsi="宋体" w:cs="宋体"/>
          <w:color w:val="000000" w:themeColor="text1"/>
          <w:kern w:val="1"/>
          <w:sz w:val="24"/>
          <w14:textFill>
            <w14:solidFill>
              <w14:schemeClr w14:val="tx1"/>
            </w14:solidFill>
          </w14:textFill>
        </w:rPr>
        <w:t>4.2</w:t>
      </w:r>
      <w:r>
        <w:rPr>
          <w:rFonts w:hint="eastAsia" w:ascii="宋体" w:hAnsi="宋体" w:cs="宋体"/>
          <w:color w:val="000000" w:themeColor="text1"/>
          <w:kern w:val="1"/>
          <w:sz w:val="24"/>
          <w:lang w:val="en-US" w:eastAsia="zh-CN"/>
          <w14:textFill>
            <w14:solidFill>
              <w14:schemeClr w14:val="tx1"/>
            </w14:solidFill>
          </w14:textFill>
        </w:rPr>
        <w:t>预算价</w:t>
      </w:r>
      <w:r>
        <w:rPr>
          <w:rFonts w:hint="eastAsia" w:ascii="宋体" w:hAnsi="宋体" w:cs="宋体"/>
          <w:color w:val="000000" w:themeColor="text1"/>
          <w:kern w:val="1"/>
          <w:sz w:val="24"/>
          <w14:textFill>
            <w14:solidFill>
              <w14:schemeClr w14:val="tx1"/>
            </w14:solidFill>
          </w14:textFill>
        </w:rPr>
        <w:t>确定的依据：本项目按照施工图纸，施工现场情况，招标文件（含工程量清单），参照《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宋体" w:hAnsi="宋体" w:cs="宋体"/>
          <w:color w:val="000000" w:themeColor="text1"/>
          <w:sz w:val="24"/>
          <w14:textFill>
            <w14:solidFill>
              <w14:schemeClr w14:val="tx1"/>
            </w14:solidFill>
          </w14:textFill>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宋体" w:hAnsi="宋体" w:cs="宋体"/>
          <w:bCs/>
          <w:color w:val="000000" w:themeColor="text1"/>
          <w:sz w:val="24"/>
          <w14:textFill>
            <w14:solidFill>
              <w14:schemeClr w14:val="tx1"/>
            </w14:solidFill>
          </w14:textFill>
        </w:rPr>
        <w:t>〔2019〕</w:t>
      </w:r>
      <w:r>
        <w:rPr>
          <w:rFonts w:hint="eastAsia" w:ascii="宋体" w:hAnsi="宋体" w:cs="宋体"/>
          <w:color w:val="000000" w:themeColor="text1"/>
          <w:sz w:val="24"/>
          <w14:textFill>
            <w14:solidFill>
              <w14:schemeClr w14:val="tx1"/>
            </w14:solidFill>
          </w14:textFill>
        </w:rPr>
        <w:t>第19号公告和现行工程造价有关文件规定、</w:t>
      </w:r>
      <w:r>
        <w:rPr>
          <w:rFonts w:hint="eastAsia" w:ascii="宋体" w:hAnsi="宋体" w:cs="宋体"/>
          <w:color w:val="000000" w:themeColor="text1"/>
          <w:kern w:val="1"/>
          <w:sz w:val="24"/>
          <w14:textFill>
            <w14:solidFill>
              <w14:schemeClr w14:val="tx1"/>
            </w14:solidFill>
          </w14:textFill>
        </w:rPr>
        <w:t>《盐城工程造价》等相关计价文件的规定，计算出预算价。预算价即</w:t>
      </w:r>
      <w:r>
        <w:rPr>
          <w:rFonts w:hint="eastAsia" w:ascii="宋体" w:hAnsi="宋体" w:cs="宋体"/>
          <w:color w:val="000000" w:themeColor="text1"/>
          <w:kern w:val="1"/>
          <w:sz w:val="24"/>
          <w:lang w:eastAsia="zh-CN"/>
          <w14:textFill>
            <w14:solidFill>
              <w14:schemeClr w14:val="tx1"/>
            </w14:solidFill>
          </w14:textFill>
        </w:rPr>
        <w:t>最高投标限价</w:t>
      </w:r>
      <w:r>
        <w:rPr>
          <w:rFonts w:hint="eastAsia" w:ascii="宋体" w:hAnsi="宋体" w:cs="宋体"/>
          <w:color w:val="000000" w:themeColor="text1"/>
          <w:kern w:val="1"/>
          <w:sz w:val="24"/>
          <w14:textFill>
            <w14:solidFill>
              <w14:schemeClr w14:val="tx1"/>
            </w14:solidFill>
          </w14:textFill>
        </w:rPr>
        <w:t>。</w:t>
      </w:r>
    </w:p>
    <w:p w14:paraId="168619DE">
      <w:pPr>
        <w:spacing w:line="44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14:paraId="04CAC5A1">
      <w:pPr>
        <w:spacing w:line="440" w:lineRule="exact"/>
        <w:ind w:left="-1"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5、其他</w:t>
      </w:r>
    </w:p>
    <w:p w14:paraId="1E7689A7">
      <w:pPr>
        <w:spacing w:line="440" w:lineRule="exact"/>
        <w:ind w:left="-1"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全费用综合单价均统一按第一中标候选人的全费用综合单价执行，各投标人在投标报价时须充分考虑该因素。</w:t>
      </w:r>
    </w:p>
    <w:p w14:paraId="03EB08DD">
      <w:pPr>
        <w:spacing w:line="440" w:lineRule="exact"/>
        <w:rPr>
          <w:rFonts w:ascii="宋体" w:hAnsi="宋体" w:cs="宋体"/>
          <w:b/>
          <w:color w:val="000000" w:themeColor="text1"/>
          <w:sz w:val="44"/>
          <w:szCs w:val="44"/>
          <w14:textFill>
            <w14:solidFill>
              <w14:schemeClr w14:val="tx1"/>
            </w14:solidFill>
          </w14:textFill>
        </w:rPr>
      </w:pPr>
    </w:p>
    <w:p w14:paraId="3965BC8F">
      <w:pP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br w:type="page"/>
      </w:r>
    </w:p>
    <w:p w14:paraId="2E314BDA">
      <w:pPr>
        <w:spacing w:line="500" w:lineRule="exact"/>
        <w:jc w:val="center"/>
        <w:rPr>
          <w:rFonts w:ascii="宋体" w:hAnsi="宋体" w:cs="宋体"/>
          <w:b/>
          <w:bCs/>
          <w:color w:val="000000" w:themeColor="text1"/>
          <w:sz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第四部分  投标文件编制方法及要求</w:t>
      </w:r>
    </w:p>
    <w:p w14:paraId="429BF527">
      <w:pPr>
        <w:spacing w:line="500" w:lineRule="exact"/>
        <w:ind w:firstLine="480" w:firstLineChars="200"/>
        <w:rPr>
          <w:rFonts w:ascii="宋体" w:hAnsi="宋体" w:cs="宋体"/>
          <w:b/>
          <w:bCs/>
          <w:color w:val="000000" w:themeColor="text1"/>
          <w:sz w:val="24"/>
          <w14:textFill>
            <w14:solidFill>
              <w14:schemeClr w14:val="tx1"/>
            </w14:solidFill>
          </w14:textFill>
        </w:rPr>
      </w:pPr>
    </w:p>
    <w:p w14:paraId="7049C827">
      <w:pPr>
        <w:spacing w:line="50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1、投标报价文件的编制依据及要求</w:t>
      </w:r>
    </w:p>
    <w:p w14:paraId="545DF4D6">
      <w:pPr>
        <w:spacing w:line="500" w:lineRule="exact"/>
        <w:ind w:left="-1" w:firstLine="480"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1.1投标报价文件编制的依据：</w:t>
      </w:r>
    </w:p>
    <w:p w14:paraId="5FCC4923">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1.1.1招标人发出的招标文件、工程量清单及其编制说明、答疑文件、补充通知；</w:t>
      </w:r>
    </w:p>
    <w:p w14:paraId="0839E4A5">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1.1.2招标人提供的图纸和设定的</w:t>
      </w:r>
      <w:r>
        <w:rPr>
          <w:rFonts w:hint="eastAsia" w:ascii="宋体" w:hAnsi="宋体" w:cs="宋体"/>
          <w:color w:val="000000" w:themeColor="text1"/>
          <w:sz w:val="24"/>
          <w:lang w:eastAsia="zh-CN"/>
          <w14:textFill>
            <w14:solidFill>
              <w14:schemeClr w14:val="tx1"/>
            </w14:solidFill>
          </w14:textFill>
        </w:rPr>
        <w:t>最高投标限价</w:t>
      </w:r>
      <w:r>
        <w:rPr>
          <w:rFonts w:hint="eastAsia" w:ascii="宋体" w:hAnsi="宋体" w:cs="宋体"/>
          <w:color w:val="000000" w:themeColor="text1"/>
          <w:sz w:val="24"/>
          <w14:textFill>
            <w14:solidFill>
              <w14:schemeClr w14:val="tx1"/>
            </w14:solidFill>
          </w14:textFill>
        </w:rPr>
        <w:t>；</w:t>
      </w:r>
    </w:p>
    <w:p w14:paraId="50555DD2">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市政工程计价定额》（2014版）……（以下简称《计价定额》）、《江苏省建设工程费用定额》（2014年）及</w:t>
      </w:r>
      <w:r>
        <w:rPr>
          <w:rFonts w:hint="eastAsia" w:ascii="宋体" w:hAnsi="宋体" w:cs="宋体"/>
          <w:b/>
          <w:color w:val="000000" w:themeColor="text1"/>
          <w:sz w:val="24"/>
          <w14:textFill>
            <w14:solidFill>
              <w14:schemeClr w14:val="tx1"/>
            </w14:solidFill>
          </w14:textFill>
        </w:rPr>
        <w:t>营改增后调整内容</w:t>
      </w:r>
      <w:r>
        <w:rPr>
          <w:rFonts w:hint="eastAsia" w:ascii="宋体" w:hAnsi="宋体" w:cs="宋体"/>
          <w:color w:val="000000" w:themeColor="text1"/>
          <w:sz w:val="24"/>
          <w14:textFill>
            <w14:solidFill>
              <w14:schemeClr w14:val="tx1"/>
            </w14:solidFill>
          </w14:textFill>
        </w:rPr>
        <w:t>（以下简称《费用定额》）、《盐城工程造价》、相关计价文件等。</w:t>
      </w:r>
    </w:p>
    <w:p w14:paraId="18DD2CCD">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1.1.4省、市现行其他相关配套文件；　　　</w:t>
      </w:r>
    </w:p>
    <w:p w14:paraId="0CD5378A">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1.1.5与建设项目相关的标准、施工和验收规范等技术资料；</w:t>
      </w:r>
    </w:p>
    <w:p w14:paraId="6B64EAB3">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1.1.6 施工现场情况、工程特点及投标人拟采用的施工组织设计和施工技术方案；</w:t>
      </w:r>
    </w:p>
    <w:p w14:paraId="2BE5D966">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1.1.7 投标人的企业定额及投标期间的各类材料市场价格信息或工程造价管理机构发布的工程造价信息；</w:t>
      </w:r>
    </w:p>
    <w:p w14:paraId="57851DC4">
      <w:pPr>
        <w:spacing w:line="500" w:lineRule="exact"/>
        <w:ind w:left="-1" w:firstLine="480" w:firstLineChars="200"/>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1.2投标报价文件编制的要求：</w:t>
      </w:r>
    </w:p>
    <w:p w14:paraId="1D1D9D37">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14:paraId="2D0CD1F7">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14:paraId="409C2601">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1.2.3投标人投标全费用综合单价中必须包含现行有关规定的费率计取</w:t>
      </w:r>
      <w:r>
        <w:rPr>
          <w:rFonts w:hint="eastAsia" w:ascii="宋体" w:hAnsi="宋体" w:cs="宋体"/>
          <w:color w:val="000000" w:themeColor="text1"/>
          <w:sz w:val="24"/>
          <w:lang w:val="en-US" w:eastAsia="zh-CN"/>
          <w14:textFill>
            <w14:solidFill>
              <w14:schemeClr w14:val="tx1"/>
            </w14:solidFill>
          </w14:textFill>
        </w:rPr>
        <w:t>现场安全</w:t>
      </w:r>
      <w:r>
        <w:rPr>
          <w:rFonts w:hint="eastAsia" w:ascii="宋体" w:hAnsi="宋体" w:cs="宋体"/>
          <w:color w:val="000000" w:themeColor="text1"/>
          <w:sz w:val="24"/>
          <w14:textFill>
            <w14:solidFill>
              <w14:schemeClr w14:val="tx1"/>
            </w14:solidFill>
          </w14:textFill>
        </w:rPr>
        <w:t>文明施工措施费基本费1.5%、扬尘污染防治增加费0.21%，为完成本项目发生的所有措施项目费、管理费、利润、规费（包括环境保护税0.1%、社会保险费3.8%、住房公积金0.67%、和税金9%）。</w:t>
      </w:r>
    </w:p>
    <w:p w14:paraId="5D89FF6A">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1.2.4  投标人在投标报价时未填报综合单价的工程量清单项目，招标人视为已包括在工程量清单计价的其他单价中，无论何种原因使该清单项目发生工程量的变更，结算时均不作调整。</w:t>
      </w:r>
    </w:p>
    <w:p w14:paraId="7E6ECD83">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1.2.5  投标人在投标报价时，不得进行投标总价或合价的优惠（或降价、让利）或隐性提价；综合单价与工程量的乘积应与合价一致。</w:t>
      </w:r>
    </w:p>
    <w:p w14:paraId="3D5A3BEE">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14:paraId="5C809A55">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1.2.7除计价规范另有规定外，投标文件使用的度量衡单位，均采用中华人民共和国法定计量单位，投标文件和与投标有关的所有文件均应使用中文，投标报价统一采用人民币作为计量单位。 </w:t>
      </w:r>
    </w:p>
    <w:p w14:paraId="51007521">
      <w:pPr>
        <w:spacing w:line="50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2、投标文件的编制方法及要求</w:t>
      </w:r>
    </w:p>
    <w:p w14:paraId="165D69D9">
      <w:pPr>
        <w:spacing w:line="480" w:lineRule="exact"/>
        <w:ind w:left="-1" w:firstLine="480" w:firstLineChars="200"/>
        <w:rPr>
          <w:rFonts w:ascii="宋体" w:hAnsi="宋体" w:cs="宋体"/>
          <w:color w:val="000000" w:themeColor="text1"/>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2.1本次招标的投标文件共为一号标书1个标书，份数为正本1份、副本4份。</w:t>
      </w:r>
    </w:p>
    <w:p w14:paraId="5AB75DF1">
      <w:pPr>
        <w:spacing w:line="480" w:lineRule="exact"/>
        <w:ind w:left="-1"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2.2 一号标书应包括的内容：</w:t>
      </w:r>
    </w:p>
    <w:p w14:paraId="7B2C2338">
      <w:pPr>
        <w:spacing w:line="48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 封面（样式见附件）。</w:t>
      </w:r>
    </w:p>
    <w:p w14:paraId="62A1D471">
      <w:pPr>
        <w:spacing w:line="48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 投标承诺书；法定代表人投标的须提供法定代表人身份证明书（如委托代理人投标的须提供授权委托书）；诚信承诺书</w:t>
      </w:r>
      <w:r>
        <w:rPr>
          <w:rFonts w:hint="eastAsia" w:ascii="宋体" w:hAnsi="宋体" w:cs="宋体"/>
          <w:color w:val="000000" w:themeColor="text1"/>
          <w:sz w:val="24"/>
          <w:szCs w:val="30"/>
          <w14:textFill>
            <w14:solidFill>
              <w14:schemeClr w14:val="tx1"/>
            </w14:solidFill>
          </w14:textFill>
        </w:rPr>
        <w:t>（格式见附件）</w:t>
      </w:r>
      <w:r>
        <w:rPr>
          <w:rFonts w:hint="eastAsia" w:ascii="宋体" w:hAnsi="宋体" w:cs="宋体"/>
          <w:color w:val="000000" w:themeColor="text1"/>
          <w:sz w:val="24"/>
          <w14:textFill>
            <w14:solidFill>
              <w14:schemeClr w14:val="tx1"/>
            </w14:solidFill>
          </w14:textFill>
        </w:rPr>
        <w:t>。</w:t>
      </w:r>
    </w:p>
    <w:p w14:paraId="2EEA3D2A">
      <w:pPr>
        <w:spacing w:line="48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工程量清单计价成果文件（投标报价明细表，格式见附件）；工程清单计价成果文件必须按照招标文件所提供的格式填入，其格式不得作任何改变。招标人提供的工程量清单中的序号、项目名称、项目特征、单位、数量，投标人在投标报价时不得作任何更改变动，否则一切责任由投标单位自负。如果投标人认为清单内容有误或遗漏，只能通过答疑的方式由招标人统一修改更正。</w:t>
      </w:r>
    </w:p>
    <w:p w14:paraId="27BFA5A0">
      <w:pPr>
        <w:tabs>
          <w:tab w:val="left" w:pos="6161"/>
        </w:tabs>
        <w:spacing w:line="5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2.2.4符合招标文件要求的有效的投标人施工资质证书、安全生产许可证、营业执照、项目负责人建造师注册证书、项目负责人安全生产考核合格证书（B类）的原件及复印件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代理人及</w:t>
      </w:r>
      <w:r>
        <w:rPr>
          <w:rFonts w:hint="eastAsia" w:ascii="宋体" w:hAnsi="宋体" w:cs="宋体"/>
          <w:color w:val="000000" w:themeColor="text1"/>
          <w:sz w:val="24"/>
          <w14:textFill>
            <w14:solidFill>
              <w14:schemeClr w14:val="tx1"/>
            </w14:solidFill>
          </w14:textFill>
        </w:rPr>
        <w:t>项目负责人的缴纳养老保险缴费记录证明加盖</w:t>
      </w:r>
      <w:r>
        <w:rPr>
          <w:rFonts w:hint="eastAsia" w:ascii="宋体" w:hAnsi="宋体" w:cs="宋体"/>
          <w:color w:val="000000" w:themeColor="text1"/>
          <w:sz w:val="24"/>
          <w:lang w:val="en-US" w:eastAsia="zh-CN"/>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公章（退休人员提供在本单位相关证明</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p>
    <w:p w14:paraId="05476667">
      <w:pPr>
        <w:tabs>
          <w:tab w:val="left" w:pos="6161"/>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注：能有效识别二维码的复印件加盖证书持有单位公章和能有效识别二维码的电子证书加盖证书持有单位公章可视为原件。</w:t>
      </w:r>
      <w:r>
        <w:rPr>
          <w:rFonts w:hint="eastAsia" w:ascii="宋体" w:hAnsi="宋体" w:cs="宋体"/>
          <w:color w:val="000000" w:themeColor="text1"/>
          <w:sz w:val="24"/>
          <w14:textFill>
            <w14:solidFill>
              <w14:schemeClr w14:val="tx1"/>
            </w14:solidFill>
          </w14:textFill>
        </w:rPr>
        <w:tab/>
      </w:r>
    </w:p>
    <w:p w14:paraId="7FE0D0FA">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注：以上2.2.1～2.2.4项材料装订成册,如有证书原件无需装订直接放入封袋中。如投标人投标文件中正副本不全，将不作为中标候选人。</w:t>
      </w:r>
    </w:p>
    <w:p w14:paraId="2D611133">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评审过程中对投标人所提供的资料要求以评标办法及上述一号标书组成规定为准，其他部分如有涉及，一律不作为评审依据。</w:t>
      </w:r>
    </w:p>
    <w:p w14:paraId="6C8E5111">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2.3投标文件编制的其他要求：</w:t>
      </w:r>
    </w:p>
    <w:p w14:paraId="7F7F4041">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2.3.1招标文件提供的表式投标人应使用，但表式可以按同样格式拓展。</w:t>
      </w:r>
    </w:p>
    <w:p w14:paraId="67F10085">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14:paraId="276E90DB">
      <w:pPr>
        <w:spacing w:line="500" w:lineRule="exact"/>
        <w:ind w:firstLine="480" w:firstLineChars="200"/>
        <w:outlineLvl w:val="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3、投标有效期</w:t>
      </w:r>
    </w:p>
    <w:p w14:paraId="24CCAE10">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3.1本招标项目投标有效期见第一部分投标须知。</w:t>
      </w:r>
    </w:p>
    <w:p w14:paraId="78A73499">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3.2在投标有效期内，投标人不得要求撤销或修改其投标文件。 </w:t>
      </w:r>
      <w:r>
        <w:rPr>
          <w:rFonts w:hint="eastAsia" w:ascii="宋体" w:hAnsi="宋体" w:cs="宋体"/>
          <w:color w:val="000000" w:themeColor="text1"/>
          <w:sz w:val="24"/>
          <w14:textFill>
            <w14:solidFill>
              <w14:schemeClr w14:val="tx1"/>
            </w14:solidFill>
          </w14:textFill>
        </w:rPr>
        <w:cr/>
      </w:r>
      <w:r>
        <w:rPr>
          <w:rFonts w:hint="eastAsia" w:ascii="宋体" w:hAnsi="宋体" w:cs="宋体"/>
          <w:color w:val="000000" w:themeColor="text1"/>
          <w:sz w:val="24"/>
          <w14:textFill>
            <w14:solidFill>
              <w14:schemeClr w14:val="tx1"/>
            </w14:solidFill>
          </w14:textFill>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14:paraId="3A78E6EA">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4、投标文件的密封与标志</w:t>
      </w:r>
    </w:p>
    <w:p w14:paraId="5253AD72">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4.1投标文件按招标文件和格式、样式要求装订、签署和盖章后应装入一号标书封袋，封袋大小根据需要自行制作，在每个封袋上正确标明工程名称、投标人名称、标书号。</w:t>
      </w:r>
    </w:p>
    <w:p w14:paraId="126EFCC7">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4.2所有投标文件装入封袋后都必须在封口处密封并加盖投标人公章。</w:t>
      </w:r>
    </w:p>
    <w:p w14:paraId="52DAA173">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5、投标文件的递交</w:t>
      </w:r>
    </w:p>
    <w:p w14:paraId="2A4D5201">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5.1投标人必须在招标文件规定的投标文件递交截止时间前完成投标文件的递交。</w:t>
      </w:r>
    </w:p>
    <w:p w14:paraId="59D3C891">
      <w:pPr>
        <w:snapToGrid w:val="0"/>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5.2投标人递交投标文件的地点：见投标须知前附表。</w:t>
      </w:r>
    </w:p>
    <w:p w14:paraId="33713600">
      <w:pPr>
        <w:pStyle w:val="11"/>
        <w:adjustRightInd w:val="0"/>
        <w:snapToGrid w:val="0"/>
        <w:spacing w:line="440" w:lineRule="exact"/>
        <w:ind w:firstLine="480" w:firstLineChars="200"/>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6、投标文件的修改与撤回</w:t>
      </w:r>
    </w:p>
    <w:p w14:paraId="001C4EA7">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6.1在招标文件规定的投标截止时间之前，投标人可对所递交的投标文件进行修改或撤回，但必须以书面形式通知招标人。 </w:t>
      </w:r>
      <w:r>
        <w:rPr>
          <w:rFonts w:hint="eastAsia" w:ascii="宋体" w:hAnsi="宋体" w:cs="宋体"/>
          <w:color w:val="000000" w:themeColor="text1"/>
          <w:sz w:val="24"/>
          <w14:textFill>
            <w14:solidFill>
              <w14:schemeClr w14:val="tx1"/>
            </w14:solidFill>
          </w14:textFill>
        </w:rPr>
        <w:cr/>
      </w:r>
      <w:r>
        <w:rPr>
          <w:rFonts w:hint="eastAsia" w:ascii="宋体" w:hAnsi="宋体" w:cs="宋体"/>
          <w:color w:val="000000" w:themeColor="text1"/>
          <w:sz w:val="24"/>
          <w14:textFill>
            <w14:solidFill>
              <w14:schemeClr w14:val="tx1"/>
            </w14:solidFill>
          </w14:textFill>
        </w:rPr>
        <w:t xml:space="preserve">    6.2所递交的修改或撤回通知必须按照本招标文件中对投标文件的要求进行编制、装订、密封、标志（在包封上标明“修改”或“撤回”字样，并注明修改或撤回的时间）和递交。</w:t>
      </w:r>
    </w:p>
    <w:p w14:paraId="1F5639A7">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6.3修改的内容为投标文件的组成部分。</w:t>
      </w:r>
    </w:p>
    <w:p w14:paraId="5F9A6F69">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7、投标费用</w:t>
      </w:r>
    </w:p>
    <w:p w14:paraId="1AEECFB9">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投标人应承担其编制和递交投标文件所涉及的一切费用，无论投标结果如何，招标人对上述费用不负任何责任。</w:t>
      </w:r>
    </w:p>
    <w:p w14:paraId="05B5AB74">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本项目招标代理服务费</w:t>
      </w:r>
      <w:r>
        <w:rPr>
          <w:rStyle w:val="64"/>
          <w:rFonts w:hint="eastAsia" w:ascii="宋体" w:hAnsi="宋体" w:cs="宋体"/>
          <w:color w:val="000000" w:themeColor="text1"/>
          <w:sz w:val="24"/>
          <w:szCs w:val="24"/>
          <w:lang w:val="en-US" w:eastAsia="zh-CN"/>
          <w14:textFill>
            <w14:solidFill>
              <w14:schemeClr w14:val="tx1"/>
            </w14:solidFill>
          </w14:textFill>
        </w:rPr>
        <w:t>按</w:t>
      </w:r>
      <w:r>
        <w:rPr>
          <w:rStyle w:val="64"/>
          <w:rFonts w:hint="eastAsia" w:ascii="宋体" w:hAnsi="宋体" w:cs="宋体"/>
          <w:color w:val="000000" w:themeColor="text1"/>
          <w:sz w:val="24"/>
          <w:szCs w:val="24"/>
          <w14:textFill>
            <w14:solidFill>
              <w14:schemeClr w14:val="tx1"/>
            </w14:solidFill>
          </w14:textFill>
        </w:rPr>
        <w:t>苏招协〔2022﹞002号规定的收费标准</w:t>
      </w:r>
      <w:r>
        <w:rPr>
          <w:rStyle w:val="64"/>
          <w:rFonts w:hint="eastAsia" w:ascii="宋体" w:hAnsi="宋体" w:cs="宋体"/>
          <w:color w:val="000000" w:themeColor="text1"/>
          <w:sz w:val="24"/>
          <w:szCs w:val="24"/>
          <w:lang w:val="en-US" w:eastAsia="zh-CN"/>
          <w14:textFill>
            <w14:solidFill>
              <w14:schemeClr w14:val="tx1"/>
            </w14:solidFill>
          </w14:textFill>
        </w:rPr>
        <w:t>的</w:t>
      </w:r>
      <w:r>
        <w:rPr>
          <w:rStyle w:val="64"/>
          <w:rFonts w:hint="eastAsia" w:ascii="宋体" w:hAnsi="宋体" w:cs="宋体"/>
          <w:color w:val="000000" w:themeColor="text1"/>
          <w:sz w:val="24"/>
          <w:szCs w:val="24"/>
          <w14:textFill>
            <w14:solidFill>
              <w14:schemeClr w14:val="tx1"/>
            </w14:solidFill>
          </w14:textFill>
        </w:rPr>
        <w:t>30%</w:t>
      </w:r>
      <w:r>
        <w:rPr>
          <w:rStyle w:val="64"/>
          <w:rFonts w:hint="eastAsia" w:ascii="宋体" w:hAnsi="宋体" w:cs="宋体"/>
          <w:color w:val="000000" w:themeColor="text1"/>
          <w:sz w:val="24"/>
          <w:szCs w:val="24"/>
          <w:lang w:val="en-US" w:eastAsia="zh-CN"/>
          <w14:textFill>
            <w14:solidFill>
              <w14:schemeClr w14:val="tx1"/>
            </w14:solidFill>
          </w14:textFill>
        </w:rPr>
        <w:t>收取，</w:t>
      </w:r>
      <w:r>
        <w:rPr>
          <w:rFonts w:hint="eastAsia" w:ascii="宋体" w:hAnsi="宋体" w:cs="宋体"/>
          <w:color w:val="000000" w:themeColor="text1"/>
          <w:sz w:val="24"/>
          <w14:textFill>
            <w14:solidFill>
              <w14:schemeClr w14:val="tx1"/>
            </w14:solidFill>
          </w14:textFill>
        </w:rPr>
        <w:t>由中标人承担，各投标人在投标报价时须将上述费用自行综合考虑分摊含进投标报价中，且不得单列，在开具中标通知书前向招标代理机构一次性交纳。招标人不再承担上述费用。</w:t>
      </w:r>
    </w:p>
    <w:p w14:paraId="5F7B018D">
      <w:pPr>
        <w:spacing w:line="500" w:lineRule="exact"/>
        <w:rPr>
          <w:rFonts w:ascii="宋体" w:hAnsi="宋体" w:cs="宋体"/>
          <w:b/>
          <w:color w:val="000000" w:themeColor="text1"/>
          <w:sz w:val="44"/>
          <w:szCs w:val="44"/>
          <w14:textFill>
            <w14:solidFill>
              <w14:schemeClr w14:val="tx1"/>
            </w14:solidFill>
          </w14:textFill>
        </w:rPr>
      </w:pPr>
    </w:p>
    <w:p w14:paraId="1C8A56FC">
      <w:pP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br w:type="page"/>
      </w:r>
    </w:p>
    <w:p w14:paraId="471D83B0">
      <w:pPr>
        <w:widowControl/>
        <w:jc w:val="center"/>
        <w:rPr>
          <w:rFonts w:ascii="宋体" w:hAnsi="宋体" w:cs="宋体"/>
          <w:b/>
          <w:bCs/>
          <w:color w:val="000000" w:themeColor="text1"/>
          <w:sz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第五部分  开标 评标 定标</w:t>
      </w:r>
    </w:p>
    <w:p w14:paraId="003CC290">
      <w:pPr>
        <w:spacing w:line="500" w:lineRule="exact"/>
        <w:ind w:left="-1" w:firstLine="480" w:firstLineChars="200"/>
        <w:rPr>
          <w:rFonts w:ascii="宋体" w:hAnsi="宋体" w:cs="宋体"/>
          <w:color w:val="000000" w:themeColor="text1"/>
          <w:sz w:val="24"/>
          <w14:textFill>
            <w14:solidFill>
              <w14:schemeClr w14:val="tx1"/>
            </w14:solidFill>
          </w14:textFill>
        </w:rPr>
      </w:pPr>
    </w:p>
    <w:p w14:paraId="223CE290">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1、评标定标办法和评标规则</w:t>
      </w:r>
    </w:p>
    <w:p w14:paraId="36DAD5D9">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本项目评标办法采用</w:t>
      </w:r>
      <w:r>
        <w:rPr>
          <w:rFonts w:hint="eastAsia" w:ascii="宋体" w:hAnsi="宋体" w:cs="宋体"/>
          <w:color w:val="000000" w:themeColor="text1"/>
          <w:sz w:val="24"/>
          <w:lang w:val="en-US" w:eastAsia="zh-CN"/>
          <w14:textFill>
            <w14:solidFill>
              <w14:schemeClr w14:val="tx1"/>
            </w14:solidFill>
          </w14:textFill>
        </w:rPr>
        <w:t>合理低价法</w:t>
      </w:r>
      <w:r>
        <w:rPr>
          <w:rFonts w:hint="eastAsia" w:ascii="宋体" w:hAnsi="宋体" w:cs="宋体"/>
          <w:color w:val="000000" w:themeColor="text1"/>
          <w:sz w:val="24"/>
          <w14:textFill>
            <w14:solidFill>
              <w14:schemeClr w14:val="tx1"/>
            </w14:solidFill>
          </w14:textFill>
        </w:rPr>
        <w:t>，评标委员会按评标办法推荐有排序的中标候选人，由招标人依照国家有关法律、法规及定标办法确定中标人，具体评标定标办法及评标规则详见第七部分。</w:t>
      </w:r>
    </w:p>
    <w:p w14:paraId="5472DCC8">
      <w:pPr>
        <w:spacing w:line="500" w:lineRule="exact"/>
        <w:ind w:left="-1"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2、开标、评标、定标</w:t>
      </w:r>
    </w:p>
    <w:p w14:paraId="4E18FF26">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2.1开标按投标须知前附表规定的时间、地点举行。</w:t>
      </w:r>
    </w:p>
    <w:p w14:paraId="76211C87">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开标由招标人或其委托的招标代理机构主持，并由投标人代表或招标人委托的公证人员检查投标文件的密封情况，工作人员当众启封有效投标文件及修改文件，宣读投标文件的主要内容。</w:t>
      </w:r>
    </w:p>
    <w:p w14:paraId="657A3087">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投标人对开标内容有异议的，应当在开标现场提出，否则视同认可。</w:t>
      </w:r>
    </w:p>
    <w:p w14:paraId="552E3E45">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2.2评标由招标人依法组建的评标委员会负责。评标委员会应当按照招标文件确定的评标标准和方法，对投标文件进行评审和比较，并根据评标办法约定的数量推荐标明顺序的中标候选人。</w:t>
      </w:r>
    </w:p>
    <w:p w14:paraId="436C13B9">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2.3招标人根据评标委员会提出的书面评标报告和推荐的中标候选人依法确定中标人。</w:t>
      </w:r>
    </w:p>
    <w:p w14:paraId="4D3B5813">
      <w:pPr>
        <w:spacing w:line="500" w:lineRule="exact"/>
        <w:ind w:left="-1"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3、评标定标办法</w:t>
      </w:r>
    </w:p>
    <w:p w14:paraId="0815C8B6">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详见第七部分。</w:t>
      </w:r>
    </w:p>
    <w:p w14:paraId="7B93B8E8">
      <w:pPr>
        <w:spacing w:line="500" w:lineRule="exact"/>
        <w:ind w:left="-1"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4、投标文件有下列情况之一的，属于重大偏差，视为未能对招标文件作出实质性响应，作为无效投标予以否决：</w:t>
      </w:r>
    </w:p>
    <w:p w14:paraId="2CF13906">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4.1投标文件中的投标函未加盖投标人的公章；</w:t>
      </w:r>
    </w:p>
    <w:p w14:paraId="78625042">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4.2投标文件中的投标函未加盖企业法定代表人（或企业法定代表人代理人）印章（或签字）的；</w:t>
      </w:r>
    </w:p>
    <w:p w14:paraId="49EB44CE">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4.3投标函加盖企业法定代表人委托代理人印章（或签字），企业法定代表人委托代理人没有合法、有效的委托书（原件）的；</w:t>
      </w:r>
    </w:p>
    <w:p w14:paraId="492CB217">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4.4投标人资质条件不符合国家有关规定，或者不满足招标文件规定的资格条件；</w:t>
      </w:r>
    </w:p>
    <w:p w14:paraId="696DBDBD">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4.5投标报价低于工程成本或者高于招标文件设定的</w:t>
      </w:r>
      <w:r>
        <w:rPr>
          <w:rFonts w:hint="eastAsia" w:ascii="宋体" w:hAnsi="宋体" w:cs="宋体"/>
          <w:color w:val="000000" w:themeColor="text1"/>
          <w:sz w:val="24"/>
          <w:lang w:eastAsia="zh-CN"/>
          <w14:textFill>
            <w14:solidFill>
              <w14:schemeClr w14:val="tx1"/>
            </w14:solidFill>
          </w14:textFill>
        </w:rPr>
        <w:t>最高投标限价</w:t>
      </w:r>
      <w:r>
        <w:rPr>
          <w:rFonts w:hint="eastAsia" w:ascii="宋体" w:hAnsi="宋体" w:cs="宋体"/>
          <w:color w:val="000000" w:themeColor="text1"/>
          <w:sz w:val="24"/>
          <w14:textFill>
            <w14:solidFill>
              <w14:schemeClr w14:val="tx1"/>
            </w14:solidFill>
          </w14:textFill>
        </w:rPr>
        <w:t>的；</w:t>
      </w:r>
    </w:p>
    <w:p w14:paraId="480E5397">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4.6同一投标人提交两个及以上不同的投标文件或者投标报价，但招标文件规定提交备选投标的除外；</w:t>
      </w:r>
    </w:p>
    <w:p w14:paraId="6F8062E3">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4.7投标文件中已标价工程量清单与招标文件规定的暂估价、暂列金额及甲供材料价格不一致的；</w:t>
      </w:r>
    </w:p>
    <w:p w14:paraId="361572A9">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4.8投标文件中已标价工程量清单与招标文件明确列出的不可竞争费用项目或费率或计算基础不一致的；</w:t>
      </w:r>
    </w:p>
    <w:p w14:paraId="7EA0F722">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pgNum/>
      </w:r>
      <w:r>
        <w:rPr>
          <w:rFonts w:hint="eastAsia" w:ascii="宋体" w:hAnsi="宋体" w:cs="宋体"/>
          <w:color w:val="000000" w:themeColor="text1"/>
          <w:sz w:val="24"/>
          <w14:textFill>
            <w14:solidFill>
              <w14:schemeClr w14:val="tx1"/>
            </w14:solidFill>
          </w14:textFill>
        </w:rPr>
        <w:t>4.9投标文件中已标价工程量清单与招标文件提供的工程量清单中的项目编码、项目名称、项目特征、计量单位、工程量不一致的；</w:t>
      </w:r>
    </w:p>
    <w:p w14:paraId="69E6C25D">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4.10未按招标文件要求提供投标保证金的；</w:t>
      </w:r>
    </w:p>
    <w:p w14:paraId="5BAB196A">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4.11投标文件载明的招标项目完成期限超过招标文件规定的期限的；</w:t>
      </w:r>
    </w:p>
    <w:p w14:paraId="6D61004A">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4.12明显不符合技术规范、技术标准的要求；</w:t>
      </w:r>
    </w:p>
    <w:p w14:paraId="2CB7B3BD">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4.13投标文件载明的货物包装方式、检验标准和方法等不符合招标文件的要求的；</w:t>
      </w:r>
    </w:p>
    <w:p w14:paraId="0020DCDC">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4.14投标文件提出了不能满足招标文件要求或招标人不能接受的工程验收、计量、价款结算和支付办法的；</w:t>
      </w:r>
    </w:p>
    <w:p w14:paraId="79D0DA6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4.15不同投标人的投标文件制作过程出现了评标委员会认为不应当雷同的情况；</w:t>
      </w:r>
    </w:p>
    <w:p w14:paraId="28574F6F">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4.16以他人的名义投标、串通投标、以行贿手段谋取中标或者以其他弄虚作假方式投标的；</w:t>
      </w:r>
    </w:p>
    <w:p w14:paraId="1D96B78B">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4.17投标文件关键内容模糊、无法辨认的；</w:t>
      </w:r>
    </w:p>
    <w:p w14:paraId="2124BBAB">
      <w:pPr>
        <w:spacing w:line="500" w:lineRule="exact"/>
        <w:ind w:left="-1"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5、投标文件的澄清</w:t>
      </w:r>
    </w:p>
    <w:p w14:paraId="7BF049D0">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14:paraId="7B7E7ADD">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5.2评标委员会不接受投标人主动提出的澄清、说明或补正。 </w:t>
      </w:r>
    </w:p>
    <w:p w14:paraId="2DE2C2AD">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14:paraId="7CF496EF">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5.4评标委员会对投标人提交的答复仍有疑问的，可以要求投标人进一步澄清、说明或补正，直至满足评标委员会的要求。</w:t>
      </w:r>
    </w:p>
    <w:p w14:paraId="69688C14">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5.5投标截止时间后，投标文件中没有列入的价格和优惠条件或投标人对投标报价或其他实质性内容修正的函件和增加的任何优惠条件，一律不得作为评标、定标的依据。</w:t>
      </w:r>
    </w:p>
    <w:p w14:paraId="7D6FC63C">
      <w:pPr>
        <w:spacing w:line="500" w:lineRule="exact"/>
        <w:ind w:left="-1"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6、评标、定标</w:t>
      </w:r>
    </w:p>
    <w:p w14:paraId="38BEFAEF">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6.1评标委员会组成</w:t>
      </w:r>
    </w:p>
    <w:p w14:paraId="35EC089F">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6.1.1评标委员会由招标人组织相关专家和其他人员组成。</w:t>
      </w:r>
    </w:p>
    <w:p w14:paraId="3F14DE2C">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6.1.2评标委员会在评标时独立开展工作，负责评审所有投标文件，并根据评标办法推荐中标候选人。</w:t>
      </w:r>
    </w:p>
    <w:p w14:paraId="784B2AF0">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6.1.3评标委员会决定投标文件的响应性只根据投标文件本身的内容，而不寻求外部的证据。</w:t>
      </w:r>
    </w:p>
    <w:p w14:paraId="34F114F9">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6.1.4 在评标过程中，除出现下列情形外，评标委员会认为因招标文件缺陷无法确定中标候选人或中标人的，招标人应当重新组织招标。</w:t>
      </w:r>
    </w:p>
    <w:p w14:paraId="677754E8">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14:paraId="35A82722">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6.1.5招标人根据评标委员会推荐的中标候选人，确定排名第一的中标候选人为中标人。</w:t>
      </w:r>
    </w:p>
    <w:p w14:paraId="12B3F0A3">
      <w:pPr>
        <w:spacing w:line="500" w:lineRule="exact"/>
        <w:ind w:left="-1"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7、评标结果公示</w:t>
      </w:r>
    </w:p>
    <w:p w14:paraId="677E414C">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招标人应当自收到评标报告之日起3日内在招标公告发布媒介上发布评标结果公示表，公示期不得少于3日。</w:t>
      </w:r>
    </w:p>
    <w:p w14:paraId="7CF40358">
      <w:pPr>
        <w:spacing w:line="500" w:lineRule="exact"/>
        <w:ind w:left="-1"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8、中标通知</w:t>
      </w:r>
    </w:p>
    <w:p w14:paraId="0255C76E">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14:paraId="47DF22F9">
      <w:pPr>
        <w:spacing w:line="500" w:lineRule="exact"/>
        <w:ind w:left="-1"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9、授予合同</w:t>
      </w:r>
    </w:p>
    <w:p w14:paraId="58DABAFF">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招标人和中标人应当自《中标通知书》发出之日起15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14:paraId="2D4F6C8D">
      <w:pPr>
        <w:spacing w:line="500" w:lineRule="exact"/>
        <w:ind w:left="-1"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10、其他</w:t>
      </w:r>
    </w:p>
    <w:p w14:paraId="2618A6FE">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w:t>
      </w:r>
      <w:r>
        <w:rPr>
          <w:rFonts w:hint="eastAsia" w:ascii="宋体" w:hAnsi="宋体" w:cs="宋体"/>
          <w:b/>
          <w:bCs/>
          <w:color w:val="000000" w:themeColor="text1"/>
          <w:sz w:val="24"/>
          <w14:textFill>
            <w14:solidFill>
              <w14:schemeClr w14:val="tx1"/>
            </w14:solidFill>
          </w14:textFill>
        </w:rPr>
        <w:t>中标结果在网上公示后，投标人或者其他利害关系人对依法必须进行招标的项目的评标结果有异议的（异议书格式详见附件），应当在中标候选人公示期间提出。</w:t>
      </w:r>
      <w:r>
        <w:rPr>
          <w:rFonts w:hint="eastAsia" w:ascii="宋体" w:hAnsi="宋体" w:cs="宋体"/>
          <w:color w:val="000000" w:themeColor="text1"/>
          <w:sz w:val="24"/>
          <w14:textFill>
            <w14:solidFill>
              <w14:schemeClr w14:val="tx1"/>
            </w14:solidFill>
          </w14:textFill>
        </w:rPr>
        <w:t>除原件外，所有的投标文件均不予退还，请投标人另行存档备份。</w:t>
      </w:r>
    </w:p>
    <w:p w14:paraId="465D3BEE">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10.2招投标相关单位及个人在招投标活动中存在以下10.2.1以及10.2.2条失信行为的，在“江苏省建设工程招标网”公示期间，本项目的招标人拒绝其投标。</w:t>
      </w:r>
    </w:p>
    <w:p w14:paraId="40DCEAF6">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10.2.1 招投标各方主体及个人在招投标活动中违反法律法规和规章规定受到行政处罚的，公示不少于3个月。</w:t>
      </w:r>
    </w:p>
    <w:p w14:paraId="0317F5AF">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10.2.2投标人在招投标活动中出现如下失信行为，公示1-3个月：</w:t>
      </w:r>
    </w:p>
    <w:p w14:paraId="5AB72ED7">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（1）除不可抗力的外，资格预审合格的投标人无故不获取 招标文件或者获取招标文件后放弃投标，或者投标人在投标截止后无故撤销投标文件等，公示2个月；</w:t>
      </w:r>
    </w:p>
    <w:p w14:paraId="26A1E61B">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14:paraId="376DD3EE">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（3）企业一年内4次在全省投诉反映情况不属实，缺乏事实或法律依据的，公示1个月；</w:t>
      </w:r>
    </w:p>
    <w:p w14:paraId="025011D6">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（4）投诉人故意捏造事实、伪造证明材料的，或者以非法手段取得证明材料等进行恶意投诉的，公示3个月。</w:t>
      </w:r>
    </w:p>
    <w:p w14:paraId="18E7545F">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10.3投标须知以及答疑文件、补充通知对本条款作出补充调整的，从其规定。</w:t>
      </w:r>
    </w:p>
    <w:p w14:paraId="1B463F5A">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10.4本条款未尽事宜，按国家和省有关法律、法规规定处理。</w:t>
      </w:r>
    </w:p>
    <w:p w14:paraId="19656483">
      <w:pPr>
        <w:spacing w:line="500" w:lineRule="exact"/>
        <w:ind w:firstLine="560" w:firstLineChars="200"/>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第六部分  合同主要条款</w:t>
      </w:r>
    </w:p>
    <w:p w14:paraId="16C9C052">
      <w:pPr>
        <w:spacing w:line="500" w:lineRule="exact"/>
        <w:ind w:firstLine="480" w:firstLineChars="200"/>
        <w:rPr>
          <w:rFonts w:ascii="宋体" w:hAnsi="宋体" w:cs="宋体"/>
          <w:b/>
          <w:color w:val="000000" w:themeColor="text1"/>
          <w:sz w:val="24"/>
          <w14:textFill>
            <w14:solidFill>
              <w14:schemeClr w14:val="tx1"/>
            </w14:solidFill>
          </w14:textFill>
        </w:rPr>
      </w:pPr>
    </w:p>
    <w:p w14:paraId="3256F149">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发包人：</w:t>
      </w:r>
      <w:r>
        <w:rPr>
          <w:rFonts w:hint="eastAsia" w:ascii="宋体" w:hAnsi="宋体" w:cs="宋体"/>
          <w:b/>
          <w:color w:val="000000" w:themeColor="text1"/>
          <w:sz w:val="24"/>
          <w:u w:val="single"/>
          <w14:textFill>
            <w14:solidFill>
              <w14:schemeClr w14:val="tx1"/>
            </w14:solidFill>
          </w14:textFill>
        </w:rPr>
        <w:t>即招标人</w:t>
      </w:r>
    </w:p>
    <w:p w14:paraId="3CBA8763">
      <w:pPr>
        <w:spacing w:line="500" w:lineRule="exact"/>
        <w:ind w:firstLine="480" w:firstLineChars="200"/>
        <w:rPr>
          <w:rFonts w:ascii="宋体" w:hAnsi="宋体" w:cs="宋体"/>
          <w:b/>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承包人：</w:t>
      </w:r>
      <w:r>
        <w:rPr>
          <w:rFonts w:hint="eastAsia" w:ascii="宋体" w:hAnsi="宋体" w:cs="宋体"/>
          <w:b/>
          <w:color w:val="000000" w:themeColor="text1"/>
          <w:sz w:val="24"/>
          <w:u w:val="single"/>
          <w14:textFill>
            <w14:solidFill>
              <w14:schemeClr w14:val="tx1"/>
            </w14:solidFill>
          </w14:textFill>
        </w:rPr>
        <w:t>即中标人</w:t>
      </w:r>
    </w:p>
    <w:p w14:paraId="2534C74A">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1、合同价</w:t>
      </w:r>
    </w:p>
    <w:p w14:paraId="630EE403">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合同价的签定必须与中标价一致</w:t>
      </w:r>
    </w:p>
    <w:p w14:paraId="3B9C0315">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2、承包方式</w:t>
      </w:r>
    </w:p>
    <w:p w14:paraId="79370046">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包工包料</w:t>
      </w:r>
    </w:p>
    <w:p w14:paraId="740CCC1E">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3、承包范围</w:t>
      </w:r>
    </w:p>
    <w:p w14:paraId="39D41A0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详见投标须知前附表</w:t>
      </w:r>
    </w:p>
    <w:p w14:paraId="309AD5FB">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4、履约担保</w:t>
      </w:r>
    </w:p>
    <w:p w14:paraId="78CB57D9">
      <w:pPr>
        <w:spacing w:line="360" w:lineRule="auto"/>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本工程履约保证金为中标价的</w:t>
      </w:r>
      <w:r>
        <w:rPr>
          <w:rFonts w:hint="eastAsia" w:ascii="宋体" w:hAnsi="宋体" w:cs="宋体"/>
          <w:color w:val="000000" w:themeColor="text1"/>
          <w:sz w:val="24"/>
          <w:u w:val="single"/>
          <w14:textFill>
            <w14:solidFill>
              <w14:schemeClr w14:val="tx1"/>
            </w14:solidFill>
          </w14:textFill>
        </w:rPr>
        <w:t>5 %</w:t>
      </w:r>
      <w:r>
        <w:rPr>
          <w:rFonts w:hint="eastAsia" w:ascii="宋体" w:hAnsi="宋体" w:cs="宋体"/>
          <w:color w:val="000000" w:themeColor="text1"/>
          <w:sz w:val="24"/>
          <w14:textFill>
            <w14:solidFill>
              <w14:schemeClr w14:val="tx1"/>
            </w14:solidFill>
          </w14:textFill>
        </w:rPr>
        <w:t>。承包人应自中标人结果公示之日起7 日内将履约保证金以转帐、电汇或银行汇票或银行保函形式汇转至发包人指定帐户。</w:t>
      </w:r>
      <w:r>
        <w:rPr>
          <w:rFonts w:hint="eastAsia" w:ascii="宋体" w:hAnsi="宋体" w:cs="宋体"/>
          <w:b/>
          <w:color w:val="000000" w:themeColor="text1"/>
          <w:sz w:val="24"/>
          <w14:textFill>
            <w14:solidFill>
              <w14:schemeClr w14:val="tx1"/>
            </w14:solidFill>
          </w14:textFill>
        </w:rPr>
        <w:t>如未按规定时间、方式缴纳履约保证金的，发包人有权取消其中标资格。</w:t>
      </w:r>
    </w:p>
    <w:p w14:paraId="78B4D17D">
      <w:pPr>
        <w:spacing w:line="500" w:lineRule="exact"/>
        <w:ind w:left="-1"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5、项目组成员</w:t>
      </w:r>
    </w:p>
    <w:p w14:paraId="3D9A1E6B">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工程施工项目经理部主要管理人员包括项目负责人、技术负责人、施工员、安全员、质量员。投标时，仅需提供项目经理相关资料，其他现场人员在中标签订施工合同备案时按苏建建管〔2017〕236号文要求配备到位。</w:t>
      </w:r>
    </w:p>
    <w:p w14:paraId="6A00188E">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6、合同工期</w:t>
      </w:r>
    </w:p>
    <w:p w14:paraId="77CB463C">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6.1合同工期自发包人通知开工之日起</w:t>
      </w:r>
      <w:r>
        <w:rPr>
          <w:rFonts w:hint="eastAsia" w:ascii="宋体" w:hAnsi="宋体" w:cs="宋体"/>
          <w:color w:val="000000" w:themeColor="text1"/>
          <w:sz w:val="24"/>
          <w:highlight w:val="none"/>
          <w:lang w:val="en-US" w:eastAsia="zh-CN"/>
          <w14:textFill>
            <w14:solidFill>
              <w14:schemeClr w14:val="tx1"/>
            </w14:solidFill>
          </w14:textFill>
        </w:rPr>
        <w:t>20</w:t>
      </w:r>
      <w:r>
        <w:rPr>
          <w:rFonts w:hint="eastAsia" w:ascii="宋体" w:hAnsi="宋体" w:cs="宋体"/>
          <w:color w:val="000000" w:themeColor="text1"/>
          <w:sz w:val="24"/>
          <w:highlight w:val="none"/>
          <w14:textFill>
            <w14:solidFill>
              <w14:schemeClr w14:val="tx1"/>
            </w14:solidFill>
          </w14:textFill>
        </w:rPr>
        <w:t>日历天</w:t>
      </w:r>
      <w:r>
        <w:rPr>
          <w:rFonts w:hint="eastAsia" w:ascii="宋体" w:hAnsi="宋体" w:cs="宋体"/>
          <w:color w:val="000000" w:themeColor="text1"/>
          <w:sz w:val="24"/>
          <w14:textFill>
            <w14:solidFill>
              <w14:schemeClr w14:val="tx1"/>
            </w14:solidFill>
          </w14:textFill>
        </w:rPr>
        <w:t>内全部通过竣工验收合格并交付使用。</w:t>
      </w:r>
    </w:p>
    <w:p w14:paraId="7351101B">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承包人应按照投标文件承诺的工期确保工程验收，不得以任何借口停工怠工，如因承包人原因延误工期的，承包人应承担违约责任，按每拖延一天向发包人支付2000元的违约金，如连续拖延达一周及以上的，发包人有权单方面解除合同，已完合格工程量按其70%结算。如因发包人原因并且符合工程工期顺延的情况，经监理或发包人签证确认后顺延。</w:t>
      </w:r>
    </w:p>
    <w:p w14:paraId="4E8A414C">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6.3实际开工日期以发包人发出的“开工通知书”为准。</w:t>
      </w:r>
    </w:p>
    <w:p w14:paraId="3AB85232">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7、 质量标准</w:t>
      </w:r>
    </w:p>
    <w:p w14:paraId="1CB67005">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7.1合同质量标准以承包人投标时承诺的质量标准为准。</w:t>
      </w:r>
    </w:p>
    <w:p w14:paraId="04465580">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7.2如达不到合同质量标准，承包人必须无偿整改达标准。否则，承担违约责任。非招标人原因，质量整改期间工期不予顺延。</w:t>
      </w:r>
    </w:p>
    <w:p w14:paraId="68ADC1CF">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14:paraId="2708D376">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14:paraId="627AA771">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14:paraId="5497DDE2">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8、材料设备供应</w:t>
      </w:r>
    </w:p>
    <w:p w14:paraId="2B1DC7C7">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除招标文件中《发包人提供材料和工程设备一览表》中的材料为招标人供应外，其余材料均由中标人组织采购，凡由承包人采购的材料，承包人应按照设计和有关标准及招标文件要求采购，向发包人提供质量保证书、出厂合格证及现场抽样报告等证明材料，对材料质量负责。如不符合质量及相关规定要求或规格有差异的，应禁止使用。承包人采购的材料设备与设计或标准要求不符时，承包人应按发包人要求的时间运出施工场地，重新采购符合要求的产品，并承担由此发生的费用，由此延误的工期不予顺延。若已使用，对工程造成的损失由承包人负责。</w:t>
      </w:r>
    </w:p>
    <w:p w14:paraId="3FFA3BDF">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9、工程付款</w:t>
      </w:r>
    </w:p>
    <w:p w14:paraId="47755C8D">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9.1工程款指合同价（即中标价）扣除暂列金额后的工程价款。具体付款幅度如下：</w:t>
      </w:r>
    </w:p>
    <w:p w14:paraId="5B025A45">
      <w:pPr>
        <w:spacing w:line="500" w:lineRule="exact"/>
        <w:ind w:left="-1"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工程结束全部验收合格，审计结束后付至审计总价的90%，余款在</w:t>
      </w:r>
      <w:r>
        <w:rPr>
          <w:rFonts w:hint="eastAsia" w:ascii="宋体" w:hAnsi="宋体" w:cs="宋体"/>
          <w:color w:val="000000" w:themeColor="text1"/>
          <w:sz w:val="24"/>
          <w:highlight w:val="none"/>
          <w:lang w:val="en-US" w:eastAsia="zh-CN"/>
          <w14:textFill>
            <w14:solidFill>
              <w14:schemeClr w14:val="tx1"/>
            </w14:solidFill>
          </w14:textFill>
        </w:rPr>
        <w:t>两</w:t>
      </w:r>
      <w:r>
        <w:rPr>
          <w:rFonts w:hint="eastAsia" w:ascii="宋体" w:hAnsi="宋体" w:eastAsia="宋体" w:cs="宋体"/>
          <w:color w:val="000000" w:themeColor="text1"/>
          <w:sz w:val="24"/>
          <w:highlight w:val="none"/>
          <w:lang w:val="en-US" w:eastAsia="zh-CN"/>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质保期满且无质量问题后付清</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承包人须出具与其营业执照名称相一致的正规发票。</w:t>
      </w:r>
    </w:p>
    <w:p w14:paraId="5564B0F8">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10、合同定价方式与工程结算</w:t>
      </w:r>
    </w:p>
    <w:p w14:paraId="73248B8E">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 本项目采用固定全费用单价合同，合同实施过程中风险范围内中标全费用单价不作调整。</w:t>
      </w:r>
    </w:p>
    <w:p w14:paraId="08A0A560">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10.2 结算价=中标全费用综合单价×经审计的招标范围内经验收合格的实际工作量。</w:t>
      </w:r>
    </w:p>
    <w:p w14:paraId="651ABA06">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论招标时图纸、工程量清单中项目特征描述、招标文件中规定的技术要求是否准确，承包人的全费用综合单价报价应为完成施工图纸、发包人要求和工程量清单的全部内容，若无相关设计变更，中标的全费用综合单价不予调整，工程量按实际完成工程量结算。最终以审计部门审查确认后的工程竣工结算价为准。</w:t>
      </w:r>
    </w:p>
    <w:p w14:paraId="4DE130E4">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本工程施工过程中遇到的地方矛盾及由此发生的费用由承包人自行负责。</w:t>
      </w:r>
    </w:p>
    <w:p w14:paraId="1D839432">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工程所</w:t>
      </w:r>
      <w:r>
        <w:rPr>
          <w:rFonts w:hint="eastAsia" w:ascii="宋体" w:hAnsi="宋体" w:cs="宋体"/>
          <w:color w:val="000000" w:themeColor="text1"/>
          <w:sz w:val="24"/>
          <w:lang w:val="en-US" w:eastAsia="zh-CN"/>
          <w14:textFill>
            <w14:solidFill>
              <w14:schemeClr w14:val="tx1"/>
            </w14:solidFill>
          </w14:textFill>
        </w:rPr>
        <w:t>需</w:t>
      </w:r>
      <w:r>
        <w:rPr>
          <w:rFonts w:hint="eastAsia" w:ascii="宋体" w:hAnsi="宋体" w:cs="宋体"/>
          <w:color w:val="000000" w:themeColor="text1"/>
          <w:sz w:val="24"/>
          <w14:textFill>
            <w14:solidFill>
              <w14:schemeClr w14:val="tx1"/>
            </w14:solidFill>
          </w14:textFill>
        </w:rPr>
        <w:t>施工、生活、消防用水、用电由</w:t>
      </w:r>
      <w:r>
        <w:rPr>
          <w:rFonts w:hint="eastAsia" w:ascii="宋体" w:hAnsi="宋体" w:cs="宋体"/>
          <w:color w:val="000000" w:themeColor="text1"/>
          <w:sz w:val="24"/>
          <w:lang w:val="en-US" w:eastAsia="zh-CN"/>
          <w14:textFill>
            <w14:solidFill>
              <w14:schemeClr w14:val="tx1"/>
            </w14:solidFill>
          </w14:textFill>
        </w:rPr>
        <w:t>发</w:t>
      </w:r>
      <w:r>
        <w:rPr>
          <w:rFonts w:hint="eastAsia" w:ascii="宋体" w:hAnsi="宋体" w:cs="宋体"/>
          <w:color w:val="000000" w:themeColor="text1"/>
          <w:sz w:val="24"/>
          <w14:textFill>
            <w14:solidFill>
              <w14:schemeClr w14:val="tx1"/>
            </w14:solidFill>
          </w14:textFill>
        </w:rPr>
        <w:t>包人</w:t>
      </w:r>
      <w:r>
        <w:rPr>
          <w:rFonts w:hint="eastAsia" w:ascii="宋体" w:hAnsi="宋体" w:cs="宋体"/>
          <w:color w:val="000000" w:themeColor="text1"/>
          <w:sz w:val="24"/>
          <w:lang w:val="en-US" w:eastAsia="zh-CN"/>
          <w14:textFill>
            <w14:solidFill>
              <w14:schemeClr w14:val="tx1"/>
            </w14:solidFill>
          </w14:textFill>
        </w:rPr>
        <w:t>提供</w:t>
      </w:r>
      <w:r>
        <w:rPr>
          <w:rFonts w:hint="eastAsia" w:ascii="宋体" w:hAnsi="宋体" w:cs="宋体"/>
          <w:color w:val="000000" w:themeColor="text1"/>
          <w:sz w:val="24"/>
          <w14:textFill>
            <w14:solidFill>
              <w14:schemeClr w14:val="tx1"/>
            </w14:solidFill>
          </w14:textFill>
        </w:rPr>
        <w:t>。</w:t>
      </w:r>
    </w:p>
    <w:p w14:paraId="6A0EB1D8">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承包人应在发包人确认的完工日之日起28日内编制并向发包人报送工程结算进行审核。</w:t>
      </w:r>
    </w:p>
    <w:p w14:paraId="3A4F6B95">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14:paraId="2E99D486">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施工期间部分材料市场价格发生变化超出一度幅度时的风险约定：不调整，均由承包人承担。</w:t>
      </w:r>
    </w:p>
    <w:p w14:paraId="08EABF1A">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10.3以上关于合同定价与结算方式条款中未尽事宜由双方依据《建设工程工程量清单计价规范》（GB 50500-2013）以及相关配套文件中关于工程价款调整与结算的内容进行协商，并在合同中具体约定。</w:t>
      </w:r>
    </w:p>
    <w:p w14:paraId="2BCB5D6A">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11、安全文明施工与环境保护</w:t>
      </w:r>
    </w:p>
    <w:p w14:paraId="577F117A">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（1）承包人在施工过程中应严格执行国家、省、市、行业主</w:t>
      </w:r>
      <w:bookmarkStart w:id="6" w:name="OLE_LINK7"/>
      <w:r>
        <w:rPr>
          <w:rFonts w:hint="eastAsia" w:ascii="宋体" w:hAnsi="宋体" w:cs="宋体"/>
          <w:color w:val="000000" w:themeColor="text1"/>
          <w:sz w:val="24"/>
          <w14:textFill>
            <w14:solidFill>
              <w14:schemeClr w14:val="tx1"/>
            </w14:solidFill>
          </w14:textFill>
        </w:rPr>
        <w:t>管</w:t>
      </w:r>
      <w:bookmarkEnd w:id="6"/>
      <w:r>
        <w:rPr>
          <w:rFonts w:hint="eastAsia" w:ascii="宋体" w:hAnsi="宋体" w:cs="宋体"/>
          <w:color w:val="000000" w:themeColor="text1"/>
          <w:sz w:val="24"/>
          <w14:textFill>
            <w14:solidFill>
              <w14:schemeClr w14:val="tx1"/>
            </w14:solidFill>
          </w14:textFill>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14:paraId="01435D31">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（2）施工工作面内所有现场清理、矛盾协调处理等含在合同价内，结算时不予调整。如打扫不到位，发包人有权直接安排第三方打扫，费用从承包人的履约保证金中直接扣付。</w:t>
      </w:r>
    </w:p>
    <w:p w14:paraId="2F9FE1A1">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（3）施工过程中应确保沿线单位、小区居民的临时出行和正常的生产生活</w:t>
      </w:r>
      <w:bookmarkStart w:id="7" w:name="OLE_LINK8"/>
      <w:r>
        <w:rPr>
          <w:rFonts w:hint="eastAsia" w:ascii="宋体" w:hAnsi="宋体" w:cs="宋体"/>
          <w:color w:val="000000" w:themeColor="text1"/>
          <w:sz w:val="24"/>
          <w14:textFill>
            <w14:solidFill>
              <w14:schemeClr w14:val="tx1"/>
            </w14:solidFill>
          </w14:textFill>
        </w:rPr>
        <w:t>秩序</w:t>
      </w:r>
      <w:bookmarkEnd w:id="7"/>
      <w:r>
        <w:rPr>
          <w:rFonts w:hint="eastAsia" w:ascii="宋体" w:hAnsi="宋体" w:cs="宋体"/>
          <w:color w:val="000000" w:themeColor="text1"/>
          <w:sz w:val="24"/>
          <w14:textFill>
            <w14:solidFill>
              <w14:schemeClr w14:val="tx1"/>
            </w14:solidFill>
          </w14:textFill>
        </w:rPr>
        <w:t>，协调处理好相关矛盾，费用由承包人自行负责。</w:t>
      </w:r>
    </w:p>
    <w:p w14:paraId="4933077E">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（4）因施工安全所需设置的各种警示标牌、警示灯、施工现场围护、导行交通、安全防护等措施费用由承包人自行负责。</w:t>
      </w:r>
    </w:p>
    <w:p w14:paraId="2050BDD2">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（5）工程施工过程中遇到的地方矛盾及由此发生的费用由承包人自行负责。</w:t>
      </w:r>
    </w:p>
    <w:p w14:paraId="46242C2A">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（6）施工过程中如因承包人造成周边地上、地下附作物等损坏，均由承包人自行负责赔偿。</w:t>
      </w:r>
    </w:p>
    <w:p w14:paraId="0BDA3AE0">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（7）工程质量、工期、现场安全文明施工等的管理按现行有关规范标准以及发包人为强化项目管理所制定的各项管理制度执行，相关管理规定如有调整应按最新文件执行，费用均由中标人承担。</w:t>
      </w:r>
    </w:p>
    <w:p w14:paraId="191AFEB2">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12、安全施工</w:t>
      </w:r>
    </w:p>
    <w:p w14:paraId="5C39A98D">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12.1此工程必须确保安全，若发生不安全问题，由中标人自行负责处理并承担一切责任。</w:t>
      </w:r>
    </w:p>
    <w:p w14:paraId="1B97E23E">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14:paraId="2D891F1D">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14:paraId="643EF615">
      <w:pPr>
        <w:spacing w:line="500" w:lineRule="exact"/>
        <w:ind w:left="-1"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w:t>
      </w:r>
      <w:r>
        <w:rPr>
          <w:rFonts w:hint="eastAsia" w:ascii="宋体" w:hAnsi="宋体" w:eastAsia="宋体" w:cs="宋体"/>
          <w:color w:val="000000" w:themeColor="text1"/>
          <w:sz w:val="24"/>
          <w14:textFill>
            <w14:solidFill>
              <w14:schemeClr w14:val="tx1"/>
            </w14:solidFill>
          </w14:textFill>
        </w:rPr>
        <w:t>按规定及时上报有关部门并通知发包人，同时按相关规定处理。</w:t>
      </w:r>
    </w:p>
    <w:p w14:paraId="7CFB880B">
      <w:pPr>
        <w:spacing w:line="500" w:lineRule="exact"/>
        <w:ind w:left="-1"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12.5必须严格按照国家、地方颁发的建筑工程规范标准等进行施工，并接受学校现场派驻代表的监督。</w:t>
      </w:r>
    </w:p>
    <w:p w14:paraId="0EF8DED8">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13、缺陷责任和保修责任</w:t>
      </w:r>
    </w:p>
    <w:p w14:paraId="7CC65DF4">
      <w:pPr>
        <w:spacing w:line="500" w:lineRule="exact"/>
        <w:ind w:left="-1"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13.1缺陷责任</w:t>
      </w:r>
    </w:p>
    <w:p w14:paraId="7DDF4E93">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13.1.1本项目缺陷责任期为</w:t>
      </w:r>
      <w:r>
        <w:rPr>
          <w:rFonts w:hint="eastAsia" w:ascii="宋体" w:hAnsi="宋体" w:cs="宋体"/>
          <w:color w:val="000000" w:themeColor="text1"/>
          <w:sz w:val="24"/>
          <w:u w:val="single"/>
          <w14:textFill>
            <w14:solidFill>
              <w14:schemeClr w14:val="tx1"/>
            </w14:solidFill>
          </w14:textFill>
        </w:rPr>
        <w:t>24</w:t>
      </w:r>
      <w:r>
        <w:rPr>
          <w:rFonts w:hint="eastAsia" w:ascii="宋体" w:hAnsi="宋体" w:cs="宋体"/>
          <w:color w:val="000000" w:themeColor="text1"/>
          <w:sz w:val="24"/>
          <w14:textFill>
            <w14:solidFill>
              <w14:schemeClr w14:val="tx1"/>
            </w14:solidFill>
          </w14:textFill>
        </w:rPr>
        <w:t>个月。</w:t>
      </w:r>
    </w:p>
    <w:p w14:paraId="76D7273D">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13.1.2中标人应在缺陷责任期内对已交付使用的工程承担缺陷责任。 </w:t>
      </w:r>
    </w:p>
    <w:p w14:paraId="2C354FB7">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13.1.3缺陷责任期内，招标人对已接收使用的工程负责日常维护工作。</w:t>
      </w:r>
    </w:p>
    <w:p w14:paraId="2E01024A">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13.1.4由于中标人原因造成某项缺陷或损坏使工程或工程设备不能按原定目标使用而需要再次检查、检验和修复的，招标人有权要求中标人相应延长缺陷责任期，但缺陷责任期最长不超过2年。</w:t>
      </w:r>
    </w:p>
    <w:p w14:paraId="681D1486">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13.1.5其他关于缺陷责任的有关约定由合同双方根据现行有关规定执行。</w:t>
      </w:r>
    </w:p>
    <w:p w14:paraId="58F103B0">
      <w:pPr>
        <w:spacing w:line="500" w:lineRule="exact"/>
        <w:ind w:left="478" w:leftChars="228"/>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13.2保修责任</w:t>
      </w:r>
    </w:p>
    <w:p w14:paraId="41DC9240">
      <w:pPr>
        <w:spacing w:line="500" w:lineRule="exact"/>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13.2.1本项目质量保修范围、期限和责任由合同双方在合同条款中具体约定。</w:t>
      </w:r>
    </w:p>
    <w:p w14:paraId="4A824258">
      <w:pPr>
        <w:spacing w:line="500" w:lineRule="exact"/>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13.2.2合同双方质量保修范围、期限和责任的约定应不低于《建设工程质量管理条例》（国务院令第279号）和《房屋建筑工程质量保修办法》（建设部令第80号）中规定的最低标准和要求。</w:t>
      </w:r>
    </w:p>
    <w:p w14:paraId="73F1F972">
      <w:pPr>
        <w:spacing w:line="52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13.2.3</w:t>
      </w:r>
      <w:r>
        <w:rPr>
          <w:rFonts w:hint="eastAsia" w:ascii="宋体" w:hAnsi="宋体" w:cs="宋体"/>
          <w:color w:val="000000" w:themeColor="text1"/>
          <w:sz w:val="24"/>
          <w:lang w:val="en-US" w:eastAsia="zh-CN"/>
          <w14:textFill>
            <w14:solidFill>
              <w14:schemeClr w14:val="tx1"/>
            </w14:solidFill>
          </w14:textFill>
        </w:rPr>
        <w:t>本项目</w:t>
      </w:r>
      <w:r>
        <w:rPr>
          <w:rFonts w:hint="eastAsia" w:ascii="宋体" w:hAnsi="宋体" w:cs="宋体"/>
          <w:color w:val="000000" w:themeColor="text1"/>
          <w:sz w:val="24"/>
          <w:highlight w:val="none"/>
          <w:lang w:eastAsia="zh-CN"/>
          <w14:textFill>
            <w14:solidFill>
              <w14:schemeClr w14:val="tx1"/>
            </w14:solidFill>
          </w14:textFill>
        </w:rPr>
        <w:t>质保期</w:t>
      </w:r>
      <w:r>
        <w:rPr>
          <w:rFonts w:hint="eastAsia" w:ascii="宋体" w:hAnsi="宋体" w:cs="宋体"/>
          <w:color w:val="000000" w:themeColor="text1"/>
          <w:sz w:val="24"/>
          <w:highlight w:val="none"/>
          <w:u w:val="single"/>
          <w:lang w:val="en-US" w:eastAsia="zh-CN"/>
          <w14:textFill>
            <w14:solidFill>
              <w14:schemeClr w14:val="tx1"/>
            </w14:solidFill>
          </w14:textFill>
        </w:rPr>
        <w:t xml:space="preserve"> 2 年</w:t>
      </w:r>
      <w:r>
        <w:rPr>
          <w:rFonts w:hint="eastAsia" w:ascii="宋体" w:hAnsi="宋体" w:cs="宋体"/>
          <w:color w:val="000000" w:themeColor="text1"/>
          <w:sz w:val="24"/>
          <w:u w:val="none"/>
          <w:lang w:val="en-US" w:eastAsia="zh-CN"/>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自项目验收合格之日起计算。质保应包括所有更换的</w:t>
      </w:r>
      <w:r>
        <w:rPr>
          <w:rFonts w:hint="eastAsia" w:ascii="宋体" w:hAnsi="宋体" w:cs="宋体"/>
          <w:color w:val="000000" w:themeColor="text1"/>
          <w:sz w:val="24"/>
          <w:lang w:val="en-US" w:eastAsia="zh-CN"/>
          <w14:textFill>
            <w14:solidFill>
              <w14:schemeClr w14:val="tx1"/>
            </w14:solidFill>
          </w14:textFill>
        </w:rPr>
        <w:t>木方、木材及其零配件、涂料</w:t>
      </w:r>
      <w:r>
        <w:rPr>
          <w:rFonts w:hint="eastAsia" w:ascii="宋体" w:hAnsi="宋体" w:cs="宋体"/>
          <w:color w:val="000000" w:themeColor="text1"/>
          <w:sz w:val="24"/>
          <w:lang w:eastAsia="zh-CN"/>
          <w14:textFill>
            <w14:solidFill>
              <w14:schemeClr w14:val="tx1"/>
            </w14:solidFill>
          </w14:textFill>
        </w:rPr>
        <w:t>等项目。</w:t>
      </w:r>
      <w:r>
        <w:rPr>
          <w:rFonts w:hint="eastAsia" w:ascii="宋体" w:hAnsi="宋体" w:cs="宋体"/>
          <w:color w:val="000000" w:themeColor="text1"/>
          <w:sz w:val="24"/>
          <w:lang w:val="en-US" w:eastAsia="zh-CN"/>
          <w14:textFill>
            <w14:solidFill>
              <w14:schemeClr w14:val="tx1"/>
            </w14:solidFill>
          </w14:textFill>
        </w:rPr>
        <w:t>承包人</w:t>
      </w:r>
      <w:r>
        <w:rPr>
          <w:rFonts w:hint="eastAsia" w:ascii="宋体" w:hAnsi="宋体" w:cs="宋体"/>
          <w:color w:val="000000" w:themeColor="text1"/>
          <w:sz w:val="24"/>
          <w:lang w:eastAsia="zh-CN"/>
          <w14:textFill>
            <w14:solidFill>
              <w14:schemeClr w14:val="tx1"/>
            </w14:solidFill>
          </w14:textFill>
        </w:rPr>
        <w:t>应在接到维修请求后的24小时内提供响应，并在48小时内派遣技术人员到达现场进行维修服务。对于在质保期内发现的任何缺陷或故障，</w:t>
      </w:r>
      <w:r>
        <w:rPr>
          <w:rFonts w:hint="eastAsia" w:ascii="宋体" w:hAnsi="宋体" w:cs="宋体"/>
          <w:color w:val="000000" w:themeColor="text1"/>
          <w:sz w:val="24"/>
          <w:lang w:val="en-US" w:eastAsia="zh-CN"/>
          <w14:textFill>
            <w14:solidFill>
              <w14:schemeClr w14:val="tx1"/>
            </w14:solidFill>
          </w14:textFill>
        </w:rPr>
        <w:t>承包人</w:t>
      </w:r>
      <w:r>
        <w:rPr>
          <w:rFonts w:hint="eastAsia" w:ascii="宋体" w:hAnsi="宋体" w:cs="宋体"/>
          <w:color w:val="000000" w:themeColor="text1"/>
          <w:sz w:val="24"/>
          <w:lang w:eastAsia="zh-CN"/>
          <w14:textFill>
            <w14:solidFill>
              <w14:schemeClr w14:val="tx1"/>
            </w14:solidFill>
          </w14:textFill>
        </w:rPr>
        <w:t>应免费提供更换或修复服务。</w:t>
      </w:r>
    </w:p>
    <w:p w14:paraId="4BD62965">
      <w:pPr>
        <w:spacing w:line="52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13.2.4承包人</w:t>
      </w:r>
      <w:r>
        <w:rPr>
          <w:rFonts w:hint="eastAsia" w:ascii="宋体" w:hAnsi="宋体" w:cs="宋体"/>
          <w:color w:val="000000" w:themeColor="text1"/>
          <w:sz w:val="24"/>
          <w:lang w:eastAsia="zh-CN"/>
          <w14:textFill>
            <w14:solidFill>
              <w14:schemeClr w14:val="tx1"/>
            </w14:solidFill>
          </w14:textFill>
        </w:rPr>
        <w:t>应保证在质保期内及之后的1年内，以不高于市场平均价格提供所需的备件。</w:t>
      </w:r>
    </w:p>
    <w:p w14:paraId="08BE983A">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13.2.5承包人</w:t>
      </w:r>
      <w:r>
        <w:rPr>
          <w:rFonts w:hint="eastAsia" w:ascii="宋体" w:hAnsi="宋体" w:cs="宋体"/>
          <w:color w:val="000000" w:themeColor="text1"/>
          <w:sz w:val="24"/>
          <w:lang w:eastAsia="zh-CN"/>
          <w14:textFill>
            <w14:solidFill>
              <w14:schemeClr w14:val="tx1"/>
            </w14:solidFill>
          </w14:textFill>
        </w:rPr>
        <w:t>应在项目交付时提供详细的质保证明文件，包括质保期限、范围、服务承诺等</w:t>
      </w:r>
      <w:r>
        <w:rPr>
          <w:rFonts w:hint="eastAsia" w:ascii="宋体" w:hAnsi="宋体" w:cs="宋体"/>
          <w:color w:val="000000" w:themeColor="text1"/>
          <w:sz w:val="24"/>
          <w14:textFill>
            <w14:solidFill>
              <w14:schemeClr w14:val="tx1"/>
            </w14:solidFill>
          </w14:textFill>
        </w:rPr>
        <w:t>。</w:t>
      </w:r>
    </w:p>
    <w:p w14:paraId="00A88A8F">
      <w:pPr>
        <w:spacing w:line="50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14、工程分包</w:t>
      </w:r>
    </w:p>
    <w:p w14:paraId="600C88AF">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14:paraId="590E1DA9">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14.2中标人不得将工程进行转包和违法分包，若发现中标人擅自进行转包和违法分包，招标人有权解除合同，并要求中标人支付违约金。</w:t>
      </w:r>
    </w:p>
    <w:p w14:paraId="27EA284D">
      <w:pPr>
        <w:spacing w:line="52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15、工程审计</w:t>
      </w:r>
    </w:p>
    <w:p w14:paraId="354EE54D">
      <w:p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工程结算报审约定：</w:t>
      </w:r>
    </w:p>
    <w:p w14:paraId="2F7B9750">
      <w:pPr>
        <w:numPr>
          <w:ilvl w:val="0"/>
          <w:numId w:val="1"/>
        </w:num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单项工程核减率超过10%的，其审计费用全部由投标人承担，并由招标人从投标人工程款中扣除（下同）；</w:t>
      </w:r>
    </w:p>
    <w:p w14:paraId="0508A1C7">
      <w:pPr>
        <w:numPr>
          <w:ilvl w:val="0"/>
          <w:numId w:val="1"/>
        </w:num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单项工程核减率在8%-10%（含10%）之间的，其审计费用由招标人承担20%，投标人承担80%；</w:t>
      </w:r>
    </w:p>
    <w:p w14:paraId="4402B116">
      <w:pPr>
        <w:numPr>
          <w:ilvl w:val="0"/>
          <w:numId w:val="1"/>
        </w:numPr>
        <w:spacing w:line="5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单项工程核减率在5%-8%（含8%）之间的，其审计费用由投标人承担20%，招标人承担80%；</w:t>
      </w:r>
    </w:p>
    <w:p w14:paraId="7B50E212">
      <w:pPr>
        <w:spacing w:line="520" w:lineRule="exact"/>
        <w:ind w:left="420" w:left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（四）单项工程核减率在5%及其以下的，其审计费用由招标人承担。</w:t>
      </w:r>
    </w:p>
    <w:p w14:paraId="44BCE537">
      <w:pPr>
        <w:spacing w:line="50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16、违约责任</w:t>
      </w:r>
    </w:p>
    <w:p w14:paraId="4054CAC5">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合同生效后，招标人或中标人如有违约，应按《中华人民共和国</w:t>
      </w:r>
      <w:r>
        <w:rPr>
          <w:rFonts w:hint="eastAsia" w:ascii="宋体" w:hAnsi="宋体" w:cs="宋体"/>
          <w:color w:val="000000" w:themeColor="text1"/>
          <w:sz w:val="24"/>
          <w:lang w:val="en-US" w:eastAsia="zh-CN"/>
          <w14:textFill>
            <w14:solidFill>
              <w14:schemeClr w14:val="tx1"/>
            </w14:solidFill>
          </w14:textFill>
        </w:rPr>
        <w:t>民法典</w:t>
      </w:r>
      <w:r>
        <w:rPr>
          <w:rFonts w:hint="eastAsia" w:ascii="宋体" w:hAnsi="宋体" w:cs="宋体"/>
          <w:color w:val="000000" w:themeColor="text1"/>
          <w:sz w:val="24"/>
          <w14:textFill>
            <w14:solidFill>
              <w14:schemeClr w14:val="tx1"/>
            </w14:solidFill>
          </w14:textFill>
        </w:rPr>
        <w:t>》承担其违约责任，赔偿因其违约给对方造成的损失。赔偿损失的计算方法或者约定支付违约金的数额和计算方法由合同双方在合同中具体约定。</w:t>
      </w:r>
    </w:p>
    <w:p w14:paraId="1130CA7C">
      <w:pPr>
        <w:spacing w:line="50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17、其他</w:t>
      </w:r>
    </w:p>
    <w:p w14:paraId="31450FB1">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14:paraId="6669FCF1">
      <w:pPr>
        <w:spacing w:line="500" w:lineRule="exact"/>
        <w:ind w:left="-1"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 本项目</w:t>
      </w:r>
      <w:r>
        <w:rPr>
          <w:rFonts w:hint="eastAsia" w:ascii="宋体" w:hAnsi="宋体" w:cs="宋体"/>
          <w:b/>
          <w:bCs/>
          <w:color w:val="000000" w:themeColor="text1"/>
          <w:sz w:val="24"/>
          <w14:textFill>
            <w14:solidFill>
              <w14:schemeClr w14:val="tx1"/>
            </w14:solidFill>
          </w14:textFill>
        </w:rPr>
        <w:t>施工过程中遇到的一切地方矛盾及由此发生的费用与招标人无涉，均由中标人自行负责，并在投标报价中考虑。</w:t>
      </w:r>
    </w:p>
    <w:p w14:paraId="22626660">
      <w:pPr>
        <w:spacing w:line="500" w:lineRule="exact"/>
        <w:ind w:left="-1"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17.3本项目合同实施期间所有消防、市容保洁、环境噪声、成品保护、文明施工均由中标人负责，并自行承担由此发生的相关费用。</w:t>
      </w:r>
    </w:p>
    <w:p w14:paraId="78E53B46">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17.4中标人进场后自觉服从招标人对工地安全、标准化现场、总平面布置的管理，如出现不服从、不配合等现象，招标人有权按违</w:t>
      </w:r>
      <w:r>
        <w:rPr>
          <w:rFonts w:hint="eastAsia" w:ascii="宋体" w:hAnsi="宋体" w:cs="宋体"/>
          <w:color w:val="000000" w:themeColor="text1"/>
          <w:sz w:val="24"/>
          <w14:textFill>
            <w14:solidFill>
              <w14:schemeClr w14:val="tx1"/>
            </w14:solidFill>
          </w14:textFill>
        </w:rPr>
        <w:t>约处理。</w:t>
      </w:r>
    </w:p>
    <w:p w14:paraId="25094C03">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17.5本项目价款一律通过银行非现金结算，实行专款专用。</w:t>
      </w:r>
    </w:p>
    <w:p w14:paraId="08112424">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17.6 本项目发包人要求承包人严格按照盐建建筑〔2016〕35号《关于进一步做好建筑施工拖欠农民工工资治理工作的通知》文件要求执行。</w:t>
      </w:r>
    </w:p>
    <w:p w14:paraId="619F2EE1">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17.7本合同条款未尽事宜由双方按照《建设工程施工合同》（GF-2017-0201）示范文本的有关内容在合同中具体约定。</w:t>
      </w:r>
    </w:p>
    <w:p w14:paraId="0B2F801A">
      <w:pPr>
        <w:widowControl/>
        <w:jc w:val="left"/>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br w:type="page"/>
      </w:r>
    </w:p>
    <w:p w14:paraId="70008D5D">
      <w:pPr>
        <w:spacing w:line="50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第七部分  评标定标办法</w:t>
      </w:r>
    </w:p>
    <w:p w14:paraId="039C9B18">
      <w:pPr>
        <w:spacing w:line="440" w:lineRule="exact"/>
        <w:ind w:firstLine="880" w:firstLineChars="200"/>
        <w:jc w:val="center"/>
        <w:rPr>
          <w:rFonts w:ascii="宋体" w:hAnsi="宋体" w:cs="宋体"/>
          <w:b/>
          <w:color w:val="000000" w:themeColor="text1"/>
          <w:sz w:val="44"/>
          <w:szCs w:val="44"/>
          <w14:textFill>
            <w14:solidFill>
              <w14:schemeClr w14:val="tx1"/>
            </w14:solidFill>
          </w14:textFill>
        </w:rPr>
      </w:pPr>
    </w:p>
    <w:p w14:paraId="793F45EA">
      <w:pPr>
        <w:spacing w:line="500" w:lineRule="exact"/>
        <w:ind w:left="-1"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一、评标、定标办法</w:t>
      </w:r>
    </w:p>
    <w:p w14:paraId="5D33FCB2">
      <w:pPr>
        <w:spacing w:line="50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本工程招标评标办法采用“</w:t>
      </w:r>
      <w:r>
        <w:rPr>
          <w:rFonts w:hint="eastAsia" w:ascii="宋体" w:hAnsi="宋体" w:cs="宋体"/>
          <w:color w:val="000000" w:themeColor="text1"/>
          <w:sz w:val="24"/>
          <w:lang w:val="en-US" w:eastAsia="zh-CN"/>
          <w14:textFill>
            <w14:solidFill>
              <w14:schemeClr w14:val="tx1"/>
            </w14:solidFill>
          </w14:textFill>
        </w:rPr>
        <w:t>合理低价法</w:t>
      </w:r>
      <w:r>
        <w:rPr>
          <w:rFonts w:hint="eastAsia" w:ascii="宋体" w:hAnsi="宋体" w:cs="宋体"/>
          <w:color w:val="000000" w:themeColor="text1"/>
          <w:sz w:val="24"/>
          <w14:textFill>
            <w14:solidFill>
              <w14:schemeClr w14:val="tx1"/>
            </w14:solidFill>
          </w14:textFill>
        </w:rPr>
        <w:t>”，由招标人依法组建的评标委员会对投标文件进行评审（投标人不需要编制施工组织设计，中标后，中标人应按有关规定编制施工组织设计），推荐有排序的1</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名中标侯选人。招标人根据评标委员会提供的书面评标报告，依法确定中标人。</w:t>
      </w:r>
    </w:p>
    <w:p w14:paraId="0F0D5E7F">
      <w:pPr>
        <w:spacing w:line="500" w:lineRule="exact"/>
        <w:ind w:left="-1"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二、评标标准和程序</w:t>
      </w:r>
    </w:p>
    <w:p w14:paraId="60B99085">
      <w:pPr>
        <w:spacing w:line="500" w:lineRule="exact"/>
        <w:ind w:left="-1" w:firstLine="480"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（一）开标</w:t>
      </w:r>
    </w:p>
    <w:p w14:paraId="19232DE2">
      <w:pPr>
        <w:pStyle w:val="2"/>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（二）招标人评标准备</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清标</w:t>
      </w:r>
      <w:r>
        <w:rPr>
          <w:rFonts w:hint="eastAsia" w:ascii="宋体" w:hAnsi="宋体" w:eastAsia="宋体" w:cs="宋体"/>
          <w:b/>
          <w:color w:val="000000" w:themeColor="text1"/>
          <w:sz w:val="24"/>
          <w:szCs w:val="24"/>
          <w:lang w:eastAsia="zh-CN"/>
          <w14:textFill>
            <w14:solidFill>
              <w14:schemeClr w14:val="tx1"/>
            </w14:solidFill>
          </w14:textFill>
        </w:rPr>
        <w:t>）</w:t>
      </w:r>
    </w:p>
    <w:p w14:paraId="42FBEEE1">
      <w:pPr>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评标前由招标人对照省政府第 120 号令要求，进行评标准备工作，并核实投标人和项目负责人的资质和资格、经历和业绩、保证金缴纳情况、在建工程和信用状况等方面的情况。发现投标人有可能低于成本或者影响履约的异常低价投标，通知投标人进行书面澄清说明，提请评标委员会分析研判认定是否作无效标处理。由于投标单位授权委托人联系不上或在规定时间内未能作出书面澄清说明的，被</w:t>
      </w:r>
      <w:r>
        <w:rPr>
          <w:rFonts w:hint="eastAsia" w:ascii="宋体" w:hAnsi="宋体" w:eastAsia="宋体" w:cs="宋体"/>
          <w:b/>
          <w:bCs/>
          <w:color w:val="000000" w:themeColor="text1"/>
          <w:sz w:val="24"/>
          <w:szCs w:val="24"/>
          <w:lang w:val="en-US" w:eastAsia="zh-CN"/>
          <w14:textFill>
            <w14:solidFill>
              <w14:schemeClr w14:val="tx1"/>
            </w14:solidFill>
          </w14:textFill>
        </w:rPr>
        <w:t>否决投标</w:t>
      </w:r>
      <w:r>
        <w:rPr>
          <w:rFonts w:hint="eastAsia" w:ascii="宋体" w:hAnsi="宋体" w:eastAsia="宋体" w:cs="宋体"/>
          <w:color w:val="000000" w:themeColor="text1"/>
          <w:sz w:val="24"/>
          <w:szCs w:val="24"/>
          <w14:textFill>
            <w14:solidFill>
              <w14:schemeClr w14:val="tx1"/>
            </w14:solidFill>
          </w14:textFill>
        </w:rPr>
        <w:t>责任自负。</w:t>
      </w:r>
    </w:p>
    <w:p w14:paraId="708132CD">
      <w:pPr>
        <w:spacing w:line="480" w:lineRule="exact"/>
        <w:ind w:firstLine="480" w:firstLineChars="200"/>
        <w:rPr>
          <w:rFonts w:hint="eastAsia" w:ascii="宋体" w:hAnsi="宋体" w:eastAsia="宋体" w:cs="宋体"/>
          <w:b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lang w:val="en-US" w:eastAsia="zh-CN" w:bidi="ar-SA"/>
          <w14:textFill>
            <w14:solidFill>
              <w14:schemeClr w14:val="tx1"/>
            </w14:solidFill>
          </w14:textFill>
        </w:rPr>
        <w:t>招标人在评标准备过程中发现的问题应主动提请评标委员会作无效标处理，在招标人审查意见表生成后，评标准备工作一旦结束，评标准备结果不因后续资格审查</w:t>
      </w:r>
      <w:r>
        <w:rPr>
          <w:rFonts w:hint="eastAsia" w:ascii="宋体" w:hAnsi="宋体" w:eastAsia="宋体" w:cs="宋体"/>
          <w:b/>
          <w:bCs/>
          <w:color w:val="000000" w:themeColor="text1"/>
          <w:sz w:val="24"/>
          <w:szCs w:val="24"/>
          <w:lang w:val="en-US" w:eastAsia="zh-CN"/>
          <w14:textFill>
            <w14:solidFill>
              <w14:schemeClr w14:val="tx1"/>
            </w14:solidFill>
          </w14:textFill>
        </w:rPr>
        <w:t>否决投标</w:t>
      </w:r>
      <w:r>
        <w:rPr>
          <w:rFonts w:hint="eastAsia" w:ascii="宋体" w:hAnsi="宋体" w:eastAsia="宋体" w:cs="宋体"/>
          <w:b w:val="0"/>
          <w:color w:val="000000" w:themeColor="text1"/>
          <w:kern w:val="2"/>
          <w:sz w:val="24"/>
          <w:szCs w:val="24"/>
          <w:lang w:val="en-US" w:eastAsia="zh-CN" w:bidi="ar-SA"/>
          <w14:textFill>
            <w14:solidFill>
              <w14:schemeClr w14:val="tx1"/>
            </w14:solidFill>
          </w14:textFill>
        </w:rPr>
        <w:t>、招投标当事人质疑、投诉、复议以及其它任何情形而改变。</w:t>
      </w:r>
    </w:p>
    <w:p w14:paraId="30513C97">
      <w:pPr>
        <w:spacing w:line="460" w:lineRule="exact"/>
        <w:ind w:left="420" w:leftChars="200"/>
        <w:jc w:val="left"/>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（三）评标入围</w:t>
      </w:r>
    </w:p>
    <w:p w14:paraId="21A1BD64">
      <w:pPr>
        <w:bidi w:val="0"/>
        <w:ind w:firstLine="480" w:firstLineChars="200"/>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投标文件存在以下情况之一的，以及开</w:t>
      </w:r>
      <w:r>
        <w:rPr>
          <w:rFonts w:hint="eastAsia" w:ascii="宋体" w:hAnsi="宋体" w:eastAsia="宋体" w:cs="宋体"/>
          <w:b/>
          <w:color w:val="000000" w:themeColor="text1"/>
          <w:kern w:val="0"/>
          <w:sz w:val="24"/>
          <w:szCs w:val="24"/>
          <w:lang w:val="en-US" w:eastAsia="zh-CN"/>
          <w14:textFill>
            <w14:solidFill>
              <w14:schemeClr w14:val="tx1"/>
            </w14:solidFill>
          </w14:textFill>
        </w:rPr>
        <w:t>标</w:t>
      </w:r>
      <w:r>
        <w:rPr>
          <w:rFonts w:hint="eastAsia" w:ascii="宋体" w:hAnsi="宋体" w:eastAsia="宋体" w:cs="宋体"/>
          <w:b/>
          <w:color w:val="000000" w:themeColor="text1"/>
          <w:kern w:val="0"/>
          <w:sz w:val="24"/>
          <w:szCs w:val="24"/>
          <w14:textFill>
            <w14:solidFill>
              <w14:schemeClr w14:val="tx1"/>
            </w14:solidFill>
          </w14:textFill>
        </w:rPr>
        <w:t>、招标人评标准备、清标过程发现的其他</w:t>
      </w:r>
      <w:r>
        <w:rPr>
          <w:rFonts w:hint="eastAsia" w:ascii="宋体" w:hAnsi="宋体" w:eastAsia="宋体" w:cs="宋体"/>
          <w:b/>
          <w:bCs/>
          <w:color w:val="000000" w:themeColor="text1"/>
          <w:sz w:val="24"/>
          <w:szCs w:val="24"/>
          <w:lang w:val="en-US" w:eastAsia="zh-CN"/>
          <w14:textFill>
            <w14:solidFill>
              <w14:schemeClr w14:val="tx1"/>
            </w14:solidFill>
          </w14:textFill>
        </w:rPr>
        <w:t>否决投标</w:t>
      </w:r>
      <w:r>
        <w:rPr>
          <w:rFonts w:hint="eastAsia" w:ascii="宋体" w:hAnsi="宋体" w:eastAsia="宋体" w:cs="宋体"/>
          <w:b/>
          <w:color w:val="000000" w:themeColor="text1"/>
          <w:kern w:val="0"/>
          <w:sz w:val="24"/>
          <w:szCs w:val="24"/>
          <w14:textFill>
            <w14:solidFill>
              <w14:schemeClr w14:val="tx1"/>
            </w14:solidFill>
          </w14:textFill>
        </w:rPr>
        <w:t>情形，不再进行后续评标：</w:t>
      </w:r>
    </w:p>
    <w:p w14:paraId="13EB9EAA">
      <w:pPr>
        <w:spacing w:line="46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（1）至投标截止时间止，未足额递交投标保证金；</w:t>
      </w:r>
    </w:p>
    <w:p w14:paraId="387A729C">
      <w:pPr>
        <w:spacing w:line="46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（2）投标函中载明的招标项目完成期限超过招标文件规定的期限；</w:t>
      </w:r>
    </w:p>
    <w:p w14:paraId="673A1215">
      <w:pPr>
        <w:spacing w:line="46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（3）投标函中载明的投标质量标准未响应招标文件实质性要求和条件；</w:t>
      </w:r>
    </w:p>
    <w:p w14:paraId="4F8E6D86">
      <w:pPr>
        <w:spacing w:line="46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（4）投标函中载明的投标报价高于招标人最高投标限价的。</w:t>
      </w:r>
    </w:p>
    <w:p w14:paraId="5222DE09">
      <w:pPr>
        <w:spacing w:line="46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（5）招标文件约定的出席开标会议的人员未到场的；</w:t>
      </w:r>
    </w:p>
    <w:p w14:paraId="7418D892">
      <w:pPr>
        <w:spacing w:line="460" w:lineRule="exact"/>
        <w:ind w:left="420" w:leftChars="200"/>
        <w:jc w:val="left"/>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评标入围方法和数量</w:t>
      </w:r>
    </w:p>
    <w:p w14:paraId="4CC3C9D2">
      <w:pPr>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1.评标入围方法：</w:t>
      </w:r>
    </w:p>
    <w:p w14:paraId="5D1C4470">
      <w:pPr>
        <w:spacing w:line="400" w:lineRule="exact"/>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当满足评标入围条件投标文件＜20家时，采用</w:t>
      </w:r>
      <w:r>
        <w:rPr>
          <w:rFonts w:hint="eastAsia" w:ascii="宋体" w:hAnsi="宋体" w:eastAsia="宋体" w:cs="宋体"/>
          <w:color w:val="000000" w:themeColor="text1"/>
          <w:sz w:val="24"/>
          <w:szCs w:val="24"/>
          <w:highlight w:val="white"/>
          <w14:textFill>
            <w14:solidFill>
              <w14:schemeClr w14:val="tx1"/>
            </w14:solidFill>
          </w14:textFill>
        </w:rPr>
        <w:t>全部入围</w:t>
      </w:r>
      <w:r>
        <w:rPr>
          <w:rFonts w:hint="eastAsia" w:ascii="宋体" w:hAnsi="宋体" w:eastAsia="宋体" w:cs="宋体"/>
          <w:color w:val="000000" w:themeColor="text1"/>
          <w:sz w:val="24"/>
          <w:szCs w:val="24"/>
          <w14:textFill>
            <w14:solidFill>
              <w14:schemeClr w14:val="tx1"/>
            </w14:solidFill>
          </w14:textFill>
        </w:rPr>
        <w:t>；</w:t>
      </w:r>
    </w:p>
    <w:p w14:paraId="22D4E08D">
      <w:pPr>
        <w:spacing w:line="400" w:lineRule="exact"/>
        <w:ind w:firstLine="720" w:firstLineChars="3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当满足评标入围条件投标文件≥20家时，采用以下评标入围方法</w:t>
      </w:r>
      <w:r>
        <w:rPr>
          <w:rFonts w:hint="eastAsia" w:ascii="宋体" w:hAnsi="宋体" w:eastAsia="宋体" w:cs="宋体"/>
          <w:color w:val="000000" w:themeColor="text1"/>
          <w:sz w:val="24"/>
          <w:szCs w:val="24"/>
          <w:lang w:eastAsia="zh-CN"/>
          <w14:textFill>
            <w14:solidFill>
              <w14:schemeClr w14:val="tx1"/>
            </w14:solidFill>
          </w14:textFill>
        </w:rPr>
        <w:t>：</w:t>
      </w:r>
    </w:p>
    <w:p w14:paraId="4B5CE9BE">
      <w:pPr>
        <w:spacing w:line="400" w:lineRule="exact"/>
        <w:ind w:firstLine="960" w:firstLineChars="4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直接确定：方法一</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全部入围。</w:t>
      </w:r>
    </w:p>
    <w:p w14:paraId="7FC5FD7C">
      <w:pPr>
        <w:spacing w:line="400" w:lineRule="exact"/>
        <w:ind w:firstLine="960" w:firstLineChars="4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进入评标入围环节的投标人全部进入后续评标程序</w:t>
      </w:r>
      <w:r>
        <w:rPr>
          <w:rFonts w:hint="eastAsia" w:ascii="宋体" w:hAnsi="宋体" w:eastAsia="宋体" w:cs="宋体"/>
          <w:color w:val="000000" w:themeColor="text1"/>
          <w:sz w:val="24"/>
          <w:szCs w:val="24"/>
          <w:lang w:eastAsia="zh-CN"/>
          <w14:textFill>
            <w14:solidFill>
              <w14:schemeClr w14:val="tx1"/>
            </w14:solidFill>
          </w14:textFill>
        </w:rPr>
        <w:t>。</w:t>
      </w:r>
    </w:p>
    <w:p w14:paraId="3A86E868">
      <w:pPr>
        <w:numPr>
          <w:ilvl w:val="0"/>
          <w:numId w:val="1"/>
        </w:numPr>
        <w:spacing w:line="500" w:lineRule="exact"/>
        <w:ind w:left="0" w:leftChars="0" w:firstLine="480"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资格审查</w:t>
      </w:r>
    </w:p>
    <w:p w14:paraId="261070B1">
      <w:pPr>
        <w:spacing w:line="460" w:lineRule="exact"/>
        <w:ind w:firstLine="54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评标委员会对</w:t>
      </w:r>
      <w:r>
        <w:rPr>
          <w:rFonts w:hint="eastAsia" w:ascii="宋体" w:hAnsi="宋体" w:eastAsia="宋体" w:cs="宋体"/>
          <w:color w:val="000000" w:themeColor="text1"/>
          <w:sz w:val="24"/>
          <w:szCs w:val="24"/>
          <w:highlight w:val="white"/>
          <w14:textFill>
            <w14:solidFill>
              <w14:schemeClr w14:val="tx1"/>
            </w14:solidFill>
          </w14:textFill>
        </w:rPr>
        <w:t>评标入围</w:t>
      </w:r>
      <w:r>
        <w:rPr>
          <w:rFonts w:hint="eastAsia" w:ascii="宋体" w:hAnsi="宋体" w:eastAsia="宋体" w:cs="宋体"/>
          <w:color w:val="000000" w:themeColor="text1"/>
          <w:sz w:val="24"/>
          <w:szCs w:val="24"/>
          <w14:textFill>
            <w14:solidFill>
              <w14:schemeClr w14:val="tx1"/>
            </w14:solidFill>
          </w14:textFill>
        </w:rPr>
        <w:t>的投标文件评审按以下顺序进行，上一阶段未通过的不进入下一阶段评审：</w:t>
      </w:r>
    </w:p>
    <w:p w14:paraId="36233CFA">
      <w:pPr>
        <w:spacing w:line="500" w:lineRule="exact"/>
        <w:ind w:left="-1" w:firstLine="480"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1、初步评审</w:t>
      </w:r>
    </w:p>
    <w:p w14:paraId="0DD91B4B">
      <w:pPr>
        <w:spacing w:line="500" w:lineRule="exact"/>
        <w:ind w:left="-1" w:firstLine="480"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1.1形式评审标准</w:t>
      </w:r>
    </w:p>
    <w:p w14:paraId="443CD829">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对投标文件的有效性、完整性进行评审。</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14:paraId="387E3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tcPr>
          <w:p w14:paraId="3F753F47">
            <w:pPr>
              <w:spacing w:line="500" w:lineRule="exact"/>
              <w:ind w:left="-1" w:firstLine="480" w:firstLineChars="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评审因素</w:t>
            </w:r>
          </w:p>
        </w:tc>
        <w:tc>
          <w:tcPr>
            <w:tcW w:w="5257" w:type="dxa"/>
            <w:tcBorders>
              <w:top w:val="single" w:color="auto" w:sz="4" w:space="0"/>
              <w:left w:val="single" w:color="auto" w:sz="4" w:space="0"/>
              <w:bottom w:val="single" w:color="auto" w:sz="4" w:space="0"/>
              <w:right w:val="single" w:color="auto" w:sz="4" w:space="0"/>
            </w:tcBorders>
            <w:noWrap/>
          </w:tcPr>
          <w:p w14:paraId="70795560">
            <w:pPr>
              <w:spacing w:line="500" w:lineRule="exact"/>
              <w:ind w:left="-1" w:firstLine="480" w:firstLineChars="2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评审标准</w:t>
            </w:r>
          </w:p>
        </w:tc>
      </w:tr>
      <w:tr w14:paraId="39F20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tcPr>
          <w:p w14:paraId="458A2E96">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投标人名称</w:t>
            </w:r>
          </w:p>
        </w:tc>
        <w:tc>
          <w:tcPr>
            <w:tcW w:w="5257" w:type="dxa"/>
            <w:tcBorders>
              <w:top w:val="single" w:color="auto" w:sz="4" w:space="0"/>
              <w:left w:val="single" w:color="auto" w:sz="4" w:space="0"/>
              <w:bottom w:val="single" w:color="auto" w:sz="4" w:space="0"/>
              <w:right w:val="single" w:color="auto" w:sz="4" w:space="0"/>
            </w:tcBorders>
            <w:noWrap/>
          </w:tcPr>
          <w:p w14:paraId="58FC3D85">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与营业执照、资质证书、安全生产许可证一致</w:t>
            </w:r>
          </w:p>
        </w:tc>
      </w:tr>
      <w:tr w14:paraId="5E101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noWrap/>
          </w:tcPr>
          <w:p w14:paraId="4369AC96">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投标文件格式</w:t>
            </w:r>
          </w:p>
        </w:tc>
        <w:tc>
          <w:tcPr>
            <w:tcW w:w="5257" w:type="dxa"/>
            <w:tcBorders>
              <w:top w:val="single" w:color="auto" w:sz="4" w:space="0"/>
              <w:left w:val="single" w:color="auto" w:sz="4" w:space="0"/>
              <w:bottom w:val="single" w:color="auto" w:sz="4" w:space="0"/>
              <w:right w:val="single" w:color="auto" w:sz="4" w:space="0"/>
            </w:tcBorders>
            <w:noWrap/>
          </w:tcPr>
          <w:p w14:paraId="4D2876C1">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符合投标文件格式要求</w:t>
            </w:r>
          </w:p>
        </w:tc>
      </w:tr>
      <w:tr w14:paraId="05D4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noWrap/>
            <w:vAlign w:val="center"/>
          </w:tcPr>
          <w:p w14:paraId="35908A7D">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投标承诺函</w:t>
            </w:r>
          </w:p>
        </w:tc>
        <w:tc>
          <w:tcPr>
            <w:tcW w:w="5257" w:type="dxa"/>
            <w:tcBorders>
              <w:top w:val="single" w:color="auto" w:sz="4" w:space="0"/>
              <w:left w:val="single" w:color="auto" w:sz="4" w:space="0"/>
              <w:bottom w:val="single" w:color="auto" w:sz="4" w:space="0"/>
              <w:right w:val="single" w:color="auto" w:sz="4" w:space="0"/>
            </w:tcBorders>
            <w:noWrap/>
          </w:tcPr>
          <w:p w14:paraId="4CC76D9E">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有法定代表人或其委托代理人签字（或盖章）并加盖投标单位公章</w:t>
            </w:r>
          </w:p>
        </w:tc>
      </w:tr>
      <w:tr w14:paraId="7C384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noWrap/>
          </w:tcPr>
          <w:p w14:paraId="1638B7A8">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授权委托书</w:t>
            </w:r>
          </w:p>
        </w:tc>
        <w:tc>
          <w:tcPr>
            <w:tcW w:w="5257" w:type="dxa"/>
            <w:tcBorders>
              <w:top w:val="single" w:color="auto" w:sz="4" w:space="0"/>
              <w:left w:val="single" w:color="auto" w:sz="4" w:space="0"/>
              <w:bottom w:val="single" w:color="auto" w:sz="4" w:space="0"/>
              <w:right w:val="single" w:color="auto" w:sz="4" w:space="0"/>
            </w:tcBorders>
            <w:noWrap/>
          </w:tcPr>
          <w:p w14:paraId="249DF4EE">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有法定代表人签字（或盖章）并加盖投标单位公章</w:t>
            </w:r>
          </w:p>
        </w:tc>
      </w:tr>
      <w:tr w14:paraId="5338B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noWrap/>
            <w:vAlign w:val="center"/>
          </w:tcPr>
          <w:p w14:paraId="087E8332">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报价唯一</w:t>
            </w:r>
          </w:p>
        </w:tc>
        <w:tc>
          <w:tcPr>
            <w:tcW w:w="5257" w:type="dxa"/>
            <w:tcBorders>
              <w:top w:val="single" w:color="auto" w:sz="4" w:space="0"/>
              <w:left w:val="single" w:color="auto" w:sz="4" w:space="0"/>
              <w:bottom w:val="single" w:color="auto" w:sz="4" w:space="0"/>
              <w:right w:val="single" w:color="auto" w:sz="4" w:space="0"/>
            </w:tcBorders>
            <w:noWrap/>
            <w:vAlign w:val="center"/>
          </w:tcPr>
          <w:p w14:paraId="3D6DA916">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只能有一个有效报价</w:t>
            </w:r>
          </w:p>
        </w:tc>
      </w:tr>
    </w:tbl>
    <w:p w14:paraId="089AA2FE">
      <w:pPr>
        <w:spacing w:line="500" w:lineRule="exact"/>
        <w:ind w:left="-1" w:firstLine="480"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1.2资格审查（资格后审）</w:t>
      </w:r>
    </w:p>
    <w:p w14:paraId="40D084EE">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评标委员会对通过上一阶段评审的投标人资格对照招标文件中</w:t>
      </w:r>
      <w:r>
        <w:rPr>
          <w:rFonts w:hint="eastAsia" w:ascii="宋体" w:hAnsi="宋体" w:eastAsia="宋体" w:cs="宋体"/>
          <w:b/>
          <w:bCs/>
          <w:color w:val="000000" w:themeColor="text1"/>
          <w:sz w:val="24"/>
          <w:szCs w:val="24"/>
          <w14:textFill>
            <w14:solidFill>
              <w14:schemeClr w14:val="tx1"/>
            </w14:solidFill>
          </w14:textFill>
        </w:rPr>
        <w:t>投标人资格要求</w:t>
      </w:r>
      <w:r>
        <w:rPr>
          <w:rFonts w:hint="eastAsia" w:ascii="宋体" w:hAnsi="宋体" w:eastAsia="宋体" w:cs="宋体"/>
          <w:color w:val="000000" w:themeColor="text1"/>
          <w:sz w:val="24"/>
          <w:szCs w:val="24"/>
          <w14:textFill>
            <w14:solidFill>
              <w14:schemeClr w14:val="tx1"/>
            </w14:solidFill>
          </w14:textFill>
        </w:rPr>
        <w:t>的规定要求进行审查，只有通过资格审查的投标人方可进行下一阶段的评审。</w:t>
      </w:r>
    </w:p>
    <w:tbl>
      <w:tblPr>
        <w:tblStyle w:val="21"/>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14:paraId="199B9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14:paraId="4839CFC3">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评审因素</w:t>
            </w:r>
          </w:p>
        </w:tc>
        <w:tc>
          <w:tcPr>
            <w:tcW w:w="5253" w:type="dxa"/>
            <w:tcBorders>
              <w:top w:val="single" w:color="auto" w:sz="4" w:space="0"/>
              <w:left w:val="single" w:color="auto" w:sz="4" w:space="0"/>
              <w:bottom w:val="single" w:color="auto" w:sz="4" w:space="0"/>
              <w:right w:val="single" w:color="auto" w:sz="4" w:space="0"/>
            </w:tcBorders>
            <w:noWrap/>
          </w:tcPr>
          <w:p w14:paraId="0BC73BE5">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评审标准</w:t>
            </w:r>
          </w:p>
        </w:tc>
      </w:tr>
      <w:tr w14:paraId="6314F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14:paraId="2B670262">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w:t>
            </w:r>
          </w:p>
        </w:tc>
        <w:tc>
          <w:tcPr>
            <w:tcW w:w="5253" w:type="dxa"/>
            <w:tcBorders>
              <w:top w:val="single" w:color="auto" w:sz="4" w:space="0"/>
              <w:left w:val="single" w:color="auto" w:sz="4" w:space="0"/>
              <w:bottom w:val="single" w:color="auto" w:sz="4" w:space="0"/>
              <w:right w:val="single" w:color="auto" w:sz="4" w:space="0"/>
            </w:tcBorders>
            <w:noWrap/>
          </w:tcPr>
          <w:p w14:paraId="6294C7C7">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提供有效的营业执照原件</w:t>
            </w:r>
          </w:p>
        </w:tc>
      </w:tr>
      <w:tr w14:paraId="25A18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tcPr>
          <w:p w14:paraId="69914BF1">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安全生产许可证</w:t>
            </w:r>
          </w:p>
        </w:tc>
        <w:tc>
          <w:tcPr>
            <w:tcW w:w="5253" w:type="dxa"/>
            <w:tcBorders>
              <w:top w:val="single" w:color="auto" w:sz="4" w:space="0"/>
              <w:left w:val="single" w:color="auto" w:sz="4" w:space="0"/>
              <w:bottom w:val="single" w:color="auto" w:sz="4" w:space="0"/>
              <w:right w:val="single" w:color="auto" w:sz="4" w:space="0"/>
            </w:tcBorders>
            <w:noWrap/>
          </w:tcPr>
          <w:p w14:paraId="582FB9B9">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提供有效的安全生产许可证原件</w:t>
            </w:r>
          </w:p>
        </w:tc>
      </w:tr>
      <w:tr w14:paraId="47B61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ign w:val="center"/>
          </w:tcPr>
          <w:p w14:paraId="6D7231A6">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资质等级</w:t>
            </w:r>
          </w:p>
        </w:tc>
        <w:tc>
          <w:tcPr>
            <w:tcW w:w="5253" w:type="dxa"/>
            <w:tcBorders>
              <w:top w:val="single" w:color="auto" w:sz="4" w:space="0"/>
              <w:left w:val="single" w:color="auto" w:sz="4" w:space="0"/>
              <w:bottom w:val="single" w:color="auto" w:sz="4" w:space="0"/>
              <w:right w:val="single" w:color="auto" w:sz="4" w:space="0"/>
            </w:tcBorders>
            <w:noWrap/>
          </w:tcPr>
          <w:p w14:paraId="299CA044">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建筑工程施工总承包三级及以上资质或建筑装修装饰工程专业承包二级及以上</w:t>
            </w:r>
            <w:r>
              <w:rPr>
                <w:rFonts w:hint="eastAsia" w:ascii="宋体" w:hAnsi="宋体" w:eastAsia="宋体" w:cs="宋体"/>
                <w:bCs/>
                <w:color w:val="000000" w:themeColor="text1"/>
                <w:sz w:val="24"/>
                <w:szCs w:val="24"/>
                <w14:textFill>
                  <w14:solidFill>
                    <w14:schemeClr w14:val="tx1"/>
                  </w14:solidFill>
                </w14:textFill>
              </w:rPr>
              <w:t>资质</w:t>
            </w:r>
            <w:r>
              <w:rPr>
                <w:rFonts w:hint="eastAsia" w:ascii="宋体" w:hAnsi="宋体" w:eastAsia="宋体" w:cs="宋体"/>
                <w:color w:val="000000" w:themeColor="text1"/>
                <w:sz w:val="24"/>
                <w:szCs w:val="24"/>
                <w14:textFill>
                  <w14:solidFill>
                    <w14:schemeClr w14:val="tx1"/>
                  </w14:solidFill>
                </w14:textFill>
              </w:rPr>
              <w:t>且取得</w:t>
            </w:r>
            <w:r>
              <w:rPr>
                <w:rFonts w:hint="eastAsia" w:ascii="宋体" w:hAnsi="宋体" w:eastAsia="宋体" w:cs="宋体"/>
                <w:color w:val="000000" w:themeColor="text1"/>
                <w:sz w:val="24"/>
                <w:szCs w:val="24"/>
                <w:lang w:val="en-US" w:eastAsia="zh-CN"/>
                <w14:textFill>
                  <w14:solidFill>
                    <w14:schemeClr w14:val="tx1"/>
                  </w14:solidFill>
                </w14:textFill>
              </w:rPr>
              <w:t>有效的</w:t>
            </w:r>
            <w:r>
              <w:rPr>
                <w:rFonts w:hint="eastAsia" w:ascii="宋体" w:hAnsi="宋体" w:eastAsia="宋体" w:cs="宋体"/>
                <w:color w:val="000000" w:themeColor="text1"/>
                <w:sz w:val="24"/>
                <w:szCs w:val="24"/>
                <w14:textFill>
                  <w14:solidFill>
                    <w14:schemeClr w14:val="tx1"/>
                  </w14:solidFill>
                </w14:textFill>
              </w:rPr>
              <w:t>安全生产许可证原件</w:t>
            </w:r>
          </w:p>
        </w:tc>
      </w:tr>
      <w:tr w14:paraId="6802F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ign w:val="center"/>
          </w:tcPr>
          <w:p w14:paraId="65026DE1">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项目负责人</w:t>
            </w:r>
          </w:p>
        </w:tc>
        <w:tc>
          <w:tcPr>
            <w:tcW w:w="5253" w:type="dxa"/>
            <w:tcBorders>
              <w:top w:val="single" w:color="auto" w:sz="4" w:space="0"/>
              <w:left w:val="single" w:color="auto" w:sz="4" w:space="0"/>
              <w:bottom w:val="single" w:color="auto" w:sz="4" w:space="0"/>
              <w:right w:val="single" w:color="auto" w:sz="4" w:space="0"/>
            </w:tcBorders>
            <w:noWrap/>
          </w:tcPr>
          <w:p w14:paraId="16670A36">
            <w:pPr>
              <w:spacing w:line="500" w:lineRule="exact"/>
              <w:ind w:left="-1" w:firstLine="480" w:firstLineChars="200"/>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建筑工程专业二级及以上建造师注册证书原件以及安全生产考核合格证（B类）原件</w:t>
            </w:r>
          </w:p>
        </w:tc>
      </w:tr>
      <w:tr w14:paraId="5DC85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noWrap/>
          </w:tcPr>
          <w:p w14:paraId="59127F9F">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其他要求</w:t>
            </w:r>
          </w:p>
        </w:tc>
        <w:tc>
          <w:tcPr>
            <w:tcW w:w="5253" w:type="dxa"/>
            <w:tcBorders>
              <w:top w:val="single" w:color="auto" w:sz="4" w:space="0"/>
              <w:left w:val="single" w:color="auto" w:sz="4" w:space="0"/>
              <w:bottom w:val="single" w:color="auto" w:sz="4" w:space="0"/>
              <w:right w:val="single" w:color="auto" w:sz="4" w:space="0"/>
            </w:tcBorders>
            <w:noWrap/>
          </w:tcPr>
          <w:p w14:paraId="6370C499">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符合投标人资格要求规定</w:t>
            </w:r>
          </w:p>
        </w:tc>
      </w:tr>
    </w:tbl>
    <w:p w14:paraId="0C6D9DAF">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注：能有效识别二维码的复印件加盖证书持有单位公章和能有效识别二维码的电子证书加盖证书持有单位公章可视为原件。</w:t>
      </w:r>
    </w:p>
    <w:p w14:paraId="07AF40D0">
      <w:pPr>
        <w:spacing w:line="500" w:lineRule="exact"/>
        <w:ind w:left="-1" w:firstLine="480"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1.3响应性审查</w:t>
      </w:r>
    </w:p>
    <w:p w14:paraId="53B4FDFA">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对招标文件要求的工期、质量标准、投标保证金、投标有效期、已标价工程量清单、暂定价、不可竞争费用、技术标准和要求等实质性要求的响应性进行评审。</w:t>
      </w:r>
    </w:p>
    <w:p w14:paraId="759886B8">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（五）评标基准价及投标报价得分确定</w:t>
      </w:r>
    </w:p>
    <w:p w14:paraId="68BE413E">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以评标入围的通过资格审查的有效投标文件的评标价(剔除不可竞争部分)算术平均值为A〔当有效投标文件≥7家时，去掉最高和最低各20%（四舍五入取整，末位投标报价相同的均保留）后进行平均；当评标入围的通过资格审查的有效投标文件4-6家时，剔除最高报价(剔除不可竞争部分) （最高报价相同的均剔除）后进行算术平均；当有效投标文件＜4时，则次低报价(剔除不可竞争部分)作为投标平均价A〕，最高投标限价(剔除不可竞争部分)为B，则: </w:t>
      </w:r>
    </w:p>
    <w:p w14:paraId="73EFA57F">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评标基准价 =A×K1×Q1+B×K2×Q2</w:t>
      </w:r>
    </w:p>
    <w:p w14:paraId="168C111A">
      <w:pPr>
        <w:spacing w:line="500" w:lineRule="exact"/>
        <w:ind w:left="-1"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Q2=1-Q1, 本工程Q1取值范围为65%～85%；K1 的取值范围为 95%～98%；Q1、K1 值在开标时由招标人代表随机抽取确定。K2 的取值范围，装饰、安装为88%～100%</w:t>
      </w:r>
      <w:r>
        <w:rPr>
          <w:rFonts w:hint="eastAsia" w:ascii="宋体" w:hAnsi="宋体" w:eastAsia="宋体" w:cs="宋体"/>
          <w:color w:val="000000" w:themeColor="text1"/>
          <w:sz w:val="24"/>
          <w:szCs w:val="24"/>
          <w:lang w:eastAsia="zh-CN"/>
          <w14:textFill>
            <w14:solidFill>
              <w14:schemeClr w14:val="tx1"/>
            </w14:solidFill>
          </w14:textFill>
        </w:rPr>
        <w:t>。</w:t>
      </w:r>
    </w:p>
    <w:p w14:paraId="22401D74">
      <w:pPr>
        <w:spacing w:line="40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特殊情形下，评标基准价调整方式：</w:t>
      </w:r>
    </w:p>
    <w:p w14:paraId="16A3B3A1">
      <w:pPr>
        <w:spacing w:line="46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除确认存在计算错误外，评标基准价一经确定，不因后续资格审查</w:t>
      </w:r>
      <w:r>
        <w:rPr>
          <w:rFonts w:hint="eastAsia" w:ascii="宋体" w:hAnsi="宋体" w:eastAsia="宋体" w:cs="宋体"/>
          <w:b/>
          <w:bCs/>
          <w:color w:val="000000" w:themeColor="text1"/>
          <w:sz w:val="24"/>
          <w:szCs w:val="24"/>
          <w:lang w:val="en-US" w:eastAsia="zh-CN"/>
          <w14:textFill>
            <w14:solidFill>
              <w14:schemeClr w14:val="tx1"/>
            </w14:solidFill>
          </w14:textFill>
        </w:rPr>
        <w:t>否决投标</w:t>
      </w:r>
      <w:r>
        <w:rPr>
          <w:rFonts w:hint="eastAsia" w:ascii="宋体" w:hAnsi="宋体" w:eastAsia="宋体" w:cs="宋体"/>
          <w:color w:val="000000" w:themeColor="text1"/>
          <w:kern w:val="0"/>
          <w:sz w:val="24"/>
          <w:szCs w:val="24"/>
          <w14:textFill>
            <w14:solidFill>
              <w14:schemeClr w14:val="tx1"/>
            </w14:solidFill>
          </w14:textFill>
        </w:rPr>
        <w:t>、招投标当事人质疑、投诉、复议以及其它任何情形而改变；</w:t>
      </w:r>
    </w:p>
    <w:p w14:paraId="7B8B03DB">
      <w:pPr>
        <w:spacing w:line="460" w:lineRule="exact"/>
        <w:ind w:firstLine="480" w:firstLineChars="200"/>
        <w:jc w:val="left"/>
        <w:rPr>
          <w:rFonts w:hint="eastAsia" w:ascii="宋体" w:hAnsi="宋体" w:eastAsia="宋体" w:cs="宋体"/>
          <w:vanish/>
          <w:color w:val="000000" w:themeColor="text1"/>
          <w:sz w:val="24"/>
          <w:szCs w:val="24"/>
          <w14:textFill>
            <w14:solidFill>
              <w14:schemeClr w14:val="tx1"/>
            </w14:solidFill>
          </w14:textFill>
        </w:rPr>
      </w:pPr>
    </w:p>
    <w:p w14:paraId="57A11F0F">
      <w:pPr>
        <w:spacing w:line="46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扣分标准：</w:t>
      </w:r>
    </w:p>
    <w:p w14:paraId="29716050">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以评标入围的通过资格审查的投标报价(剔除不可竞争部分)等于评标基准价的得满分</w:t>
      </w:r>
      <w:r>
        <w:rPr>
          <w:rFonts w:hint="eastAsia" w:ascii="宋体" w:hAnsi="宋体" w:cs="宋体"/>
          <w:color w:val="000000" w:themeColor="text1"/>
          <w:sz w:val="24"/>
          <w:szCs w:val="24"/>
          <w:lang w:val="en-US" w:eastAsia="zh-CN"/>
          <w14:textFill>
            <w14:solidFill>
              <w14:schemeClr w14:val="tx1"/>
            </w14:solidFill>
          </w14:textFill>
        </w:rPr>
        <w:t>100分</w:t>
      </w:r>
      <w:r>
        <w:rPr>
          <w:rFonts w:hint="eastAsia" w:ascii="宋体" w:hAnsi="宋体" w:eastAsia="宋体" w:cs="宋体"/>
          <w:color w:val="000000" w:themeColor="text1"/>
          <w:sz w:val="24"/>
          <w:szCs w:val="24"/>
          <w14:textFill>
            <w14:solidFill>
              <w14:schemeClr w14:val="tx1"/>
            </w14:solidFill>
          </w14:textFill>
        </w:rPr>
        <w:t>，投标报价(剔除不可竞争部分)相对评标基准价每低1%扣0.6分，每高1%扣0.9分；偏离不足1%的，按照插入法计算得分</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得分保留小数点后两位，第三位“四舍五入” 。</w:t>
      </w:r>
    </w:p>
    <w:p w14:paraId="398BE8C5">
      <w:pPr>
        <w:spacing w:line="500" w:lineRule="exact"/>
        <w:ind w:left="-1" w:firstLine="480"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14:textFill>
            <w14:solidFill>
              <w14:schemeClr w14:val="tx1"/>
            </w14:solidFill>
          </w14:textFill>
        </w:rPr>
        <w:t>）定标补充规定</w:t>
      </w:r>
    </w:p>
    <w:p w14:paraId="2EA2FC76">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1、按总分由高到低推荐1</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名中标候选人，若得分并列的，须明确中标候选人或需对中标候选人排序的，比较小数点后第三位值大小，得分高的排名靠前，若第三位仍相同的，由评标委员会按投标报价由低到高进行排序；如投标报价仍相同的，由招标人确定排序。</w:t>
      </w:r>
    </w:p>
    <w:p w14:paraId="04CE6B09">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招标人根据评标委员会推荐的中标候选人，确定排名第一的中标候选人为最终中标人。</w:t>
      </w:r>
    </w:p>
    <w:p w14:paraId="14B778F9">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EE861D2">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对不中标的投标人，招标人有权不作任何解释。</w:t>
      </w:r>
    </w:p>
    <w:p w14:paraId="10502553">
      <w:pPr>
        <w:spacing w:line="500" w:lineRule="exact"/>
        <w:ind w:left="-1" w:firstLine="480"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三、其它</w:t>
      </w:r>
    </w:p>
    <w:p w14:paraId="6E7BEDF7">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1、本办法未述及的事宜，由评标委员会依据法律法规处置。</w:t>
      </w:r>
    </w:p>
    <w:p w14:paraId="2E349073">
      <w:pPr>
        <w:spacing w:line="500" w:lineRule="exact"/>
        <w:ind w:left="-1" w:firstLine="480" w:firstLineChars="200"/>
        <w:rPr>
          <w:rFonts w:hint="eastAsia" w:ascii="宋体" w:hAnsi="宋体" w:eastAsia="宋体" w:cs="宋体"/>
          <w:color w:val="000000" w:themeColor="text1"/>
          <w:sz w:val="24"/>
          <w:szCs w:val="24"/>
          <w14:textFill>
            <w14:solidFill>
              <w14:schemeClr w14:val="tx1"/>
            </w14:solidFill>
          </w14:textFill>
        </w:rPr>
      </w:pPr>
    </w:p>
    <w:p w14:paraId="3A77738C">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line="500" w:lineRule="exact"/>
        <w:ind w:right="-4" w:rightChars="-2"/>
        <w:rPr>
          <w:rFonts w:hint="eastAsia" w:ascii="宋体" w:hAnsi="宋体" w:eastAsia="宋体" w:cs="宋体"/>
          <w:color w:val="000000" w:themeColor="text1"/>
          <w:sz w:val="24"/>
          <w:szCs w:val="24"/>
          <w14:textFill>
            <w14:solidFill>
              <w14:schemeClr w14:val="tx1"/>
            </w14:solidFill>
          </w14:textFill>
        </w:rPr>
      </w:pPr>
    </w:p>
    <w:p w14:paraId="2B14C325">
      <w:pPr>
        <w:pStyle w:val="61"/>
        <w:ind w:firstLine="422"/>
        <w:rPr>
          <w:rFonts w:ascii="宋体" w:hAnsi="宋体" w:eastAsia="宋体" w:cs="宋体"/>
          <w:color w:val="000000" w:themeColor="text1"/>
          <w14:textFill>
            <w14:solidFill>
              <w14:schemeClr w14:val="tx1"/>
            </w14:solidFill>
          </w14:textFill>
        </w:rPr>
      </w:pPr>
    </w:p>
    <w:p w14:paraId="2A649E2B">
      <w:pPr>
        <w:pStyle w:val="20"/>
        <w:ind w:firstLine="422"/>
        <w:rPr>
          <w:rFonts w:ascii="宋体" w:hAnsi="宋体" w:eastAsia="宋体" w:cs="宋体"/>
          <w:color w:val="000000" w:themeColor="text1"/>
          <w14:textFill>
            <w14:solidFill>
              <w14:schemeClr w14:val="tx1"/>
            </w14:solidFill>
          </w14:textFill>
        </w:rPr>
      </w:pPr>
    </w:p>
    <w:p w14:paraId="54F7AC50">
      <w:pPr>
        <w:pStyle w:val="20"/>
        <w:ind w:firstLine="422"/>
        <w:rPr>
          <w:rFonts w:ascii="宋体" w:hAnsi="宋体" w:eastAsia="宋体" w:cs="宋体"/>
          <w:color w:val="000000" w:themeColor="text1"/>
          <w14:textFill>
            <w14:solidFill>
              <w14:schemeClr w14:val="tx1"/>
            </w14:solidFill>
          </w14:textFill>
        </w:rPr>
      </w:pPr>
    </w:p>
    <w:p w14:paraId="3B7148B4">
      <w:pPr>
        <w:pStyle w:val="20"/>
        <w:ind w:firstLine="422"/>
        <w:rPr>
          <w:rFonts w:ascii="宋体" w:hAnsi="宋体" w:eastAsia="宋体" w:cs="宋体"/>
          <w:color w:val="000000" w:themeColor="text1"/>
          <w14:textFill>
            <w14:solidFill>
              <w14:schemeClr w14:val="tx1"/>
            </w14:solidFill>
          </w14:textFill>
        </w:rPr>
      </w:pPr>
    </w:p>
    <w:p w14:paraId="13BBD6C6">
      <w:pPr>
        <w:pStyle w:val="20"/>
        <w:ind w:firstLine="422"/>
        <w:rPr>
          <w:rFonts w:ascii="宋体" w:hAnsi="宋体" w:eastAsia="宋体" w:cs="宋体"/>
          <w:color w:val="000000" w:themeColor="text1"/>
          <w14:textFill>
            <w14:solidFill>
              <w14:schemeClr w14:val="tx1"/>
            </w14:solidFill>
          </w14:textFill>
        </w:rPr>
      </w:pPr>
    </w:p>
    <w:p w14:paraId="61D5A030">
      <w:pPr>
        <w:pStyle w:val="20"/>
        <w:ind w:firstLine="422"/>
        <w:rPr>
          <w:rFonts w:ascii="宋体" w:hAnsi="宋体" w:eastAsia="宋体" w:cs="宋体"/>
          <w:color w:val="000000" w:themeColor="text1"/>
          <w14:textFill>
            <w14:solidFill>
              <w14:schemeClr w14:val="tx1"/>
            </w14:solidFill>
          </w14:textFill>
        </w:rPr>
      </w:pPr>
    </w:p>
    <w:p w14:paraId="21B41C25">
      <w:pPr>
        <w:pStyle w:val="20"/>
        <w:ind w:firstLine="422"/>
        <w:rPr>
          <w:rFonts w:ascii="宋体" w:hAnsi="宋体" w:eastAsia="宋体" w:cs="宋体"/>
          <w:color w:val="000000" w:themeColor="text1"/>
          <w14:textFill>
            <w14:solidFill>
              <w14:schemeClr w14:val="tx1"/>
            </w14:solidFill>
          </w14:textFill>
        </w:rPr>
      </w:pPr>
    </w:p>
    <w:p w14:paraId="0E865E9E">
      <w:pPr>
        <w:pStyle w:val="20"/>
        <w:ind w:firstLine="422"/>
        <w:rPr>
          <w:rFonts w:ascii="宋体" w:hAnsi="宋体" w:eastAsia="宋体" w:cs="宋体"/>
          <w:color w:val="000000" w:themeColor="text1"/>
          <w14:textFill>
            <w14:solidFill>
              <w14:schemeClr w14:val="tx1"/>
            </w14:solidFill>
          </w14:textFill>
        </w:rPr>
      </w:pPr>
    </w:p>
    <w:p w14:paraId="769D0E53">
      <w:pPr>
        <w:pStyle w:val="20"/>
        <w:ind w:firstLine="422"/>
        <w:rPr>
          <w:rFonts w:ascii="宋体" w:hAnsi="宋体" w:eastAsia="宋体" w:cs="宋体"/>
          <w:color w:val="000000" w:themeColor="text1"/>
          <w14:textFill>
            <w14:solidFill>
              <w14:schemeClr w14:val="tx1"/>
            </w14:solidFill>
          </w14:textFill>
        </w:rPr>
      </w:pPr>
    </w:p>
    <w:p w14:paraId="1E392583">
      <w:pPr>
        <w:pStyle w:val="20"/>
        <w:ind w:firstLine="422"/>
        <w:rPr>
          <w:rFonts w:ascii="宋体" w:hAnsi="宋体" w:eastAsia="宋体" w:cs="宋体"/>
          <w:color w:val="000000" w:themeColor="text1"/>
          <w14:textFill>
            <w14:solidFill>
              <w14:schemeClr w14:val="tx1"/>
            </w14:solidFill>
          </w14:textFill>
        </w:rPr>
      </w:pPr>
    </w:p>
    <w:p w14:paraId="34B912E4">
      <w:pPr>
        <w:pStyle w:val="20"/>
        <w:ind w:firstLine="422"/>
        <w:rPr>
          <w:rFonts w:ascii="宋体" w:hAnsi="宋体" w:eastAsia="宋体" w:cs="宋体"/>
          <w:color w:val="000000" w:themeColor="text1"/>
          <w14:textFill>
            <w14:solidFill>
              <w14:schemeClr w14:val="tx1"/>
            </w14:solidFill>
          </w14:textFill>
        </w:rPr>
      </w:pPr>
    </w:p>
    <w:p w14:paraId="435D4678">
      <w:pPr>
        <w:pStyle w:val="20"/>
        <w:ind w:firstLine="422"/>
        <w:rPr>
          <w:rFonts w:ascii="宋体" w:hAnsi="宋体" w:eastAsia="宋体" w:cs="宋体"/>
          <w:color w:val="000000" w:themeColor="text1"/>
          <w14:textFill>
            <w14:solidFill>
              <w14:schemeClr w14:val="tx1"/>
            </w14:solidFill>
          </w14:textFill>
        </w:rPr>
      </w:pPr>
    </w:p>
    <w:p w14:paraId="3BAD441A">
      <w:pPr>
        <w:pStyle w:val="20"/>
        <w:ind w:firstLine="422"/>
        <w:rPr>
          <w:rFonts w:ascii="宋体" w:hAnsi="宋体" w:eastAsia="宋体" w:cs="宋体"/>
          <w:color w:val="000000" w:themeColor="text1"/>
          <w14:textFill>
            <w14:solidFill>
              <w14:schemeClr w14:val="tx1"/>
            </w14:solidFill>
          </w14:textFill>
        </w:rPr>
      </w:pPr>
    </w:p>
    <w:p w14:paraId="3922052C">
      <w:pPr>
        <w:pStyle w:val="20"/>
        <w:ind w:firstLine="422"/>
        <w:rPr>
          <w:rFonts w:ascii="宋体" w:hAnsi="宋体" w:eastAsia="宋体" w:cs="宋体"/>
          <w:color w:val="000000" w:themeColor="text1"/>
          <w14:textFill>
            <w14:solidFill>
              <w14:schemeClr w14:val="tx1"/>
            </w14:solidFill>
          </w14:textFill>
        </w:rPr>
      </w:pPr>
    </w:p>
    <w:p w14:paraId="57B5A983">
      <w:pPr>
        <w:pStyle w:val="19"/>
        <w:spacing w:before="0" w:beforeAutospacing="0" w:after="0" w:afterAutospacing="0" w:line="420" w:lineRule="exact"/>
        <w:jc w:val="both"/>
        <w:textAlignment w:val="baseline"/>
        <w:rPr>
          <w:b/>
          <w:bCs/>
          <w:color w:val="000000" w:themeColor="text1"/>
          <w:sz w:val="32"/>
          <w:szCs w:val="32"/>
          <w14:textFill>
            <w14:solidFill>
              <w14:schemeClr w14:val="tx1"/>
            </w14:solidFill>
          </w14:textFill>
        </w:rPr>
      </w:pPr>
    </w:p>
    <w:p w14:paraId="7E978B25">
      <w:pPr>
        <w:pStyle w:val="19"/>
        <w:spacing w:before="0" w:beforeAutospacing="0" w:after="0" w:afterAutospacing="0" w:line="420" w:lineRule="exact"/>
        <w:jc w:val="both"/>
        <w:textAlignment w:val="baseline"/>
        <w:rPr>
          <w:b/>
          <w:bCs/>
          <w:color w:val="000000" w:themeColor="text1"/>
          <w:sz w:val="32"/>
          <w:szCs w:val="32"/>
          <w14:textFill>
            <w14:solidFill>
              <w14:schemeClr w14:val="tx1"/>
            </w14:solidFill>
          </w14:textFill>
        </w:rPr>
      </w:pPr>
    </w:p>
    <w:p w14:paraId="31645C0A">
      <w:pPr>
        <w:pStyle w:val="19"/>
        <w:spacing w:before="0" w:beforeAutospacing="0" w:after="0" w:afterAutospacing="0" w:line="420" w:lineRule="exact"/>
        <w:jc w:val="both"/>
        <w:textAlignment w:val="baseline"/>
        <w:rPr>
          <w:b/>
          <w:bCs/>
          <w:color w:val="000000" w:themeColor="text1"/>
          <w:sz w:val="44"/>
          <w:szCs w:val="44"/>
          <w14:textFill>
            <w14:solidFill>
              <w14:schemeClr w14:val="tx1"/>
            </w14:solidFill>
          </w14:textFill>
        </w:rPr>
      </w:pPr>
      <w:r>
        <w:rPr>
          <w:rFonts w:hint="eastAsia"/>
          <w:b/>
          <w:bCs/>
          <w:color w:val="000000" w:themeColor="text1"/>
          <w:sz w:val="32"/>
          <w:szCs w:val="32"/>
          <w14:textFill>
            <w14:solidFill>
              <w14:schemeClr w14:val="tx1"/>
            </w14:solidFill>
          </w14:textFill>
        </w:rPr>
        <w:t>附件1</w:t>
      </w:r>
    </w:p>
    <w:p w14:paraId="06323BE6">
      <w:pPr>
        <w:pStyle w:val="19"/>
        <w:spacing w:before="0" w:beforeAutospacing="0" w:after="0" w:afterAutospacing="0" w:line="700" w:lineRule="exact"/>
        <w:jc w:val="center"/>
        <w:textAlignment w:val="baseline"/>
        <w:rPr>
          <w:b/>
          <w:bCs/>
          <w:color w:val="000000" w:themeColor="text1"/>
          <w:sz w:val="48"/>
          <w:szCs w:val="48"/>
          <w14:textFill>
            <w14:solidFill>
              <w14:schemeClr w14:val="tx1"/>
            </w14:solidFill>
          </w14:textFill>
        </w:rPr>
      </w:pPr>
      <w:r>
        <w:rPr>
          <w:rFonts w:hint="eastAsia"/>
          <w:b/>
          <w:bCs/>
          <w:color w:val="000000" w:themeColor="text1"/>
          <w:sz w:val="48"/>
          <w:szCs w:val="48"/>
          <w14:textFill>
            <w14:solidFill>
              <w14:schemeClr w14:val="tx1"/>
            </w14:solidFill>
          </w14:textFill>
        </w:rPr>
        <w:t>诚信承诺书</w:t>
      </w:r>
    </w:p>
    <w:p w14:paraId="3D51180E">
      <w:pPr>
        <w:pStyle w:val="19"/>
        <w:spacing w:before="0" w:beforeAutospacing="0" w:after="0" w:afterAutospacing="0" w:line="400" w:lineRule="exact"/>
        <w:jc w:val="both"/>
        <w:textAlignment w:val="baseline"/>
        <w:rPr>
          <w:bCs/>
          <w:color w:val="000000" w:themeColor="text1"/>
          <w14:textFill>
            <w14:solidFill>
              <w14:schemeClr w14:val="tx1"/>
            </w14:solidFill>
          </w14:textFill>
        </w:rPr>
      </w:pPr>
    </w:p>
    <w:p w14:paraId="481DF6C7">
      <w:pPr>
        <w:pStyle w:val="19"/>
        <w:spacing w:before="0" w:beforeAutospacing="0" w:after="0" w:afterAutospacing="0" w:line="400" w:lineRule="exact"/>
        <w:ind w:firstLine="470" w:firstLineChars="196"/>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本人__________（法定代表人全名）系（公司名）法定代表人，现对</w:t>
      </w:r>
      <w:r>
        <w:rPr>
          <w:rFonts w:hint="eastAsia"/>
          <w:bCs/>
          <w:color w:val="000000" w:themeColor="text1"/>
          <w:u w:val="single"/>
          <w:lang w:eastAsia="zh-CN"/>
          <w14:textFill>
            <w14:solidFill>
              <w14:schemeClr w14:val="tx1"/>
            </w14:solidFill>
          </w14:textFill>
        </w:rPr>
        <w:t>盐城工业职业技术学院建筑外墙涂料修补及室外木桥、木平台维修</w:t>
      </w:r>
      <w:r>
        <w:rPr>
          <w:rFonts w:hint="eastAsia"/>
          <w:bCs/>
          <w:color w:val="000000" w:themeColor="text1"/>
          <w:u w:val="none"/>
          <w:lang w:eastAsia="zh-CN"/>
          <w14:textFill>
            <w14:solidFill>
              <w14:schemeClr w14:val="tx1"/>
            </w14:solidFill>
          </w14:textFill>
        </w:rPr>
        <w:t>项目</w:t>
      </w:r>
      <w:r>
        <w:rPr>
          <w:rFonts w:hint="eastAsia"/>
          <w:bCs/>
          <w:color w:val="000000" w:themeColor="text1"/>
          <w14:textFill>
            <w14:solidFill>
              <w14:schemeClr w14:val="tx1"/>
            </w14:solidFill>
          </w14:textFill>
        </w:rPr>
        <w:t>做出如下诚信承诺：</w:t>
      </w:r>
    </w:p>
    <w:p w14:paraId="35982E35">
      <w:pPr>
        <w:pStyle w:val="19"/>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① 我方申报的所有资料都是真实、有效的;</w:t>
      </w:r>
    </w:p>
    <w:p w14:paraId="6F60FE4D">
      <w:pPr>
        <w:pStyle w:val="19"/>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② 我方不存在资质挂靠或参与串标、围标情形;</w:t>
      </w:r>
    </w:p>
    <w:p w14:paraId="38675288">
      <w:pPr>
        <w:pStyle w:val="19"/>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③ 我方投标项目负责人无在建工程；</w:t>
      </w:r>
    </w:p>
    <w:p w14:paraId="3E19199C">
      <w:pPr>
        <w:pStyle w:val="19"/>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④ 我方未被各级行政主管部门做出停止市场行为的处罚;</w:t>
      </w:r>
    </w:p>
    <w:p w14:paraId="6FC8A0C0">
      <w:pPr>
        <w:pStyle w:val="19"/>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⑤ 若我方中标，将严格按照规定及时与招标单位按照招标文件签订合同;</w:t>
      </w:r>
    </w:p>
    <w:p w14:paraId="2B61DEB6">
      <w:pPr>
        <w:pStyle w:val="19"/>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⑥ 我方未与其他投标人串通投标，采取不正当手段诋毁、排挤其他投标人的公平竞争，损害招标人或其他投标人的合法权益；</w:t>
      </w:r>
    </w:p>
    <w:p w14:paraId="4726791B">
      <w:pPr>
        <w:pStyle w:val="19"/>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fldChar w:fldCharType="begin"/>
      </w:r>
      <w:r>
        <w:rPr>
          <w:rFonts w:hint="eastAsia"/>
          <w:bCs/>
          <w:color w:val="000000" w:themeColor="text1"/>
          <w14:textFill>
            <w14:solidFill>
              <w14:schemeClr w14:val="tx1"/>
            </w14:solidFill>
          </w14:textFill>
        </w:rPr>
        <w:instrText xml:space="preserve">= 7 \* GB3</w:instrText>
      </w:r>
      <w:r>
        <w:rPr>
          <w:rFonts w:hint="eastAsia"/>
          <w:bCs/>
          <w:color w:val="000000" w:themeColor="text1"/>
          <w14:textFill>
            <w14:solidFill>
              <w14:schemeClr w14:val="tx1"/>
            </w14:solidFill>
          </w14:textFill>
        </w:rPr>
        <w:fldChar w:fldCharType="separate"/>
      </w:r>
      <w:r>
        <w:rPr>
          <w:rFonts w:hint="eastAsia"/>
          <w:bCs/>
          <w:color w:val="000000" w:themeColor="text1"/>
          <w14:textFill>
            <w14:solidFill>
              <w14:schemeClr w14:val="tx1"/>
            </w14:solidFill>
          </w14:textFill>
        </w:rPr>
        <w:t>⑦</w:t>
      </w:r>
      <w:r>
        <w:rPr>
          <w:rFonts w:hint="eastAsia"/>
          <w:bCs/>
          <w:color w:val="000000" w:themeColor="text1"/>
          <w14:textFill>
            <w14:solidFill>
              <w14:schemeClr w14:val="tx1"/>
            </w14:solidFill>
          </w14:textFill>
        </w:rPr>
        <w:fldChar w:fldCharType="end"/>
      </w:r>
      <w:r>
        <w:rPr>
          <w:rFonts w:hint="eastAsia"/>
          <w:bCs/>
          <w:color w:val="000000" w:themeColor="text1"/>
          <w14:textFill>
            <w14:solidFill>
              <w14:schemeClr w14:val="tx1"/>
            </w14:solidFill>
          </w14:textFill>
        </w:rPr>
        <w:t>我方杜绝捏造、虚构事实等方式进行恶意投诉的行为；</w:t>
      </w:r>
    </w:p>
    <w:p w14:paraId="469BDB78">
      <w:pPr>
        <w:pStyle w:val="19"/>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14:paraId="69F22AA6">
      <w:pPr>
        <w:pStyle w:val="19"/>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⑨若对本次投标有投诉（异议），我保证由我投标时授权的代理人全权处理投诉（异议）事项，不再另行委托他人处理，如若违背，招标人或监管机构有权拒绝受理我公司投诉（异议）事项。</w:t>
      </w:r>
    </w:p>
    <w:p w14:paraId="6E0745A2">
      <w:pPr>
        <w:pStyle w:val="19"/>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我方在本次招投标活动过程中如有违背上述承诺诚实行为的：</w:t>
      </w:r>
    </w:p>
    <w:p w14:paraId="36DF108D">
      <w:pPr>
        <w:pStyle w:val="19"/>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① 自愿扣除本项目投标保证金。</w:t>
      </w:r>
    </w:p>
    <w:p w14:paraId="7B072C6F">
      <w:pPr>
        <w:pStyle w:val="19"/>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②处罚公示期内，不得参与盐城市国有资金投资项目的投标。</w:t>
      </w:r>
    </w:p>
    <w:p w14:paraId="682E706A">
      <w:pPr>
        <w:pStyle w:val="19"/>
        <w:spacing w:before="0" w:beforeAutospacing="0" w:after="0" w:afterAutospacing="0" w:line="400" w:lineRule="exact"/>
        <w:ind w:firstLine="480" w:firstLineChars="200"/>
        <w:textAlignment w:val="baseline"/>
        <w:rPr>
          <w:bCs/>
          <w:color w:val="000000" w:themeColor="text1"/>
          <w14:textFill>
            <w14:solidFill>
              <w14:schemeClr w14:val="tx1"/>
            </w14:solidFill>
          </w14:textFill>
        </w:rPr>
      </w:pPr>
      <w:r>
        <w:rPr>
          <w:rFonts w:hint="eastAsia"/>
          <w:bCs/>
          <w:color w:val="000000" w:themeColor="text1"/>
          <w14:textFill>
            <w14:solidFill>
              <w14:schemeClr w14:val="tx1"/>
            </w14:solidFill>
          </w14:textFill>
        </w:rPr>
        <w:t>③对造成的损失，任何法律和经济责任完全由我方负责。</w:t>
      </w:r>
    </w:p>
    <w:p w14:paraId="3551EF12">
      <w:pPr>
        <w:pStyle w:val="19"/>
        <w:spacing w:before="0" w:beforeAutospacing="0" w:after="0" w:afterAutospacing="0" w:line="400" w:lineRule="exact"/>
        <w:ind w:firstLine="480" w:firstLineChars="200"/>
        <w:textAlignment w:val="baseline"/>
        <w:rPr>
          <w:b/>
          <w:color w:val="000000" w:themeColor="text1"/>
          <w14:textFill>
            <w14:solidFill>
              <w14:schemeClr w14:val="tx1"/>
            </w14:solidFill>
          </w14:textFill>
        </w:rPr>
      </w:pPr>
      <w:r>
        <w:rPr>
          <w:rFonts w:hint="eastAsia"/>
          <w:b/>
          <w:color w:val="000000" w:themeColor="text1"/>
          <w14:textFill>
            <w14:solidFill>
              <w14:schemeClr w14:val="tx1"/>
            </w14:solidFill>
          </w14:textFill>
        </w:rPr>
        <w:t>投标人的法定代表人必须本人签署诚信承诺书，否则招标人将拒收（退回）其投标文件。</w:t>
      </w:r>
    </w:p>
    <w:p w14:paraId="621B28CD">
      <w:pPr>
        <w:pStyle w:val="8"/>
        <w:ind w:firstLine="0"/>
        <w:rPr>
          <w:rFonts w:ascii="宋体" w:hAnsi="宋体" w:eastAsia="宋体" w:cs="宋体"/>
          <w:b w:val="0"/>
          <w:color w:val="000000" w:themeColor="text1"/>
          <w14:textFill>
            <w14:solidFill>
              <w14:schemeClr w14:val="tx1"/>
            </w14:solidFill>
          </w14:textFill>
        </w:rPr>
      </w:pPr>
    </w:p>
    <w:p w14:paraId="428F55EB">
      <w:pPr>
        <w:pStyle w:val="8"/>
        <w:ind w:firstLine="1200" w:firstLineChars="500"/>
        <w:jc w:val="left"/>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投标人（盖章）：</w:t>
      </w:r>
    </w:p>
    <w:p w14:paraId="0EF6E743">
      <w:pPr>
        <w:pStyle w:val="8"/>
        <w:ind w:firstLine="1200" w:firstLineChars="500"/>
        <w:jc w:val="left"/>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法定代表人（签字）：</w:t>
      </w:r>
    </w:p>
    <w:p w14:paraId="4E18ACCA">
      <w:pPr>
        <w:pStyle w:val="8"/>
        <w:ind w:firstLine="1200" w:firstLineChars="500"/>
        <w:jc w:val="left"/>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b w:val="0"/>
          <w:bCs w:val="0"/>
          <w:color w:val="000000" w:themeColor="text1"/>
          <w14:textFill>
            <w14:solidFill>
              <w14:schemeClr w14:val="tx1"/>
            </w14:solidFill>
          </w14:textFill>
        </w:rPr>
        <w:t>日期：　 年　  月　　日</w:t>
      </w:r>
    </w:p>
    <w:p w14:paraId="7C327479">
      <w:pPr>
        <w:spacing w:line="500" w:lineRule="exact"/>
        <w:jc w:val="left"/>
        <w:rPr>
          <w:rFonts w:ascii="宋体" w:hAnsi="宋体" w:cs="宋体"/>
          <w:b/>
          <w:color w:val="000000" w:themeColor="text1"/>
          <w:sz w:val="32"/>
          <w:szCs w:val="32"/>
          <w14:textFill>
            <w14:solidFill>
              <w14:schemeClr w14:val="tx1"/>
            </w14:solidFill>
          </w14:textFill>
        </w:rPr>
      </w:pPr>
    </w:p>
    <w:p w14:paraId="1DF0883C">
      <w:pPr>
        <w:spacing w:line="500" w:lineRule="exact"/>
        <w:jc w:val="lef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附件2</w:t>
      </w:r>
    </w:p>
    <w:p w14:paraId="687AAAFF">
      <w:pPr>
        <w:spacing w:line="500" w:lineRule="exact"/>
        <w:jc w:val="center"/>
        <w:rPr>
          <w:rFonts w:ascii="宋体" w:hAnsi="宋体" w:cs="宋体"/>
          <w:b/>
          <w:color w:val="000000" w:themeColor="text1"/>
          <w:sz w:val="32"/>
          <w:szCs w:val="32"/>
          <w14:textFill>
            <w14:solidFill>
              <w14:schemeClr w14:val="tx1"/>
            </w14:solidFill>
          </w14:textFill>
        </w:rPr>
      </w:pPr>
    </w:p>
    <w:p w14:paraId="536B9C90">
      <w:pPr>
        <w:spacing w:line="50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法定代表人身份证明书</w:t>
      </w:r>
    </w:p>
    <w:p w14:paraId="6E7B2C4D">
      <w:pPr>
        <w:spacing w:line="500" w:lineRule="exact"/>
        <w:rPr>
          <w:rFonts w:ascii="宋体" w:hAnsi="宋体" w:cs="宋体"/>
          <w:color w:val="000000" w:themeColor="text1"/>
          <w:sz w:val="28"/>
          <w14:textFill>
            <w14:solidFill>
              <w14:schemeClr w14:val="tx1"/>
            </w14:solidFill>
          </w14:textFill>
        </w:rPr>
      </w:pPr>
    </w:p>
    <w:p w14:paraId="5977FB94">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p>
    <w:p w14:paraId="7D65FDBF">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单位性质：</w:t>
      </w:r>
    </w:p>
    <w:p w14:paraId="5CDD3AE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p>
    <w:p w14:paraId="1BECCB4D">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成立时间：年月日</w:t>
      </w:r>
    </w:p>
    <w:p w14:paraId="25E219F0">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经营期限：</w:t>
      </w:r>
    </w:p>
    <w:p w14:paraId="003BBC75">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 性别： 年龄： 职务：</w:t>
      </w:r>
    </w:p>
    <w:p w14:paraId="7275E075">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系（投标人）的法定代表人。</w:t>
      </w:r>
    </w:p>
    <w:p w14:paraId="44A058C1">
      <w:pPr>
        <w:spacing w:line="500" w:lineRule="exact"/>
        <w:ind w:firstLine="480" w:firstLineChars="200"/>
        <w:rPr>
          <w:rFonts w:ascii="宋体" w:hAnsi="宋体" w:cs="宋体"/>
          <w:color w:val="000000" w:themeColor="text1"/>
          <w:sz w:val="24"/>
          <w14:textFill>
            <w14:solidFill>
              <w14:schemeClr w14:val="tx1"/>
            </w14:solidFill>
          </w14:textFill>
        </w:rPr>
      </w:pPr>
    </w:p>
    <w:p w14:paraId="6448F97F">
      <w:pPr>
        <w:spacing w:line="500" w:lineRule="exact"/>
        <w:ind w:firstLine="480" w:firstLineChars="200"/>
        <w:rPr>
          <w:rFonts w:ascii="宋体" w:hAnsi="宋体" w:cs="宋体"/>
          <w:color w:val="000000" w:themeColor="text1"/>
          <w:sz w:val="24"/>
          <w14:textFill>
            <w14:solidFill>
              <w14:schemeClr w14:val="tx1"/>
            </w14:solidFill>
          </w14:textFill>
        </w:rPr>
      </w:pPr>
    </w:p>
    <w:p w14:paraId="02E6203C">
      <w:pPr>
        <w:spacing w:line="500" w:lineRule="exact"/>
        <w:ind w:firstLine="480" w:firstLineChars="200"/>
        <w:rPr>
          <w:rFonts w:ascii="宋体" w:hAnsi="宋体" w:cs="宋体"/>
          <w:color w:val="000000" w:themeColor="text1"/>
          <w:sz w:val="24"/>
          <w14:textFill>
            <w14:solidFill>
              <w14:schemeClr w14:val="tx1"/>
            </w14:solidFill>
          </w14:textFill>
        </w:rPr>
      </w:pPr>
    </w:p>
    <w:p w14:paraId="70932F44">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14:paraId="79D47D70">
      <w:pPr>
        <w:spacing w:line="500" w:lineRule="exact"/>
        <w:ind w:firstLine="480" w:firstLineChars="200"/>
        <w:rPr>
          <w:rFonts w:ascii="宋体" w:hAnsi="宋体" w:cs="宋体"/>
          <w:color w:val="000000" w:themeColor="text1"/>
          <w:sz w:val="24"/>
          <w14:textFill>
            <w14:solidFill>
              <w14:schemeClr w14:val="tx1"/>
            </w14:solidFill>
          </w14:textFill>
        </w:rPr>
      </w:pPr>
    </w:p>
    <w:p w14:paraId="6AFAFB42">
      <w:pPr>
        <w:spacing w:line="520" w:lineRule="atLeas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身份证复印件粘贴处：</w:t>
      </w:r>
    </w:p>
    <w:p w14:paraId="081A9101">
      <w:pPr>
        <w:spacing w:line="500" w:lineRule="exact"/>
        <w:ind w:firstLine="480" w:firstLineChars="200"/>
        <w:rPr>
          <w:rFonts w:ascii="宋体" w:hAnsi="宋体" w:cs="宋体"/>
          <w:color w:val="000000" w:themeColor="text1"/>
          <w:sz w:val="24"/>
          <w14:textFill>
            <w14:solidFill>
              <w14:schemeClr w14:val="tx1"/>
            </w14:solidFill>
          </w14:textFill>
        </w:rPr>
      </w:pPr>
    </w:p>
    <w:p w14:paraId="1A5297A0">
      <w:pPr>
        <w:spacing w:line="500" w:lineRule="exact"/>
        <w:ind w:firstLine="480" w:firstLineChars="200"/>
        <w:rPr>
          <w:rFonts w:ascii="宋体" w:hAnsi="宋体" w:cs="宋体"/>
          <w:color w:val="000000" w:themeColor="text1"/>
          <w:sz w:val="24"/>
          <w14:textFill>
            <w14:solidFill>
              <w14:schemeClr w14:val="tx1"/>
            </w14:solidFill>
          </w14:textFill>
        </w:rPr>
      </w:pPr>
    </w:p>
    <w:p w14:paraId="2D33B28E">
      <w:pPr>
        <w:spacing w:line="500" w:lineRule="exact"/>
        <w:ind w:firstLine="480" w:firstLineChars="200"/>
        <w:rPr>
          <w:rFonts w:ascii="宋体" w:hAnsi="宋体" w:cs="宋体"/>
          <w:color w:val="000000" w:themeColor="text1"/>
          <w:sz w:val="24"/>
          <w14:textFill>
            <w14:solidFill>
              <w14:schemeClr w14:val="tx1"/>
            </w14:solidFill>
          </w14:textFill>
        </w:rPr>
      </w:pPr>
    </w:p>
    <w:p w14:paraId="23CA9210">
      <w:pPr>
        <w:spacing w:line="500" w:lineRule="exact"/>
        <w:ind w:firstLine="480" w:firstLineChars="200"/>
        <w:rPr>
          <w:rFonts w:ascii="宋体" w:hAnsi="宋体" w:cs="宋体"/>
          <w:color w:val="000000" w:themeColor="text1"/>
          <w:sz w:val="24"/>
          <w14:textFill>
            <w14:solidFill>
              <w14:schemeClr w14:val="tx1"/>
            </w14:solidFill>
          </w14:textFill>
        </w:rPr>
      </w:pPr>
    </w:p>
    <w:p w14:paraId="660A13F2">
      <w:pPr>
        <w:spacing w:line="500" w:lineRule="exact"/>
        <w:rPr>
          <w:rFonts w:ascii="宋体" w:hAnsi="宋体" w:cs="宋体"/>
          <w:color w:val="000000" w:themeColor="text1"/>
          <w:sz w:val="24"/>
          <w14:textFill>
            <w14:solidFill>
              <w14:schemeClr w14:val="tx1"/>
            </w14:solidFill>
          </w14:textFill>
        </w:rPr>
      </w:pPr>
    </w:p>
    <w:p w14:paraId="3545922D">
      <w:pPr>
        <w:spacing w:line="500" w:lineRule="exact"/>
        <w:ind w:firstLine="6240" w:firstLineChars="26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投标人（盖章）：</w:t>
      </w:r>
    </w:p>
    <w:p w14:paraId="62FF9E4C">
      <w:pPr>
        <w:spacing w:line="500" w:lineRule="exact"/>
        <w:ind w:firstLine="3840" w:firstLineChars="1600"/>
        <w:rPr>
          <w:rFonts w:ascii="宋体" w:hAnsi="宋体" w:cs="宋体"/>
          <w:color w:val="000000" w:themeColor="text1"/>
          <w:sz w:val="24"/>
          <w14:textFill>
            <w14:solidFill>
              <w14:schemeClr w14:val="tx1"/>
            </w14:solidFill>
          </w14:textFill>
        </w:rPr>
      </w:pPr>
    </w:p>
    <w:p w14:paraId="3ABF4942">
      <w:pPr>
        <w:spacing w:line="500" w:lineRule="exact"/>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14:paraId="728CD15F">
      <w:pPr>
        <w:spacing w:line="500" w:lineRule="exact"/>
        <w:jc w:val="left"/>
        <w:rPr>
          <w:rFonts w:ascii="宋体" w:hAnsi="宋体" w:cs="宋体"/>
          <w:color w:val="000000" w:themeColor="text1"/>
          <w:sz w:val="24"/>
          <w14:textFill>
            <w14:solidFill>
              <w14:schemeClr w14:val="tx1"/>
            </w14:solidFill>
          </w14:textFill>
        </w:rPr>
      </w:pPr>
    </w:p>
    <w:p w14:paraId="25684CED">
      <w:pPr>
        <w:spacing w:line="500" w:lineRule="exact"/>
        <w:jc w:val="left"/>
        <w:rPr>
          <w:rFonts w:ascii="宋体" w:hAnsi="宋体" w:cs="宋体"/>
          <w:b/>
          <w:color w:val="000000" w:themeColor="text1"/>
          <w:sz w:val="32"/>
          <w:szCs w:val="32"/>
          <w14:textFill>
            <w14:solidFill>
              <w14:schemeClr w14:val="tx1"/>
            </w14:solidFill>
          </w14:textFill>
        </w:rPr>
      </w:pPr>
    </w:p>
    <w:p w14:paraId="54EC7264">
      <w:pPr>
        <w:spacing w:line="500" w:lineRule="exact"/>
        <w:jc w:val="lef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附件3</w:t>
      </w:r>
    </w:p>
    <w:p w14:paraId="63FD56B6">
      <w:pPr>
        <w:spacing w:line="50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授 权 委 托 书</w:t>
      </w:r>
    </w:p>
    <w:p w14:paraId="4D14D15D">
      <w:pPr>
        <w:spacing w:line="520" w:lineRule="atLeast"/>
        <w:jc w:val="center"/>
        <w:rPr>
          <w:rFonts w:ascii="宋体" w:hAnsi="宋体" w:cs="宋体"/>
          <w:color w:val="000000" w:themeColor="text1"/>
          <w:sz w:val="44"/>
          <w14:textFill>
            <w14:solidFill>
              <w14:schemeClr w14:val="tx1"/>
            </w14:solidFill>
          </w14:textFill>
        </w:rPr>
      </w:pPr>
    </w:p>
    <w:p w14:paraId="57562E9B">
      <w:pPr>
        <w:spacing w:line="520" w:lineRule="atLeas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本授权委托书声明：我（姓名）系（投标人名称）的法定代表人，现授权委托（单位名称）的（姓名）为我单位的代理人，以本单位的名义参加</w:t>
      </w:r>
      <w:r>
        <w:rPr>
          <w:rFonts w:hint="eastAsia" w:ascii="宋体" w:hAnsi="宋体" w:cs="宋体"/>
          <w:color w:val="000000" w:themeColor="text1"/>
          <w:sz w:val="24"/>
          <w:u w:val="single"/>
          <w14:textFill>
            <w14:solidFill>
              <w14:schemeClr w14:val="tx1"/>
            </w14:solidFill>
          </w14:textFill>
        </w:rPr>
        <w:t>盐城工业职业技术学院</w:t>
      </w:r>
      <w:r>
        <w:rPr>
          <w:rFonts w:hint="eastAsia" w:ascii="宋体" w:hAnsi="宋体" w:cs="宋体"/>
          <w:color w:val="000000" w:themeColor="text1"/>
          <w:sz w:val="24"/>
          <w14:textFill>
            <w14:solidFill>
              <w14:schemeClr w14:val="tx1"/>
            </w14:solidFill>
          </w14:textFill>
        </w:rPr>
        <w:t>（招标人名称）的</w:t>
      </w:r>
      <w:r>
        <w:rPr>
          <w:rFonts w:hint="eastAsia" w:ascii="宋体" w:hAnsi="宋体" w:cs="宋体"/>
          <w:color w:val="000000" w:themeColor="text1"/>
          <w:sz w:val="24"/>
          <w:u w:val="single"/>
          <w:lang w:eastAsia="zh-CN"/>
          <w14:textFill>
            <w14:solidFill>
              <w14:schemeClr w14:val="tx1"/>
            </w14:solidFill>
          </w14:textFill>
        </w:rPr>
        <w:t>盐城工业职业技术学院建筑外墙涂料修补及室外木桥、木平台维修</w:t>
      </w:r>
      <w:r>
        <w:rPr>
          <w:rFonts w:hint="eastAsia" w:ascii="宋体" w:hAnsi="宋体" w:cs="宋体"/>
          <w:color w:val="000000" w:themeColor="text1"/>
          <w:sz w:val="24"/>
          <w:u w:val="none"/>
          <w:lang w:eastAsia="zh-CN"/>
          <w14:textFill>
            <w14:solidFill>
              <w14:schemeClr w14:val="tx1"/>
            </w14:solidFill>
          </w14:textFill>
        </w:rPr>
        <w:t>项目</w:t>
      </w:r>
      <w:r>
        <w:rPr>
          <w:rFonts w:hint="eastAsia" w:ascii="宋体" w:hAnsi="宋体" w:cs="宋体"/>
          <w:color w:val="000000" w:themeColor="text1"/>
          <w:sz w:val="24"/>
          <w14:textFill>
            <w14:solidFill>
              <w14:schemeClr w14:val="tx1"/>
            </w14:solidFill>
          </w14:textFill>
        </w:rPr>
        <w:t>的投标活动。代理人在开标、评标、合同谈判过程中所签署的一切文件和处理与之有关的一切事务，我均予以承认。代理人无转委托权。</w:t>
      </w:r>
    </w:p>
    <w:p w14:paraId="4B0DB6D0">
      <w:pPr>
        <w:spacing w:line="520" w:lineRule="atLeas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特此委托。</w:t>
      </w:r>
    </w:p>
    <w:p w14:paraId="3E6BDDF3">
      <w:pPr>
        <w:spacing w:line="520" w:lineRule="atLeast"/>
        <w:rPr>
          <w:rFonts w:ascii="宋体" w:hAnsi="宋体" w:cs="宋体"/>
          <w:color w:val="000000" w:themeColor="text1"/>
          <w:sz w:val="24"/>
          <w14:textFill>
            <w14:solidFill>
              <w14:schemeClr w14:val="tx1"/>
            </w14:solidFill>
          </w14:textFill>
        </w:rPr>
      </w:pPr>
    </w:p>
    <w:p w14:paraId="1C497CB9">
      <w:pPr>
        <w:spacing w:line="520" w:lineRule="atLeas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代理人姓名：              性别：          身份证号码：</w:t>
      </w:r>
    </w:p>
    <w:p w14:paraId="217867FC">
      <w:pPr>
        <w:spacing w:line="520" w:lineRule="atLeas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                    传真：          手机：</w:t>
      </w:r>
    </w:p>
    <w:p w14:paraId="6DE6B2C8">
      <w:pPr>
        <w:spacing w:line="520" w:lineRule="atLeast"/>
        <w:rPr>
          <w:rFonts w:ascii="宋体" w:hAnsi="宋体" w:cs="宋体"/>
          <w:color w:val="000000" w:themeColor="text1"/>
          <w:sz w:val="24"/>
          <w14:textFill>
            <w14:solidFill>
              <w14:schemeClr w14:val="tx1"/>
            </w14:solidFill>
          </w14:textFill>
        </w:rPr>
      </w:pPr>
    </w:p>
    <w:p w14:paraId="0803504B">
      <w:pPr>
        <w:spacing w:line="52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投标人（盖章）： </w:t>
      </w:r>
    </w:p>
    <w:p w14:paraId="776085F0">
      <w:pPr>
        <w:spacing w:line="520" w:lineRule="atLeast"/>
        <w:jc w:val="center"/>
        <w:rPr>
          <w:rFonts w:ascii="宋体" w:hAnsi="宋体" w:cs="宋体"/>
          <w:color w:val="000000" w:themeColor="text1"/>
          <w:sz w:val="24"/>
          <w14:textFill>
            <w14:solidFill>
              <w14:schemeClr w14:val="tx1"/>
            </w14:solidFill>
          </w14:textFill>
        </w:rPr>
      </w:pPr>
    </w:p>
    <w:p w14:paraId="51C8F4CA">
      <w:pPr>
        <w:spacing w:line="52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法定代表人（签字或盖章）：</w:t>
      </w:r>
    </w:p>
    <w:p w14:paraId="0198979C">
      <w:pPr>
        <w:spacing w:line="520" w:lineRule="atLeast"/>
        <w:rPr>
          <w:rFonts w:ascii="宋体" w:hAnsi="宋体" w:cs="宋体"/>
          <w:color w:val="000000" w:themeColor="text1"/>
          <w:sz w:val="24"/>
          <w14:textFill>
            <w14:solidFill>
              <w14:schemeClr w14:val="tx1"/>
            </w14:solidFill>
          </w14:textFill>
        </w:rPr>
      </w:pPr>
    </w:p>
    <w:p w14:paraId="680CEFDB">
      <w:pPr>
        <w:spacing w:line="520" w:lineRule="atLeast"/>
        <w:rPr>
          <w:rFonts w:ascii="宋体" w:hAnsi="宋体" w:cs="宋体"/>
          <w:color w:val="000000" w:themeColor="text1"/>
          <w:sz w:val="24"/>
          <w14:textFill>
            <w14:solidFill>
              <w14:schemeClr w14:val="tx1"/>
            </w14:solidFill>
          </w14:textFill>
        </w:rPr>
      </w:pPr>
    </w:p>
    <w:p w14:paraId="37A70563">
      <w:pPr>
        <w:spacing w:line="520" w:lineRule="atLeas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身份证复印件粘贴处：</w:t>
      </w:r>
    </w:p>
    <w:p w14:paraId="79852E24">
      <w:pPr>
        <w:spacing w:line="50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14:paraId="60BA1CA2">
      <w:pPr>
        <w:pStyle w:val="8"/>
        <w:tabs>
          <w:tab w:val="left" w:pos="840"/>
        </w:tabs>
        <w:spacing w:afterLines="50" w:line="320" w:lineRule="exact"/>
        <w:ind w:firstLine="0"/>
        <w:rPr>
          <w:rFonts w:ascii="宋体" w:hAnsi="宋体" w:eastAsia="宋体" w:cs="宋体"/>
          <w:color w:val="000000" w:themeColor="text1"/>
          <w14:textFill>
            <w14:solidFill>
              <w14:schemeClr w14:val="tx1"/>
            </w14:solidFill>
          </w14:textFill>
        </w:rPr>
      </w:pPr>
      <w:r>
        <w:rPr>
          <w:rFonts w:hint="eastAsia" w:ascii="宋体" w:hAnsi="宋体" w:eastAsia="宋体" w:cs="宋体"/>
          <w:bCs w:val="0"/>
          <w:color w:val="000000" w:themeColor="text1"/>
          <w:sz w:val="32"/>
          <w:szCs w:val="32"/>
          <w14:textFill>
            <w14:solidFill>
              <w14:schemeClr w14:val="tx1"/>
            </w14:solidFill>
          </w14:textFill>
        </w:rPr>
        <w:t>附件4</w:t>
      </w:r>
    </w:p>
    <w:p w14:paraId="01146360">
      <w:pPr>
        <w:pStyle w:val="8"/>
        <w:spacing w:afterLines="50" w:line="240" w:lineRule="auto"/>
        <w:ind w:firstLine="516"/>
        <w:jc w:val="center"/>
        <w:rPr>
          <w:rFonts w:ascii="宋体" w:hAnsi="宋体" w:eastAsia="宋体" w:cs="宋体"/>
          <w:bCs w:val="0"/>
          <w:color w:val="000000" w:themeColor="text1"/>
          <w:sz w:val="32"/>
          <w:szCs w:val="32"/>
          <w14:textFill>
            <w14:solidFill>
              <w14:schemeClr w14:val="tx1"/>
            </w14:solidFill>
          </w14:textFill>
        </w:rPr>
      </w:pPr>
      <w:r>
        <w:rPr>
          <w:rFonts w:hint="eastAsia" w:ascii="宋体" w:hAnsi="宋体" w:eastAsia="宋体" w:cs="宋体"/>
          <w:bCs w:val="0"/>
          <w:color w:val="000000" w:themeColor="text1"/>
          <w:sz w:val="44"/>
          <w:szCs w:val="44"/>
          <w14:textFill>
            <w14:solidFill>
              <w14:schemeClr w14:val="tx1"/>
            </w14:solidFill>
          </w14:textFill>
        </w:rPr>
        <w:t>投标承诺书</w:t>
      </w:r>
    </w:p>
    <w:p w14:paraId="5C0ACC5E">
      <w:pPr>
        <w:pStyle w:val="8"/>
        <w:spacing w:line="380" w:lineRule="exact"/>
        <w:ind w:firstLine="0"/>
        <w:rPr>
          <w:rFonts w:ascii="宋体" w:hAnsi="宋体" w:eastAsia="宋体" w:cs="宋体"/>
          <w:b w:val="0"/>
          <w:color w:val="000000" w:themeColor="text1"/>
          <w:u w:val="single"/>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致：</w:t>
      </w:r>
      <w:r>
        <w:rPr>
          <w:rFonts w:hint="eastAsia" w:ascii="宋体" w:hAnsi="宋体" w:eastAsia="宋体" w:cs="宋体"/>
          <w:b w:val="0"/>
          <w:bCs w:val="0"/>
          <w:color w:val="000000" w:themeColor="text1"/>
          <w:u w:val="single"/>
          <w14:textFill>
            <w14:solidFill>
              <w14:schemeClr w14:val="tx1"/>
            </w14:solidFill>
          </w14:textFill>
        </w:rPr>
        <w:t>盐城工业职业技术学院</w:t>
      </w:r>
    </w:p>
    <w:p w14:paraId="2E1B4C87">
      <w:pPr>
        <w:pStyle w:val="8"/>
        <w:spacing w:line="420" w:lineRule="exact"/>
        <w:ind w:firstLine="52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spacing w:val="10"/>
          <w14:textFill>
            <w14:solidFill>
              <w14:schemeClr w14:val="tx1"/>
            </w14:solidFill>
          </w14:textFill>
        </w:rPr>
        <w:t>1.根据你方招标项目</w:t>
      </w:r>
      <w:r>
        <w:rPr>
          <w:rFonts w:hint="eastAsia" w:ascii="宋体" w:hAnsi="宋体" w:eastAsia="宋体" w:cs="宋体"/>
          <w:b w:val="0"/>
          <w:bCs w:val="0"/>
          <w:color w:val="000000" w:themeColor="text1"/>
          <w:u w:val="single"/>
          <w:lang w:eastAsia="zh-CN"/>
          <w14:textFill>
            <w14:solidFill>
              <w14:schemeClr w14:val="tx1"/>
            </w14:solidFill>
          </w14:textFill>
        </w:rPr>
        <w:t>盐城工业职业技术学院建筑外墙涂料修补及室外木桥、木平台维修</w:t>
      </w:r>
      <w:r>
        <w:rPr>
          <w:rFonts w:hint="eastAsia" w:ascii="宋体" w:hAnsi="宋体" w:eastAsia="宋体" w:cs="宋体"/>
          <w:b w:val="0"/>
          <w:bCs w:val="0"/>
          <w:color w:val="000000" w:themeColor="text1"/>
          <w:u w:val="none"/>
          <w:lang w:eastAsia="zh-CN"/>
          <w14:textFill>
            <w14:solidFill>
              <w14:schemeClr w14:val="tx1"/>
            </w14:solidFill>
          </w14:textFill>
        </w:rPr>
        <w:t>项目</w:t>
      </w:r>
      <w:r>
        <w:rPr>
          <w:rFonts w:hint="eastAsia" w:ascii="宋体" w:hAnsi="宋体" w:eastAsia="宋体" w:cs="宋体"/>
          <w:b w:val="0"/>
          <w:color w:val="000000" w:themeColor="text1"/>
          <w:spacing w:val="10"/>
          <w14:textFill>
            <w14:solidFill>
              <w14:schemeClr w14:val="tx1"/>
            </w14:solidFill>
          </w14:textFill>
        </w:rPr>
        <w:t>的招标文件、遵照《中华人民共和国招标投标法》等有关规定，经踏勘项目现场和研究上述招标文件的投标须知、合同条</w:t>
      </w:r>
      <w:r>
        <w:rPr>
          <w:rFonts w:hint="eastAsia" w:ascii="宋体" w:hAnsi="宋体" w:eastAsia="宋体" w:cs="宋体"/>
          <w:b w:val="0"/>
          <w:color w:val="000000" w:themeColor="text1"/>
          <w:spacing w:val="10"/>
          <w:kern w:val="24"/>
          <w14:textFill>
            <w14:solidFill>
              <w14:schemeClr w14:val="tx1"/>
            </w14:solidFill>
          </w14:textFill>
        </w:rPr>
        <w:t>款、图</w:t>
      </w:r>
      <w:r>
        <w:rPr>
          <w:rFonts w:hint="eastAsia" w:ascii="宋体" w:hAnsi="宋体" w:eastAsia="宋体" w:cs="宋体"/>
          <w:b w:val="0"/>
          <w:color w:val="000000" w:themeColor="text1"/>
          <w:spacing w:val="10"/>
          <w14:textFill>
            <w14:solidFill>
              <w14:schemeClr w14:val="tx1"/>
            </w14:solidFill>
          </w14:textFill>
        </w:rPr>
        <w:t>纸</w:t>
      </w:r>
      <w:r>
        <w:rPr>
          <w:rFonts w:hint="eastAsia" w:ascii="宋体" w:hAnsi="宋体" w:eastAsia="宋体" w:cs="宋体"/>
          <w:b w:val="0"/>
          <w:color w:val="000000" w:themeColor="text1"/>
          <w:spacing w:val="10"/>
          <w:kern w:val="24"/>
          <w14:textFill>
            <w14:solidFill>
              <w14:schemeClr w14:val="tx1"/>
            </w14:solidFill>
          </w14:textFill>
        </w:rPr>
        <w:t>、建设标准和工程量清单及其他有关文件后，我方愿以人民币</w:t>
      </w:r>
      <w:r>
        <w:rPr>
          <w:rFonts w:hint="eastAsia" w:ascii="宋体" w:hAnsi="宋体" w:eastAsia="宋体" w:cs="宋体"/>
          <w:b w:val="0"/>
          <w:color w:val="000000" w:themeColor="text1"/>
          <w:spacing w:val="10"/>
          <w:kern w:val="24"/>
          <w:u w:val="single"/>
          <w14:textFill>
            <w14:solidFill>
              <w14:schemeClr w14:val="tx1"/>
            </w14:solidFill>
          </w14:textFill>
        </w:rPr>
        <w:t>（大写）   　　（小写：　 　元）</w:t>
      </w:r>
      <w:r>
        <w:rPr>
          <w:rFonts w:hint="eastAsia" w:ascii="宋体" w:hAnsi="宋体" w:eastAsia="宋体" w:cs="宋体"/>
          <w:b w:val="0"/>
          <w:color w:val="000000" w:themeColor="text1"/>
          <w:spacing w:val="10"/>
          <w14:textFill>
            <w14:solidFill>
              <w14:schemeClr w14:val="tx1"/>
            </w14:solidFill>
          </w14:textFill>
        </w:rPr>
        <w:t>的投标报价并按上述图</w:t>
      </w:r>
      <w:r>
        <w:rPr>
          <w:rFonts w:hint="eastAsia" w:ascii="宋体" w:hAnsi="宋体" w:eastAsia="宋体" w:cs="宋体"/>
          <w:b w:val="0"/>
          <w:color w:val="000000" w:themeColor="text1"/>
          <w14:textFill>
            <w14:solidFill>
              <w14:schemeClr w14:val="tx1"/>
            </w14:solidFill>
          </w14:textFill>
        </w:rPr>
        <w:t>纸、</w:t>
      </w:r>
      <w:r>
        <w:rPr>
          <w:rFonts w:hint="eastAsia" w:ascii="宋体" w:hAnsi="宋体" w:eastAsia="宋体" w:cs="宋体"/>
          <w:b w:val="0"/>
          <w:color w:val="000000" w:themeColor="text1"/>
          <w:spacing w:val="10"/>
          <w14:textFill>
            <w14:solidFill>
              <w14:schemeClr w14:val="tx1"/>
            </w14:solidFill>
          </w14:textFill>
        </w:rPr>
        <w:t>合同条款、工程建设标准和工程</w:t>
      </w:r>
      <w:r>
        <w:rPr>
          <w:rFonts w:hint="eastAsia" w:ascii="宋体" w:hAnsi="宋体" w:eastAsia="宋体" w:cs="宋体"/>
          <w:b w:val="0"/>
          <w:color w:val="000000" w:themeColor="text1"/>
          <w14:textFill>
            <w14:solidFill>
              <w14:schemeClr w14:val="tx1"/>
            </w14:solidFill>
          </w14:textFill>
        </w:rPr>
        <w:t>量清单的条件要求承包上述工程对应标段的施工、竣工，并承担任何质量缺陷保修责任。</w:t>
      </w:r>
    </w:p>
    <w:p w14:paraId="0FA4B9D9">
      <w:pPr>
        <w:pStyle w:val="8"/>
        <w:spacing w:line="38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2.我方派出</w:t>
      </w:r>
      <w:r>
        <w:rPr>
          <w:rFonts w:hint="eastAsia" w:ascii="宋体" w:hAnsi="宋体" w:eastAsia="宋体" w:cs="宋体"/>
          <w:b w:val="0"/>
          <w:color w:val="000000" w:themeColor="text1"/>
          <w:u w:val="single"/>
          <w14:textFill>
            <w14:solidFill>
              <w14:schemeClr w14:val="tx1"/>
            </w14:solidFill>
          </w14:textFill>
        </w:rPr>
        <w:t>　　　</w:t>
      </w:r>
      <w:r>
        <w:rPr>
          <w:rFonts w:hint="eastAsia" w:ascii="宋体" w:hAnsi="宋体" w:eastAsia="宋体" w:cs="宋体"/>
          <w:b w:val="0"/>
          <w:color w:val="000000" w:themeColor="text1"/>
          <w14:textFill>
            <w14:solidFill>
              <w14:schemeClr w14:val="tx1"/>
            </w14:solidFill>
          </w14:textFill>
        </w:rPr>
        <w:t>（项目负责人姓名）作为本次招标项目的项目负责人，项目负责人的联系电话为。</w:t>
      </w:r>
    </w:p>
    <w:p w14:paraId="238ECDF2">
      <w:pPr>
        <w:pStyle w:val="8"/>
        <w:spacing w:line="38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3.我方已详细阅读全部招标文件，包括修改文件、答疑及有关附件，我方承诺完全响应并认可上述文件的所有内容。</w:t>
      </w:r>
    </w:p>
    <w:p w14:paraId="673314DD">
      <w:pPr>
        <w:pStyle w:val="8"/>
        <w:spacing w:line="38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4.我方承认投标函附件是我方投标函的组成部分。</w:t>
      </w:r>
    </w:p>
    <w:p w14:paraId="2F068C6A">
      <w:pPr>
        <w:pStyle w:val="8"/>
        <w:spacing w:line="38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5.一旦我方中标，我方保证在</w:t>
      </w:r>
      <w:r>
        <w:rPr>
          <w:rFonts w:hint="eastAsia" w:ascii="宋体" w:hAnsi="宋体" w:eastAsia="宋体" w:cs="宋体"/>
          <w:bCs w:val="0"/>
          <w:color w:val="000000" w:themeColor="text1"/>
          <w:u w:val="single"/>
          <w14:textFill>
            <w14:solidFill>
              <w14:schemeClr w14:val="tx1"/>
            </w14:solidFill>
          </w14:textFill>
        </w:rPr>
        <w:t>招标人要求的工期内通过竣工验收合格并交付使用</w:t>
      </w:r>
      <w:r>
        <w:rPr>
          <w:rFonts w:hint="eastAsia" w:ascii="宋体" w:hAnsi="宋体" w:eastAsia="宋体" w:cs="宋体"/>
          <w:b w:val="0"/>
          <w:color w:val="000000" w:themeColor="text1"/>
          <w14:textFill>
            <w14:solidFill>
              <w14:schemeClr w14:val="tx1"/>
            </w14:solidFill>
          </w14:textFill>
        </w:rPr>
        <w:t>；并确保工程质量达到</w:t>
      </w:r>
      <w:r>
        <w:rPr>
          <w:rFonts w:hint="eastAsia" w:ascii="宋体" w:hAnsi="宋体" w:eastAsia="宋体" w:cs="宋体"/>
          <w:bCs w:val="0"/>
          <w:color w:val="000000" w:themeColor="text1"/>
          <w:u w:val="single"/>
          <w14:textFill>
            <w14:solidFill>
              <w14:schemeClr w14:val="tx1"/>
            </w14:solidFill>
          </w14:textFill>
        </w:rPr>
        <w:t>国家合格标准</w:t>
      </w:r>
      <w:r>
        <w:rPr>
          <w:rFonts w:hint="eastAsia" w:ascii="宋体" w:hAnsi="宋体" w:eastAsia="宋体" w:cs="宋体"/>
          <w:b w:val="0"/>
          <w:color w:val="000000" w:themeColor="text1"/>
          <w14:textFill>
            <w14:solidFill>
              <w14:schemeClr w14:val="tx1"/>
            </w14:solidFill>
          </w14:textFill>
        </w:rPr>
        <w:t>，同时严格执行《建设工程质量管理条例》中有关工程保修条款。</w:t>
      </w:r>
    </w:p>
    <w:p w14:paraId="71331AF0">
      <w:pPr>
        <w:pStyle w:val="8"/>
        <w:spacing w:line="38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6、如果我方在投标有效期内撤回投标、无故放弃中标资格，或违反招标文件、法律、法规规定的其他事项，我方的投标保证金贵方不予退还。</w:t>
      </w:r>
    </w:p>
    <w:p w14:paraId="19895858">
      <w:pPr>
        <w:pStyle w:val="8"/>
        <w:spacing w:line="38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7.  我方同意所提交的投标文件在招标文件规定的投标有效期内有效，在此期间内如果中标，我方将受此约束。</w:t>
      </w:r>
    </w:p>
    <w:p w14:paraId="3659BC2C">
      <w:pPr>
        <w:pStyle w:val="8"/>
        <w:spacing w:line="380" w:lineRule="exact"/>
        <w:ind w:firstLine="480" w:firstLineChars="2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8. 除非另外达成协议生效，你方的《中标通知书》和本投标文件将成为约束双方的合同文件的组成部分。</w:t>
      </w:r>
    </w:p>
    <w:p w14:paraId="5103E7AA">
      <w:pPr>
        <w:pStyle w:val="8"/>
        <w:spacing w:line="380" w:lineRule="exact"/>
        <w:ind w:firstLine="1473" w:firstLineChars="614"/>
        <w:rPr>
          <w:rFonts w:ascii="宋体" w:hAnsi="宋体" w:eastAsia="宋体" w:cs="宋体"/>
          <w:b w:val="0"/>
          <w:color w:val="000000" w:themeColor="text1"/>
          <w14:textFill>
            <w14:solidFill>
              <w14:schemeClr w14:val="tx1"/>
            </w14:solidFill>
          </w14:textFill>
        </w:rPr>
      </w:pPr>
    </w:p>
    <w:p w14:paraId="1B10FCBE">
      <w:pPr>
        <w:pStyle w:val="8"/>
        <w:spacing w:line="380" w:lineRule="exact"/>
        <w:ind w:firstLine="1305" w:firstLineChars="544"/>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投标人（盖章）：</w:t>
      </w:r>
      <w:r>
        <w:rPr>
          <w:rFonts w:hint="eastAsia" w:ascii="宋体" w:hAnsi="宋体" w:eastAsia="宋体" w:cs="宋体"/>
          <w:b w:val="0"/>
          <w:color w:val="000000" w:themeColor="text1"/>
          <w:u w:val="single"/>
          <w14:textFill>
            <w14:solidFill>
              <w14:schemeClr w14:val="tx1"/>
            </w14:solidFill>
          </w14:textFill>
        </w:rPr>
        <w:t>　　　　　　　　　　　　　　　   　　　　</w:t>
      </w:r>
    </w:p>
    <w:p w14:paraId="401DD811">
      <w:pPr>
        <w:pStyle w:val="8"/>
        <w:spacing w:line="380" w:lineRule="exact"/>
        <w:ind w:firstLine="1200" w:firstLineChars="500"/>
        <w:rPr>
          <w:rFonts w:ascii="宋体" w:hAnsi="宋体" w:eastAsia="宋体" w:cs="宋体"/>
          <w:b w:val="0"/>
          <w:color w:val="000000" w:themeColor="text1"/>
          <w:u w:val="single"/>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地址：</w:t>
      </w:r>
      <w:r>
        <w:rPr>
          <w:rFonts w:hint="eastAsia" w:ascii="宋体" w:hAnsi="宋体" w:eastAsia="宋体" w:cs="宋体"/>
          <w:b w:val="0"/>
          <w:color w:val="000000" w:themeColor="text1"/>
          <w:u w:val="single"/>
          <w14:textFill>
            <w14:solidFill>
              <w14:schemeClr w14:val="tx1"/>
            </w14:solidFill>
          </w14:textFill>
        </w:rPr>
        <w:t>　　　　　　　　　   　　　　　　　　　　 　　　　</w:t>
      </w:r>
    </w:p>
    <w:p w14:paraId="090715D4">
      <w:pPr>
        <w:pStyle w:val="8"/>
        <w:spacing w:line="380" w:lineRule="exact"/>
        <w:ind w:firstLine="1200" w:firstLineChars="500"/>
        <w:rPr>
          <w:rFonts w:ascii="宋体" w:hAnsi="宋体" w:eastAsia="宋体" w:cs="宋体"/>
          <w:b w:val="0"/>
          <w:color w:val="000000" w:themeColor="text1"/>
          <w:u w:val="single"/>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法定代表人或其委托代理人（签字或盖章）：</w:t>
      </w:r>
      <w:r>
        <w:rPr>
          <w:rFonts w:hint="eastAsia" w:ascii="宋体" w:hAnsi="宋体" w:eastAsia="宋体" w:cs="宋体"/>
          <w:b w:val="0"/>
          <w:color w:val="000000" w:themeColor="text1"/>
          <w:u w:val="single"/>
          <w14:textFill>
            <w14:solidFill>
              <w14:schemeClr w14:val="tx1"/>
            </w14:solidFill>
          </w14:textFill>
        </w:rPr>
        <w:t>　　　　　　 　　</w:t>
      </w:r>
    </w:p>
    <w:p w14:paraId="0A0FB3D5">
      <w:pPr>
        <w:pStyle w:val="8"/>
        <w:spacing w:line="380" w:lineRule="exact"/>
        <w:ind w:firstLine="1200" w:firstLineChars="50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邮政编码：</w:t>
      </w:r>
      <w:r>
        <w:rPr>
          <w:rFonts w:hint="eastAsia" w:ascii="宋体" w:hAnsi="宋体" w:eastAsia="宋体" w:cs="宋体"/>
          <w:b w:val="0"/>
          <w:color w:val="000000" w:themeColor="text1"/>
          <w:u w:val="single"/>
          <w14:textFill>
            <w14:solidFill>
              <w14:schemeClr w14:val="tx1"/>
            </w14:solidFill>
          </w14:textFill>
        </w:rPr>
        <w:t>　　　　</w:t>
      </w:r>
      <w:r>
        <w:rPr>
          <w:rFonts w:hint="eastAsia" w:ascii="宋体" w:hAnsi="宋体" w:eastAsia="宋体" w:cs="宋体"/>
          <w:b w:val="0"/>
          <w:color w:val="000000" w:themeColor="text1"/>
          <w14:textFill>
            <w14:solidFill>
              <w14:schemeClr w14:val="tx1"/>
            </w14:solidFill>
          </w14:textFill>
        </w:rPr>
        <w:t>电话：</w:t>
      </w:r>
      <w:r>
        <w:rPr>
          <w:rFonts w:hint="eastAsia" w:ascii="宋体" w:hAnsi="宋体" w:eastAsia="宋体" w:cs="宋体"/>
          <w:b w:val="0"/>
          <w:color w:val="000000" w:themeColor="text1"/>
          <w:u w:val="single"/>
          <w14:textFill>
            <w14:solidFill>
              <w14:schemeClr w14:val="tx1"/>
            </w14:solidFill>
          </w14:textFill>
        </w:rPr>
        <w:t>　　　　</w:t>
      </w:r>
      <w:r>
        <w:rPr>
          <w:rFonts w:hint="eastAsia" w:ascii="宋体" w:hAnsi="宋体" w:eastAsia="宋体" w:cs="宋体"/>
          <w:b w:val="0"/>
          <w:color w:val="000000" w:themeColor="text1"/>
          <w14:textFill>
            <w14:solidFill>
              <w14:schemeClr w14:val="tx1"/>
            </w14:solidFill>
          </w14:textFill>
        </w:rPr>
        <w:t>传真：</w:t>
      </w:r>
      <w:r>
        <w:rPr>
          <w:rFonts w:hint="eastAsia" w:ascii="宋体" w:hAnsi="宋体" w:eastAsia="宋体" w:cs="宋体"/>
          <w:b w:val="0"/>
          <w:color w:val="000000" w:themeColor="text1"/>
          <w:u w:val="single"/>
          <w14:textFill>
            <w14:solidFill>
              <w14:schemeClr w14:val="tx1"/>
            </w14:solidFill>
          </w14:textFill>
        </w:rPr>
        <w:t>　　　　　</w:t>
      </w:r>
      <w:r>
        <w:rPr>
          <w:rFonts w:hint="eastAsia" w:ascii="宋体" w:hAnsi="宋体" w:eastAsia="宋体" w:cs="宋体"/>
          <w:b w:val="0"/>
          <w:color w:val="000000" w:themeColor="text1"/>
          <w14:textFill>
            <w14:solidFill>
              <w14:schemeClr w14:val="tx1"/>
            </w14:solidFill>
          </w14:textFill>
        </w:rPr>
        <w:t>邮箱：</w:t>
      </w:r>
      <w:r>
        <w:rPr>
          <w:rFonts w:hint="eastAsia" w:ascii="宋体" w:hAnsi="宋体" w:eastAsia="宋体" w:cs="宋体"/>
          <w:b w:val="0"/>
          <w:color w:val="000000" w:themeColor="text1"/>
          <w:u w:val="single"/>
          <w14:textFill>
            <w14:solidFill>
              <w14:schemeClr w14:val="tx1"/>
            </w14:solidFill>
          </w14:textFill>
        </w:rPr>
        <w:t>　　</w:t>
      </w:r>
    </w:p>
    <w:p w14:paraId="12811512">
      <w:pPr>
        <w:spacing w:line="380" w:lineRule="exact"/>
        <w:ind w:firstLine="5145" w:firstLineChars="245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w:t>
      </w:r>
      <w:r>
        <w:rPr>
          <w:rFonts w:hint="eastAsia" w:ascii="宋体" w:hAnsi="宋体" w:cs="宋体"/>
          <w:color w:val="000000" w:themeColor="text1"/>
          <w:u w:val="single"/>
          <w14:textFill>
            <w14:solidFill>
              <w14:schemeClr w14:val="tx1"/>
            </w14:solidFill>
          </w14:textFill>
        </w:rPr>
        <w:t>　　　年　  月　　日</w:t>
      </w:r>
    </w:p>
    <w:p w14:paraId="60FEA8ED">
      <w:pPr>
        <w:spacing w:line="500" w:lineRule="exact"/>
        <w:jc w:val="left"/>
        <w:rPr>
          <w:rFonts w:ascii="宋体" w:hAnsi="宋体" w:cs="宋体"/>
          <w:color w:val="000000" w:themeColor="text1"/>
          <w14:textFill>
            <w14:solidFill>
              <w14:schemeClr w14:val="tx1"/>
            </w14:solidFill>
          </w14:textFill>
        </w:rPr>
      </w:pPr>
    </w:p>
    <w:p w14:paraId="554EBB10">
      <w:pPr>
        <w:widowControl/>
        <w:jc w:val="lef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br w:type="page"/>
      </w:r>
    </w:p>
    <w:p w14:paraId="096BDE00">
      <w:pPr>
        <w:spacing w:line="500" w:lineRule="exact"/>
        <w:jc w:val="lef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附件5</w:t>
      </w:r>
    </w:p>
    <w:p w14:paraId="677062D8">
      <w:pPr>
        <w:spacing w:line="5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一号标书封面样式：</w:t>
      </w:r>
    </w:p>
    <w:p w14:paraId="37FDC8C7">
      <w:pPr>
        <w:spacing w:line="520" w:lineRule="atLeast"/>
        <w:jc w:val="right"/>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本</w:t>
      </w:r>
    </w:p>
    <w:p w14:paraId="5A1DD897">
      <w:pPr>
        <w:pStyle w:val="11"/>
        <w:adjustRightInd w:val="0"/>
        <w:snapToGrid w:val="0"/>
        <w:spacing w:line="300" w:lineRule="exact"/>
        <w:ind w:left="109" w:leftChars="52"/>
        <w:rPr>
          <w:rFonts w:hAnsi="宋体" w:cs="宋体"/>
          <w:b/>
          <w:bCs/>
          <w:color w:val="000000" w:themeColor="text1"/>
          <w:sz w:val="32"/>
          <w:szCs w:val="32"/>
          <w14:textFill>
            <w14:solidFill>
              <w14:schemeClr w14:val="tx1"/>
            </w14:solidFill>
          </w14:textFill>
        </w:rPr>
      </w:pPr>
    </w:p>
    <w:p w14:paraId="78EBEF14">
      <w:pPr>
        <w:pStyle w:val="11"/>
        <w:adjustRightInd w:val="0"/>
        <w:snapToGrid w:val="0"/>
        <w:spacing w:line="300" w:lineRule="exact"/>
        <w:rPr>
          <w:rFonts w:hAnsi="宋体" w:cs="宋体"/>
          <w:b/>
          <w:bCs/>
          <w:color w:val="000000" w:themeColor="text1"/>
          <w:sz w:val="32"/>
          <w:szCs w:val="32"/>
          <w14:textFill>
            <w14:solidFill>
              <w14:schemeClr w14:val="tx1"/>
            </w14:solidFill>
          </w14:textFill>
        </w:rPr>
      </w:pPr>
    </w:p>
    <w:p w14:paraId="4AA49E73">
      <w:pPr>
        <w:pStyle w:val="11"/>
        <w:adjustRightInd w:val="0"/>
        <w:snapToGrid w:val="0"/>
        <w:spacing w:line="300" w:lineRule="exact"/>
        <w:ind w:left="109" w:leftChars="52"/>
        <w:rPr>
          <w:rFonts w:hAnsi="宋体" w:cs="宋体"/>
          <w:b/>
          <w:bCs/>
          <w:color w:val="000000" w:themeColor="text1"/>
          <w:sz w:val="32"/>
          <w:szCs w:val="32"/>
          <w14:textFill>
            <w14:solidFill>
              <w14:schemeClr w14:val="tx1"/>
            </w14:solidFill>
          </w14:textFill>
        </w:rPr>
      </w:pPr>
    </w:p>
    <w:p w14:paraId="065085B4">
      <w:pPr>
        <w:pStyle w:val="11"/>
        <w:adjustRightInd w:val="0"/>
        <w:snapToGrid w:val="0"/>
        <w:jc w:val="center"/>
        <w:rPr>
          <w:rFonts w:hint="eastAsia" w:hAnsi="宋体" w:cs="宋体"/>
          <w:b/>
          <w:color w:val="000000" w:themeColor="text1"/>
          <w:kern w:val="2"/>
          <w:sz w:val="44"/>
          <w:szCs w:val="44"/>
          <w:lang w:eastAsia="zh-CN"/>
          <w14:textFill>
            <w14:solidFill>
              <w14:schemeClr w14:val="tx1"/>
            </w14:solidFill>
          </w14:textFill>
        </w:rPr>
      </w:pPr>
      <w:r>
        <w:rPr>
          <w:rFonts w:hint="eastAsia" w:hAnsi="宋体" w:cs="宋体"/>
          <w:b/>
          <w:color w:val="000000" w:themeColor="text1"/>
          <w:kern w:val="2"/>
          <w:sz w:val="44"/>
          <w:szCs w:val="44"/>
          <w:lang w:eastAsia="zh-CN"/>
          <w14:textFill>
            <w14:solidFill>
              <w14:schemeClr w14:val="tx1"/>
            </w14:solidFill>
          </w14:textFill>
        </w:rPr>
        <w:t>盐城工业职业技术学院</w:t>
      </w:r>
    </w:p>
    <w:p w14:paraId="7DB45287">
      <w:pPr>
        <w:pStyle w:val="11"/>
        <w:adjustRightInd w:val="0"/>
        <w:snapToGrid w:val="0"/>
        <w:jc w:val="center"/>
        <w:rPr>
          <w:rFonts w:hint="eastAsia" w:hAnsi="宋体" w:eastAsia="宋体" w:cs="宋体"/>
          <w:b/>
          <w:bCs/>
          <w:color w:val="000000" w:themeColor="text1"/>
          <w:sz w:val="44"/>
          <w:szCs w:val="44"/>
          <w:lang w:eastAsia="zh-CN"/>
          <w14:textFill>
            <w14:solidFill>
              <w14:schemeClr w14:val="tx1"/>
            </w14:solidFill>
          </w14:textFill>
        </w:rPr>
      </w:pPr>
      <w:r>
        <w:rPr>
          <w:rFonts w:hint="eastAsia" w:hAnsi="宋体" w:cs="宋体"/>
          <w:b/>
          <w:color w:val="000000" w:themeColor="text1"/>
          <w:kern w:val="2"/>
          <w:sz w:val="44"/>
          <w:szCs w:val="44"/>
          <w:lang w:eastAsia="zh-CN"/>
          <w14:textFill>
            <w14:solidFill>
              <w14:schemeClr w14:val="tx1"/>
            </w14:solidFill>
          </w14:textFill>
        </w:rPr>
        <w:t>建筑外墙涂料修补及室外木桥、木平台维修</w:t>
      </w:r>
    </w:p>
    <w:p w14:paraId="493A69F9">
      <w:pPr>
        <w:spacing w:line="520" w:lineRule="atLeast"/>
        <w:rPr>
          <w:rFonts w:ascii="宋体" w:hAnsi="宋体" w:cs="宋体"/>
          <w:color w:val="000000" w:themeColor="text1"/>
          <w:sz w:val="48"/>
          <w14:textFill>
            <w14:solidFill>
              <w14:schemeClr w14:val="tx1"/>
            </w14:solidFill>
          </w14:textFill>
        </w:rPr>
      </w:pPr>
    </w:p>
    <w:p w14:paraId="35EA4D81">
      <w:pPr>
        <w:pStyle w:val="20"/>
        <w:ind w:firstLine="422"/>
        <w:rPr>
          <w:rFonts w:ascii="宋体" w:hAnsi="宋体" w:eastAsia="宋体" w:cs="宋体"/>
          <w:color w:val="000000" w:themeColor="text1"/>
          <w14:textFill>
            <w14:solidFill>
              <w14:schemeClr w14:val="tx1"/>
            </w14:solidFill>
          </w14:textFill>
        </w:rPr>
      </w:pPr>
    </w:p>
    <w:p w14:paraId="0C30405A">
      <w:pPr>
        <w:spacing w:line="520" w:lineRule="atLeast"/>
        <w:jc w:val="center"/>
        <w:rPr>
          <w:rFonts w:ascii="宋体" w:hAnsi="宋体" w:cs="宋体"/>
          <w:b/>
          <w:bCs/>
          <w:color w:val="000000" w:themeColor="text1"/>
          <w:sz w:val="72"/>
          <w14:textFill>
            <w14:solidFill>
              <w14:schemeClr w14:val="tx1"/>
            </w14:solidFill>
          </w14:textFill>
        </w:rPr>
      </w:pPr>
      <w:r>
        <w:rPr>
          <w:rFonts w:hint="eastAsia" w:ascii="宋体" w:hAnsi="宋体" w:cs="宋体"/>
          <w:b/>
          <w:bCs/>
          <w:color w:val="000000" w:themeColor="text1"/>
          <w:sz w:val="72"/>
          <w14:textFill>
            <w14:solidFill>
              <w14:schemeClr w14:val="tx1"/>
            </w14:solidFill>
          </w14:textFill>
        </w:rPr>
        <w:t>投 标 文 件</w:t>
      </w:r>
    </w:p>
    <w:p w14:paraId="7E1AC663">
      <w:pPr>
        <w:spacing w:line="520" w:lineRule="atLeast"/>
        <w:jc w:val="center"/>
        <w:rPr>
          <w:rFonts w:ascii="宋体" w:hAnsi="宋体" w:cs="宋体"/>
          <w:b/>
          <w:bCs/>
          <w:color w:val="000000" w:themeColor="text1"/>
          <w:sz w:val="36"/>
          <w14:textFill>
            <w14:solidFill>
              <w14:schemeClr w14:val="tx1"/>
            </w14:solidFill>
          </w14:textFill>
        </w:rPr>
      </w:pPr>
    </w:p>
    <w:p w14:paraId="34162F6B">
      <w:pPr>
        <w:spacing w:line="520" w:lineRule="atLeast"/>
        <w:jc w:val="center"/>
        <w:rPr>
          <w:rFonts w:ascii="宋体" w:hAnsi="宋体" w:cs="宋体"/>
          <w:b/>
          <w:bCs/>
          <w:color w:val="000000" w:themeColor="text1"/>
          <w:sz w:val="36"/>
          <w14:textFill>
            <w14:solidFill>
              <w14:schemeClr w14:val="tx1"/>
            </w14:solidFill>
          </w14:textFill>
        </w:rPr>
      </w:pPr>
      <w:r>
        <w:rPr>
          <w:rFonts w:hint="eastAsia" w:ascii="宋体" w:hAnsi="宋体" w:cs="宋体"/>
          <w:b/>
          <w:bCs/>
          <w:color w:val="000000" w:themeColor="text1"/>
          <w:sz w:val="36"/>
          <w14:textFill>
            <w14:solidFill>
              <w14:schemeClr w14:val="tx1"/>
            </w14:solidFill>
          </w14:textFill>
        </w:rPr>
        <w:t>（一号标书）</w:t>
      </w:r>
    </w:p>
    <w:p w14:paraId="7E4BD175">
      <w:pPr>
        <w:spacing w:line="520" w:lineRule="atLeast"/>
        <w:rPr>
          <w:rFonts w:ascii="宋体" w:hAnsi="宋体" w:cs="宋体"/>
          <w:b/>
          <w:bCs/>
          <w:color w:val="000000" w:themeColor="text1"/>
          <w:sz w:val="48"/>
          <w14:textFill>
            <w14:solidFill>
              <w14:schemeClr w14:val="tx1"/>
            </w14:solidFill>
          </w14:textFill>
        </w:rPr>
      </w:pPr>
    </w:p>
    <w:p w14:paraId="2BB7EEE0">
      <w:pPr>
        <w:spacing w:line="520" w:lineRule="atLeast"/>
        <w:rPr>
          <w:rFonts w:ascii="宋体" w:hAnsi="宋体" w:cs="宋体"/>
          <w:color w:val="000000" w:themeColor="text1"/>
          <w:sz w:val="28"/>
          <w14:textFill>
            <w14:solidFill>
              <w14:schemeClr w14:val="tx1"/>
            </w14:solidFill>
          </w14:textFill>
        </w:rPr>
      </w:pPr>
    </w:p>
    <w:p w14:paraId="2CAD797C">
      <w:pPr>
        <w:spacing w:line="520" w:lineRule="atLeast"/>
        <w:rPr>
          <w:rFonts w:ascii="宋体" w:hAnsi="宋体" w:cs="宋体"/>
          <w:color w:val="000000" w:themeColor="text1"/>
          <w:sz w:val="28"/>
          <w14:textFill>
            <w14:solidFill>
              <w14:schemeClr w14:val="tx1"/>
            </w14:solidFill>
          </w14:textFill>
        </w:rPr>
      </w:pPr>
    </w:p>
    <w:p w14:paraId="4C62E4FE">
      <w:pPr>
        <w:spacing w:line="520" w:lineRule="atLeast"/>
        <w:rPr>
          <w:rFonts w:ascii="宋体" w:hAnsi="宋体" w:cs="宋体"/>
          <w:color w:val="000000" w:themeColor="text1"/>
          <w:sz w:val="28"/>
          <w14:textFill>
            <w14:solidFill>
              <w14:schemeClr w14:val="tx1"/>
            </w14:solidFill>
          </w14:textFill>
        </w:rPr>
      </w:pPr>
    </w:p>
    <w:p w14:paraId="1D896295">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投标人（盖章）：</w:t>
      </w:r>
    </w:p>
    <w:p w14:paraId="48B82608">
      <w:pPr>
        <w:spacing w:line="500" w:lineRule="exact"/>
        <w:ind w:firstLine="480" w:firstLineChars="200"/>
        <w:rPr>
          <w:rFonts w:ascii="宋体" w:hAnsi="宋体" w:cs="宋体"/>
          <w:color w:val="000000" w:themeColor="text1"/>
          <w:sz w:val="24"/>
          <w14:textFill>
            <w14:solidFill>
              <w14:schemeClr w14:val="tx1"/>
            </w14:solidFill>
          </w14:textFill>
        </w:rPr>
      </w:pPr>
    </w:p>
    <w:p w14:paraId="4CAD22BB">
      <w:pPr>
        <w:spacing w:line="50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法定代表人或授权委托人（签字或盖章）：</w:t>
      </w:r>
    </w:p>
    <w:p w14:paraId="514B2E39">
      <w:pPr>
        <w:spacing w:line="500" w:lineRule="exact"/>
        <w:ind w:firstLine="480" w:firstLineChars="200"/>
        <w:rPr>
          <w:rFonts w:ascii="宋体" w:hAnsi="宋体" w:cs="宋体"/>
          <w:color w:val="000000" w:themeColor="text1"/>
          <w:sz w:val="24"/>
          <w14:textFill>
            <w14:solidFill>
              <w14:schemeClr w14:val="tx1"/>
            </w14:solidFill>
          </w14:textFill>
        </w:rPr>
      </w:pPr>
    </w:p>
    <w:p w14:paraId="0302E385">
      <w:pPr>
        <w:spacing w:line="500" w:lineRule="exact"/>
        <w:ind w:firstLine="480" w:firstLineChars="200"/>
        <w:rPr>
          <w:rFonts w:ascii="宋体" w:hAnsi="宋体" w:cs="宋体"/>
          <w:color w:val="000000" w:themeColor="text1"/>
          <w:sz w:val="24"/>
          <w14:textFill>
            <w14:solidFill>
              <w14:schemeClr w14:val="tx1"/>
            </w14:solidFill>
          </w14:textFill>
        </w:rPr>
      </w:pPr>
    </w:p>
    <w:p w14:paraId="29619AFD">
      <w:pPr>
        <w:spacing w:line="500" w:lineRule="exact"/>
        <w:ind w:firstLine="480" w:firstLineChars="200"/>
        <w:jc w:val="center"/>
        <w:rPr>
          <w:rFonts w:ascii="宋体" w:hAnsi="宋体" w:cs="宋体"/>
          <w:b/>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p w14:paraId="28D5EB37">
      <w:pPr>
        <w:pStyle w:val="20"/>
        <w:ind w:left="0" w:leftChars="0" w:firstLine="0" w:firstLineChars="0"/>
        <w:rPr>
          <w:rFonts w:ascii="宋体" w:hAnsi="宋体" w:eastAsia="宋体" w:cs="宋体"/>
          <w:color w:val="000000" w:themeColor="text1"/>
          <w14:textFill>
            <w14:solidFill>
              <w14:schemeClr w14:val="tx1"/>
            </w14:solidFill>
          </w14:textFill>
        </w:rPr>
      </w:pPr>
    </w:p>
    <w:p w14:paraId="5F826939">
      <w:pPr>
        <w:spacing w:line="500" w:lineRule="exact"/>
        <w:rPr>
          <w:rFonts w:ascii="宋体" w:hAnsi="宋体" w:cs="宋体"/>
          <w:b/>
          <w:color w:val="000000" w:themeColor="text1"/>
          <w:sz w:val="32"/>
          <w:szCs w:val="32"/>
          <w14:textFill>
            <w14:solidFill>
              <w14:schemeClr w14:val="tx1"/>
            </w14:solidFill>
          </w14:textFill>
        </w:rPr>
      </w:pPr>
    </w:p>
    <w:p w14:paraId="6E1FFC6D">
      <w:pPr>
        <w:spacing w:line="500" w:lineRule="exact"/>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附件6</w:t>
      </w:r>
    </w:p>
    <w:tbl>
      <w:tblPr>
        <w:tblStyle w:val="21"/>
        <w:tblW w:w="9469" w:type="dxa"/>
        <w:tblInd w:w="0" w:type="dxa"/>
        <w:tblLayout w:type="fixed"/>
        <w:tblCellMar>
          <w:top w:w="0" w:type="dxa"/>
          <w:left w:w="108" w:type="dxa"/>
          <w:bottom w:w="0" w:type="dxa"/>
          <w:right w:w="108" w:type="dxa"/>
        </w:tblCellMar>
      </w:tblPr>
      <w:tblGrid>
        <w:gridCol w:w="1103"/>
        <w:gridCol w:w="1833"/>
        <w:gridCol w:w="3113"/>
        <w:gridCol w:w="3420"/>
      </w:tblGrid>
      <w:tr w14:paraId="6335FB18">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14:paraId="13FE29F9">
            <w:pPr>
              <w:widowControl/>
              <w:jc w:val="center"/>
              <w:rPr>
                <w:rFonts w:ascii="宋体" w:hAnsi="宋体" w:cs="宋体"/>
                <w:b/>
                <w:bCs/>
                <w:color w:val="000000" w:themeColor="text1"/>
                <w:kern w:val="0"/>
                <w:sz w:val="44"/>
                <w:szCs w:val="44"/>
                <w14:textFill>
                  <w14:solidFill>
                    <w14:schemeClr w14:val="tx1"/>
                  </w14:solidFill>
                </w14:textFill>
              </w:rPr>
            </w:pPr>
            <w:r>
              <w:rPr>
                <w:rFonts w:hint="eastAsia" w:ascii="宋体" w:hAnsi="宋体" w:cs="宋体"/>
                <w:b/>
                <w:bCs/>
                <w:color w:val="000000" w:themeColor="text1"/>
                <w:kern w:val="0"/>
                <w:sz w:val="44"/>
                <w:szCs w:val="44"/>
                <w14:textFill>
                  <w14:solidFill>
                    <w14:schemeClr w14:val="tx1"/>
                  </w14:solidFill>
                </w14:textFill>
              </w:rPr>
              <w:t>投标文件原件清单</w:t>
            </w:r>
          </w:p>
        </w:tc>
      </w:tr>
      <w:tr w14:paraId="1295A3D6">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14:paraId="0A95DE0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投标人名称：</w:t>
            </w:r>
          </w:p>
        </w:tc>
        <w:tc>
          <w:tcPr>
            <w:tcW w:w="3113" w:type="dxa"/>
            <w:tcBorders>
              <w:top w:val="nil"/>
              <w:left w:val="nil"/>
              <w:bottom w:val="single" w:color="auto" w:sz="4" w:space="0"/>
              <w:right w:val="nil"/>
            </w:tcBorders>
            <w:vAlign w:val="center"/>
          </w:tcPr>
          <w:p w14:paraId="2DE41E42">
            <w:pPr>
              <w:widowControl/>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　</w:t>
            </w:r>
          </w:p>
        </w:tc>
        <w:tc>
          <w:tcPr>
            <w:tcW w:w="3420" w:type="dxa"/>
            <w:tcBorders>
              <w:top w:val="nil"/>
              <w:left w:val="nil"/>
              <w:bottom w:val="single" w:color="auto" w:sz="4" w:space="0"/>
              <w:right w:val="nil"/>
            </w:tcBorders>
            <w:vAlign w:val="center"/>
          </w:tcPr>
          <w:p w14:paraId="3BC55086">
            <w:pPr>
              <w:widowControl/>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　</w:t>
            </w:r>
          </w:p>
        </w:tc>
      </w:tr>
      <w:tr w14:paraId="7769D3B7">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14:paraId="2AD6407F">
            <w:pPr>
              <w:widowControl/>
              <w:jc w:val="center"/>
              <w:rPr>
                <w:rFonts w:hint="eastAsia" w:ascii="宋体" w:hAnsi="宋体" w:eastAsia="宋体" w:cs="宋体"/>
                <w:b/>
                <w:bCs/>
                <w:color w:val="000000" w:themeColor="text1"/>
                <w:kern w:val="0"/>
                <w:sz w:val="24"/>
                <w:lang w:eastAsia="zh-CN"/>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w:t>
            </w:r>
          </w:p>
          <w:p w14:paraId="649D34D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号</w:t>
            </w:r>
          </w:p>
        </w:tc>
        <w:tc>
          <w:tcPr>
            <w:tcW w:w="4946" w:type="dxa"/>
            <w:gridSpan w:val="2"/>
            <w:tcBorders>
              <w:top w:val="single" w:color="auto" w:sz="4" w:space="0"/>
              <w:left w:val="nil"/>
              <w:bottom w:val="single" w:color="auto" w:sz="4" w:space="0"/>
              <w:right w:val="single" w:color="auto" w:sz="4" w:space="0"/>
            </w:tcBorders>
            <w:vAlign w:val="center"/>
          </w:tcPr>
          <w:p w14:paraId="5EE7EA6F">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原件名称</w:t>
            </w:r>
          </w:p>
        </w:tc>
        <w:tc>
          <w:tcPr>
            <w:tcW w:w="3420" w:type="dxa"/>
            <w:tcBorders>
              <w:top w:val="nil"/>
              <w:left w:val="nil"/>
              <w:bottom w:val="single" w:color="auto" w:sz="4" w:space="0"/>
              <w:right w:val="single" w:color="auto" w:sz="4" w:space="0"/>
            </w:tcBorders>
            <w:vAlign w:val="center"/>
          </w:tcPr>
          <w:p w14:paraId="573492D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　　注</w:t>
            </w:r>
          </w:p>
        </w:tc>
      </w:tr>
      <w:tr w14:paraId="63AABB97">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7929DEE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w:t>
            </w:r>
          </w:p>
        </w:tc>
        <w:tc>
          <w:tcPr>
            <w:tcW w:w="4946" w:type="dxa"/>
            <w:gridSpan w:val="2"/>
            <w:tcBorders>
              <w:top w:val="single" w:color="auto" w:sz="4" w:space="0"/>
              <w:left w:val="nil"/>
              <w:bottom w:val="single" w:color="auto" w:sz="4" w:space="0"/>
              <w:right w:val="single" w:color="auto" w:sz="4" w:space="0"/>
            </w:tcBorders>
            <w:vAlign w:val="center"/>
          </w:tcPr>
          <w:p w14:paraId="1154CB0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14:paraId="4B4E06F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4F0F2767">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70260A4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946" w:type="dxa"/>
            <w:gridSpan w:val="2"/>
            <w:tcBorders>
              <w:top w:val="single" w:color="auto" w:sz="4" w:space="0"/>
              <w:left w:val="nil"/>
              <w:bottom w:val="single" w:color="auto" w:sz="4" w:space="0"/>
              <w:right w:val="single" w:color="auto" w:sz="4" w:space="0"/>
            </w:tcBorders>
            <w:vAlign w:val="center"/>
          </w:tcPr>
          <w:p w14:paraId="267B532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14:paraId="137FE67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5B1ECFDF">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0C0ACF4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w:t>
            </w:r>
          </w:p>
        </w:tc>
        <w:tc>
          <w:tcPr>
            <w:tcW w:w="4946" w:type="dxa"/>
            <w:gridSpan w:val="2"/>
            <w:tcBorders>
              <w:top w:val="single" w:color="auto" w:sz="4" w:space="0"/>
              <w:left w:val="nil"/>
              <w:bottom w:val="single" w:color="auto" w:sz="4" w:space="0"/>
              <w:right w:val="single" w:color="auto" w:sz="4" w:space="0"/>
            </w:tcBorders>
            <w:vAlign w:val="center"/>
          </w:tcPr>
          <w:p w14:paraId="79E1793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14:paraId="6482D0C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2A1E0022">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56CF1C5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w:t>
            </w:r>
          </w:p>
        </w:tc>
        <w:tc>
          <w:tcPr>
            <w:tcW w:w="4946" w:type="dxa"/>
            <w:gridSpan w:val="2"/>
            <w:tcBorders>
              <w:top w:val="single" w:color="auto" w:sz="4" w:space="0"/>
              <w:left w:val="nil"/>
              <w:bottom w:val="single" w:color="auto" w:sz="4" w:space="0"/>
              <w:right w:val="single" w:color="auto" w:sz="4" w:space="0"/>
            </w:tcBorders>
            <w:vAlign w:val="center"/>
          </w:tcPr>
          <w:p w14:paraId="41C5ACB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14:paraId="371E76C2">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33DE47DA">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74707CA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w:t>
            </w:r>
          </w:p>
        </w:tc>
        <w:tc>
          <w:tcPr>
            <w:tcW w:w="4946" w:type="dxa"/>
            <w:gridSpan w:val="2"/>
            <w:tcBorders>
              <w:top w:val="single" w:color="auto" w:sz="4" w:space="0"/>
              <w:left w:val="nil"/>
              <w:bottom w:val="single" w:color="auto" w:sz="4" w:space="0"/>
              <w:right w:val="single" w:color="auto" w:sz="4" w:space="0"/>
            </w:tcBorders>
            <w:vAlign w:val="center"/>
          </w:tcPr>
          <w:p w14:paraId="46A0AD4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14:paraId="44F32FA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243D1965">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788238C3">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6</w:t>
            </w:r>
          </w:p>
        </w:tc>
        <w:tc>
          <w:tcPr>
            <w:tcW w:w="4946" w:type="dxa"/>
            <w:gridSpan w:val="2"/>
            <w:tcBorders>
              <w:top w:val="single" w:color="auto" w:sz="4" w:space="0"/>
              <w:left w:val="nil"/>
              <w:bottom w:val="single" w:color="auto" w:sz="4" w:space="0"/>
              <w:right w:val="single" w:color="auto" w:sz="4" w:space="0"/>
            </w:tcBorders>
            <w:vAlign w:val="center"/>
          </w:tcPr>
          <w:p w14:paraId="0EEF36D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14:paraId="37699A61">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72085FC9">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6F8B9247">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w:t>
            </w:r>
          </w:p>
        </w:tc>
        <w:tc>
          <w:tcPr>
            <w:tcW w:w="4946" w:type="dxa"/>
            <w:gridSpan w:val="2"/>
            <w:tcBorders>
              <w:top w:val="single" w:color="auto" w:sz="4" w:space="0"/>
              <w:left w:val="nil"/>
              <w:bottom w:val="single" w:color="auto" w:sz="4" w:space="0"/>
              <w:right w:val="single" w:color="auto" w:sz="4" w:space="0"/>
            </w:tcBorders>
            <w:vAlign w:val="center"/>
          </w:tcPr>
          <w:p w14:paraId="05E834CA">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14:paraId="7640D75C">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23E19A13">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68E7D48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4946" w:type="dxa"/>
            <w:gridSpan w:val="2"/>
            <w:tcBorders>
              <w:top w:val="single" w:color="auto" w:sz="4" w:space="0"/>
              <w:left w:val="nil"/>
              <w:bottom w:val="single" w:color="auto" w:sz="4" w:space="0"/>
              <w:right w:val="single" w:color="auto" w:sz="4" w:space="0"/>
            </w:tcBorders>
            <w:vAlign w:val="center"/>
          </w:tcPr>
          <w:p w14:paraId="2A15839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14:paraId="5B29BEF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37720817">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1719629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w:t>
            </w:r>
          </w:p>
        </w:tc>
        <w:tc>
          <w:tcPr>
            <w:tcW w:w="4946" w:type="dxa"/>
            <w:gridSpan w:val="2"/>
            <w:tcBorders>
              <w:top w:val="single" w:color="auto" w:sz="4" w:space="0"/>
              <w:left w:val="nil"/>
              <w:bottom w:val="single" w:color="auto" w:sz="4" w:space="0"/>
              <w:right w:val="single" w:color="auto" w:sz="4" w:space="0"/>
            </w:tcBorders>
            <w:vAlign w:val="center"/>
          </w:tcPr>
          <w:p w14:paraId="330B0B58">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14:paraId="7B8B02C6">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238AD9C7">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3D88DA8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4946" w:type="dxa"/>
            <w:gridSpan w:val="2"/>
            <w:tcBorders>
              <w:top w:val="single" w:color="auto" w:sz="4" w:space="0"/>
              <w:left w:val="nil"/>
              <w:bottom w:val="single" w:color="auto" w:sz="4" w:space="0"/>
              <w:right w:val="single" w:color="auto" w:sz="4" w:space="0"/>
            </w:tcBorders>
            <w:vAlign w:val="center"/>
          </w:tcPr>
          <w:p w14:paraId="5DD8C455">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14:paraId="408BAA1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621CAE01">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5F19C2B0">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11</w:t>
            </w:r>
          </w:p>
        </w:tc>
        <w:tc>
          <w:tcPr>
            <w:tcW w:w="4946" w:type="dxa"/>
            <w:gridSpan w:val="2"/>
            <w:tcBorders>
              <w:top w:val="single" w:color="auto" w:sz="4" w:space="0"/>
              <w:left w:val="nil"/>
              <w:bottom w:val="single" w:color="auto" w:sz="4" w:space="0"/>
              <w:right w:val="single" w:color="auto" w:sz="4" w:space="0"/>
            </w:tcBorders>
            <w:vAlign w:val="center"/>
          </w:tcPr>
          <w:p w14:paraId="6A8A8824">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14:paraId="79ABAA0E">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43BA83FE">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14:paraId="287A9FC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4946" w:type="dxa"/>
            <w:gridSpan w:val="2"/>
            <w:tcBorders>
              <w:top w:val="single" w:color="auto" w:sz="4" w:space="0"/>
              <w:left w:val="nil"/>
              <w:bottom w:val="single" w:color="auto" w:sz="4" w:space="0"/>
              <w:right w:val="single" w:color="auto" w:sz="4" w:space="0"/>
            </w:tcBorders>
            <w:vAlign w:val="center"/>
          </w:tcPr>
          <w:p w14:paraId="5A22021B">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3420" w:type="dxa"/>
            <w:tcBorders>
              <w:top w:val="nil"/>
              <w:left w:val="nil"/>
              <w:bottom w:val="single" w:color="auto" w:sz="4" w:space="0"/>
              <w:right w:val="single" w:color="auto" w:sz="4" w:space="0"/>
            </w:tcBorders>
            <w:vAlign w:val="center"/>
          </w:tcPr>
          <w:p w14:paraId="5930EABD">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14:paraId="17597E22">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14:paraId="42C88E17">
            <w:pPr>
              <w:widowControl/>
              <w:spacing w:line="440" w:lineRule="exact"/>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w:t>
            </w:r>
          </w:p>
          <w:p w14:paraId="3FB19056">
            <w:pPr>
              <w:widowControl/>
              <w:spacing w:line="440" w:lineRule="exact"/>
              <w:ind w:firstLine="480" w:firstLineChars="200"/>
              <w:jc w:val="left"/>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1、本表仅为核对投标人提供的证书等招标项目评标所需材料原件之用，如本表填写不下可按相同格式进行扩展；</w:t>
            </w:r>
          </w:p>
          <w:p w14:paraId="6F699DDA">
            <w:pPr>
              <w:widowControl/>
              <w:spacing w:line="440" w:lineRule="exact"/>
              <w:ind w:firstLine="480" w:firstLineChars="200"/>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2、如因投标人未按要求填写本表或填写内容表述不清造成原件材料缺失或无法核对，后果由投标人自负。</w:t>
            </w:r>
          </w:p>
        </w:tc>
      </w:tr>
    </w:tbl>
    <w:p w14:paraId="15A968F0">
      <w:pPr>
        <w:spacing w:line="300" w:lineRule="auto"/>
        <w:rPr>
          <w:rFonts w:ascii="宋体" w:hAnsi="宋体" w:cs="宋体"/>
          <w:color w:val="000000" w:themeColor="text1"/>
          <w14:textFill>
            <w14:solidFill>
              <w14:schemeClr w14:val="tx1"/>
            </w14:solidFill>
          </w14:textFill>
        </w:rPr>
      </w:pPr>
    </w:p>
    <w:p w14:paraId="4CD59A12">
      <w:pPr>
        <w:pStyle w:val="20"/>
        <w:ind w:firstLine="422"/>
        <w:rPr>
          <w:rFonts w:ascii="宋体" w:hAnsi="宋体" w:eastAsia="宋体" w:cs="宋体"/>
          <w:color w:val="000000" w:themeColor="text1"/>
          <w14:textFill>
            <w14:solidFill>
              <w14:schemeClr w14:val="tx1"/>
            </w14:solidFill>
          </w14:textFill>
        </w:rPr>
      </w:pPr>
    </w:p>
    <w:p w14:paraId="2BBD6795">
      <w:pPr>
        <w:pStyle w:val="20"/>
        <w:ind w:firstLine="422"/>
        <w:rPr>
          <w:rFonts w:ascii="宋体" w:hAnsi="宋体" w:eastAsia="宋体" w:cs="宋体"/>
          <w:color w:val="000000" w:themeColor="text1"/>
          <w14:textFill>
            <w14:solidFill>
              <w14:schemeClr w14:val="tx1"/>
            </w14:solidFill>
          </w14:textFill>
        </w:rPr>
      </w:pPr>
    </w:p>
    <w:p w14:paraId="176079CA">
      <w:pPr>
        <w:rPr>
          <w:rFonts w:ascii="宋体" w:hAnsi="宋体" w:cs="宋体"/>
          <w:color w:val="000000" w:themeColor="text1"/>
          <w14:textFill>
            <w14:solidFill>
              <w14:schemeClr w14:val="tx1"/>
            </w14:solidFill>
          </w14:textFill>
        </w:rPr>
      </w:pPr>
    </w:p>
    <w:p w14:paraId="64564721">
      <w:pP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附件7</w:t>
      </w:r>
    </w:p>
    <w:p w14:paraId="22A7A60F">
      <w:pPr>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异议书（格式）</w:t>
      </w:r>
    </w:p>
    <w:p w14:paraId="6B36C5D7">
      <w:pPr>
        <w:jc w:val="center"/>
        <w:rPr>
          <w:rFonts w:ascii="宋体" w:hAnsi="宋体" w:cs="宋体"/>
          <w:color w:val="000000" w:themeColor="text1"/>
          <w:sz w:val="36"/>
          <w:szCs w:val="36"/>
          <w14:textFill>
            <w14:solidFill>
              <w14:schemeClr w14:val="tx1"/>
            </w14:solidFill>
          </w14:textFill>
        </w:rPr>
      </w:pPr>
    </w:p>
    <w:p w14:paraId="59CA0365">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p w14:paraId="68CD3047">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异议人：</w:t>
      </w:r>
    </w:p>
    <w:p w14:paraId="7ABAAE24">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住所地：                  邮编：</w:t>
      </w:r>
    </w:p>
    <w:p w14:paraId="066FFE62">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             联系电话</w:t>
      </w:r>
    </w:p>
    <w:p w14:paraId="7BDCA0A5">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异议人授权代表：        性别：        年龄：</w:t>
      </w:r>
    </w:p>
    <w:p w14:paraId="5105A682">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住址：                    联系电话：</w:t>
      </w:r>
    </w:p>
    <w:p w14:paraId="0B3D6623">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提起异议事项的基本事实：</w:t>
      </w:r>
    </w:p>
    <w:p w14:paraId="456B8755">
      <w:pPr>
        <w:spacing w:line="360" w:lineRule="auto"/>
        <w:jc w:val="left"/>
        <w:rPr>
          <w:rFonts w:ascii="宋体" w:hAnsi="宋体" w:cs="宋体"/>
          <w:color w:val="000000" w:themeColor="text1"/>
          <w:sz w:val="24"/>
          <w14:textFill>
            <w14:solidFill>
              <w14:schemeClr w14:val="tx1"/>
            </w14:solidFill>
          </w14:textFill>
        </w:rPr>
      </w:pPr>
    </w:p>
    <w:p w14:paraId="346EFC0C">
      <w:pPr>
        <w:spacing w:line="360" w:lineRule="auto"/>
        <w:jc w:val="left"/>
        <w:rPr>
          <w:rFonts w:ascii="宋体" w:hAnsi="宋体" w:cs="宋体"/>
          <w:color w:val="000000" w:themeColor="text1"/>
          <w:sz w:val="24"/>
          <w14:textFill>
            <w14:solidFill>
              <w14:schemeClr w14:val="tx1"/>
            </w14:solidFill>
          </w14:textFill>
        </w:rPr>
      </w:pPr>
    </w:p>
    <w:p w14:paraId="3FD7A82D">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相关请求及主张：</w:t>
      </w:r>
    </w:p>
    <w:p w14:paraId="7A7A5C36">
      <w:pPr>
        <w:spacing w:line="360" w:lineRule="auto"/>
        <w:jc w:val="left"/>
        <w:rPr>
          <w:rFonts w:ascii="宋体" w:hAnsi="宋体" w:cs="宋体"/>
          <w:color w:val="000000" w:themeColor="text1"/>
          <w:sz w:val="24"/>
          <w14:textFill>
            <w14:solidFill>
              <w14:schemeClr w14:val="tx1"/>
            </w14:solidFill>
          </w14:textFill>
        </w:rPr>
      </w:pPr>
    </w:p>
    <w:p w14:paraId="5D82112B">
      <w:pPr>
        <w:spacing w:line="360" w:lineRule="auto"/>
        <w:jc w:val="left"/>
        <w:rPr>
          <w:rFonts w:ascii="宋体" w:hAnsi="宋体" w:cs="宋体"/>
          <w:color w:val="000000" w:themeColor="text1"/>
          <w:sz w:val="24"/>
          <w14:textFill>
            <w14:solidFill>
              <w14:schemeClr w14:val="tx1"/>
            </w14:solidFill>
          </w14:textFill>
        </w:rPr>
      </w:pPr>
    </w:p>
    <w:p w14:paraId="4E460E85">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有效线索和相关证明材料：</w:t>
      </w:r>
    </w:p>
    <w:p w14:paraId="166DC4FE">
      <w:pPr>
        <w:spacing w:line="360" w:lineRule="auto"/>
        <w:jc w:val="left"/>
        <w:rPr>
          <w:rFonts w:ascii="宋体" w:hAnsi="宋体" w:cs="宋体"/>
          <w:color w:val="000000" w:themeColor="text1"/>
          <w:sz w:val="24"/>
          <w14:textFill>
            <w14:solidFill>
              <w14:schemeClr w14:val="tx1"/>
            </w14:solidFill>
          </w14:textFill>
        </w:rPr>
      </w:pPr>
    </w:p>
    <w:p w14:paraId="58FD435F">
      <w:pPr>
        <w:spacing w:line="360" w:lineRule="auto"/>
        <w:jc w:val="left"/>
        <w:rPr>
          <w:rFonts w:ascii="宋体" w:hAnsi="宋体" w:cs="宋体"/>
          <w:color w:val="000000" w:themeColor="text1"/>
          <w:sz w:val="24"/>
          <w14:textFill>
            <w14:solidFill>
              <w14:schemeClr w14:val="tx1"/>
            </w14:solidFill>
          </w14:textFill>
        </w:rPr>
      </w:pPr>
    </w:p>
    <w:p w14:paraId="10BE95FD">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异议人与提起项目有利害关系的证明材料：</w:t>
      </w:r>
    </w:p>
    <w:p w14:paraId="22B66DD3">
      <w:pPr>
        <w:spacing w:line="360" w:lineRule="auto"/>
        <w:jc w:val="center"/>
        <w:rPr>
          <w:rFonts w:ascii="宋体" w:hAnsi="宋体" w:cs="宋体"/>
          <w:color w:val="000000" w:themeColor="text1"/>
          <w:sz w:val="24"/>
          <w14:textFill>
            <w14:solidFill>
              <w14:schemeClr w14:val="tx1"/>
            </w14:solidFill>
          </w14:textFill>
        </w:rPr>
      </w:pPr>
    </w:p>
    <w:p w14:paraId="4F425990">
      <w:pPr>
        <w:spacing w:line="360" w:lineRule="auto"/>
        <w:jc w:val="center"/>
        <w:rPr>
          <w:rFonts w:ascii="宋体" w:hAnsi="宋体" w:cs="宋体"/>
          <w:color w:val="000000" w:themeColor="text1"/>
          <w:sz w:val="24"/>
          <w14:textFill>
            <w14:solidFill>
              <w14:schemeClr w14:val="tx1"/>
            </w14:solidFill>
          </w14:textFill>
        </w:rPr>
      </w:pPr>
    </w:p>
    <w:p w14:paraId="40CEFD02">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异议人（公章）：</w:t>
      </w:r>
    </w:p>
    <w:p w14:paraId="1364BA52">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法定代表人或授权代表（签字）</w:t>
      </w:r>
    </w:p>
    <w:p w14:paraId="5F9BA75B">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14:paraId="23AF63DB">
      <w:pPr>
        <w:spacing w:line="360" w:lineRule="auto"/>
        <w:jc w:val="center"/>
        <w:rPr>
          <w:rFonts w:ascii="宋体" w:hAnsi="宋体" w:cs="宋体"/>
          <w:color w:val="000000" w:themeColor="text1"/>
          <w:sz w:val="24"/>
          <w14:textFill>
            <w14:solidFill>
              <w14:schemeClr w14:val="tx1"/>
            </w14:solidFill>
          </w14:textFill>
        </w:rPr>
      </w:pPr>
    </w:p>
    <w:p w14:paraId="03D45F26">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w:t>
      </w:r>
    </w:p>
    <w:p w14:paraId="39CD579A">
      <w:pPr>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1.异议人是法人的，异议书必须由其法定代表人或者授权代表签字并盖章。</w:t>
      </w:r>
    </w:p>
    <w:p w14:paraId="364AFCEC">
      <w:pPr>
        <w:spacing w:line="360" w:lineRule="auto"/>
        <w:jc w:val="left"/>
        <w:rPr>
          <w:rFonts w:ascii="宋体" w:hAnsi="宋体" w:cs="宋体"/>
          <w:b/>
          <w:color w:val="000000" w:themeColor="text1"/>
          <w:sz w:val="32"/>
          <w:szCs w:val="32"/>
          <w14:textFill>
            <w14:solidFill>
              <w14:schemeClr w14:val="tx1"/>
            </w14:solidFill>
          </w14:textFill>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宋体" w:hAnsi="宋体" w:cs="宋体"/>
          <w:color w:val="000000" w:themeColor="text1"/>
          <w:sz w:val="24"/>
          <w14:textFill>
            <w14:solidFill>
              <w14:schemeClr w14:val="tx1"/>
            </w14:solidFill>
          </w14:textFill>
        </w:rPr>
        <w:t>2.异议书有关材料是外文的，异议人应当同时提供其中文译本。</w:t>
      </w:r>
    </w:p>
    <w:p w14:paraId="7656AFC3">
      <w:pP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附件8</w:t>
      </w:r>
    </w:p>
    <w:p w14:paraId="42A32088">
      <w:pPr>
        <w:pStyle w:val="6"/>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工程量清单计价成果文件（投标报价明细表）</w:t>
      </w:r>
    </w:p>
    <w:p w14:paraId="388C8239">
      <w:pPr>
        <w:spacing w:line="360" w:lineRule="auto"/>
        <w:jc w:val="left"/>
        <w:rPr>
          <w:rFonts w:hint="eastAsia" w:ascii="宋体" w:hAnsi="宋体" w:eastAsia="宋体" w:cs="宋体"/>
          <w:b/>
          <w:color w:val="000000" w:themeColor="text1"/>
          <w:sz w:val="24"/>
          <w:szCs w:val="30"/>
          <w:lang w:eastAsia="zh-CN"/>
          <w14:textFill>
            <w14:solidFill>
              <w14:schemeClr w14:val="tx1"/>
            </w14:solidFill>
          </w14:textFill>
        </w:rPr>
      </w:pPr>
      <w:r>
        <w:rPr>
          <w:rFonts w:hint="eastAsia" w:ascii="宋体" w:hAnsi="宋体" w:cs="宋体"/>
          <w:b/>
          <w:color w:val="000000" w:themeColor="text1"/>
          <w:sz w:val="24"/>
          <w:szCs w:val="30"/>
          <w14:textFill>
            <w14:solidFill>
              <w14:schemeClr w14:val="tx1"/>
            </w14:solidFill>
          </w14:textFill>
        </w:rPr>
        <w:t>工程名称：</w:t>
      </w:r>
      <w:r>
        <w:rPr>
          <w:rFonts w:hint="eastAsia" w:ascii="宋体" w:hAnsi="宋体" w:cs="宋体"/>
          <w:b/>
          <w:color w:val="000000" w:themeColor="text1"/>
          <w:sz w:val="24"/>
          <w:szCs w:val="30"/>
          <w:lang w:eastAsia="zh-CN"/>
          <w14:textFill>
            <w14:solidFill>
              <w14:schemeClr w14:val="tx1"/>
            </w14:solidFill>
          </w14:textFill>
        </w:rPr>
        <w:t>盐城工业职业技术学院建筑外墙涂料修补及室外木桥、木平台维修</w:t>
      </w:r>
    </w:p>
    <w:tbl>
      <w:tblPr>
        <w:tblStyle w:val="21"/>
        <w:tblW w:w="10506" w:type="dxa"/>
        <w:jc w:val="center"/>
        <w:tblLayout w:type="fixed"/>
        <w:tblCellMar>
          <w:top w:w="0" w:type="dxa"/>
          <w:left w:w="0" w:type="dxa"/>
          <w:bottom w:w="0" w:type="dxa"/>
          <w:right w:w="0" w:type="dxa"/>
        </w:tblCellMar>
      </w:tblPr>
      <w:tblGrid>
        <w:gridCol w:w="619"/>
        <w:gridCol w:w="970"/>
        <w:gridCol w:w="4253"/>
        <w:gridCol w:w="847"/>
        <w:gridCol w:w="767"/>
        <w:gridCol w:w="819"/>
        <w:gridCol w:w="995"/>
        <w:gridCol w:w="1236"/>
      </w:tblGrid>
      <w:tr w14:paraId="23C24FB7">
        <w:tblPrEx>
          <w:tblCellMar>
            <w:top w:w="0" w:type="dxa"/>
            <w:left w:w="0" w:type="dxa"/>
            <w:bottom w:w="0" w:type="dxa"/>
            <w:right w:w="0" w:type="dxa"/>
          </w:tblCellMar>
        </w:tblPrEx>
        <w:trPr>
          <w:trHeight w:val="59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14:paraId="216B3B8D">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序号</w:t>
            </w:r>
          </w:p>
        </w:tc>
        <w:tc>
          <w:tcPr>
            <w:tcW w:w="9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9CB548">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名称</w:t>
            </w:r>
          </w:p>
        </w:tc>
        <w:tc>
          <w:tcPr>
            <w:tcW w:w="42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9139CE">
            <w:pPr>
              <w:widowControl/>
              <w:jc w:val="both"/>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技术参数</w:t>
            </w:r>
            <w:r>
              <w:rPr>
                <w:rFonts w:hint="eastAsia" w:ascii="宋体" w:hAnsi="宋体" w:eastAsia="宋体" w:cs="宋体"/>
                <w:color w:val="000000" w:themeColor="text1"/>
                <w:kern w:val="0"/>
                <w:sz w:val="24"/>
                <w:lang w:val="en-US" w:eastAsia="zh-CN"/>
                <w14:textFill>
                  <w14:solidFill>
                    <w14:schemeClr w14:val="tx1"/>
                  </w14:solidFill>
                </w14:textFill>
              </w:rPr>
              <w:t>及工作内容</w:t>
            </w:r>
          </w:p>
        </w:tc>
        <w:tc>
          <w:tcPr>
            <w:tcW w:w="84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F9B641">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单位</w:t>
            </w:r>
          </w:p>
        </w:tc>
        <w:tc>
          <w:tcPr>
            <w:tcW w:w="7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2E7C63">
            <w:pPr>
              <w:widowControl/>
              <w:jc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1FA57FF">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9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6DBC76">
            <w:pPr>
              <w:widowControl/>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合价</w:t>
            </w:r>
            <w:r>
              <w:rPr>
                <w:rFonts w:hint="eastAsia" w:ascii="宋体" w:hAnsi="宋体" w:eastAsia="宋体" w:cs="宋体"/>
                <w:color w:val="000000" w:themeColor="text1"/>
                <w:kern w:val="0"/>
                <w:sz w:val="24"/>
                <w14:textFill>
                  <w14:solidFill>
                    <w14:schemeClr w14:val="tx1"/>
                  </w14:solidFill>
                </w14:textFill>
              </w:rPr>
              <w:t>（元）</w:t>
            </w:r>
          </w:p>
        </w:tc>
        <w:tc>
          <w:tcPr>
            <w:tcW w:w="12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D423E0">
            <w:pPr>
              <w:widowControl/>
              <w:jc w:val="center"/>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备注</w:t>
            </w:r>
          </w:p>
        </w:tc>
      </w:tr>
      <w:tr w14:paraId="3A6E869D">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14:paraId="6C3357B4">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1</w:t>
            </w:r>
          </w:p>
        </w:tc>
        <w:tc>
          <w:tcPr>
            <w:tcW w:w="97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953651E">
            <w:pPr>
              <w:jc w:val="both"/>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外墙涂料修补</w:t>
            </w:r>
          </w:p>
        </w:tc>
        <w:tc>
          <w:tcPr>
            <w:tcW w:w="42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E1E870">
            <w:pPr>
              <w:jc w:val="both"/>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室外弹性涂料滚涂出新（颜色同原有墙面颜色，部分墙面需处理后方可喷涂，墙面处理分以下两种情况一：</w:t>
            </w:r>
          </w:p>
          <w:p w14:paraId="452FF9AE">
            <w:pPr>
              <w:jc w:val="both"/>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情况一：局部底层处理</w:t>
            </w:r>
          </w:p>
          <w:p w14:paraId="5FAD88BF">
            <w:pPr>
              <w:jc w:val="both"/>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对需要基层处理的部分进行基层处理，需要基层处理的部分指：①表面已空鼓②表面已裂缝 ③表面已斑驳④表面起翘并脱落 ⑤基层已明见损坏和脱落</w:t>
            </w:r>
            <w:r>
              <w:rPr>
                <w:rFonts w:hint="eastAsia" w:ascii="宋体" w:hAnsi="宋体" w:cs="宋体"/>
                <w:color w:val="000000" w:themeColor="text1"/>
                <w:kern w:val="2"/>
                <w:sz w:val="22"/>
                <w:szCs w:val="22"/>
                <w:shd w:val="clear" w:color="auto" w:fill="FFFFFF"/>
                <w:lang w:val="en-US" w:eastAsia="zh-CN" w:bidi="ar-SA"/>
                <w14:textFill>
                  <w14:solidFill>
                    <w14:schemeClr w14:val="tx1"/>
                  </w14:solidFill>
                </w14:textFill>
              </w:rPr>
              <w:t>等其他情况的</w:t>
            </w: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（出现以上情况之一，均需基层处理）。</w:t>
            </w:r>
          </w:p>
          <w:p w14:paraId="6FFE701C">
            <w:pPr>
              <w:jc w:val="both"/>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 xml:space="preserve">底层处理方案：①底层砂浆铲除 ② 底层水泥砂浆粉刷 ③水泥砂浆粉刷后放置一段时间后进行草酸处理 ④基层批腻子并做抗碱底漆。 </w:t>
            </w:r>
          </w:p>
          <w:p w14:paraId="232D0C67">
            <w:pPr>
              <w:jc w:val="both"/>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情况二：局部面层处理</w:t>
            </w:r>
          </w:p>
          <w:p w14:paraId="5C4F052D">
            <w:pPr>
              <w:jc w:val="both"/>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对面层局部脏斑、划痕做局部处理后方可滚涂出新。</w:t>
            </w:r>
          </w:p>
          <w:p w14:paraId="46469088">
            <w:pPr>
              <w:jc w:val="both"/>
              <w:rPr>
                <w:rFonts w:hint="default"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cs="宋体"/>
                <w:color w:val="000000" w:themeColor="text1"/>
                <w:kern w:val="2"/>
                <w:sz w:val="22"/>
                <w:szCs w:val="22"/>
                <w:highlight w:val="none"/>
                <w:shd w:val="clear" w:color="auto" w:fill="FFFFFF"/>
                <w:lang w:val="en-US" w:eastAsia="zh-CN" w:bidi="ar-SA"/>
                <w14:textFill>
                  <w14:solidFill>
                    <w14:schemeClr w14:val="tx1"/>
                  </w14:solidFill>
                </w14:textFill>
              </w:rPr>
              <w:t>备注：情况一底层处理量不得低于总外墙涂料工作量的70%。</w:t>
            </w:r>
          </w:p>
        </w:tc>
        <w:tc>
          <w:tcPr>
            <w:tcW w:w="84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5E87D9">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M</w:t>
            </w:r>
            <w:r>
              <w:rPr>
                <w:rFonts w:hint="eastAsia" w:ascii="宋体" w:hAnsi="宋体" w:eastAsia="宋体" w:cs="宋体"/>
                <w:color w:val="000000" w:themeColor="text1"/>
                <w:kern w:val="2"/>
                <w:sz w:val="22"/>
                <w:szCs w:val="22"/>
                <w:shd w:val="clear" w:color="auto" w:fill="FFFFFF"/>
                <w:vertAlign w:val="superscript"/>
                <w:lang w:val="en-US" w:eastAsia="zh-CN" w:bidi="ar-SA"/>
                <w14:textFill>
                  <w14:solidFill>
                    <w14:schemeClr w14:val="tx1"/>
                  </w14:solidFill>
                </w14:textFill>
              </w:rPr>
              <w:t>2</w:t>
            </w:r>
          </w:p>
        </w:tc>
        <w:tc>
          <w:tcPr>
            <w:tcW w:w="7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14A268">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1600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69F19C9">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p>
        </w:tc>
        <w:tc>
          <w:tcPr>
            <w:tcW w:w="9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4B67DF">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p>
        </w:tc>
        <w:tc>
          <w:tcPr>
            <w:tcW w:w="12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103091">
            <w:pP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所修补部位包含：公共教学楼、图文中心、纺服楼、工业中心、第二食堂等多栋建筑的女儿墙外侧、外墙立面中部等多区域局部维修，品牌采用立邦、三棵树、多乐士</w:t>
            </w:r>
          </w:p>
          <w:p w14:paraId="6A96B05B">
            <w:pP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p>
        </w:tc>
      </w:tr>
      <w:tr w14:paraId="1978A341">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14:paraId="6A8F0998">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2</w:t>
            </w:r>
          </w:p>
        </w:tc>
        <w:tc>
          <w:tcPr>
            <w:tcW w:w="97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BCD401">
            <w:pP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木桥木平台木材更换</w:t>
            </w:r>
          </w:p>
        </w:tc>
        <w:tc>
          <w:tcPr>
            <w:tcW w:w="42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40C74C">
            <w:pPr>
              <w:jc w:val="both"/>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木平台、木桥防腐木更换，要求防腐木药水浸泡透彻，含拆除已腐坏木材，更换安装新木材</w:t>
            </w:r>
          </w:p>
        </w:tc>
        <w:tc>
          <w:tcPr>
            <w:tcW w:w="84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F95DBEB">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M</w:t>
            </w:r>
            <w:r>
              <w:rPr>
                <w:rFonts w:hint="eastAsia" w:ascii="宋体" w:hAnsi="宋体" w:eastAsia="宋体" w:cs="宋体"/>
                <w:color w:val="000000" w:themeColor="text1"/>
                <w:kern w:val="2"/>
                <w:sz w:val="22"/>
                <w:szCs w:val="22"/>
                <w:shd w:val="clear" w:color="auto" w:fill="FFFFFF"/>
                <w:vertAlign w:val="superscript"/>
                <w:lang w:val="en-US" w:eastAsia="zh-CN" w:bidi="ar-SA"/>
                <w14:textFill>
                  <w14:solidFill>
                    <w14:schemeClr w14:val="tx1"/>
                  </w14:solidFill>
                </w14:textFill>
              </w:rPr>
              <w:t>3</w:t>
            </w:r>
          </w:p>
        </w:tc>
        <w:tc>
          <w:tcPr>
            <w:tcW w:w="7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4B2E30">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EBF7A77">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p>
        </w:tc>
        <w:tc>
          <w:tcPr>
            <w:tcW w:w="9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6EADB1">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p>
        </w:tc>
        <w:tc>
          <w:tcPr>
            <w:tcW w:w="12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1A6690">
            <w:pP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p>
        </w:tc>
      </w:tr>
      <w:tr w14:paraId="3B6AB7F4">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14:paraId="35855870">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3</w:t>
            </w:r>
          </w:p>
        </w:tc>
        <w:tc>
          <w:tcPr>
            <w:tcW w:w="97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40098B8">
            <w:pP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木平台木桥立柱、栏杆加固</w:t>
            </w:r>
          </w:p>
        </w:tc>
        <w:tc>
          <w:tcPr>
            <w:tcW w:w="42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F3470F">
            <w:pPr>
              <w:jc w:val="both"/>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木平台木桥立柱、</w:t>
            </w:r>
            <w:r>
              <w:rPr>
                <w:rFonts w:hint="eastAsia" w:ascii="宋体" w:hAnsi="宋体" w:cs="宋体"/>
                <w:color w:val="000000" w:themeColor="text1"/>
                <w:kern w:val="2"/>
                <w:sz w:val="22"/>
                <w:szCs w:val="22"/>
                <w:shd w:val="clear" w:color="auto" w:fill="FFFFFF"/>
                <w:lang w:val="en-US" w:eastAsia="zh-CN" w:bidi="ar-SA"/>
                <w14:textFill>
                  <w14:solidFill>
                    <w14:schemeClr w14:val="tx1"/>
                  </w14:solidFill>
                </w14:textFill>
              </w:rPr>
              <w:t>平面、</w:t>
            </w: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栏杆加固</w:t>
            </w:r>
          </w:p>
        </w:tc>
        <w:tc>
          <w:tcPr>
            <w:tcW w:w="84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349AC8">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项</w:t>
            </w:r>
          </w:p>
        </w:tc>
        <w:tc>
          <w:tcPr>
            <w:tcW w:w="7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57C2EE6">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1</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1E0E58D">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p>
        </w:tc>
        <w:tc>
          <w:tcPr>
            <w:tcW w:w="9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DB022A3">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p>
        </w:tc>
        <w:tc>
          <w:tcPr>
            <w:tcW w:w="12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5F48DD">
            <w:pP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投标人需考察现场</w:t>
            </w:r>
          </w:p>
        </w:tc>
      </w:tr>
      <w:tr w14:paraId="620927D2">
        <w:tblPrEx>
          <w:tblCellMar>
            <w:top w:w="0" w:type="dxa"/>
            <w:left w:w="0" w:type="dxa"/>
            <w:bottom w:w="0" w:type="dxa"/>
            <w:right w:w="0" w:type="dxa"/>
          </w:tblCellMar>
        </w:tblPrEx>
        <w:trPr>
          <w:trHeight w:val="864"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14:paraId="22CA127C">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4</w:t>
            </w:r>
          </w:p>
        </w:tc>
        <w:tc>
          <w:tcPr>
            <w:tcW w:w="97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B5A05C">
            <w:pP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木桥木平台油漆</w:t>
            </w:r>
          </w:p>
        </w:tc>
        <w:tc>
          <w:tcPr>
            <w:tcW w:w="425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4DB395D">
            <w:pPr>
              <w:numPr>
                <w:ilvl w:val="0"/>
                <w:numId w:val="0"/>
              </w:numPr>
              <w:jc w:val="both"/>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fill="FFFFFF"/>
                <w:lang w:val="en-US" w:eastAsia="zh-CN" w:bidi="ar-SA"/>
                <w14:textFill>
                  <w14:solidFill>
                    <w14:schemeClr w14:val="tx1"/>
                  </w14:solidFill>
                </w14:textFill>
              </w:rPr>
              <w:t>1、</w:t>
            </w: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旧栏杆、立柱、木条 清理表面翘皮打磨、批腻子、刷半透明底漆、后刷面漆两</w:t>
            </w:r>
            <w:r>
              <w:rPr>
                <w:rFonts w:hint="eastAsia" w:ascii="宋体" w:hAnsi="宋体" w:cs="宋体"/>
                <w:color w:val="000000" w:themeColor="text1"/>
                <w:kern w:val="2"/>
                <w:sz w:val="22"/>
                <w:szCs w:val="22"/>
                <w:shd w:val="clear" w:color="auto" w:fill="FFFFFF"/>
                <w:lang w:val="en-US" w:eastAsia="zh-CN" w:bidi="ar-SA"/>
                <w14:textFill>
                  <w14:solidFill>
                    <w14:schemeClr w14:val="tx1"/>
                  </w14:solidFill>
                </w14:textFill>
              </w:rPr>
              <w:t>遍</w:t>
            </w: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（醇酸清漆）</w:t>
            </w:r>
          </w:p>
          <w:p w14:paraId="2CAFFF68">
            <w:pPr>
              <w:numPr>
                <w:ilvl w:val="0"/>
                <w:numId w:val="0"/>
              </w:numPr>
              <w:jc w:val="both"/>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fill="FFFFFF"/>
                <w:lang w:val="en-US" w:eastAsia="zh-CN" w:bidi="ar-SA"/>
                <w14:textFill>
                  <w14:solidFill>
                    <w14:schemeClr w14:val="tx1"/>
                  </w14:solidFill>
                </w14:textFill>
              </w:rPr>
              <w:t>2、</w:t>
            </w:r>
            <w:r>
              <w:rPr>
                <w:rFonts w:hint="eastAsia" w:ascii="宋体" w:hAnsi="宋体" w:eastAsia="宋体" w:cs="宋体"/>
                <w:color w:val="000000" w:themeColor="text1"/>
                <w:lang w:val="en-US" w:eastAsia="zh-CN"/>
                <w14:textFill>
                  <w14:solidFill>
                    <w14:schemeClr w14:val="tx1"/>
                  </w14:solidFill>
                </w14:textFill>
              </w:rPr>
              <w:t>新木条批腻子、</w:t>
            </w: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刷半透明底漆、后刷面漆两</w:t>
            </w:r>
            <w:r>
              <w:rPr>
                <w:rFonts w:hint="eastAsia" w:ascii="宋体" w:hAnsi="宋体" w:cs="宋体"/>
                <w:color w:val="000000" w:themeColor="text1"/>
                <w:kern w:val="2"/>
                <w:sz w:val="22"/>
                <w:szCs w:val="22"/>
                <w:shd w:val="clear" w:color="auto" w:fill="FFFFFF"/>
                <w:lang w:val="en-US" w:eastAsia="zh-CN" w:bidi="ar-SA"/>
                <w14:textFill>
                  <w14:solidFill>
                    <w14:schemeClr w14:val="tx1"/>
                  </w14:solidFill>
                </w14:textFill>
              </w:rPr>
              <w:t>遍</w:t>
            </w: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（醇酸清漆）</w:t>
            </w:r>
          </w:p>
          <w:p w14:paraId="7569F815">
            <w:pPr>
              <w:pStyle w:val="2"/>
              <w:numPr>
                <w:ilvl w:val="0"/>
                <w:numId w:val="0"/>
              </w:numPr>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新旧木料综合报价，以油漆展开面积计算</w:t>
            </w:r>
          </w:p>
        </w:tc>
        <w:tc>
          <w:tcPr>
            <w:tcW w:w="84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8D0FC1">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M</w:t>
            </w:r>
            <w:r>
              <w:rPr>
                <w:rFonts w:hint="eastAsia" w:ascii="宋体" w:hAnsi="宋体" w:eastAsia="宋体" w:cs="宋体"/>
                <w:color w:val="000000" w:themeColor="text1"/>
                <w:kern w:val="2"/>
                <w:sz w:val="22"/>
                <w:szCs w:val="22"/>
                <w:shd w:val="clear" w:color="auto" w:fill="FFFFFF"/>
                <w:vertAlign w:val="superscript"/>
                <w:lang w:val="en-US" w:eastAsia="zh-CN" w:bidi="ar-SA"/>
                <w14:textFill>
                  <w14:solidFill>
                    <w14:schemeClr w14:val="tx1"/>
                  </w14:solidFill>
                </w14:textFill>
              </w:rPr>
              <w:t>2</w:t>
            </w:r>
          </w:p>
        </w:tc>
        <w:tc>
          <w:tcPr>
            <w:tcW w:w="7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0DD98D">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360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1E19C67">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p>
        </w:tc>
        <w:tc>
          <w:tcPr>
            <w:tcW w:w="9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123081">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p>
        </w:tc>
        <w:tc>
          <w:tcPr>
            <w:tcW w:w="12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CA9E49">
            <w:pP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p>
        </w:tc>
      </w:tr>
      <w:tr w14:paraId="62EB0250">
        <w:tblPrEx>
          <w:tblCellMar>
            <w:top w:w="0" w:type="dxa"/>
            <w:left w:w="0" w:type="dxa"/>
            <w:bottom w:w="0" w:type="dxa"/>
            <w:right w:w="0" w:type="dxa"/>
          </w:tblCellMar>
        </w:tblPrEx>
        <w:trPr>
          <w:trHeight w:val="864" w:hRule="atLeast"/>
          <w:jc w:val="center"/>
        </w:trPr>
        <w:tc>
          <w:tcPr>
            <w:tcW w:w="8275" w:type="dxa"/>
            <w:gridSpan w:val="6"/>
            <w:tcBorders>
              <w:top w:val="single" w:color="000000" w:sz="4" w:space="0"/>
              <w:left w:val="single" w:color="000000" w:sz="4" w:space="0"/>
              <w:bottom w:val="single" w:color="000000" w:sz="4" w:space="0"/>
              <w:right w:val="single" w:color="000000" w:sz="4" w:space="0"/>
            </w:tcBorders>
            <w:noWrap w:val="0"/>
            <w:vAlign w:val="center"/>
          </w:tcPr>
          <w:p w14:paraId="20AAA2F6">
            <w:pPr>
              <w:ind w:firstLine="3080" w:firstLineChars="1400"/>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t>合计</w:t>
            </w:r>
          </w:p>
        </w:tc>
        <w:tc>
          <w:tcPr>
            <w:tcW w:w="9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BC6D7D">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p>
        </w:tc>
        <w:tc>
          <w:tcPr>
            <w:tcW w:w="123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9D3502">
            <w:pPr>
              <w:jc w:val="center"/>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p>
        </w:tc>
      </w:tr>
    </w:tbl>
    <w:p w14:paraId="53E21AD6">
      <w:pPr>
        <w:spacing w:line="280" w:lineRule="atLeast"/>
        <w:ind w:firstLine="210" w:firstLineChars="100"/>
        <w:jc w:val="left"/>
        <w:rPr>
          <w:rFonts w:ascii="宋体" w:hAnsi="宋体" w:cs="宋体"/>
          <w:color w:val="000000" w:themeColor="text1"/>
          <w:kern w:val="0"/>
          <w:szCs w:val="21"/>
          <w14:textFill>
            <w14:solidFill>
              <w14:schemeClr w14:val="tx1"/>
            </w14:solidFill>
          </w14:textFill>
        </w:rPr>
      </w:pPr>
    </w:p>
    <w:p w14:paraId="066CD296">
      <w:pPr>
        <w:spacing w:line="280" w:lineRule="atLeast"/>
        <w:ind w:firstLine="210" w:firstLineChars="100"/>
        <w:jc w:val="left"/>
        <w:rPr>
          <w:rFonts w:hint="default" w:eastAsia="楷体_GB2312"/>
          <w:color w:val="000000" w:themeColor="text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1、全费用综合单价为完成整个招标范围内的全部工程总费用（包括承包工程的施工、材料（制作安装）、人工、措施费、管理费、劳务配合、水、电、税费、利润、规费等一切相关费用）。国家政策性调价、市场价格变动均不作调整。中标后竣工结算时全费用综合单价不予调整。安全文明措施费包含在所有措施费中，施工单位需按规定参加安全文明施工措施考核，</w:t>
      </w:r>
      <w:r>
        <w:rPr>
          <w:rFonts w:hint="eastAsia" w:ascii="宋体" w:hAnsi="宋体" w:cs="宋体"/>
          <w:color w:val="000000" w:themeColor="text1"/>
          <w:szCs w:val="21"/>
          <w14:textFill>
            <w14:solidFill>
              <w14:schemeClr w14:val="tx1"/>
            </w14:solidFill>
          </w14:textFill>
        </w:rPr>
        <w:t>投标</w:t>
      </w:r>
      <w:r>
        <w:rPr>
          <w:rFonts w:hint="eastAsia" w:ascii="宋体" w:hAnsi="宋体" w:cs="宋体"/>
          <w:color w:val="000000" w:themeColor="text1"/>
          <w:kern w:val="0"/>
          <w:szCs w:val="21"/>
          <w14:textFill>
            <w14:solidFill>
              <w14:schemeClr w14:val="tx1"/>
            </w14:solidFill>
          </w14:textFill>
        </w:rPr>
        <w:t>人投标全费用综合单价中必须包含现行有关规定的费率计取</w:t>
      </w:r>
      <w:r>
        <w:rPr>
          <w:rFonts w:hint="eastAsia" w:ascii="宋体" w:hAnsi="宋体" w:cs="宋体"/>
          <w:color w:val="000000" w:themeColor="text1"/>
          <w:kern w:val="0"/>
          <w:szCs w:val="21"/>
          <w:highlight w:val="none"/>
          <w14:textFill>
            <w14:solidFill>
              <w14:schemeClr w14:val="tx1"/>
            </w14:solidFill>
          </w14:textFill>
        </w:rPr>
        <w:t>现场安全文明施工措施费基本费1.5%、扬尘污染防治增加费0.21%，为完成本项目发生的所有措施项目费、管理费、利润、规费（包括环境保护税0.1%、社会保险费3.8%、住房公积金0.67%、和税金9%），文明施工措施费需经盐城市工程造价管理处核定，以核定费率计算，结算时其差价部分予以扣回</w:t>
      </w:r>
      <w:r>
        <w:rPr>
          <w:rFonts w:hint="eastAsia" w:ascii="宋体" w:hAnsi="宋体" w:cs="宋体"/>
          <w:color w:val="000000" w:themeColor="text1"/>
          <w:kern w:val="0"/>
          <w:szCs w:val="21"/>
          <w14:textFill>
            <w14:solidFill>
              <w14:schemeClr w14:val="tx1"/>
            </w14:solidFill>
          </w14:textFill>
        </w:rPr>
        <w:t>。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14:paraId="1FEF32CC">
      <w:pPr>
        <w:numPr>
          <w:ilvl w:val="0"/>
          <w:numId w:val="0"/>
        </w:numPr>
        <w:spacing w:line="280" w:lineRule="atLeast"/>
        <w:ind w:leftChars="0" w:firstLine="420" w:firstLineChars="20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各</w:t>
      </w:r>
      <w:r>
        <w:rPr>
          <w:rFonts w:hint="eastAsia" w:ascii="宋体" w:hAnsi="宋体" w:cs="宋体"/>
          <w:color w:val="000000" w:themeColor="text1"/>
          <w:kern w:val="0"/>
          <w:szCs w:val="21"/>
          <w14:textFill>
            <w14:solidFill>
              <w14:schemeClr w14:val="tx1"/>
            </w14:solidFill>
          </w14:textFill>
        </w:rPr>
        <w:t>投标人</w:t>
      </w:r>
      <w:r>
        <w:rPr>
          <w:rFonts w:hint="eastAsia" w:ascii="宋体" w:hAnsi="宋体" w:cs="宋体"/>
          <w:color w:val="000000" w:themeColor="text1"/>
          <w:kern w:val="0"/>
          <w:szCs w:val="21"/>
          <w:lang w:eastAsia="zh-CN"/>
          <w14:textFill>
            <w14:solidFill>
              <w14:schemeClr w14:val="tx1"/>
            </w14:solidFill>
          </w14:textFill>
        </w:rPr>
        <w:t>项目负责人</w:t>
      </w:r>
      <w:r>
        <w:rPr>
          <w:rFonts w:hint="eastAsia" w:ascii="宋体" w:hAnsi="宋体" w:cs="宋体"/>
          <w:color w:val="000000" w:themeColor="text1"/>
          <w:kern w:val="0"/>
          <w:szCs w:val="21"/>
          <w14:textFill>
            <w14:solidFill>
              <w14:schemeClr w14:val="tx1"/>
            </w14:solidFill>
          </w14:textFill>
        </w:rPr>
        <w:t>在投标前必须对施工现场进行详细踏勘，如有疑问及时向招标人提出，否则由此引起的一切风险均由投标人自行承担。</w:t>
      </w:r>
      <w:r>
        <w:rPr>
          <w:rFonts w:hint="eastAsia"/>
          <w:b w:val="0"/>
          <w:bCs w:val="0"/>
          <w:color w:val="000000" w:themeColor="text1"/>
          <w14:textFill>
            <w14:solidFill>
              <w14:schemeClr w14:val="tx1"/>
            </w14:solidFill>
          </w14:textFill>
        </w:rPr>
        <w:t>每项清单必须报全费用单价，如有一项漏报，视同该项为让利免费提供。</w:t>
      </w:r>
      <w:r>
        <w:rPr>
          <w:rFonts w:hint="eastAsia" w:ascii="宋体" w:hAnsi="宋体" w:cs="宋体"/>
          <w:color w:val="000000" w:themeColor="text1"/>
          <w:kern w:val="0"/>
          <w:szCs w:val="21"/>
          <w14:textFill>
            <w14:solidFill>
              <w14:schemeClr w14:val="tx1"/>
            </w14:solidFill>
          </w14:textFill>
        </w:rPr>
        <w:t>为完成本项目而必须发生的、但清单中未列明的相关费用也由各投标人自行综合考虑分</w:t>
      </w:r>
      <w:r>
        <w:rPr>
          <w:rFonts w:hint="eastAsia" w:ascii="宋体" w:hAnsi="宋体" w:eastAsia="宋体" w:cs="宋体"/>
          <w:color w:val="000000" w:themeColor="text1"/>
          <w:kern w:val="0"/>
          <w:szCs w:val="21"/>
          <w:highlight w:val="none"/>
          <w14:textFill>
            <w14:solidFill>
              <w14:schemeClr w14:val="tx1"/>
            </w14:solidFill>
          </w14:textFill>
        </w:rPr>
        <w:t>摊含进投标报价中，结算时不再另增任何费用</w:t>
      </w:r>
      <w:r>
        <w:rPr>
          <w:rFonts w:hint="eastAsia" w:ascii="宋体" w:hAnsi="宋体" w:cs="宋体"/>
          <w:color w:val="000000" w:themeColor="text1"/>
          <w:kern w:val="0"/>
          <w:szCs w:val="21"/>
          <w14:textFill>
            <w14:solidFill>
              <w14:schemeClr w14:val="tx1"/>
            </w14:solidFill>
          </w14:textFill>
        </w:rPr>
        <w:t>。</w:t>
      </w:r>
    </w:p>
    <w:p w14:paraId="4F8CC625">
      <w:pPr>
        <w:spacing w:line="280" w:lineRule="atLeas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施工方必须按规定工期完工，保证施工人员充足到位，如建设方发现施工方人员不足，无法完成预定工期，建设方可自行安排人员进场协助施工方施工，所需费用由施工方支付，并对施工方予以处罚。</w:t>
      </w:r>
    </w:p>
    <w:p w14:paraId="30D718C2">
      <w:pPr>
        <w:spacing w:line="280" w:lineRule="atLeast"/>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工程竣工验收前，中标人必须将工程施工所产生的垃圾及时清运出校园，否则将向招标人承担违约金人民币5000元，直接在到期工程款中扣除。</w:t>
      </w:r>
    </w:p>
    <w:p w14:paraId="4FA85FA6">
      <w:pPr>
        <w:spacing w:line="280" w:lineRule="atLeast"/>
        <w:ind w:firstLine="420" w:firstLineChars="2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14:paraId="23A65C61">
      <w:pPr>
        <w:spacing w:line="280" w:lineRule="atLeast"/>
        <w:ind w:firstLine="420" w:firstLineChars="200"/>
        <w:jc w:val="left"/>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6、其他</w:t>
      </w:r>
    </w:p>
    <w:p w14:paraId="60007BA0">
      <w:pPr>
        <w:spacing w:line="280" w:lineRule="atLeast"/>
        <w:ind w:firstLine="420" w:firstLineChars="200"/>
        <w:jc w:val="left"/>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全费用综合单价均统一按第一中标候选人的全费用综合单价执行，各投标人在投标报价时须充分考虑该因素。</w:t>
      </w:r>
    </w:p>
    <w:p w14:paraId="2D515786">
      <w:pPr>
        <w:pStyle w:val="20"/>
        <w:ind w:left="0" w:leftChars="0" w:firstLine="0" w:firstLineChars="0"/>
        <w:rPr>
          <w:rFonts w:ascii="宋体" w:hAnsi="宋体" w:eastAsia="宋体" w:cs="宋体"/>
          <w:color w:val="000000" w:themeColor="text1"/>
          <w14:textFill>
            <w14:solidFill>
              <w14:schemeClr w14:val="tx1"/>
            </w14:solidFill>
          </w14:textFill>
        </w:rPr>
      </w:pPr>
    </w:p>
    <w:p w14:paraId="0E267683">
      <w:pPr>
        <w:pStyle w:val="20"/>
        <w:ind w:left="0" w:leftChars="0" w:firstLine="0" w:firstLineChars="0"/>
        <w:rPr>
          <w:rFonts w:ascii="宋体" w:hAnsi="宋体" w:eastAsia="宋体" w:cs="宋体"/>
          <w:color w:val="000000" w:themeColor="text1"/>
          <w14:textFill>
            <w14:solidFill>
              <w14:schemeClr w14:val="tx1"/>
            </w14:solidFill>
          </w14:textFill>
        </w:rPr>
      </w:pPr>
    </w:p>
    <w:p w14:paraId="579F1BD1">
      <w:pPr>
        <w:ind w:firstLine="5040" w:firstLineChars="24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投标人全称（加盖公章）：               </w:t>
      </w:r>
    </w:p>
    <w:p w14:paraId="422B71B1">
      <w:pPr>
        <w:ind w:firstLine="5040" w:firstLineChars="24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法定代表人或授权代表（签字）：              </w:t>
      </w:r>
    </w:p>
    <w:p w14:paraId="462F1F3A">
      <w:pPr>
        <w:ind w:firstLine="5250" w:firstLineChars="25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年     月     日</w:t>
      </w:r>
    </w:p>
    <w:p w14:paraId="21F097E3">
      <w:pPr>
        <w:rPr>
          <w:color w:val="000000" w:themeColor="text1"/>
          <w:sz w:val="30"/>
          <w:szCs w:val="30"/>
          <w14:textFill>
            <w14:solidFill>
              <w14:schemeClr w14:val="tx1"/>
            </w14:solidFill>
          </w14:textFill>
        </w:rPr>
      </w:pPr>
    </w:p>
    <w:sectPr>
      <w:pgSz w:w="11906" w:h="16838"/>
      <w:pgMar w:top="1701" w:right="1417" w:bottom="1440" w:left="141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14:paraId="143A7529">
        <w:pPr>
          <w:pStyle w:val="14"/>
          <w:jc w:val="center"/>
        </w:pPr>
        <w:r>
          <w:fldChar w:fldCharType="begin"/>
        </w:r>
        <w:r>
          <w:instrText xml:space="preserve"> PAGE   \* MERGEFORMAT </w:instrText>
        </w:r>
        <w:r>
          <w:fldChar w:fldCharType="separate"/>
        </w:r>
        <w:r>
          <w:rPr>
            <w:lang w:val="zh-CN"/>
          </w:rPr>
          <w:t>40</w:t>
        </w:r>
        <w:r>
          <w:rPr>
            <w:lang w:val="zh-CN"/>
          </w:rPr>
          <w:fldChar w:fldCharType="end"/>
        </w:r>
      </w:p>
    </w:sdtContent>
  </w:sdt>
  <w:p w14:paraId="6898E976">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D5B92">
    <w:pPr>
      <w:pStyle w:val="15"/>
      <w:pBdr>
        <w:bottom w:val="single" w:color="auto" w:sz="4" w:space="0"/>
      </w:pBdr>
    </w:pPr>
    <w:r>
      <w:rPr>
        <w:rFonts w:hint="eastAsia" w:eastAsia="隶书"/>
        <w:color w:val="000000"/>
        <w:spacing w:val="40"/>
        <w:sz w:val="21"/>
        <w:szCs w:val="21"/>
        <w:lang w:eastAsia="zh-CN"/>
      </w:rPr>
      <w:t xml:space="preserve">2024-022N </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662B5"/>
    <w:multiLevelType w:val="singleLevel"/>
    <w:tmpl w:val="B4F662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0055087D"/>
    <w:rsid w:val="0000757E"/>
    <w:rsid w:val="0001164C"/>
    <w:rsid w:val="00011AE2"/>
    <w:rsid w:val="00013E51"/>
    <w:rsid w:val="000153D1"/>
    <w:rsid w:val="000168EF"/>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7613F"/>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86D"/>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A55"/>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37706"/>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0A9"/>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26D83"/>
    <w:rsid w:val="00430024"/>
    <w:rsid w:val="00430B4E"/>
    <w:rsid w:val="0043131B"/>
    <w:rsid w:val="00432A5A"/>
    <w:rsid w:val="0044201E"/>
    <w:rsid w:val="00445171"/>
    <w:rsid w:val="00445196"/>
    <w:rsid w:val="004472D0"/>
    <w:rsid w:val="00451DA0"/>
    <w:rsid w:val="004558AA"/>
    <w:rsid w:val="00461F62"/>
    <w:rsid w:val="004643FC"/>
    <w:rsid w:val="00464F85"/>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55CC"/>
    <w:rsid w:val="005069BE"/>
    <w:rsid w:val="00507821"/>
    <w:rsid w:val="00514D32"/>
    <w:rsid w:val="0052086C"/>
    <w:rsid w:val="005217B5"/>
    <w:rsid w:val="005240E4"/>
    <w:rsid w:val="005279FF"/>
    <w:rsid w:val="00531CEB"/>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1A87"/>
    <w:rsid w:val="005C4DF1"/>
    <w:rsid w:val="005D0FD9"/>
    <w:rsid w:val="005D1684"/>
    <w:rsid w:val="005D21D9"/>
    <w:rsid w:val="005E1ECD"/>
    <w:rsid w:val="005F391B"/>
    <w:rsid w:val="005F7330"/>
    <w:rsid w:val="0060483D"/>
    <w:rsid w:val="00604E73"/>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97ABA"/>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3F9E"/>
    <w:rsid w:val="0072557F"/>
    <w:rsid w:val="00726FB5"/>
    <w:rsid w:val="00731481"/>
    <w:rsid w:val="00735652"/>
    <w:rsid w:val="007371A7"/>
    <w:rsid w:val="007376A4"/>
    <w:rsid w:val="00737E12"/>
    <w:rsid w:val="00740799"/>
    <w:rsid w:val="00740E3D"/>
    <w:rsid w:val="00740E87"/>
    <w:rsid w:val="00742866"/>
    <w:rsid w:val="00750C93"/>
    <w:rsid w:val="00753C19"/>
    <w:rsid w:val="00755535"/>
    <w:rsid w:val="00756DC7"/>
    <w:rsid w:val="007601F3"/>
    <w:rsid w:val="0076522C"/>
    <w:rsid w:val="007656DA"/>
    <w:rsid w:val="00765A4B"/>
    <w:rsid w:val="00766765"/>
    <w:rsid w:val="007670A4"/>
    <w:rsid w:val="00771791"/>
    <w:rsid w:val="007768FC"/>
    <w:rsid w:val="007776D6"/>
    <w:rsid w:val="00782B44"/>
    <w:rsid w:val="00782FDB"/>
    <w:rsid w:val="00785D3E"/>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2ADE"/>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3F37"/>
    <w:rsid w:val="00945FE0"/>
    <w:rsid w:val="00947917"/>
    <w:rsid w:val="00950616"/>
    <w:rsid w:val="00951BF5"/>
    <w:rsid w:val="009527F8"/>
    <w:rsid w:val="009530D3"/>
    <w:rsid w:val="009533CD"/>
    <w:rsid w:val="00960919"/>
    <w:rsid w:val="00960D05"/>
    <w:rsid w:val="009652B0"/>
    <w:rsid w:val="009664F6"/>
    <w:rsid w:val="00967C66"/>
    <w:rsid w:val="0097088C"/>
    <w:rsid w:val="009748D5"/>
    <w:rsid w:val="0097527C"/>
    <w:rsid w:val="00977C5D"/>
    <w:rsid w:val="00982628"/>
    <w:rsid w:val="009828D1"/>
    <w:rsid w:val="009832FC"/>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03DB"/>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57D72"/>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487"/>
    <w:rsid w:val="00B97E00"/>
    <w:rsid w:val="00BA2A3C"/>
    <w:rsid w:val="00BA38EB"/>
    <w:rsid w:val="00BA64E3"/>
    <w:rsid w:val="00BB071A"/>
    <w:rsid w:val="00BB303B"/>
    <w:rsid w:val="00BB55D5"/>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2F92"/>
    <w:rsid w:val="00C9458F"/>
    <w:rsid w:val="00C965C0"/>
    <w:rsid w:val="00C976A9"/>
    <w:rsid w:val="00CA0D26"/>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13BE"/>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5F5E"/>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528F"/>
    <w:rsid w:val="00F56943"/>
    <w:rsid w:val="00F61BF6"/>
    <w:rsid w:val="00F620AB"/>
    <w:rsid w:val="00F625ED"/>
    <w:rsid w:val="00F64545"/>
    <w:rsid w:val="00F67102"/>
    <w:rsid w:val="00F709AA"/>
    <w:rsid w:val="00F71E96"/>
    <w:rsid w:val="00F72BF4"/>
    <w:rsid w:val="00F734B7"/>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5CE0"/>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36ADE"/>
    <w:rsid w:val="018C05B2"/>
    <w:rsid w:val="018D62E5"/>
    <w:rsid w:val="01922DAC"/>
    <w:rsid w:val="01A10813"/>
    <w:rsid w:val="01AA5DCF"/>
    <w:rsid w:val="02040FB7"/>
    <w:rsid w:val="02086DD1"/>
    <w:rsid w:val="02096875"/>
    <w:rsid w:val="023005A9"/>
    <w:rsid w:val="023F4004"/>
    <w:rsid w:val="025C6ABD"/>
    <w:rsid w:val="026011A7"/>
    <w:rsid w:val="029D05EB"/>
    <w:rsid w:val="02E6056C"/>
    <w:rsid w:val="02E66489"/>
    <w:rsid w:val="02EA366D"/>
    <w:rsid w:val="02F076F8"/>
    <w:rsid w:val="02FC0890"/>
    <w:rsid w:val="03213326"/>
    <w:rsid w:val="03554DFB"/>
    <w:rsid w:val="035F1C34"/>
    <w:rsid w:val="03B33244"/>
    <w:rsid w:val="03BB03F0"/>
    <w:rsid w:val="03C2338C"/>
    <w:rsid w:val="03C44BB5"/>
    <w:rsid w:val="03CA2475"/>
    <w:rsid w:val="03D41206"/>
    <w:rsid w:val="040F0A03"/>
    <w:rsid w:val="043041D3"/>
    <w:rsid w:val="044A451F"/>
    <w:rsid w:val="046926C7"/>
    <w:rsid w:val="04930524"/>
    <w:rsid w:val="049A6BC0"/>
    <w:rsid w:val="049F746B"/>
    <w:rsid w:val="04C161C2"/>
    <w:rsid w:val="04FB7CC1"/>
    <w:rsid w:val="05131A7C"/>
    <w:rsid w:val="052D09F6"/>
    <w:rsid w:val="052D7AAA"/>
    <w:rsid w:val="0541155C"/>
    <w:rsid w:val="05431A26"/>
    <w:rsid w:val="054F3468"/>
    <w:rsid w:val="056036A4"/>
    <w:rsid w:val="05721669"/>
    <w:rsid w:val="05767FB8"/>
    <w:rsid w:val="05804C64"/>
    <w:rsid w:val="058500B4"/>
    <w:rsid w:val="05870BF9"/>
    <w:rsid w:val="058F35D4"/>
    <w:rsid w:val="059E0356"/>
    <w:rsid w:val="05AC7BF4"/>
    <w:rsid w:val="05B72265"/>
    <w:rsid w:val="05CC57C4"/>
    <w:rsid w:val="05F833A7"/>
    <w:rsid w:val="05FB25B9"/>
    <w:rsid w:val="0603174A"/>
    <w:rsid w:val="060A31CC"/>
    <w:rsid w:val="0614624B"/>
    <w:rsid w:val="064D2EC4"/>
    <w:rsid w:val="06675EC6"/>
    <w:rsid w:val="0678078D"/>
    <w:rsid w:val="06821EEF"/>
    <w:rsid w:val="0685590D"/>
    <w:rsid w:val="068911C8"/>
    <w:rsid w:val="069809AC"/>
    <w:rsid w:val="069D7ED4"/>
    <w:rsid w:val="06C43E75"/>
    <w:rsid w:val="07183066"/>
    <w:rsid w:val="0747226A"/>
    <w:rsid w:val="076D0B83"/>
    <w:rsid w:val="07932911"/>
    <w:rsid w:val="07C35286"/>
    <w:rsid w:val="07C631E6"/>
    <w:rsid w:val="07CB41A4"/>
    <w:rsid w:val="08124875"/>
    <w:rsid w:val="08154D08"/>
    <w:rsid w:val="08171156"/>
    <w:rsid w:val="08211256"/>
    <w:rsid w:val="082F75FC"/>
    <w:rsid w:val="083A4B98"/>
    <w:rsid w:val="084349F8"/>
    <w:rsid w:val="08625508"/>
    <w:rsid w:val="08870E86"/>
    <w:rsid w:val="089326E0"/>
    <w:rsid w:val="08AC08E6"/>
    <w:rsid w:val="08AD5056"/>
    <w:rsid w:val="08D90728"/>
    <w:rsid w:val="08E10201"/>
    <w:rsid w:val="08E3343B"/>
    <w:rsid w:val="08FF4C96"/>
    <w:rsid w:val="092154C7"/>
    <w:rsid w:val="09554073"/>
    <w:rsid w:val="09855E02"/>
    <w:rsid w:val="09B15222"/>
    <w:rsid w:val="09BE1F73"/>
    <w:rsid w:val="09C742E1"/>
    <w:rsid w:val="09DD0CF5"/>
    <w:rsid w:val="09E1421F"/>
    <w:rsid w:val="09F930EA"/>
    <w:rsid w:val="09FF54DC"/>
    <w:rsid w:val="0A1603C1"/>
    <w:rsid w:val="0A245448"/>
    <w:rsid w:val="0A523182"/>
    <w:rsid w:val="0A602EEC"/>
    <w:rsid w:val="0A7C3F6D"/>
    <w:rsid w:val="0A7D3AE6"/>
    <w:rsid w:val="0A7E4F5A"/>
    <w:rsid w:val="0A9868F9"/>
    <w:rsid w:val="0AC172E9"/>
    <w:rsid w:val="0ACA060F"/>
    <w:rsid w:val="0AD71E9B"/>
    <w:rsid w:val="0AE628CD"/>
    <w:rsid w:val="0B0B5F07"/>
    <w:rsid w:val="0B1A0FE3"/>
    <w:rsid w:val="0B2E38E6"/>
    <w:rsid w:val="0B3365C9"/>
    <w:rsid w:val="0B516F03"/>
    <w:rsid w:val="0B674F8E"/>
    <w:rsid w:val="0B7D3EDE"/>
    <w:rsid w:val="0B89775E"/>
    <w:rsid w:val="0BA448CF"/>
    <w:rsid w:val="0BCE7EA7"/>
    <w:rsid w:val="0BF26547"/>
    <w:rsid w:val="0C1506AD"/>
    <w:rsid w:val="0C3928C9"/>
    <w:rsid w:val="0C4718F6"/>
    <w:rsid w:val="0C73626A"/>
    <w:rsid w:val="0C7B7D5B"/>
    <w:rsid w:val="0C973EF3"/>
    <w:rsid w:val="0C9C36D5"/>
    <w:rsid w:val="0CAA301E"/>
    <w:rsid w:val="0CE034C0"/>
    <w:rsid w:val="0CE37539"/>
    <w:rsid w:val="0CF63F41"/>
    <w:rsid w:val="0CFE0FC0"/>
    <w:rsid w:val="0D0374E3"/>
    <w:rsid w:val="0D0A572F"/>
    <w:rsid w:val="0D0A6306"/>
    <w:rsid w:val="0D16312A"/>
    <w:rsid w:val="0D1B1479"/>
    <w:rsid w:val="0D1B1559"/>
    <w:rsid w:val="0D1C1711"/>
    <w:rsid w:val="0D555176"/>
    <w:rsid w:val="0D564AEB"/>
    <w:rsid w:val="0D6F0E5D"/>
    <w:rsid w:val="0D7B2231"/>
    <w:rsid w:val="0D887BC6"/>
    <w:rsid w:val="0D954B0D"/>
    <w:rsid w:val="0D973F39"/>
    <w:rsid w:val="0DB02FB3"/>
    <w:rsid w:val="0DB1060F"/>
    <w:rsid w:val="0DCD14DB"/>
    <w:rsid w:val="0DCE04EC"/>
    <w:rsid w:val="0DE4178F"/>
    <w:rsid w:val="0E1C064B"/>
    <w:rsid w:val="0E3026E5"/>
    <w:rsid w:val="0E336A16"/>
    <w:rsid w:val="0E64092D"/>
    <w:rsid w:val="0E7D0AB3"/>
    <w:rsid w:val="0E7D5C8D"/>
    <w:rsid w:val="0E963CAB"/>
    <w:rsid w:val="0EA476E4"/>
    <w:rsid w:val="0EA51F74"/>
    <w:rsid w:val="0EAC005C"/>
    <w:rsid w:val="0EAF1251"/>
    <w:rsid w:val="0EBE36CA"/>
    <w:rsid w:val="0ED36ED3"/>
    <w:rsid w:val="0ED77E61"/>
    <w:rsid w:val="0EDB7766"/>
    <w:rsid w:val="0EE6002D"/>
    <w:rsid w:val="0EEE1E26"/>
    <w:rsid w:val="0F00375C"/>
    <w:rsid w:val="0F560D8D"/>
    <w:rsid w:val="0F5764BB"/>
    <w:rsid w:val="0F6257C5"/>
    <w:rsid w:val="0F6717B6"/>
    <w:rsid w:val="0FB42DAE"/>
    <w:rsid w:val="0FBB1C4A"/>
    <w:rsid w:val="0FC41391"/>
    <w:rsid w:val="0FC43940"/>
    <w:rsid w:val="0FC454FE"/>
    <w:rsid w:val="0FDE036F"/>
    <w:rsid w:val="0FEA11FB"/>
    <w:rsid w:val="0FF72380"/>
    <w:rsid w:val="10227FC7"/>
    <w:rsid w:val="1029166D"/>
    <w:rsid w:val="102F5022"/>
    <w:rsid w:val="104E5C33"/>
    <w:rsid w:val="10637F11"/>
    <w:rsid w:val="1082792F"/>
    <w:rsid w:val="108C1B09"/>
    <w:rsid w:val="108D1787"/>
    <w:rsid w:val="10B210E3"/>
    <w:rsid w:val="10D41DDF"/>
    <w:rsid w:val="10DC1574"/>
    <w:rsid w:val="10F3457C"/>
    <w:rsid w:val="10FE2ED7"/>
    <w:rsid w:val="11160C7D"/>
    <w:rsid w:val="112B3BA0"/>
    <w:rsid w:val="113C7F45"/>
    <w:rsid w:val="1155348D"/>
    <w:rsid w:val="116105A8"/>
    <w:rsid w:val="11672670"/>
    <w:rsid w:val="11746A5F"/>
    <w:rsid w:val="11867395"/>
    <w:rsid w:val="11AA42B6"/>
    <w:rsid w:val="11CB3F36"/>
    <w:rsid w:val="11E15BC9"/>
    <w:rsid w:val="11F15383"/>
    <w:rsid w:val="12065192"/>
    <w:rsid w:val="12125307"/>
    <w:rsid w:val="125F51F7"/>
    <w:rsid w:val="12607E18"/>
    <w:rsid w:val="12BC7EF5"/>
    <w:rsid w:val="12D45BF3"/>
    <w:rsid w:val="12DE0824"/>
    <w:rsid w:val="12E3158A"/>
    <w:rsid w:val="12E61DF9"/>
    <w:rsid w:val="131C5CA8"/>
    <w:rsid w:val="132C0FC9"/>
    <w:rsid w:val="136E0354"/>
    <w:rsid w:val="13766846"/>
    <w:rsid w:val="13796E85"/>
    <w:rsid w:val="13DC1C7A"/>
    <w:rsid w:val="13DF6617"/>
    <w:rsid w:val="13E615E4"/>
    <w:rsid w:val="14127E02"/>
    <w:rsid w:val="14423676"/>
    <w:rsid w:val="146E32E4"/>
    <w:rsid w:val="14AF10BA"/>
    <w:rsid w:val="14D75725"/>
    <w:rsid w:val="14E43DD7"/>
    <w:rsid w:val="151732B6"/>
    <w:rsid w:val="156845D9"/>
    <w:rsid w:val="156A2131"/>
    <w:rsid w:val="15A23E67"/>
    <w:rsid w:val="15B74989"/>
    <w:rsid w:val="15DC1076"/>
    <w:rsid w:val="15F54513"/>
    <w:rsid w:val="15F54AE8"/>
    <w:rsid w:val="16333FFD"/>
    <w:rsid w:val="165F5F88"/>
    <w:rsid w:val="16742C11"/>
    <w:rsid w:val="167D64C8"/>
    <w:rsid w:val="16B243CF"/>
    <w:rsid w:val="16C53D0A"/>
    <w:rsid w:val="16D62715"/>
    <w:rsid w:val="16DA7D67"/>
    <w:rsid w:val="16DB7598"/>
    <w:rsid w:val="16E057F3"/>
    <w:rsid w:val="16F90A69"/>
    <w:rsid w:val="173B3423"/>
    <w:rsid w:val="174E1EC3"/>
    <w:rsid w:val="174F614E"/>
    <w:rsid w:val="17593F7C"/>
    <w:rsid w:val="17901AEB"/>
    <w:rsid w:val="1795795A"/>
    <w:rsid w:val="179B63A8"/>
    <w:rsid w:val="179C6BA6"/>
    <w:rsid w:val="17AA44AA"/>
    <w:rsid w:val="17B9383D"/>
    <w:rsid w:val="17C75809"/>
    <w:rsid w:val="17CC40F0"/>
    <w:rsid w:val="17E165CB"/>
    <w:rsid w:val="17EB74E7"/>
    <w:rsid w:val="17EC2D57"/>
    <w:rsid w:val="180D7E99"/>
    <w:rsid w:val="185C66AE"/>
    <w:rsid w:val="186B2AA6"/>
    <w:rsid w:val="1876710A"/>
    <w:rsid w:val="187C3036"/>
    <w:rsid w:val="188D3123"/>
    <w:rsid w:val="18DC4043"/>
    <w:rsid w:val="18DD0937"/>
    <w:rsid w:val="190D6C99"/>
    <w:rsid w:val="191B528A"/>
    <w:rsid w:val="191D0E57"/>
    <w:rsid w:val="19223429"/>
    <w:rsid w:val="19245762"/>
    <w:rsid w:val="194F4FD8"/>
    <w:rsid w:val="19601987"/>
    <w:rsid w:val="19690B66"/>
    <w:rsid w:val="197403CC"/>
    <w:rsid w:val="19B429F8"/>
    <w:rsid w:val="19B72F86"/>
    <w:rsid w:val="19B85E10"/>
    <w:rsid w:val="19BC22D6"/>
    <w:rsid w:val="19C15F21"/>
    <w:rsid w:val="19E020B8"/>
    <w:rsid w:val="19E8568F"/>
    <w:rsid w:val="1A0265AC"/>
    <w:rsid w:val="1A0D36FE"/>
    <w:rsid w:val="1A230D00"/>
    <w:rsid w:val="1A3106BF"/>
    <w:rsid w:val="1A3145EF"/>
    <w:rsid w:val="1A4C49A0"/>
    <w:rsid w:val="1A5B6C23"/>
    <w:rsid w:val="1A7A3013"/>
    <w:rsid w:val="1A8717B9"/>
    <w:rsid w:val="1AA47177"/>
    <w:rsid w:val="1AC6787B"/>
    <w:rsid w:val="1ACB0AE0"/>
    <w:rsid w:val="1ADC0156"/>
    <w:rsid w:val="1AED2EFC"/>
    <w:rsid w:val="1B0D313F"/>
    <w:rsid w:val="1B320224"/>
    <w:rsid w:val="1B830DA9"/>
    <w:rsid w:val="1B86733B"/>
    <w:rsid w:val="1B873668"/>
    <w:rsid w:val="1BC3044B"/>
    <w:rsid w:val="1BD23808"/>
    <w:rsid w:val="1C1007DD"/>
    <w:rsid w:val="1C3076E1"/>
    <w:rsid w:val="1C3938AC"/>
    <w:rsid w:val="1C3B2B44"/>
    <w:rsid w:val="1C3E68C5"/>
    <w:rsid w:val="1C401C64"/>
    <w:rsid w:val="1C551678"/>
    <w:rsid w:val="1C9B0A8D"/>
    <w:rsid w:val="1CA677B8"/>
    <w:rsid w:val="1CD6295C"/>
    <w:rsid w:val="1CDF2B62"/>
    <w:rsid w:val="1CF20859"/>
    <w:rsid w:val="1D393F6D"/>
    <w:rsid w:val="1D3C017E"/>
    <w:rsid w:val="1D664BF1"/>
    <w:rsid w:val="1D66642C"/>
    <w:rsid w:val="1D817FD4"/>
    <w:rsid w:val="1D97493F"/>
    <w:rsid w:val="1DA958AD"/>
    <w:rsid w:val="1DB6394E"/>
    <w:rsid w:val="1DB84D0E"/>
    <w:rsid w:val="1DDB774B"/>
    <w:rsid w:val="1DE101CE"/>
    <w:rsid w:val="1DF06B0A"/>
    <w:rsid w:val="1E1A291F"/>
    <w:rsid w:val="1E480074"/>
    <w:rsid w:val="1E6854BC"/>
    <w:rsid w:val="1E6C1F65"/>
    <w:rsid w:val="1E6C471C"/>
    <w:rsid w:val="1E723A55"/>
    <w:rsid w:val="1E784143"/>
    <w:rsid w:val="1E7F010E"/>
    <w:rsid w:val="1E815BA1"/>
    <w:rsid w:val="1E8B3D11"/>
    <w:rsid w:val="1E9D2721"/>
    <w:rsid w:val="1EBD353A"/>
    <w:rsid w:val="1EC27F75"/>
    <w:rsid w:val="1EC865D8"/>
    <w:rsid w:val="1EDB0C83"/>
    <w:rsid w:val="1EDB10BF"/>
    <w:rsid w:val="1EF208C3"/>
    <w:rsid w:val="1EFC4767"/>
    <w:rsid w:val="1F0A1B74"/>
    <w:rsid w:val="1F0C32F6"/>
    <w:rsid w:val="1F0D1E03"/>
    <w:rsid w:val="1F0D4C5B"/>
    <w:rsid w:val="1F2018E1"/>
    <w:rsid w:val="1F49440C"/>
    <w:rsid w:val="1F583425"/>
    <w:rsid w:val="1F7478B7"/>
    <w:rsid w:val="1F833C2E"/>
    <w:rsid w:val="1FB85399"/>
    <w:rsid w:val="1FCB7610"/>
    <w:rsid w:val="200158E4"/>
    <w:rsid w:val="201F614A"/>
    <w:rsid w:val="2036061A"/>
    <w:rsid w:val="20390284"/>
    <w:rsid w:val="204474F4"/>
    <w:rsid w:val="20553E2F"/>
    <w:rsid w:val="206308DD"/>
    <w:rsid w:val="206B7CFB"/>
    <w:rsid w:val="20782FE0"/>
    <w:rsid w:val="20956654"/>
    <w:rsid w:val="20B65BA9"/>
    <w:rsid w:val="20BF6B4D"/>
    <w:rsid w:val="20CE164F"/>
    <w:rsid w:val="20CE49E5"/>
    <w:rsid w:val="20EB177E"/>
    <w:rsid w:val="20EB702F"/>
    <w:rsid w:val="20EC2AB3"/>
    <w:rsid w:val="20EF5DD2"/>
    <w:rsid w:val="20F052F3"/>
    <w:rsid w:val="21075EAE"/>
    <w:rsid w:val="212E3725"/>
    <w:rsid w:val="21422FC3"/>
    <w:rsid w:val="21446D64"/>
    <w:rsid w:val="218E227A"/>
    <w:rsid w:val="219B0E35"/>
    <w:rsid w:val="21B262B5"/>
    <w:rsid w:val="21B97618"/>
    <w:rsid w:val="21BD656F"/>
    <w:rsid w:val="21C46F29"/>
    <w:rsid w:val="21F82CE7"/>
    <w:rsid w:val="220732D0"/>
    <w:rsid w:val="221B1AA1"/>
    <w:rsid w:val="22251EA5"/>
    <w:rsid w:val="22493602"/>
    <w:rsid w:val="224C58FF"/>
    <w:rsid w:val="22871F41"/>
    <w:rsid w:val="22A66E3A"/>
    <w:rsid w:val="22B71BF0"/>
    <w:rsid w:val="22D85F9B"/>
    <w:rsid w:val="22E76720"/>
    <w:rsid w:val="22EF5777"/>
    <w:rsid w:val="232744C8"/>
    <w:rsid w:val="232B1E40"/>
    <w:rsid w:val="23351427"/>
    <w:rsid w:val="233D075D"/>
    <w:rsid w:val="234A48FA"/>
    <w:rsid w:val="235A2118"/>
    <w:rsid w:val="239A5E8E"/>
    <w:rsid w:val="23A302C8"/>
    <w:rsid w:val="23AB3DCA"/>
    <w:rsid w:val="23AE428F"/>
    <w:rsid w:val="23CA04FD"/>
    <w:rsid w:val="23D66121"/>
    <w:rsid w:val="23DF4664"/>
    <w:rsid w:val="23EF4F44"/>
    <w:rsid w:val="24017C3E"/>
    <w:rsid w:val="242F4DFC"/>
    <w:rsid w:val="24693041"/>
    <w:rsid w:val="2478400A"/>
    <w:rsid w:val="24A977D4"/>
    <w:rsid w:val="24FB7B5E"/>
    <w:rsid w:val="24FD1BE4"/>
    <w:rsid w:val="25070E5D"/>
    <w:rsid w:val="251055D0"/>
    <w:rsid w:val="25162D83"/>
    <w:rsid w:val="253F3273"/>
    <w:rsid w:val="25482D76"/>
    <w:rsid w:val="256956B8"/>
    <w:rsid w:val="256B16A4"/>
    <w:rsid w:val="257F457A"/>
    <w:rsid w:val="25830BDD"/>
    <w:rsid w:val="2595447B"/>
    <w:rsid w:val="25AB53AA"/>
    <w:rsid w:val="25BC0A52"/>
    <w:rsid w:val="25CA6E03"/>
    <w:rsid w:val="25D90F8B"/>
    <w:rsid w:val="25ED5630"/>
    <w:rsid w:val="26106E5A"/>
    <w:rsid w:val="261F7052"/>
    <w:rsid w:val="26205CFD"/>
    <w:rsid w:val="263B1339"/>
    <w:rsid w:val="263D681D"/>
    <w:rsid w:val="2644389F"/>
    <w:rsid w:val="26495861"/>
    <w:rsid w:val="26546279"/>
    <w:rsid w:val="26637BAC"/>
    <w:rsid w:val="266807FF"/>
    <w:rsid w:val="26911AED"/>
    <w:rsid w:val="26AA28DA"/>
    <w:rsid w:val="26AC098C"/>
    <w:rsid w:val="26AF4030"/>
    <w:rsid w:val="26BE361E"/>
    <w:rsid w:val="26F02FAB"/>
    <w:rsid w:val="272145E0"/>
    <w:rsid w:val="274A7D75"/>
    <w:rsid w:val="275D1CBB"/>
    <w:rsid w:val="275E3610"/>
    <w:rsid w:val="276158EF"/>
    <w:rsid w:val="276A51E0"/>
    <w:rsid w:val="277B3338"/>
    <w:rsid w:val="277E33C0"/>
    <w:rsid w:val="27ED72B6"/>
    <w:rsid w:val="27F52CFD"/>
    <w:rsid w:val="280C0039"/>
    <w:rsid w:val="282D258B"/>
    <w:rsid w:val="285E0683"/>
    <w:rsid w:val="287E0D2C"/>
    <w:rsid w:val="28854F72"/>
    <w:rsid w:val="289B1D1F"/>
    <w:rsid w:val="28BA186B"/>
    <w:rsid w:val="28BE6FD2"/>
    <w:rsid w:val="28D864E0"/>
    <w:rsid w:val="28E32ED5"/>
    <w:rsid w:val="290D5247"/>
    <w:rsid w:val="293E7B47"/>
    <w:rsid w:val="294F1A4F"/>
    <w:rsid w:val="29743EB6"/>
    <w:rsid w:val="29814F03"/>
    <w:rsid w:val="29840174"/>
    <w:rsid w:val="298D119C"/>
    <w:rsid w:val="29A0418D"/>
    <w:rsid w:val="29AE7AF9"/>
    <w:rsid w:val="29B81621"/>
    <w:rsid w:val="29DB323E"/>
    <w:rsid w:val="29DD2601"/>
    <w:rsid w:val="29E91BC9"/>
    <w:rsid w:val="29E97234"/>
    <w:rsid w:val="29ED3EB9"/>
    <w:rsid w:val="29F9264C"/>
    <w:rsid w:val="29FA3540"/>
    <w:rsid w:val="29FD268B"/>
    <w:rsid w:val="2A135BAE"/>
    <w:rsid w:val="2A157464"/>
    <w:rsid w:val="2A4337B1"/>
    <w:rsid w:val="2A546A20"/>
    <w:rsid w:val="2A5471DE"/>
    <w:rsid w:val="2A7218D1"/>
    <w:rsid w:val="2A824BDA"/>
    <w:rsid w:val="2A933706"/>
    <w:rsid w:val="2ABB4BDE"/>
    <w:rsid w:val="2AC453E9"/>
    <w:rsid w:val="2AD95212"/>
    <w:rsid w:val="2ADE530A"/>
    <w:rsid w:val="2AEC38E2"/>
    <w:rsid w:val="2B1359A2"/>
    <w:rsid w:val="2B1C0BDC"/>
    <w:rsid w:val="2B4C4665"/>
    <w:rsid w:val="2B857D3F"/>
    <w:rsid w:val="2BB2438C"/>
    <w:rsid w:val="2BC22C7B"/>
    <w:rsid w:val="2BCA32A1"/>
    <w:rsid w:val="2C055696"/>
    <w:rsid w:val="2C070392"/>
    <w:rsid w:val="2C2D2F9C"/>
    <w:rsid w:val="2C304F71"/>
    <w:rsid w:val="2C551389"/>
    <w:rsid w:val="2C832291"/>
    <w:rsid w:val="2C863751"/>
    <w:rsid w:val="2CB2362F"/>
    <w:rsid w:val="2CC05081"/>
    <w:rsid w:val="2CC35888"/>
    <w:rsid w:val="2CDC700C"/>
    <w:rsid w:val="2CEB1449"/>
    <w:rsid w:val="2D3C659B"/>
    <w:rsid w:val="2D4D5DA6"/>
    <w:rsid w:val="2D5A6233"/>
    <w:rsid w:val="2D6531C4"/>
    <w:rsid w:val="2D883B0E"/>
    <w:rsid w:val="2D8B3A56"/>
    <w:rsid w:val="2D95761B"/>
    <w:rsid w:val="2D9655B5"/>
    <w:rsid w:val="2D9B4C43"/>
    <w:rsid w:val="2DB60C0D"/>
    <w:rsid w:val="2DB66DAF"/>
    <w:rsid w:val="2DBF1738"/>
    <w:rsid w:val="2DED7AC1"/>
    <w:rsid w:val="2DF55C0B"/>
    <w:rsid w:val="2E007F3F"/>
    <w:rsid w:val="2E034032"/>
    <w:rsid w:val="2E0C7860"/>
    <w:rsid w:val="2E110ADE"/>
    <w:rsid w:val="2E29498D"/>
    <w:rsid w:val="2E2E141D"/>
    <w:rsid w:val="2E360B90"/>
    <w:rsid w:val="2E521653"/>
    <w:rsid w:val="2E6D15F0"/>
    <w:rsid w:val="2E7B7104"/>
    <w:rsid w:val="2E7C7DB1"/>
    <w:rsid w:val="2E926146"/>
    <w:rsid w:val="2E9E2680"/>
    <w:rsid w:val="2EB7183E"/>
    <w:rsid w:val="2EBF5D80"/>
    <w:rsid w:val="2EC67B81"/>
    <w:rsid w:val="2EDC0239"/>
    <w:rsid w:val="2EED184C"/>
    <w:rsid w:val="2F547BA5"/>
    <w:rsid w:val="2F5D0C70"/>
    <w:rsid w:val="2F946053"/>
    <w:rsid w:val="2FB111C0"/>
    <w:rsid w:val="2FB250EE"/>
    <w:rsid w:val="2FBE1727"/>
    <w:rsid w:val="2FDC2796"/>
    <w:rsid w:val="300A04DE"/>
    <w:rsid w:val="301139A4"/>
    <w:rsid w:val="302A58D2"/>
    <w:rsid w:val="3034564F"/>
    <w:rsid w:val="3039561B"/>
    <w:rsid w:val="30581F1C"/>
    <w:rsid w:val="306A6F2E"/>
    <w:rsid w:val="306B6815"/>
    <w:rsid w:val="307811E2"/>
    <w:rsid w:val="308B7EDE"/>
    <w:rsid w:val="308C1105"/>
    <w:rsid w:val="308D292D"/>
    <w:rsid w:val="30996E7C"/>
    <w:rsid w:val="30AB43A0"/>
    <w:rsid w:val="30BB7024"/>
    <w:rsid w:val="30BC1158"/>
    <w:rsid w:val="30C16723"/>
    <w:rsid w:val="30E363D4"/>
    <w:rsid w:val="30E72B9B"/>
    <w:rsid w:val="311B5A75"/>
    <w:rsid w:val="31386DF1"/>
    <w:rsid w:val="31461845"/>
    <w:rsid w:val="31817BF1"/>
    <w:rsid w:val="318332DA"/>
    <w:rsid w:val="319B49F2"/>
    <w:rsid w:val="31D10FEE"/>
    <w:rsid w:val="31DA1919"/>
    <w:rsid w:val="31DB702A"/>
    <w:rsid w:val="31DF6209"/>
    <w:rsid w:val="31ED18E3"/>
    <w:rsid w:val="31EE3D4C"/>
    <w:rsid w:val="31F342AD"/>
    <w:rsid w:val="322B69F3"/>
    <w:rsid w:val="32997C5C"/>
    <w:rsid w:val="329F5D83"/>
    <w:rsid w:val="32A962C5"/>
    <w:rsid w:val="32AE67FE"/>
    <w:rsid w:val="32BF1974"/>
    <w:rsid w:val="32C40656"/>
    <w:rsid w:val="32E74C9D"/>
    <w:rsid w:val="32EF63BD"/>
    <w:rsid w:val="3300581E"/>
    <w:rsid w:val="33092EC2"/>
    <w:rsid w:val="331204DD"/>
    <w:rsid w:val="331234A3"/>
    <w:rsid w:val="332D317D"/>
    <w:rsid w:val="33305B4F"/>
    <w:rsid w:val="3371460F"/>
    <w:rsid w:val="338623B5"/>
    <w:rsid w:val="33897800"/>
    <w:rsid w:val="33A54EF6"/>
    <w:rsid w:val="33C12B14"/>
    <w:rsid w:val="33C77CE4"/>
    <w:rsid w:val="33EB4BFC"/>
    <w:rsid w:val="341B0E39"/>
    <w:rsid w:val="3431171C"/>
    <w:rsid w:val="347608AD"/>
    <w:rsid w:val="34B071CB"/>
    <w:rsid w:val="34B45F97"/>
    <w:rsid w:val="34BE4ACD"/>
    <w:rsid w:val="34C533CE"/>
    <w:rsid w:val="34D44618"/>
    <w:rsid w:val="34DE1476"/>
    <w:rsid w:val="34E7797D"/>
    <w:rsid w:val="34F63FD9"/>
    <w:rsid w:val="350100F6"/>
    <w:rsid w:val="35081CE0"/>
    <w:rsid w:val="353225AF"/>
    <w:rsid w:val="35330164"/>
    <w:rsid w:val="35372BEB"/>
    <w:rsid w:val="354E62B7"/>
    <w:rsid w:val="357D18D4"/>
    <w:rsid w:val="3583106D"/>
    <w:rsid w:val="358D6E27"/>
    <w:rsid w:val="35AB1587"/>
    <w:rsid w:val="35DD7083"/>
    <w:rsid w:val="35F37613"/>
    <w:rsid w:val="35FB01E4"/>
    <w:rsid w:val="35FC2475"/>
    <w:rsid w:val="36000DEE"/>
    <w:rsid w:val="361075AA"/>
    <w:rsid w:val="3619247E"/>
    <w:rsid w:val="361C32E3"/>
    <w:rsid w:val="362D1EA8"/>
    <w:rsid w:val="363B4F21"/>
    <w:rsid w:val="36452244"/>
    <w:rsid w:val="365325D3"/>
    <w:rsid w:val="36604074"/>
    <w:rsid w:val="36665265"/>
    <w:rsid w:val="367A4AE9"/>
    <w:rsid w:val="36A0680D"/>
    <w:rsid w:val="36C733A6"/>
    <w:rsid w:val="36CF0F85"/>
    <w:rsid w:val="36F24313"/>
    <w:rsid w:val="37096D47"/>
    <w:rsid w:val="370A6DDC"/>
    <w:rsid w:val="37176A8D"/>
    <w:rsid w:val="371C4C0A"/>
    <w:rsid w:val="372F0C76"/>
    <w:rsid w:val="37332780"/>
    <w:rsid w:val="37461637"/>
    <w:rsid w:val="37906037"/>
    <w:rsid w:val="37B107DF"/>
    <w:rsid w:val="37EC2340"/>
    <w:rsid w:val="37F80541"/>
    <w:rsid w:val="38241723"/>
    <w:rsid w:val="383306CA"/>
    <w:rsid w:val="3848046A"/>
    <w:rsid w:val="3861044F"/>
    <w:rsid w:val="388C4B4A"/>
    <w:rsid w:val="388F3360"/>
    <w:rsid w:val="38A1487A"/>
    <w:rsid w:val="38B60CED"/>
    <w:rsid w:val="38C66435"/>
    <w:rsid w:val="38C72C82"/>
    <w:rsid w:val="38D0712F"/>
    <w:rsid w:val="38DB3934"/>
    <w:rsid w:val="390147D5"/>
    <w:rsid w:val="39155E83"/>
    <w:rsid w:val="391E4543"/>
    <w:rsid w:val="39213D6C"/>
    <w:rsid w:val="39297CD8"/>
    <w:rsid w:val="39555064"/>
    <w:rsid w:val="39DB0183"/>
    <w:rsid w:val="39E16FE0"/>
    <w:rsid w:val="3A00291E"/>
    <w:rsid w:val="3A024347"/>
    <w:rsid w:val="3A084041"/>
    <w:rsid w:val="3A0C5A88"/>
    <w:rsid w:val="3A1C4A68"/>
    <w:rsid w:val="3A22197C"/>
    <w:rsid w:val="3A3E0FB0"/>
    <w:rsid w:val="3A9A2DB6"/>
    <w:rsid w:val="3AC6747A"/>
    <w:rsid w:val="3AC8207F"/>
    <w:rsid w:val="3AF172AC"/>
    <w:rsid w:val="3B22543A"/>
    <w:rsid w:val="3B311067"/>
    <w:rsid w:val="3B6C3AF0"/>
    <w:rsid w:val="3B8C10A4"/>
    <w:rsid w:val="3BA5009C"/>
    <w:rsid w:val="3BCF1D4D"/>
    <w:rsid w:val="3BE00A47"/>
    <w:rsid w:val="3C0E4B8A"/>
    <w:rsid w:val="3C1E52CF"/>
    <w:rsid w:val="3C3057C7"/>
    <w:rsid w:val="3C8056A3"/>
    <w:rsid w:val="3CA95D3D"/>
    <w:rsid w:val="3CC83A56"/>
    <w:rsid w:val="3CCC31AE"/>
    <w:rsid w:val="3CE27B73"/>
    <w:rsid w:val="3CF30D75"/>
    <w:rsid w:val="3D133CC9"/>
    <w:rsid w:val="3D1F4448"/>
    <w:rsid w:val="3D3B7D83"/>
    <w:rsid w:val="3D680945"/>
    <w:rsid w:val="3DA151C8"/>
    <w:rsid w:val="3DC00F9C"/>
    <w:rsid w:val="3DCF21E6"/>
    <w:rsid w:val="3DCF76E3"/>
    <w:rsid w:val="3DDC080E"/>
    <w:rsid w:val="3E0301DA"/>
    <w:rsid w:val="3E1B096F"/>
    <w:rsid w:val="3E2B66F1"/>
    <w:rsid w:val="3E2F3297"/>
    <w:rsid w:val="3E432B3C"/>
    <w:rsid w:val="3E440CAA"/>
    <w:rsid w:val="3E6C6867"/>
    <w:rsid w:val="3ECB2D64"/>
    <w:rsid w:val="3EDC70DA"/>
    <w:rsid w:val="3EEA6653"/>
    <w:rsid w:val="3F0C1704"/>
    <w:rsid w:val="3F1F063F"/>
    <w:rsid w:val="3F344A27"/>
    <w:rsid w:val="3F395DA7"/>
    <w:rsid w:val="3F3D1A00"/>
    <w:rsid w:val="3F693D1E"/>
    <w:rsid w:val="3F7C08BE"/>
    <w:rsid w:val="3F8C4BB5"/>
    <w:rsid w:val="3FA928D2"/>
    <w:rsid w:val="3FAF1BDB"/>
    <w:rsid w:val="3FAF36F8"/>
    <w:rsid w:val="3FBF1DBF"/>
    <w:rsid w:val="4006412F"/>
    <w:rsid w:val="40164482"/>
    <w:rsid w:val="402079F7"/>
    <w:rsid w:val="402F10B7"/>
    <w:rsid w:val="40503E44"/>
    <w:rsid w:val="40BE135F"/>
    <w:rsid w:val="40C84DC0"/>
    <w:rsid w:val="40E63087"/>
    <w:rsid w:val="40EE74C4"/>
    <w:rsid w:val="41021FF2"/>
    <w:rsid w:val="4105404B"/>
    <w:rsid w:val="412253B5"/>
    <w:rsid w:val="412325C1"/>
    <w:rsid w:val="413B7C4F"/>
    <w:rsid w:val="41476EF0"/>
    <w:rsid w:val="417047AC"/>
    <w:rsid w:val="417D2BF0"/>
    <w:rsid w:val="41900C67"/>
    <w:rsid w:val="41D74163"/>
    <w:rsid w:val="41E536EA"/>
    <w:rsid w:val="41EC7D00"/>
    <w:rsid w:val="41F31C71"/>
    <w:rsid w:val="420402E9"/>
    <w:rsid w:val="42040900"/>
    <w:rsid w:val="42450B62"/>
    <w:rsid w:val="42531840"/>
    <w:rsid w:val="425D57EC"/>
    <w:rsid w:val="42666D6B"/>
    <w:rsid w:val="42856D8B"/>
    <w:rsid w:val="429814D9"/>
    <w:rsid w:val="42A677C5"/>
    <w:rsid w:val="42B67B2F"/>
    <w:rsid w:val="42B73177"/>
    <w:rsid w:val="42C1330E"/>
    <w:rsid w:val="42D66CA8"/>
    <w:rsid w:val="42FA6838"/>
    <w:rsid w:val="42FE679E"/>
    <w:rsid w:val="43131DC9"/>
    <w:rsid w:val="431A1904"/>
    <w:rsid w:val="43315492"/>
    <w:rsid w:val="43552B21"/>
    <w:rsid w:val="4363130B"/>
    <w:rsid w:val="43C42B2A"/>
    <w:rsid w:val="43D80BD9"/>
    <w:rsid w:val="43DD39C4"/>
    <w:rsid w:val="43E1472A"/>
    <w:rsid w:val="43E6427C"/>
    <w:rsid w:val="44070D31"/>
    <w:rsid w:val="440C341E"/>
    <w:rsid w:val="44401C4C"/>
    <w:rsid w:val="44452278"/>
    <w:rsid w:val="44557BD9"/>
    <w:rsid w:val="445A5731"/>
    <w:rsid w:val="446620DC"/>
    <w:rsid w:val="448E1330"/>
    <w:rsid w:val="44994749"/>
    <w:rsid w:val="44B17375"/>
    <w:rsid w:val="44CA5C96"/>
    <w:rsid w:val="44CB06C6"/>
    <w:rsid w:val="44D96A59"/>
    <w:rsid w:val="45053EB9"/>
    <w:rsid w:val="45115B17"/>
    <w:rsid w:val="451413DC"/>
    <w:rsid w:val="455F04A3"/>
    <w:rsid w:val="45656FCA"/>
    <w:rsid w:val="458A0E9B"/>
    <w:rsid w:val="45AA21AA"/>
    <w:rsid w:val="45B03354"/>
    <w:rsid w:val="45BE3AA1"/>
    <w:rsid w:val="45C102CA"/>
    <w:rsid w:val="45D77AC2"/>
    <w:rsid w:val="45ED4D64"/>
    <w:rsid w:val="45FB585D"/>
    <w:rsid w:val="460D03A3"/>
    <w:rsid w:val="46170337"/>
    <w:rsid w:val="461F33C6"/>
    <w:rsid w:val="466F718C"/>
    <w:rsid w:val="467E6CBC"/>
    <w:rsid w:val="468C2AF7"/>
    <w:rsid w:val="469F3795"/>
    <w:rsid w:val="46A74C7E"/>
    <w:rsid w:val="46C4056F"/>
    <w:rsid w:val="4709536A"/>
    <w:rsid w:val="47130987"/>
    <w:rsid w:val="472D3102"/>
    <w:rsid w:val="47346345"/>
    <w:rsid w:val="474C22E0"/>
    <w:rsid w:val="475F108B"/>
    <w:rsid w:val="476201ED"/>
    <w:rsid w:val="47832239"/>
    <w:rsid w:val="479E0BF9"/>
    <w:rsid w:val="47CC2CBF"/>
    <w:rsid w:val="47E859E5"/>
    <w:rsid w:val="48015AC2"/>
    <w:rsid w:val="48026040"/>
    <w:rsid w:val="4806597B"/>
    <w:rsid w:val="4818686D"/>
    <w:rsid w:val="48290EA1"/>
    <w:rsid w:val="482F00F2"/>
    <w:rsid w:val="485D3FFB"/>
    <w:rsid w:val="485E3463"/>
    <w:rsid w:val="488126FE"/>
    <w:rsid w:val="48985421"/>
    <w:rsid w:val="48A90E72"/>
    <w:rsid w:val="48B66A37"/>
    <w:rsid w:val="48C45806"/>
    <w:rsid w:val="48D90BAA"/>
    <w:rsid w:val="48F60966"/>
    <w:rsid w:val="48F71B49"/>
    <w:rsid w:val="49003E15"/>
    <w:rsid w:val="49022E3C"/>
    <w:rsid w:val="490A5D06"/>
    <w:rsid w:val="493A64D3"/>
    <w:rsid w:val="49563556"/>
    <w:rsid w:val="495B46CC"/>
    <w:rsid w:val="49791ED9"/>
    <w:rsid w:val="4994738B"/>
    <w:rsid w:val="49AE1848"/>
    <w:rsid w:val="49BA4E94"/>
    <w:rsid w:val="49C47816"/>
    <w:rsid w:val="49D96ACF"/>
    <w:rsid w:val="49FA32DA"/>
    <w:rsid w:val="49FF6276"/>
    <w:rsid w:val="4A051234"/>
    <w:rsid w:val="4A106B86"/>
    <w:rsid w:val="4A4354C2"/>
    <w:rsid w:val="4A474308"/>
    <w:rsid w:val="4A5934BB"/>
    <w:rsid w:val="4A5B46C0"/>
    <w:rsid w:val="4A5F1F0B"/>
    <w:rsid w:val="4A6855C7"/>
    <w:rsid w:val="4A720EEF"/>
    <w:rsid w:val="4A75772A"/>
    <w:rsid w:val="4A8926F4"/>
    <w:rsid w:val="4AA91B97"/>
    <w:rsid w:val="4AAF31B1"/>
    <w:rsid w:val="4AD706A1"/>
    <w:rsid w:val="4B434E7D"/>
    <w:rsid w:val="4B637E36"/>
    <w:rsid w:val="4B6433FA"/>
    <w:rsid w:val="4B6603D5"/>
    <w:rsid w:val="4B7E054D"/>
    <w:rsid w:val="4B8E5A73"/>
    <w:rsid w:val="4B9716E8"/>
    <w:rsid w:val="4B981AFB"/>
    <w:rsid w:val="4BFB0D39"/>
    <w:rsid w:val="4C051483"/>
    <w:rsid w:val="4C165BC1"/>
    <w:rsid w:val="4C2E05AB"/>
    <w:rsid w:val="4C3460DC"/>
    <w:rsid w:val="4C647AC2"/>
    <w:rsid w:val="4C751E30"/>
    <w:rsid w:val="4C7B2918"/>
    <w:rsid w:val="4C93465E"/>
    <w:rsid w:val="4C934DD8"/>
    <w:rsid w:val="4C940FE0"/>
    <w:rsid w:val="4CA1734D"/>
    <w:rsid w:val="4CBD6B8B"/>
    <w:rsid w:val="4CCF28A7"/>
    <w:rsid w:val="4CEE7232"/>
    <w:rsid w:val="4D1D334B"/>
    <w:rsid w:val="4D1F5259"/>
    <w:rsid w:val="4D310CE0"/>
    <w:rsid w:val="4D390510"/>
    <w:rsid w:val="4D3E10B1"/>
    <w:rsid w:val="4D496C1B"/>
    <w:rsid w:val="4D6B61CD"/>
    <w:rsid w:val="4D7609DC"/>
    <w:rsid w:val="4D764358"/>
    <w:rsid w:val="4DA274F8"/>
    <w:rsid w:val="4DCB4C25"/>
    <w:rsid w:val="4DCD485F"/>
    <w:rsid w:val="4DD62D90"/>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EF505C2"/>
    <w:rsid w:val="4F0F4324"/>
    <w:rsid w:val="4F1E5F93"/>
    <w:rsid w:val="4F5416EE"/>
    <w:rsid w:val="4F573C87"/>
    <w:rsid w:val="4F5802AB"/>
    <w:rsid w:val="4F604D99"/>
    <w:rsid w:val="4F6F1C9B"/>
    <w:rsid w:val="4F966B1F"/>
    <w:rsid w:val="4F9B3E73"/>
    <w:rsid w:val="4FAF1E86"/>
    <w:rsid w:val="4FC709B6"/>
    <w:rsid w:val="50181D1A"/>
    <w:rsid w:val="502E4BEA"/>
    <w:rsid w:val="505A2966"/>
    <w:rsid w:val="507B2640"/>
    <w:rsid w:val="508B5174"/>
    <w:rsid w:val="50A8231C"/>
    <w:rsid w:val="50B05815"/>
    <w:rsid w:val="50BB0FB2"/>
    <w:rsid w:val="50ED07EA"/>
    <w:rsid w:val="50FE62A2"/>
    <w:rsid w:val="51032870"/>
    <w:rsid w:val="51062C7C"/>
    <w:rsid w:val="510A1923"/>
    <w:rsid w:val="5120599C"/>
    <w:rsid w:val="51205C57"/>
    <w:rsid w:val="5145465F"/>
    <w:rsid w:val="515E708D"/>
    <w:rsid w:val="5169663D"/>
    <w:rsid w:val="51AF677C"/>
    <w:rsid w:val="51C80F05"/>
    <w:rsid w:val="51CF5E24"/>
    <w:rsid w:val="51E03A19"/>
    <w:rsid w:val="51E7477B"/>
    <w:rsid w:val="51FC415A"/>
    <w:rsid w:val="52563E44"/>
    <w:rsid w:val="527F2428"/>
    <w:rsid w:val="52870E84"/>
    <w:rsid w:val="52BC1638"/>
    <w:rsid w:val="52C076E7"/>
    <w:rsid w:val="52D070F5"/>
    <w:rsid w:val="52D723B0"/>
    <w:rsid w:val="52E91D07"/>
    <w:rsid w:val="52FF75B0"/>
    <w:rsid w:val="53230164"/>
    <w:rsid w:val="53332C9A"/>
    <w:rsid w:val="534E0590"/>
    <w:rsid w:val="538700B3"/>
    <w:rsid w:val="53AD4E07"/>
    <w:rsid w:val="53CF4D8A"/>
    <w:rsid w:val="540727CA"/>
    <w:rsid w:val="5415503F"/>
    <w:rsid w:val="543E07CB"/>
    <w:rsid w:val="54485492"/>
    <w:rsid w:val="54546A52"/>
    <w:rsid w:val="548B557A"/>
    <w:rsid w:val="549A0E14"/>
    <w:rsid w:val="54B61333"/>
    <w:rsid w:val="54CD13A5"/>
    <w:rsid w:val="54CE60A9"/>
    <w:rsid w:val="54D71C0F"/>
    <w:rsid w:val="54ED7CD0"/>
    <w:rsid w:val="5503669C"/>
    <w:rsid w:val="552134EF"/>
    <w:rsid w:val="55346F44"/>
    <w:rsid w:val="556548A8"/>
    <w:rsid w:val="556B26A8"/>
    <w:rsid w:val="556E70B3"/>
    <w:rsid w:val="55780BB3"/>
    <w:rsid w:val="557E5388"/>
    <w:rsid w:val="558420D1"/>
    <w:rsid w:val="559D25E7"/>
    <w:rsid w:val="55B8599C"/>
    <w:rsid w:val="55C44E8A"/>
    <w:rsid w:val="55C51D6D"/>
    <w:rsid w:val="55EC16DE"/>
    <w:rsid w:val="55FB7AE9"/>
    <w:rsid w:val="560260CC"/>
    <w:rsid w:val="560E2042"/>
    <w:rsid w:val="56285CD2"/>
    <w:rsid w:val="564C3BAF"/>
    <w:rsid w:val="565D20AB"/>
    <w:rsid w:val="567C73D4"/>
    <w:rsid w:val="56971C9D"/>
    <w:rsid w:val="56A13FD5"/>
    <w:rsid w:val="56AF212C"/>
    <w:rsid w:val="56B22FD9"/>
    <w:rsid w:val="56CD35B6"/>
    <w:rsid w:val="56CD5DF2"/>
    <w:rsid w:val="56EF0E1E"/>
    <w:rsid w:val="56F55E75"/>
    <w:rsid w:val="57085025"/>
    <w:rsid w:val="570925BD"/>
    <w:rsid w:val="570B2FE8"/>
    <w:rsid w:val="573A366B"/>
    <w:rsid w:val="5743412D"/>
    <w:rsid w:val="574A01C9"/>
    <w:rsid w:val="576443A8"/>
    <w:rsid w:val="57683EB8"/>
    <w:rsid w:val="57693DDD"/>
    <w:rsid w:val="57C91126"/>
    <w:rsid w:val="57C970C0"/>
    <w:rsid w:val="57CD20EB"/>
    <w:rsid w:val="57F13229"/>
    <w:rsid w:val="57F8518C"/>
    <w:rsid w:val="58055912"/>
    <w:rsid w:val="580F5F80"/>
    <w:rsid w:val="5841016D"/>
    <w:rsid w:val="5846331E"/>
    <w:rsid w:val="587161E6"/>
    <w:rsid w:val="58776A76"/>
    <w:rsid w:val="588F79F3"/>
    <w:rsid w:val="58B06C41"/>
    <w:rsid w:val="58BC2BEA"/>
    <w:rsid w:val="58C37E45"/>
    <w:rsid w:val="58DD4BC6"/>
    <w:rsid w:val="58E50E83"/>
    <w:rsid w:val="58EC47E3"/>
    <w:rsid w:val="58F637C8"/>
    <w:rsid w:val="58FA1C78"/>
    <w:rsid w:val="59031FEF"/>
    <w:rsid w:val="59114924"/>
    <w:rsid w:val="591B5DC0"/>
    <w:rsid w:val="591E35A8"/>
    <w:rsid w:val="59351969"/>
    <w:rsid w:val="594A0D9A"/>
    <w:rsid w:val="59530AC8"/>
    <w:rsid w:val="596140D0"/>
    <w:rsid w:val="59625C13"/>
    <w:rsid w:val="596F395C"/>
    <w:rsid w:val="5976348A"/>
    <w:rsid w:val="59835F75"/>
    <w:rsid w:val="598A1B97"/>
    <w:rsid w:val="59A8766A"/>
    <w:rsid w:val="59BB5DF4"/>
    <w:rsid w:val="59C70C07"/>
    <w:rsid w:val="59E747F4"/>
    <w:rsid w:val="59F438C7"/>
    <w:rsid w:val="59FB7D2C"/>
    <w:rsid w:val="5A326BBE"/>
    <w:rsid w:val="5A35296A"/>
    <w:rsid w:val="5AAF4577"/>
    <w:rsid w:val="5ABF7889"/>
    <w:rsid w:val="5ACA0880"/>
    <w:rsid w:val="5AEC5D6B"/>
    <w:rsid w:val="5AEE6F3F"/>
    <w:rsid w:val="5B17524C"/>
    <w:rsid w:val="5B3C24AE"/>
    <w:rsid w:val="5B530B81"/>
    <w:rsid w:val="5B5A43D2"/>
    <w:rsid w:val="5B6202AD"/>
    <w:rsid w:val="5B6A0214"/>
    <w:rsid w:val="5B6A078A"/>
    <w:rsid w:val="5B725AC7"/>
    <w:rsid w:val="5B7D66A9"/>
    <w:rsid w:val="5B7F6419"/>
    <w:rsid w:val="5B827C48"/>
    <w:rsid w:val="5B8B15FE"/>
    <w:rsid w:val="5BAC00C5"/>
    <w:rsid w:val="5BB03FDE"/>
    <w:rsid w:val="5BEC6454"/>
    <w:rsid w:val="5BF36CFF"/>
    <w:rsid w:val="5C003D71"/>
    <w:rsid w:val="5C417470"/>
    <w:rsid w:val="5C4D757B"/>
    <w:rsid w:val="5C62594C"/>
    <w:rsid w:val="5C814268"/>
    <w:rsid w:val="5C86422F"/>
    <w:rsid w:val="5C996AC3"/>
    <w:rsid w:val="5CA249EC"/>
    <w:rsid w:val="5CBC34EF"/>
    <w:rsid w:val="5CBD6243"/>
    <w:rsid w:val="5CBE65F9"/>
    <w:rsid w:val="5CEB1947"/>
    <w:rsid w:val="5CFB35C0"/>
    <w:rsid w:val="5CFE0B84"/>
    <w:rsid w:val="5D107DC0"/>
    <w:rsid w:val="5D260B48"/>
    <w:rsid w:val="5D2A2F13"/>
    <w:rsid w:val="5D2D4F79"/>
    <w:rsid w:val="5D626994"/>
    <w:rsid w:val="5DA455A5"/>
    <w:rsid w:val="5DAC00DF"/>
    <w:rsid w:val="5DAF1081"/>
    <w:rsid w:val="5DB07439"/>
    <w:rsid w:val="5DC4160C"/>
    <w:rsid w:val="5DCE69CD"/>
    <w:rsid w:val="5DCF2EB6"/>
    <w:rsid w:val="5DDF34F5"/>
    <w:rsid w:val="5DF5356B"/>
    <w:rsid w:val="5E0B0FBC"/>
    <w:rsid w:val="5E0B226E"/>
    <w:rsid w:val="5E4B0CBE"/>
    <w:rsid w:val="5E772514"/>
    <w:rsid w:val="5E773F6F"/>
    <w:rsid w:val="5E7D14CB"/>
    <w:rsid w:val="5E84241E"/>
    <w:rsid w:val="5E9616E7"/>
    <w:rsid w:val="5E982EE0"/>
    <w:rsid w:val="5EB714AD"/>
    <w:rsid w:val="5EDE105F"/>
    <w:rsid w:val="5EE711B4"/>
    <w:rsid w:val="5F10230A"/>
    <w:rsid w:val="5F132775"/>
    <w:rsid w:val="5F37360D"/>
    <w:rsid w:val="5F49229E"/>
    <w:rsid w:val="5F684F25"/>
    <w:rsid w:val="5F6E48EF"/>
    <w:rsid w:val="5F7073BF"/>
    <w:rsid w:val="5F760A23"/>
    <w:rsid w:val="5F817211"/>
    <w:rsid w:val="5F914557"/>
    <w:rsid w:val="5F93326D"/>
    <w:rsid w:val="5FA66240"/>
    <w:rsid w:val="5FA70BBB"/>
    <w:rsid w:val="5FC22F48"/>
    <w:rsid w:val="5FC52C53"/>
    <w:rsid w:val="5FC554F9"/>
    <w:rsid w:val="5FC6028B"/>
    <w:rsid w:val="5FC91C09"/>
    <w:rsid w:val="5FCB6C9D"/>
    <w:rsid w:val="5FD95375"/>
    <w:rsid w:val="5FDF438C"/>
    <w:rsid w:val="5FED4422"/>
    <w:rsid w:val="600F3C6C"/>
    <w:rsid w:val="603431AE"/>
    <w:rsid w:val="604A6D49"/>
    <w:rsid w:val="60AB0DF5"/>
    <w:rsid w:val="60C61CEC"/>
    <w:rsid w:val="60CC3C96"/>
    <w:rsid w:val="60D7093C"/>
    <w:rsid w:val="60EC2501"/>
    <w:rsid w:val="60EF79BC"/>
    <w:rsid w:val="60F87F31"/>
    <w:rsid w:val="61104A26"/>
    <w:rsid w:val="61240A21"/>
    <w:rsid w:val="612B5987"/>
    <w:rsid w:val="613500C5"/>
    <w:rsid w:val="61443029"/>
    <w:rsid w:val="61471A2E"/>
    <w:rsid w:val="6148017D"/>
    <w:rsid w:val="614A0AA6"/>
    <w:rsid w:val="616022A7"/>
    <w:rsid w:val="616E25AD"/>
    <w:rsid w:val="6170586C"/>
    <w:rsid w:val="61807D53"/>
    <w:rsid w:val="6199549E"/>
    <w:rsid w:val="61DD4B30"/>
    <w:rsid w:val="61E26EDC"/>
    <w:rsid w:val="61F82FFA"/>
    <w:rsid w:val="62405901"/>
    <w:rsid w:val="626A0712"/>
    <w:rsid w:val="62990AE3"/>
    <w:rsid w:val="62DA3D9A"/>
    <w:rsid w:val="62E658D4"/>
    <w:rsid w:val="630F6D7A"/>
    <w:rsid w:val="63586784"/>
    <w:rsid w:val="6371469D"/>
    <w:rsid w:val="63750C45"/>
    <w:rsid w:val="63916F28"/>
    <w:rsid w:val="639A6ED2"/>
    <w:rsid w:val="63AB46BD"/>
    <w:rsid w:val="63EB1878"/>
    <w:rsid w:val="63F033C2"/>
    <w:rsid w:val="642549B8"/>
    <w:rsid w:val="642678DA"/>
    <w:rsid w:val="643B0262"/>
    <w:rsid w:val="6443661D"/>
    <w:rsid w:val="64632CB3"/>
    <w:rsid w:val="64814DC1"/>
    <w:rsid w:val="64B25D2F"/>
    <w:rsid w:val="64B42EB5"/>
    <w:rsid w:val="64BF4BCA"/>
    <w:rsid w:val="64C31559"/>
    <w:rsid w:val="651064EF"/>
    <w:rsid w:val="651B5E29"/>
    <w:rsid w:val="65220114"/>
    <w:rsid w:val="652D0934"/>
    <w:rsid w:val="652F3D17"/>
    <w:rsid w:val="653063AB"/>
    <w:rsid w:val="6536207A"/>
    <w:rsid w:val="655C17E5"/>
    <w:rsid w:val="65B473BF"/>
    <w:rsid w:val="65C45EC7"/>
    <w:rsid w:val="65EF0909"/>
    <w:rsid w:val="65FE13CB"/>
    <w:rsid w:val="660E569F"/>
    <w:rsid w:val="66107137"/>
    <w:rsid w:val="66130CF9"/>
    <w:rsid w:val="66135AE1"/>
    <w:rsid w:val="66340F54"/>
    <w:rsid w:val="66345BE8"/>
    <w:rsid w:val="66365C97"/>
    <w:rsid w:val="663B0F44"/>
    <w:rsid w:val="66411FBE"/>
    <w:rsid w:val="66720A3B"/>
    <w:rsid w:val="6678610B"/>
    <w:rsid w:val="668226A1"/>
    <w:rsid w:val="668460E0"/>
    <w:rsid w:val="669E44D1"/>
    <w:rsid w:val="66BC5967"/>
    <w:rsid w:val="66CD7E07"/>
    <w:rsid w:val="66CE14BB"/>
    <w:rsid w:val="66DF223F"/>
    <w:rsid w:val="66F138A8"/>
    <w:rsid w:val="670E0CB6"/>
    <w:rsid w:val="67113266"/>
    <w:rsid w:val="673E7B95"/>
    <w:rsid w:val="67517A37"/>
    <w:rsid w:val="675E17FD"/>
    <w:rsid w:val="676E458A"/>
    <w:rsid w:val="67B27289"/>
    <w:rsid w:val="67DE5F73"/>
    <w:rsid w:val="68026E74"/>
    <w:rsid w:val="680B110A"/>
    <w:rsid w:val="68194A4D"/>
    <w:rsid w:val="6826276A"/>
    <w:rsid w:val="68283843"/>
    <w:rsid w:val="683D512D"/>
    <w:rsid w:val="684B76AA"/>
    <w:rsid w:val="684D472B"/>
    <w:rsid w:val="686E5BB4"/>
    <w:rsid w:val="688C78F3"/>
    <w:rsid w:val="68A214CE"/>
    <w:rsid w:val="68A62B31"/>
    <w:rsid w:val="68BE5593"/>
    <w:rsid w:val="68D071B5"/>
    <w:rsid w:val="68F631D5"/>
    <w:rsid w:val="69030390"/>
    <w:rsid w:val="691124A6"/>
    <w:rsid w:val="691565A2"/>
    <w:rsid w:val="692D4180"/>
    <w:rsid w:val="693071D1"/>
    <w:rsid w:val="694C5544"/>
    <w:rsid w:val="696A7D45"/>
    <w:rsid w:val="69711094"/>
    <w:rsid w:val="698B1EAA"/>
    <w:rsid w:val="698D0215"/>
    <w:rsid w:val="6991300A"/>
    <w:rsid w:val="69B11567"/>
    <w:rsid w:val="69E63DA5"/>
    <w:rsid w:val="6A0B6164"/>
    <w:rsid w:val="6A0B7CAC"/>
    <w:rsid w:val="6A2530CD"/>
    <w:rsid w:val="6A3F4B44"/>
    <w:rsid w:val="6A767940"/>
    <w:rsid w:val="6A8702CE"/>
    <w:rsid w:val="6A885221"/>
    <w:rsid w:val="6A96278C"/>
    <w:rsid w:val="6AAB6638"/>
    <w:rsid w:val="6AC64E3A"/>
    <w:rsid w:val="6ACA3B53"/>
    <w:rsid w:val="6AD80A57"/>
    <w:rsid w:val="6ADF30D7"/>
    <w:rsid w:val="6AEC7FA6"/>
    <w:rsid w:val="6B015D49"/>
    <w:rsid w:val="6B1F3981"/>
    <w:rsid w:val="6B386F3D"/>
    <w:rsid w:val="6B3F7A6C"/>
    <w:rsid w:val="6B4A06B0"/>
    <w:rsid w:val="6B526AFF"/>
    <w:rsid w:val="6B547775"/>
    <w:rsid w:val="6B8C5DC0"/>
    <w:rsid w:val="6B926804"/>
    <w:rsid w:val="6BAF5D18"/>
    <w:rsid w:val="6BD65C9E"/>
    <w:rsid w:val="6BD85211"/>
    <w:rsid w:val="6BE1256C"/>
    <w:rsid w:val="6BEA4587"/>
    <w:rsid w:val="6BF17577"/>
    <w:rsid w:val="6BF302FF"/>
    <w:rsid w:val="6BF62E0C"/>
    <w:rsid w:val="6BFC7753"/>
    <w:rsid w:val="6BFF58F6"/>
    <w:rsid w:val="6C1A0D74"/>
    <w:rsid w:val="6C22550C"/>
    <w:rsid w:val="6C334082"/>
    <w:rsid w:val="6C6626E3"/>
    <w:rsid w:val="6C662C4E"/>
    <w:rsid w:val="6C6B6D88"/>
    <w:rsid w:val="6C6E2AEC"/>
    <w:rsid w:val="6C762D8F"/>
    <w:rsid w:val="6C782A69"/>
    <w:rsid w:val="6C8E114B"/>
    <w:rsid w:val="6CA312CD"/>
    <w:rsid w:val="6CBA10CF"/>
    <w:rsid w:val="6CDB2174"/>
    <w:rsid w:val="6CE20B7D"/>
    <w:rsid w:val="6CEF77DA"/>
    <w:rsid w:val="6CF62758"/>
    <w:rsid w:val="6D3163D3"/>
    <w:rsid w:val="6D34441D"/>
    <w:rsid w:val="6D3B47A6"/>
    <w:rsid w:val="6D483DE7"/>
    <w:rsid w:val="6D5B5F2B"/>
    <w:rsid w:val="6D7664AF"/>
    <w:rsid w:val="6D8C5F9F"/>
    <w:rsid w:val="6D8F609F"/>
    <w:rsid w:val="6DCE79C6"/>
    <w:rsid w:val="6DD51CD2"/>
    <w:rsid w:val="6DF47F72"/>
    <w:rsid w:val="6E03169E"/>
    <w:rsid w:val="6E093526"/>
    <w:rsid w:val="6E0B43ED"/>
    <w:rsid w:val="6E0F0FDE"/>
    <w:rsid w:val="6E1B3F67"/>
    <w:rsid w:val="6E202BC7"/>
    <w:rsid w:val="6E2223C1"/>
    <w:rsid w:val="6E690C17"/>
    <w:rsid w:val="6E783EED"/>
    <w:rsid w:val="6E7D56A3"/>
    <w:rsid w:val="6E9E6DE2"/>
    <w:rsid w:val="6EAD44BB"/>
    <w:rsid w:val="6EB47DBF"/>
    <w:rsid w:val="6ECC2F07"/>
    <w:rsid w:val="6EE06106"/>
    <w:rsid w:val="6EF729AB"/>
    <w:rsid w:val="6F0E2317"/>
    <w:rsid w:val="6F105BA0"/>
    <w:rsid w:val="6F321767"/>
    <w:rsid w:val="6F655E08"/>
    <w:rsid w:val="6F9E422F"/>
    <w:rsid w:val="6F9F02B2"/>
    <w:rsid w:val="6FC27461"/>
    <w:rsid w:val="6FC71D13"/>
    <w:rsid w:val="6FDB5ED8"/>
    <w:rsid w:val="6FDF692D"/>
    <w:rsid w:val="70004EC4"/>
    <w:rsid w:val="70054296"/>
    <w:rsid w:val="702F6F1D"/>
    <w:rsid w:val="708176D1"/>
    <w:rsid w:val="70A40561"/>
    <w:rsid w:val="70D03517"/>
    <w:rsid w:val="70D46B74"/>
    <w:rsid w:val="70E43CE1"/>
    <w:rsid w:val="710F1327"/>
    <w:rsid w:val="71273FA1"/>
    <w:rsid w:val="714F6A24"/>
    <w:rsid w:val="7152183E"/>
    <w:rsid w:val="715F3DE9"/>
    <w:rsid w:val="71A34F9A"/>
    <w:rsid w:val="71CB289A"/>
    <w:rsid w:val="72245008"/>
    <w:rsid w:val="7224755A"/>
    <w:rsid w:val="722F3BEC"/>
    <w:rsid w:val="72346A12"/>
    <w:rsid w:val="72537A2C"/>
    <w:rsid w:val="727123A3"/>
    <w:rsid w:val="727644F9"/>
    <w:rsid w:val="727A5785"/>
    <w:rsid w:val="72A539E6"/>
    <w:rsid w:val="72DE5BB7"/>
    <w:rsid w:val="72E6405E"/>
    <w:rsid w:val="730048C9"/>
    <w:rsid w:val="731A55B0"/>
    <w:rsid w:val="73511E13"/>
    <w:rsid w:val="738E738B"/>
    <w:rsid w:val="73A159D5"/>
    <w:rsid w:val="73B70B04"/>
    <w:rsid w:val="73EB2712"/>
    <w:rsid w:val="73FD4900"/>
    <w:rsid w:val="740013BE"/>
    <w:rsid w:val="744317E0"/>
    <w:rsid w:val="74450F3F"/>
    <w:rsid w:val="745665A3"/>
    <w:rsid w:val="746F221E"/>
    <w:rsid w:val="746F4466"/>
    <w:rsid w:val="74711172"/>
    <w:rsid w:val="74800DE0"/>
    <w:rsid w:val="74850FA3"/>
    <w:rsid w:val="74BE27A9"/>
    <w:rsid w:val="74C306D0"/>
    <w:rsid w:val="74E1117E"/>
    <w:rsid w:val="74E73999"/>
    <w:rsid w:val="75000F70"/>
    <w:rsid w:val="752141B2"/>
    <w:rsid w:val="75307DA8"/>
    <w:rsid w:val="75337673"/>
    <w:rsid w:val="753B7C5C"/>
    <w:rsid w:val="756273A8"/>
    <w:rsid w:val="756375D4"/>
    <w:rsid w:val="7578061A"/>
    <w:rsid w:val="75800318"/>
    <w:rsid w:val="758B51E5"/>
    <w:rsid w:val="7594786A"/>
    <w:rsid w:val="75952B4B"/>
    <w:rsid w:val="75A91B7B"/>
    <w:rsid w:val="75C41747"/>
    <w:rsid w:val="75F3613A"/>
    <w:rsid w:val="75F46F2C"/>
    <w:rsid w:val="76087A16"/>
    <w:rsid w:val="763F7892"/>
    <w:rsid w:val="7674730B"/>
    <w:rsid w:val="76804280"/>
    <w:rsid w:val="7683775D"/>
    <w:rsid w:val="769210FB"/>
    <w:rsid w:val="76976531"/>
    <w:rsid w:val="769C3384"/>
    <w:rsid w:val="76C30678"/>
    <w:rsid w:val="76F06858"/>
    <w:rsid w:val="7713302C"/>
    <w:rsid w:val="77136A2D"/>
    <w:rsid w:val="773F00B5"/>
    <w:rsid w:val="77445D1A"/>
    <w:rsid w:val="776F655D"/>
    <w:rsid w:val="778911F3"/>
    <w:rsid w:val="778F6DA7"/>
    <w:rsid w:val="77944D4C"/>
    <w:rsid w:val="77991202"/>
    <w:rsid w:val="77A271B3"/>
    <w:rsid w:val="77AD1753"/>
    <w:rsid w:val="77AF5682"/>
    <w:rsid w:val="77CB5AC9"/>
    <w:rsid w:val="77FF023F"/>
    <w:rsid w:val="78194131"/>
    <w:rsid w:val="782112B1"/>
    <w:rsid w:val="782C408D"/>
    <w:rsid w:val="7879346A"/>
    <w:rsid w:val="78C651E8"/>
    <w:rsid w:val="78C718E2"/>
    <w:rsid w:val="78CC4EAC"/>
    <w:rsid w:val="78DB0A49"/>
    <w:rsid w:val="78DC57A0"/>
    <w:rsid w:val="78F2466F"/>
    <w:rsid w:val="79132357"/>
    <w:rsid w:val="792B1401"/>
    <w:rsid w:val="793C03C5"/>
    <w:rsid w:val="79474056"/>
    <w:rsid w:val="79650D4B"/>
    <w:rsid w:val="79B67D3E"/>
    <w:rsid w:val="79BB424A"/>
    <w:rsid w:val="79C40F42"/>
    <w:rsid w:val="79C91C92"/>
    <w:rsid w:val="79CE6679"/>
    <w:rsid w:val="7A0A576D"/>
    <w:rsid w:val="7A0B5E51"/>
    <w:rsid w:val="7A110017"/>
    <w:rsid w:val="7A343FE5"/>
    <w:rsid w:val="7A557FF1"/>
    <w:rsid w:val="7A5D0C82"/>
    <w:rsid w:val="7A715F12"/>
    <w:rsid w:val="7AA349F6"/>
    <w:rsid w:val="7AA900A0"/>
    <w:rsid w:val="7ACD61FF"/>
    <w:rsid w:val="7B007056"/>
    <w:rsid w:val="7B266055"/>
    <w:rsid w:val="7B2F5EA3"/>
    <w:rsid w:val="7B4F0952"/>
    <w:rsid w:val="7B5A473A"/>
    <w:rsid w:val="7B5C4060"/>
    <w:rsid w:val="7B616243"/>
    <w:rsid w:val="7B963FEE"/>
    <w:rsid w:val="7BA851CF"/>
    <w:rsid w:val="7BB54910"/>
    <w:rsid w:val="7BB61BF2"/>
    <w:rsid w:val="7BCC7612"/>
    <w:rsid w:val="7BD5542D"/>
    <w:rsid w:val="7BD63BC4"/>
    <w:rsid w:val="7BE01F2B"/>
    <w:rsid w:val="7BF13B58"/>
    <w:rsid w:val="7C1C212F"/>
    <w:rsid w:val="7C2A1290"/>
    <w:rsid w:val="7C4375CE"/>
    <w:rsid w:val="7C5108ED"/>
    <w:rsid w:val="7C630007"/>
    <w:rsid w:val="7C637794"/>
    <w:rsid w:val="7C6B2BEC"/>
    <w:rsid w:val="7C7E0507"/>
    <w:rsid w:val="7C872DCE"/>
    <w:rsid w:val="7C8D4593"/>
    <w:rsid w:val="7C9C6253"/>
    <w:rsid w:val="7CA22103"/>
    <w:rsid w:val="7CB264CD"/>
    <w:rsid w:val="7CC54136"/>
    <w:rsid w:val="7CCC3AF7"/>
    <w:rsid w:val="7CFF4D5A"/>
    <w:rsid w:val="7D0311EF"/>
    <w:rsid w:val="7D1F324E"/>
    <w:rsid w:val="7D300344"/>
    <w:rsid w:val="7D5C1D3A"/>
    <w:rsid w:val="7D812EA1"/>
    <w:rsid w:val="7D8D0E31"/>
    <w:rsid w:val="7D90016A"/>
    <w:rsid w:val="7D9508F0"/>
    <w:rsid w:val="7DA80BC8"/>
    <w:rsid w:val="7DAC507A"/>
    <w:rsid w:val="7DBE0AFF"/>
    <w:rsid w:val="7DC01F88"/>
    <w:rsid w:val="7DD16438"/>
    <w:rsid w:val="7DE35A22"/>
    <w:rsid w:val="7DEB0C97"/>
    <w:rsid w:val="7DFE49EC"/>
    <w:rsid w:val="7E05110C"/>
    <w:rsid w:val="7E102E1B"/>
    <w:rsid w:val="7E2B7079"/>
    <w:rsid w:val="7E306B12"/>
    <w:rsid w:val="7E3C241E"/>
    <w:rsid w:val="7E5019F3"/>
    <w:rsid w:val="7E6C1950"/>
    <w:rsid w:val="7E8A5090"/>
    <w:rsid w:val="7EA05EF0"/>
    <w:rsid w:val="7F0238CB"/>
    <w:rsid w:val="7F09056F"/>
    <w:rsid w:val="7F100237"/>
    <w:rsid w:val="7F4740EE"/>
    <w:rsid w:val="7F4805E0"/>
    <w:rsid w:val="7FA45A43"/>
    <w:rsid w:val="7FA93127"/>
    <w:rsid w:val="7FB02405"/>
    <w:rsid w:val="7FB165F7"/>
    <w:rsid w:val="7FB47FBA"/>
    <w:rsid w:val="7FB56361"/>
    <w:rsid w:val="7FC84B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46"/>
    <w:autoRedefine/>
    <w:qFormat/>
    <w:uiPriority w:val="0"/>
    <w:pPr>
      <w:spacing w:line="400" w:lineRule="exact"/>
      <w:ind w:left="-1" w:firstLine="480" w:firstLineChars="200"/>
    </w:pPr>
    <w:rPr>
      <w:rFonts w:ascii="楷体_GB2312" w:eastAsia="楷体_GB2312"/>
      <w:kern w:val="0"/>
      <w:sz w:val="24"/>
    </w:rPr>
  </w:style>
  <w:style w:type="paragraph" w:styleId="5">
    <w:name w:val="Document Map"/>
    <w:basedOn w:val="1"/>
    <w:link w:val="47"/>
    <w:autoRedefine/>
    <w:qFormat/>
    <w:uiPriority w:val="0"/>
    <w:pPr>
      <w:shd w:val="clear" w:color="auto" w:fill="000080"/>
    </w:pPr>
    <w:rPr>
      <w:kern w:val="0"/>
      <w:sz w:val="20"/>
    </w:rPr>
  </w:style>
  <w:style w:type="paragraph" w:styleId="6">
    <w:name w:val="annotation text"/>
    <w:basedOn w:val="1"/>
    <w:autoRedefine/>
    <w:qFormat/>
    <w:uiPriority w:val="0"/>
    <w:pPr>
      <w:jc w:val="left"/>
    </w:pPr>
  </w:style>
  <w:style w:type="paragraph" w:styleId="7">
    <w:name w:val="Body Text"/>
    <w:basedOn w:val="1"/>
    <w:link w:val="42"/>
    <w:autoRedefine/>
    <w:qFormat/>
    <w:uiPriority w:val="0"/>
    <w:pPr>
      <w:spacing w:after="120"/>
    </w:pPr>
    <w:rPr>
      <w:rFonts w:asciiTheme="minorHAnsi" w:hAnsiTheme="minorHAnsi" w:eastAsiaTheme="minorEastAsia" w:cstheme="minorBidi"/>
    </w:rPr>
  </w:style>
  <w:style w:type="paragraph" w:styleId="8">
    <w:name w:val="Body Text Indent"/>
    <w:basedOn w:val="1"/>
    <w:next w:val="9"/>
    <w:link w:val="49"/>
    <w:autoRedefine/>
    <w:qFormat/>
    <w:uiPriority w:val="0"/>
    <w:pPr>
      <w:spacing w:line="400" w:lineRule="exact"/>
      <w:ind w:firstLine="515"/>
    </w:pPr>
    <w:rPr>
      <w:rFonts w:ascii="楷体_GB2312" w:eastAsia="楷体_GB2312"/>
      <w:b/>
      <w:bCs/>
      <w:kern w:val="0"/>
      <w:sz w:val="24"/>
    </w:rPr>
  </w:style>
  <w:style w:type="paragraph" w:styleId="9">
    <w:name w:val="envelope return"/>
    <w:basedOn w:val="1"/>
    <w:autoRedefine/>
    <w:qFormat/>
    <w:uiPriority w:val="0"/>
    <w:pPr>
      <w:snapToGrid w:val="0"/>
    </w:pPr>
    <w:rPr>
      <w:rFonts w:ascii="Arial" w:hAnsi="Arial"/>
    </w:rPr>
  </w:style>
  <w:style w:type="paragraph" w:styleId="10">
    <w:name w:val="Block Text"/>
    <w:basedOn w:val="1"/>
    <w:autoRedefine/>
    <w:qFormat/>
    <w:uiPriority w:val="99"/>
    <w:pPr>
      <w:spacing w:after="120"/>
      <w:ind w:left="1440" w:leftChars="700" w:right="1440" w:rightChars="700"/>
    </w:pPr>
  </w:style>
  <w:style w:type="paragraph" w:styleId="11">
    <w:name w:val="Plain Text"/>
    <w:basedOn w:val="1"/>
    <w:link w:val="48"/>
    <w:autoRedefine/>
    <w:qFormat/>
    <w:uiPriority w:val="0"/>
    <w:rPr>
      <w:rFonts w:ascii="宋体" w:hAnsi="Courier New"/>
      <w:kern w:val="0"/>
      <w:sz w:val="20"/>
      <w:szCs w:val="21"/>
    </w:rPr>
  </w:style>
  <w:style w:type="paragraph" w:styleId="12">
    <w:name w:val="Date"/>
    <w:basedOn w:val="1"/>
    <w:next w:val="1"/>
    <w:link w:val="43"/>
    <w:autoRedefine/>
    <w:qFormat/>
    <w:uiPriority w:val="0"/>
    <w:pPr>
      <w:ind w:left="100" w:leftChars="2500"/>
    </w:pPr>
    <w:rPr>
      <w:kern w:val="0"/>
      <w:sz w:val="28"/>
    </w:rPr>
  </w:style>
  <w:style w:type="paragraph" w:styleId="13">
    <w:name w:val="Balloon Text"/>
    <w:basedOn w:val="1"/>
    <w:link w:val="44"/>
    <w:autoRedefine/>
    <w:qFormat/>
    <w:uiPriority w:val="0"/>
    <w:rPr>
      <w:kern w:val="0"/>
      <w:sz w:val="18"/>
      <w:szCs w:val="18"/>
    </w:rPr>
  </w:style>
  <w:style w:type="paragraph" w:styleId="14">
    <w:name w:val="footer"/>
    <w:basedOn w:val="1"/>
    <w:link w:val="39"/>
    <w:autoRedefine/>
    <w:unhideWhenUsed/>
    <w:qFormat/>
    <w:uiPriority w:val="99"/>
    <w:pPr>
      <w:tabs>
        <w:tab w:val="center" w:pos="4153"/>
        <w:tab w:val="right" w:pos="8306"/>
      </w:tabs>
      <w:snapToGrid w:val="0"/>
      <w:jc w:val="left"/>
    </w:pPr>
    <w:rPr>
      <w:sz w:val="18"/>
      <w:szCs w:val="18"/>
    </w:rPr>
  </w:style>
  <w:style w:type="paragraph" w:styleId="15">
    <w:name w:val="header"/>
    <w:basedOn w:val="1"/>
    <w:link w:val="38"/>
    <w:autoRedefine/>
    <w:unhideWhenUsed/>
    <w:qFormat/>
    <w:uiPriority w:val="99"/>
    <w:pPr>
      <w:tabs>
        <w:tab w:val="center" w:pos="4153"/>
        <w:tab w:val="right" w:pos="8306"/>
      </w:tabs>
      <w:snapToGrid w:val="0"/>
      <w:jc w:val="center"/>
    </w:pPr>
    <w:rPr>
      <w:sz w:val="18"/>
      <w:szCs w:val="18"/>
    </w:rPr>
  </w:style>
  <w:style w:type="paragraph" w:styleId="16">
    <w:name w:val="Body Text Indent 3"/>
    <w:basedOn w:val="1"/>
    <w:link w:val="50"/>
    <w:autoRedefine/>
    <w:qFormat/>
    <w:uiPriority w:val="0"/>
    <w:pPr>
      <w:spacing w:line="440" w:lineRule="exact"/>
      <w:ind w:firstLine="540"/>
    </w:pPr>
    <w:rPr>
      <w:rFonts w:ascii="楷体_GB2312" w:eastAsia="楷体_GB2312"/>
      <w:bCs/>
      <w:kern w:val="0"/>
      <w:sz w:val="24"/>
    </w:rPr>
  </w:style>
  <w:style w:type="paragraph" w:styleId="17">
    <w:name w:val="toc 2"/>
    <w:basedOn w:val="1"/>
    <w:next w:val="1"/>
    <w:autoRedefine/>
    <w:qFormat/>
    <w:uiPriority w:val="0"/>
    <w:pPr>
      <w:ind w:left="420" w:leftChars="200"/>
    </w:pPr>
    <w:rPr>
      <w:rFonts w:ascii="宋体"/>
      <w:b/>
      <w:sz w:val="28"/>
      <w:szCs w:val="20"/>
    </w:rPr>
  </w:style>
  <w:style w:type="paragraph" w:styleId="18">
    <w:name w:val="HTML Preformatted"/>
    <w:basedOn w:val="1"/>
    <w:link w:val="5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8"/>
    <w:qFormat/>
    <w:uiPriority w:val="0"/>
    <w:pPr>
      <w:spacing w:after="120" w:line="240" w:lineRule="auto"/>
      <w:ind w:left="420" w:leftChars="200" w:firstLine="420" w:firstLineChars="200"/>
    </w:pPr>
    <w:rPr>
      <w:sz w:val="21"/>
    </w:rPr>
  </w:style>
  <w:style w:type="table" w:styleId="22">
    <w:name w:val="Table Grid"/>
    <w:basedOn w:val="2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autoRedefine/>
    <w:qFormat/>
    <w:uiPriority w:val="22"/>
  </w:style>
  <w:style w:type="character" w:styleId="25">
    <w:name w:val="page number"/>
    <w:basedOn w:val="23"/>
    <w:autoRedefine/>
    <w:qFormat/>
    <w:uiPriority w:val="0"/>
  </w:style>
  <w:style w:type="character" w:styleId="26">
    <w:name w:val="FollowedHyperlink"/>
    <w:basedOn w:val="23"/>
    <w:autoRedefine/>
    <w:qFormat/>
    <w:uiPriority w:val="0"/>
    <w:rPr>
      <w:color w:val="555555"/>
      <w:u w:val="none"/>
    </w:rPr>
  </w:style>
  <w:style w:type="character" w:styleId="27">
    <w:name w:val="Emphasis"/>
    <w:basedOn w:val="23"/>
    <w:autoRedefine/>
    <w:qFormat/>
    <w:uiPriority w:val="20"/>
  </w:style>
  <w:style w:type="character" w:styleId="28">
    <w:name w:val="HTML Definition"/>
    <w:basedOn w:val="23"/>
    <w:autoRedefine/>
    <w:semiHidden/>
    <w:unhideWhenUsed/>
    <w:qFormat/>
    <w:uiPriority w:val="99"/>
  </w:style>
  <w:style w:type="character" w:styleId="29">
    <w:name w:val="HTML Typewriter"/>
    <w:basedOn w:val="23"/>
    <w:semiHidden/>
    <w:unhideWhenUsed/>
    <w:qFormat/>
    <w:uiPriority w:val="99"/>
    <w:rPr>
      <w:rFonts w:hint="default" w:ascii="monospace" w:hAnsi="monospace" w:eastAsia="monospace" w:cs="monospace"/>
      <w:sz w:val="20"/>
    </w:rPr>
  </w:style>
  <w:style w:type="character" w:styleId="30">
    <w:name w:val="HTML Acronym"/>
    <w:basedOn w:val="23"/>
    <w:autoRedefine/>
    <w:semiHidden/>
    <w:unhideWhenUsed/>
    <w:qFormat/>
    <w:uiPriority w:val="99"/>
  </w:style>
  <w:style w:type="character" w:styleId="31">
    <w:name w:val="HTML Variable"/>
    <w:basedOn w:val="23"/>
    <w:autoRedefine/>
    <w:semiHidden/>
    <w:unhideWhenUsed/>
    <w:qFormat/>
    <w:uiPriority w:val="99"/>
  </w:style>
  <w:style w:type="character" w:styleId="32">
    <w:name w:val="Hyperlink"/>
    <w:basedOn w:val="23"/>
    <w:autoRedefine/>
    <w:qFormat/>
    <w:uiPriority w:val="0"/>
    <w:rPr>
      <w:color w:val="555555"/>
      <w:u w:val="none"/>
    </w:rPr>
  </w:style>
  <w:style w:type="character" w:styleId="33">
    <w:name w:val="HTML Code"/>
    <w:basedOn w:val="23"/>
    <w:autoRedefine/>
    <w:semiHidden/>
    <w:unhideWhenUsed/>
    <w:qFormat/>
    <w:uiPriority w:val="99"/>
    <w:rPr>
      <w:rFonts w:hint="default" w:ascii="monospace" w:hAnsi="monospace" w:eastAsia="monospace" w:cs="monospace"/>
      <w:sz w:val="20"/>
    </w:rPr>
  </w:style>
  <w:style w:type="character" w:styleId="34">
    <w:name w:val="annotation reference"/>
    <w:qFormat/>
    <w:uiPriority w:val="0"/>
    <w:rPr>
      <w:sz w:val="21"/>
      <w:szCs w:val="21"/>
    </w:rPr>
  </w:style>
  <w:style w:type="character" w:styleId="35">
    <w:name w:val="HTML Cite"/>
    <w:basedOn w:val="23"/>
    <w:autoRedefine/>
    <w:semiHidden/>
    <w:unhideWhenUsed/>
    <w:qFormat/>
    <w:uiPriority w:val="99"/>
  </w:style>
  <w:style w:type="character" w:styleId="36">
    <w:name w:val="HTML Keyboard"/>
    <w:basedOn w:val="23"/>
    <w:semiHidden/>
    <w:unhideWhenUsed/>
    <w:qFormat/>
    <w:uiPriority w:val="99"/>
    <w:rPr>
      <w:rFonts w:hint="default" w:ascii="monospace" w:hAnsi="monospace" w:eastAsia="monospace" w:cs="monospace"/>
      <w:sz w:val="20"/>
    </w:rPr>
  </w:style>
  <w:style w:type="character" w:styleId="37">
    <w:name w:val="HTML Sample"/>
    <w:basedOn w:val="23"/>
    <w:semiHidden/>
    <w:unhideWhenUsed/>
    <w:qFormat/>
    <w:uiPriority w:val="99"/>
    <w:rPr>
      <w:rFonts w:ascii="monospace" w:hAnsi="monospace" w:eastAsia="monospace" w:cs="monospace"/>
    </w:rPr>
  </w:style>
  <w:style w:type="character" w:customStyle="1" w:styleId="38">
    <w:name w:val="页眉 Char"/>
    <w:basedOn w:val="23"/>
    <w:link w:val="15"/>
    <w:autoRedefine/>
    <w:qFormat/>
    <w:uiPriority w:val="99"/>
    <w:rPr>
      <w:rFonts w:ascii="Times New Roman" w:hAnsi="Times New Roman" w:eastAsia="宋体" w:cs="Times New Roman"/>
      <w:sz w:val="18"/>
      <w:szCs w:val="18"/>
    </w:rPr>
  </w:style>
  <w:style w:type="character" w:customStyle="1" w:styleId="39">
    <w:name w:val="页脚 Char"/>
    <w:basedOn w:val="23"/>
    <w:link w:val="14"/>
    <w:autoRedefine/>
    <w:qFormat/>
    <w:uiPriority w:val="99"/>
    <w:rPr>
      <w:sz w:val="18"/>
      <w:szCs w:val="18"/>
    </w:rPr>
  </w:style>
  <w:style w:type="character" w:customStyle="1" w:styleId="40">
    <w:name w:val="正文文本 Char"/>
    <w:qFormat/>
    <w:uiPriority w:val="0"/>
    <w:rPr>
      <w:szCs w:val="24"/>
    </w:rPr>
  </w:style>
  <w:style w:type="paragraph" w:styleId="41">
    <w:name w:val="List Paragraph"/>
    <w:basedOn w:val="1"/>
    <w:qFormat/>
    <w:uiPriority w:val="34"/>
    <w:pPr>
      <w:ind w:firstLine="420" w:firstLineChars="200"/>
    </w:pPr>
  </w:style>
  <w:style w:type="character" w:customStyle="1" w:styleId="42">
    <w:name w:val="正文文本 Char1"/>
    <w:basedOn w:val="23"/>
    <w:link w:val="7"/>
    <w:autoRedefine/>
    <w:semiHidden/>
    <w:qFormat/>
    <w:uiPriority w:val="99"/>
    <w:rPr>
      <w:rFonts w:ascii="Times New Roman" w:hAnsi="Times New Roman" w:eastAsia="宋体" w:cs="Times New Roman"/>
      <w:szCs w:val="24"/>
    </w:rPr>
  </w:style>
  <w:style w:type="character" w:customStyle="1" w:styleId="43">
    <w:name w:val="日期 Char"/>
    <w:basedOn w:val="23"/>
    <w:link w:val="12"/>
    <w:autoRedefine/>
    <w:qFormat/>
    <w:uiPriority w:val="0"/>
    <w:rPr>
      <w:rFonts w:ascii="Times New Roman" w:hAnsi="Times New Roman" w:eastAsia="宋体" w:cs="Times New Roman"/>
      <w:kern w:val="0"/>
      <w:sz w:val="28"/>
      <w:szCs w:val="24"/>
    </w:rPr>
  </w:style>
  <w:style w:type="character" w:customStyle="1" w:styleId="44">
    <w:name w:val="批注框文本 Char"/>
    <w:basedOn w:val="23"/>
    <w:link w:val="13"/>
    <w:qFormat/>
    <w:uiPriority w:val="0"/>
    <w:rPr>
      <w:rFonts w:ascii="Times New Roman" w:hAnsi="Times New Roman" w:eastAsia="宋体" w:cs="Times New Roman"/>
      <w:kern w:val="0"/>
      <w:sz w:val="18"/>
      <w:szCs w:val="18"/>
    </w:rPr>
  </w:style>
  <w:style w:type="paragraph" w:customStyle="1" w:styleId="45">
    <w:name w:val="_Style 9"/>
    <w:basedOn w:val="1"/>
    <w:next w:val="11"/>
    <w:autoRedefine/>
    <w:qFormat/>
    <w:uiPriority w:val="0"/>
    <w:rPr>
      <w:rFonts w:ascii="宋体" w:hAnsi="Courier New"/>
      <w:szCs w:val="21"/>
    </w:rPr>
  </w:style>
  <w:style w:type="character" w:customStyle="1" w:styleId="46">
    <w:name w:val="正文文本缩进 2 Char"/>
    <w:basedOn w:val="23"/>
    <w:link w:val="2"/>
    <w:autoRedefine/>
    <w:qFormat/>
    <w:uiPriority w:val="0"/>
    <w:rPr>
      <w:rFonts w:ascii="楷体_GB2312" w:hAnsi="Times New Roman" w:eastAsia="楷体_GB2312" w:cs="Times New Roman"/>
      <w:kern w:val="0"/>
      <w:sz w:val="24"/>
      <w:szCs w:val="24"/>
    </w:rPr>
  </w:style>
  <w:style w:type="character" w:customStyle="1" w:styleId="47">
    <w:name w:val="文档结构图 Char"/>
    <w:basedOn w:val="23"/>
    <w:link w:val="5"/>
    <w:autoRedefine/>
    <w:qFormat/>
    <w:uiPriority w:val="0"/>
    <w:rPr>
      <w:rFonts w:ascii="Times New Roman" w:hAnsi="Times New Roman" w:eastAsia="宋体" w:cs="Times New Roman"/>
      <w:kern w:val="0"/>
      <w:sz w:val="20"/>
      <w:szCs w:val="24"/>
      <w:shd w:val="clear" w:color="auto" w:fill="000080"/>
    </w:rPr>
  </w:style>
  <w:style w:type="character" w:customStyle="1" w:styleId="48">
    <w:name w:val="纯文本 Char"/>
    <w:basedOn w:val="23"/>
    <w:link w:val="11"/>
    <w:autoRedefine/>
    <w:qFormat/>
    <w:uiPriority w:val="0"/>
    <w:rPr>
      <w:rFonts w:ascii="宋体" w:hAnsi="Courier New" w:eastAsia="宋体" w:cs="Times New Roman"/>
      <w:kern w:val="0"/>
      <w:sz w:val="20"/>
      <w:szCs w:val="21"/>
    </w:rPr>
  </w:style>
  <w:style w:type="character" w:customStyle="1" w:styleId="49">
    <w:name w:val="正文文本缩进 Char"/>
    <w:basedOn w:val="23"/>
    <w:link w:val="8"/>
    <w:autoRedefine/>
    <w:qFormat/>
    <w:uiPriority w:val="0"/>
    <w:rPr>
      <w:rFonts w:ascii="楷体_GB2312" w:hAnsi="Times New Roman" w:eastAsia="楷体_GB2312" w:cs="Times New Roman"/>
      <w:b/>
      <w:bCs/>
      <w:kern w:val="0"/>
      <w:sz w:val="24"/>
      <w:szCs w:val="24"/>
    </w:rPr>
  </w:style>
  <w:style w:type="character" w:customStyle="1" w:styleId="50">
    <w:name w:val="正文文本缩进 3 Char"/>
    <w:basedOn w:val="23"/>
    <w:link w:val="16"/>
    <w:autoRedefine/>
    <w:qFormat/>
    <w:uiPriority w:val="0"/>
    <w:rPr>
      <w:rFonts w:ascii="楷体_GB2312" w:hAnsi="Times New Roman" w:eastAsia="楷体_GB2312" w:cs="Times New Roman"/>
      <w:bCs/>
      <w:kern w:val="0"/>
      <w:sz w:val="24"/>
      <w:szCs w:val="24"/>
    </w:rPr>
  </w:style>
  <w:style w:type="character" w:customStyle="1" w:styleId="51">
    <w:name w:val="HTML 预设格式 Char"/>
    <w:basedOn w:val="23"/>
    <w:link w:val="18"/>
    <w:autoRedefine/>
    <w:qFormat/>
    <w:uiPriority w:val="0"/>
    <w:rPr>
      <w:rFonts w:ascii="黑体" w:hAnsi="Courier New" w:eastAsia="黑体" w:cs="Times New Roman"/>
      <w:kern w:val="0"/>
      <w:sz w:val="20"/>
      <w:szCs w:val="20"/>
    </w:rPr>
  </w:style>
  <w:style w:type="paragraph" w:customStyle="1" w:styleId="52">
    <w:name w:val="Char Char Char7"/>
    <w:basedOn w:val="1"/>
    <w:autoRedefine/>
    <w:qFormat/>
    <w:uiPriority w:val="0"/>
    <w:rPr>
      <w:rFonts w:ascii="仿宋_GB2312" w:eastAsia="仿宋_GB2312" w:cs="仿宋_GB2312"/>
      <w:b/>
      <w:bCs/>
      <w:sz w:val="32"/>
      <w:szCs w:val="32"/>
    </w:rPr>
  </w:style>
  <w:style w:type="paragraph" w:customStyle="1" w:styleId="53">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54">
    <w:name w:val="font11"/>
    <w:basedOn w:val="23"/>
    <w:autoRedefine/>
    <w:qFormat/>
    <w:uiPriority w:val="0"/>
    <w:rPr>
      <w:rFonts w:hint="eastAsia" w:ascii="宋体" w:hAnsi="宋体" w:eastAsia="宋体" w:cs="宋体"/>
      <w:color w:val="000000"/>
      <w:sz w:val="20"/>
      <w:szCs w:val="20"/>
      <w:u w:val="none"/>
    </w:rPr>
  </w:style>
  <w:style w:type="character" w:customStyle="1" w:styleId="55">
    <w:name w:val="font01"/>
    <w:basedOn w:val="23"/>
    <w:autoRedefine/>
    <w:qFormat/>
    <w:uiPriority w:val="0"/>
    <w:rPr>
      <w:rFonts w:hint="eastAsia" w:ascii="宋体" w:hAnsi="宋体" w:eastAsia="宋体" w:cs="宋体"/>
      <w:color w:val="000000"/>
      <w:sz w:val="22"/>
      <w:szCs w:val="22"/>
      <w:u w:val="none"/>
    </w:rPr>
  </w:style>
  <w:style w:type="paragraph" w:customStyle="1" w:styleId="56">
    <w:name w:val="正文文本首行缩进 21"/>
    <w:basedOn w:val="57"/>
    <w:autoRedefine/>
    <w:qFormat/>
    <w:uiPriority w:val="0"/>
    <w:pPr>
      <w:spacing w:after="120" w:line="240" w:lineRule="auto"/>
      <w:ind w:left="420" w:leftChars="200" w:firstLine="420" w:firstLineChars="200"/>
    </w:pPr>
    <w:rPr>
      <w:sz w:val="21"/>
    </w:rPr>
  </w:style>
  <w:style w:type="paragraph" w:customStyle="1" w:styleId="57">
    <w:name w:val="正文文本缩进1"/>
    <w:basedOn w:val="1"/>
    <w:next w:val="58"/>
    <w:autoRedefine/>
    <w:qFormat/>
    <w:uiPriority w:val="0"/>
    <w:pPr>
      <w:spacing w:line="400" w:lineRule="exact"/>
      <w:ind w:firstLine="515"/>
    </w:pPr>
    <w:rPr>
      <w:rFonts w:ascii="楷体_GB2312" w:eastAsia="楷体_GB2312"/>
      <w:b/>
      <w:bCs/>
      <w:kern w:val="0"/>
      <w:sz w:val="24"/>
    </w:rPr>
  </w:style>
  <w:style w:type="paragraph" w:customStyle="1" w:styleId="58">
    <w:name w:val="寄信人地址1"/>
    <w:basedOn w:val="1"/>
    <w:autoRedefine/>
    <w:qFormat/>
    <w:uiPriority w:val="0"/>
    <w:pPr>
      <w:snapToGrid w:val="0"/>
    </w:pPr>
    <w:rPr>
      <w:rFonts w:ascii="Arial" w:hAnsi="Arial"/>
    </w:rPr>
  </w:style>
  <w:style w:type="character" w:customStyle="1" w:styleId="59">
    <w:name w:val="font31"/>
    <w:basedOn w:val="23"/>
    <w:autoRedefine/>
    <w:qFormat/>
    <w:uiPriority w:val="0"/>
    <w:rPr>
      <w:rFonts w:hint="eastAsia" w:ascii="宋体" w:hAnsi="宋体" w:eastAsia="宋体" w:cs="宋体"/>
      <w:color w:val="000000"/>
      <w:sz w:val="22"/>
      <w:szCs w:val="22"/>
      <w:u w:val="none"/>
    </w:rPr>
  </w:style>
  <w:style w:type="character" w:customStyle="1" w:styleId="60">
    <w:name w:val="未处理的提及1"/>
    <w:basedOn w:val="23"/>
    <w:autoRedefine/>
    <w:semiHidden/>
    <w:unhideWhenUsed/>
    <w:qFormat/>
    <w:uiPriority w:val="99"/>
    <w:rPr>
      <w:color w:val="605E5C"/>
      <w:shd w:val="clear" w:color="auto" w:fill="E1DFDD"/>
    </w:rPr>
  </w:style>
  <w:style w:type="paragraph" w:customStyle="1" w:styleId="61">
    <w:name w:val="Body Text First Indent 21"/>
    <w:basedOn w:val="62"/>
    <w:autoRedefine/>
    <w:qFormat/>
    <w:uiPriority w:val="0"/>
    <w:pPr>
      <w:spacing w:line="240" w:lineRule="auto"/>
      <w:ind w:left="420" w:leftChars="200" w:firstLine="420" w:firstLineChars="200"/>
    </w:pPr>
    <w:rPr>
      <w:sz w:val="21"/>
    </w:rPr>
  </w:style>
  <w:style w:type="paragraph" w:customStyle="1" w:styleId="62">
    <w:name w:val="Body Text Indent1"/>
    <w:basedOn w:val="1"/>
    <w:next w:val="63"/>
    <w:autoRedefine/>
    <w:qFormat/>
    <w:uiPriority w:val="0"/>
    <w:pPr>
      <w:spacing w:line="400" w:lineRule="exact"/>
      <w:ind w:firstLine="515"/>
    </w:pPr>
    <w:rPr>
      <w:rFonts w:ascii="楷体_GB2312" w:eastAsia="楷体_GB2312"/>
      <w:b/>
      <w:bCs/>
      <w:kern w:val="0"/>
      <w:sz w:val="24"/>
    </w:rPr>
  </w:style>
  <w:style w:type="paragraph" w:customStyle="1" w:styleId="63">
    <w:name w:val="envelope return1"/>
    <w:basedOn w:val="1"/>
    <w:autoRedefine/>
    <w:qFormat/>
    <w:uiPriority w:val="0"/>
    <w:pPr>
      <w:snapToGrid w:val="0"/>
    </w:pPr>
    <w:rPr>
      <w:rFonts w:ascii="Arial" w:hAnsi="Arial"/>
    </w:rPr>
  </w:style>
  <w:style w:type="character" w:customStyle="1" w:styleId="64">
    <w:name w:val="NormalCharacter"/>
    <w:autoRedefine/>
    <w:qFormat/>
    <w:uiPriority w:val="0"/>
  </w:style>
  <w:style w:type="character" w:customStyle="1" w:styleId="65">
    <w:name w:val="hover"/>
    <w:basedOn w:val="23"/>
    <w:autoRedefine/>
    <w:qFormat/>
    <w:uiPriority w:val="0"/>
    <w:rPr>
      <w:shd w:val="clear" w:fill="EEEEEE"/>
    </w:rPr>
  </w:style>
  <w:style w:type="character" w:customStyle="1" w:styleId="66">
    <w:name w:val="old"/>
    <w:basedOn w:val="23"/>
    <w:autoRedefine/>
    <w:qFormat/>
    <w:uiPriority w:val="0"/>
    <w:rPr>
      <w:color w:val="999999"/>
    </w:rPr>
  </w:style>
  <w:style w:type="character" w:customStyle="1" w:styleId="67">
    <w:name w:val="glyphicon"/>
    <w:basedOn w:val="23"/>
    <w:autoRedefine/>
    <w:qFormat/>
    <w:uiPriority w:val="0"/>
  </w:style>
  <w:style w:type="character" w:customStyle="1" w:styleId="68">
    <w:name w:val="hour_am"/>
    <w:basedOn w:val="23"/>
    <w:autoRedefine/>
    <w:qFormat/>
    <w:uiPriority w:val="0"/>
  </w:style>
  <w:style w:type="character" w:customStyle="1" w:styleId="69">
    <w:name w:val="hour_pm"/>
    <w:basedOn w:val="23"/>
    <w:autoRedefine/>
    <w:qFormat/>
    <w:uiPriority w:val="0"/>
  </w:style>
  <w:style w:type="character" w:customStyle="1" w:styleId="70">
    <w:name w:val="font81"/>
    <w:autoRedefine/>
    <w:qFormat/>
    <w:uiPriority w:val="0"/>
    <w:rPr>
      <w:rFonts w:hint="eastAsia" w:ascii="宋体" w:hAnsi="宋体" w:eastAsia="宋体" w:cs="宋体"/>
      <w:b/>
      <w:color w:val="000000"/>
      <w:sz w:val="24"/>
      <w:szCs w:val="24"/>
      <w:u w:val="single"/>
    </w:rPr>
  </w:style>
  <w:style w:type="character" w:customStyle="1" w:styleId="71">
    <w:name w:val="font21"/>
    <w:autoRedefine/>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24124</Words>
  <Characters>25193</Characters>
  <Lines>194</Lines>
  <Paragraphs>54</Paragraphs>
  <TotalTime>0</TotalTime>
  <ScaleCrop>false</ScaleCrop>
  <LinksUpToDate>false</LinksUpToDate>
  <CharactersWithSpaces>25834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^ω^</cp:lastModifiedBy>
  <cp:lastPrinted>2022-03-30T01:06:00Z</cp:lastPrinted>
  <dcterms:modified xsi:type="dcterms:W3CDTF">2024-09-10T02:11:41Z</dcterms:modified>
  <cp:revision>441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34910DC997DF44318F33A0567663458C_13</vt:lpwstr>
  </property>
</Properties>
</file>