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宋体" w:hAnsi="宋体" w:cs="宋体"/>
          <w:color w:val="000000" w:themeColor="text1"/>
          <w:sz w:val="36"/>
          <w14:textFill>
            <w14:solidFill>
              <w14:schemeClr w14:val="tx1"/>
            </w14:solidFill>
          </w14:textFill>
        </w:rPr>
      </w:pPr>
    </w:p>
    <w:p>
      <w:pPr>
        <w:rPr>
          <w:rFonts w:ascii="宋体" w:hAnsi="宋体" w:cs="宋体"/>
          <w:color w:val="000000" w:themeColor="text1"/>
          <w:sz w:val="36"/>
          <w14:textFill>
            <w14:solidFill>
              <w14:schemeClr w14:val="tx1"/>
            </w14:solidFill>
          </w14:textFill>
        </w:rPr>
      </w:pPr>
    </w:p>
    <w:p>
      <w:pPr>
        <w:rPr>
          <w:rFonts w:ascii="宋体" w:hAnsi="宋体" w:cs="宋体"/>
          <w:color w:val="000000" w:themeColor="text1"/>
          <w:sz w:val="36"/>
          <w14:textFill>
            <w14:solidFill>
              <w14:schemeClr w14:val="tx1"/>
            </w14:solidFill>
          </w14:textFill>
        </w:rPr>
      </w:pPr>
    </w:p>
    <w:p>
      <w:pPr>
        <w:rPr>
          <w:rFonts w:ascii="宋体" w:hAnsi="宋体" w:cs="宋体"/>
          <w:color w:val="000000" w:themeColor="text1"/>
          <w:sz w:val="36"/>
          <w14:textFill>
            <w14:solidFill>
              <w14:schemeClr w14:val="tx1"/>
            </w14:solidFill>
          </w14:textFill>
        </w:rPr>
      </w:pPr>
    </w:p>
    <w:p>
      <w:pPr>
        <w:rPr>
          <w:rFonts w:ascii="宋体" w:hAnsi="宋体" w:cs="宋体"/>
          <w:color w:val="000000" w:themeColor="text1"/>
          <w:sz w:val="36"/>
          <w14:textFill>
            <w14:solidFill>
              <w14:schemeClr w14:val="tx1"/>
            </w14:solidFill>
          </w14:textFill>
        </w:rPr>
      </w:pPr>
    </w:p>
    <w:p>
      <w:pPr>
        <w:jc w:val="center"/>
        <w:rPr>
          <w:rFonts w:ascii="宋体" w:hAnsi="宋体" w:cs="宋体"/>
          <w:b/>
          <w:color w:val="000000" w:themeColor="text1"/>
          <w:sz w:val="84"/>
          <w14:textFill>
            <w14:solidFill>
              <w14:schemeClr w14:val="tx1"/>
            </w14:solidFill>
          </w14:textFill>
        </w:rPr>
      </w:pPr>
      <w:r>
        <w:rPr>
          <w:rFonts w:hint="eastAsia" w:ascii="宋体" w:hAnsi="宋体" w:cs="宋体"/>
          <w:b/>
          <w:color w:val="000000" w:themeColor="text1"/>
          <w:sz w:val="84"/>
          <w14:textFill>
            <w14:solidFill>
              <w14:schemeClr w14:val="tx1"/>
            </w14:solidFill>
          </w14:textFill>
        </w:rPr>
        <w:t>招 标 文 件</w:t>
      </w:r>
    </w:p>
    <w:p>
      <w:pPr>
        <w:rPr>
          <w:rFonts w:ascii="宋体" w:hAnsi="宋体" w:cs="宋体"/>
          <w:b/>
          <w:color w:val="000000" w:themeColor="text1"/>
          <w:sz w:val="32"/>
          <w14:textFill>
            <w14:solidFill>
              <w14:schemeClr w14:val="tx1"/>
            </w14:solidFill>
          </w14:textFill>
        </w:rPr>
      </w:pPr>
    </w:p>
    <w:p>
      <w:pPr>
        <w:jc w:val="center"/>
        <w:rPr>
          <w:rFonts w:ascii="宋体" w:hAnsi="宋体" w:cs="宋体"/>
          <w:b/>
          <w:color w:val="000000" w:themeColor="text1"/>
          <w:sz w:val="32"/>
          <w14:textFill>
            <w14:solidFill>
              <w14:schemeClr w14:val="tx1"/>
            </w14:solidFill>
          </w14:textFill>
        </w:rPr>
      </w:pPr>
    </w:p>
    <w:p>
      <w:pPr>
        <w:jc w:val="center"/>
        <w:rPr>
          <w:rFonts w:ascii="宋体" w:hAnsi="宋体" w:cs="宋体"/>
          <w:b/>
          <w:color w:val="000000" w:themeColor="text1"/>
          <w:sz w:val="32"/>
          <w14:textFill>
            <w14:solidFill>
              <w14:schemeClr w14:val="tx1"/>
            </w14:solidFill>
          </w14:textFill>
        </w:rPr>
      </w:pPr>
    </w:p>
    <w:p>
      <w:pPr>
        <w:jc w:val="center"/>
        <w:rPr>
          <w:rFonts w:ascii="宋体" w:hAnsi="宋体" w:cs="宋体"/>
          <w:b/>
          <w:color w:val="000000" w:themeColor="text1"/>
          <w:sz w:val="32"/>
          <w14:textFill>
            <w14:solidFill>
              <w14:schemeClr w14:val="tx1"/>
            </w14:solidFill>
          </w14:textFill>
        </w:rPr>
      </w:pPr>
    </w:p>
    <w:p>
      <w:pPr>
        <w:ind w:firstLine="723" w:firstLineChars="200"/>
        <w:rPr>
          <w:rFonts w:ascii="宋体" w:hAnsi="宋体" w:cs="宋体"/>
          <w:b/>
          <w:color w:val="000000" w:themeColor="text1"/>
          <w:sz w:val="36"/>
          <w14:textFill>
            <w14:solidFill>
              <w14:schemeClr w14:val="tx1"/>
            </w14:solidFill>
          </w14:textFill>
        </w:rPr>
      </w:pPr>
      <w:r>
        <w:rPr>
          <w:rFonts w:hint="eastAsia" w:ascii="宋体" w:hAnsi="宋体" w:cs="宋体"/>
          <w:b/>
          <w:color w:val="000000" w:themeColor="text1"/>
          <w:sz w:val="36"/>
          <w14:textFill>
            <w14:solidFill>
              <w14:schemeClr w14:val="tx1"/>
            </w14:solidFill>
          </w14:textFill>
        </w:rPr>
        <w:t>项目编号：2022-0</w:t>
      </w:r>
      <w:r>
        <w:rPr>
          <w:rFonts w:hint="eastAsia" w:ascii="宋体" w:hAnsi="宋体" w:cs="宋体"/>
          <w:b/>
          <w:color w:val="000000" w:themeColor="text1"/>
          <w:sz w:val="36"/>
          <w:lang w:val="en-US" w:eastAsia="zh-CN"/>
          <w14:textFill>
            <w14:solidFill>
              <w14:schemeClr w14:val="tx1"/>
            </w14:solidFill>
          </w14:textFill>
        </w:rPr>
        <w:t>48</w:t>
      </w:r>
      <w:r>
        <w:rPr>
          <w:rFonts w:hint="eastAsia" w:ascii="宋体" w:hAnsi="宋体" w:cs="宋体"/>
          <w:b/>
          <w:color w:val="000000" w:themeColor="text1"/>
          <w:sz w:val="36"/>
          <w14:textFill>
            <w14:solidFill>
              <w14:schemeClr w14:val="tx1"/>
            </w14:solidFill>
          </w14:textFill>
        </w:rPr>
        <w:t>Q</w:t>
      </w:r>
    </w:p>
    <w:p>
      <w:pPr>
        <w:jc w:val="center"/>
        <w:rPr>
          <w:rFonts w:ascii="宋体" w:hAnsi="宋体" w:cs="宋体"/>
          <w:b/>
          <w:color w:val="000000" w:themeColor="text1"/>
          <w:sz w:val="32"/>
          <w14:textFill>
            <w14:solidFill>
              <w14:schemeClr w14:val="tx1"/>
            </w14:solidFill>
          </w14:textFill>
        </w:rPr>
      </w:pPr>
    </w:p>
    <w:p>
      <w:pPr>
        <w:ind w:left="2525" w:leftChars="342" w:hanging="1807" w:hangingChars="500"/>
        <w:rPr>
          <w:rFonts w:ascii="宋体" w:hAnsi="宋体" w:cs="宋体"/>
          <w:b/>
          <w:color w:val="000000" w:themeColor="text1"/>
          <w:sz w:val="36"/>
          <w:szCs w:val="36"/>
          <w14:textFill>
            <w14:solidFill>
              <w14:schemeClr w14:val="tx1"/>
            </w14:solidFill>
          </w14:textFill>
        </w:rPr>
      </w:pPr>
    </w:p>
    <w:p>
      <w:pPr>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项目名称：盐城工业职业技术学院汽车与交通学院汽车技术技能大赛检测与维修实训设备</w:t>
      </w:r>
    </w:p>
    <w:p>
      <w:pPr>
        <w:ind w:firstLine="602" w:firstLineChars="200"/>
        <w:rPr>
          <w:rFonts w:ascii="宋体" w:hAnsi="宋体" w:cs="宋体"/>
          <w:b/>
          <w:color w:val="000000" w:themeColor="text1"/>
          <w:sz w:val="30"/>
          <w:szCs w:val="30"/>
          <w14:textFill>
            <w14:solidFill>
              <w14:schemeClr w14:val="tx1"/>
            </w14:solidFill>
          </w14:textFill>
        </w:rPr>
      </w:pPr>
    </w:p>
    <w:p>
      <w:pPr>
        <w:rPr>
          <w:rFonts w:ascii="宋体" w:hAnsi="宋体" w:cs="宋体"/>
          <w:b/>
          <w:color w:val="000000" w:themeColor="text1"/>
          <w:sz w:val="32"/>
          <w14:textFill>
            <w14:solidFill>
              <w14:schemeClr w14:val="tx1"/>
            </w14:solidFill>
          </w14:textFill>
        </w:rPr>
      </w:pPr>
    </w:p>
    <w:p>
      <w:pPr>
        <w:rPr>
          <w:rFonts w:ascii="宋体" w:hAnsi="宋体" w:cs="宋体"/>
          <w:b/>
          <w:color w:val="000000" w:themeColor="text1"/>
          <w:sz w:val="32"/>
          <w14:textFill>
            <w14:solidFill>
              <w14:schemeClr w14:val="tx1"/>
            </w14:solidFill>
          </w14:textFill>
        </w:rPr>
      </w:pPr>
    </w:p>
    <w:p>
      <w:pPr>
        <w:rPr>
          <w:rFonts w:ascii="宋体" w:hAnsi="宋体" w:cs="宋体"/>
          <w:b/>
          <w:color w:val="000000" w:themeColor="text1"/>
          <w:sz w:val="32"/>
          <w14:textFill>
            <w14:solidFill>
              <w14:schemeClr w14:val="tx1"/>
            </w14:solidFill>
          </w14:textFill>
        </w:rPr>
      </w:pPr>
    </w:p>
    <w:p>
      <w:pPr>
        <w:rPr>
          <w:rFonts w:ascii="宋体" w:hAnsi="宋体" w:cs="宋体"/>
          <w:b/>
          <w:color w:val="000000" w:themeColor="text1"/>
          <w:sz w:val="32"/>
          <w14:textFill>
            <w14:solidFill>
              <w14:schemeClr w14:val="tx1"/>
            </w14:solidFill>
          </w14:textFill>
        </w:rPr>
      </w:pPr>
    </w:p>
    <w:p>
      <w:pPr>
        <w:spacing w:line="460" w:lineRule="exact"/>
        <w:ind w:firstLine="723" w:firstLineChars="200"/>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盐城工业职业技术学院</w:t>
      </w:r>
    </w:p>
    <w:p>
      <w:pPr>
        <w:spacing w:line="460" w:lineRule="exact"/>
        <w:ind w:firstLine="723" w:firstLineChars="200"/>
        <w:jc w:val="center"/>
        <w:rPr>
          <w:rFonts w:ascii="宋体" w:hAnsi="宋体" w:cs="宋体"/>
          <w:color w:val="000000" w:themeColor="text1"/>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江苏全盛工程造价事务所有限公司</w:t>
      </w:r>
    </w:p>
    <w:p>
      <w:pPr>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 xml:space="preserve"> 2022年</w:t>
      </w:r>
      <w:r>
        <w:rPr>
          <w:rFonts w:hint="eastAsia" w:ascii="宋体" w:hAnsi="宋体" w:cs="宋体"/>
          <w:b/>
          <w:color w:val="000000" w:themeColor="text1"/>
          <w:sz w:val="36"/>
          <w:szCs w:val="36"/>
          <w:lang w:val="en-US" w:eastAsia="zh-CN"/>
          <w14:textFill>
            <w14:solidFill>
              <w14:schemeClr w14:val="tx1"/>
            </w14:solidFill>
          </w14:textFill>
        </w:rPr>
        <w:t>12</w:t>
      </w:r>
      <w:r>
        <w:rPr>
          <w:rFonts w:hint="eastAsia" w:ascii="宋体" w:hAnsi="宋体" w:cs="宋体"/>
          <w:b/>
          <w:color w:val="000000" w:themeColor="text1"/>
          <w:sz w:val="36"/>
          <w:szCs w:val="36"/>
          <w14:textFill>
            <w14:solidFill>
              <w14:schemeClr w14:val="tx1"/>
            </w14:solidFill>
          </w14:textFill>
        </w:rPr>
        <w:t>月</w:t>
      </w:r>
      <w:r>
        <w:rPr>
          <w:rFonts w:hint="eastAsia" w:ascii="宋体" w:hAnsi="宋体" w:cs="宋体"/>
          <w:b/>
          <w:color w:val="000000" w:themeColor="text1"/>
          <w:sz w:val="36"/>
          <w:szCs w:val="36"/>
          <w:lang w:val="en-US" w:eastAsia="zh-CN"/>
          <w14:textFill>
            <w14:solidFill>
              <w14:schemeClr w14:val="tx1"/>
            </w14:solidFill>
          </w14:textFill>
        </w:rPr>
        <w:t>1</w:t>
      </w:r>
      <w:r>
        <w:rPr>
          <w:rFonts w:hint="eastAsia" w:ascii="宋体" w:hAnsi="宋体" w:cs="宋体"/>
          <w:b/>
          <w:color w:val="000000" w:themeColor="text1"/>
          <w:sz w:val="36"/>
          <w:szCs w:val="36"/>
          <w14:textFill>
            <w14:solidFill>
              <w14:schemeClr w14:val="tx1"/>
            </w14:solidFill>
          </w14:textFill>
        </w:rPr>
        <w:t>日</w:t>
      </w:r>
    </w:p>
    <w:p>
      <w:pPr>
        <w:spacing w:line="480" w:lineRule="auto"/>
        <w:jc w:val="center"/>
        <w:outlineLvl w:val="0"/>
        <w:rPr>
          <w:rFonts w:ascii="宋体" w:hAnsi="宋体" w:cs="宋体"/>
          <w:b/>
          <w:color w:val="000000" w:themeColor="text1"/>
          <w:sz w:val="44"/>
          <w14:textFill>
            <w14:solidFill>
              <w14:schemeClr w14:val="tx1"/>
            </w14:solidFill>
          </w14:textFill>
        </w:rPr>
        <w:sectPr>
          <w:headerReference r:id="rId3" w:type="default"/>
          <w:footerReference r:id="rId4" w:type="default"/>
          <w:footerReference r:id="rId5" w:type="even"/>
          <w:pgSz w:w="11906" w:h="16838"/>
          <w:pgMar w:top="1418" w:right="1417" w:bottom="1418" w:left="1417" w:header="851" w:footer="907" w:gutter="0"/>
          <w:pgNumType w:start="1"/>
          <w:cols w:space="720" w:num="1"/>
          <w:docGrid w:type="lines" w:linePitch="290" w:charSpace="0"/>
        </w:sectPr>
      </w:pPr>
      <w:bookmarkStart w:id="0" w:name="_Toc12283"/>
      <w:bookmarkStart w:id="1" w:name="_Toc120614210"/>
      <w:bookmarkStart w:id="2" w:name="_Toc523127445"/>
      <w:bookmarkStart w:id="3" w:name="_Toc16938516"/>
      <w:bookmarkStart w:id="4" w:name="_Toc513029200"/>
      <w:bookmarkStart w:id="5" w:name="_Toc20823272"/>
      <w:bookmarkStart w:id="6" w:name="_Toc479757206"/>
    </w:p>
    <w:p>
      <w:pPr>
        <w:spacing w:line="480" w:lineRule="auto"/>
        <w:jc w:val="center"/>
        <w:outlineLvl w:val="0"/>
        <w:rPr>
          <w:rFonts w:ascii="宋体" w:hAnsi="宋体" w:cs="宋体"/>
          <w:b/>
          <w:color w:val="000000" w:themeColor="text1"/>
          <w:sz w:val="44"/>
          <w14:textFill>
            <w14:solidFill>
              <w14:schemeClr w14:val="tx1"/>
            </w14:solidFill>
          </w14:textFill>
        </w:rPr>
      </w:pPr>
      <w:r>
        <w:rPr>
          <w:rFonts w:hint="eastAsia" w:ascii="宋体" w:hAnsi="宋体" w:cs="宋体"/>
          <w:b/>
          <w:color w:val="000000" w:themeColor="text1"/>
          <w:sz w:val="44"/>
          <w14:textFill>
            <w14:solidFill>
              <w14:schemeClr w14:val="tx1"/>
            </w14:solidFill>
          </w14:textFill>
        </w:rPr>
        <w:t>总  目  录</w:t>
      </w:r>
      <w:bookmarkEnd w:id="0"/>
    </w:p>
    <w:p>
      <w:pPr>
        <w:spacing w:line="480" w:lineRule="auto"/>
        <w:rPr>
          <w:rFonts w:ascii="宋体" w:hAnsi="宋体" w:cs="宋体"/>
          <w:b/>
          <w:color w:val="000000" w:themeColor="text1"/>
          <w:sz w:val="28"/>
          <w14:textFill>
            <w14:solidFill>
              <w14:schemeClr w14:val="tx1"/>
            </w14:solidFill>
          </w14:textFill>
        </w:rPr>
      </w:pPr>
    </w:p>
    <w:sdt>
      <w:sdtPr>
        <w:rPr>
          <w:rFonts w:hint="eastAsia" w:ascii="宋体" w:hAnsi="宋体" w:eastAsia="楷体_GB2312" w:cs="宋体"/>
          <w:color w:val="000000" w:themeColor="text1"/>
          <w:sz w:val="28"/>
          <w:szCs w:val="28"/>
          <w14:textFill>
            <w14:solidFill>
              <w14:schemeClr w14:val="tx1"/>
            </w14:solidFill>
          </w14:textFill>
        </w:rPr>
        <w:id w:val="147461667"/>
        <w:docPartObj>
          <w:docPartGallery w:val="Table of Contents"/>
          <w:docPartUnique/>
        </w:docPartObj>
      </w:sdtPr>
      <w:sdtEndPr>
        <w:rPr>
          <w:rFonts w:hint="eastAsia" w:ascii="宋体" w:hAnsi="宋体" w:eastAsia="楷体_GB2312" w:cs="宋体"/>
          <w:bCs/>
          <w:color w:val="000000" w:themeColor="text1"/>
          <w:sz w:val="28"/>
          <w:szCs w:val="28"/>
          <w14:textFill>
            <w14:solidFill>
              <w14:schemeClr w14:val="tx1"/>
            </w14:solidFill>
          </w14:textFill>
        </w:rPr>
      </w:sdtEndPr>
      <w:sdtContent>
        <w:p>
          <w:pPr>
            <w:jc w:val="center"/>
            <w:rPr>
              <w:rFonts w:ascii="宋体" w:hAnsi="宋体" w:cs="宋体"/>
              <w:color w:val="000000" w:themeColor="text1"/>
              <w14:textFill>
                <w14:solidFill>
                  <w14:schemeClr w14:val="tx1"/>
                </w14:solidFill>
              </w14:textFill>
            </w:rPr>
          </w:pPr>
        </w:p>
        <w:p>
          <w:pPr>
            <w:pStyle w:val="120"/>
            <w:tabs>
              <w:tab w:val="right" w:leader="dot" w:pos="9072"/>
            </w:tabs>
            <w:rPr>
              <w:rFonts w:ascii="宋体" w:hAnsi="宋体" w:cs="宋体"/>
              <w:color w:val="000000" w:themeColor="text1"/>
              <w14:textFill>
                <w14:solidFill>
                  <w14:schemeClr w14:val="tx1"/>
                </w14:solidFill>
              </w14:textFill>
            </w:rPr>
          </w:pPr>
          <w:r>
            <w:rPr>
              <w:rFonts w:hint="eastAsia" w:ascii="宋体" w:hAnsi="宋体" w:cs="宋体"/>
              <w:bCs/>
              <w:color w:val="000000" w:themeColor="text1"/>
              <w:sz w:val="44"/>
              <w14:textFill>
                <w14:solidFill>
                  <w14:schemeClr w14:val="tx1"/>
                </w14:solidFill>
              </w14:textFill>
            </w:rPr>
            <w:fldChar w:fldCharType="begin"/>
          </w:r>
          <w:r>
            <w:rPr>
              <w:rFonts w:hint="eastAsia" w:ascii="宋体" w:hAnsi="宋体" w:cs="宋体"/>
              <w:bCs/>
              <w:color w:val="000000" w:themeColor="text1"/>
              <w:sz w:val="44"/>
              <w14:textFill>
                <w14:solidFill>
                  <w14:schemeClr w14:val="tx1"/>
                </w14:solidFill>
              </w14:textFill>
            </w:rPr>
            <w:instrText xml:space="preserve">TOC \o "1-1" \h \u </w:instrText>
          </w:r>
          <w:r>
            <w:rPr>
              <w:rFonts w:hint="eastAsia" w:ascii="宋体" w:hAnsi="宋体" w:cs="宋体"/>
              <w:bCs/>
              <w:color w:val="000000" w:themeColor="text1"/>
              <w:sz w:val="44"/>
              <w14:textFill>
                <w14:solidFill>
                  <w14:schemeClr w14:val="tx1"/>
                </w14:solidFill>
              </w14:textFill>
            </w:rPr>
            <w:fldChar w:fldCharType="separate"/>
          </w:r>
        </w:p>
        <w:p>
          <w:pPr>
            <w:pStyle w:val="120"/>
            <w:tabs>
              <w:tab w:val="right" w:leader="dot" w:pos="9072"/>
            </w:tabs>
            <w:spacing w:line="480" w:lineRule="auto"/>
            <w:rPr>
              <w:rFonts w:ascii="宋体" w:hAnsi="宋体" w:cs="宋体"/>
              <w:color w:val="000000" w:themeColor="text1"/>
              <w:sz w:val="36"/>
              <w:szCs w:val="36"/>
              <w14:textFill>
                <w14:solidFill>
                  <w14:schemeClr w14:val="tx1"/>
                </w14:solidFill>
              </w14:textFill>
            </w:rPr>
          </w:pPr>
          <w:r>
            <w:fldChar w:fldCharType="begin"/>
          </w:r>
          <w:r>
            <w:instrText xml:space="preserve"> HYPERLINK \l "_Toc16364" </w:instrText>
          </w:r>
          <w:r>
            <w:fldChar w:fldCharType="separate"/>
          </w:r>
          <w:r>
            <w:rPr>
              <w:rFonts w:hint="eastAsia" w:ascii="宋体" w:hAnsi="宋体" w:cs="宋体"/>
              <w:b/>
              <w:color w:val="000000" w:themeColor="text1"/>
              <w:sz w:val="36"/>
              <w:szCs w:val="36"/>
              <w14:textFill>
                <w14:solidFill>
                  <w14:schemeClr w14:val="tx1"/>
                </w14:solidFill>
              </w14:textFill>
            </w:rPr>
            <w:t>第一章</w:t>
          </w:r>
          <w:r>
            <w:rPr>
              <w:rFonts w:hint="eastAsia" w:ascii="宋体" w:hAnsi="宋体" w:cs="宋体"/>
              <w:bCs/>
              <w:color w:val="000000" w:themeColor="text1"/>
              <w:sz w:val="36"/>
              <w:szCs w:val="36"/>
              <w14:textFill>
                <w14:solidFill>
                  <w14:schemeClr w14:val="tx1"/>
                </w14:solidFill>
              </w14:textFill>
            </w:rPr>
            <w:t xml:space="preserve">  招标公告</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fldChar w:fldCharType="begin"/>
          </w:r>
          <w:r>
            <w:rPr>
              <w:rFonts w:hint="eastAsia" w:ascii="宋体" w:hAnsi="宋体" w:cs="宋体"/>
              <w:color w:val="000000" w:themeColor="text1"/>
              <w:sz w:val="36"/>
              <w:szCs w:val="36"/>
              <w14:textFill>
                <w14:solidFill>
                  <w14:schemeClr w14:val="tx1"/>
                </w14:solidFill>
              </w14:textFill>
            </w:rPr>
            <w:instrText xml:space="preserve"> PAGEREF _Toc16364 \h </w:instrText>
          </w:r>
          <w:r>
            <w:rPr>
              <w:rFonts w:hint="eastAsia" w:ascii="宋体" w:hAnsi="宋体" w:cs="宋体"/>
              <w:color w:val="000000" w:themeColor="text1"/>
              <w:sz w:val="36"/>
              <w:szCs w:val="36"/>
              <w14:textFill>
                <w14:solidFill>
                  <w14:schemeClr w14:val="tx1"/>
                </w14:solidFill>
              </w14:textFill>
            </w:rPr>
            <w:fldChar w:fldCharType="separate"/>
          </w:r>
          <w:r>
            <w:rPr>
              <w:rFonts w:hint="eastAsia" w:ascii="宋体" w:hAnsi="宋体" w:cs="宋体"/>
              <w:color w:val="000000" w:themeColor="text1"/>
              <w:sz w:val="36"/>
              <w:szCs w:val="36"/>
              <w14:textFill>
                <w14:solidFill>
                  <w14:schemeClr w14:val="tx1"/>
                </w14:solidFill>
              </w14:textFill>
            </w:rPr>
            <w:t>1</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14:textFill>
                <w14:solidFill>
                  <w14:schemeClr w14:val="tx1"/>
                </w14:solidFill>
              </w14:textFill>
            </w:rPr>
            <w:fldChar w:fldCharType="end"/>
          </w:r>
        </w:p>
        <w:p>
          <w:pPr>
            <w:pStyle w:val="120"/>
            <w:tabs>
              <w:tab w:val="right" w:leader="dot" w:pos="9072"/>
            </w:tabs>
            <w:spacing w:line="480" w:lineRule="auto"/>
            <w:rPr>
              <w:rFonts w:ascii="宋体" w:hAnsi="宋体" w:cs="宋体"/>
              <w:bCs/>
              <w:color w:val="000000" w:themeColor="text1"/>
              <w:sz w:val="36"/>
              <w:szCs w:val="36"/>
              <w14:textFill>
                <w14:solidFill>
                  <w14:schemeClr w14:val="tx1"/>
                </w14:solidFill>
              </w14:textFill>
            </w:rPr>
          </w:pPr>
        </w:p>
        <w:p>
          <w:pPr>
            <w:pStyle w:val="120"/>
            <w:tabs>
              <w:tab w:val="right" w:leader="dot" w:pos="9072"/>
            </w:tabs>
            <w:spacing w:line="480" w:lineRule="auto"/>
            <w:rPr>
              <w:rFonts w:ascii="宋体" w:hAnsi="宋体" w:cs="宋体"/>
              <w:color w:val="000000" w:themeColor="text1"/>
              <w:sz w:val="36"/>
              <w:szCs w:val="36"/>
              <w14:textFill>
                <w14:solidFill>
                  <w14:schemeClr w14:val="tx1"/>
                </w14:solidFill>
              </w14:textFill>
            </w:rPr>
          </w:pPr>
          <w:r>
            <w:fldChar w:fldCharType="begin"/>
          </w:r>
          <w:r>
            <w:instrText xml:space="preserve"> HYPERLINK \l "_Toc8631" </w:instrText>
          </w:r>
          <w:r>
            <w:fldChar w:fldCharType="separate"/>
          </w:r>
          <w:r>
            <w:rPr>
              <w:rFonts w:hint="eastAsia" w:ascii="宋体" w:hAnsi="宋体" w:cs="宋体"/>
              <w:b/>
              <w:bCs/>
              <w:color w:val="000000" w:themeColor="text1"/>
              <w:sz w:val="36"/>
              <w:szCs w:val="36"/>
              <w14:textFill>
                <w14:solidFill>
                  <w14:schemeClr w14:val="tx1"/>
                </w14:solidFill>
              </w14:textFill>
            </w:rPr>
            <w:t>第二章</w:t>
          </w:r>
          <w:r>
            <w:rPr>
              <w:rFonts w:hint="eastAsia" w:ascii="宋体" w:hAnsi="宋体" w:cs="宋体"/>
              <w:color w:val="000000" w:themeColor="text1"/>
              <w:sz w:val="36"/>
              <w:szCs w:val="36"/>
              <w14:textFill>
                <w14:solidFill>
                  <w14:schemeClr w14:val="tx1"/>
                </w14:solidFill>
              </w14:textFill>
            </w:rPr>
            <w:t xml:space="preserve">  投标人须知</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fldChar w:fldCharType="begin"/>
          </w:r>
          <w:r>
            <w:rPr>
              <w:rFonts w:hint="eastAsia" w:ascii="宋体" w:hAnsi="宋体" w:cs="宋体"/>
              <w:color w:val="000000" w:themeColor="text1"/>
              <w:sz w:val="36"/>
              <w:szCs w:val="36"/>
              <w14:textFill>
                <w14:solidFill>
                  <w14:schemeClr w14:val="tx1"/>
                </w14:solidFill>
              </w14:textFill>
            </w:rPr>
            <w:instrText xml:space="preserve"> PAGEREF _Toc8631 \h </w:instrText>
          </w:r>
          <w:r>
            <w:rPr>
              <w:rFonts w:hint="eastAsia" w:ascii="宋体" w:hAnsi="宋体" w:cs="宋体"/>
              <w:color w:val="000000" w:themeColor="text1"/>
              <w:sz w:val="36"/>
              <w:szCs w:val="36"/>
              <w14:textFill>
                <w14:solidFill>
                  <w14:schemeClr w14:val="tx1"/>
                </w14:solidFill>
              </w14:textFill>
            </w:rPr>
            <w:fldChar w:fldCharType="separate"/>
          </w:r>
          <w:r>
            <w:rPr>
              <w:rFonts w:hint="eastAsia" w:ascii="宋体" w:hAnsi="宋体" w:cs="宋体"/>
              <w:color w:val="000000" w:themeColor="text1"/>
              <w:sz w:val="36"/>
              <w:szCs w:val="36"/>
              <w14:textFill>
                <w14:solidFill>
                  <w14:schemeClr w14:val="tx1"/>
                </w14:solidFill>
              </w14:textFill>
            </w:rPr>
            <w:t>5</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14:textFill>
                <w14:solidFill>
                  <w14:schemeClr w14:val="tx1"/>
                </w14:solidFill>
              </w14:textFill>
            </w:rPr>
            <w:fldChar w:fldCharType="end"/>
          </w:r>
        </w:p>
        <w:p>
          <w:pPr>
            <w:pStyle w:val="120"/>
            <w:tabs>
              <w:tab w:val="right" w:leader="dot" w:pos="9072"/>
            </w:tabs>
            <w:spacing w:line="480" w:lineRule="auto"/>
            <w:rPr>
              <w:rFonts w:ascii="宋体" w:hAnsi="宋体" w:cs="宋体"/>
              <w:bCs/>
              <w:color w:val="000000" w:themeColor="text1"/>
              <w:sz w:val="36"/>
              <w:szCs w:val="36"/>
              <w14:textFill>
                <w14:solidFill>
                  <w14:schemeClr w14:val="tx1"/>
                </w14:solidFill>
              </w14:textFill>
            </w:rPr>
          </w:pPr>
        </w:p>
        <w:p>
          <w:pPr>
            <w:pStyle w:val="120"/>
            <w:tabs>
              <w:tab w:val="right" w:leader="dot" w:pos="9072"/>
            </w:tabs>
            <w:spacing w:line="480" w:lineRule="auto"/>
            <w:rPr>
              <w:rFonts w:ascii="宋体" w:hAnsi="宋体" w:cs="宋体"/>
              <w:color w:val="000000" w:themeColor="text1"/>
              <w:sz w:val="36"/>
              <w:szCs w:val="36"/>
              <w14:textFill>
                <w14:solidFill>
                  <w14:schemeClr w14:val="tx1"/>
                </w14:solidFill>
              </w14:textFill>
            </w:rPr>
          </w:pPr>
          <w:r>
            <w:fldChar w:fldCharType="begin"/>
          </w:r>
          <w:r>
            <w:instrText xml:space="preserve"> HYPERLINK \l "_Toc602" </w:instrText>
          </w:r>
          <w:r>
            <w:fldChar w:fldCharType="separate"/>
          </w:r>
          <w:r>
            <w:rPr>
              <w:rFonts w:hint="eastAsia" w:ascii="宋体" w:hAnsi="宋体" w:cs="宋体"/>
              <w:b/>
              <w:bCs/>
              <w:color w:val="000000" w:themeColor="text1"/>
              <w:sz w:val="36"/>
              <w:szCs w:val="36"/>
              <w14:textFill>
                <w14:solidFill>
                  <w14:schemeClr w14:val="tx1"/>
                </w14:solidFill>
              </w14:textFill>
            </w:rPr>
            <w:t>第三章</w:t>
          </w:r>
          <w:r>
            <w:rPr>
              <w:rFonts w:hint="eastAsia" w:ascii="宋体" w:hAnsi="宋体" w:cs="宋体"/>
              <w:color w:val="000000" w:themeColor="text1"/>
              <w:sz w:val="36"/>
              <w:szCs w:val="36"/>
              <w14:textFill>
                <w14:solidFill>
                  <w14:schemeClr w14:val="tx1"/>
                </w14:solidFill>
              </w14:textFill>
            </w:rPr>
            <w:t xml:space="preserve">  合同条款及格式</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fldChar w:fldCharType="begin"/>
          </w:r>
          <w:r>
            <w:rPr>
              <w:rFonts w:hint="eastAsia" w:ascii="宋体" w:hAnsi="宋体" w:cs="宋体"/>
              <w:color w:val="000000" w:themeColor="text1"/>
              <w:sz w:val="36"/>
              <w:szCs w:val="36"/>
              <w14:textFill>
                <w14:solidFill>
                  <w14:schemeClr w14:val="tx1"/>
                </w14:solidFill>
              </w14:textFill>
            </w:rPr>
            <w:instrText xml:space="preserve"> PAGEREF _Toc602 \h </w:instrText>
          </w:r>
          <w:r>
            <w:rPr>
              <w:rFonts w:hint="eastAsia" w:ascii="宋体" w:hAnsi="宋体" w:cs="宋体"/>
              <w:color w:val="000000" w:themeColor="text1"/>
              <w:sz w:val="36"/>
              <w:szCs w:val="36"/>
              <w14:textFill>
                <w14:solidFill>
                  <w14:schemeClr w14:val="tx1"/>
                </w14:solidFill>
              </w14:textFill>
            </w:rPr>
            <w:fldChar w:fldCharType="separate"/>
          </w:r>
          <w:r>
            <w:rPr>
              <w:rFonts w:hint="eastAsia" w:ascii="宋体" w:hAnsi="宋体" w:cs="宋体"/>
              <w:color w:val="000000" w:themeColor="text1"/>
              <w:sz w:val="36"/>
              <w:szCs w:val="36"/>
              <w14:textFill>
                <w14:solidFill>
                  <w14:schemeClr w14:val="tx1"/>
                </w14:solidFill>
              </w14:textFill>
            </w:rPr>
            <w:t>17</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14:textFill>
                <w14:solidFill>
                  <w14:schemeClr w14:val="tx1"/>
                </w14:solidFill>
              </w14:textFill>
            </w:rPr>
            <w:fldChar w:fldCharType="end"/>
          </w:r>
        </w:p>
        <w:p>
          <w:pPr>
            <w:pStyle w:val="120"/>
            <w:tabs>
              <w:tab w:val="right" w:leader="dot" w:pos="9072"/>
            </w:tabs>
            <w:spacing w:line="480" w:lineRule="auto"/>
            <w:rPr>
              <w:rFonts w:ascii="宋体" w:hAnsi="宋体" w:cs="宋体"/>
              <w:bCs/>
              <w:color w:val="000000" w:themeColor="text1"/>
              <w:sz w:val="36"/>
              <w:szCs w:val="36"/>
              <w14:textFill>
                <w14:solidFill>
                  <w14:schemeClr w14:val="tx1"/>
                </w14:solidFill>
              </w14:textFill>
            </w:rPr>
          </w:pPr>
        </w:p>
        <w:p>
          <w:pPr>
            <w:pStyle w:val="120"/>
            <w:tabs>
              <w:tab w:val="right" w:leader="dot" w:pos="9072"/>
            </w:tabs>
            <w:spacing w:line="480" w:lineRule="auto"/>
            <w:rPr>
              <w:rFonts w:ascii="宋体" w:hAnsi="宋体" w:cs="宋体"/>
              <w:color w:val="000000" w:themeColor="text1"/>
              <w:sz w:val="36"/>
              <w:szCs w:val="36"/>
              <w14:textFill>
                <w14:solidFill>
                  <w14:schemeClr w14:val="tx1"/>
                </w14:solidFill>
              </w14:textFill>
            </w:rPr>
          </w:pPr>
          <w:r>
            <w:fldChar w:fldCharType="begin"/>
          </w:r>
          <w:r>
            <w:instrText xml:space="preserve"> HYPERLINK \l "_Toc574" </w:instrText>
          </w:r>
          <w:r>
            <w:fldChar w:fldCharType="separate"/>
          </w:r>
          <w:r>
            <w:rPr>
              <w:rFonts w:hint="eastAsia" w:ascii="宋体" w:hAnsi="宋体" w:cs="宋体"/>
              <w:b/>
              <w:bCs/>
              <w:color w:val="000000" w:themeColor="text1"/>
              <w:sz w:val="36"/>
              <w:szCs w:val="36"/>
              <w14:textFill>
                <w14:solidFill>
                  <w14:schemeClr w14:val="tx1"/>
                </w14:solidFill>
              </w14:textFill>
            </w:rPr>
            <w:t>第四章</w:t>
          </w:r>
          <w:r>
            <w:rPr>
              <w:rFonts w:hint="eastAsia" w:ascii="宋体" w:hAnsi="宋体" w:cs="宋体"/>
              <w:color w:val="000000" w:themeColor="text1"/>
              <w:sz w:val="36"/>
              <w:szCs w:val="36"/>
              <w14:textFill>
                <w14:solidFill>
                  <w14:schemeClr w14:val="tx1"/>
                </w14:solidFill>
              </w14:textFill>
            </w:rPr>
            <w:t>项目技术需求</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fldChar w:fldCharType="begin"/>
          </w:r>
          <w:r>
            <w:rPr>
              <w:rFonts w:hint="eastAsia" w:ascii="宋体" w:hAnsi="宋体" w:cs="宋体"/>
              <w:color w:val="000000" w:themeColor="text1"/>
              <w:sz w:val="36"/>
              <w:szCs w:val="36"/>
              <w14:textFill>
                <w14:solidFill>
                  <w14:schemeClr w14:val="tx1"/>
                </w14:solidFill>
              </w14:textFill>
            </w:rPr>
            <w:instrText xml:space="preserve"> PAGEREF _Toc574 \h </w:instrText>
          </w:r>
          <w:r>
            <w:rPr>
              <w:rFonts w:hint="eastAsia" w:ascii="宋体" w:hAnsi="宋体" w:cs="宋体"/>
              <w:color w:val="000000" w:themeColor="text1"/>
              <w:sz w:val="36"/>
              <w:szCs w:val="36"/>
              <w14:textFill>
                <w14:solidFill>
                  <w14:schemeClr w14:val="tx1"/>
                </w14:solidFill>
              </w14:textFill>
            </w:rPr>
            <w:fldChar w:fldCharType="separate"/>
          </w:r>
          <w:r>
            <w:rPr>
              <w:rFonts w:hint="eastAsia" w:ascii="宋体" w:hAnsi="宋体" w:cs="宋体"/>
              <w:color w:val="000000" w:themeColor="text1"/>
              <w:sz w:val="36"/>
              <w:szCs w:val="36"/>
              <w14:textFill>
                <w14:solidFill>
                  <w14:schemeClr w14:val="tx1"/>
                </w14:solidFill>
              </w14:textFill>
            </w:rPr>
            <w:t>23</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14:textFill>
                <w14:solidFill>
                  <w14:schemeClr w14:val="tx1"/>
                </w14:solidFill>
              </w14:textFill>
            </w:rPr>
            <w:fldChar w:fldCharType="end"/>
          </w:r>
        </w:p>
        <w:p>
          <w:pPr>
            <w:pStyle w:val="120"/>
            <w:tabs>
              <w:tab w:val="right" w:leader="dot" w:pos="9072"/>
            </w:tabs>
            <w:spacing w:line="480" w:lineRule="auto"/>
            <w:rPr>
              <w:rFonts w:ascii="宋体" w:hAnsi="宋体" w:cs="宋体"/>
              <w:bCs/>
              <w:color w:val="000000" w:themeColor="text1"/>
              <w:sz w:val="36"/>
              <w:szCs w:val="36"/>
              <w14:textFill>
                <w14:solidFill>
                  <w14:schemeClr w14:val="tx1"/>
                </w14:solidFill>
              </w14:textFill>
            </w:rPr>
          </w:pPr>
        </w:p>
        <w:p>
          <w:pPr>
            <w:pStyle w:val="120"/>
            <w:tabs>
              <w:tab w:val="right" w:leader="dot" w:pos="9072"/>
            </w:tabs>
            <w:spacing w:line="480" w:lineRule="auto"/>
            <w:rPr>
              <w:rFonts w:ascii="宋体" w:hAnsi="宋体" w:cs="宋体"/>
              <w:color w:val="000000" w:themeColor="text1"/>
              <w:sz w:val="36"/>
              <w:szCs w:val="36"/>
              <w14:textFill>
                <w14:solidFill>
                  <w14:schemeClr w14:val="tx1"/>
                </w14:solidFill>
              </w14:textFill>
            </w:rPr>
          </w:pPr>
          <w:r>
            <w:fldChar w:fldCharType="begin"/>
          </w:r>
          <w:r>
            <w:instrText xml:space="preserve"> HYPERLINK \l "_Toc4016" </w:instrText>
          </w:r>
          <w:r>
            <w:fldChar w:fldCharType="separate"/>
          </w:r>
          <w:r>
            <w:rPr>
              <w:rFonts w:hint="eastAsia" w:ascii="宋体" w:hAnsi="宋体" w:cs="宋体"/>
              <w:b/>
              <w:bCs/>
              <w:color w:val="000000" w:themeColor="text1"/>
              <w:sz w:val="36"/>
              <w:szCs w:val="36"/>
              <w14:textFill>
                <w14:solidFill>
                  <w14:schemeClr w14:val="tx1"/>
                </w14:solidFill>
              </w14:textFill>
            </w:rPr>
            <w:t>第五章</w:t>
          </w:r>
          <w:r>
            <w:rPr>
              <w:rFonts w:hint="eastAsia" w:ascii="宋体" w:hAnsi="宋体" w:cs="宋体"/>
              <w:color w:val="000000" w:themeColor="text1"/>
              <w:sz w:val="36"/>
              <w:szCs w:val="36"/>
              <w14:textFill>
                <w14:solidFill>
                  <w14:schemeClr w14:val="tx1"/>
                </w14:solidFill>
              </w14:textFill>
            </w:rPr>
            <w:t xml:space="preserve">  评标方法与评标标准</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fldChar w:fldCharType="begin"/>
          </w:r>
          <w:r>
            <w:rPr>
              <w:rFonts w:hint="eastAsia" w:ascii="宋体" w:hAnsi="宋体" w:cs="宋体"/>
              <w:color w:val="000000" w:themeColor="text1"/>
              <w:sz w:val="36"/>
              <w:szCs w:val="36"/>
              <w14:textFill>
                <w14:solidFill>
                  <w14:schemeClr w14:val="tx1"/>
                </w14:solidFill>
              </w14:textFill>
            </w:rPr>
            <w:instrText xml:space="preserve"> PAGEREF _Toc4016 \h </w:instrText>
          </w:r>
          <w:r>
            <w:rPr>
              <w:rFonts w:hint="eastAsia" w:ascii="宋体" w:hAnsi="宋体" w:cs="宋体"/>
              <w:color w:val="000000" w:themeColor="text1"/>
              <w:sz w:val="36"/>
              <w:szCs w:val="36"/>
              <w14:textFill>
                <w14:solidFill>
                  <w14:schemeClr w14:val="tx1"/>
                </w14:solidFill>
              </w14:textFill>
            </w:rPr>
            <w:fldChar w:fldCharType="separate"/>
          </w:r>
          <w:r>
            <w:rPr>
              <w:rFonts w:hint="eastAsia" w:ascii="宋体" w:hAnsi="宋体" w:cs="宋体"/>
              <w:color w:val="000000" w:themeColor="text1"/>
              <w:sz w:val="36"/>
              <w:szCs w:val="36"/>
              <w14:textFill>
                <w14:solidFill>
                  <w14:schemeClr w14:val="tx1"/>
                </w14:solidFill>
              </w14:textFill>
            </w:rPr>
            <w:t>26</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14:textFill>
                <w14:solidFill>
                  <w14:schemeClr w14:val="tx1"/>
                </w14:solidFill>
              </w14:textFill>
            </w:rPr>
            <w:fldChar w:fldCharType="end"/>
          </w:r>
        </w:p>
        <w:p>
          <w:pPr>
            <w:pStyle w:val="120"/>
            <w:tabs>
              <w:tab w:val="right" w:leader="dot" w:pos="9072"/>
            </w:tabs>
            <w:spacing w:line="480" w:lineRule="auto"/>
            <w:rPr>
              <w:rFonts w:ascii="宋体" w:hAnsi="宋体" w:cs="宋体"/>
              <w:bCs/>
              <w:color w:val="000000" w:themeColor="text1"/>
              <w:sz w:val="36"/>
              <w:szCs w:val="36"/>
              <w14:textFill>
                <w14:solidFill>
                  <w14:schemeClr w14:val="tx1"/>
                </w14:solidFill>
              </w14:textFill>
            </w:rPr>
          </w:pPr>
        </w:p>
        <w:p>
          <w:pPr>
            <w:pStyle w:val="120"/>
            <w:tabs>
              <w:tab w:val="right" w:leader="dot" w:pos="9072"/>
            </w:tabs>
            <w:spacing w:line="480" w:lineRule="auto"/>
            <w:rPr>
              <w:rFonts w:ascii="宋体" w:hAnsi="宋体" w:cs="宋体"/>
              <w:color w:val="000000" w:themeColor="text1"/>
              <w14:textFill>
                <w14:solidFill>
                  <w14:schemeClr w14:val="tx1"/>
                </w14:solidFill>
              </w14:textFill>
            </w:rPr>
          </w:pPr>
          <w:r>
            <w:fldChar w:fldCharType="begin"/>
          </w:r>
          <w:r>
            <w:instrText xml:space="preserve"> HYPERLINK \l "_Toc22937" </w:instrText>
          </w:r>
          <w:r>
            <w:fldChar w:fldCharType="separate"/>
          </w:r>
          <w:r>
            <w:rPr>
              <w:rFonts w:hint="eastAsia" w:ascii="宋体" w:hAnsi="宋体" w:cs="宋体"/>
              <w:b/>
              <w:bCs/>
              <w:color w:val="000000" w:themeColor="text1"/>
              <w:sz w:val="36"/>
              <w:szCs w:val="36"/>
              <w14:textFill>
                <w14:solidFill>
                  <w14:schemeClr w14:val="tx1"/>
                </w14:solidFill>
              </w14:textFill>
            </w:rPr>
            <w:t>第六章</w:t>
          </w:r>
          <w:r>
            <w:rPr>
              <w:rFonts w:hint="eastAsia" w:ascii="宋体" w:hAnsi="宋体" w:cs="宋体"/>
              <w:color w:val="000000" w:themeColor="text1"/>
              <w:sz w:val="36"/>
              <w:szCs w:val="36"/>
              <w14:textFill>
                <w14:solidFill>
                  <w14:schemeClr w14:val="tx1"/>
                </w14:solidFill>
              </w14:textFill>
            </w:rPr>
            <w:t xml:space="preserve">  投标文件格式</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fldChar w:fldCharType="begin"/>
          </w:r>
          <w:r>
            <w:rPr>
              <w:rFonts w:hint="eastAsia" w:ascii="宋体" w:hAnsi="宋体" w:cs="宋体"/>
              <w:color w:val="000000" w:themeColor="text1"/>
              <w:sz w:val="36"/>
              <w:szCs w:val="36"/>
              <w14:textFill>
                <w14:solidFill>
                  <w14:schemeClr w14:val="tx1"/>
                </w14:solidFill>
              </w14:textFill>
            </w:rPr>
            <w:instrText xml:space="preserve"> PAGEREF _Toc22937 \h </w:instrText>
          </w:r>
          <w:r>
            <w:rPr>
              <w:rFonts w:hint="eastAsia" w:ascii="宋体" w:hAnsi="宋体" w:cs="宋体"/>
              <w:color w:val="000000" w:themeColor="text1"/>
              <w:sz w:val="36"/>
              <w:szCs w:val="36"/>
              <w14:textFill>
                <w14:solidFill>
                  <w14:schemeClr w14:val="tx1"/>
                </w14:solidFill>
              </w14:textFill>
            </w:rPr>
            <w:fldChar w:fldCharType="separate"/>
          </w:r>
          <w:r>
            <w:rPr>
              <w:rFonts w:hint="eastAsia" w:ascii="宋体" w:hAnsi="宋体" w:cs="宋体"/>
              <w:color w:val="000000" w:themeColor="text1"/>
              <w:sz w:val="36"/>
              <w:szCs w:val="36"/>
              <w14:textFill>
                <w14:solidFill>
                  <w14:schemeClr w14:val="tx1"/>
                </w14:solidFill>
              </w14:textFill>
            </w:rPr>
            <w:t>31</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14:textFill>
                <w14:solidFill>
                  <w14:schemeClr w14:val="tx1"/>
                </w14:solidFill>
              </w14:textFill>
            </w:rPr>
            <w:fldChar w:fldCharType="end"/>
          </w:r>
        </w:p>
        <w:p>
          <w:pPr>
            <w:pStyle w:val="3"/>
            <w:jc w:val="both"/>
            <w:rPr>
              <w:rFonts w:ascii="宋体" w:hAnsi="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fldChar w:fldCharType="end"/>
          </w:r>
        </w:p>
      </w:sdtContent>
    </w:sdt>
    <w:p>
      <w:pPr>
        <w:rPr>
          <w:color w:val="000000" w:themeColor="text1"/>
          <w14:textFill>
            <w14:solidFill>
              <w14:schemeClr w14:val="tx1"/>
            </w14:solidFill>
          </w14:textFill>
        </w:rPr>
      </w:pPr>
    </w:p>
    <w:p>
      <w:pPr>
        <w:tabs>
          <w:tab w:val="right" w:pos="9072"/>
        </w:tabs>
        <w:jc w:val="left"/>
        <w:rPr>
          <w:color w:val="000000" w:themeColor="text1"/>
          <w14:textFill>
            <w14:solidFill>
              <w14:schemeClr w14:val="tx1"/>
            </w14:solidFill>
          </w14:textFill>
        </w:rPr>
        <w:sectPr>
          <w:footerReference r:id="rId6" w:type="default"/>
          <w:pgSz w:w="11906" w:h="16838"/>
          <w:pgMar w:top="1418" w:right="1417" w:bottom="1418" w:left="1417" w:header="851" w:footer="907" w:gutter="0"/>
          <w:pgNumType w:start="1"/>
          <w:cols w:space="720" w:num="1"/>
          <w:docGrid w:type="lines" w:linePitch="290" w:charSpace="0"/>
        </w:sectPr>
      </w:pPr>
      <w:r>
        <w:rPr>
          <w:rFonts w:hint="eastAsia"/>
          <w:color w:val="000000" w:themeColor="text1"/>
          <w14:textFill>
            <w14:solidFill>
              <w14:schemeClr w14:val="tx1"/>
            </w14:solidFill>
          </w14:textFill>
        </w:rPr>
        <w:tab/>
      </w:r>
    </w:p>
    <w:bookmarkEnd w:id="1"/>
    <w:p>
      <w:pPr>
        <w:pStyle w:val="3"/>
        <w:numPr>
          <w:ilvl w:val="0"/>
          <w:numId w:val="4"/>
        </w:numPr>
        <w:rPr>
          <w:rFonts w:ascii="宋体" w:hAnsi="宋体" w:eastAsia="宋体" w:cs="宋体"/>
          <w:b/>
          <w:bCs/>
          <w:color w:val="000000" w:themeColor="text1"/>
          <w:sz w:val="44"/>
          <w:szCs w:val="44"/>
          <w14:textFill>
            <w14:solidFill>
              <w14:schemeClr w14:val="tx1"/>
            </w14:solidFill>
          </w14:textFill>
        </w:rPr>
      </w:pPr>
      <w:bookmarkStart w:id="7" w:name="_Toc16364"/>
      <w:r>
        <w:rPr>
          <w:rFonts w:hint="eastAsia" w:ascii="宋体" w:hAnsi="宋体" w:eastAsia="宋体" w:cs="宋体"/>
          <w:b/>
          <w:bCs/>
          <w:color w:val="000000" w:themeColor="text1"/>
          <w:sz w:val="44"/>
          <w:szCs w:val="44"/>
          <w14:textFill>
            <w14:solidFill>
              <w14:schemeClr w14:val="tx1"/>
            </w14:solidFill>
          </w14:textFill>
        </w:rPr>
        <w:t>招标公告</w:t>
      </w:r>
      <w:bookmarkEnd w:id="7"/>
      <w:bookmarkStart w:id="8" w:name="_Toc28359001"/>
      <w:bookmarkStart w:id="9" w:name="_Toc9682"/>
      <w:bookmarkStart w:id="10" w:name="_Toc35393789"/>
    </w:p>
    <w:p>
      <w:pPr>
        <w:pStyle w:val="3"/>
        <w:ind w:firstLine="843" w:firstLineChars="300"/>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盐城工业职业技术学院汽车与交通学院汽车技术技能大赛检测与维修实训设备招标公告</w:t>
      </w:r>
      <w:bookmarkEnd w:id="8"/>
      <w:bookmarkEnd w:id="9"/>
      <w:bookmarkEnd w:id="10"/>
    </w:p>
    <w:p>
      <w:pPr>
        <w:pBdr>
          <w:top w:val="single" w:color="auto" w:sz="4" w:space="1"/>
          <w:left w:val="single" w:color="auto" w:sz="4" w:space="4"/>
          <w:bottom w:val="single" w:color="auto" w:sz="4" w:space="1"/>
          <w:right w:val="single" w:color="auto" w:sz="4" w:space="4"/>
        </w:pBd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项目概况</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u w:val="single"/>
          <w14:textFill>
            <w14:solidFill>
              <w14:schemeClr w14:val="tx1"/>
            </w14:solidFill>
          </w14:textFill>
        </w:rPr>
        <w:t>盐城工业职业技术学院汽车与交通学院汽车技术技能大赛检测与维修实训设备</w:t>
      </w:r>
      <w:r>
        <w:rPr>
          <w:rFonts w:hint="eastAsia" w:ascii="宋体" w:hAnsi="宋体" w:cs="宋体"/>
          <w:bCs/>
          <w:color w:val="000000" w:themeColor="text1"/>
          <w:sz w:val="24"/>
          <w:szCs w:val="24"/>
          <w14:textFill>
            <w14:solidFill>
              <w14:schemeClr w14:val="tx1"/>
            </w14:solidFill>
          </w14:textFill>
        </w:rPr>
        <w:t>的潜在投标人应在</w:t>
      </w:r>
      <w:r>
        <w:rPr>
          <w:rFonts w:hint="eastAsia" w:ascii="宋体" w:hAnsi="宋体" w:cs="宋体"/>
          <w:bCs/>
          <w:color w:val="000000" w:themeColor="text1"/>
          <w:sz w:val="24"/>
          <w:szCs w:val="24"/>
          <w:u w:val="single"/>
          <w14:textFill>
            <w14:solidFill>
              <w14:schemeClr w14:val="tx1"/>
            </w14:solidFill>
          </w14:textFill>
        </w:rPr>
        <w:t>盐城工业职业技术学院招标采购网</w:t>
      </w:r>
      <w:r>
        <w:rPr>
          <w:rFonts w:hint="eastAsia" w:ascii="宋体" w:hAnsi="宋体" w:cs="宋体"/>
          <w:bCs/>
          <w:color w:val="000000" w:themeColor="text1"/>
          <w:sz w:val="24"/>
          <w:szCs w:val="24"/>
          <w14:textFill>
            <w14:solidFill>
              <w14:schemeClr w14:val="tx1"/>
            </w14:solidFill>
          </w14:textFill>
        </w:rPr>
        <w:t>获</w:t>
      </w:r>
      <w:r>
        <w:rPr>
          <w:rFonts w:hint="eastAsia" w:ascii="宋体" w:hAnsi="宋体" w:cs="宋体"/>
          <w:color w:val="000000" w:themeColor="text1"/>
          <w:sz w:val="24"/>
          <w:szCs w:val="24"/>
          <w14:textFill>
            <w14:solidFill>
              <w14:schemeClr w14:val="tx1"/>
            </w14:solidFill>
          </w14:textFill>
        </w:rPr>
        <w:t>取招标文件，并于</w:t>
      </w:r>
      <w:r>
        <w:rPr>
          <w:rFonts w:hint="eastAsia" w:ascii="宋体" w:hAnsi="宋体" w:cs="宋体"/>
          <w:color w:val="000000" w:themeColor="text1"/>
          <w:sz w:val="24"/>
          <w:szCs w:val="24"/>
          <w:u w:val="single"/>
          <w14:textFill>
            <w14:solidFill>
              <w14:schemeClr w14:val="tx1"/>
            </w14:solidFill>
          </w14:textFill>
        </w:rPr>
        <w:t>2022</w:t>
      </w:r>
      <w:r>
        <w:rPr>
          <w:rFonts w:hint="eastAsia" w:ascii="宋体" w:hAnsi="宋体" w:cs="宋体"/>
          <w:bCs/>
          <w:color w:val="000000" w:themeColor="text1"/>
          <w:sz w:val="24"/>
          <w:szCs w:val="24"/>
          <w:u w:val="single"/>
          <w14:textFill>
            <w14:solidFill>
              <w14:schemeClr w14:val="tx1"/>
            </w14:solidFill>
          </w14:textFill>
        </w:rPr>
        <w:t>年</w:t>
      </w:r>
      <w:r>
        <w:rPr>
          <w:rFonts w:hint="eastAsia" w:ascii="宋体" w:hAnsi="宋体" w:cs="宋体"/>
          <w:bCs/>
          <w:color w:val="000000" w:themeColor="text1"/>
          <w:sz w:val="24"/>
          <w:szCs w:val="24"/>
          <w:u w:val="single"/>
          <w:lang w:val="en-US" w:eastAsia="zh-CN"/>
          <w14:textFill>
            <w14:solidFill>
              <w14:schemeClr w14:val="tx1"/>
            </w14:solidFill>
          </w14:textFill>
        </w:rPr>
        <w:t>12</w:t>
      </w:r>
      <w:r>
        <w:rPr>
          <w:rFonts w:hint="eastAsia" w:ascii="宋体" w:hAnsi="宋体" w:cs="宋体"/>
          <w:bCs/>
          <w:color w:val="000000" w:themeColor="text1"/>
          <w:sz w:val="24"/>
          <w:szCs w:val="24"/>
          <w:u w:val="single"/>
          <w14:textFill>
            <w14:solidFill>
              <w14:schemeClr w14:val="tx1"/>
            </w14:solidFill>
          </w14:textFill>
        </w:rPr>
        <w:t>月</w:t>
      </w:r>
      <w:r>
        <w:rPr>
          <w:rFonts w:hint="eastAsia" w:ascii="宋体" w:hAnsi="宋体" w:cs="宋体"/>
          <w:bCs/>
          <w:color w:val="000000" w:themeColor="text1"/>
          <w:sz w:val="24"/>
          <w:szCs w:val="24"/>
          <w:u w:val="single"/>
          <w:lang w:val="en-US" w:eastAsia="zh-CN"/>
          <w14:textFill>
            <w14:solidFill>
              <w14:schemeClr w14:val="tx1"/>
            </w14:solidFill>
          </w14:textFill>
        </w:rPr>
        <w:t>22</w:t>
      </w:r>
      <w:r>
        <w:rPr>
          <w:rFonts w:hint="eastAsia" w:ascii="宋体" w:hAnsi="宋体" w:cs="宋体"/>
          <w:bCs/>
          <w:color w:val="000000" w:themeColor="text1"/>
          <w:sz w:val="24"/>
          <w:szCs w:val="24"/>
          <w:u w:val="single"/>
          <w14:textFill>
            <w14:solidFill>
              <w14:schemeClr w14:val="tx1"/>
            </w14:solidFill>
          </w14:textFill>
        </w:rPr>
        <w:t>日</w:t>
      </w:r>
      <w:r>
        <w:rPr>
          <w:rFonts w:hint="eastAsia" w:ascii="宋体" w:hAnsi="宋体" w:cs="宋体"/>
          <w:bCs/>
          <w:color w:val="000000" w:themeColor="text1"/>
          <w:sz w:val="24"/>
          <w:szCs w:val="24"/>
          <w:u w:val="single"/>
          <w:lang w:val="en-US" w:eastAsia="zh-CN"/>
          <w14:textFill>
            <w14:solidFill>
              <w14:schemeClr w14:val="tx1"/>
            </w14:solidFill>
          </w14:textFill>
        </w:rPr>
        <w:t>15</w:t>
      </w:r>
      <w:r>
        <w:rPr>
          <w:rFonts w:hint="eastAsia" w:ascii="宋体" w:hAnsi="宋体" w:cs="宋体"/>
          <w:bCs/>
          <w:color w:val="000000" w:themeColor="text1"/>
          <w:sz w:val="24"/>
          <w:szCs w:val="24"/>
          <w:u w:val="single"/>
          <w14:textFill>
            <w14:solidFill>
              <w14:schemeClr w14:val="tx1"/>
            </w14:solidFill>
          </w14:textFill>
        </w:rPr>
        <w:t>点00分（</w:t>
      </w:r>
      <w:r>
        <w:rPr>
          <w:rFonts w:hint="eastAsia" w:ascii="宋体" w:hAnsi="宋体" w:cs="宋体"/>
          <w:bCs/>
          <w:color w:val="000000" w:themeColor="text1"/>
          <w:sz w:val="24"/>
          <w:szCs w:val="24"/>
          <w14:textFill>
            <w14:solidFill>
              <w14:schemeClr w14:val="tx1"/>
            </w14:solidFill>
          </w14:textFill>
        </w:rPr>
        <w:t>北京时间）前递交投标文件</w:t>
      </w:r>
      <w:r>
        <w:rPr>
          <w:rFonts w:hint="eastAsia" w:ascii="宋体" w:hAnsi="宋体" w:cs="宋体"/>
          <w:color w:val="000000" w:themeColor="text1"/>
          <w:sz w:val="24"/>
          <w:szCs w:val="24"/>
          <w14:textFill>
            <w14:solidFill>
              <w14:schemeClr w14:val="tx1"/>
            </w14:solidFill>
          </w14:textFill>
        </w:rPr>
        <w:t>。</w:t>
      </w:r>
    </w:p>
    <w:p>
      <w:pPr>
        <w:pStyle w:val="3"/>
        <w:tabs>
          <w:tab w:val="left" w:pos="0"/>
          <w:tab w:val="left" w:pos="3165"/>
          <w:tab w:val="center" w:pos="4153"/>
        </w:tabs>
        <w:autoSpaceDE w:val="0"/>
        <w:autoSpaceDN w:val="0"/>
        <w:adjustRightInd w:val="0"/>
        <w:spacing w:line="460" w:lineRule="exact"/>
        <w:jc w:val="left"/>
        <w:rPr>
          <w:rFonts w:ascii="宋体" w:hAnsi="宋体" w:eastAsia="宋体" w:cs="宋体"/>
          <w:b/>
          <w:bCs/>
          <w:color w:val="000000" w:themeColor="text1"/>
          <w:sz w:val="24"/>
          <w:szCs w:val="24"/>
          <w14:textFill>
            <w14:solidFill>
              <w14:schemeClr w14:val="tx1"/>
            </w14:solidFill>
          </w14:textFill>
        </w:rPr>
      </w:pPr>
      <w:bookmarkStart w:id="11" w:name="_Toc28359002"/>
      <w:bookmarkStart w:id="12" w:name="_Toc35393621"/>
      <w:bookmarkStart w:id="13" w:name="_Toc17573"/>
      <w:bookmarkStart w:id="14" w:name="_Toc35393790"/>
      <w:bookmarkStart w:id="15" w:name="_Toc28359079"/>
      <w:bookmarkStart w:id="16" w:name="_Hlk24379207"/>
      <w:r>
        <w:rPr>
          <w:rFonts w:hint="eastAsia" w:ascii="宋体" w:hAnsi="宋体" w:eastAsia="宋体" w:cs="宋体"/>
          <w:b/>
          <w:bCs/>
          <w:color w:val="000000" w:themeColor="text1"/>
          <w:sz w:val="24"/>
          <w:szCs w:val="24"/>
          <w14:textFill>
            <w14:solidFill>
              <w14:schemeClr w14:val="tx1"/>
            </w14:solidFill>
          </w14:textFill>
        </w:rPr>
        <w:t>一、项目基本情况</w:t>
      </w:r>
      <w:bookmarkEnd w:id="11"/>
      <w:bookmarkEnd w:id="12"/>
      <w:bookmarkEnd w:id="13"/>
      <w:bookmarkEnd w:id="14"/>
      <w:bookmarkEnd w:id="15"/>
    </w:p>
    <w:p>
      <w:pPr>
        <w:spacing w:line="460" w:lineRule="exact"/>
        <w:ind w:firstLine="480" w:firstLineChars="20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项目编号：</w:t>
      </w:r>
      <w:r>
        <w:rPr>
          <w:rFonts w:hint="eastAsia" w:ascii="宋体" w:hAnsi="宋体" w:cs="宋体"/>
          <w:color w:val="000000" w:themeColor="text1"/>
          <w:sz w:val="24"/>
          <w:szCs w:val="24"/>
          <w:u w:val="single"/>
          <w14:textFill>
            <w14:solidFill>
              <w14:schemeClr w14:val="tx1"/>
            </w14:solidFill>
          </w14:textFill>
        </w:rPr>
        <w:t>2022-0</w:t>
      </w:r>
      <w:r>
        <w:rPr>
          <w:rFonts w:hint="eastAsia" w:ascii="宋体" w:hAnsi="宋体" w:cs="宋体"/>
          <w:color w:val="000000" w:themeColor="text1"/>
          <w:sz w:val="24"/>
          <w:szCs w:val="24"/>
          <w:u w:val="single"/>
          <w:lang w:val="en-US" w:eastAsia="zh-CN"/>
          <w14:textFill>
            <w14:solidFill>
              <w14:schemeClr w14:val="tx1"/>
            </w14:solidFill>
          </w14:textFill>
        </w:rPr>
        <w:t>48</w:t>
      </w:r>
      <w:r>
        <w:rPr>
          <w:rFonts w:hint="eastAsia" w:ascii="宋体" w:hAnsi="宋体" w:cs="宋体"/>
          <w:color w:val="000000" w:themeColor="text1"/>
          <w:sz w:val="24"/>
          <w:szCs w:val="24"/>
          <w:u w:val="single"/>
          <w14:textFill>
            <w14:solidFill>
              <w14:schemeClr w14:val="tx1"/>
            </w14:solidFill>
          </w14:textFill>
        </w:rPr>
        <w:t>Q</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项目名称：</w:t>
      </w:r>
      <w:r>
        <w:rPr>
          <w:rFonts w:hint="eastAsia" w:ascii="宋体" w:hAnsi="宋体" w:cs="宋体"/>
          <w:bCs/>
          <w:color w:val="000000" w:themeColor="text1"/>
          <w:sz w:val="24"/>
          <w:szCs w:val="24"/>
          <w:u w:val="single"/>
          <w14:textFill>
            <w14:solidFill>
              <w14:schemeClr w14:val="tx1"/>
            </w14:solidFill>
          </w14:textFill>
        </w:rPr>
        <w:t>盐城工业职业技术学院汽车与交通学院汽车技术技能大赛检测与维修实训设备</w:t>
      </w:r>
    </w:p>
    <w:bookmarkEnd w:id="16"/>
    <w:p>
      <w:pPr>
        <w:pStyle w:val="40"/>
        <w:spacing w:before="0" w:beforeAutospacing="0" w:after="0" w:afterAutospacing="0"/>
        <w:ind w:firstLine="48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预算金额：最高限价</w:t>
      </w:r>
      <w:r>
        <w:rPr>
          <w:rFonts w:hint="eastAsia" w:ascii="仿宋" w:hAnsi="仿宋" w:eastAsia="仿宋" w:cs="仿宋"/>
          <w:color w:val="000000" w:themeColor="text1"/>
          <w:u w:val="single"/>
          <w14:textFill>
            <w14:solidFill>
              <w14:schemeClr w14:val="tx1"/>
            </w14:solidFill>
          </w14:textFill>
        </w:rPr>
        <w:t>13.16</w:t>
      </w:r>
      <w:r>
        <w:rPr>
          <w:rFonts w:hint="eastAsia"/>
          <w:color w:val="000000" w:themeColor="text1"/>
          <w:kern w:val="2"/>
          <w:u w:val="single"/>
          <w14:textFill>
            <w14:solidFill>
              <w14:schemeClr w14:val="tx1"/>
            </w14:solidFill>
          </w14:textFill>
        </w:rPr>
        <w:t>万元</w:t>
      </w:r>
      <w:r>
        <w:rPr>
          <w:rFonts w:hint="eastAsia"/>
          <w:color w:val="000000" w:themeColor="text1"/>
          <w:kern w:val="2"/>
          <w14:textFill>
            <w14:solidFill>
              <w14:schemeClr w14:val="tx1"/>
            </w14:solidFill>
          </w14:textFill>
        </w:rPr>
        <w:t>。</w:t>
      </w:r>
    </w:p>
    <w:p>
      <w:pPr>
        <w:adjustRightInd w:val="0"/>
        <w:snapToGrid w:val="0"/>
        <w:spacing w:line="336" w:lineRule="auto"/>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采购需求：</w:t>
      </w:r>
      <w:r>
        <w:rPr>
          <w:rFonts w:hint="eastAsia" w:ascii="宋体" w:hAnsi="宋体" w:cs="宋体"/>
          <w:bCs/>
          <w:color w:val="000000" w:themeColor="text1"/>
          <w:sz w:val="24"/>
          <w:szCs w:val="24"/>
          <w14:textFill>
            <w14:solidFill>
              <w14:schemeClr w14:val="tx1"/>
            </w14:solidFill>
          </w14:textFill>
        </w:rPr>
        <w:t>盐城工业职业技术学院汽车与交通学院汽车技术技能大赛检测与维修实训设备采购</w:t>
      </w:r>
      <w:r>
        <w:rPr>
          <w:rStyle w:val="115"/>
          <w:rFonts w:hint="eastAsia" w:ascii="宋体" w:hAnsi="宋体" w:cs="宋体"/>
          <w:color w:val="000000" w:themeColor="text1"/>
          <w:sz w:val="24"/>
          <w:szCs w:val="24"/>
          <w14:textFill>
            <w14:solidFill>
              <w14:schemeClr w14:val="tx1"/>
            </w14:solidFill>
          </w14:textFill>
        </w:rPr>
        <w:t>的采购、供应、运输、安装及就位、调试、维保、售前、售后等相关伴随服务，具体产品名称、数量、规格及技术参数等以招标文件及报价清单为准，采购人保留对上述采购规模进行调整的权利。（详见采购清单）。</w:t>
      </w:r>
    </w:p>
    <w:p>
      <w:pPr>
        <w:adjustRightInd w:val="0"/>
        <w:snapToGrid w:val="0"/>
        <w:spacing w:line="336" w:lineRule="auto"/>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合同履行期限：</w:t>
      </w:r>
      <w:r>
        <w:rPr>
          <w:rStyle w:val="115"/>
          <w:rFonts w:hint="eastAsia" w:ascii="宋体" w:hAnsi="宋体" w:cs="宋体"/>
          <w:color w:val="000000" w:themeColor="text1"/>
          <w:sz w:val="24"/>
          <w:szCs w:val="24"/>
          <w:u w:val="single"/>
          <w14:textFill>
            <w14:solidFill>
              <w14:schemeClr w14:val="tx1"/>
            </w14:solidFill>
          </w14:textFill>
        </w:rPr>
        <w:t xml:space="preserve"> 项目合同签订后90天内完成设备的供货、 安装及调试。（如甲方需要延时交付，可另行约定时间）</w:t>
      </w:r>
      <w:r>
        <w:rPr>
          <w:rStyle w:val="115"/>
          <w:rFonts w:hint="eastAsia" w:ascii="宋体" w:hAnsi="宋体" w:cs="宋体"/>
          <w:color w:val="000000" w:themeColor="text1"/>
          <w:sz w:val="24"/>
          <w:szCs w:val="24"/>
          <w14:textFill>
            <w14:solidFill>
              <w14:schemeClr w14:val="tx1"/>
            </w14:solidFill>
          </w14:textFill>
        </w:rPr>
        <w:t>。</w:t>
      </w:r>
    </w:p>
    <w:p>
      <w:pPr>
        <w:adjustRightInd w:val="0"/>
        <w:snapToGrid w:val="0"/>
        <w:spacing w:line="336" w:lineRule="auto"/>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本项目不接受联合体投标。</w:t>
      </w:r>
      <w:bookmarkStart w:id="17" w:name="_Toc35393791"/>
      <w:bookmarkStart w:id="18" w:name="_Toc35393622"/>
      <w:bookmarkStart w:id="19" w:name="_Toc28359080"/>
      <w:bookmarkStart w:id="20" w:name="_Toc28359003"/>
      <w:bookmarkStart w:id="21" w:name="_Toc35393623"/>
      <w:bookmarkStart w:id="22" w:name="_Toc28359081"/>
      <w:bookmarkStart w:id="23" w:name="_Toc35393792"/>
      <w:bookmarkStart w:id="24" w:name="_Toc28359004"/>
    </w:p>
    <w:bookmarkEnd w:id="17"/>
    <w:bookmarkEnd w:id="18"/>
    <w:bookmarkEnd w:id="19"/>
    <w:bookmarkEnd w:id="20"/>
    <w:p>
      <w:pPr>
        <w:adjustRightInd w:val="0"/>
        <w:snapToGrid w:val="0"/>
        <w:spacing w:line="336" w:lineRule="auto"/>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二、申请人的资格要求：</w:t>
      </w:r>
    </w:p>
    <w:p>
      <w:pPr>
        <w:adjustRightInd w:val="0"/>
        <w:snapToGrid w:val="0"/>
        <w:spacing w:line="336" w:lineRule="auto"/>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1.满足《中华人民共和国政府采购法》第二十二条规定，并提供下列材料；</w:t>
      </w:r>
    </w:p>
    <w:p>
      <w:pPr>
        <w:adjustRightInd w:val="0"/>
        <w:snapToGrid w:val="0"/>
        <w:spacing w:line="336" w:lineRule="auto"/>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（1）法人或者其他组织的营业执照等证明文件，自然人的身份证明；</w:t>
      </w:r>
    </w:p>
    <w:p>
      <w:pPr>
        <w:adjustRightInd w:val="0"/>
        <w:snapToGrid w:val="0"/>
        <w:spacing w:line="336" w:lineRule="auto"/>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（2）上一年度（2021年）的财务报表（成立不满一年不需提供）；</w:t>
      </w:r>
    </w:p>
    <w:p>
      <w:pPr>
        <w:adjustRightInd w:val="0"/>
        <w:snapToGrid w:val="0"/>
        <w:spacing w:line="336" w:lineRule="auto"/>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（3）依法缴纳税收和社会保障资金的相关材料，依法免税或不需要缴纳社会保障资金的，应提供相应文件证明材料；</w:t>
      </w:r>
    </w:p>
    <w:p>
      <w:pPr>
        <w:adjustRightInd w:val="0"/>
        <w:snapToGrid w:val="0"/>
        <w:spacing w:line="336" w:lineRule="auto"/>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（4）具备履行合同所必需的设备和专业技术能力的书面声明；</w:t>
      </w:r>
    </w:p>
    <w:p>
      <w:pPr>
        <w:adjustRightInd w:val="0"/>
        <w:snapToGrid w:val="0"/>
        <w:spacing w:line="336" w:lineRule="auto"/>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（5）参加政府采购活动前3年内在经营活动中没有重大违法记录的书面声明；</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2.落实政府采购政策需满足的资格要求：/。</w:t>
      </w:r>
    </w:p>
    <w:bookmarkEnd w:id="21"/>
    <w:bookmarkEnd w:id="22"/>
    <w:bookmarkEnd w:id="23"/>
    <w:bookmarkEnd w:id="24"/>
    <w:p>
      <w:pPr>
        <w:spacing w:line="460" w:lineRule="exact"/>
        <w:ind w:firstLine="480" w:firstLineChars="200"/>
        <w:rPr>
          <w:rFonts w:ascii="宋体" w:hAnsi="宋体" w:cs="宋体"/>
          <w:color w:val="000000" w:themeColor="text1"/>
          <w:sz w:val="24"/>
          <w:szCs w:val="24"/>
          <w14:textFill>
            <w14:solidFill>
              <w14:schemeClr w14:val="tx1"/>
            </w14:solidFill>
          </w14:textFill>
        </w:rPr>
      </w:pPr>
      <w:bookmarkStart w:id="25" w:name="_Toc28359082"/>
      <w:bookmarkStart w:id="26" w:name="_Toc28359005"/>
      <w:bookmarkStart w:id="27" w:name="_Toc35393624"/>
      <w:bookmarkStart w:id="28" w:name="_Toc35393793"/>
      <w:r>
        <w:rPr>
          <w:rFonts w:hint="eastAsia" w:ascii="宋体" w:hAnsi="宋体" w:cs="宋体"/>
          <w:color w:val="000000" w:themeColor="text1"/>
          <w:sz w:val="24"/>
          <w:szCs w:val="24"/>
          <w14:textFill>
            <w14:solidFill>
              <w14:schemeClr w14:val="tx1"/>
            </w14:solidFill>
          </w14:textFill>
        </w:rPr>
        <w:t>3.本项目的特定资格要求：</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（1）未被“信用中国”网站（www.creditchina.gov.cn）列入失信被执行人、重大税收违法案件当事人名单、政府采购严重失信行为记录名单。</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（2）单位负责人为同一人或者存在直接控股、管理关系的不同供应商，不得参加同一合同项下的政府采购活动。</w:t>
      </w:r>
    </w:p>
    <w:p>
      <w:pPr>
        <w:spacing w:line="460" w:lineRule="exact"/>
        <w:ind w:firstLine="482" w:firstLineChars="200"/>
        <w:rPr>
          <w:rFonts w:ascii="宋体" w:hAnsi="宋体" w:cs="宋体"/>
          <w:b/>
          <w:bCs/>
          <w:color w:val="000000" w:themeColor="text1"/>
          <w:sz w:val="24"/>
          <w:szCs w:val="24"/>
          <w14:textFill>
            <w14:solidFill>
              <w14:schemeClr w14:val="tx1"/>
            </w14:solidFill>
          </w14:textFill>
        </w:rPr>
      </w:pPr>
      <w:bookmarkStart w:id="29" w:name="_Toc392"/>
      <w:r>
        <w:rPr>
          <w:rFonts w:hint="eastAsia" w:ascii="宋体" w:hAnsi="宋体" w:cs="宋体"/>
          <w:b/>
          <w:bCs/>
          <w:color w:val="000000" w:themeColor="text1"/>
          <w:sz w:val="24"/>
          <w:szCs w:val="24"/>
          <w14:textFill>
            <w14:solidFill>
              <w14:schemeClr w14:val="tx1"/>
            </w14:solidFill>
          </w14:textFill>
        </w:rPr>
        <w:t>三、获取招标文件</w:t>
      </w:r>
      <w:bookmarkEnd w:id="29"/>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时间：自公告之日起至投标截止时间前1日</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地点：盐城工业职业技术学院招标采购网</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方式：符合资格要求的投标人可自行下载采购文件，采购文件见盐城工业职业技术学院招标采购网本公告附件。</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报名时间及地点：本公告发布后凡具备上述资格条件，并自愿参加本项目投标的投标人应于2022年</w:t>
      </w:r>
      <w:r>
        <w:rPr>
          <w:rFonts w:hint="eastAsia" w:ascii="宋体" w:hAnsi="宋体" w:cs="宋体"/>
          <w:color w:val="000000" w:themeColor="text1"/>
          <w:sz w:val="24"/>
          <w:szCs w:val="24"/>
          <w:lang w:val="en-US" w:eastAsia="zh-CN"/>
          <w14:textFill>
            <w14:solidFill>
              <w14:schemeClr w14:val="tx1"/>
            </w14:solidFill>
          </w14:textFill>
        </w:rPr>
        <w:t>12</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日至2022年</w:t>
      </w:r>
      <w:r>
        <w:rPr>
          <w:rFonts w:hint="eastAsia" w:ascii="宋体" w:hAnsi="宋体" w:cs="宋体"/>
          <w:color w:val="000000" w:themeColor="text1"/>
          <w:sz w:val="24"/>
          <w:szCs w:val="24"/>
          <w:lang w:val="en-US" w:eastAsia="zh-CN"/>
          <w14:textFill>
            <w14:solidFill>
              <w14:schemeClr w14:val="tx1"/>
            </w14:solidFill>
          </w14:textFill>
        </w:rPr>
        <w:t>12</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16</w:t>
      </w:r>
      <w:r>
        <w:rPr>
          <w:rFonts w:hint="eastAsia" w:ascii="宋体" w:hAnsi="宋体" w:cs="宋体"/>
          <w:color w:val="000000" w:themeColor="text1"/>
          <w:sz w:val="24"/>
          <w:szCs w:val="24"/>
          <w14:textFill>
            <w14:solidFill>
              <w14:schemeClr w14:val="tx1"/>
            </w14:solidFill>
          </w14:textFill>
        </w:rPr>
        <w:t>日（早上8:30-下午18：00）委派本单位正式人员携带单位介绍信或授权委托书到江苏全盛工程造价事务所有限公司报名且购买招标文件，逾期报名的不予接收。招标文件售价500元/份，售后不退。</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有关本次招标的事项若存在变动或修改，敬请及时关注“盐城工业职业技术学院招标采购网”发布的信息更正公告。</w:t>
      </w:r>
    </w:p>
    <w:p>
      <w:pPr>
        <w:pStyle w:val="3"/>
        <w:tabs>
          <w:tab w:val="left" w:pos="0"/>
          <w:tab w:val="left" w:pos="3165"/>
          <w:tab w:val="center" w:pos="4153"/>
        </w:tabs>
        <w:autoSpaceDE w:val="0"/>
        <w:autoSpaceDN w:val="0"/>
        <w:adjustRightInd w:val="0"/>
        <w:spacing w:line="460" w:lineRule="exact"/>
        <w:ind w:firstLine="482" w:firstLineChars="200"/>
        <w:jc w:val="left"/>
        <w:rPr>
          <w:rFonts w:ascii="宋体" w:hAnsi="宋体" w:eastAsia="宋体" w:cs="宋体"/>
          <w:b/>
          <w:bCs/>
          <w:color w:val="000000" w:themeColor="text1"/>
          <w:sz w:val="24"/>
          <w:szCs w:val="24"/>
          <w14:textFill>
            <w14:solidFill>
              <w14:schemeClr w14:val="tx1"/>
            </w14:solidFill>
          </w14:textFill>
        </w:rPr>
      </w:pPr>
      <w:bookmarkStart w:id="30" w:name="_Toc7670"/>
      <w:r>
        <w:rPr>
          <w:rFonts w:hint="eastAsia" w:ascii="宋体" w:hAnsi="宋体" w:eastAsia="宋体" w:cs="宋体"/>
          <w:b/>
          <w:bCs/>
          <w:color w:val="000000" w:themeColor="text1"/>
          <w:sz w:val="24"/>
          <w:szCs w:val="24"/>
          <w14:textFill>
            <w14:solidFill>
              <w14:schemeClr w14:val="tx1"/>
            </w14:solidFill>
          </w14:textFill>
        </w:rPr>
        <w:t>四、提交投标文件</w:t>
      </w:r>
      <w:bookmarkEnd w:id="25"/>
      <w:bookmarkEnd w:id="26"/>
      <w:r>
        <w:rPr>
          <w:rFonts w:hint="eastAsia" w:ascii="宋体" w:hAnsi="宋体" w:eastAsia="宋体" w:cs="宋体"/>
          <w:b/>
          <w:bCs/>
          <w:color w:val="000000" w:themeColor="text1"/>
          <w:sz w:val="24"/>
          <w:szCs w:val="24"/>
          <w14:textFill>
            <w14:solidFill>
              <w14:schemeClr w14:val="tx1"/>
            </w14:solidFill>
          </w14:textFill>
        </w:rPr>
        <w:t>截止时间、开标时间和地点</w:t>
      </w:r>
      <w:bookmarkEnd w:id="27"/>
      <w:bookmarkEnd w:id="28"/>
      <w:bookmarkEnd w:id="30"/>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2022</w:t>
      </w:r>
      <w:r>
        <w:rPr>
          <w:rFonts w:hint="eastAsia" w:ascii="宋体" w:hAnsi="宋体" w:cs="宋体"/>
          <w:bCs/>
          <w:color w:val="000000" w:themeColor="text1"/>
          <w:sz w:val="24"/>
          <w:szCs w:val="24"/>
          <w:u w:val="single"/>
          <w14:textFill>
            <w14:solidFill>
              <w14:schemeClr w14:val="tx1"/>
            </w14:solidFill>
          </w14:textFill>
        </w:rPr>
        <w:t>年</w:t>
      </w:r>
      <w:r>
        <w:rPr>
          <w:rFonts w:hint="eastAsia" w:ascii="宋体" w:hAnsi="宋体" w:cs="宋体"/>
          <w:bCs/>
          <w:color w:val="000000" w:themeColor="text1"/>
          <w:sz w:val="24"/>
          <w:szCs w:val="24"/>
          <w:u w:val="single"/>
          <w:lang w:val="en-US" w:eastAsia="zh-CN"/>
          <w14:textFill>
            <w14:solidFill>
              <w14:schemeClr w14:val="tx1"/>
            </w14:solidFill>
          </w14:textFill>
        </w:rPr>
        <w:t>12</w:t>
      </w:r>
      <w:r>
        <w:rPr>
          <w:rFonts w:hint="eastAsia" w:ascii="宋体" w:hAnsi="宋体" w:cs="宋体"/>
          <w:bCs/>
          <w:color w:val="000000" w:themeColor="text1"/>
          <w:sz w:val="24"/>
          <w:szCs w:val="24"/>
          <w:u w:val="single"/>
          <w14:textFill>
            <w14:solidFill>
              <w14:schemeClr w14:val="tx1"/>
            </w14:solidFill>
          </w14:textFill>
        </w:rPr>
        <w:t>月</w:t>
      </w:r>
      <w:r>
        <w:rPr>
          <w:rFonts w:hint="eastAsia" w:ascii="宋体" w:hAnsi="宋体" w:cs="宋体"/>
          <w:bCs/>
          <w:color w:val="000000" w:themeColor="text1"/>
          <w:sz w:val="24"/>
          <w:szCs w:val="24"/>
          <w:u w:val="single"/>
          <w:lang w:val="en-US" w:eastAsia="zh-CN"/>
          <w14:textFill>
            <w14:solidFill>
              <w14:schemeClr w14:val="tx1"/>
            </w14:solidFill>
          </w14:textFill>
        </w:rPr>
        <w:t>22</w:t>
      </w:r>
      <w:r>
        <w:rPr>
          <w:rFonts w:hint="eastAsia" w:ascii="宋体" w:hAnsi="宋体" w:cs="宋体"/>
          <w:bCs/>
          <w:color w:val="000000" w:themeColor="text1"/>
          <w:sz w:val="24"/>
          <w:szCs w:val="24"/>
          <w:u w:val="single"/>
          <w14:textFill>
            <w14:solidFill>
              <w14:schemeClr w14:val="tx1"/>
            </w14:solidFill>
          </w14:textFill>
        </w:rPr>
        <w:t>日</w:t>
      </w:r>
      <w:r>
        <w:rPr>
          <w:rFonts w:hint="eastAsia" w:ascii="宋体" w:hAnsi="宋体" w:cs="宋体"/>
          <w:bCs/>
          <w:color w:val="000000" w:themeColor="text1"/>
          <w:sz w:val="24"/>
          <w:szCs w:val="24"/>
          <w:u w:val="single"/>
          <w:lang w:val="en-US" w:eastAsia="zh-CN"/>
          <w14:textFill>
            <w14:solidFill>
              <w14:schemeClr w14:val="tx1"/>
            </w14:solidFill>
          </w14:textFill>
        </w:rPr>
        <w:t>15</w:t>
      </w:r>
      <w:r>
        <w:rPr>
          <w:rFonts w:hint="eastAsia" w:ascii="宋体" w:hAnsi="宋体" w:cs="宋体"/>
          <w:bCs/>
          <w:color w:val="000000" w:themeColor="text1"/>
          <w:sz w:val="24"/>
          <w:szCs w:val="24"/>
          <w:u w:val="single"/>
          <w14:textFill>
            <w14:solidFill>
              <w14:schemeClr w14:val="tx1"/>
            </w14:solidFill>
          </w14:textFill>
        </w:rPr>
        <w:t>点00分</w:t>
      </w:r>
      <w:r>
        <w:rPr>
          <w:rFonts w:hint="eastAsia" w:ascii="宋体" w:hAnsi="宋体" w:cs="宋体"/>
          <w:color w:val="000000" w:themeColor="text1"/>
          <w:sz w:val="24"/>
          <w:szCs w:val="24"/>
          <w14:textFill>
            <w14:solidFill>
              <w14:schemeClr w14:val="tx1"/>
            </w14:solidFill>
          </w14:textFill>
        </w:rPr>
        <w:t>（北京时间）</w:t>
      </w:r>
    </w:p>
    <w:p>
      <w:pPr>
        <w:adjustRightInd w:val="0"/>
        <w:snapToGrid w:val="0"/>
        <w:spacing w:line="336"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地点：</w:t>
      </w:r>
      <w:r>
        <w:rPr>
          <w:rFonts w:hint="eastAsia" w:ascii="宋体" w:hAnsi="宋体"/>
          <w:b/>
          <w:bCs/>
          <w:sz w:val="24"/>
        </w:rPr>
        <w:t>投标文件压缩打包加密后发至采购人指定邮箱：</w:t>
      </w:r>
      <w:r>
        <w:rPr>
          <w:rFonts w:hint="eastAsia" w:ascii="宋体" w:hAnsi="宋体"/>
          <w:b/>
          <w:bCs/>
          <w:sz w:val="24"/>
          <w:lang w:val="en-US" w:eastAsia="zh-CN"/>
        </w:rPr>
        <w:t>342178173</w:t>
      </w:r>
      <w:r>
        <w:rPr>
          <w:rFonts w:hint="eastAsia" w:ascii="宋体" w:hAnsi="宋体"/>
          <w:b/>
          <w:bCs/>
          <w:sz w:val="24"/>
        </w:rPr>
        <w:t>@qq.com</w:t>
      </w:r>
      <w:r>
        <w:rPr>
          <w:rFonts w:hint="eastAsia" w:ascii="宋体" w:hAnsi="宋体"/>
          <w:b/>
          <w:bCs/>
          <w:sz w:val="24"/>
          <w:lang w:eastAsia="zh-CN"/>
        </w:rPr>
        <w:t>，</w:t>
      </w:r>
      <w:r>
        <w:rPr>
          <w:rFonts w:hint="eastAsia" w:ascii="宋体" w:hAnsi="宋体"/>
          <w:b/>
          <w:bCs/>
          <w:sz w:val="24"/>
        </w:rPr>
        <w:t>腾讯会议不见面网上开标，详见招标文件第二章招标人须知。</w:t>
      </w:r>
    </w:p>
    <w:p>
      <w:pPr>
        <w:pStyle w:val="3"/>
        <w:tabs>
          <w:tab w:val="left" w:pos="0"/>
          <w:tab w:val="left" w:pos="3165"/>
          <w:tab w:val="center" w:pos="4153"/>
        </w:tabs>
        <w:autoSpaceDE w:val="0"/>
        <w:autoSpaceDN w:val="0"/>
        <w:adjustRightInd w:val="0"/>
        <w:snapToGrid w:val="0"/>
        <w:spacing w:line="360" w:lineRule="auto"/>
        <w:ind w:firstLine="482" w:firstLineChars="200"/>
        <w:jc w:val="left"/>
        <w:rPr>
          <w:rFonts w:ascii="宋体" w:hAnsi="宋体" w:eastAsia="宋体" w:cs="宋体"/>
          <w:b/>
          <w:bCs/>
          <w:color w:val="000000" w:themeColor="text1"/>
          <w:sz w:val="24"/>
          <w:szCs w:val="24"/>
          <w14:textFill>
            <w14:solidFill>
              <w14:schemeClr w14:val="tx1"/>
            </w14:solidFill>
          </w14:textFill>
        </w:rPr>
      </w:pPr>
      <w:bookmarkStart w:id="31" w:name="_Toc12763"/>
      <w:bookmarkStart w:id="32" w:name="_Toc35393625"/>
      <w:bookmarkStart w:id="33" w:name="_Toc28359007"/>
      <w:bookmarkStart w:id="34" w:name="_Toc28359084"/>
      <w:bookmarkStart w:id="35" w:name="_Toc35393794"/>
      <w:r>
        <w:rPr>
          <w:rFonts w:hint="eastAsia" w:ascii="宋体" w:hAnsi="宋体" w:eastAsia="宋体" w:cs="宋体"/>
          <w:b/>
          <w:bCs/>
          <w:color w:val="000000" w:themeColor="text1"/>
          <w:sz w:val="24"/>
          <w:szCs w:val="24"/>
          <w14:textFill>
            <w14:solidFill>
              <w14:schemeClr w14:val="tx1"/>
            </w14:solidFill>
          </w14:textFill>
        </w:rPr>
        <w:t>五、公告期限</w:t>
      </w:r>
      <w:bookmarkEnd w:id="31"/>
    </w:p>
    <w:p>
      <w:pPr>
        <w:adjustRightInd w:val="0"/>
        <w:snapToGrid w:val="0"/>
        <w:spacing w:line="360" w:lineRule="auto"/>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自本公告发布之日起5个工作日。</w:t>
      </w:r>
    </w:p>
    <w:bookmarkEnd w:id="32"/>
    <w:bookmarkEnd w:id="33"/>
    <w:bookmarkEnd w:id="34"/>
    <w:bookmarkEnd w:id="35"/>
    <w:p>
      <w:pPr>
        <w:pStyle w:val="3"/>
        <w:tabs>
          <w:tab w:val="left" w:pos="0"/>
          <w:tab w:val="left" w:pos="3165"/>
          <w:tab w:val="center" w:pos="4153"/>
        </w:tabs>
        <w:autoSpaceDE w:val="0"/>
        <w:autoSpaceDN w:val="0"/>
        <w:adjustRightInd w:val="0"/>
        <w:snapToGrid w:val="0"/>
        <w:spacing w:line="360" w:lineRule="auto"/>
        <w:ind w:firstLine="482" w:firstLineChars="200"/>
        <w:jc w:val="left"/>
        <w:rPr>
          <w:rFonts w:ascii="宋体" w:hAnsi="宋体" w:eastAsia="宋体" w:cs="宋体"/>
          <w:b/>
          <w:bCs/>
          <w:color w:val="000000" w:themeColor="text1"/>
          <w:sz w:val="24"/>
          <w:szCs w:val="24"/>
          <w14:textFill>
            <w14:solidFill>
              <w14:schemeClr w14:val="tx1"/>
            </w14:solidFill>
          </w14:textFill>
        </w:rPr>
      </w:pPr>
      <w:bookmarkStart w:id="36" w:name="_Toc35393795"/>
      <w:bookmarkStart w:id="37" w:name="_Toc21328"/>
      <w:bookmarkStart w:id="38" w:name="_Toc35393626"/>
      <w:bookmarkStart w:id="39" w:name="_Toc28359008"/>
      <w:bookmarkStart w:id="40" w:name="_Toc28359085"/>
      <w:bookmarkStart w:id="41" w:name="_Toc35393627"/>
      <w:bookmarkStart w:id="42" w:name="_Toc35393796"/>
      <w:r>
        <w:rPr>
          <w:rFonts w:hint="eastAsia" w:ascii="宋体" w:hAnsi="宋体" w:eastAsia="宋体" w:cs="宋体"/>
          <w:b/>
          <w:bCs/>
          <w:color w:val="000000" w:themeColor="text1"/>
          <w:sz w:val="24"/>
          <w:szCs w:val="24"/>
          <w14:textFill>
            <w14:solidFill>
              <w14:schemeClr w14:val="tx1"/>
            </w14:solidFill>
          </w14:textFill>
        </w:rPr>
        <w:t>六、其他补充事宜</w:t>
      </w:r>
      <w:bookmarkEnd w:id="36"/>
      <w:bookmarkEnd w:id="37"/>
      <w:bookmarkEnd w:id="38"/>
    </w:p>
    <w:p>
      <w:pPr>
        <w:adjustRightInd w:val="0"/>
        <w:snapToGrid w:val="0"/>
        <w:spacing w:line="336" w:lineRule="auto"/>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(一)因疫情防控需要，为确保校园安全，投标人须持有48小时内核酸检测阴性证明进入盐城工业职业技术学院校区时应服从下列疫情防控措施：</w:t>
      </w:r>
    </w:p>
    <w:p>
      <w:pPr>
        <w:adjustRightInd w:val="0"/>
        <w:snapToGrid w:val="0"/>
        <w:spacing w:line="336" w:lineRule="auto"/>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（1）投标前10天内与确诊/疑似病例或无症状感染者有密切接触的人员，以及与密切接触者接触的次密切接触者，一律不得进校。</w:t>
      </w:r>
    </w:p>
    <w:p>
      <w:pPr>
        <w:adjustRightInd w:val="0"/>
        <w:snapToGrid w:val="0"/>
        <w:spacing w:line="336" w:lineRule="auto"/>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（2）投标前10天内接触过境外归国人员（未解除隔离的），按次密切接触者处置，一律不得进校。</w:t>
      </w:r>
    </w:p>
    <w:p>
      <w:pPr>
        <w:adjustRightInd w:val="0"/>
        <w:snapToGrid w:val="0"/>
        <w:spacing w:line="336" w:lineRule="auto"/>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（3）投标前7天内有疫情中高风险地区（以开标前一日权威发布的疫情风险等级区域划分为依据）旅居史的人员，一律不得进校。</w:t>
      </w:r>
    </w:p>
    <w:p>
      <w:pPr>
        <w:adjustRightInd w:val="0"/>
        <w:snapToGrid w:val="0"/>
        <w:spacing w:line="336" w:lineRule="auto"/>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4）投标前7天内有中高风险地区所在设区市的其他低风险地区旅居史的人员，须持有48小时内核酸检测阴性证明，或者能够出示包括48小时内核酸检测阴性证明的健康码。如投标前教育行政部门和盐城市疫情防控部门有具体防疫要求，则按最新要求执行，请投标人及时关注相关信息。</w:t>
      </w:r>
    </w:p>
    <w:p>
      <w:pPr>
        <w:adjustRightInd w:val="0"/>
        <w:snapToGrid w:val="0"/>
        <w:spacing w:line="336" w:lineRule="auto"/>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Theme="minorEastAsia" w:hAnsiTheme="minorEastAsia" w:eastAsiaTheme="minorEastAsia" w:cstheme="minorEastAsia"/>
          <w:color w:val="000000" w:themeColor="text1"/>
          <w:sz w:val="24"/>
          <w:szCs w:val="24"/>
          <w14:textFill>
            <w14:solidFill>
              <w14:schemeClr w14:val="tx1"/>
            </w14:solidFill>
          </w14:textFill>
        </w:rPr>
        <w:t>（5）投标前7天内出现发热或呼吸道症状的人员，经当地医院就诊治疗，排除新</w:t>
      </w:r>
      <w:r>
        <w:rPr>
          <w:rStyle w:val="115"/>
          <w:rFonts w:hint="eastAsia" w:ascii="宋体" w:hAnsi="宋体" w:cs="宋体"/>
          <w:color w:val="000000" w:themeColor="text1"/>
          <w:sz w:val="24"/>
          <w:szCs w:val="24"/>
          <w14:textFill>
            <w14:solidFill>
              <w14:schemeClr w14:val="tx1"/>
            </w14:solidFill>
          </w14:textFill>
        </w:rPr>
        <w:t>冠病毒感染并在身体康复后，须持有48小时内核酸检测阴性证明，或者能够出示包括48小时内核酸检测阴性证明的健康码。</w:t>
      </w:r>
    </w:p>
    <w:p>
      <w:pPr>
        <w:adjustRightInd w:val="0"/>
        <w:snapToGrid w:val="0"/>
        <w:spacing w:line="336" w:lineRule="auto"/>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6）投标人进入校园前，须在学校东门外相关工作人员处进行信息实名登记，主动出示有效“健康码”（非绿色健康码拒绝进入校园）和“行程码”，并接受体温测量（如体温≥37.3度一律不得进校园），符合要求方可进入。</w:t>
      </w:r>
    </w:p>
    <w:p>
      <w:pPr>
        <w:adjustRightInd w:val="0"/>
        <w:snapToGrid w:val="0"/>
        <w:spacing w:line="336" w:lineRule="auto"/>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（7）投标人从东门进出，车辆一律不得进入校园（如确因提供样品需要，经同意后可进校园，服从管理，在指定位置停放）。</w:t>
      </w:r>
    </w:p>
    <w:p>
      <w:pPr>
        <w:adjustRightInd w:val="0"/>
        <w:snapToGrid w:val="0"/>
        <w:spacing w:line="336" w:lineRule="auto"/>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（8）各投标项目授权代表限1人进入校园，项目授权代表进入校园时须全程佩戴口罩，做好手部消毒及投标文件等消毒防护工作。</w:t>
      </w:r>
    </w:p>
    <w:p>
      <w:pPr>
        <w:adjustRightInd w:val="0"/>
        <w:snapToGrid w:val="0"/>
        <w:spacing w:line="336" w:lineRule="auto"/>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adjustRightInd w:val="0"/>
        <w:snapToGrid w:val="0"/>
        <w:spacing w:line="336" w:lineRule="auto"/>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（10）投标人未如实报告个人信息，承担相应责任和法律后果，引发问题学校可取消其中标资格。</w:t>
      </w:r>
    </w:p>
    <w:p>
      <w:pPr>
        <w:adjustRightInd w:val="0"/>
        <w:snapToGrid w:val="0"/>
        <w:spacing w:line="336" w:lineRule="auto"/>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请各投标人预留好相应时间，配合做好上述管控措施。</w:t>
      </w:r>
    </w:p>
    <w:p>
      <w:pPr>
        <w:adjustRightInd w:val="0"/>
        <w:snapToGrid w:val="0"/>
        <w:spacing w:line="336" w:lineRule="auto"/>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（二）投标文件制作份数要求：正本份数：1份，副本份数：4份。</w:t>
      </w:r>
    </w:p>
    <w:p>
      <w:pPr>
        <w:snapToGrid w:val="0"/>
        <w:spacing w:line="360" w:lineRule="auto"/>
        <w:ind w:firstLine="482"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七、本项目投标保证金</w:t>
      </w:r>
    </w:p>
    <w:p>
      <w:pPr>
        <w:pStyle w:val="118"/>
        <w:tabs>
          <w:tab w:val="left" w:pos="0"/>
          <w:tab w:val="left" w:pos="3165"/>
          <w:tab w:val="center" w:pos="4153"/>
        </w:tabs>
        <w:snapToGrid w:val="0"/>
        <w:spacing w:line="360" w:lineRule="auto"/>
        <w:ind w:firstLine="480" w:firstLineChars="200"/>
        <w:jc w:val="left"/>
        <w:rPr>
          <w:rFonts w:ascii="宋体" w:hAnsi="宋体" w:eastAsia="宋体" w:cs="宋体"/>
          <w:color w:val="000000" w:themeColor="text1"/>
          <w14:textFill>
            <w14:solidFill>
              <w14:schemeClr w14:val="tx1"/>
            </w14:solidFill>
          </w14:textFill>
        </w:rPr>
      </w:pPr>
      <w:r>
        <w:rPr>
          <w:rStyle w:val="115"/>
          <w:rFonts w:hint="eastAsia" w:ascii="宋体" w:hAnsi="宋体" w:eastAsia="宋体" w:cs="宋体"/>
          <w:color w:val="000000" w:themeColor="text1"/>
          <w:sz w:val="24"/>
          <w:szCs w:val="24"/>
          <w14:textFill>
            <w14:solidFill>
              <w14:schemeClr w14:val="tx1"/>
            </w14:solidFill>
          </w14:textFill>
        </w:rPr>
        <w:t>根据江苏省财政厅及盐财购〔2020〕11号文件关于取消政府采购投标保证金的规定，本采购项目投标人无需在投标截止时间之前交纳（提交）投标保证金。</w:t>
      </w:r>
    </w:p>
    <w:p>
      <w:pPr>
        <w:pStyle w:val="3"/>
        <w:tabs>
          <w:tab w:val="left" w:pos="0"/>
          <w:tab w:val="left" w:pos="3165"/>
          <w:tab w:val="center" w:pos="4153"/>
        </w:tabs>
        <w:autoSpaceDE w:val="0"/>
        <w:autoSpaceDN w:val="0"/>
        <w:adjustRightInd w:val="0"/>
        <w:spacing w:line="460" w:lineRule="exact"/>
        <w:ind w:firstLine="482" w:firstLineChars="200"/>
        <w:jc w:val="left"/>
        <w:rPr>
          <w:rFonts w:ascii="宋体" w:hAnsi="宋体" w:eastAsia="宋体" w:cs="宋体"/>
          <w:b/>
          <w:bCs/>
          <w:color w:val="000000" w:themeColor="text1"/>
          <w:sz w:val="24"/>
          <w:szCs w:val="24"/>
          <w14:textFill>
            <w14:solidFill>
              <w14:schemeClr w14:val="tx1"/>
            </w14:solidFill>
          </w14:textFill>
        </w:rPr>
      </w:pPr>
      <w:bookmarkStart w:id="43" w:name="_Toc19826"/>
      <w:r>
        <w:rPr>
          <w:rFonts w:hint="eastAsia" w:ascii="宋体" w:hAnsi="宋体" w:eastAsia="宋体" w:cs="宋体"/>
          <w:b/>
          <w:bCs/>
          <w:color w:val="000000" w:themeColor="text1"/>
          <w:sz w:val="24"/>
          <w:szCs w:val="24"/>
          <w14:textFill>
            <w14:solidFill>
              <w14:schemeClr w14:val="tx1"/>
            </w14:solidFill>
          </w14:textFill>
        </w:rPr>
        <w:t>八、对本次招标提出询问，请按以下方式联系。</w:t>
      </w:r>
      <w:bookmarkEnd w:id="39"/>
      <w:bookmarkEnd w:id="40"/>
      <w:bookmarkEnd w:id="41"/>
      <w:bookmarkEnd w:id="42"/>
      <w:bookmarkEnd w:id="43"/>
    </w:p>
    <w:p>
      <w:pPr>
        <w:spacing w:line="460" w:lineRule="exact"/>
        <w:ind w:firstLine="480" w:firstLineChars="200"/>
        <w:rPr>
          <w:rFonts w:ascii="宋体" w:hAnsi="宋体" w:cs="宋体"/>
          <w:color w:val="000000" w:themeColor="text1"/>
          <w:sz w:val="24"/>
          <w:szCs w:val="24"/>
          <w14:textFill>
            <w14:solidFill>
              <w14:schemeClr w14:val="tx1"/>
            </w14:solidFill>
          </w14:textFill>
        </w:rPr>
      </w:pPr>
      <w:bookmarkStart w:id="44" w:name="_Toc28359019"/>
      <w:bookmarkStart w:id="45" w:name="_Toc28359096"/>
      <w:bookmarkStart w:id="46" w:name="_Toc35393637"/>
      <w:bookmarkStart w:id="47" w:name="_Toc35393806"/>
      <w:r>
        <w:rPr>
          <w:rFonts w:hint="eastAsia" w:ascii="宋体" w:hAnsi="宋体" w:cs="宋体"/>
          <w:color w:val="000000" w:themeColor="text1"/>
          <w:sz w:val="24"/>
          <w:szCs w:val="24"/>
          <w14:textFill>
            <w14:solidFill>
              <w14:schemeClr w14:val="tx1"/>
            </w14:solidFill>
          </w14:textFill>
        </w:rPr>
        <w:t>1.采购人信息</w:t>
      </w:r>
      <w:bookmarkEnd w:id="44"/>
      <w:bookmarkEnd w:id="45"/>
      <w:bookmarkEnd w:id="46"/>
      <w:bookmarkEnd w:id="47"/>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名称：盐城工业职业技术学院</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地址：</w:t>
      </w:r>
      <w:r>
        <w:rPr>
          <w:rStyle w:val="115"/>
          <w:rFonts w:hint="eastAsia" w:ascii="宋体" w:hAnsi="宋体"/>
          <w:color w:val="000000" w:themeColor="text1"/>
          <w:sz w:val="24"/>
          <w:szCs w:val="24"/>
          <w14:textFill>
            <w14:solidFill>
              <w14:schemeClr w14:val="tx1"/>
            </w14:solidFill>
          </w14:textFill>
        </w:rPr>
        <w:t>盐城市解放南路285号</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联系人：赵老师             </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联系电话：0515-88588707</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bookmarkStart w:id="48" w:name="_Toc35393638"/>
      <w:bookmarkStart w:id="49" w:name="_Toc28359097"/>
      <w:bookmarkStart w:id="50" w:name="_Toc28359020"/>
      <w:bookmarkStart w:id="51" w:name="_Toc35393807"/>
      <w:r>
        <w:rPr>
          <w:rFonts w:hint="eastAsia" w:ascii="宋体" w:hAnsi="宋体" w:cs="宋体"/>
          <w:color w:val="000000" w:themeColor="text1"/>
          <w:sz w:val="24"/>
          <w:szCs w:val="24"/>
          <w14:textFill>
            <w14:solidFill>
              <w14:schemeClr w14:val="tx1"/>
            </w14:solidFill>
          </w14:textFill>
        </w:rPr>
        <w:t>2.采购代理机构信息</w:t>
      </w:r>
      <w:bookmarkEnd w:id="48"/>
      <w:bookmarkEnd w:id="49"/>
      <w:bookmarkEnd w:id="50"/>
      <w:bookmarkEnd w:id="51"/>
    </w:p>
    <w:p>
      <w:pPr>
        <w:spacing w:line="460" w:lineRule="exact"/>
        <w:ind w:firstLine="480" w:firstLineChars="200"/>
        <w:rPr>
          <w:rFonts w:ascii="宋体" w:hAnsi="宋体" w:cs="宋体"/>
          <w:color w:val="000000" w:themeColor="text1"/>
          <w:sz w:val="24"/>
          <w:szCs w:val="24"/>
          <w14:textFill>
            <w14:solidFill>
              <w14:schemeClr w14:val="tx1"/>
            </w14:solidFill>
          </w14:textFill>
        </w:rPr>
      </w:pPr>
      <w:bookmarkStart w:id="52" w:name="_Toc35393639"/>
      <w:bookmarkStart w:id="53" w:name="_Toc35393808"/>
      <w:bookmarkStart w:id="54" w:name="_Toc28359098"/>
      <w:bookmarkStart w:id="55" w:name="_Toc28359021"/>
      <w:r>
        <w:rPr>
          <w:rFonts w:hint="eastAsia" w:ascii="宋体" w:hAnsi="宋体" w:cs="宋体"/>
          <w:color w:val="000000" w:themeColor="text1"/>
          <w:sz w:val="24"/>
          <w:szCs w:val="24"/>
          <w14:textFill>
            <w14:solidFill>
              <w14:schemeClr w14:val="tx1"/>
            </w14:solidFill>
          </w14:textFill>
        </w:rPr>
        <w:t>名称：江苏全盛工程造价事务所有限公司</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地址：盐城市人民南路华邦国际东厦A区22楼2203室</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联系人：朱玲娜            </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联系电话：18751450656</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3.项目联系方式</w:t>
      </w:r>
      <w:bookmarkEnd w:id="52"/>
      <w:bookmarkEnd w:id="53"/>
      <w:bookmarkEnd w:id="54"/>
      <w:bookmarkEnd w:id="55"/>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项目联系人：胡卫卫 陈安柱 </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联系电话：19851580260 13961982775</w:t>
      </w:r>
    </w:p>
    <w:p>
      <w:pPr>
        <w:tabs>
          <w:tab w:val="left" w:pos="900"/>
        </w:tabs>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对项目需求部分的询问、质疑请向项目联系人提出，由项目联系人答复</w:t>
      </w:r>
      <w:bookmarkEnd w:id="2"/>
      <w:bookmarkEnd w:id="3"/>
      <w:bookmarkEnd w:id="4"/>
      <w:bookmarkEnd w:id="5"/>
      <w:bookmarkEnd w:id="6"/>
      <w:bookmarkStart w:id="56" w:name="_Toc513029242"/>
      <w:bookmarkStart w:id="57" w:name="_Toc479757207"/>
      <w:bookmarkStart w:id="58" w:name="_Toc20823314"/>
      <w:bookmarkStart w:id="59" w:name="_Toc120614221"/>
      <w:bookmarkStart w:id="60" w:name="_Toc16938558"/>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
        <w:spacing w:before="0" w:after="0" w:line="240" w:lineRule="auto"/>
        <w:jc w:val="both"/>
        <w:rPr>
          <w:rFonts w:ascii="宋体" w:hAnsi="宋体" w:eastAsia="宋体" w:cs="宋体"/>
          <w:color w:val="000000" w:themeColor="text1"/>
          <w14:textFill>
            <w14:solidFill>
              <w14:schemeClr w14:val="tx1"/>
            </w14:solidFill>
          </w14:textFill>
        </w:rPr>
      </w:pPr>
      <w:bookmarkStart w:id="61" w:name="_Toc8631"/>
    </w:p>
    <w:p>
      <w:pPr>
        <w:pStyle w:val="4"/>
        <w:spacing w:before="0" w:after="0" w:line="240" w:lineRule="auto"/>
        <w:ind w:firstLine="2209" w:firstLineChars="500"/>
        <w:jc w:val="both"/>
        <w:rPr>
          <w:rFonts w:ascii="宋体" w:hAnsi="宋体" w:eastAsia="宋体" w:cs="宋体"/>
          <w:b w:val="0"/>
          <w:bCs w:val="0"/>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第二章  </w:t>
      </w:r>
      <w:bookmarkStart w:id="62" w:name="_Toc20823274"/>
      <w:bookmarkStart w:id="63" w:name="_Toc120614213"/>
      <w:bookmarkStart w:id="64" w:name="_Toc16938518"/>
      <w:bookmarkStart w:id="65" w:name="_Toc513029202"/>
      <w:r>
        <w:rPr>
          <w:rFonts w:hint="eastAsia" w:ascii="宋体" w:hAnsi="宋体" w:eastAsia="宋体" w:cs="宋体"/>
          <w:color w:val="000000" w:themeColor="text1"/>
          <w14:textFill>
            <w14:solidFill>
              <w14:schemeClr w14:val="tx1"/>
            </w14:solidFill>
          </w14:textFill>
        </w:rPr>
        <w:t>投标人须知</w:t>
      </w:r>
      <w:bookmarkEnd w:id="61"/>
      <w:bookmarkEnd w:id="62"/>
      <w:bookmarkEnd w:id="63"/>
      <w:bookmarkEnd w:id="64"/>
      <w:bookmarkEnd w:id="65"/>
    </w:p>
    <w:p>
      <w:pPr>
        <w:pStyle w:val="5"/>
        <w:spacing w:before="0" w:after="0" w:line="440" w:lineRule="exact"/>
        <w:ind w:firstLine="482" w:firstLineChars="200"/>
        <w:rPr>
          <w:rFonts w:ascii="宋体" w:hAnsi="宋体" w:cs="宋体"/>
          <w:color w:val="000000" w:themeColor="text1"/>
          <w:sz w:val="24"/>
          <w:szCs w:val="24"/>
          <w14:textFill>
            <w14:solidFill>
              <w14:schemeClr w14:val="tx1"/>
            </w14:solidFill>
          </w14:textFill>
        </w:rPr>
      </w:pPr>
      <w:bookmarkStart w:id="66" w:name="_Toc513029203"/>
      <w:bookmarkStart w:id="67" w:name="_Toc20823275"/>
      <w:bookmarkStart w:id="68" w:name="_Toc16938519"/>
      <w:bookmarkStart w:id="69" w:name="_Toc120614214"/>
      <w:r>
        <w:rPr>
          <w:rFonts w:hint="eastAsia" w:ascii="宋体" w:hAnsi="宋体" w:cs="宋体"/>
          <w:color w:val="000000" w:themeColor="text1"/>
          <w:sz w:val="24"/>
          <w:szCs w:val="24"/>
          <w14:textFill>
            <w14:solidFill>
              <w14:schemeClr w14:val="tx1"/>
            </w14:solidFill>
          </w14:textFill>
        </w:rPr>
        <w:t>一、总则</w:t>
      </w:r>
      <w:bookmarkEnd w:id="66"/>
      <w:bookmarkEnd w:id="67"/>
      <w:bookmarkEnd w:id="68"/>
      <w:bookmarkEnd w:id="69"/>
    </w:p>
    <w:p>
      <w:pPr>
        <w:pStyle w:val="2"/>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70" w:name="_Hlt16619475"/>
      <w:bookmarkEnd w:id="70"/>
      <w:bookmarkStart w:id="71" w:name="_Toc458694821"/>
      <w:bookmarkStart w:id="72" w:name="_Toc16938520"/>
      <w:bookmarkStart w:id="73" w:name="_Toc20823276"/>
      <w:bookmarkStart w:id="74" w:name="_Toc513029204"/>
      <w:r>
        <w:rPr>
          <w:rFonts w:hint="eastAsia" w:ascii="宋体" w:hAnsi="宋体" w:cs="宋体"/>
          <w:b w:val="0"/>
          <w:color w:val="000000" w:themeColor="text1"/>
          <w:sz w:val="24"/>
          <w:szCs w:val="24"/>
          <w14:textFill>
            <w14:solidFill>
              <w14:schemeClr w14:val="tx1"/>
            </w14:solidFill>
          </w14:textFill>
        </w:rPr>
        <w:t>1</w:t>
      </w:r>
      <w:bookmarkEnd w:id="71"/>
      <w:r>
        <w:rPr>
          <w:rFonts w:hint="eastAsia" w:ascii="宋体" w:hAnsi="宋体" w:cs="宋体"/>
          <w:b w:val="0"/>
          <w:color w:val="000000" w:themeColor="text1"/>
          <w:sz w:val="24"/>
          <w:szCs w:val="24"/>
          <w14:textFill>
            <w14:solidFill>
              <w14:schemeClr w14:val="tx1"/>
            </w14:solidFill>
          </w14:textFill>
        </w:rPr>
        <w:t>、招标方式</w:t>
      </w:r>
      <w:bookmarkEnd w:id="72"/>
      <w:bookmarkEnd w:id="73"/>
      <w:bookmarkEnd w:id="74"/>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 本次招标采取公开招标方式，本招标文件仅适用于招标公告中所述项目。</w:t>
      </w:r>
    </w:p>
    <w:p>
      <w:pPr>
        <w:pStyle w:val="2"/>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75" w:name="_Toc20823277"/>
      <w:bookmarkStart w:id="76" w:name="_Toc16938521"/>
      <w:bookmarkStart w:id="77" w:name="_Toc513029205"/>
      <w:r>
        <w:rPr>
          <w:rFonts w:hint="eastAsia" w:ascii="宋体" w:hAnsi="宋体" w:cs="宋体"/>
          <w:b w:val="0"/>
          <w:color w:val="000000" w:themeColor="text1"/>
          <w:sz w:val="24"/>
          <w:szCs w:val="24"/>
          <w14:textFill>
            <w14:solidFill>
              <w14:schemeClr w14:val="tx1"/>
            </w14:solidFill>
          </w14:textFill>
        </w:rPr>
        <w:t>2、合格的投标人</w:t>
      </w:r>
      <w:bookmarkEnd w:id="75"/>
      <w:bookmarkEnd w:id="76"/>
      <w:bookmarkEnd w:id="77"/>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2.1满足招标公告中供应商的资格要求的规定。</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 满足本文件实质性条款的规定。</w:t>
      </w:r>
    </w:p>
    <w:p>
      <w:pPr>
        <w:pStyle w:val="2"/>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78" w:name="_Toc16938522"/>
      <w:bookmarkStart w:id="79" w:name="_Toc20823278"/>
      <w:bookmarkStart w:id="80" w:name="_Toc513029206"/>
      <w:r>
        <w:rPr>
          <w:rFonts w:hint="eastAsia" w:ascii="宋体" w:hAnsi="宋体" w:cs="宋体"/>
          <w:b w:val="0"/>
          <w:color w:val="000000" w:themeColor="text1"/>
          <w:sz w:val="24"/>
          <w:szCs w:val="24"/>
          <w14:textFill>
            <w14:solidFill>
              <w14:schemeClr w14:val="tx1"/>
            </w14:solidFill>
          </w14:textFill>
        </w:rPr>
        <w:t>3、适用法律</w:t>
      </w:r>
      <w:bookmarkEnd w:id="78"/>
      <w:bookmarkEnd w:id="79"/>
      <w:bookmarkEnd w:id="80"/>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 本次招标及由此产生的合同受中华人民共和国有关的法律法规制约和保护。</w:t>
      </w:r>
    </w:p>
    <w:p>
      <w:pPr>
        <w:pStyle w:val="2"/>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81" w:name="_Toc462564067"/>
      <w:bookmarkStart w:id="82" w:name="_Toc513029207"/>
      <w:bookmarkStart w:id="83" w:name="_Toc20823279"/>
      <w:bookmarkStart w:id="84" w:name="_Toc16938523"/>
      <w:r>
        <w:rPr>
          <w:rFonts w:hint="eastAsia" w:ascii="宋体" w:hAnsi="宋体" w:cs="宋体"/>
          <w:b w:val="0"/>
          <w:color w:val="000000" w:themeColor="text1"/>
          <w:sz w:val="24"/>
          <w:szCs w:val="24"/>
          <w14:textFill>
            <w14:solidFill>
              <w14:schemeClr w14:val="tx1"/>
            </w14:solidFill>
          </w14:textFill>
        </w:rPr>
        <w:t>4、投标费用</w:t>
      </w:r>
      <w:bookmarkEnd w:id="81"/>
      <w:bookmarkEnd w:id="82"/>
      <w:bookmarkEnd w:id="83"/>
      <w:bookmarkEnd w:id="84"/>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4.1</w:t>
      </w:r>
      <w:r>
        <w:rPr>
          <w:rFonts w:hint="eastAsia" w:ascii="宋体" w:hAnsi="宋体" w:cs="宋体"/>
          <w:color w:val="000000" w:themeColor="text1"/>
          <w:sz w:val="24"/>
          <w:szCs w:val="24"/>
          <w14:textFill>
            <w14:solidFill>
              <w14:schemeClr w14:val="tx1"/>
            </w14:solidFill>
          </w14:textFill>
        </w:rPr>
        <w:t xml:space="preserve"> 投标人应自行承担所有与参加投标有关的费用，无论投标过程中的做法和结果如何，采购人及采购代理机构在任何情况下均无义务和责任承担这些费用。</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4.2本项目中标人与采购人签订合同前领取中标通知书时须向采购代理机构支付招标代理服务费，收费标准按中标价的1.5%×40%计取（如低于3000元的直接按3000元计取）；上述费用由各投标人在投标时自行综合考虑分摊含进投标报价中，且不得单列，采购人不再承担上述费用。</w:t>
      </w:r>
    </w:p>
    <w:p>
      <w:pPr>
        <w:pStyle w:val="2"/>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t>5、招标文件的约束力</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5.1</w:t>
      </w:r>
      <w:r>
        <w:rPr>
          <w:rFonts w:hint="eastAsia" w:ascii="宋体" w:hAnsi="宋体" w:cs="宋体"/>
          <w:color w:val="000000" w:themeColor="text1"/>
          <w:sz w:val="24"/>
          <w:szCs w:val="24"/>
          <w14:textFill>
            <w14:solidFill>
              <w14:schemeClr w14:val="tx1"/>
            </w14:solidFill>
          </w14:textFill>
        </w:rPr>
        <w:t xml:space="preserve"> 投标人一旦参加本项目采购活动，即被认为接受了本招标文件的规定和约束，并且视为自招标公告期限届满之日起知道或应当知道自身权益是否受到了损害。</w:t>
      </w:r>
    </w:p>
    <w:p>
      <w:pPr>
        <w:pStyle w:val="2"/>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t>6、招标文件的解释</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6.1 本招标文件由采购人或采购代理机构负责解释。</w:t>
      </w:r>
    </w:p>
    <w:p>
      <w:pPr>
        <w:pStyle w:val="5"/>
        <w:spacing w:before="0" w:after="0" w:line="440" w:lineRule="exact"/>
        <w:ind w:firstLine="482" w:firstLineChars="200"/>
        <w:rPr>
          <w:rFonts w:ascii="宋体" w:hAnsi="宋体" w:cs="宋体"/>
          <w:color w:val="000000" w:themeColor="text1"/>
          <w:sz w:val="24"/>
          <w:szCs w:val="24"/>
          <w14:textFill>
            <w14:solidFill>
              <w14:schemeClr w14:val="tx1"/>
            </w14:solidFill>
          </w14:textFill>
        </w:rPr>
      </w:pPr>
      <w:bookmarkStart w:id="85" w:name="_Toc20823281"/>
      <w:bookmarkStart w:id="86" w:name="_Toc16938525"/>
      <w:bookmarkStart w:id="87" w:name="_Toc513029209"/>
      <w:bookmarkStart w:id="88" w:name="_Toc120614215"/>
      <w:r>
        <w:rPr>
          <w:rFonts w:hint="eastAsia" w:ascii="宋体" w:hAnsi="宋体" w:cs="宋体"/>
          <w:color w:val="000000" w:themeColor="text1"/>
          <w:sz w:val="24"/>
          <w:szCs w:val="24"/>
          <w14:textFill>
            <w14:solidFill>
              <w14:schemeClr w14:val="tx1"/>
            </w14:solidFill>
          </w14:textFill>
        </w:rPr>
        <w:t>二、招标文件</w:t>
      </w:r>
      <w:bookmarkEnd w:id="85"/>
      <w:bookmarkEnd w:id="86"/>
      <w:bookmarkEnd w:id="87"/>
      <w:bookmarkEnd w:id="88"/>
    </w:p>
    <w:p>
      <w:pPr>
        <w:pStyle w:val="2"/>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89" w:name="_Toc513029210"/>
      <w:bookmarkStart w:id="90" w:name="_Toc16938526"/>
      <w:bookmarkStart w:id="91" w:name="_Toc20823282"/>
      <w:r>
        <w:rPr>
          <w:rFonts w:hint="eastAsia" w:ascii="宋体" w:hAnsi="宋体" w:cs="宋体"/>
          <w:b w:val="0"/>
          <w:color w:val="000000" w:themeColor="text1"/>
          <w:sz w:val="24"/>
          <w:szCs w:val="24"/>
          <w14:textFill>
            <w14:solidFill>
              <w14:schemeClr w14:val="tx1"/>
            </w14:solidFill>
          </w14:textFill>
        </w:rPr>
        <w:t>7、招标文件构成</w:t>
      </w:r>
      <w:bookmarkEnd w:id="89"/>
      <w:bookmarkEnd w:id="90"/>
      <w:bookmarkEnd w:id="91"/>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7.1</w:t>
      </w:r>
      <w:r>
        <w:rPr>
          <w:rFonts w:hint="eastAsia" w:ascii="宋体" w:hAnsi="宋体" w:cs="宋体"/>
          <w:color w:val="000000" w:themeColor="text1"/>
          <w:sz w:val="24"/>
          <w:szCs w:val="24"/>
          <w14:textFill>
            <w14:solidFill>
              <w14:schemeClr w14:val="tx1"/>
            </w14:solidFill>
          </w14:textFill>
        </w:rPr>
        <w:t xml:space="preserve"> 招标文件有以下部分组成：</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（1）招标公告</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（2）投标人须知</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（3）合同条款及格式</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（4）项目技术要求</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（5）评标方法与评标标准</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（6）投标文件格式</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请仔细检查招标文件是否齐全，如有缺漏请立即与采购人或采购代理机构联系解决。</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7.2</w:t>
      </w:r>
      <w:r>
        <w:rPr>
          <w:rFonts w:hint="eastAsia" w:ascii="宋体" w:hAnsi="宋体" w:cs="宋体"/>
          <w:color w:val="000000" w:themeColor="text1"/>
          <w:sz w:val="24"/>
          <w:szCs w:val="24"/>
          <w14:textFill>
            <w14:solidFill>
              <w14:schemeClr w14:val="tx1"/>
            </w14:solidFill>
          </w14:textFill>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2"/>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92" w:name="_Toc16938527"/>
      <w:bookmarkStart w:id="93" w:name="_Toc20823283"/>
      <w:bookmarkStart w:id="94" w:name="_Toc462564070"/>
      <w:bookmarkStart w:id="95" w:name="_Toc513029211"/>
      <w:r>
        <w:rPr>
          <w:rFonts w:hint="eastAsia" w:ascii="宋体" w:hAnsi="宋体" w:cs="宋体"/>
          <w:b w:val="0"/>
          <w:color w:val="000000" w:themeColor="text1"/>
          <w:sz w:val="24"/>
          <w:szCs w:val="24"/>
          <w14:textFill>
            <w14:solidFill>
              <w14:schemeClr w14:val="tx1"/>
            </w14:solidFill>
          </w14:textFill>
        </w:rPr>
        <w:t>8、招标文件的</w:t>
      </w:r>
      <w:bookmarkEnd w:id="92"/>
      <w:bookmarkEnd w:id="93"/>
      <w:bookmarkEnd w:id="94"/>
      <w:bookmarkEnd w:id="95"/>
      <w:r>
        <w:rPr>
          <w:rFonts w:hint="eastAsia" w:ascii="宋体" w:hAnsi="宋体" w:cs="宋体"/>
          <w:b w:val="0"/>
          <w:color w:val="000000" w:themeColor="text1"/>
          <w:sz w:val="24"/>
          <w:szCs w:val="24"/>
          <w14:textFill>
            <w14:solidFill>
              <w14:schemeClr w14:val="tx1"/>
            </w14:solidFill>
          </w14:textFill>
        </w:rPr>
        <w:t>询问</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8.1</w:t>
      </w:r>
      <w:r>
        <w:rPr>
          <w:rFonts w:hint="eastAsia" w:ascii="宋体" w:hAnsi="宋体" w:cs="宋体"/>
          <w:color w:val="000000" w:themeColor="text1"/>
          <w:sz w:val="24"/>
          <w:szCs w:val="24"/>
          <w14:textFill>
            <w14:solidFill>
              <w14:schemeClr w14:val="tx1"/>
            </w14:solidFill>
          </w14:textFill>
        </w:rPr>
        <w:t xml:space="preserve"> 任何要求对招标文件进行询问的投标人，应在投标截止日期</w:t>
      </w:r>
      <w:r>
        <w:rPr>
          <w:rFonts w:hint="eastAsia" w:ascii="宋体" w:hAnsi="宋体" w:cs="宋体"/>
          <w:b/>
          <w:color w:val="000000" w:themeColor="text1"/>
          <w:sz w:val="24"/>
          <w:szCs w:val="24"/>
          <w14:textFill>
            <w14:solidFill>
              <w14:schemeClr w14:val="tx1"/>
            </w14:solidFill>
          </w14:textFill>
        </w:rPr>
        <w:t>十日</w:t>
      </w:r>
      <w:r>
        <w:rPr>
          <w:rFonts w:hint="eastAsia" w:ascii="宋体" w:hAnsi="宋体" w:cs="宋体"/>
          <w:color w:val="000000" w:themeColor="text1"/>
          <w:sz w:val="24"/>
          <w:szCs w:val="24"/>
          <w14:textFill>
            <w14:solidFill>
              <w14:schemeClr w14:val="tx1"/>
            </w14:solidFill>
          </w14:textFill>
        </w:rPr>
        <w:t>前按招标公告中的通讯地址，向采购人或采购代理机构提出。</w:t>
      </w:r>
    </w:p>
    <w:p>
      <w:pPr>
        <w:pStyle w:val="2"/>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96" w:name="_Toc462564071"/>
      <w:bookmarkStart w:id="97" w:name="_Toc20823284"/>
      <w:bookmarkStart w:id="98" w:name="_Toc16938528"/>
      <w:bookmarkStart w:id="99" w:name="_Toc513029212"/>
      <w:r>
        <w:rPr>
          <w:rFonts w:hint="eastAsia" w:ascii="宋体" w:hAnsi="宋体" w:cs="宋体"/>
          <w:b w:val="0"/>
          <w:color w:val="000000" w:themeColor="text1"/>
          <w:sz w:val="24"/>
          <w:szCs w:val="24"/>
          <w14:textFill>
            <w14:solidFill>
              <w14:schemeClr w14:val="tx1"/>
            </w14:solidFill>
          </w14:textFill>
        </w:rPr>
        <w:t>9、招标文件的修改</w:t>
      </w:r>
      <w:bookmarkEnd w:id="96"/>
      <w:bookmarkEnd w:id="97"/>
      <w:bookmarkEnd w:id="98"/>
      <w:bookmarkEnd w:id="99"/>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9.1</w:t>
      </w:r>
      <w:r>
        <w:rPr>
          <w:rFonts w:hint="eastAsia" w:ascii="宋体" w:hAnsi="宋体" w:cs="宋体"/>
          <w:color w:val="000000" w:themeColor="text1"/>
          <w:sz w:val="24"/>
          <w:szCs w:val="24"/>
          <w14:textFill>
            <w14:solidFill>
              <w14:schemeClr w14:val="tx1"/>
            </w14:solidFill>
          </w14:textFill>
        </w:rPr>
        <w:t xml:space="preserve"> 在投标截止时间前，采购人或采购代理机构可以对招标文件进行修改。</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9.2</w:t>
      </w:r>
      <w:r>
        <w:rPr>
          <w:rFonts w:hint="eastAsia" w:ascii="宋体" w:hAnsi="宋体" w:cs="宋体"/>
          <w:color w:val="000000" w:themeColor="text1"/>
          <w:sz w:val="24"/>
          <w:szCs w:val="24"/>
          <w14:textFill>
            <w14:solidFill>
              <w14:schemeClr w14:val="tx1"/>
            </w14:solidFill>
          </w14:textFill>
        </w:rPr>
        <w:t>采购人或采购代理机构有权依法推迟投标截止日期和开标日期。</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9.3</w:t>
      </w:r>
      <w:r>
        <w:rPr>
          <w:rFonts w:hint="eastAsia" w:ascii="宋体" w:hAnsi="宋体" w:cs="宋体"/>
          <w:color w:val="000000" w:themeColor="text1"/>
          <w:sz w:val="24"/>
          <w:szCs w:val="24"/>
          <w14:textFill>
            <w14:solidFill>
              <w14:schemeClr w14:val="tx1"/>
            </w14:solidFill>
          </w14:textFill>
        </w:rPr>
        <w:t>招标文件的修改将在</w:t>
      </w:r>
      <w:r>
        <w:rPr>
          <w:rFonts w:hint="eastAsia" w:ascii="宋体" w:hAnsi="宋体" w:cs="宋体"/>
          <w:bCs/>
          <w:color w:val="000000" w:themeColor="text1"/>
          <w:sz w:val="24"/>
          <w:szCs w:val="24"/>
          <w14:textFill>
            <w14:solidFill>
              <w14:schemeClr w14:val="tx1"/>
            </w14:solidFill>
          </w14:textFill>
        </w:rPr>
        <w:t>盐城工业职业技术学院招标采购网</w:t>
      </w:r>
      <w:r>
        <w:rPr>
          <w:rFonts w:hint="eastAsia" w:ascii="宋体" w:hAnsi="宋体" w:cs="宋体"/>
          <w:color w:val="000000" w:themeColor="text1"/>
          <w:sz w:val="24"/>
          <w:szCs w:val="24"/>
          <w14:textFill>
            <w14:solidFill>
              <w14:schemeClr w14:val="tx1"/>
            </w14:solidFill>
          </w14:textFill>
        </w:rPr>
        <w:t>公布，补充文件将作为招标文件的组成部分，并对投标人具有约束力。</w:t>
      </w:r>
    </w:p>
    <w:p>
      <w:pPr>
        <w:pStyle w:val="5"/>
        <w:spacing w:before="0" w:after="0" w:line="440" w:lineRule="exact"/>
        <w:ind w:firstLine="482" w:firstLineChars="200"/>
        <w:rPr>
          <w:rFonts w:ascii="宋体" w:hAnsi="宋体" w:cs="宋体"/>
          <w:color w:val="000000" w:themeColor="text1"/>
          <w:sz w:val="24"/>
          <w:szCs w:val="24"/>
          <w14:textFill>
            <w14:solidFill>
              <w14:schemeClr w14:val="tx1"/>
            </w14:solidFill>
          </w14:textFill>
        </w:rPr>
      </w:pPr>
      <w:bookmarkStart w:id="100" w:name="_Toc16938529"/>
      <w:bookmarkStart w:id="101" w:name="_Toc20823285"/>
      <w:bookmarkStart w:id="102" w:name="_Toc513029213"/>
      <w:bookmarkStart w:id="103" w:name="_Toc120614216"/>
      <w:bookmarkStart w:id="104" w:name="_Toc462564072"/>
      <w:r>
        <w:rPr>
          <w:rFonts w:hint="eastAsia" w:ascii="宋体" w:hAnsi="宋体" w:cs="宋体"/>
          <w:color w:val="000000" w:themeColor="text1"/>
          <w:sz w:val="24"/>
          <w:szCs w:val="24"/>
          <w14:textFill>
            <w14:solidFill>
              <w14:schemeClr w14:val="tx1"/>
            </w14:solidFill>
          </w14:textFill>
        </w:rPr>
        <w:t>三、投标文件的编制</w:t>
      </w:r>
      <w:bookmarkEnd w:id="100"/>
      <w:bookmarkEnd w:id="101"/>
      <w:bookmarkEnd w:id="102"/>
      <w:bookmarkEnd w:id="103"/>
      <w:bookmarkEnd w:id="104"/>
    </w:p>
    <w:p>
      <w:pPr>
        <w:pStyle w:val="2"/>
        <w:spacing w:before="0" w:after="0" w:line="440" w:lineRule="exact"/>
        <w:ind w:firstLine="480" w:firstLineChars="200"/>
        <w:rPr>
          <w:rFonts w:ascii="宋体" w:hAnsi="宋体" w:cs="宋体"/>
          <w:color w:val="000000" w:themeColor="text1"/>
          <w:sz w:val="24"/>
          <w:szCs w:val="24"/>
          <w14:textFill>
            <w14:solidFill>
              <w14:schemeClr w14:val="tx1"/>
            </w14:solidFill>
          </w14:textFill>
        </w:rPr>
      </w:pPr>
      <w:bookmarkStart w:id="105" w:name="_Toc462564073"/>
      <w:bookmarkStart w:id="106" w:name="_Toc20823286"/>
      <w:bookmarkStart w:id="107" w:name="_Toc16938530"/>
      <w:bookmarkStart w:id="108" w:name="_Toc513029214"/>
      <w:r>
        <w:rPr>
          <w:rFonts w:hint="eastAsia" w:ascii="宋体" w:hAnsi="宋体" w:cs="宋体"/>
          <w:b w:val="0"/>
          <w:color w:val="000000" w:themeColor="text1"/>
          <w:sz w:val="24"/>
          <w:szCs w:val="24"/>
          <w14:textFill>
            <w14:solidFill>
              <w14:schemeClr w14:val="tx1"/>
            </w14:solidFill>
          </w14:textFill>
        </w:rPr>
        <w:t>10、投标文件的语言及度量衡单位</w:t>
      </w:r>
      <w:bookmarkEnd w:id="105"/>
      <w:bookmarkEnd w:id="106"/>
      <w:bookmarkEnd w:id="107"/>
      <w:bookmarkEnd w:id="108"/>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10.1</w:t>
      </w:r>
      <w:r>
        <w:rPr>
          <w:rFonts w:hint="eastAsia" w:ascii="宋体" w:hAnsi="宋体" w:cs="宋体"/>
          <w:color w:val="000000" w:themeColor="text1"/>
          <w:sz w:val="24"/>
          <w:szCs w:val="24"/>
          <w14:textFill>
            <w14:solidFill>
              <w14:schemeClr w14:val="tx1"/>
            </w14:solidFill>
          </w14:textFill>
        </w:rPr>
        <w:t xml:space="preserve"> 投标人提交的投标文件以及投标人与采购人或采购代理机构就有关投标的所有来往通知、函件和文件均应使用</w:t>
      </w:r>
      <w:r>
        <w:rPr>
          <w:rFonts w:hint="eastAsia" w:ascii="宋体" w:hAnsi="宋体" w:cs="宋体"/>
          <w:b/>
          <w:bCs/>
          <w:color w:val="000000" w:themeColor="text1"/>
          <w:sz w:val="24"/>
          <w:szCs w:val="24"/>
          <w14:textFill>
            <w14:solidFill>
              <w14:schemeClr w14:val="tx1"/>
            </w14:solidFill>
          </w14:textFill>
        </w:rPr>
        <w:t>简体中文</w:t>
      </w:r>
      <w:r>
        <w:rPr>
          <w:rFonts w:hint="eastAsia" w:ascii="宋体" w:hAnsi="宋体" w:cs="宋体"/>
          <w:color w:val="000000" w:themeColor="text1"/>
          <w:sz w:val="24"/>
          <w:szCs w:val="24"/>
          <w14:textFill>
            <w14:solidFill>
              <w14:schemeClr w14:val="tx1"/>
            </w14:solidFill>
          </w14:textFill>
        </w:rPr>
        <w:t>。</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10.2</w:t>
      </w:r>
      <w:r>
        <w:rPr>
          <w:rFonts w:hint="eastAsia" w:ascii="宋体" w:hAnsi="宋体" w:cs="宋体"/>
          <w:color w:val="000000" w:themeColor="text1"/>
          <w:sz w:val="24"/>
          <w:szCs w:val="24"/>
          <w14:textFill>
            <w14:solidFill>
              <w14:schemeClr w14:val="tx1"/>
            </w14:solidFill>
          </w14:textFill>
        </w:rPr>
        <w:t xml:space="preserve"> 除技术性能另有规定外，投标文件所使用的度量衡单位，均须采用国家法定计量单位。</w:t>
      </w:r>
    </w:p>
    <w:p>
      <w:pPr>
        <w:pStyle w:val="2"/>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09" w:name="_Toc462564074"/>
      <w:bookmarkStart w:id="110" w:name="_Toc16938531"/>
      <w:bookmarkStart w:id="111" w:name="_Toc513029215"/>
      <w:bookmarkStart w:id="112" w:name="_Toc20823287"/>
      <w:r>
        <w:rPr>
          <w:rFonts w:hint="eastAsia" w:ascii="宋体" w:hAnsi="宋体" w:cs="宋体"/>
          <w:b w:val="0"/>
          <w:color w:val="000000" w:themeColor="text1"/>
          <w:sz w:val="24"/>
          <w:szCs w:val="24"/>
          <w14:textFill>
            <w14:solidFill>
              <w14:schemeClr w14:val="tx1"/>
            </w14:solidFill>
          </w14:textFill>
        </w:rPr>
        <w:t>11、投标文件构成</w:t>
      </w:r>
      <w:bookmarkEnd w:id="109"/>
      <w:bookmarkEnd w:id="110"/>
      <w:bookmarkEnd w:id="111"/>
      <w:bookmarkEnd w:id="112"/>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11.1</w:t>
      </w:r>
      <w:r>
        <w:rPr>
          <w:rFonts w:hint="eastAsia" w:ascii="宋体" w:hAnsi="宋体" w:cs="宋体"/>
          <w:color w:val="000000" w:themeColor="text1"/>
          <w:sz w:val="24"/>
          <w:szCs w:val="24"/>
          <w14:textFill>
            <w14:solidFill>
              <w14:schemeClr w14:val="tx1"/>
            </w14:solidFill>
          </w14:textFill>
        </w:rPr>
        <w:t xml:space="preserve"> 投标人编写的投标文件应包括资信证明文件、投标配置与分项报价表、供货一览表、技术参数响应及偏离表、商务条款响应及偏离表、技术及售后服务承诺书、投标函、开标一览表等部分；</w:t>
      </w:r>
    </w:p>
    <w:p>
      <w:pPr>
        <w:snapToGrid w:val="0"/>
        <w:spacing w:line="44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11.2投标人应将投标文件按顺序装订成册，并编制投标文件资料目录。</w:t>
      </w:r>
    </w:p>
    <w:p>
      <w:pPr>
        <w:spacing w:line="440" w:lineRule="exact"/>
        <w:ind w:firstLine="482" w:firstLineChars="200"/>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以上材料需提供原件及复印件, 复印件加盖单位法人章、法定代表人章印（或签署），原件不必装订，直接封在档案袋内密封后提交，并将原件资料清单放在封袋内。</w:t>
      </w:r>
    </w:p>
    <w:p>
      <w:pPr>
        <w:pStyle w:val="2"/>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13" w:name="_Hlt26668975"/>
      <w:bookmarkEnd w:id="113"/>
      <w:bookmarkStart w:id="114" w:name="_Hlt26954838"/>
      <w:bookmarkEnd w:id="114"/>
      <w:bookmarkStart w:id="115" w:name="_Hlt26670360"/>
      <w:bookmarkEnd w:id="115"/>
      <w:bookmarkStart w:id="116" w:name="_Toc513029219"/>
      <w:bookmarkStart w:id="117" w:name="_Toc49090509"/>
      <w:bookmarkStart w:id="118" w:name="_Toc14577357"/>
      <w:bookmarkStart w:id="119" w:name="_Toc14577354"/>
      <w:bookmarkStart w:id="120" w:name="_Toc49090507"/>
      <w:bookmarkStart w:id="121" w:name="_Toc513029216"/>
      <w:r>
        <w:rPr>
          <w:rFonts w:hint="eastAsia" w:ascii="宋体" w:hAnsi="宋体" w:cs="宋体"/>
          <w:b w:val="0"/>
          <w:color w:val="000000" w:themeColor="text1"/>
          <w:sz w:val="24"/>
          <w:szCs w:val="24"/>
          <w14:textFill>
            <w14:solidFill>
              <w14:schemeClr w14:val="tx1"/>
            </w14:solidFill>
          </w14:textFill>
        </w:rPr>
        <w:t>12、证明投标人资格及符合招标文件规定的文件</w:t>
      </w:r>
      <w:bookmarkEnd w:id="116"/>
      <w:bookmarkEnd w:id="117"/>
      <w:bookmarkEnd w:id="118"/>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12.1</w:t>
      </w:r>
      <w:bookmarkStart w:id="122" w:name="_Hlt26668999"/>
      <w:bookmarkEnd w:id="122"/>
      <w:r>
        <w:rPr>
          <w:rFonts w:hint="eastAsia" w:ascii="宋体" w:hAnsi="宋体" w:cs="宋体"/>
          <w:color w:val="000000" w:themeColor="text1"/>
          <w:sz w:val="24"/>
          <w:szCs w:val="24"/>
          <w14:textFill>
            <w14:solidFill>
              <w14:schemeClr w14:val="tx1"/>
            </w14:solidFill>
          </w14:textFill>
        </w:rPr>
        <w:t>投标人应按要求提交资格证明文件及符合招标文件规定的文件。</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12.2投标人应提交证明其有资格参加投标和中标后有能力独立履行合同的文件。</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12.3投标人除必须具有履行合同所需提供的货物以及服务的能力外，还必须具备相应的财务、技术方面的能力。</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12.4投标人应提交根据合同要求提供的证明货物以及服务质量合格以及符合招标文件规定的证明文件。</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12.5证明投标人所提供货物及服务与招标文件的要求相一致的文件可以是手册、图纸、文字资料和数据</w:t>
      </w:r>
      <w:r>
        <w:rPr>
          <w:rFonts w:hint="eastAsia" w:ascii="宋体" w:hAnsi="宋体" w:cs="宋体"/>
          <w:bCs/>
          <w:color w:val="000000" w:themeColor="text1"/>
          <w:sz w:val="24"/>
          <w:szCs w:val="24"/>
          <w14:textFill>
            <w14:solidFill>
              <w14:schemeClr w14:val="tx1"/>
            </w14:solidFill>
          </w14:textFill>
        </w:rPr>
        <w:t>。</w:t>
      </w:r>
    </w:p>
    <w:bookmarkEnd w:id="119"/>
    <w:bookmarkEnd w:id="120"/>
    <w:bookmarkEnd w:id="121"/>
    <w:p>
      <w:pPr>
        <w:snapToGrid w:val="0"/>
        <w:spacing w:line="360" w:lineRule="auto"/>
        <w:ind w:firstLine="482" w:firstLineChars="200"/>
        <w:rPr>
          <w:rStyle w:val="115"/>
          <w:rFonts w:ascii="宋体" w:hAnsi="宋体"/>
          <w:b/>
          <w:bCs/>
          <w:sz w:val="24"/>
          <w:szCs w:val="24"/>
        </w:rPr>
      </w:pPr>
      <w:bookmarkStart w:id="123" w:name="_Toc14577355"/>
      <w:bookmarkStart w:id="124" w:name="_Toc49090508"/>
      <w:r>
        <w:rPr>
          <w:rStyle w:val="115"/>
          <w:rFonts w:hint="eastAsia" w:ascii="宋体" w:hAnsi="宋体"/>
          <w:b/>
          <w:bCs/>
          <w:sz w:val="24"/>
          <w:szCs w:val="24"/>
        </w:rPr>
        <w:t>12.6投标文件应按上述要求的内容编制，并按要求的格式签字盖章后生成PDF文档。</w:t>
      </w:r>
    </w:p>
    <w:p>
      <w:pPr>
        <w:snapToGrid w:val="0"/>
        <w:spacing w:line="360" w:lineRule="auto"/>
        <w:ind w:firstLine="482" w:firstLineChars="200"/>
        <w:rPr>
          <w:rStyle w:val="115"/>
          <w:rFonts w:ascii="宋体" w:hAnsi="宋体"/>
          <w:b/>
          <w:bCs/>
          <w:sz w:val="24"/>
          <w:szCs w:val="24"/>
        </w:rPr>
      </w:pPr>
      <w:r>
        <w:rPr>
          <w:rStyle w:val="115"/>
          <w:rFonts w:hint="eastAsia" w:ascii="宋体" w:hAnsi="宋体"/>
          <w:b/>
          <w:bCs/>
          <w:sz w:val="24"/>
          <w:szCs w:val="24"/>
        </w:rPr>
        <w:t>特别说明：</w:t>
      </w:r>
    </w:p>
    <w:p>
      <w:pPr>
        <w:snapToGrid w:val="0"/>
        <w:spacing w:line="360" w:lineRule="auto"/>
        <w:ind w:firstLine="482" w:firstLineChars="200"/>
        <w:rPr>
          <w:rStyle w:val="115"/>
          <w:rFonts w:ascii="宋体" w:hAnsi="宋体"/>
          <w:b/>
          <w:bCs/>
          <w:sz w:val="24"/>
          <w:szCs w:val="24"/>
        </w:rPr>
      </w:pPr>
      <w:r>
        <w:rPr>
          <w:rStyle w:val="115"/>
          <w:rFonts w:hint="eastAsia" w:ascii="宋体" w:hAnsi="宋体"/>
          <w:b/>
          <w:bCs/>
          <w:sz w:val="24"/>
          <w:szCs w:val="24"/>
        </w:rPr>
        <w:t>(1)上传的PDF文档须清晰可辩，如因不清晰让评标委员会无法评审，将被作为无效投标处理）。</w:t>
      </w:r>
    </w:p>
    <w:p>
      <w:pPr>
        <w:snapToGrid w:val="0"/>
        <w:spacing w:line="360" w:lineRule="auto"/>
        <w:ind w:firstLine="482" w:firstLineChars="200"/>
        <w:rPr>
          <w:rFonts w:hint="eastAsia" w:ascii="宋体" w:hAnsi="宋体" w:cs="宋体"/>
          <w:b w:val="0"/>
          <w:color w:val="000000" w:themeColor="text1"/>
          <w:sz w:val="24"/>
          <w:szCs w:val="24"/>
          <w14:textFill>
            <w14:solidFill>
              <w14:schemeClr w14:val="tx1"/>
            </w14:solidFill>
          </w14:textFill>
        </w:rPr>
      </w:pPr>
      <w:r>
        <w:rPr>
          <w:rStyle w:val="115"/>
          <w:rFonts w:hint="eastAsia" w:ascii="宋体" w:hAnsi="宋体"/>
          <w:b/>
          <w:bCs/>
          <w:sz w:val="24"/>
          <w:szCs w:val="24"/>
        </w:rPr>
        <w:t>(2)PDF文档置于一个文件夹内，使用压缩打包工具加密后发送至招标人指定的邮箱，有且只能有一个压缩包，压缩包里面有且仅有一个文件夹，文件夹中需包含所投标段的投标文件。压缩包文件名为“投标人简称（不超五个字）+学校信息化教学资源服务投标文件”，文件夹名称为“投标人简称（不超五个字）+学校信息化教学资源服务投标文件”。邮箱发送主题上标明“投标人简称（不超五个字）+学校信息化教学资源服务投标文件”字样。</w:t>
      </w:r>
    </w:p>
    <w:p>
      <w:pPr>
        <w:pStyle w:val="2"/>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t>13、供货一览表和投标配置与分项报价</w:t>
      </w:r>
      <w:bookmarkEnd w:id="123"/>
      <w:bookmarkStart w:id="125" w:name="_Hlt26670373"/>
      <w:bookmarkEnd w:id="125"/>
      <w:r>
        <w:rPr>
          <w:rFonts w:hint="eastAsia" w:ascii="宋体" w:hAnsi="宋体" w:cs="宋体"/>
          <w:b w:val="0"/>
          <w:color w:val="000000" w:themeColor="text1"/>
          <w:sz w:val="24"/>
          <w:szCs w:val="24"/>
          <w14:textFill>
            <w14:solidFill>
              <w14:schemeClr w14:val="tx1"/>
            </w14:solidFill>
          </w14:textFill>
        </w:rPr>
        <w:t>表</w:t>
      </w:r>
      <w:bookmarkEnd w:id="124"/>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 xml:space="preserve"> 投</w:t>
      </w:r>
      <w:bookmarkStart w:id="126" w:name="_Hlt26954840"/>
      <w:bookmarkEnd w:id="126"/>
      <w:r>
        <w:rPr>
          <w:rFonts w:hint="eastAsia" w:ascii="宋体" w:hAnsi="宋体" w:cs="宋体"/>
          <w:color w:val="000000" w:themeColor="text1"/>
          <w:sz w:val="24"/>
          <w:szCs w:val="24"/>
          <w14:textFill>
            <w14:solidFill>
              <w14:schemeClr w14:val="tx1"/>
            </w14:solidFill>
          </w14:textFill>
        </w:rPr>
        <w:t>标人应按照招标文件规定格式填报供货一览表、投标配置与分项报价表</w:t>
      </w:r>
      <w:bookmarkStart w:id="127" w:name="_Hlt26670399"/>
      <w:bookmarkEnd w:id="127"/>
      <w:r>
        <w:rPr>
          <w:rFonts w:hint="eastAsia" w:ascii="宋体" w:hAnsi="宋体" w:cs="宋体"/>
          <w:color w:val="000000" w:themeColor="text1"/>
          <w:sz w:val="24"/>
          <w:szCs w:val="24"/>
          <w14:textFill>
            <w14:solidFill>
              <w14:schemeClr w14:val="tx1"/>
            </w14:solidFill>
          </w14:textFill>
        </w:rPr>
        <w:t>，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13.2</w:t>
      </w:r>
      <w:r>
        <w:rPr>
          <w:rFonts w:hint="eastAsia" w:ascii="宋体" w:hAnsi="宋体" w:cs="宋体"/>
          <w:color w:val="000000" w:themeColor="text1"/>
          <w:sz w:val="24"/>
          <w:szCs w:val="24"/>
          <w14:textFill>
            <w14:solidFill>
              <w14:schemeClr w14:val="tx1"/>
            </w14:solidFill>
          </w14:textFill>
        </w:rPr>
        <w:t xml:space="preserve"> 标的物</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采购人需求的货物供应、安装，调试及有关技术服务等</w:t>
      </w:r>
      <w:r>
        <w:rPr>
          <w:rFonts w:hint="eastAsia" w:ascii="宋体" w:hAnsi="宋体" w:cs="宋体"/>
          <w:color w:val="000000" w:themeColor="text1"/>
          <w:sz w:val="24"/>
          <w:szCs w:val="24"/>
          <w14:textFill>
            <w14:solidFill>
              <w14:schemeClr w14:val="tx1"/>
            </w14:solidFill>
          </w14:textFill>
        </w:rPr>
        <w:t>。</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13.3</w:t>
      </w:r>
      <w:r>
        <w:rPr>
          <w:rFonts w:hint="eastAsia" w:ascii="宋体" w:hAnsi="宋体" w:cs="宋体"/>
          <w:bCs/>
          <w:color w:val="000000" w:themeColor="text1"/>
          <w:sz w:val="24"/>
          <w:szCs w:val="24"/>
          <w14:textFill>
            <w14:solidFill>
              <w14:schemeClr w14:val="tx1"/>
            </w14:solidFill>
          </w14:textFill>
        </w:rPr>
        <w:t>有关费用处理</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13.4</w:t>
      </w:r>
      <w:r>
        <w:rPr>
          <w:rFonts w:hint="eastAsia" w:ascii="宋体" w:hAnsi="宋体" w:cs="宋体"/>
          <w:bCs/>
          <w:color w:val="000000" w:themeColor="text1"/>
          <w:sz w:val="24"/>
          <w:szCs w:val="24"/>
          <w14:textFill>
            <w14:solidFill>
              <w14:schemeClr w14:val="tx1"/>
            </w14:solidFill>
          </w14:textFill>
        </w:rPr>
        <w:t>其它费用处理</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招标文件未列明，而投标人认为必需的费用也需列入报价。</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13.5</w:t>
      </w:r>
      <w:r>
        <w:rPr>
          <w:rFonts w:hint="eastAsia" w:ascii="宋体" w:hAnsi="宋体" w:cs="宋体"/>
          <w:bCs/>
          <w:color w:val="000000" w:themeColor="text1"/>
          <w:sz w:val="24"/>
          <w:szCs w:val="24"/>
          <w14:textFill>
            <w14:solidFill>
              <w14:schemeClr w14:val="tx1"/>
            </w14:solidFill>
          </w14:textFill>
        </w:rPr>
        <w:t>投标货币</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投标文件中的货物</w:t>
      </w:r>
      <w:r>
        <w:rPr>
          <w:rFonts w:hint="eastAsia" w:ascii="宋体" w:hAnsi="宋体" w:cs="宋体"/>
          <w:color w:val="000000" w:themeColor="text1"/>
          <w:sz w:val="24"/>
          <w:szCs w:val="24"/>
          <w14:textFill>
            <w14:solidFill>
              <w14:schemeClr w14:val="tx1"/>
            </w14:solidFill>
          </w14:textFill>
        </w:rPr>
        <w:t>及服务</w:t>
      </w:r>
      <w:r>
        <w:rPr>
          <w:rFonts w:hint="eastAsia" w:ascii="宋体" w:hAnsi="宋体" w:cs="宋体"/>
          <w:bCs/>
          <w:color w:val="000000" w:themeColor="text1"/>
          <w:sz w:val="24"/>
          <w:szCs w:val="24"/>
          <w14:textFill>
            <w14:solidFill>
              <w14:schemeClr w14:val="tx1"/>
            </w14:solidFill>
          </w14:textFill>
        </w:rPr>
        <w:t>单价和总价无特殊规定的采用人民币报价，以元为单位标注。</w:t>
      </w:r>
      <w:r>
        <w:rPr>
          <w:rFonts w:hint="eastAsia" w:ascii="宋体" w:hAnsi="宋体" w:cs="宋体"/>
          <w:color w:val="000000" w:themeColor="text1"/>
          <w:sz w:val="24"/>
          <w:szCs w:val="24"/>
          <w14:textFill>
            <w14:solidFill>
              <w14:schemeClr w14:val="tx1"/>
            </w14:solidFill>
          </w14:textFill>
        </w:rPr>
        <w:t>招标文件中另有规定的按规定执行。</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w:t>
      </w:r>
      <w:r>
        <w:rPr>
          <w:rFonts w:hint="eastAsia" w:ascii="宋体" w:hAnsi="宋体" w:cs="宋体"/>
          <w:bCs/>
          <w:color w:val="000000" w:themeColor="text1"/>
          <w:sz w:val="24"/>
          <w:szCs w:val="24"/>
          <w14:textFill>
            <w14:solidFill>
              <w14:schemeClr w14:val="tx1"/>
            </w14:solidFill>
          </w14:textFill>
        </w:rPr>
        <w:t xml:space="preserve"> 投标配置与分项报价表上的价格应按下列方式分开填写</w:t>
      </w:r>
      <w:r>
        <w:rPr>
          <w:rFonts w:hint="eastAsia" w:ascii="宋体" w:hAnsi="宋体" w:cs="宋体"/>
          <w:color w:val="000000" w:themeColor="text1"/>
          <w:sz w:val="24"/>
          <w:szCs w:val="24"/>
          <w14:textFill>
            <w14:solidFill>
              <w14:schemeClr w14:val="tx1"/>
            </w14:solidFill>
          </w14:textFill>
        </w:rPr>
        <w:t>：</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bookmarkStart w:id="128" w:name="_Hlt26670425"/>
      <w:bookmarkEnd w:id="128"/>
      <w:bookmarkStart w:id="129" w:name="_Hlt26670403"/>
      <w:bookmarkEnd w:id="129"/>
      <w:bookmarkStart w:id="130" w:name="_Hlt26954844"/>
      <w:bookmarkEnd w:id="130"/>
      <w:bookmarkStart w:id="131" w:name="_Hlt26954842"/>
      <w:bookmarkEnd w:id="131"/>
      <w:bookmarkStart w:id="132" w:name="_Hlt26668983"/>
      <w:bookmarkEnd w:id="132"/>
      <w:r>
        <w:rPr>
          <w:rFonts w:hint="eastAsia" w:ascii="宋体" w:hAnsi="宋体" w:cs="宋体"/>
          <w:bCs/>
          <w:color w:val="000000" w:themeColor="text1"/>
          <w:sz w:val="24"/>
          <w:szCs w:val="24"/>
          <w14:textFill>
            <w14:solidFill>
              <w14:schemeClr w14:val="tx1"/>
            </w14:solidFill>
          </w14:textFill>
        </w:rPr>
        <w:t xml:space="preserve">13.6.1 </w:t>
      </w:r>
      <w:r>
        <w:rPr>
          <w:rFonts w:hint="eastAsia" w:ascii="宋体" w:hAnsi="宋体" w:cs="宋体"/>
          <w:color w:val="000000" w:themeColor="text1"/>
          <w:sz w:val="24"/>
          <w:szCs w:val="24"/>
          <w14:textFill>
            <w14:solidFill>
              <w14:schemeClr w14:val="tx1"/>
            </w14:solidFill>
          </w14:textFill>
        </w:rPr>
        <w:t>项目总价：包括</w:t>
      </w:r>
      <w:r>
        <w:rPr>
          <w:rFonts w:hint="eastAsia" w:ascii="宋体" w:hAnsi="宋体" w:cs="宋体"/>
          <w:bCs/>
          <w:color w:val="000000" w:themeColor="text1"/>
          <w:sz w:val="24"/>
          <w:szCs w:val="24"/>
          <w14:textFill>
            <w14:solidFill>
              <w14:schemeClr w14:val="tx1"/>
            </w14:solidFill>
          </w14:textFill>
        </w:rPr>
        <w:t>买方需求的货物价格</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bCs/>
          <w:color w:val="000000" w:themeColor="text1"/>
          <w:sz w:val="24"/>
          <w:szCs w:val="24"/>
          <w14:textFill>
            <w14:solidFill>
              <w14:schemeClr w14:val="tx1"/>
            </w14:solidFill>
          </w14:textFill>
        </w:rPr>
        <w:t>质量保证费用、培训费用及售后服务费用，项目在指定地点、环境交付、安装、调试、验收所需费用和所有</w:t>
      </w:r>
      <w:r>
        <w:rPr>
          <w:rFonts w:hint="eastAsia" w:ascii="宋体" w:hAnsi="宋体" w:cs="宋体"/>
          <w:color w:val="000000" w:themeColor="text1"/>
          <w:sz w:val="24"/>
          <w:szCs w:val="24"/>
          <w14:textFill>
            <w14:solidFill>
              <w14:schemeClr w14:val="tx1"/>
            </w14:solidFill>
          </w14:textFill>
        </w:rPr>
        <w:t>相关税金费用</w:t>
      </w:r>
      <w:r>
        <w:rPr>
          <w:rFonts w:hint="eastAsia" w:ascii="宋体" w:hAnsi="宋体" w:cs="宋体"/>
          <w:bCs/>
          <w:color w:val="000000" w:themeColor="text1"/>
          <w:sz w:val="24"/>
          <w:szCs w:val="24"/>
          <w14:textFill>
            <w14:solidFill>
              <w14:schemeClr w14:val="tx1"/>
            </w14:solidFill>
          </w14:textFill>
        </w:rPr>
        <w:t>及为完成整个项目所产生的其它所有费用。</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13.6.2</w:t>
      </w:r>
      <w:r>
        <w:rPr>
          <w:rFonts w:hint="eastAsia" w:ascii="宋体" w:hAnsi="宋体" w:cs="宋体"/>
          <w:bCs/>
          <w:color w:val="000000" w:themeColor="text1"/>
          <w:sz w:val="24"/>
          <w:szCs w:val="24"/>
          <w14:textFill>
            <w14:solidFill>
              <w14:schemeClr w14:val="tx1"/>
            </w14:solidFill>
          </w14:textFill>
        </w:rPr>
        <w:t>项目单价按投标配置及分项报价表中要求填报。</w:t>
      </w:r>
      <w:bookmarkStart w:id="133" w:name="_Hlt26670482"/>
      <w:bookmarkEnd w:id="133"/>
      <w:bookmarkStart w:id="134" w:name="_Hlt26954848"/>
      <w:bookmarkEnd w:id="134"/>
      <w:bookmarkStart w:id="135" w:name="_Hlt26670486"/>
      <w:bookmarkEnd w:id="135"/>
      <w:bookmarkStart w:id="136" w:name="_Hlt26954846"/>
      <w:bookmarkEnd w:id="136"/>
      <w:bookmarkStart w:id="137" w:name="_Hlt26954731"/>
      <w:bookmarkEnd w:id="137"/>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14</w:t>
      </w:r>
      <w:r>
        <w:rPr>
          <w:rFonts w:hint="eastAsia" w:ascii="宋体" w:hAnsi="宋体" w:cs="宋体"/>
          <w:b/>
          <w:bCs/>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技术参数响应及偏离表、商务条款响应及偏离表及投标货物说明</w:t>
      </w:r>
    </w:p>
    <w:p>
      <w:pPr>
        <w:autoSpaceDE w:val="0"/>
        <w:autoSpaceDN w:val="0"/>
        <w:adjustRightInd w:val="0"/>
        <w:spacing w:line="440" w:lineRule="exact"/>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14.1</w:t>
      </w:r>
      <w:r>
        <w:rPr>
          <w:rFonts w:hint="eastAsia" w:ascii="宋体" w:hAnsi="宋体" w:cs="宋体"/>
          <w:color w:val="000000" w:themeColor="text1"/>
          <w:sz w:val="24"/>
          <w:szCs w:val="24"/>
          <w:lang w:val="zh-CN"/>
          <w14:textFill>
            <w14:solidFill>
              <w14:schemeClr w14:val="tx1"/>
            </w14:solidFill>
          </w14:textFill>
        </w:rPr>
        <w:t xml:space="preserve"> 对招标文件中的技术与商务条款要求逐项作出响应或偏离，并说明原因；</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14.2 提供参加本项目类似案例简介；</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14.3 培训计划；</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14.4 详细阐述所投货物的主要组成部分、功能设计、实现思路及关键技术；</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14.5 投标人认为需要的其他技术文件或说明。</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15、</w:t>
      </w:r>
      <w:r>
        <w:rPr>
          <w:rFonts w:hint="eastAsia" w:ascii="宋体" w:hAnsi="宋体" w:cs="宋体"/>
          <w:color w:val="000000" w:themeColor="text1"/>
          <w:sz w:val="24"/>
          <w:szCs w:val="24"/>
          <w14:textFill>
            <w14:solidFill>
              <w14:schemeClr w14:val="tx1"/>
            </w14:solidFill>
          </w14:textFill>
        </w:rPr>
        <w:t>服务承诺及售后服务机构、人员的情况介绍</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15、1</w:t>
      </w:r>
      <w:r>
        <w:rPr>
          <w:rFonts w:hint="eastAsia" w:ascii="宋体" w:hAnsi="宋体" w:cs="宋体"/>
          <w:color w:val="000000" w:themeColor="text1"/>
          <w:sz w:val="24"/>
          <w:szCs w:val="24"/>
          <w14:textFill>
            <w14:solidFill>
              <w14:schemeClr w14:val="tx1"/>
            </w14:solidFill>
          </w14:textFill>
        </w:rPr>
        <w:t>投标人的服务承诺应按不低于招标文件中商务要求的标准。</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15、2</w:t>
      </w:r>
      <w:r>
        <w:rPr>
          <w:rFonts w:hint="eastAsia" w:ascii="宋体" w:hAnsi="宋体" w:cs="宋体"/>
          <w:color w:val="000000" w:themeColor="text1"/>
          <w:sz w:val="24"/>
          <w:szCs w:val="24"/>
          <w14:textFill>
            <w14:solidFill>
              <w14:schemeClr w14:val="tx1"/>
            </w14:solidFill>
          </w14:textFill>
        </w:rPr>
        <w:t>提供投标人有关售后服务的管理制度、售后服务机构的分布情况、售后服务人员的数量、素质、技术水平及售后服务的反应能力。</w:t>
      </w:r>
    </w:p>
    <w:p>
      <w:pPr>
        <w:pStyle w:val="2"/>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38" w:name="_Toc49090510"/>
      <w:bookmarkStart w:id="139" w:name="_Toc14577359"/>
      <w:r>
        <w:rPr>
          <w:rFonts w:hint="eastAsia" w:ascii="宋体" w:hAnsi="宋体" w:cs="宋体"/>
          <w:b w:val="0"/>
          <w:color w:val="000000" w:themeColor="text1"/>
          <w:sz w:val="24"/>
          <w:szCs w:val="24"/>
          <w14:textFill>
            <w14:solidFill>
              <w14:schemeClr w14:val="tx1"/>
            </w14:solidFill>
          </w14:textFill>
        </w:rPr>
        <w:t>16、投标函和开标一览表</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16.1</w:t>
      </w:r>
      <w:r>
        <w:rPr>
          <w:rFonts w:hint="eastAsia" w:ascii="宋体" w:hAnsi="宋体" w:cs="宋体"/>
          <w:color w:val="000000" w:themeColor="text1"/>
          <w:sz w:val="24"/>
          <w:szCs w:val="24"/>
          <w14:textFill>
            <w14:solidFill>
              <w14:schemeClr w14:val="tx1"/>
            </w14:solidFill>
          </w14:textFill>
        </w:rPr>
        <w:t xml:space="preserve"> 投标人应按照招标文件中提供的格式完整、正确填写投标函、开标一览表。</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16.2开标一览表中的价格应与投标文件中投标配置与分项报价表中的价格一致，如不一致，</w:t>
      </w:r>
      <w:r>
        <w:rPr>
          <w:rFonts w:hint="eastAsia" w:ascii="宋体" w:hAnsi="宋体" w:cs="宋体"/>
          <w:color w:val="000000" w:themeColor="text1"/>
          <w:sz w:val="24"/>
          <w:szCs w:val="24"/>
          <w14:textFill>
            <w14:solidFill>
              <w14:schemeClr w14:val="tx1"/>
            </w14:solidFill>
          </w14:textFill>
        </w:rPr>
        <w:t>不作为无效投标处理</w:t>
      </w:r>
      <w:r>
        <w:rPr>
          <w:rFonts w:hint="eastAsia" w:ascii="宋体" w:hAnsi="宋体" w:cs="宋体"/>
          <w:bCs/>
          <w:color w:val="000000" w:themeColor="text1"/>
          <w:sz w:val="24"/>
          <w:szCs w:val="24"/>
          <w14:textFill>
            <w14:solidFill>
              <w14:schemeClr w14:val="tx1"/>
            </w14:solidFill>
          </w14:textFill>
        </w:rPr>
        <w:t>，但评标时按开标一览表中价格为准</w:t>
      </w:r>
      <w:r>
        <w:rPr>
          <w:rFonts w:hint="eastAsia" w:ascii="宋体" w:hAnsi="宋体" w:cs="宋体"/>
          <w:b/>
          <w:bCs/>
          <w:color w:val="000000" w:themeColor="text1"/>
          <w:sz w:val="24"/>
          <w:szCs w:val="24"/>
          <w14:textFill>
            <w14:solidFill>
              <w14:schemeClr w14:val="tx1"/>
            </w14:solidFill>
          </w14:textFill>
        </w:rPr>
        <w:t>。</w:t>
      </w:r>
    </w:p>
    <w:bookmarkEnd w:id="138"/>
    <w:bookmarkEnd w:id="139"/>
    <w:p>
      <w:pPr>
        <w:pStyle w:val="2"/>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40" w:name="_Hlt26670489"/>
      <w:bookmarkEnd w:id="140"/>
      <w:bookmarkStart w:id="141" w:name="_Hlt26954850"/>
      <w:bookmarkEnd w:id="141"/>
      <w:bookmarkStart w:id="142" w:name="_Hlt26954734"/>
      <w:bookmarkEnd w:id="142"/>
      <w:bookmarkStart w:id="143" w:name="_Toc14577360"/>
      <w:bookmarkStart w:id="144" w:name="_Toc49090511"/>
      <w:r>
        <w:rPr>
          <w:rFonts w:hint="eastAsia" w:ascii="宋体" w:hAnsi="宋体" w:cs="宋体"/>
          <w:b w:val="0"/>
          <w:color w:val="000000" w:themeColor="text1"/>
          <w:sz w:val="24"/>
          <w:szCs w:val="24"/>
          <w14:textFill>
            <w14:solidFill>
              <w14:schemeClr w14:val="tx1"/>
            </w14:solidFill>
          </w14:textFill>
        </w:rPr>
        <w:t>17、投标有效期</w:t>
      </w:r>
      <w:bookmarkEnd w:id="143"/>
      <w:bookmarkEnd w:id="144"/>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17.1</w:t>
      </w:r>
      <w:r>
        <w:rPr>
          <w:rFonts w:hint="eastAsia" w:ascii="宋体" w:hAnsi="宋体" w:cs="宋体"/>
          <w:bCs/>
          <w:color w:val="000000" w:themeColor="text1"/>
          <w:sz w:val="24"/>
          <w:szCs w:val="24"/>
          <w14:textFill>
            <w14:solidFill>
              <w14:schemeClr w14:val="tx1"/>
            </w14:solidFill>
          </w14:textFill>
        </w:rPr>
        <w:t xml:space="preserve"> 投标有效期为采购人或采购代理机构规定的开标之日后</w:t>
      </w:r>
      <w:r>
        <w:rPr>
          <w:rFonts w:hint="eastAsia" w:ascii="宋体" w:hAnsi="宋体" w:cs="宋体"/>
          <w:b/>
          <w:color w:val="000000" w:themeColor="text1"/>
          <w:sz w:val="24"/>
          <w:szCs w:val="24"/>
          <w:u w:val="single"/>
          <w14:textFill>
            <w14:solidFill>
              <w14:schemeClr w14:val="tx1"/>
            </w14:solidFill>
          </w14:textFill>
        </w:rPr>
        <w:t>六十（60）天</w:t>
      </w:r>
      <w:r>
        <w:rPr>
          <w:rFonts w:hint="eastAsia" w:ascii="宋体" w:hAnsi="宋体" w:cs="宋体"/>
          <w:bCs/>
          <w:color w:val="000000" w:themeColor="text1"/>
          <w:sz w:val="24"/>
          <w:szCs w:val="24"/>
          <w14:textFill>
            <w14:solidFill>
              <w14:schemeClr w14:val="tx1"/>
            </w14:solidFill>
          </w14:textFill>
        </w:rPr>
        <w:t>。投标有效期比规定短的将被视为非响应性投标而予以拒绝。</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17.2</w:t>
      </w:r>
      <w:r>
        <w:rPr>
          <w:rFonts w:hint="eastAsia" w:ascii="宋体" w:hAnsi="宋体" w:cs="宋体"/>
          <w:bCs/>
          <w:color w:val="000000" w:themeColor="text1"/>
          <w:sz w:val="24"/>
          <w:szCs w:val="24"/>
          <w14:textFill>
            <w14:solidFill>
              <w14:schemeClr w14:val="tx1"/>
            </w14:solidFill>
          </w14:textFill>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Fonts w:hint="eastAsia" w:ascii="宋体" w:hAnsi="宋体" w:cs="宋体"/>
          <w:color w:val="000000" w:themeColor="text1"/>
          <w:sz w:val="24"/>
          <w:szCs w:val="24"/>
          <w14:textFill>
            <w14:solidFill>
              <w14:schemeClr w14:val="tx1"/>
            </w14:solidFill>
          </w14:textFill>
        </w:rPr>
        <w:t>采购人或采购代理机构在接到投标人书面答复后，将在原投标有效期满后五日内</w:t>
      </w:r>
      <w:r>
        <w:rPr>
          <w:rFonts w:hint="eastAsia" w:ascii="宋体" w:hAnsi="宋体" w:cs="宋体"/>
          <w:b/>
          <w:bCs/>
          <w:color w:val="000000" w:themeColor="text1"/>
          <w:sz w:val="24"/>
          <w:szCs w:val="24"/>
          <w14:textFill>
            <w14:solidFill>
              <w14:schemeClr w14:val="tx1"/>
            </w14:solidFill>
          </w14:textFill>
        </w:rPr>
        <w:t>无息退还其投标保证金</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bCs/>
          <w:color w:val="000000" w:themeColor="text1"/>
          <w:sz w:val="24"/>
          <w:szCs w:val="24"/>
          <w14:textFill>
            <w14:solidFill>
              <w14:schemeClr w14:val="tx1"/>
            </w14:solidFill>
          </w14:textFill>
        </w:rPr>
        <w:t>同意延长投标有效期的投标人既不能要求也不允许修改其投标文件。第16条有关投标保证金的规定在延长期内继续有效</w:t>
      </w:r>
      <w:r>
        <w:rPr>
          <w:rFonts w:hint="eastAsia" w:ascii="宋体" w:hAnsi="宋体" w:cs="宋体"/>
          <w:color w:val="000000" w:themeColor="text1"/>
          <w:sz w:val="24"/>
          <w:szCs w:val="24"/>
          <w14:textFill>
            <w14:solidFill>
              <w14:schemeClr w14:val="tx1"/>
            </w14:solidFill>
          </w14:textFill>
        </w:rPr>
        <w:t>，同时受投标有效期约束的所有权利与义务均延长至新的有效期</w:t>
      </w:r>
      <w:r>
        <w:rPr>
          <w:rFonts w:hint="eastAsia" w:ascii="宋体" w:hAnsi="宋体" w:cs="宋体"/>
          <w:bCs/>
          <w:color w:val="000000" w:themeColor="text1"/>
          <w:sz w:val="24"/>
          <w:szCs w:val="24"/>
          <w14:textFill>
            <w14:solidFill>
              <w14:schemeClr w14:val="tx1"/>
            </w14:solidFill>
          </w14:textFill>
        </w:rPr>
        <w:t>。</w:t>
      </w:r>
    </w:p>
    <w:p>
      <w:pPr>
        <w:pStyle w:val="2"/>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45" w:name="_Hlt26954852"/>
      <w:bookmarkEnd w:id="145"/>
      <w:bookmarkStart w:id="146" w:name="_Hlt26954739"/>
      <w:bookmarkEnd w:id="146"/>
      <w:bookmarkStart w:id="147" w:name="_Toc49090512"/>
      <w:bookmarkStart w:id="148" w:name="_Toc14577361"/>
      <w:r>
        <w:rPr>
          <w:rFonts w:hint="eastAsia" w:ascii="宋体" w:hAnsi="宋体" w:cs="宋体"/>
          <w:b w:val="0"/>
          <w:color w:val="000000" w:themeColor="text1"/>
          <w:sz w:val="24"/>
          <w:szCs w:val="24"/>
          <w14:textFill>
            <w14:solidFill>
              <w14:schemeClr w14:val="tx1"/>
            </w14:solidFill>
          </w14:textFill>
        </w:rPr>
        <w:t>18、投标文件份数和签署</w:t>
      </w:r>
      <w:bookmarkEnd w:id="147"/>
      <w:bookmarkEnd w:id="148"/>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18.1</w:t>
      </w:r>
      <w:r>
        <w:rPr>
          <w:rFonts w:hint="eastAsia" w:ascii="宋体" w:hAnsi="宋体" w:cs="宋体"/>
          <w:bCs/>
          <w:color w:val="000000" w:themeColor="text1"/>
          <w:sz w:val="24"/>
          <w:szCs w:val="24"/>
          <w14:textFill>
            <w14:solidFill>
              <w14:schemeClr w14:val="tx1"/>
            </w14:solidFill>
          </w14:textFill>
        </w:rPr>
        <w:t>投标人应严格按照招标公告和招标文件要求的份数准备投标文件，每份投标文件须清楚地标明“正本”或“副本”字样。一旦正本和副本不符，以正本为准。</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18.2投标文件正本中，</w:t>
      </w:r>
      <w:r>
        <w:rPr>
          <w:rFonts w:hint="eastAsia" w:ascii="宋体" w:hAnsi="宋体" w:cs="宋体"/>
          <w:bCs/>
          <w:color w:val="000000" w:themeColor="text1"/>
          <w:sz w:val="24"/>
          <w:szCs w:val="24"/>
          <w14:textFill>
            <w14:solidFill>
              <w14:schemeClr w14:val="tx1"/>
            </w14:solidFill>
          </w14:textFill>
        </w:rPr>
        <w:t>招标文件要求必须提供原件的按照要求提供，文</w:t>
      </w:r>
      <w:r>
        <w:rPr>
          <w:rFonts w:hint="eastAsia" w:ascii="宋体" w:hAnsi="宋体" w:cs="宋体"/>
          <w:color w:val="000000" w:themeColor="text1"/>
          <w:sz w:val="24"/>
          <w:szCs w:val="24"/>
          <w14:textFill>
            <w14:solidFill>
              <w14:schemeClr w14:val="tx1"/>
            </w14:solidFill>
          </w14:textFill>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18.3</w:t>
      </w:r>
      <w:r>
        <w:rPr>
          <w:rFonts w:hint="eastAsia" w:ascii="宋体" w:hAnsi="宋体" w:cs="宋体"/>
          <w:bCs/>
          <w:color w:val="000000" w:themeColor="text1"/>
          <w:sz w:val="24"/>
          <w:szCs w:val="24"/>
          <w14:textFill>
            <w14:solidFill>
              <w14:schemeClr w14:val="tx1"/>
            </w14:solidFill>
          </w14:textFill>
        </w:rPr>
        <w:t xml:space="preserve"> 除投标人对错处做必要修改外，投标文件不得行间插字、涂改或增删。如有修改错漏处，必须由投标文件签署人签字或盖章。</w:t>
      </w:r>
    </w:p>
    <w:p>
      <w:pPr>
        <w:pStyle w:val="5"/>
        <w:spacing w:before="0" w:after="0" w:line="440" w:lineRule="exact"/>
        <w:ind w:firstLine="482" w:firstLineChars="200"/>
        <w:rPr>
          <w:rFonts w:ascii="宋体" w:hAnsi="宋体" w:cs="宋体"/>
          <w:color w:val="000000" w:themeColor="text1"/>
          <w:sz w:val="24"/>
          <w:szCs w:val="24"/>
          <w14:textFill>
            <w14:solidFill>
              <w14:schemeClr w14:val="tx1"/>
            </w14:solidFill>
          </w14:textFill>
        </w:rPr>
      </w:pPr>
      <w:bookmarkStart w:id="149" w:name="_Toc20823296"/>
      <w:bookmarkStart w:id="150" w:name="_Toc16938540"/>
      <w:bookmarkStart w:id="151" w:name="_Toc513029224"/>
      <w:bookmarkStart w:id="152" w:name="_Toc120614217"/>
      <w:r>
        <w:rPr>
          <w:rFonts w:hint="eastAsia" w:ascii="宋体" w:hAnsi="宋体" w:cs="宋体"/>
          <w:color w:val="000000" w:themeColor="text1"/>
          <w:sz w:val="24"/>
          <w:szCs w:val="24"/>
          <w14:textFill>
            <w14:solidFill>
              <w14:schemeClr w14:val="tx1"/>
            </w14:solidFill>
          </w14:textFill>
        </w:rPr>
        <w:t>四、投标文件的递交</w:t>
      </w:r>
      <w:bookmarkEnd w:id="149"/>
      <w:bookmarkEnd w:id="150"/>
      <w:bookmarkEnd w:id="151"/>
      <w:bookmarkEnd w:id="152"/>
    </w:p>
    <w:p>
      <w:pPr>
        <w:pStyle w:val="2"/>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53" w:name="_Toc20823297"/>
      <w:bookmarkStart w:id="154" w:name="_Toc513029225"/>
      <w:bookmarkStart w:id="155" w:name="_Toc16938541"/>
      <w:bookmarkStart w:id="156" w:name="_Toc462564084"/>
      <w:r>
        <w:rPr>
          <w:rFonts w:hint="eastAsia" w:ascii="宋体" w:hAnsi="宋体" w:cs="宋体"/>
          <w:b w:val="0"/>
          <w:color w:val="000000" w:themeColor="text1"/>
          <w:sz w:val="24"/>
          <w:szCs w:val="24"/>
          <w14:textFill>
            <w14:solidFill>
              <w14:schemeClr w14:val="tx1"/>
            </w14:solidFill>
          </w14:textFill>
        </w:rPr>
        <w:t>19、投标文件的密封和标记</w:t>
      </w:r>
      <w:bookmarkEnd w:id="153"/>
      <w:bookmarkEnd w:id="154"/>
      <w:bookmarkEnd w:id="155"/>
      <w:bookmarkEnd w:id="156"/>
    </w:p>
    <w:p>
      <w:pPr>
        <w:spacing w:line="460" w:lineRule="exact"/>
        <w:ind w:firstLine="482" w:firstLineChars="200"/>
        <w:rPr>
          <w:rStyle w:val="115"/>
          <w:rFonts w:ascii="宋体" w:hAnsi="宋体"/>
          <w:b/>
          <w:sz w:val="24"/>
          <w:szCs w:val="24"/>
        </w:rPr>
      </w:pPr>
      <w:bookmarkStart w:id="157" w:name="_Toc16938542"/>
      <w:bookmarkStart w:id="158" w:name="_Toc20823298"/>
      <w:bookmarkStart w:id="159" w:name="_Toc513029226"/>
      <w:r>
        <w:rPr>
          <w:rStyle w:val="115"/>
          <w:rFonts w:hint="eastAsia" w:ascii="宋体" w:hAnsi="宋体"/>
          <w:b/>
          <w:sz w:val="24"/>
          <w:szCs w:val="24"/>
        </w:rPr>
        <w:t>19.1响应文件的密封和标记：每个投标人的投标文件应置于一个文件夹内，使用压缩打包工具加密后发送至招标人指定的邮箱，有且只能有一个压缩包，压缩包里面有且仅有一个文件夹，文件夹中需包含所投标段的投标文件。压缩包文件名为“投标人简称（不超五个字）+汽车与交通学院汽车技术技能大赛检测与维修实训设备投标文件”，文件夹名称为“投标人简称（不超五个字）+汽车与交通学院汽车技术技能大赛检测与维修实训设备投标文件”。邮箱发送主题上标明“投标人简称（不超五个字）+汽车与交通学院汽车技术技能大赛检测与维修实训设备投标文件”字样。</w:t>
      </w:r>
    </w:p>
    <w:p>
      <w:pPr>
        <w:snapToGrid w:val="0"/>
        <w:spacing w:line="360" w:lineRule="auto"/>
        <w:ind w:firstLine="482" w:firstLineChars="200"/>
        <w:rPr>
          <w:rStyle w:val="115"/>
          <w:rFonts w:ascii="宋体" w:hAnsi="宋体"/>
          <w:b/>
          <w:sz w:val="24"/>
          <w:szCs w:val="24"/>
        </w:rPr>
      </w:pPr>
      <w:r>
        <w:rPr>
          <w:rStyle w:val="115"/>
          <w:rFonts w:hint="eastAsia" w:ascii="宋体" w:hAnsi="宋体"/>
          <w:b/>
          <w:sz w:val="24"/>
          <w:szCs w:val="24"/>
        </w:rPr>
        <w:t>19.2响应文件递交地点：上传加密的投标文件至招标人指定邮箱：</w:t>
      </w:r>
      <w:r>
        <w:rPr>
          <w:rStyle w:val="115"/>
          <w:rFonts w:hint="eastAsia" w:ascii="宋体" w:hAnsi="宋体"/>
          <w:b/>
          <w:sz w:val="24"/>
          <w:szCs w:val="24"/>
          <w:lang w:val="en-US" w:eastAsia="zh-CN"/>
        </w:rPr>
        <w:t>342178173</w:t>
      </w:r>
      <w:r>
        <w:rPr>
          <w:rStyle w:val="115"/>
          <w:rFonts w:hint="eastAsia" w:ascii="宋体" w:hAnsi="宋体"/>
          <w:b/>
          <w:sz w:val="24"/>
          <w:szCs w:val="24"/>
        </w:rPr>
        <w:t>@qq.com。开标当日，投标人无需到达开标现场，仅需在任意地点通过PC端或移动端的“腾讯会议”及具有视频功能相应的配套硬件设备参加开标会议。如因视频设备问题造成无法核实身份的，作无效标处理，参加开标会议的方法详见招标文件。</w:t>
      </w:r>
    </w:p>
    <w:p>
      <w:pPr>
        <w:snapToGrid w:val="0"/>
        <w:spacing w:line="360" w:lineRule="auto"/>
        <w:ind w:firstLine="482" w:firstLineChars="200"/>
        <w:rPr>
          <w:rStyle w:val="115"/>
          <w:rFonts w:ascii="宋体" w:hAnsi="宋体"/>
          <w:b/>
          <w:sz w:val="24"/>
          <w:szCs w:val="24"/>
        </w:rPr>
      </w:pPr>
      <w:r>
        <w:rPr>
          <w:rStyle w:val="115"/>
          <w:rFonts w:hint="eastAsia" w:ascii="宋体" w:hAnsi="宋体"/>
          <w:b/>
          <w:sz w:val="24"/>
          <w:szCs w:val="24"/>
        </w:rPr>
        <w:t>19.3投标截止时间：投标人应在招标文件规定的投标截止时间前完成投标文件的递交。投标人须在投标截止时间前任意时点将加密的投标文件以邮件的方式发送到招标人指定邮箱，逾期送达的投标文件不予接收。</w:t>
      </w:r>
    </w:p>
    <w:p>
      <w:pPr>
        <w:pStyle w:val="2"/>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t>20、投标截止日期</w:t>
      </w:r>
      <w:bookmarkEnd w:id="157"/>
      <w:bookmarkEnd w:id="158"/>
      <w:bookmarkEnd w:id="159"/>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20.1</w:t>
      </w:r>
      <w:r>
        <w:rPr>
          <w:rFonts w:hint="eastAsia" w:ascii="宋体" w:hAnsi="宋体" w:cs="宋体"/>
          <w:bCs/>
          <w:color w:val="000000" w:themeColor="text1"/>
          <w:sz w:val="24"/>
          <w:szCs w:val="24"/>
          <w14:textFill>
            <w14:solidFill>
              <w14:schemeClr w14:val="tx1"/>
            </w14:solidFill>
          </w14:textFill>
        </w:rPr>
        <w:t xml:space="preserve"> 采购人和采购代理机构收到投标文件的时间不得迟于招标公告中规定的截止时间。</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20.2</w:t>
      </w:r>
      <w:r>
        <w:rPr>
          <w:rFonts w:hint="eastAsia" w:ascii="宋体" w:hAnsi="宋体" w:cs="宋体"/>
          <w:bCs/>
          <w:color w:val="000000" w:themeColor="text1"/>
          <w:sz w:val="24"/>
          <w:szCs w:val="24"/>
          <w14:textFill>
            <w14:solidFill>
              <w14:schemeClr w14:val="tx1"/>
            </w14:solidFill>
          </w14:textFill>
        </w:rPr>
        <w:t xml:space="preserve"> 采购人或采购代理机构有权通过修改招标文件酌情延长投标截止日期，在此情况下，投标人的所有权利和义务以及投标人受制的截止日期均应以延长后新的截止日期为准。</w:t>
      </w:r>
    </w:p>
    <w:p>
      <w:pPr>
        <w:pStyle w:val="2"/>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60" w:name="_Toc20823299"/>
      <w:bookmarkStart w:id="161" w:name="_Toc16938543"/>
      <w:bookmarkStart w:id="162" w:name="_Toc513029227"/>
      <w:r>
        <w:rPr>
          <w:rFonts w:hint="eastAsia" w:ascii="宋体" w:hAnsi="宋体" w:cs="宋体"/>
          <w:b w:val="0"/>
          <w:color w:val="000000" w:themeColor="text1"/>
          <w:sz w:val="24"/>
          <w:szCs w:val="24"/>
          <w14:textFill>
            <w14:solidFill>
              <w14:schemeClr w14:val="tx1"/>
            </w14:solidFill>
          </w14:textFill>
        </w:rPr>
        <w:t>21、迟交的投标文件</w:t>
      </w:r>
      <w:bookmarkEnd w:id="160"/>
      <w:bookmarkEnd w:id="161"/>
      <w:bookmarkEnd w:id="162"/>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21.1</w:t>
      </w:r>
      <w:r>
        <w:rPr>
          <w:rFonts w:hint="eastAsia" w:ascii="宋体" w:hAnsi="宋体" w:cs="宋体"/>
          <w:bCs/>
          <w:color w:val="000000" w:themeColor="text1"/>
          <w:sz w:val="24"/>
          <w:szCs w:val="24"/>
          <w14:textFill>
            <w14:solidFill>
              <w14:schemeClr w14:val="tx1"/>
            </w14:solidFill>
          </w14:textFill>
        </w:rPr>
        <w:t xml:space="preserve"> 采购人和采购代理机构拒绝接收在其规定的投标截止时间后递交的任何投标文件。</w:t>
      </w:r>
    </w:p>
    <w:p>
      <w:pPr>
        <w:pStyle w:val="2"/>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63" w:name="_Toc513029228"/>
      <w:bookmarkStart w:id="164" w:name="_Toc20823300"/>
      <w:bookmarkStart w:id="165" w:name="_Toc16938544"/>
      <w:r>
        <w:rPr>
          <w:rFonts w:hint="eastAsia" w:ascii="宋体" w:hAnsi="宋体" w:cs="宋体"/>
          <w:b w:val="0"/>
          <w:color w:val="000000" w:themeColor="text1"/>
          <w:sz w:val="24"/>
          <w:szCs w:val="24"/>
          <w14:textFill>
            <w14:solidFill>
              <w14:schemeClr w14:val="tx1"/>
            </w14:solidFill>
          </w14:textFill>
        </w:rPr>
        <w:t>22、投标文件的修改和撤回</w:t>
      </w:r>
      <w:bookmarkEnd w:id="163"/>
      <w:bookmarkEnd w:id="164"/>
      <w:bookmarkEnd w:id="165"/>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22.1</w:t>
      </w:r>
      <w:r>
        <w:rPr>
          <w:rFonts w:hint="eastAsia" w:ascii="宋体" w:hAnsi="宋体" w:cs="宋体"/>
          <w:bCs/>
          <w:color w:val="000000" w:themeColor="text1"/>
          <w:sz w:val="24"/>
          <w:szCs w:val="24"/>
          <w14:textFill>
            <w14:solidFill>
              <w14:schemeClr w14:val="tx1"/>
            </w14:solidFill>
          </w14:textFill>
        </w:rPr>
        <w:t xml:space="preserve"> 投标人在递交投标文件后，可以修改或撤回其投标文件，但这种修改和撤回，必须在规定的投标截止时间前，以书面形式</w:t>
      </w:r>
      <w:r>
        <w:rPr>
          <w:rFonts w:hint="eastAsia" w:ascii="宋体" w:hAnsi="宋体" w:cs="宋体"/>
          <w:color w:val="000000" w:themeColor="text1"/>
          <w:sz w:val="24"/>
          <w:szCs w:val="24"/>
          <w14:textFill>
            <w14:solidFill>
              <w14:schemeClr w14:val="tx1"/>
            </w14:solidFill>
          </w14:textFill>
        </w:rPr>
        <w:t>通知采购人或采购代理机构，修改或撤回其投标文件。</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22.2</w:t>
      </w:r>
      <w:r>
        <w:rPr>
          <w:rFonts w:hint="eastAsia" w:ascii="宋体" w:hAnsi="宋体" w:cs="宋体"/>
          <w:bCs/>
          <w:color w:val="000000" w:themeColor="text1"/>
          <w:sz w:val="24"/>
          <w:szCs w:val="24"/>
          <w14:textFill>
            <w14:solidFill>
              <w14:schemeClr w14:val="tx1"/>
            </w14:solidFill>
          </w14:textFill>
        </w:rPr>
        <w:t xml:space="preserve"> 投标人的修改或撤回文件应按规定进行编制、密封、标记和发送，并应在封套上加注“修改”或“撤回”字样。</w:t>
      </w:r>
      <w:r>
        <w:rPr>
          <w:rFonts w:hint="eastAsia" w:ascii="宋体" w:hAnsi="宋体" w:cs="宋体"/>
          <w:color w:val="000000" w:themeColor="text1"/>
          <w:sz w:val="24"/>
          <w:szCs w:val="24"/>
          <w14:textFill>
            <w14:solidFill>
              <w14:schemeClr w14:val="tx1"/>
            </w14:solidFill>
          </w14:textFill>
        </w:rPr>
        <w:t>上述补充或修改若涉及投标报价，必须注明“最后唯一报价”字样，否则将视为有选择的报价。修改文件必须在投标截止时间前送达采购人或采购代理机构。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22.3</w:t>
      </w:r>
      <w:r>
        <w:rPr>
          <w:rFonts w:hint="eastAsia" w:ascii="宋体" w:hAnsi="宋体" w:cs="宋体"/>
          <w:bCs/>
          <w:color w:val="000000" w:themeColor="text1"/>
          <w:sz w:val="24"/>
          <w:szCs w:val="24"/>
          <w14:textFill>
            <w14:solidFill>
              <w14:schemeClr w14:val="tx1"/>
            </w14:solidFill>
          </w14:textFill>
        </w:rPr>
        <w:t xml:space="preserve"> 在投标截止时间之后，投标人不得对其投标文件作任何修改。</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22.4</w:t>
      </w:r>
      <w:r>
        <w:rPr>
          <w:rFonts w:hint="eastAsia" w:ascii="宋体" w:hAnsi="宋体" w:cs="宋体"/>
          <w:bCs/>
          <w:color w:val="000000" w:themeColor="text1"/>
          <w:sz w:val="24"/>
          <w:szCs w:val="24"/>
          <w14:textFill>
            <w14:solidFill>
              <w14:schemeClr w14:val="tx1"/>
            </w14:solidFill>
          </w14:textFill>
        </w:rPr>
        <w:t xml:space="preserve"> 在投标截止时间至招标文件中规定的投标有效期满之间的这段时间内，投标人不得撤回其投标，否则其投标保证金将不予退还。</w:t>
      </w:r>
    </w:p>
    <w:p>
      <w:pPr>
        <w:pStyle w:val="5"/>
        <w:spacing w:before="0" w:after="0" w:line="440" w:lineRule="exact"/>
        <w:ind w:firstLine="482" w:firstLineChars="200"/>
        <w:rPr>
          <w:rFonts w:ascii="宋体" w:hAnsi="宋体" w:cs="宋体"/>
          <w:color w:val="000000" w:themeColor="text1"/>
          <w:sz w:val="24"/>
          <w:szCs w:val="24"/>
          <w14:textFill>
            <w14:solidFill>
              <w14:schemeClr w14:val="tx1"/>
            </w14:solidFill>
          </w14:textFill>
        </w:rPr>
      </w:pPr>
      <w:bookmarkStart w:id="166" w:name="_Toc20823301"/>
      <w:bookmarkStart w:id="167" w:name="_Toc513029229"/>
      <w:bookmarkStart w:id="168" w:name="_Toc120614218"/>
      <w:bookmarkStart w:id="169" w:name="_Toc16938545"/>
      <w:r>
        <w:rPr>
          <w:rFonts w:hint="eastAsia" w:ascii="宋体" w:hAnsi="宋体" w:cs="宋体"/>
          <w:color w:val="000000" w:themeColor="text1"/>
          <w:sz w:val="24"/>
          <w:szCs w:val="24"/>
          <w14:textFill>
            <w14:solidFill>
              <w14:schemeClr w14:val="tx1"/>
            </w14:solidFill>
          </w14:textFill>
        </w:rPr>
        <w:t>五、开标与评标</w:t>
      </w:r>
      <w:bookmarkEnd w:id="166"/>
      <w:bookmarkEnd w:id="167"/>
      <w:bookmarkEnd w:id="168"/>
      <w:bookmarkEnd w:id="169"/>
    </w:p>
    <w:p>
      <w:pPr>
        <w:pStyle w:val="2"/>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70" w:name="_Toc20823302"/>
      <w:bookmarkStart w:id="171" w:name="_Toc513029230"/>
      <w:bookmarkStart w:id="172" w:name="_Toc16938546"/>
      <w:r>
        <w:rPr>
          <w:rFonts w:hint="eastAsia" w:ascii="宋体" w:hAnsi="宋体" w:cs="宋体"/>
          <w:b w:val="0"/>
          <w:color w:val="000000" w:themeColor="text1"/>
          <w:sz w:val="24"/>
          <w:szCs w:val="24"/>
          <w14:textFill>
            <w14:solidFill>
              <w14:schemeClr w14:val="tx1"/>
            </w14:solidFill>
          </w14:textFill>
        </w:rPr>
        <w:t>23、开标</w:t>
      </w:r>
      <w:bookmarkEnd w:id="170"/>
      <w:bookmarkEnd w:id="171"/>
      <w:bookmarkEnd w:id="172"/>
    </w:p>
    <w:p>
      <w:pPr>
        <w:snapToGrid w:val="0"/>
        <w:spacing w:line="360" w:lineRule="auto"/>
        <w:ind w:firstLine="482" w:firstLineChars="200"/>
        <w:rPr>
          <w:rStyle w:val="115"/>
          <w:rFonts w:ascii="宋体" w:hAnsi="宋体"/>
          <w:b/>
          <w:sz w:val="24"/>
          <w:szCs w:val="24"/>
        </w:rPr>
      </w:pPr>
      <w:r>
        <w:rPr>
          <w:rStyle w:val="115"/>
          <w:rFonts w:hint="eastAsia" w:ascii="宋体" w:hAnsi="宋体"/>
          <w:b/>
          <w:sz w:val="24"/>
          <w:szCs w:val="24"/>
        </w:rPr>
        <w:t>23.1各投标人需在开标前提前下载“腾讯会议”直播APP，加入会议，</w:t>
      </w:r>
      <w:r>
        <w:rPr>
          <w:rStyle w:val="115"/>
          <w:rFonts w:hint="eastAsia" w:ascii="宋体" w:hAnsi="宋体"/>
          <w:b/>
          <w:sz w:val="24"/>
          <w:szCs w:val="24"/>
          <w:highlight w:val="yellow"/>
        </w:rPr>
        <w:t>腾讯会议号：</w:t>
      </w:r>
      <w:r>
        <w:rPr>
          <w:rStyle w:val="115"/>
          <w:rFonts w:hint="eastAsia" w:ascii="宋体" w:hAnsi="宋体"/>
          <w:b/>
          <w:sz w:val="24"/>
          <w:szCs w:val="24"/>
          <w:highlight w:val="yellow"/>
          <w:lang w:val="en-US" w:eastAsia="zh-CN"/>
        </w:rPr>
        <w:t>142</w:t>
      </w:r>
      <w:r>
        <w:rPr>
          <w:rStyle w:val="115"/>
          <w:rFonts w:hint="eastAsia" w:ascii="宋体" w:hAnsi="宋体"/>
          <w:b/>
          <w:sz w:val="24"/>
          <w:szCs w:val="24"/>
          <w:highlight w:val="yellow"/>
        </w:rPr>
        <w:t xml:space="preserve">- </w:t>
      </w:r>
      <w:r>
        <w:rPr>
          <w:rStyle w:val="115"/>
          <w:rFonts w:hint="eastAsia" w:ascii="宋体" w:hAnsi="宋体"/>
          <w:b/>
          <w:sz w:val="24"/>
          <w:szCs w:val="24"/>
          <w:highlight w:val="yellow"/>
          <w:lang w:val="en-US" w:eastAsia="zh-CN"/>
        </w:rPr>
        <w:t>699</w:t>
      </w:r>
      <w:r>
        <w:rPr>
          <w:rStyle w:val="115"/>
          <w:rFonts w:hint="eastAsia" w:ascii="宋体" w:hAnsi="宋体"/>
          <w:b/>
          <w:sz w:val="24"/>
          <w:szCs w:val="24"/>
          <w:highlight w:val="yellow"/>
        </w:rPr>
        <w:t>-</w:t>
      </w:r>
      <w:r>
        <w:rPr>
          <w:rStyle w:val="115"/>
          <w:rFonts w:hint="eastAsia" w:ascii="宋体" w:hAnsi="宋体"/>
          <w:b/>
          <w:sz w:val="24"/>
          <w:szCs w:val="24"/>
          <w:highlight w:val="yellow"/>
          <w:lang w:val="en-US" w:eastAsia="zh-CN"/>
        </w:rPr>
        <w:t>438</w:t>
      </w:r>
      <w:r>
        <w:rPr>
          <w:rStyle w:val="115"/>
          <w:rFonts w:hint="eastAsia" w:ascii="宋体" w:hAnsi="宋体"/>
          <w:b/>
          <w:sz w:val="24"/>
          <w:szCs w:val="24"/>
          <w:highlight w:val="none"/>
        </w:rPr>
        <w:t xml:space="preserve"> </w:t>
      </w:r>
      <w:r>
        <w:rPr>
          <w:rStyle w:val="115"/>
          <w:rFonts w:hint="eastAsia" w:ascii="宋体" w:hAnsi="宋体"/>
          <w:b/>
          <w:sz w:val="24"/>
          <w:szCs w:val="24"/>
        </w:rPr>
        <w:t>直接观看直播和在线交流。各投标人自行准备相关硬件设备，确保网络畅通，音响保持正常使用状态。不得因未能观看到视频直播对开标会议提出质疑。</w:t>
      </w:r>
    </w:p>
    <w:p>
      <w:pPr>
        <w:snapToGrid w:val="0"/>
        <w:spacing w:line="360" w:lineRule="auto"/>
        <w:ind w:firstLine="482" w:firstLineChars="200"/>
        <w:rPr>
          <w:rStyle w:val="115"/>
          <w:rFonts w:ascii="宋体" w:hAnsi="宋体"/>
          <w:b/>
          <w:sz w:val="24"/>
          <w:szCs w:val="24"/>
        </w:rPr>
      </w:pPr>
      <w:r>
        <w:rPr>
          <w:rStyle w:val="115"/>
          <w:rFonts w:hint="eastAsia" w:ascii="宋体" w:hAnsi="宋体"/>
          <w:b/>
          <w:sz w:val="24"/>
          <w:szCs w:val="24"/>
        </w:rPr>
        <w:t>23.2投标人必须在投标文件提交截止时间后15分钟内，使用发送投标文件的同一邮箱将响应文件的解密密码发送至招标人指定的邮箱，邮件发送主题上标明“投标人简称（不超五个字）+汽车与交通学院汽车技术技能大赛检测与维修实训设备解密密码”字样。投标人在规定的时间内未发送或发送的解密密码不正确导致无法解密的，作无效标书处理。</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23.</w:t>
      </w:r>
      <w:r>
        <w:rPr>
          <w:rFonts w:hint="eastAsia" w:ascii="宋体" w:hAnsi="宋体" w:cs="宋体"/>
          <w:bCs/>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开标仪式由采购人或采购代理机构组织，采购人代表</w:t>
      </w:r>
      <w:r>
        <w:rPr>
          <w:rFonts w:hint="eastAsia" w:ascii="宋体" w:hAnsi="宋体" w:cs="宋体"/>
          <w:b/>
          <w:color w:val="000000" w:themeColor="text1"/>
          <w:sz w:val="24"/>
          <w:szCs w:val="24"/>
          <w14:textFill>
            <w14:solidFill>
              <w14:schemeClr w14:val="tx1"/>
            </w14:solidFill>
          </w14:textFill>
        </w:rPr>
        <w:t>(需提供单位授权函)</w:t>
      </w:r>
      <w:r>
        <w:rPr>
          <w:rFonts w:hint="eastAsia" w:ascii="宋体" w:hAnsi="宋体" w:cs="宋体"/>
          <w:color w:val="000000" w:themeColor="text1"/>
          <w:sz w:val="24"/>
          <w:szCs w:val="24"/>
          <w14:textFill>
            <w14:solidFill>
              <w14:schemeClr w14:val="tx1"/>
            </w14:solidFill>
          </w14:textFill>
        </w:rPr>
        <w:t>、监管代表、投标人代表等参加。</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cs="宋体"/>
          <w:bCs/>
          <w:color w:val="000000" w:themeColor="text1"/>
          <w:sz w:val="24"/>
          <w:szCs w:val="24"/>
          <w14:textFill>
            <w14:solidFill>
              <w14:schemeClr w14:val="tx1"/>
            </w14:solidFill>
          </w14:textFill>
        </w:rPr>
        <w:t>按照规定同意撤回的投标将不予开封。</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 xml:space="preserve">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采购人或采购代理机构将指定专人负责开标记录并存档备查，各投标人需仔细核对开标记录相关内容并签字确认。</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w:t>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 xml:space="preserve"> 投标人在报价时不允许采用选择性报价，否则将被视为无效投标。</w:t>
      </w:r>
    </w:p>
    <w:p>
      <w:pPr>
        <w:pStyle w:val="2"/>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73" w:name="_Toc20823303"/>
      <w:bookmarkStart w:id="174" w:name="_Toc513029231"/>
      <w:bookmarkStart w:id="175" w:name="_Toc16938547"/>
      <w:r>
        <w:rPr>
          <w:rFonts w:hint="eastAsia" w:ascii="宋体" w:hAnsi="宋体" w:cs="宋体"/>
          <w:b w:val="0"/>
          <w:color w:val="000000" w:themeColor="text1"/>
          <w:sz w:val="24"/>
          <w:szCs w:val="24"/>
          <w14:textFill>
            <w14:solidFill>
              <w14:schemeClr w14:val="tx1"/>
            </w14:solidFill>
          </w14:textFill>
        </w:rPr>
        <w:t>24、资格审查</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24.1</w:t>
      </w:r>
      <w:r>
        <w:rPr>
          <w:rFonts w:hint="eastAsia" w:ascii="宋体" w:hAnsi="宋体" w:cs="宋体"/>
          <w:bCs/>
          <w:color w:val="000000" w:themeColor="text1"/>
          <w:sz w:val="24"/>
          <w:szCs w:val="24"/>
          <w14:textFill>
            <w14:solidFill>
              <w14:schemeClr w14:val="tx1"/>
            </w14:solidFill>
          </w14:textFill>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接受联合体的项目，两个以上的自然人、法人或者其他组织组成一个联合体，以一个供应商的身份共同参加政府采购活动的,联合体成员存在不良信用记录的，视同联合体存在不良应用记录。</w:t>
      </w:r>
    </w:p>
    <w:p>
      <w:pPr>
        <w:widowControl/>
        <w:spacing w:line="440" w:lineRule="exact"/>
        <w:ind w:firstLine="480" w:firstLineChars="200"/>
        <w:textAlignment w:val="baseline"/>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合格投标人不足3家的，不得评标。</w:t>
      </w:r>
    </w:p>
    <w:p>
      <w:pPr>
        <w:pStyle w:val="2"/>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t>25、评标委员会</w:t>
      </w:r>
    </w:p>
    <w:p>
      <w:pPr>
        <w:spacing w:line="440" w:lineRule="exact"/>
        <w:ind w:firstLine="480"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25.1资格审查通过后，采购人将组织评标委员会（以下简称评委会）进行评标。</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25.2 评委会由采购人代表和有关技术、经济等方面的专家组成，且人员构成符合政府采购有关规定。</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25.3评委会独立工作，负责评审所有投标文件并确定中标侯选人。</w:t>
      </w:r>
    </w:p>
    <w:p>
      <w:pPr>
        <w:pStyle w:val="2"/>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t>26、评标过程的保密与公正</w:t>
      </w:r>
    </w:p>
    <w:bookmarkEnd w:id="173"/>
    <w:bookmarkEnd w:id="174"/>
    <w:bookmarkEnd w:id="175"/>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26.1</w:t>
      </w:r>
      <w:r>
        <w:rPr>
          <w:rFonts w:hint="eastAsia" w:ascii="宋体" w:hAnsi="宋体" w:cs="宋体"/>
          <w:bCs/>
          <w:color w:val="000000" w:themeColor="text1"/>
          <w:sz w:val="24"/>
          <w:szCs w:val="24"/>
          <w14:textFill>
            <w14:solidFill>
              <w14:schemeClr w14:val="tx1"/>
            </w14:solidFill>
          </w14:textFill>
        </w:rPr>
        <w:t>公开开标后，直至签订合同之日止，凡是与审查、澄清、评价和比较投标的有关资料以及授标建议等，采购人、评委、采购人和采购代理机构均不得向投标人或与评标无关的其他人员透露。</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26.2在评标过程中，投标人不得以任何行为影响评标过程，否则其投标文件将被作为无效投标文件。</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26.3在评标期间，采购人或采购代理机构将设专门人员与投标人联系。</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26.4 采购人、采购代理机构和评标委员会不向落标的投标人解释未中标原因，也不公布评标过程中的相关细节。</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26.5 采用综合评分法的项目，未中标的投标人如需了解自己的评审得分及排序情况，可向采购人提出申请。</w:t>
      </w:r>
    </w:p>
    <w:p>
      <w:pPr>
        <w:pStyle w:val="2"/>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76" w:name="_Toc16938548"/>
      <w:bookmarkStart w:id="177" w:name="_Toc513029232"/>
      <w:bookmarkStart w:id="178" w:name="_Toc20823304"/>
      <w:r>
        <w:rPr>
          <w:rFonts w:hint="eastAsia" w:ascii="宋体" w:hAnsi="宋体" w:cs="宋体"/>
          <w:b w:val="0"/>
          <w:color w:val="000000" w:themeColor="text1"/>
          <w:sz w:val="24"/>
          <w:szCs w:val="24"/>
          <w14:textFill>
            <w14:solidFill>
              <w14:schemeClr w14:val="tx1"/>
            </w14:solidFill>
          </w14:textFill>
        </w:rPr>
        <w:t>27、投标的澄清</w:t>
      </w:r>
      <w:bookmarkEnd w:id="176"/>
      <w:bookmarkEnd w:id="177"/>
      <w:bookmarkEnd w:id="178"/>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27.1评标期间，为有助于对投标文件的审查、评价和比较，评委会有权以书面形式要求投标人对其投标文件进行澄清，但并非对每个投标人都作澄清要求。</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27.3 接到评委会澄清要求的投标人如未按规定做出澄清，其风险由投标人自行承担。</w:t>
      </w:r>
    </w:p>
    <w:p>
      <w:pPr>
        <w:pStyle w:val="2"/>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79" w:name="_Toc513029233"/>
      <w:bookmarkStart w:id="180" w:name="_Toc20823305"/>
      <w:bookmarkStart w:id="181" w:name="_Toc16938549"/>
      <w:r>
        <w:rPr>
          <w:rFonts w:hint="eastAsia" w:ascii="宋体" w:hAnsi="宋体" w:cs="宋体"/>
          <w:b w:val="0"/>
          <w:color w:val="000000" w:themeColor="text1"/>
          <w:sz w:val="24"/>
          <w:szCs w:val="24"/>
          <w14:textFill>
            <w14:solidFill>
              <w14:schemeClr w14:val="tx1"/>
            </w14:solidFill>
          </w14:textFill>
        </w:rPr>
        <w:t>28、对投标文件的评审</w:t>
      </w:r>
      <w:bookmarkEnd w:id="179"/>
      <w:bookmarkEnd w:id="180"/>
      <w:bookmarkEnd w:id="181"/>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28.1</w:t>
      </w:r>
      <w:r>
        <w:rPr>
          <w:rFonts w:hint="eastAsia" w:ascii="宋体" w:hAnsi="宋体" w:cs="宋体"/>
          <w:bCs/>
          <w:color w:val="000000" w:themeColor="text1"/>
          <w:sz w:val="24"/>
          <w:szCs w:val="24"/>
          <w14:textFill>
            <w14:solidFill>
              <w14:schemeClr w14:val="tx1"/>
            </w14:solidFill>
          </w14:textFill>
        </w:rPr>
        <w:t>符合性检查：依据招标文件的规定，从投标文件的有效性、完整性和对招标文件的响应程度进行审查，以确定是否对招标文件的实质性要求作出响应。</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28.2在详细评标之前，评委会将首先审查每份投标文件是否实质性响应了招标文件的要求。实质性响应的投标应该是与招标文件要求的全部条款、条件和规格相符，没有重大偏离或保留的投标。</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ascii="宋体" w:hAnsi="宋体" w:cs="宋体"/>
          <w:bCs/>
          <w:color w:val="000000" w:themeColor="text1"/>
          <w:sz w:val="24"/>
          <w:szCs w:val="24"/>
          <w14:textFill>
            <w14:solidFill>
              <w14:schemeClr w14:val="tx1"/>
            </w14:solidFill>
          </w14:textFill>
        </w:rPr>
        <w:t>评委决定投标文件的响应性只根据投标文件本身的内容，而不寻求外部的证据。</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28.3</w:t>
      </w:r>
      <w:r>
        <w:rPr>
          <w:rFonts w:hint="eastAsia" w:ascii="宋体" w:hAnsi="宋体" w:cs="宋体"/>
          <w:bCs/>
          <w:color w:val="000000" w:themeColor="text1"/>
          <w:sz w:val="24"/>
          <w:szCs w:val="24"/>
          <w14:textFill>
            <w14:solidFill>
              <w14:schemeClr w14:val="tx1"/>
            </w14:solidFill>
          </w14:textFill>
        </w:rPr>
        <w:t>如果投标文件实质上没有响应招标文件的要求，评委会将按无效投标处理，投标人不得通过修改或撤销不合要求的偏离或保留而使其投标成为实质性响应的投标。</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28.4</w:t>
      </w:r>
      <w:r>
        <w:rPr>
          <w:rFonts w:hint="eastAsia" w:ascii="宋体" w:hAnsi="宋体" w:cs="宋体"/>
          <w:bCs/>
          <w:color w:val="000000" w:themeColor="text1"/>
          <w:sz w:val="24"/>
          <w:szCs w:val="24"/>
          <w14:textFill>
            <w14:solidFill>
              <w14:schemeClr w14:val="tx1"/>
            </w14:solidFill>
          </w14:textFill>
        </w:rPr>
        <w:t>评委会将对确定为实质性响应的投标进行进一步审核，看其是否有计算上或累加上的算术错误，修正错误的原则如下：</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（1）投标文件中开标一览表内容与投标文件中相应内容不一致的，以开标一览表为准。</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（2）大写金额和小写金额不一致的，以大写金额为准。</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（3）单价金额小数点或者百分比有明显错位的，以开标一览表的总价为准，并修改单价。</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（4）总价金额与按单价汇总金额不一致的，以单价金额计算结果为准。</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同时出现两种以上错误的，按照前款规定的顺序修正。</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28.5</w:t>
      </w:r>
      <w:r>
        <w:rPr>
          <w:rFonts w:hint="eastAsia" w:ascii="宋体" w:hAnsi="宋体" w:cs="宋体"/>
          <w:bCs/>
          <w:color w:val="000000" w:themeColor="text1"/>
          <w:sz w:val="24"/>
          <w:szCs w:val="24"/>
          <w14:textFill>
            <w14:solidFill>
              <w14:schemeClr w14:val="tx1"/>
            </w14:solidFill>
          </w14:textFill>
        </w:rPr>
        <w:t>评委会将按上述修正错误的方法调整投标文件中的投标报价，调整后的价格应对投标人具有约束力。如果投标人不接受修正后的价格，则其投标将被拒绝。</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28.6</w:t>
      </w:r>
      <w:r>
        <w:rPr>
          <w:rFonts w:hint="eastAsia" w:ascii="宋体" w:hAnsi="宋体" w:cs="宋体"/>
          <w:bCs/>
          <w:color w:val="000000" w:themeColor="text1"/>
          <w:sz w:val="24"/>
          <w:szCs w:val="24"/>
          <w14:textFill>
            <w14:solidFill>
              <w14:schemeClr w14:val="tx1"/>
            </w14:solidFill>
          </w14:textFill>
        </w:rPr>
        <w:t>评委会将允许修正投标文件中不构成重大偏离的、微小的、非正规的、不一致的或不规则的地方，但这些修改不能影响任何投标人相应的名次排列。</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28.7</w:t>
      </w:r>
      <w:r>
        <w:rPr>
          <w:rFonts w:hint="eastAsia" w:ascii="宋体" w:hAnsi="宋体" w:cs="宋体"/>
          <w:b/>
          <w:color w:val="000000" w:themeColor="text1"/>
          <w:sz w:val="24"/>
          <w:szCs w:val="24"/>
          <w14:textFill>
            <w14:solidFill>
              <w14:schemeClr w14:val="tx1"/>
            </w14:solidFill>
          </w14:textFill>
        </w:rPr>
        <w:t>采用最低评标价法的采购项目，</w:t>
      </w:r>
      <w:r>
        <w:rPr>
          <w:rFonts w:hint="eastAsia" w:ascii="宋体" w:hAnsi="宋体" w:cs="宋体"/>
          <w:color w:val="000000" w:themeColor="text1"/>
          <w:sz w:val="24"/>
          <w:szCs w:val="24"/>
          <w14:textFill>
            <w14:solidFill>
              <w14:schemeClr w14:val="tx1"/>
            </w14:solidFill>
          </w14:textFill>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pacing w:line="440" w:lineRule="exact"/>
        <w:ind w:firstLine="482" w:firstLineChars="200"/>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使用综合评分法的采购项目，</w:t>
      </w:r>
      <w:r>
        <w:rPr>
          <w:rFonts w:hint="eastAsia" w:ascii="宋体" w:hAnsi="宋体" w:cs="宋体"/>
          <w:color w:val="000000" w:themeColor="text1"/>
          <w:sz w:val="24"/>
          <w:szCs w:val="24"/>
          <w14:textFill>
            <w14:solidFill>
              <w14:schemeClr w14:val="tx1"/>
            </w14:solidFill>
          </w14:textFill>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40" w:lineRule="exact"/>
        <w:ind w:firstLine="482" w:firstLineChars="200"/>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非单一产品采购项目，</w:t>
      </w:r>
      <w:r>
        <w:rPr>
          <w:rFonts w:hint="eastAsia" w:ascii="宋体" w:hAnsi="宋体" w:cs="宋体"/>
          <w:color w:val="000000" w:themeColor="text1"/>
          <w:sz w:val="24"/>
          <w:szCs w:val="24"/>
          <w14:textFill>
            <w14:solidFill>
              <w14:schemeClr w14:val="tx1"/>
            </w14:solidFill>
          </w14:textFill>
        </w:rPr>
        <w:t>采购人应当根据采购项目技术构成、产品价格比重等合理确定核心产品，并在招标文件中载明。多家投标人提供的核心产品品牌相同的，按前两款规定处理。 (87号令第31条)</w:t>
      </w:r>
    </w:p>
    <w:p>
      <w:pPr>
        <w:pStyle w:val="2"/>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82" w:name="_Toc20823306"/>
      <w:bookmarkStart w:id="183" w:name="_Toc16938550"/>
      <w:bookmarkStart w:id="184" w:name="_Toc513029234"/>
      <w:r>
        <w:rPr>
          <w:rFonts w:hint="eastAsia" w:ascii="宋体" w:hAnsi="宋体" w:cs="宋体"/>
          <w:b w:val="0"/>
          <w:color w:val="000000" w:themeColor="text1"/>
          <w:sz w:val="24"/>
          <w:szCs w:val="24"/>
          <w14:textFill>
            <w14:solidFill>
              <w14:schemeClr w14:val="tx1"/>
            </w14:solidFill>
          </w14:textFill>
        </w:rPr>
        <w:t>29、</w:t>
      </w:r>
      <w:bookmarkEnd w:id="182"/>
      <w:bookmarkEnd w:id="183"/>
      <w:bookmarkEnd w:id="184"/>
      <w:r>
        <w:rPr>
          <w:rFonts w:hint="eastAsia" w:ascii="宋体" w:hAnsi="宋体" w:cs="宋体"/>
          <w:b w:val="0"/>
          <w:color w:val="000000" w:themeColor="text1"/>
          <w:sz w:val="24"/>
          <w:szCs w:val="24"/>
          <w14:textFill>
            <w14:solidFill>
              <w14:schemeClr w14:val="tx1"/>
            </w14:solidFill>
          </w14:textFill>
        </w:rPr>
        <w:t>无效投标条款和废标条款</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bookmarkStart w:id="185" w:name="_Toc16938551"/>
      <w:bookmarkStart w:id="186" w:name="_Toc20823307"/>
      <w:bookmarkStart w:id="187" w:name="_Toc513029235"/>
      <w:r>
        <w:rPr>
          <w:rFonts w:hint="eastAsia" w:ascii="宋体" w:hAnsi="宋体" w:cs="宋体"/>
          <w:bCs/>
          <w:color w:val="000000" w:themeColor="text1"/>
          <w:sz w:val="24"/>
          <w:szCs w:val="24"/>
          <w14:textFill>
            <w14:solidFill>
              <w14:schemeClr w14:val="tx1"/>
            </w14:solidFill>
          </w14:textFill>
        </w:rPr>
        <w:t>29.1无效投标条款</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29.1.1未按照招标文件规定要求密封、签署、盖章的；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29.1.2投标人在报价时采用选择性报价；</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29.1.3投标人不具备招标文件中规定资格要求的；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29.1.4投标人的报价超过了采购预算或最高限价的；</w:t>
      </w:r>
    </w:p>
    <w:p>
      <w:pPr>
        <w:spacing w:line="440" w:lineRule="exact"/>
        <w:ind w:firstLine="480" w:firstLineChars="200"/>
        <w:rPr>
          <w:rFonts w:ascii="宋体" w:hAnsi="宋体" w:cs="宋体"/>
          <w:bCs/>
          <w:i/>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29.1.5未通过符合性检查的；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29.1.6不符合招标文件中规定的其他实质性要求和条件的；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29.1.7 投标人串通投标；</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29.1.8 投标文件含有采购人不能接受的附加条件的。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29.1.9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29.1.10其他法律、法规及本招标文件规定的属无效投标的情形。</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29.2废标条款：                                                                                                                                                                                                                                                                                                                                                                                                                                                                                                                                                                                                                                                                                                                                                                                                                                                                                                                                                                                                                                                                                                                                                                                                                                                                                                                                                                                                                                                                         </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29.2.1符合专业条件的供应商或者对招标文件作实质响应的供应商不足三家的；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29.2.2出现影响采购公正的违法、违规行为的；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29.2.3因重大变故，采购任务取消的；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29.2.4评标委员会认定招标文件存在歧义、 重大缺陷导致评审工作无法进行。</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29.3 投标截止时间结束后参加投标的供应商不足三家的处理：</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29.3.1如出现投标截止时间结束后参加投标的供应商或者在评标期间对招标文件做出实质响应的供应商不足三家情况，按财政部第八十七号令第四十三条的规定执行。</w:t>
      </w:r>
    </w:p>
    <w:p>
      <w:pPr>
        <w:pStyle w:val="5"/>
        <w:spacing w:before="0" w:after="0" w:line="440" w:lineRule="exact"/>
        <w:ind w:firstLine="482" w:firstLineChars="200"/>
        <w:rPr>
          <w:rFonts w:ascii="宋体" w:hAnsi="宋体" w:cs="宋体"/>
          <w:color w:val="000000" w:themeColor="text1"/>
          <w:sz w:val="24"/>
          <w:szCs w:val="24"/>
          <w14:textFill>
            <w14:solidFill>
              <w14:schemeClr w14:val="tx1"/>
            </w14:solidFill>
          </w14:textFill>
        </w:rPr>
      </w:pPr>
      <w:bookmarkStart w:id="188" w:name="_Toc120614219"/>
      <w:r>
        <w:rPr>
          <w:rFonts w:hint="eastAsia" w:ascii="宋体" w:hAnsi="宋体" w:cs="宋体"/>
          <w:color w:val="000000" w:themeColor="text1"/>
          <w:sz w:val="24"/>
          <w:szCs w:val="24"/>
          <w14:textFill>
            <w14:solidFill>
              <w14:schemeClr w14:val="tx1"/>
            </w14:solidFill>
          </w14:textFill>
        </w:rPr>
        <w:t>六、</w:t>
      </w:r>
      <w:bookmarkEnd w:id="185"/>
      <w:bookmarkEnd w:id="186"/>
      <w:bookmarkEnd w:id="187"/>
      <w:r>
        <w:rPr>
          <w:rFonts w:hint="eastAsia" w:ascii="宋体" w:hAnsi="宋体" w:cs="宋体"/>
          <w:color w:val="000000" w:themeColor="text1"/>
          <w:sz w:val="24"/>
          <w:szCs w:val="24"/>
          <w14:textFill>
            <w14:solidFill>
              <w14:schemeClr w14:val="tx1"/>
            </w14:solidFill>
          </w14:textFill>
        </w:rPr>
        <w:t>定标</w:t>
      </w:r>
      <w:bookmarkEnd w:id="188"/>
    </w:p>
    <w:p>
      <w:pPr>
        <w:pStyle w:val="2"/>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89" w:name="_Toc513029238"/>
      <w:bookmarkStart w:id="190" w:name="_Toc16938554"/>
      <w:bookmarkStart w:id="191" w:name="_Toc20823310"/>
      <w:r>
        <w:rPr>
          <w:rFonts w:hint="eastAsia" w:ascii="宋体" w:hAnsi="宋体" w:cs="宋体"/>
          <w:b w:val="0"/>
          <w:color w:val="000000" w:themeColor="text1"/>
          <w:sz w:val="24"/>
          <w:szCs w:val="24"/>
          <w14:textFill>
            <w14:solidFill>
              <w14:schemeClr w14:val="tx1"/>
            </w14:solidFill>
          </w14:textFill>
        </w:rPr>
        <w:t>30、</w:t>
      </w:r>
      <w:bookmarkEnd w:id="189"/>
      <w:r>
        <w:rPr>
          <w:rFonts w:hint="eastAsia" w:ascii="宋体" w:hAnsi="宋体" w:cs="宋体"/>
          <w:b w:val="0"/>
          <w:color w:val="000000" w:themeColor="text1"/>
          <w:sz w:val="24"/>
          <w:szCs w:val="24"/>
          <w14:textFill>
            <w14:solidFill>
              <w14:schemeClr w14:val="tx1"/>
            </w14:solidFill>
          </w14:textFill>
        </w:rPr>
        <w:t>确定</w:t>
      </w:r>
      <w:bookmarkEnd w:id="190"/>
      <w:bookmarkEnd w:id="191"/>
      <w:r>
        <w:rPr>
          <w:rFonts w:hint="eastAsia" w:ascii="宋体" w:hAnsi="宋体" w:cs="宋体"/>
          <w:b w:val="0"/>
          <w:color w:val="000000" w:themeColor="text1"/>
          <w:sz w:val="24"/>
          <w:szCs w:val="24"/>
          <w14:textFill>
            <w14:solidFill>
              <w14:schemeClr w14:val="tx1"/>
            </w14:solidFill>
          </w14:textFill>
        </w:rPr>
        <w:t>中标单位</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30.1评委会根据本招标文件规定评标方法与评标标准向采购人推荐出中标候选人。</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30.2 采购人应根据评委会推荐的中标候选人确定中标供应商。</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30.3采购人</w:t>
      </w:r>
      <w:r>
        <w:rPr>
          <w:rFonts w:hint="eastAsia" w:ascii="宋体" w:hAnsi="宋体" w:cs="宋体"/>
          <w:color w:val="000000" w:themeColor="text1"/>
          <w:sz w:val="24"/>
          <w:szCs w:val="24"/>
          <w14:textFill>
            <w14:solidFill>
              <w14:schemeClr w14:val="tx1"/>
            </w14:solidFill>
          </w14:textFill>
        </w:rPr>
        <w:t>将盐城工业职业技术学院招标采购网发布中标公告，公告期限为1个工作日。</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30.4若有充分证据证明，中标供应商出现下列情况之一的，一经查实，将被取消中标资格：</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30.4.1提供虚假材料谋取中标的；</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30.4.2向采购人或采购代理机构行贿或者提供其他不正当利益的；</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30.4.3恶意竞争，投标总报价明显低于其自身合理成本且又无法提供证明的；</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30.4.4属于本文件规定的无效条件，但在评标过程中又未被评委会发现的；</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30.4.5与采购人或者其他供应商恶意串通的；</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30.4.6采取不正当手段诋毁、排挤其他供应商的；</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30.4.7不符合法律、法规的规定的。</w:t>
      </w:r>
      <w:bookmarkStart w:id="192" w:name="_Toc200451960"/>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30.5. </w:t>
      </w:r>
      <w:r>
        <w:rPr>
          <w:rFonts w:hint="eastAsia" w:ascii="宋体" w:hAnsi="宋体" w:cs="宋体"/>
          <w:color w:val="000000" w:themeColor="text1"/>
          <w:kern w:val="0"/>
          <w:sz w:val="24"/>
          <w:szCs w:val="24"/>
          <w14:textFill>
            <w14:solidFill>
              <w14:schemeClr w14:val="tx1"/>
            </w14:solidFill>
          </w14:textFill>
        </w:rPr>
        <w:t>有下列情形之一的，视为投标人串通投标，投标无效：</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30.5.1不同投标人的投标文件由同一单位或者个人编制。</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30.5.2不同投标人委托同一单位或者个人办理投标事宜。</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30.5.3 不同投标人的投标文件载明的项目管理成员或者联系人员为同一人。</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30.5.4不同投标人的投标文件异常一致或者投标报价呈规律性差异。</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30.5.5不同投标人的投标文件相互混装。</w:t>
      </w:r>
    </w:p>
    <w:p>
      <w:pPr>
        <w:pStyle w:val="2"/>
        <w:tabs>
          <w:tab w:val="left" w:pos="4120"/>
        </w:tabs>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t>31、质疑处理</w:t>
      </w:r>
      <w:bookmarkEnd w:id="192"/>
      <w:r>
        <w:rPr>
          <w:rFonts w:hint="eastAsia" w:ascii="宋体" w:hAnsi="宋体" w:cs="宋体"/>
          <w:b w:val="0"/>
          <w:color w:val="000000" w:themeColor="text1"/>
          <w:sz w:val="24"/>
          <w:szCs w:val="24"/>
          <w14:textFill>
            <w14:solidFill>
              <w14:schemeClr w14:val="tx1"/>
            </w14:solidFill>
          </w14:textFill>
        </w:rPr>
        <w:tab/>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44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31.1.1</w:t>
      </w:r>
      <w:r>
        <w:rPr>
          <w:rFonts w:hint="eastAsia" w:ascii="宋体" w:hAnsi="宋体" w:cs="宋体"/>
          <w:color w:val="000000" w:themeColor="text1"/>
          <w:kern w:val="0"/>
          <w:sz w:val="24"/>
          <w:szCs w:val="24"/>
          <w14:textFill>
            <w14:solidFill>
              <w14:schemeClr w14:val="tx1"/>
            </w14:solidFill>
          </w14:textFill>
        </w:rPr>
        <w:t>对可以质疑的招标文件提出质疑的，为收到招标文件之日或者招标文件公告期限届满之日；</w:t>
      </w:r>
    </w:p>
    <w:p>
      <w:pPr>
        <w:snapToGrid w:val="0"/>
        <w:spacing w:line="44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31.1.2</w:t>
      </w:r>
      <w:r>
        <w:rPr>
          <w:rFonts w:hint="eastAsia" w:ascii="宋体" w:hAnsi="宋体" w:cs="宋体"/>
          <w:color w:val="000000" w:themeColor="text1"/>
          <w:kern w:val="0"/>
          <w:sz w:val="24"/>
          <w:szCs w:val="24"/>
          <w14:textFill>
            <w14:solidFill>
              <w14:schemeClr w14:val="tx1"/>
            </w14:solidFill>
          </w14:textFill>
        </w:rPr>
        <w:t>对采购过程提出质疑的，为各采购程序环节结束之日；</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31.1.3</w:t>
      </w:r>
      <w:r>
        <w:rPr>
          <w:rFonts w:hint="eastAsia" w:ascii="宋体" w:hAnsi="宋体" w:cs="宋体"/>
          <w:color w:val="000000" w:themeColor="text1"/>
          <w:kern w:val="0"/>
          <w:sz w:val="24"/>
          <w:szCs w:val="24"/>
          <w14:textFill>
            <w14:solidFill>
              <w14:schemeClr w14:val="tx1"/>
            </w14:solidFill>
          </w14:textFill>
        </w:rPr>
        <w:t>对中标结果提出质疑的，为中标结果公告期限届满之日。</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31.3未参加投标活动的供应商或在投标活动中自身权益未受到损害的供应商所提出的质疑不予受理。</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31.4质疑函应当包括下列内容：</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31.4.1质疑投标人的名称、地址、邮编、联系人、联系电话；</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31.4.2具体的质疑事项及明确的请求；</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31.4.3认为自己合法权益受到损害或可能受到损害的相关证据材料；</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31.4.4提起质疑的日期；</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31.4.5质疑函应当署名：质疑人为自然人的，应当由本人签字并附有效身份证</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31.5采购人或采购代理机构收到质疑函后，将对质疑的形式和内容进行审查，如质疑函内容、格式不符合规定，采购人或采购代理机构将告知质疑人进行补正。</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31.6质疑人应当在法定质疑期限内进行补正并重新提交质疑函，拒不补正或者在法定期限内未重新提交质疑函的，为无效质疑，采购人和采购代理机构将不予受理。</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2"/>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t>32、中标通知书</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32.l中标结果确定后，采购人将向中标供应商发出中标通知书。</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32.2中标通知书将是合同的一个组成部分。对采购人和中标供应商均具有法律效力。中标通知书发出后，采购人改变中标结果的，或者中标供应商放弃中标项目的，应当依法承担法律责任。</w:t>
      </w:r>
    </w:p>
    <w:p>
      <w:pPr>
        <w:pStyle w:val="5"/>
        <w:spacing w:before="0" w:after="0" w:line="440" w:lineRule="exact"/>
        <w:ind w:firstLine="482" w:firstLineChars="200"/>
        <w:rPr>
          <w:rFonts w:ascii="宋体" w:hAnsi="宋体" w:cs="宋体"/>
          <w:color w:val="000000" w:themeColor="text1"/>
          <w:sz w:val="24"/>
          <w:szCs w:val="24"/>
          <w14:textFill>
            <w14:solidFill>
              <w14:schemeClr w14:val="tx1"/>
            </w14:solidFill>
          </w14:textFill>
        </w:rPr>
      </w:pPr>
      <w:bookmarkStart w:id="193" w:name="_Toc120614220"/>
      <w:bookmarkStart w:id="194" w:name="_Toc16938552"/>
      <w:bookmarkStart w:id="195" w:name="_Toc20823308"/>
      <w:bookmarkStart w:id="196" w:name="_Toc513029236"/>
      <w:r>
        <w:rPr>
          <w:rFonts w:hint="eastAsia" w:ascii="宋体" w:hAnsi="宋体" w:cs="宋体"/>
          <w:color w:val="000000" w:themeColor="text1"/>
          <w:sz w:val="24"/>
          <w:szCs w:val="24"/>
          <w14:textFill>
            <w14:solidFill>
              <w14:schemeClr w14:val="tx1"/>
            </w14:solidFill>
          </w14:textFill>
        </w:rPr>
        <w:t>七、合同</w:t>
      </w:r>
      <w:bookmarkEnd w:id="193"/>
      <w:r>
        <w:rPr>
          <w:rFonts w:hint="eastAsia" w:ascii="宋体" w:hAnsi="宋体" w:cs="宋体"/>
          <w:color w:val="000000" w:themeColor="text1"/>
          <w:sz w:val="24"/>
          <w:szCs w:val="24"/>
          <w14:textFill>
            <w14:solidFill>
              <w14:schemeClr w14:val="tx1"/>
            </w14:solidFill>
          </w14:textFill>
        </w:rPr>
        <w:t>签订相关事项</w:t>
      </w:r>
    </w:p>
    <w:bookmarkEnd w:id="194"/>
    <w:bookmarkEnd w:id="195"/>
    <w:bookmarkEnd w:id="196"/>
    <w:p>
      <w:pPr>
        <w:pStyle w:val="2"/>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97" w:name="_Toc513029237"/>
      <w:bookmarkStart w:id="198" w:name="_Toc16938553"/>
      <w:bookmarkStart w:id="199" w:name="_Toc20823309"/>
      <w:r>
        <w:rPr>
          <w:rFonts w:hint="eastAsia" w:ascii="宋体" w:hAnsi="宋体" w:cs="宋体"/>
          <w:b w:val="0"/>
          <w:color w:val="000000" w:themeColor="text1"/>
          <w:sz w:val="24"/>
          <w:szCs w:val="24"/>
          <w14:textFill>
            <w14:solidFill>
              <w14:schemeClr w14:val="tx1"/>
            </w14:solidFill>
          </w14:textFill>
        </w:rPr>
        <w:t>33. 签订合同</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33</w:t>
      </w:r>
      <w:r>
        <w:rPr>
          <w:rFonts w:hint="eastAsia" w:ascii="宋体" w:hAnsi="宋体" w:cs="宋体"/>
          <w:color w:val="000000" w:themeColor="text1"/>
          <w:sz w:val="24"/>
          <w:szCs w:val="24"/>
          <w14:textFill>
            <w14:solidFill>
              <w14:schemeClr w14:val="tx1"/>
            </w14:solidFill>
          </w14:textFill>
        </w:rPr>
        <w:t>.l中标供应商应按中标通知书规定的时间、地点,按照招标文件确定的事项与采购人签订政府采购合同，且不得迟于中标通知书发出之日起十五日内，由此给采购人造成损失的，中标供应商还应承担赔偿责任。</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33.2招标文件、中标供应商的投标文件及招标过程中有关澄清、承诺文件均应作为合同附件。</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2"/>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t>34、货物和服务的追加、减少和添购。</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34.1政府采购合同履行中，采购人需追加与合同标的相同的货物和服务的，在不改变合同其他条款的前提下，可以与中标供应商协商签订补充合同，但所有补充合同的采购金额不超过原合同金额10%。</w:t>
      </w:r>
    </w:p>
    <w:p>
      <w:pPr>
        <w:spacing w:line="440" w:lineRule="exact"/>
        <w:ind w:firstLine="480"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34.2采购结束后，采购人若由于各种客观原因，必须对采购项目所牵涉的货物和服务进行适当的减少时，在双方协商一致的前提下，可以按照招标采购时的价格水平做相应的调减，并据此签订补充合同。</w:t>
      </w:r>
    </w:p>
    <w:bookmarkEnd w:id="197"/>
    <w:bookmarkEnd w:id="198"/>
    <w:bookmarkEnd w:id="199"/>
    <w:p>
      <w:pPr>
        <w:tabs>
          <w:tab w:val="left" w:pos="900"/>
        </w:tabs>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35、履约保证金</w:t>
      </w:r>
    </w:p>
    <w:p>
      <w:pPr>
        <w:tabs>
          <w:tab w:val="left" w:pos="900"/>
        </w:tabs>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36、政府采购履约资金扶持政策</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根据国家扶持中小企业的有关政策，在我中心组织的采购项目中标的注册地在盐城的中小企业，在履约过程中如遇到资金困难，凭中标通知书可在与盐城市财政局签署了《盐城市政府采购供应商融资业务合作协议》的金融机构办理授信申请。</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p>
    <w:p>
      <w:pPr>
        <w:pStyle w:val="6"/>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p>
    <w:p>
      <w:pPr>
        <w:pStyle w:val="6"/>
        <w:spacing w:line="440" w:lineRule="exact"/>
        <w:ind w:firstLine="480" w:firstLineChars="200"/>
        <w:rPr>
          <w:rFonts w:ascii="宋体" w:hAnsi="宋体" w:cs="宋体"/>
          <w:color w:val="000000" w:themeColor="text1"/>
          <w:sz w:val="24"/>
          <w14:textFill>
            <w14:solidFill>
              <w14:schemeClr w14:val="tx1"/>
            </w14:solidFill>
          </w14:textFill>
        </w:rPr>
      </w:pPr>
    </w:p>
    <w:p>
      <w:pPr>
        <w:pStyle w:val="3"/>
        <w:jc w:val="both"/>
        <w:rPr>
          <w:rFonts w:ascii="宋体" w:hAnsi="宋体" w:eastAsia="宋体" w:cs="宋体"/>
          <w:b/>
          <w:color w:val="000000" w:themeColor="text1"/>
          <w:sz w:val="44"/>
          <w14:textFill>
            <w14:solidFill>
              <w14:schemeClr w14:val="tx1"/>
            </w14:solidFill>
          </w14:textFill>
        </w:rPr>
      </w:pPr>
    </w:p>
    <w:p>
      <w:pPr>
        <w:pStyle w:val="3"/>
        <w:jc w:val="both"/>
        <w:rPr>
          <w:rFonts w:ascii="宋体" w:hAnsi="宋体" w:eastAsia="宋体" w:cs="宋体"/>
          <w:b/>
          <w:color w:val="000000" w:themeColor="text1"/>
          <w:sz w:val="44"/>
          <w14:textFill>
            <w14:solidFill>
              <w14:schemeClr w14:val="tx1"/>
            </w14:solidFill>
          </w14:textFill>
        </w:rPr>
      </w:pPr>
    </w:p>
    <w:p>
      <w:pPr>
        <w:pStyle w:val="3"/>
        <w:jc w:val="both"/>
        <w:rPr>
          <w:rFonts w:ascii="宋体" w:hAnsi="宋体" w:eastAsia="宋体" w:cs="宋体"/>
          <w:b/>
          <w:color w:val="000000" w:themeColor="text1"/>
          <w:sz w:val="44"/>
          <w14:textFill>
            <w14:solidFill>
              <w14:schemeClr w14:val="tx1"/>
            </w14:solidFill>
          </w14:textFill>
        </w:rPr>
      </w:pPr>
    </w:p>
    <w:p>
      <w:pPr>
        <w:pStyle w:val="3"/>
        <w:rPr>
          <w:rFonts w:ascii="宋体" w:hAnsi="宋体" w:eastAsia="宋体" w:cs="宋体"/>
          <w:b/>
          <w:color w:val="000000" w:themeColor="text1"/>
          <w:sz w:val="44"/>
          <w14:textFill>
            <w14:solidFill>
              <w14:schemeClr w14:val="tx1"/>
            </w14:solidFill>
          </w14:textFill>
        </w:rPr>
      </w:pPr>
      <w:r>
        <w:rPr>
          <w:rFonts w:hint="eastAsia" w:ascii="宋体" w:hAnsi="宋体" w:eastAsia="宋体" w:cs="宋体"/>
          <w:b/>
          <w:color w:val="000000" w:themeColor="text1"/>
          <w:sz w:val="44"/>
          <w14:textFill>
            <w14:solidFill>
              <w14:schemeClr w14:val="tx1"/>
            </w14:solidFill>
          </w14:textFill>
        </w:rPr>
        <w:br w:type="page"/>
      </w:r>
      <w:bookmarkStart w:id="200" w:name="_Toc602"/>
      <w:r>
        <w:rPr>
          <w:rFonts w:hint="eastAsia" w:ascii="宋体" w:hAnsi="宋体" w:eastAsia="宋体" w:cs="宋体"/>
          <w:b/>
          <w:color w:val="000000" w:themeColor="text1"/>
          <w:sz w:val="44"/>
          <w14:textFill>
            <w14:solidFill>
              <w14:schemeClr w14:val="tx1"/>
            </w14:solidFill>
          </w14:textFill>
        </w:rPr>
        <w:t>第三章  合同条款及</w:t>
      </w:r>
      <w:bookmarkEnd w:id="56"/>
      <w:bookmarkEnd w:id="57"/>
      <w:bookmarkEnd w:id="58"/>
      <w:bookmarkEnd w:id="59"/>
      <w:bookmarkEnd w:id="60"/>
      <w:r>
        <w:rPr>
          <w:rFonts w:hint="eastAsia" w:ascii="宋体" w:hAnsi="宋体" w:eastAsia="宋体" w:cs="宋体"/>
          <w:b/>
          <w:color w:val="000000" w:themeColor="text1"/>
          <w:sz w:val="44"/>
          <w14:textFill>
            <w14:solidFill>
              <w14:schemeClr w14:val="tx1"/>
            </w14:solidFill>
          </w14:textFill>
        </w:rPr>
        <w:t>格式</w:t>
      </w:r>
      <w:bookmarkEnd w:id="200"/>
    </w:p>
    <w:p>
      <w:pPr>
        <w:spacing w:line="440" w:lineRule="exact"/>
        <w:ind w:firstLine="480" w:firstLineChars="200"/>
        <w:rPr>
          <w:rFonts w:ascii="宋体" w:hAnsi="宋体" w:cs="宋体"/>
          <w:b/>
          <w:color w:val="000000" w:themeColor="text1"/>
          <w:sz w:val="30"/>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outlineLvl w:val="0"/>
        <w:rPr>
          <w:rFonts w:ascii="宋体" w:hAnsi="宋体" w:cs="宋体"/>
          <w:b/>
          <w:color w:val="000000" w:themeColor="text1"/>
          <w:sz w:val="30"/>
          <w:szCs w:val="20"/>
          <w14:textFill>
            <w14:solidFill>
              <w14:schemeClr w14:val="tx1"/>
            </w14:solidFill>
          </w14:textFill>
        </w:rPr>
      </w:pPr>
      <w:bookmarkStart w:id="201" w:name="_Toc6096"/>
      <w:r>
        <w:rPr>
          <w:rFonts w:hint="eastAsia" w:ascii="宋体" w:hAnsi="宋体" w:cs="宋体"/>
          <w:b/>
          <w:color w:val="000000" w:themeColor="text1"/>
          <w:sz w:val="30"/>
          <w14:textFill>
            <w14:solidFill>
              <w14:schemeClr w14:val="tx1"/>
            </w14:solidFill>
          </w14:textFill>
        </w:rPr>
        <w:t>采购合同</w:t>
      </w:r>
      <w:bookmarkEnd w:id="201"/>
    </w:p>
    <w:p>
      <w:pPr>
        <w:spacing w:line="440" w:lineRule="exact"/>
        <w:ind w:firstLine="480" w:firstLineChars="200"/>
        <w:rPr>
          <w:rFonts w:ascii="宋体" w:hAnsi="宋体" w:cs="宋体"/>
          <w:bCs/>
          <w:color w:val="000000" w:themeColor="text1"/>
          <w:sz w:val="24"/>
          <w:u w:val="single"/>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项目名称：</w:t>
      </w:r>
      <w:r>
        <w:rPr>
          <w:rFonts w:hint="eastAsia" w:ascii="宋体" w:hAnsi="宋体" w:cs="宋体"/>
          <w:bCs/>
          <w:color w:val="000000" w:themeColor="text1"/>
          <w:sz w:val="24"/>
          <w:u w:val="single"/>
          <w14:textFill>
            <w14:solidFill>
              <w14:schemeClr w14:val="tx1"/>
            </w14:solidFill>
          </w14:textFill>
        </w:rPr>
        <w:t>盐城工业职业技术学院汽车与交通学院汽车技术技能大赛检测与维修实训设备</w:t>
      </w:r>
    </w:p>
    <w:p>
      <w:pPr>
        <w:pStyle w:val="40"/>
        <w:widowControl w:val="0"/>
        <w:snapToGrid w:val="0"/>
        <w:spacing w:before="0" w:beforeAutospacing="0" w:after="0" w:afterAutospacing="0" w:line="460" w:lineRule="exact"/>
        <w:ind w:firstLine="480" w:firstLineChars="200"/>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项目编号：</w:t>
      </w:r>
      <w:r>
        <w:rPr>
          <w:rFonts w:hint="eastAsia"/>
          <w:color w:val="000000" w:themeColor="text1"/>
          <w:kern w:val="2"/>
          <w:u w:val="single"/>
          <w14:textFill>
            <w14:solidFill>
              <w14:schemeClr w14:val="tx1"/>
            </w14:solidFill>
          </w14:textFill>
        </w:rPr>
        <w:t>2022-0</w:t>
      </w:r>
      <w:r>
        <w:rPr>
          <w:rFonts w:hint="eastAsia"/>
          <w:color w:val="000000" w:themeColor="text1"/>
          <w:kern w:val="2"/>
          <w:u w:val="single"/>
          <w:lang w:val="en-US" w:eastAsia="zh-CN"/>
          <w14:textFill>
            <w14:solidFill>
              <w14:schemeClr w14:val="tx1"/>
            </w14:solidFill>
          </w14:textFill>
        </w:rPr>
        <w:t>48</w:t>
      </w:r>
      <w:r>
        <w:rPr>
          <w:rFonts w:hint="eastAsia"/>
          <w:color w:val="000000" w:themeColor="text1"/>
          <w:kern w:val="2"/>
          <w:u w:val="single"/>
          <w14:textFill>
            <w14:solidFill>
              <w14:schemeClr w14:val="tx1"/>
            </w14:solidFill>
          </w14:textFill>
        </w:rPr>
        <w:t>Q</w:t>
      </w:r>
    </w:p>
    <w:p>
      <w:pPr>
        <w:pStyle w:val="4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甲方：（买方）</w:t>
      </w:r>
      <w:r>
        <w:rPr>
          <w:rFonts w:hint="eastAsia"/>
          <w:color w:val="000000" w:themeColor="text1"/>
          <w:kern w:val="2"/>
          <w:u w:val="single"/>
          <w14:textFill>
            <w14:solidFill>
              <w14:schemeClr w14:val="tx1"/>
            </w14:solidFill>
          </w14:textFill>
        </w:rPr>
        <w:t>盐城工业职业技术学院</w:t>
      </w:r>
    </w:p>
    <w:p>
      <w:pPr>
        <w:pStyle w:val="40"/>
        <w:widowControl w:val="0"/>
        <w:snapToGrid w:val="0"/>
        <w:spacing w:before="0" w:beforeAutospacing="0" w:after="0" w:afterAutospacing="0" w:line="460" w:lineRule="exact"/>
        <w:ind w:firstLine="480" w:firstLineChars="200"/>
        <w:jc w:val="both"/>
        <w:rPr>
          <w:color w:val="000000" w:themeColor="text1"/>
          <w:u w:val="single"/>
          <w14:textFill>
            <w14:solidFill>
              <w14:schemeClr w14:val="tx1"/>
            </w14:solidFill>
          </w14:textFill>
        </w:rPr>
      </w:pPr>
      <w:r>
        <w:rPr>
          <w:rFonts w:hint="eastAsia"/>
          <w:color w:val="000000" w:themeColor="text1"/>
          <w:kern w:val="2"/>
          <w14:textFill>
            <w14:solidFill>
              <w14:schemeClr w14:val="tx1"/>
            </w14:solidFill>
          </w14:textFill>
        </w:rPr>
        <w:t>乙方：（卖方）</w:t>
      </w:r>
    </w:p>
    <w:p>
      <w:pPr>
        <w:spacing w:line="440" w:lineRule="exact"/>
        <w:ind w:firstLine="480"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甲、乙双方根据</w:t>
      </w:r>
      <w:r>
        <w:rPr>
          <w:rFonts w:hint="eastAsia" w:ascii="宋体" w:hAnsi="宋体" w:cs="宋体"/>
          <w:bCs/>
          <w:color w:val="000000" w:themeColor="text1"/>
          <w:sz w:val="24"/>
          <w14:textFill>
            <w14:solidFill>
              <w14:schemeClr w14:val="tx1"/>
            </w14:solidFill>
          </w14:textFill>
        </w:rPr>
        <w:t>盐城工业职业技术学院汽车与交通学院汽车技术技能大赛检测与维修实训设备</w:t>
      </w:r>
      <w:r>
        <w:rPr>
          <w:rFonts w:hint="eastAsia" w:ascii="宋体" w:hAnsi="宋体" w:cs="宋体"/>
          <w:color w:val="000000" w:themeColor="text1"/>
          <w:sz w:val="24"/>
          <w:szCs w:val="24"/>
          <w14:textFill>
            <w14:solidFill>
              <w14:schemeClr w14:val="tx1"/>
            </w14:solidFill>
          </w14:textFill>
        </w:rPr>
        <w:t>公开招标的结果，签署本合同。</w:t>
      </w:r>
    </w:p>
    <w:p>
      <w:pPr>
        <w:pStyle w:val="40"/>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一、项目内容</w:t>
      </w:r>
    </w:p>
    <w:p>
      <w:pPr>
        <w:spacing w:line="44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1.1 项目名称：</w:t>
      </w:r>
      <w:r>
        <w:rPr>
          <w:rFonts w:hint="eastAsia" w:ascii="宋体" w:hAnsi="宋体" w:cs="宋体"/>
          <w:bCs/>
          <w:color w:val="000000" w:themeColor="text1"/>
          <w:sz w:val="24"/>
          <w:u w:val="single"/>
          <w14:textFill>
            <w14:solidFill>
              <w14:schemeClr w14:val="tx1"/>
            </w14:solidFill>
          </w14:textFill>
        </w:rPr>
        <w:t>盐城工业职业技术学院汽车与交通学院汽车技术技能大赛检测与维修实训设备</w:t>
      </w:r>
      <w:r>
        <w:rPr>
          <w:rFonts w:hint="eastAsia"/>
          <w:color w:val="000000" w:themeColor="text1"/>
          <w:u w:val="single"/>
          <w14:textFill>
            <w14:solidFill>
              <w14:schemeClr w14:val="tx1"/>
            </w14:solidFill>
          </w14:textFill>
        </w:rPr>
        <w:t>。</w:t>
      </w:r>
    </w:p>
    <w:p>
      <w:pPr>
        <w:pStyle w:val="4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1.2 型号规格及其他要求：</w:t>
      </w:r>
      <w:r>
        <w:rPr>
          <w:rFonts w:hint="eastAsia"/>
          <w:color w:val="000000" w:themeColor="text1"/>
          <w:kern w:val="2"/>
          <w:u w:val="single"/>
          <w14:textFill>
            <w14:solidFill>
              <w14:schemeClr w14:val="tx1"/>
            </w14:solidFill>
          </w14:textFill>
        </w:rPr>
        <w:t>详按项目技术需求</w:t>
      </w:r>
      <w:r>
        <w:rPr>
          <w:rFonts w:hint="eastAsia"/>
          <w:color w:val="000000" w:themeColor="text1"/>
          <w:kern w:val="2"/>
          <w14:textFill>
            <w14:solidFill>
              <w14:schemeClr w14:val="tx1"/>
            </w14:solidFill>
          </w14:textFill>
        </w:rPr>
        <w:t>。</w:t>
      </w:r>
    </w:p>
    <w:p>
      <w:pPr>
        <w:pStyle w:val="4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1.3 数量（单位）：</w:t>
      </w:r>
      <w:r>
        <w:rPr>
          <w:rFonts w:hint="eastAsia"/>
          <w:color w:val="000000" w:themeColor="text1"/>
          <w:kern w:val="2"/>
          <w:u w:val="single"/>
          <w14:textFill>
            <w14:solidFill>
              <w14:schemeClr w14:val="tx1"/>
            </w14:solidFill>
          </w14:textFill>
        </w:rPr>
        <w:t>详按项目技术需求</w:t>
      </w:r>
      <w:r>
        <w:rPr>
          <w:rFonts w:hint="eastAsia"/>
          <w:color w:val="000000" w:themeColor="text1"/>
          <w:kern w:val="2"/>
          <w14:textFill>
            <w14:solidFill>
              <w14:schemeClr w14:val="tx1"/>
            </w14:solidFill>
          </w14:textFill>
        </w:rPr>
        <w:t>。</w:t>
      </w:r>
    </w:p>
    <w:p>
      <w:pPr>
        <w:pStyle w:val="40"/>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二、合同金额</w:t>
      </w:r>
    </w:p>
    <w:p>
      <w:pPr>
        <w:pStyle w:val="40"/>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2.1 本合同金额为（大写）：（小写）：______元人民币或其他币种。</w:t>
      </w:r>
    </w:p>
    <w:p>
      <w:pPr>
        <w:spacing w:line="360" w:lineRule="auto"/>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 本合同金额按实结算。</w:t>
      </w:r>
    </w:p>
    <w:p>
      <w:pPr>
        <w:pStyle w:val="40"/>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三、技术资料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3.1乙方应按招标文件规定的时间向甲方提供使用货物和服务的有关技术资料。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40"/>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四、知识产权</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4.1乙</w:t>
      </w:r>
      <w:r>
        <w:rPr>
          <w:rFonts w:hint="eastAsia" w:ascii="宋体" w:hAnsi="宋体" w:cs="宋体"/>
          <w:color w:val="000000" w:themeColor="text1"/>
          <w:sz w:val="24"/>
          <w14:textFill>
            <w14:solidFill>
              <w14:schemeClr w14:val="tx1"/>
            </w14:solidFill>
          </w14:textFill>
        </w:rPr>
        <w:t>方应保证甲方在使用、接受本合同服务或其任何一部分时不受第三方提出侵犯其专利权、版权、商标权和工业设计权等知识产权的起诉。一旦出现侵权，由乙方负全部责任。</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 乙方应积极维护甲方合法权益，除指定撰写代理人，不以任何形式向任何第三方泄露甲方任何技术资料，否则乙方将承担因泄密给甲方造成的损失。</w:t>
      </w:r>
    </w:p>
    <w:p>
      <w:pPr>
        <w:pStyle w:val="40"/>
        <w:widowControl w:val="0"/>
        <w:snapToGrid w:val="0"/>
        <w:spacing w:before="0" w:beforeAutospacing="0" w:after="0" w:afterAutospacing="0" w:line="460" w:lineRule="exact"/>
        <w:ind w:firstLine="482" w:firstLineChars="200"/>
        <w:jc w:val="both"/>
        <w:rPr>
          <w:color w:val="000000" w:themeColor="text1"/>
          <w:u w:val="single"/>
          <w14:textFill>
            <w14:solidFill>
              <w14:schemeClr w14:val="tx1"/>
            </w14:solidFill>
          </w14:textFill>
        </w:rPr>
      </w:pPr>
      <w:r>
        <w:rPr>
          <w:rFonts w:hint="eastAsia"/>
          <w:b/>
          <w:color w:val="000000" w:themeColor="text1"/>
          <w:kern w:val="2"/>
          <w14:textFill>
            <w14:solidFill>
              <w14:schemeClr w14:val="tx1"/>
            </w14:solidFill>
          </w14:textFill>
        </w:rPr>
        <w:t>五、产权担保</w:t>
      </w:r>
    </w:p>
    <w:p>
      <w:pPr>
        <w:pStyle w:val="40"/>
        <w:widowControl w:val="0"/>
        <w:snapToGrid w:val="0"/>
        <w:spacing w:before="0" w:beforeAutospacing="0" w:after="0" w:afterAutospacing="0" w:line="460" w:lineRule="exact"/>
        <w:ind w:firstLine="480" w:firstLineChars="200"/>
        <w:jc w:val="both"/>
        <w:rPr>
          <w:color w:val="000000" w:themeColor="text1"/>
          <w:u w:val="single"/>
          <w14:textFill>
            <w14:solidFill>
              <w14:schemeClr w14:val="tx1"/>
            </w14:solidFill>
          </w14:textFill>
        </w:rPr>
      </w:pPr>
      <w:r>
        <w:rPr>
          <w:rFonts w:hint="eastAsia"/>
          <w:color w:val="000000" w:themeColor="text1"/>
          <w:kern w:val="2"/>
          <w14:textFill>
            <w14:solidFill>
              <w14:schemeClr w14:val="tx1"/>
            </w14:solidFill>
          </w14:textFill>
        </w:rPr>
        <w:t>5.1乙方保证所交付的货物</w:t>
      </w:r>
      <w:r>
        <w:rPr>
          <w:rFonts w:hint="eastAsia"/>
          <w:bCs/>
          <w:color w:val="000000" w:themeColor="text1"/>
          <w:kern w:val="2"/>
          <w:szCs w:val="21"/>
          <w14:textFill>
            <w14:solidFill>
              <w14:schemeClr w14:val="tx1"/>
            </w14:solidFill>
          </w14:textFill>
        </w:rPr>
        <w:t>和服务</w:t>
      </w:r>
      <w:r>
        <w:rPr>
          <w:rFonts w:hint="eastAsia"/>
          <w:color w:val="000000" w:themeColor="text1"/>
          <w:kern w:val="2"/>
          <w14:textFill>
            <w14:solidFill>
              <w14:schemeClr w14:val="tx1"/>
            </w14:solidFill>
          </w14:textFill>
        </w:rPr>
        <w:t>的所有权完全属于乙方且无任何抵押、查封等产权瑕疵。</w:t>
      </w:r>
    </w:p>
    <w:p>
      <w:pPr>
        <w:pStyle w:val="40"/>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六、履约保证金</w:t>
      </w:r>
    </w:p>
    <w:p>
      <w:pPr>
        <w:pStyle w:val="4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6.1乙方交纳人民币______元作为本合同的履约保证金（合同金额的5%），项目验收合格后无息退还。</w:t>
      </w:r>
    </w:p>
    <w:p>
      <w:pPr>
        <w:snapToGrid w:val="0"/>
        <w:spacing w:line="46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七、转包或分包</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7.1本合同范围的货物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，应由乙方直接供应，不得转让他人供应；</w:t>
      </w:r>
    </w:p>
    <w:p>
      <w:pPr>
        <w:pStyle w:val="40"/>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7.2 除非得到甲方的书面同意，乙方不得部分分包给他人供应。</w:t>
      </w:r>
    </w:p>
    <w:p>
      <w:pPr>
        <w:pStyle w:val="40"/>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7.3如有转让和未经甲方同意的分包行为，甲方有权给予终止合同。</w:t>
      </w:r>
    </w:p>
    <w:p>
      <w:pPr>
        <w:pStyle w:val="40"/>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八、质保期</w:t>
      </w:r>
    </w:p>
    <w:p>
      <w:pPr>
        <w:pStyle w:val="40"/>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8.1 质保期：质保期年（具体以投标时承诺为准）。（自交货验收合格之日起计）</w:t>
      </w:r>
    </w:p>
    <w:p>
      <w:pPr>
        <w:widowControl/>
        <w:spacing w:line="500" w:lineRule="exact"/>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8.2、所有质保费用均已包含在投标报价中，供应商提供的设备在质保期内因本身的质量问题发生故障，乙方应负责免费维修。供应商应对提供的设备免费安装、免费调试、免费培训、免费提供学习资料。质保期满后，应提供优先的有偿售后服务及按不高于投标文件中主要配件、易损件清单所报价格供应原厂零配件等。</w:t>
      </w:r>
    </w:p>
    <w:p>
      <w:pPr>
        <w:pStyle w:val="4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8.3、中标人须设有维修服务电话</w:t>
      </w:r>
      <w:r>
        <w:rPr>
          <w:rFonts w:hint="eastAsia"/>
          <w:color w:val="000000" w:themeColor="text1"/>
          <w14:textFill>
            <w14:solidFill>
              <w14:schemeClr w14:val="tx1"/>
            </w14:solidFill>
          </w14:textFill>
        </w:rPr>
        <w:t>，负责解答用户在设备使用中遇到的问题，及时提出解决问题的建议和操作方法。</w:t>
      </w:r>
    </w:p>
    <w:p>
      <w:pPr>
        <w:pStyle w:val="40"/>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8.4、售后服务响应时间：如设备出现故障，电话响应无法解决，中标人必须在接报修电话24 小时到现场并解决问题。</w:t>
      </w:r>
    </w:p>
    <w:p>
      <w:pPr>
        <w:pStyle w:val="40"/>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九、交货期、交货方式及交货地点</w:t>
      </w:r>
    </w:p>
    <w:p>
      <w:pPr>
        <w:pStyle w:val="40"/>
        <w:spacing w:before="0" w:beforeAutospacing="0" w:after="0" w:afterAutospacing="0" w:line="500" w:lineRule="exact"/>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9.1 交货期：</w:t>
      </w:r>
      <w:r>
        <w:rPr>
          <w:rFonts w:ascii="Times New Roman" w:hAnsi="Times New Roman"/>
          <w:bCs/>
          <w:szCs w:val="28"/>
        </w:rPr>
        <w:t>自收到中标通知书90个工作日内交货和安装培训，提交的货物依据招标文件上的技术规格要求和国家有关质量标准进行现场初步验收，外观、说明书符合招标文件技术要求的，给予签收，初步验收不合格的不予签收；交货前供应商应对产品作出全面检查和对验收文件进行整理，并列出清单，作为采购方收货验收和使用的技术条件依据，检验的结果应随货物交给采购单位。</w:t>
      </w:r>
      <w:r>
        <w:rPr>
          <w:rFonts w:hint="eastAsia"/>
          <w:color w:val="000000" w:themeColor="text1"/>
          <w14:textFill>
            <w14:solidFill>
              <w14:schemeClr w14:val="tx1"/>
            </w14:solidFill>
          </w14:textFill>
        </w:rPr>
        <w:t>（如甲方需要延时交付，可另行约定时间）</w:t>
      </w:r>
    </w:p>
    <w:p>
      <w:pPr>
        <w:pStyle w:val="40"/>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9.2 交货方式：</w:t>
      </w:r>
      <w:r>
        <w:rPr>
          <w:rFonts w:hint="eastAsia"/>
          <w:color w:val="000000" w:themeColor="text1"/>
          <w:kern w:val="2"/>
          <w:lang w:eastAsia="zh-TW"/>
          <w14:textFill>
            <w14:solidFill>
              <w14:schemeClr w14:val="tx1"/>
            </w14:solidFill>
          </w14:textFill>
        </w:rPr>
        <w:t>送货上门、安装与调试</w:t>
      </w:r>
      <w:r>
        <w:rPr>
          <w:rFonts w:hint="eastAsia"/>
          <w:color w:val="000000" w:themeColor="text1"/>
          <w:kern w:val="2"/>
          <w14:textFill>
            <w14:solidFill>
              <w14:schemeClr w14:val="tx1"/>
            </w14:solidFill>
          </w14:textFill>
        </w:rPr>
        <w:t>。</w:t>
      </w:r>
    </w:p>
    <w:p>
      <w:pPr>
        <w:pStyle w:val="40"/>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9.3 交货地点：</w:t>
      </w:r>
      <w:r>
        <w:rPr>
          <w:rFonts w:hint="eastAsia"/>
          <w:color w:val="000000" w:themeColor="text1"/>
          <w:kern w:val="2"/>
          <w:lang w:eastAsia="zh-TW"/>
          <w14:textFill>
            <w14:solidFill>
              <w14:schemeClr w14:val="tx1"/>
            </w14:solidFill>
          </w14:textFill>
        </w:rPr>
        <w:t>甲方指定地点。</w:t>
      </w:r>
    </w:p>
    <w:p>
      <w:pPr>
        <w:pStyle w:val="40"/>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十、货款支付</w:t>
      </w:r>
    </w:p>
    <w:p>
      <w:pPr>
        <w:pStyle w:val="40"/>
        <w:spacing w:before="0" w:beforeAutospacing="0" w:after="0" w:afterAutospacing="0"/>
        <w:ind w:firstLine="480" w:firstLineChars="20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10.1</w:t>
      </w:r>
      <w:r>
        <w:rPr>
          <w:rFonts w:hint="eastAsia"/>
          <w:color w:val="000000" w:themeColor="text1"/>
          <w:kern w:val="2"/>
          <w:lang w:eastAsia="zh-TW"/>
          <w14:textFill>
            <w14:solidFill>
              <w14:schemeClr w14:val="tx1"/>
            </w14:solidFill>
          </w14:textFill>
        </w:rPr>
        <w:t>招标范围内容全部完成并经安装调试、培训结束，验收合格后付总价的</w:t>
      </w:r>
      <w:r>
        <w:rPr>
          <w:rFonts w:hint="eastAsia"/>
          <w:color w:val="000000" w:themeColor="text1"/>
          <w:kern w:val="2"/>
          <w14:textFill>
            <w14:solidFill>
              <w14:schemeClr w14:val="tx1"/>
            </w14:solidFill>
          </w14:textFill>
        </w:rPr>
        <w:t>9</w:t>
      </w:r>
      <w:r>
        <w:rPr>
          <w:rFonts w:hint="eastAsia"/>
          <w:color w:val="000000" w:themeColor="text1"/>
          <w:kern w:val="2"/>
          <w:lang w:eastAsia="zh-TW"/>
          <w14:textFill>
            <w14:solidFill>
              <w14:schemeClr w14:val="tx1"/>
            </w14:solidFill>
          </w14:textFill>
        </w:rPr>
        <w:t>0%；余款一年后根据售后服务情况付总价的</w:t>
      </w:r>
      <w:r>
        <w:rPr>
          <w:rFonts w:hint="eastAsia"/>
          <w:color w:val="000000" w:themeColor="text1"/>
          <w:kern w:val="2"/>
          <w14:textFill>
            <w14:solidFill>
              <w14:schemeClr w14:val="tx1"/>
            </w14:solidFill>
          </w14:textFill>
        </w:rPr>
        <w:t>5</w:t>
      </w:r>
      <w:r>
        <w:rPr>
          <w:rFonts w:hint="eastAsia"/>
          <w:color w:val="000000" w:themeColor="text1"/>
          <w:kern w:val="2"/>
          <w:lang w:eastAsia="zh-TW"/>
          <w14:textFill>
            <w14:solidFill>
              <w14:schemeClr w14:val="tx1"/>
            </w14:solidFill>
          </w14:textFill>
        </w:rPr>
        <w:t>%</w:t>
      </w:r>
      <w:r>
        <w:rPr>
          <w:rFonts w:hint="eastAsia"/>
          <w:color w:val="000000" w:themeColor="text1"/>
          <w:kern w:val="2"/>
          <w14:textFill>
            <w14:solidFill>
              <w14:schemeClr w14:val="tx1"/>
            </w14:solidFill>
          </w14:textFill>
        </w:rPr>
        <w:t>； 质保期满后</w:t>
      </w:r>
      <w:r>
        <w:rPr>
          <w:rFonts w:hint="eastAsia"/>
          <w:color w:val="000000" w:themeColor="text1"/>
          <w:kern w:val="2"/>
          <w:lang w:eastAsia="zh-TW"/>
          <w14:textFill>
            <w14:solidFill>
              <w14:schemeClr w14:val="tx1"/>
            </w14:solidFill>
          </w14:textFill>
        </w:rPr>
        <w:t>根据售后服务情况付总价的5%。</w:t>
      </w:r>
      <w:r>
        <w:rPr>
          <w:rFonts w:hint="eastAsia"/>
          <w:color w:val="000000" w:themeColor="text1"/>
          <w:kern w:val="2"/>
          <w14:textFill>
            <w14:solidFill>
              <w14:schemeClr w14:val="tx1"/>
            </w14:solidFill>
          </w14:textFill>
        </w:rPr>
        <w:t>乙方必须提供增值税专用发票，否则甲方有权不付款。</w:t>
      </w:r>
    </w:p>
    <w:p>
      <w:pPr>
        <w:snapToGrid w:val="0"/>
        <w:spacing w:line="460" w:lineRule="exact"/>
        <w:ind w:firstLine="480"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10.2当采购数量与实际使用数量不一致时，乙方应根据实际使用量供货，合同的最终结算金额按实际使用量乘以成交单价进行计算。</w:t>
      </w:r>
    </w:p>
    <w:p>
      <w:pPr>
        <w:snapToGrid w:val="0"/>
        <w:spacing w:line="460" w:lineRule="exact"/>
        <w:ind w:firstLine="482"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十一、税费</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11.1本合同执行中相关的一切税费均由乙方负担。</w:t>
      </w:r>
    </w:p>
    <w:p>
      <w:pPr>
        <w:numPr>
          <w:ilvl w:val="0"/>
          <w:numId w:val="5"/>
        </w:numPr>
        <w:snapToGrid w:val="0"/>
        <w:spacing w:line="460" w:lineRule="exact"/>
        <w:ind w:firstLine="42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质量保证及售后服务</w:t>
      </w:r>
    </w:p>
    <w:p>
      <w:pPr>
        <w:snapToGrid w:val="0"/>
        <w:spacing w:line="46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12.1 乙方应按招标文件规定的货物性能、技术要求、质量标准向甲方</w:t>
      </w:r>
      <w:r>
        <w:rPr>
          <w:rFonts w:hint="eastAsia" w:ascii="宋体" w:hAnsi="宋体" w:cs="宋体"/>
          <w:bCs/>
          <w:color w:val="000000" w:themeColor="text1"/>
          <w:sz w:val="24"/>
          <w:szCs w:val="24"/>
          <w14:textFill>
            <w14:solidFill>
              <w14:schemeClr w14:val="tx1"/>
            </w14:solidFill>
          </w14:textFill>
        </w:rPr>
        <w:t>提供的货物（含配件）应是全新的、未使用过的原装合格正品，开箱后，如</w:t>
      </w:r>
      <w:r>
        <w:rPr>
          <w:rFonts w:hint="eastAsia" w:ascii="宋体" w:hAnsi="宋体" w:cs="宋体"/>
          <w:color w:val="000000" w:themeColor="text1"/>
          <w:sz w:val="24"/>
          <w:szCs w:val="24"/>
          <w14:textFill>
            <w14:solidFill>
              <w14:schemeClr w14:val="tx1"/>
            </w14:solidFill>
          </w14:textFill>
        </w:rPr>
        <w:t>甲方</w:t>
      </w:r>
      <w:r>
        <w:rPr>
          <w:rFonts w:hint="eastAsia" w:ascii="宋体" w:hAnsi="宋体" w:cs="宋体"/>
          <w:bCs/>
          <w:color w:val="000000" w:themeColor="text1"/>
          <w:sz w:val="24"/>
          <w:szCs w:val="24"/>
          <w14:textFill>
            <w14:solidFill>
              <w14:schemeClr w14:val="tx1"/>
            </w14:solidFill>
          </w14:textFill>
        </w:rPr>
        <w:t>发现有任何问题（如外观有损伤），</w:t>
      </w:r>
      <w:r>
        <w:rPr>
          <w:rFonts w:hint="eastAsia" w:ascii="宋体" w:hAnsi="宋体" w:cs="宋体"/>
          <w:color w:val="000000" w:themeColor="text1"/>
          <w:sz w:val="24"/>
          <w:szCs w:val="24"/>
          <w14:textFill>
            <w14:solidFill>
              <w14:schemeClr w14:val="tx1"/>
            </w14:solidFill>
          </w14:textFill>
        </w:rPr>
        <w:t>乙方</w:t>
      </w:r>
      <w:r>
        <w:rPr>
          <w:rFonts w:hint="eastAsia" w:ascii="宋体" w:hAnsi="宋体" w:cs="宋体"/>
          <w:bCs/>
          <w:color w:val="000000" w:themeColor="text1"/>
          <w:sz w:val="24"/>
          <w:szCs w:val="24"/>
          <w14:textFill>
            <w14:solidFill>
              <w14:schemeClr w14:val="tx1"/>
            </w14:solidFill>
          </w14:textFill>
        </w:rPr>
        <w:t>必须立即以同样型号的货物在</w:t>
      </w:r>
      <w:r>
        <w:rPr>
          <w:rFonts w:hint="eastAsia" w:ascii="宋体" w:hAnsi="宋体" w:cs="宋体"/>
          <w:color w:val="000000" w:themeColor="text1"/>
          <w:sz w:val="24"/>
          <w:szCs w:val="24"/>
          <w14:textFill>
            <w14:solidFill>
              <w14:schemeClr w14:val="tx1"/>
            </w14:solidFill>
          </w14:textFill>
        </w:rPr>
        <w:t>甲方</w:t>
      </w:r>
      <w:r>
        <w:rPr>
          <w:rFonts w:hint="eastAsia" w:ascii="宋体" w:hAnsi="宋体" w:cs="宋体"/>
          <w:bCs/>
          <w:color w:val="000000" w:themeColor="text1"/>
          <w:sz w:val="24"/>
          <w:szCs w:val="24"/>
          <w14:textFill>
            <w14:solidFill>
              <w14:schemeClr w14:val="tx1"/>
            </w14:solidFill>
          </w14:textFill>
        </w:rPr>
        <w:t>商定的时间内更换，确保其使用。供货时提供以下材料，包括：产品合格证书、技术说明书、使用说明书、用户手册（中文）、配置清单、保修单及合同中要求的其他文件资料。</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12.2所有设备、附（配）件应具备该类产品的功能要求，无瑕疵和缺陷，质量为合格产品，同时有明确的生产厂商或制造厂商；</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12.3在质保期内，乙方应对货物和服务出现的质量及安全问题负责处理解决并承担一切费用，提供7*24小时免费上门维修服务，并在接到甲方通知后在60分钟内响应，及时到达现场提供免费上门维修服务，12小时内确保系统正常运行。质保期后提供维修维护服务。</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12.4乙方提供的货物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在质量期内因本身的质量问题发生故障，乙方应负责免费更换。对达不到技术要求者，根据实际情况，经双方协商，可按以下办法处理：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⑴更换：由乙方承担所发生的全部费用。</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⑵贬值处理：由甲乙双方合议定价。</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⑶退货处理：乙方应退还甲方支付的合同款，同时应承担该货物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的直接费用（运输、保险、检验、货款利息及银行手续费等）。</w:t>
      </w:r>
    </w:p>
    <w:p>
      <w:pPr>
        <w:autoSpaceDE w:val="0"/>
        <w:autoSpaceDN w:val="0"/>
        <w:adjustRightInd w:val="0"/>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12.5在质保期内，乙方应对货物和服务出现的质量及安全问题负责处理解决并承担一切费用，提供24小时免费上门维修服务，并在接到甲方通知后在6小时内到达现场，并解决故障。质保期内产生的维护费用由乙方承担。</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12.6乙方须向甲方免费提供培训服务，确保使用者完全会使用及操作为止。</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12.7上述的货物免费保修期，因人为因素出现的故障不在免费保修范围内。超过保修期的机器设备，终生维修，维修时只收部件成本费。</w:t>
      </w:r>
    </w:p>
    <w:p>
      <w:pPr>
        <w:adjustRightInd w:val="0"/>
        <w:snapToGrid w:val="0"/>
        <w:spacing w:line="360" w:lineRule="auto"/>
        <w:ind w:firstLine="480" w:firstLineChars="200"/>
        <w:rPr>
          <w:b/>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12.8乙方提供的产品必须是满足招标方要求的全新现货。产品质量稳定且符合国家和有关部门质量检测标准及相关要求。如果投标货物实行生产许可证制度，应有生产许可证。</w:t>
      </w:r>
    </w:p>
    <w:p>
      <w:pPr>
        <w:pStyle w:val="40"/>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十三、安装、调试和验收</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13.1 货物送达约定的安装地点后,由甲方组织有关部门进行基本质量、数量及规格型号的验收，该验收应达到合同规定的要求。安装调试及试运行结束后，由甲方与乙方按规定的标准要求进行联合验收，验收合格后办理相关手续。</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甲方对乙方提交的货物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依据招标文件上的技术规格要求和国家有关质量标准进行现场初步验收，外观、说明书符合招标文件技术要求的，给予签收，初步验收不合格的不予签收。</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13.2 乙方交付前应对产品作出全面检查和对验收文件进行整理，并列出清单，作为甲方验收和使用的技术条件依据，检验的结果应一并交甲方。</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13.3 甲方对乙方提供的货物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在使用前进行调试时，乙方需负责安装并培训甲方的使用操作人员，并协助甲方一起调试，直到符合技术要求，甲方才做最终验收。</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13.4 对技术复杂的货物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，甲方可请国家认可的专业检测机构参与初步验收及最终验收，并由其出具质量检测报告。</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13.5 验收时乙方必须在现场，验收完毕后作出验收结果报告；验收费用由甲乙双方协商解决。</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 招标方对投标方提交的设备和招标文件上的技术规格要求和国家有关质量标准进行现场初步验收，设备种类数量、调试结果符合招标文件技术要求的，给予签收，初步验收不合格的不予签收。交付后，招标方需在二十个工作日内验收。投标方交付前应对产品作出全面检查和对验收文件进行整理，并列出清单，作为招标方验收和使用的技术条件依据，检验的结果应一并交招标方。招标方对投标方提供的货物和服务在使用前进行调试时，投标方需负责安装并培训招标方的使用操作人员，并协助招标方一起调试，直到符合技术要求，招标方才做最终验收。验收时投标方必须在现场，验收完毕后作出验收结果报告。</w:t>
      </w:r>
    </w:p>
    <w:p>
      <w:pPr>
        <w:adjustRightInd w:val="0"/>
        <w:snapToGrid w:val="0"/>
        <w:spacing w:line="360" w:lineRule="auto"/>
        <w:ind w:firstLine="482"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十四、货物包装、发运及运输</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14.1 乙方应在货物发运前对其进行满足运输距离、防潮、防震、防锈和防破损装卸等要求包装，以保证货物安全运达甲方指定地点。</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14.2 使用说明书、质量检验证明书、随配附件和工具以及清单一并附于货物内。</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14.3 乙方在货物发运手续办理完毕后24小时内或货到甲方48小时前通知甲方，以准备接货。</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14.4 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在交付甲方前发生的风险均由乙方负责。</w:t>
      </w:r>
    </w:p>
    <w:p>
      <w:pPr>
        <w:adjustRightInd w:val="0"/>
        <w:snapToGrid w:val="0"/>
        <w:spacing w:line="360" w:lineRule="auto"/>
        <w:ind w:firstLine="480" w:firstLineChars="200"/>
        <w:rPr>
          <w:b/>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14.5 货物在规定的交付期限内由乙方送达甲方指定的地点视为交付，乙方同时需通知甲方货物已送达。</w:t>
      </w:r>
    </w:p>
    <w:p>
      <w:pPr>
        <w:pStyle w:val="40"/>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十五、违约责任</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15.1 甲方无正当理由拒收货物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的，甲方向乙方偿付拒收货款总值的百分之五违约金。</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15.2 甲方无故逾期验收和办理合同款支付手续的,甲方应按逾期付款总额每日万分之五向乙方支付违约金。</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15.3 乙方逾期交付货物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15.4 乙方所交的货物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品种、型号、规格、技术参数、质量不符合合同规定及招标文件规定标准的，甲方有权拒收该货物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，乙方愿意更换货物但逾期交货的，按乙方逾期交货处理。乙方拒绝更换货物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的，甲方可单方面解除合同。</w:t>
      </w:r>
    </w:p>
    <w:p>
      <w:pPr>
        <w:pStyle w:val="40"/>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十六、不可抗力事件处理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16.1 在合同有效期内，任何一方因不可抗力事件导致不能履行合同，则合同履行期可延长，其延长期与不可抗力影响期相同。</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16.2 不可抗力事件发生后，应立即通知对方，并寄送有关权威机构出具的证明。</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16.3 不可抗力事件延续120天以上，双方应通过友好协商，确定是否继续履行合同。</w:t>
      </w:r>
    </w:p>
    <w:p>
      <w:pPr>
        <w:pStyle w:val="40"/>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十七、诉讼</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17.1 双方在执行合同中所发生的一切争议，应通过协商解决。如协商不成，可向合同签订地法院起诉，合同签订地在此约定为盐城市。</w:t>
      </w:r>
    </w:p>
    <w:p>
      <w:pPr>
        <w:pStyle w:val="40"/>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十八、合同生效及其它</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18.1 合同经双方法定代表人或授权委托代表人签字并加盖单位公章后生效。</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18.2本合同未尽事宜，遵照《中华人民共和国民法典》有关条文执行。</w:t>
      </w:r>
    </w:p>
    <w:p>
      <w:pPr>
        <w:adjustRightInd w:val="0"/>
        <w:snapToGrid w:val="0"/>
        <w:spacing w:line="360" w:lineRule="auto"/>
        <w:ind w:firstLine="480" w:firstLineChars="200"/>
        <w:rPr>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18.3 本合同正本一式二份，副本一式六份，具有同等法律效力。</w:t>
      </w:r>
    </w:p>
    <w:p>
      <w:pPr>
        <w:pStyle w:val="40"/>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甲方：                                   乙方： </w:t>
      </w:r>
    </w:p>
    <w:p>
      <w:pPr>
        <w:pStyle w:val="4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地址：                                   地址： </w:t>
      </w:r>
    </w:p>
    <w:p>
      <w:pPr>
        <w:pStyle w:val="4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法定代表人或授权代表：                   法定代表人或授权代表：</w:t>
      </w:r>
    </w:p>
    <w:p>
      <w:pPr>
        <w:pStyle w:val="40"/>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采购单位负责人：</w:t>
      </w:r>
    </w:p>
    <w:p>
      <w:pPr>
        <w:pStyle w:val="4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联系电话：                               联系电话：</w:t>
      </w:r>
    </w:p>
    <w:p>
      <w:pPr>
        <w:spacing w:line="46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签订日期：      年  月  日</w:t>
      </w:r>
    </w:p>
    <w:p>
      <w:pPr>
        <w:sectPr>
          <w:footerReference r:id="rId7" w:type="default"/>
          <w:pgSz w:w="11906" w:h="16838"/>
          <w:pgMar w:top="1418" w:right="1417" w:bottom="1418" w:left="1417" w:header="851" w:footer="907" w:gutter="0"/>
          <w:pgNumType w:start="1"/>
          <w:cols w:space="720" w:num="1"/>
          <w:docGrid w:type="lines" w:linePitch="290" w:charSpace="0"/>
        </w:sectPr>
      </w:pPr>
      <w:r>
        <w:rPr>
          <w:rFonts w:hint="eastAsia" w:ascii="宋体" w:hAnsi="宋体" w:cs="宋体"/>
          <w:color w:val="000000" w:themeColor="text1"/>
          <w:sz w:val="24"/>
          <w:szCs w:val="24"/>
          <w14:textFill>
            <w14:solidFill>
              <w14:schemeClr w14:val="tx1"/>
            </w14:solidFill>
          </w14:textFill>
        </w:rPr>
        <w:br w:type="page"/>
      </w:r>
    </w:p>
    <w:p>
      <w:pPr>
        <w:pStyle w:val="3"/>
        <w:ind w:firstLine="4417" w:firstLineChars="1000"/>
        <w:jc w:val="both"/>
        <w:rPr>
          <w:rFonts w:ascii="宋体" w:hAnsi="宋体" w:eastAsia="宋体" w:cs="宋体"/>
          <w:b/>
          <w:color w:val="000000" w:themeColor="text1"/>
          <w:sz w:val="44"/>
          <w14:textFill>
            <w14:solidFill>
              <w14:schemeClr w14:val="tx1"/>
            </w14:solidFill>
          </w14:textFill>
        </w:rPr>
      </w:pPr>
      <w:bookmarkStart w:id="202" w:name="_Toc120614244"/>
      <w:bookmarkStart w:id="203" w:name="_Toc20823346"/>
      <w:bookmarkStart w:id="204" w:name="_Toc574"/>
      <w:bookmarkStart w:id="205" w:name="_Toc16938590"/>
      <w:bookmarkStart w:id="206" w:name="_Toc479757211"/>
      <w:bookmarkStart w:id="207" w:name="_Toc462564139"/>
      <w:r>
        <w:rPr>
          <w:rFonts w:hint="eastAsia" w:ascii="宋体" w:hAnsi="宋体" w:eastAsia="宋体" w:cs="宋体"/>
          <w:b/>
          <w:color w:val="000000" w:themeColor="text1"/>
          <w:sz w:val="44"/>
          <w14:textFill>
            <w14:solidFill>
              <w14:schemeClr w14:val="tx1"/>
            </w14:solidFill>
          </w14:textFill>
        </w:rPr>
        <w:t>第四章 项目技术需求</w:t>
      </w:r>
      <w:bookmarkEnd w:id="202"/>
      <w:bookmarkEnd w:id="203"/>
      <w:bookmarkEnd w:id="204"/>
      <w:bookmarkEnd w:id="205"/>
    </w:p>
    <w:p>
      <w:pPr>
        <w:numPr>
          <w:ilvl w:val="0"/>
          <w:numId w:val="6"/>
        </w:numPr>
        <w:ind w:firstLine="723" w:firstLineChars="300"/>
        <w:rPr>
          <w:rFonts w:ascii="仿宋" w:hAnsi="仿宋" w:eastAsia="仿宋" w:cs="仿宋"/>
          <w:b/>
          <w:bCs/>
          <w:sz w:val="24"/>
          <w:szCs w:val="24"/>
        </w:rPr>
      </w:pPr>
      <w:r>
        <w:rPr>
          <w:rFonts w:hint="eastAsia" w:ascii="仿宋" w:hAnsi="仿宋" w:eastAsia="仿宋" w:cs="仿宋"/>
          <w:b/>
          <w:bCs/>
          <w:sz w:val="24"/>
          <w:szCs w:val="24"/>
        </w:rPr>
        <w:t>项目用途、预期效果或要求</w:t>
      </w:r>
    </w:p>
    <w:p>
      <w:pPr>
        <w:spacing w:line="360" w:lineRule="auto"/>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项目主要用于开展汽车技能大赛、教学实训、培训、鉴定和技术服务，努力提升学院汽车专业群人才培养质量，为区域内培养汽车技术的技能人才发挥重要作用。</w:t>
      </w:r>
    </w:p>
    <w:p>
      <w:pPr>
        <w:spacing w:line="360" w:lineRule="auto"/>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预期：项目实施后，能够成为学院专业教学、科技创新和社会服务体系的重要组成部分，成为学院加强资源共享、促进专业建设与发展、组织产业发展研究、组织科技合作与交流的重要基地和平台。</w:t>
      </w:r>
    </w:p>
    <w:p>
      <w:pPr>
        <w:spacing w:line="440" w:lineRule="exact"/>
        <w:ind w:firstLine="482" w:firstLineChars="200"/>
        <w:rPr>
          <w:rFonts w:ascii="宋体" w:hAnsi="宋体" w:cs="宋体"/>
          <w:b/>
          <w:bCs/>
          <w:color w:val="000000" w:themeColor="text1"/>
          <w:sz w:val="24"/>
          <w:szCs w:val="24"/>
          <w14:textFill>
            <w14:solidFill>
              <w14:schemeClr w14:val="tx1"/>
            </w14:solidFill>
          </w14:textFill>
        </w:rPr>
      </w:pPr>
      <w:bookmarkStart w:id="208" w:name="_Toc120614281"/>
      <w:bookmarkStart w:id="209" w:name="_Toc49090575"/>
      <w:bookmarkStart w:id="210" w:name="_Toc26554093"/>
    </w:p>
    <w:p>
      <w:pPr>
        <w:spacing w:line="440" w:lineRule="exact"/>
        <w:ind w:firstLine="482"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二．项目具体技术要求</w:t>
      </w:r>
    </w:p>
    <w:tbl>
      <w:tblPr>
        <w:tblStyle w:val="45"/>
        <w:tblpPr w:leftFromText="180" w:rightFromText="180" w:vertAnchor="text" w:horzAnchor="page" w:tblpX="1544" w:tblpY="897"/>
        <w:tblOverlap w:val="never"/>
        <w:tblW w:w="14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314"/>
        <w:gridCol w:w="1559"/>
        <w:gridCol w:w="7509"/>
        <w:gridCol w:w="1098"/>
        <w:gridCol w:w="912"/>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95" w:type="dxa"/>
            <w:vAlign w:val="center"/>
          </w:tcPr>
          <w:p>
            <w:pPr>
              <w:pStyle w:val="17"/>
              <w:spacing w:line="360" w:lineRule="exact"/>
              <w:jc w:val="center"/>
              <w:rPr>
                <w:rFonts w:ascii="宋体" w:hAnsi="宋体" w:eastAsia="宋体" w:cs="宋体"/>
                <w:sz w:val="21"/>
                <w:szCs w:val="21"/>
              </w:rPr>
            </w:pPr>
            <w:r>
              <w:rPr>
                <w:rFonts w:hint="eastAsia" w:ascii="宋体" w:hAnsi="宋体" w:eastAsia="宋体" w:cs="宋体"/>
                <w:sz w:val="21"/>
                <w:szCs w:val="21"/>
              </w:rPr>
              <w:t>序号</w:t>
            </w:r>
          </w:p>
        </w:tc>
        <w:tc>
          <w:tcPr>
            <w:tcW w:w="1314" w:type="dxa"/>
            <w:vAlign w:val="center"/>
          </w:tcPr>
          <w:p>
            <w:pPr>
              <w:pStyle w:val="17"/>
              <w:spacing w:line="360" w:lineRule="exact"/>
              <w:jc w:val="center"/>
              <w:rPr>
                <w:rFonts w:ascii="宋体" w:hAnsi="宋体" w:eastAsia="宋体" w:cs="宋体"/>
                <w:sz w:val="21"/>
                <w:szCs w:val="21"/>
              </w:rPr>
            </w:pPr>
            <w:r>
              <w:rPr>
                <w:rFonts w:hint="eastAsia" w:ascii="宋体" w:hAnsi="宋体" w:eastAsia="宋体" w:cs="宋体"/>
                <w:sz w:val="21"/>
                <w:szCs w:val="21"/>
              </w:rPr>
              <w:t>设备名称</w:t>
            </w:r>
          </w:p>
        </w:tc>
        <w:tc>
          <w:tcPr>
            <w:tcW w:w="1559" w:type="dxa"/>
            <w:vAlign w:val="center"/>
          </w:tcPr>
          <w:p>
            <w:pPr>
              <w:pStyle w:val="17"/>
              <w:spacing w:line="360" w:lineRule="exact"/>
              <w:jc w:val="center"/>
              <w:rPr>
                <w:rFonts w:ascii="宋体" w:hAnsi="宋体" w:eastAsia="宋体" w:cs="宋体"/>
                <w:sz w:val="21"/>
                <w:szCs w:val="21"/>
              </w:rPr>
            </w:pPr>
            <w:r>
              <w:rPr>
                <w:rFonts w:hint="eastAsia" w:ascii="宋体" w:hAnsi="宋体" w:eastAsia="宋体" w:cs="宋体"/>
                <w:sz w:val="21"/>
                <w:szCs w:val="21"/>
              </w:rPr>
              <w:t>规格、型号、要求</w:t>
            </w:r>
          </w:p>
        </w:tc>
        <w:tc>
          <w:tcPr>
            <w:tcW w:w="7509" w:type="dxa"/>
            <w:vAlign w:val="center"/>
          </w:tcPr>
          <w:p>
            <w:pPr>
              <w:pStyle w:val="17"/>
              <w:spacing w:line="360" w:lineRule="exact"/>
              <w:jc w:val="center"/>
              <w:rPr>
                <w:rFonts w:ascii="宋体" w:hAnsi="宋体" w:eastAsia="宋体" w:cs="宋体"/>
                <w:sz w:val="21"/>
                <w:szCs w:val="21"/>
              </w:rPr>
            </w:pPr>
            <w:r>
              <w:rPr>
                <w:rFonts w:hint="eastAsia" w:ascii="宋体" w:hAnsi="宋体" w:eastAsia="宋体" w:cs="宋体"/>
                <w:sz w:val="21"/>
                <w:szCs w:val="21"/>
              </w:rPr>
              <w:t>技术参数</w:t>
            </w:r>
          </w:p>
        </w:tc>
        <w:tc>
          <w:tcPr>
            <w:tcW w:w="1098" w:type="dxa"/>
            <w:vAlign w:val="center"/>
          </w:tcPr>
          <w:p>
            <w:pPr>
              <w:pStyle w:val="17"/>
              <w:spacing w:line="360" w:lineRule="exact"/>
              <w:jc w:val="center"/>
              <w:rPr>
                <w:rFonts w:ascii="宋体" w:hAnsi="宋体" w:eastAsia="宋体" w:cs="宋体"/>
                <w:sz w:val="21"/>
                <w:szCs w:val="21"/>
              </w:rPr>
            </w:pPr>
            <w:r>
              <w:rPr>
                <w:rFonts w:hint="eastAsia" w:ascii="宋体" w:hAnsi="宋体" w:eastAsia="宋体" w:cs="宋体"/>
                <w:sz w:val="21"/>
                <w:szCs w:val="21"/>
              </w:rPr>
              <w:t>单位</w:t>
            </w:r>
          </w:p>
        </w:tc>
        <w:tc>
          <w:tcPr>
            <w:tcW w:w="912" w:type="dxa"/>
            <w:vAlign w:val="center"/>
          </w:tcPr>
          <w:p>
            <w:pPr>
              <w:pStyle w:val="17"/>
              <w:spacing w:line="360" w:lineRule="exact"/>
              <w:jc w:val="center"/>
              <w:rPr>
                <w:rFonts w:ascii="宋体" w:hAnsi="宋体" w:eastAsia="宋体" w:cs="宋体"/>
                <w:sz w:val="21"/>
                <w:szCs w:val="21"/>
              </w:rPr>
            </w:pPr>
            <w:r>
              <w:rPr>
                <w:rFonts w:hint="eastAsia" w:ascii="宋体" w:hAnsi="宋体" w:eastAsia="宋体" w:cs="宋体"/>
                <w:sz w:val="21"/>
                <w:szCs w:val="21"/>
              </w:rPr>
              <w:t>数量</w:t>
            </w:r>
          </w:p>
        </w:tc>
        <w:tc>
          <w:tcPr>
            <w:tcW w:w="913" w:type="dxa"/>
            <w:vAlign w:val="center"/>
          </w:tcPr>
          <w:p>
            <w:pPr>
              <w:pStyle w:val="17"/>
              <w:spacing w:line="360" w:lineRule="exact"/>
              <w:jc w:val="center"/>
              <w:rPr>
                <w:rFonts w:ascii="宋体" w:hAnsi="宋体" w:eastAsia="宋体" w:cs="宋体"/>
                <w:sz w:val="21"/>
                <w:szCs w:val="21"/>
              </w:rPr>
            </w:pPr>
            <w:r>
              <w:rPr>
                <w:rFonts w:hint="eastAsia" w:ascii="宋体" w:hAnsi="宋体"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95" w:type="dxa"/>
            <w:vAlign w:val="center"/>
          </w:tcPr>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1</w:t>
            </w:r>
          </w:p>
        </w:tc>
        <w:tc>
          <w:tcPr>
            <w:tcW w:w="1314" w:type="dxa"/>
            <w:vAlign w:val="center"/>
          </w:tcPr>
          <w:p>
            <w:pPr>
              <w:ind w:right="210"/>
              <w:jc w:val="left"/>
              <w:textAlignment w:val="baseline"/>
              <w:rPr>
                <w:rFonts w:cs="宋体" w:asciiTheme="minorEastAsia" w:hAnsiTheme="minorEastAsia"/>
                <w:bCs/>
                <w:color w:val="000000"/>
              </w:rPr>
            </w:pPr>
            <w:r>
              <w:rPr>
                <w:rFonts w:hint="eastAsia" w:cs="宋体" w:asciiTheme="minorEastAsia" w:hAnsiTheme="minorEastAsia"/>
                <w:bCs/>
                <w:color w:val="000000"/>
              </w:rPr>
              <w:t>ACC标准仪</w:t>
            </w:r>
          </w:p>
        </w:tc>
        <w:tc>
          <w:tcPr>
            <w:tcW w:w="1559" w:type="dxa"/>
            <w:vAlign w:val="center"/>
          </w:tcPr>
          <w:p>
            <w:pPr>
              <w:ind w:right="210"/>
              <w:jc w:val="distribute"/>
              <w:textAlignment w:val="baseline"/>
              <w:rPr>
                <w:rFonts w:cs="宋体" w:asciiTheme="minorEastAsia" w:hAnsiTheme="minorEastAsia"/>
                <w:bCs/>
                <w:color w:val="000000"/>
              </w:rPr>
            </w:pPr>
            <w:r>
              <w:rPr>
                <w:rFonts w:hint="eastAsia" w:cs="宋体" w:asciiTheme="minorEastAsia" w:hAnsiTheme="minorEastAsia"/>
                <w:bCs/>
                <w:color w:val="000000"/>
              </w:rPr>
              <w:t>适用于大众迈腾B8AC标定</w:t>
            </w:r>
          </w:p>
        </w:tc>
        <w:tc>
          <w:tcPr>
            <w:tcW w:w="7509" w:type="dxa"/>
            <w:vAlign w:val="center"/>
          </w:tcPr>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1、标定架；2、激光探头；3、标定版</w:t>
            </w:r>
          </w:p>
        </w:tc>
        <w:tc>
          <w:tcPr>
            <w:tcW w:w="1098" w:type="dxa"/>
            <w:vAlign w:val="center"/>
          </w:tcPr>
          <w:p>
            <w:pPr>
              <w:widowControl/>
              <w:jc w:val="center"/>
              <w:textAlignment w:val="center"/>
              <w:rPr>
                <w:rFonts w:ascii="宋体" w:hAnsi="宋体" w:cs="宋体"/>
              </w:rPr>
            </w:pPr>
            <w:r>
              <w:rPr>
                <w:rFonts w:hint="eastAsia" w:ascii="宋体" w:hAnsi="宋体" w:cs="宋体"/>
              </w:rPr>
              <w:t>套</w:t>
            </w:r>
          </w:p>
        </w:tc>
        <w:tc>
          <w:tcPr>
            <w:tcW w:w="912" w:type="dxa"/>
            <w:vAlign w:val="center"/>
          </w:tcPr>
          <w:p>
            <w:pPr>
              <w:widowControl/>
              <w:jc w:val="center"/>
              <w:textAlignment w:val="center"/>
              <w:rPr>
                <w:rFonts w:ascii="宋体" w:hAnsi="宋体" w:cs="宋体"/>
              </w:rPr>
            </w:pPr>
            <w:r>
              <w:rPr>
                <w:rFonts w:hint="eastAsia" w:ascii="宋体" w:hAnsi="宋体" w:cs="宋体"/>
              </w:rPr>
              <w:t>1</w:t>
            </w:r>
          </w:p>
        </w:tc>
        <w:tc>
          <w:tcPr>
            <w:tcW w:w="913" w:type="dxa"/>
            <w:vAlign w:val="center"/>
          </w:tcPr>
          <w:p>
            <w:pPr>
              <w:pStyle w:val="17"/>
              <w:spacing w:line="360" w:lineRule="exact"/>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795" w:type="dxa"/>
            <w:vAlign w:val="center"/>
          </w:tcPr>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2</w:t>
            </w:r>
          </w:p>
        </w:tc>
        <w:tc>
          <w:tcPr>
            <w:tcW w:w="1314" w:type="dxa"/>
            <w:vAlign w:val="center"/>
          </w:tcPr>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ADAS校准板</w:t>
            </w:r>
          </w:p>
        </w:tc>
        <w:tc>
          <w:tcPr>
            <w:tcW w:w="1559" w:type="dxa"/>
            <w:vAlign w:val="center"/>
          </w:tcPr>
          <w:p>
            <w:pPr>
              <w:ind w:right="210"/>
              <w:jc w:val="left"/>
              <w:textAlignment w:val="baseline"/>
              <w:rPr>
                <w:rFonts w:cs="宋体" w:asciiTheme="minorEastAsia" w:hAnsiTheme="minorEastAsia"/>
                <w:bCs/>
                <w:color w:val="000000"/>
              </w:rPr>
            </w:pPr>
            <w:r>
              <w:rPr>
                <w:rFonts w:hint="eastAsia" w:cs="宋体" w:asciiTheme="minorEastAsia" w:hAnsiTheme="minorEastAsia"/>
                <w:bCs/>
                <w:color w:val="000000"/>
              </w:rPr>
              <w:t>适用于大众迈腾B8标定</w:t>
            </w:r>
          </w:p>
        </w:tc>
        <w:tc>
          <w:tcPr>
            <w:tcW w:w="7509" w:type="dxa"/>
            <w:vAlign w:val="center"/>
          </w:tcPr>
          <w:p>
            <w:pPr>
              <w:ind w:right="210" w:firstLine="210" w:firstLineChars="100"/>
              <w:textAlignment w:val="baseline"/>
              <w:rPr>
                <w:rFonts w:cs="宋体" w:asciiTheme="minorEastAsia" w:hAnsiTheme="minorEastAsia"/>
                <w:bCs/>
                <w:color w:val="000000"/>
              </w:rPr>
            </w:pPr>
            <w:r>
              <w:rPr>
                <w:rFonts w:hint="eastAsia" w:cs="宋体" w:asciiTheme="minorEastAsia" w:hAnsiTheme="minorEastAsia"/>
                <w:bCs/>
                <w:color w:val="000000"/>
              </w:rPr>
              <w:t>产品参数：</w:t>
            </w:r>
          </w:p>
          <w:p>
            <w:pPr>
              <w:ind w:right="210" w:firstLine="210" w:firstLineChars="100"/>
              <w:textAlignment w:val="baseline"/>
              <w:rPr>
                <w:rFonts w:cs="宋体" w:asciiTheme="minorEastAsia" w:hAnsiTheme="minorEastAsia"/>
                <w:bCs/>
                <w:color w:val="000000"/>
              </w:rPr>
            </w:pPr>
            <w:r>
              <w:rPr>
                <w:rFonts w:hint="eastAsia" w:cs="宋体" w:asciiTheme="minorEastAsia" w:hAnsiTheme="minorEastAsia"/>
                <w:bCs/>
                <w:color w:val="000000"/>
              </w:rPr>
              <w:t>ADAS 校准主架横臂展开：1752mm升降高度，最高：1697.5mm，最低：1101.5mm，底部轮距：850mm折叠尺寸：412mm*1041mm*340mm脚轮参数：脚轮数量3 个；轮距：850mm；可调节水平行程：16mm底座参数：底座离地高度：106~122mm,LDW 标靶A位置1360mm/B980mm/C220mm/D80mm/E110mm。</w:t>
            </w:r>
          </w:p>
          <w:p>
            <w:pPr>
              <w:ind w:right="210" w:firstLine="210" w:firstLineChars="100"/>
              <w:textAlignment w:val="baseline"/>
              <w:rPr>
                <w:rFonts w:cs="宋体" w:asciiTheme="minorEastAsia" w:hAnsiTheme="minorEastAsia"/>
                <w:bCs/>
                <w:color w:val="000000"/>
              </w:rPr>
            </w:pPr>
            <w:r>
              <w:rPr>
                <w:rFonts w:hint="eastAsia" w:cs="宋体" w:asciiTheme="minorEastAsia" w:hAnsiTheme="minorEastAsia"/>
                <w:bCs/>
                <w:color w:val="000000"/>
              </w:rPr>
              <w:t>附件：五线激光仪、十字激光器、激光反射板、反射镜、L 型定位支架、铅锤、标靶放置架、辅助定位十字标贴、自锁卷尺、ACC 雷达校准板、ADAS 激活点卡</w:t>
            </w:r>
          </w:p>
          <w:p>
            <w:pPr>
              <w:ind w:right="210" w:firstLine="210" w:firstLineChars="100"/>
              <w:textAlignment w:val="baseline"/>
              <w:rPr>
                <w:rFonts w:cs="宋体" w:asciiTheme="minorEastAsia" w:hAnsiTheme="minorEastAsia"/>
                <w:bCs/>
                <w:color w:val="000000"/>
              </w:rPr>
            </w:pPr>
            <w:r>
              <w:rPr>
                <w:rFonts w:hint="eastAsia" w:cs="宋体" w:asciiTheme="minorEastAsia" w:hAnsiTheme="minorEastAsia"/>
                <w:bCs/>
                <w:color w:val="000000"/>
              </w:rPr>
              <w:t>设备需满足2023年江苏省职业院校技能大赛汽车技术赛项需求</w:t>
            </w:r>
          </w:p>
        </w:tc>
        <w:tc>
          <w:tcPr>
            <w:tcW w:w="1098" w:type="dxa"/>
            <w:vAlign w:val="center"/>
          </w:tcPr>
          <w:p>
            <w:pPr>
              <w:widowControl/>
              <w:jc w:val="center"/>
              <w:textAlignment w:val="center"/>
              <w:rPr>
                <w:rFonts w:ascii="宋体" w:hAnsi="宋体" w:cs="宋体"/>
              </w:rPr>
            </w:pPr>
            <w:r>
              <w:rPr>
                <w:rFonts w:hint="eastAsia" w:ascii="宋体" w:hAnsi="宋体" w:cs="宋体"/>
              </w:rPr>
              <w:t>套</w:t>
            </w:r>
          </w:p>
        </w:tc>
        <w:tc>
          <w:tcPr>
            <w:tcW w:w="912" w:type="dxa"/>
            <w:vAlign w:val="center"/>
          </w:tcPr>
          <w:p>
            <w:pPr>
              <w:widowControl/>
              <w:jc w:val="center"/>
              <w:textAlignment w:val="center"/>
              <w:rPr>
                <w:rFonts w:ascii="宋体" w:hAnsi="宋体" w:cs="宋体"/>
              </w:rPr>
            </w:pPr>
            <w:r>
              <w:rPr>
                <w:rFonts w:hint="eastAsia" w:ascii="宋体" w:hAnsi="宋体" w:cs="宋体"/>
              </w:rPr>
              <w:t>1</w:t>
            </w:r>
          </w:p>
        </w:tc>
        <w:tc>
          <w:tcPr>
            <w:tcW w:w="913" w:type="dxa"/>
            <w:vAlign w:val="center"/>
          </w:tcPr>
          <w:p>
            <w:pPr>
              <w:pStyle w:val="17"/>
              <w:spacing w:line="360" w:lineRule="exact"/>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9" w:hRule="atLeast"/>
        </w:trPr>
        <w:tc>
          <w:tcPr>
            <w:tcW w:w="795" w:type="dxa"/>
            <w:vAlign w:val="center"/>
          </w:tcPr>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3</w:t>
            </w:r>
          </w:p>
        </w:tc>
        <w:tc>
          <w:tcPr>
            <w:tcW w:w="1314" w:type="dxa"/>
            <w:vAlign w:val="center"/>
          </w:tcPr>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大众迈腾三通诊断盒</w:t>
            </w:r>
          </w:p>
        </w:tc>
        <w:tc>
          <w:tcPr>
            <w:tcW w:w="1559" w:type="dxa"/>
            <w:vAlign w:val="center"/>
          </w:tcPr>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适用于大众迈腾B8故障测量</w:t>
            </w:r>
          </w:p>
        </w:tc>
        <w:tc>
          <w:tcPr>
            <w:tcW w:w="7509" w:type="dxa"/>
            <w:vAlign w:val="center"/>
          </w:tcPr>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1.VCU快速转接盒：转接盒使用全新原车VCU接头，采用工业造型设计和开模制作，内置PCB板电路封装，用于故障检测盒与车辆电动化系统的接口转换，以达到不破坏原车线束的无损连接。</w:t>
            </w:r>
          </w:p>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2.测试盒：检测盒本体采用工业造型设计和开模制作，内置PCB板电路封装，用于车辆VCU的数据检测。检测盒本体配置有196路数据测量端子、线束连接器、专用附件等。</w:t>
            </w:r>
          </w:p>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主要功能:本VCU转接盒采用196满线设计，只要是车辆使用这款196p连接器都可以进行故障检测。</w:t>
            </w:r>
          </w:p>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3.设备需满足2023年江苏省职业院校技能大赛汽车技术赛项需求</w:t>
            </w:r>
          </w:p>
        </w:tc>
        <w:tc>
          <w:tcPr>
            <w:tcW w:w="1098" w:type="dxa"/>
            <w:vAlign w:val="center"/>
          </w:tcPr>
          <w:p>
            <w:pPr>
              <w:widowControl/>
              <w:jc w:val="center"/>
              <w:textAlignment w:val="center"/>
              <w:rPr>
                <w:rFonts w:ascii="宋体" w:hAnsi="宋体" w:cs="宋体"/>
              </w:rPr>
            </w:pPr>
            <w:r>
              <w:rPr>
                <w:rFonts w:hint="eastAsia" w:ascii="宋体" w:hAnsi="宋体" w:cs="宋体"/>
              </w:rPr>
              <w:t>套</w:t>
            </w:r>
          </w:p>
        </w:tc>
        <w:tc>
          <w:tcPr>
            <w:tcW w:w="912" w:type="dxa"/>
            <w:vAlign w:val="center"/>
          </w:tcPr>
          <w:p>
            <w:pPr>
              <w:widowControl/>
              <w:jc w:val="center"/>
              <w:textAlignment w:val="center"/>
              <w:rPr>
                <w:rFonts w:ascii="宋体" w:hAnsi="宋体" w:cs="宋体"/>
              </w:rPr>
            </w:pPr>
            <w:r>
              <w:rPr>
                <w:rFonts w:hint="eastAsia" w:ascii="宋体" w:hAnsi="宋体" w:cs="宋体"/>
              </w:rPr>
              <w:t>1</w:t>
            </w:r>
          </w:p>
        </w:tc>
        <w:tc>
          <w:tcPr>
            <w:tcW w:w="913" w:type="dxa"/>
            <w:vAlign w:val="center"/>
          </w:tcPr>
          <w:p>
            <w:pPr>
              <w:pStyle w:val="17"/>
              <w:spacing w:line="360" w:lineRule="exact"/>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795" w:type="dxa"/>
            <w:vAlign w:val="center"/>
          </w:tcPr>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4</w:t>
            </w:r>
          </w:p>
        </w:tc>
        <w:tc>
          <w:tcPr>
            <w:tcW w:w="1314" w:type="dxa"/>
            <w:vAlign w:val="center"/>
          </w:tcPr>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比亚迪秦三通诊断盒</w:t>
            </w:r>
          </w:p>
        </w:tc>
        <w:tc>
          <w:tcPr>
            <w:tcW w:w="1559" w:type="dxa"/>
            <w:vAlign w:val="center"/>
          </w:tcPr>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适用于比亚迪秦EV故障测量</w:t>
            </w:r>
          </w:p>
        </w:tc>
        <w:tc>
          <w:tcPr>
            <w:tcW w:w="7509" w:type="dxa"/>
            <w:vAlign w:val="center"/>
          </w:tcPr>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1.VCU快速转接盒</w:t>
            </w:r>
          </w:p>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转接盒使用全新原车VCU接头，采用工业造型设计和开模制作，内置PCB板电路封装，用于故障检测盒与车辆电动化系统的接口转换，以达到不破坏原车线束的无损连接。</w:t>
            </w:r>
          </w:p>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2.BMS快速转接盒</w:t>
            </w:r>
          </w:p>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转接盒使用全新原车BMS接头，采用工业造型设计和开模制作，内置PCB板电路封装，用于故障检测盒与车辆电动化系统的接口转换，以达到不破坏原车线束的无损连接。</w:t>
            </w:r>
          </w:p>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3.PEU快速转接盒</w:t>
            </w:r>
          </w:p>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转接盒使用全新原车PEU接头，采用工业造型设计和开模制作，内置PCB板电路封装，用于故障检测盒与车辆电动化系统的接口转换，以达到不破坏原车线束的无损连接。</w:t>
            </w:r>
          </w:p>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嵌入电池管理及智能充电实训系统，可保护转接盒及故障设置与测试盒电路不受损坏。</w:t>
            </w:r>
          </w:p>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4.车载充电机快速转接盒</w:t>
            </w:r>
          </w:p>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转接盒使用全新原车车载充电机接头，采用工业造型设计和开模制作，内置PCB板电路封装，用于故障检测盒与车辆电动化系统的接口转换，以达到不破坏原车线束的无损连接。</w:t>
            </w:r>
          </w:p>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嵌入电池管理及智能充电实训系统，可保护转接盒及故障设置与测试盒电路不受损坏。</w:t>
            </w:r>
          </w:p>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5.故障设置与测试盒</w:t>
            </w:r>
          </w:p>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检测盒本体采用工业造型设计和开模制作，内置PCB板电路封装，用于车辆电池管理系统、电机控制器、整车控制器、车载充电机、空调压缩机、PTC加热器等的故障设置和数据检测。检测盒本体配置有不少于40路故障设置开关、80路数据测量端子、线束连接器、专用附件等。主要功能:</w:t>
            </w:r>
          </w:p>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PEU电源系统的数据分析和故障诊断</w:t>
            </w:r>
          </w:p>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PEU互锁信号的数据分析和故障诊断</w:t>
            </w:r>
          </w:p>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PEU P-CAN总线的数据分析和故障诊断</w:t>
            </w:r>
          </w:p>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PEU电机温度传感器的数据分析和故障诊断</w:t>
            </w:r>
          </w:p>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PEU旋变传感器的数据分析和故障诊断</w:t>
            </w:r>
          </w:p>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DC/DC直流充电控制的数据分析和故障诊断</w:t>
            </w:r>
          </w:p>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DC/DC直流充电输出的数据分析和故障诊断</w:t>
            </w:r>
          </w:p>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VCU电源系统的数据分析和故障诊断</w:t>
            </w:r>
          </w:p>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VCU制动灯开关的数据分析和故障诊断</w:t>
            </w:r>
          </w:p>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VCU电子换挡器的数据分析和故障诊断</w:t>
            </w:r>
          </w:p>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VCU互锁信号的数据分析和故障诊断</w:t>
            </w:r>
          </w:p>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VCU B-CAN总线的数据分析和故障诊断</w:t>
            </w:r>
          </w:p>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VCU P-CAN总线的数据分析和故障诊断</w:t>
            </w:r>
          </w:p>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VCU唤醒信号的数据分析和故障诊断</w:t>
            </w:r>
          </w:p>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VCU模式开关的数据分析和故障诊断</w:t>
            </w:r>
          </w:p>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VCU加速踏板传感器的数据分析和故障诊断</w:t>
            </w:r>
          </w:p>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VCU冷却系统的数据分析和故障诊断</w:t>
            </w:r>
          </w:p>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OBC P-CAN总线的数据分析和故障诊断</w:t>
            </w:r>
          </w:p>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OBC温度传感器的数据分析和故障诊断</w:t>
            </w:r>
          </w:p>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充电连接确认信号的数据分析和故障诊断</w:t>
            </w:r>
          </w:p>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充电控制信号的数据分析和故障诊断</w:t>
            </w:r>
          </w:p>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充电电子锁的数据分析和故障诊断</w:t>
            </w:r>
          </w:p>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充电指示灯的数据分析和故障诊断</w:t>
            </w:r>
          </w:p>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制动灯信号的数据分析和故障诊断</w:t>
            </w:r>
          </w:p>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充电状态信号的数据分析和故障诊断</w:t>
            </w:r>
          </w:p>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充电唤醒信号的数据分析和故障诊断</w:t>
            </w:r>
          </w:p>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BMS电源系统的数据分析和故障诊断</w:t>
            </w:r>
          </w:p>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BMS P-CAN总线的数据分析和故障诊断</w:t>
            </w:r>
          </w:p>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BMS唤醒信号的数据分析和故障诊断</w:t>
            </w:r>
          </w:p>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BMS碰撞信号的数据分析和故障诊断</w:t>
            </w:r>
          </w:p>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BMS充电状态信号的数据分析和故障诊断</w:t>
            </w:r>
          </w:p>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直流充电插座CAN总线的数据分析和故障诊断</w:t>
            </w:r>
          </w:p>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直流充电插座连接确认信号的数据分析和故障诊断</w:t>
            </w:r>
          </w:p>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直流充电插座充电唤醒信号的数据分析和故障诊断</w:t>
            </w:r>
          </w:p>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直流充电插座温度传感器的数据分析和故障诊断</w:t>
            </w:r>
          </w:p>
          <w:p>
            <w:pPr>
              <w:ind w:right="210" w:firstLine="210" w:firstLineChars="100"/>
              <w:jc w:val="left"/>
              <w:textAlignment w:val="baseline"/>
              <w:rPr>
                <w:rFonts w:cs="宋体" w:asciiTheme="minorEastAsia" w:hAnsiTheme="minorEastAsia"/>
                <w:bCs/>
                <w:color w:val="000000"/>
              </w:rPr>
            </w:pPr>
            <w:r>
              <w:rPr>
                <w:rFonts w:hint="eastAsia" w:cs="宋体" w:asciiTheme="minorEastAsia" w:hAnsiTheme="minorEastAsia"/>
                <w:bCs/>
                <w:color w:val="000000"/>
              </w:rPr>
              <w:t>6.设备需满足2023年江苏省职业院校技能大赛汽车技术赛项需求</w:t>
            </w:r>
          </w:p>
        </w:tc>
        <w:tc>
          <w:tcPr>
            <w:tcW w:w="1098" w:type="dxa"/>
            <w:vAlign w:val="center"/>
          </w:tcPr>
          <w:p>
            <w:pPr>
              <w:widowControl/>
              <w:jc w:val="center"/>
              <w:textAlignment w:val="center"/>
              <w:rPr>
                <w:rFonts w:ascii="宋体" w:hAnsi="宋体" w:cs="宋体"/>
              </w:rPr>
            </w:pPr>
            <w:r>
              <w:rPr>
                <w:rFonts w:hint="eastAsia" w:ascii="宋体" w:hAnsi="宋体" w:cs="宋体"/>
              </w:rPr>
              <w:t>套</w:t>
            </w:r>
          </w:p>
        </w:tc>
        <w:tc>
          <w:tcPr>
            <w:tcW w:w="912" w:type="dxa"/>
            <w:vAlign w:val="center"/>
          </w:tcPr>
          <w:p>
            <w:pPr>
              <w:widowControl/>
              <w:jc w:val="center"/>
              <w:textAlignment w:val="center"/>
              <w:rPr>
                <w:rFonts w:ascii="宋体" w:hAnsi="宋体" w:cs="宋体"/>
              </w:rPr>
            </w:pPr>
            <w:r>
              <w:rPr>
                <w:rFonts w:hint="eastAsia" w:ascii="宋体" w:hAnsi="宋体" w:cs="宋体"/>
              </w:rPr>
              <w:t>1</w:t>
            </w:r>
          </w:p>
        </w:tc>
        <w:tc>
          <w:tcPr>
            <w:tcW w:w="913" w:type="dxa"/>
            <w:vAlign w:val="center"/>
          </w:tcPr>
          <w:p>
            <w:pPr>
              <w:pStyle w:val="17"/>
              <w:spacing w:line="360" w:lineRule="exact"/>
              <w:jc w:val="center"/>
              <w:rPr>
                <w:rFonts w:ascii="宋体" w:hAnsi="宋体" w:eastAsia="宋体" w:cs="宋体"/>
                <w:sz w:val="21"/>
                <w:szCs w:val="21"/>
              </w:rPr>
            </w:pPr>
          </w:p>
        </w:tc>
      </w:tr>
    </w:tbl>
    <w:p>
      <w:pPr>
        <w:widowControl/>
        <w:spacing w:line="360" w:lineRule="auto"/>
        <w:ind w:firstLine="210" w:firstLineChars="100"/>
        <w:textAlignment w:val="baseline"/>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备注：</w:t>
      </w:r>
    </w:p>
    <w:p>
      <w:pPr>
        <w:widowControl/>
        <w:spacing w:line="360" w:lineRule="auto"/>
        <w:ind w:firstLine="210" w:firstLineChars="100"/>
        <w:textAlignment w:val="baseline"/>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1、投标费用包括乙方安装、调试、培训、质保期服务、各项税费、交通费、管理费及合同实施过程中不可预见费用等。</w:t>
      </w:r>
    </w:p>
    <w:p>
      <w:pPr>
        <w:widowControl/>
        <w:spacing w:line="360" w:lineRule="auto"/>
        <w:ind w:firstLine="210" w:firstLineChars="100"/>
        <w:textAlignment w:val="baseline"/>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2、货物名称内容必须与投标文件中货物名称内容一致。</w:t>
      </w:r>
    </w:p>
    <w:p>
      <w:pPr>
        <w:widowControl/>
        <w:spacing w:line="360" w:lineRule="auto"/>
        <w:ind w:firstLine="210" w:firstLineChars="100"/>
        <w:textAlignment w:val="baseline"/>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3、本项目需开具增值税专用发票。</w:t>
      </w:r>
    </w:p>
    <w:p>
      <w:pPr>
        <w:pStyle w:val="40"/>
        <w:spacing w:before="0" w:beforeAutospacing="0" w:after="0" w:afterAutospacing="0"/>
        <w:ind w:firstLine="420"/>
        <w:rPr>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二、售后服务及质保要求</w:t>
      </w:r>
    </w:p>
    <w:p>
      <w:pPr>
        <w:pStyle w:val="40"/>
        <w:spacing w:before="0" w:beforeAutospacing="0" w:after="0" w:afterAutospacing="0"/>
        <w:ind w:firstLine="480" w:firstLineChars="200"/>
        <w:textAlignment w:val="baseline"/>
        <w:rPr>
          <w:rFonts w:asciiTheme="minorEastAsia" w:hAnsiTheme="minorEastAsia" w:eastAsiaTheme="minorEastAsia"/>
          <w:szCs w:val="21"/>
        </w:rPr>
      </w:pPr>
      <w:bookmarkStart w:id="211" w:name="_Toc4016"/>
      <w:r>
        <w:rPr>
          <w:rFonts w:hint="eastAsia" w:asciiTheme="minorEastAsia" w:hAnsiTheme="minorEastAsia" w:eastAsiaTheme="minorEastAsia"/>
          <w:szCs w:val="21"/>
        </w:rPr>
        <w:t>1、质保期三年。（自交货验收合格之日起计）</w:t>
      </w:r>
    </w:p>
    <w:p>
      <w:pPr>
        <w:pStyle w:val="40"/>
        <w:spacing w:before="0" w:beforeAutospacing="0" w:after="0" w:afterAutospacing="0"/>
        <w:ind w:firstLine="480" w:firstLineChars="200"/>
        <w:textAlignment w:val="baseline"/>
        <w:rPr>
          <w:rFonts w:asciiTheme="minorEastAsia" w:hAnsiTheme="minorEastAsia" w:eastAsiaTheme="minorEastAsia"/>
          <w:szCs w:val="21"/>
        </w:rPr>
      </w:pPr>
      <w:r>
        <w:rPr>
          <w:rFonts w:hint="eastAsia" w:asciiTheme="minorEastAsia" w:hAnsiTheme="minorEastAsia" w:eastAsiaTheme="minorEastAsia"/>
          <w:szCs w:val="21"/>
        </w:rPr>
        <w:t>2、如在使用过程中发生质量问题，中标单位在接到甲方通知后在6小时内到达甲方现场提供免费上门维修服务，12小时内确保系统正常运行。</w:t>
      </w:r>
    </w:p>
    <w:p>
      <w:pPr>
        <w:pStyle w:val="40"/>
        <w:spacing w:before="0" w:beforeAutospacing="0" w:after="0" w:afterAutospacing="0"/>
        <w:ind w:firstLine="480" w:firstLineChars="200"/>
        <w:textAlignment w:val="baseline"/>
        <w:rPr>
          <w:rFonts w:asciiTheme="minorEastAsia" w:hAnsiTheme="minorEastAsia" w:eastAsiaTheme="minorEastAsia"/>
          <w:szCs w:val="21"/>
        </w:rPr>
      </w:pPr>
      <w:r>
        <w:rPr>
          <w:rFonts w:hint="eastAsia" w:asciiTheme="minorEastAsia" w:hAnsiTheme="minorEastAsia" w:eastAsiaTheme="minorEastAsia"/>
          <w:szCs w:val="21"/>
        </w:rPr>
        <w:t>3、在质保期内，中标单位应对货物出现的质量及安全问题负责处理解决并承担一切费用。</w:t>
      </w:r>
    </w:p>
    <w:p>
      <w:pPr>
        <w:pStyle w:val="40"/>
        <w:spacing w:before="0" w:beforeAutospacing="0" w:after="0" w:afterAutospacing="0"/>
        <w:ind w:firstLine="480" w:firstLineChars="200"/>
        <w:textAlignment w:val="baseline"/>
        <w:rPr>
          <w:rFonts w:asciiTheme="minorEastAsia" w:hAnsiTheme="minorEastAsia" w:eastAsiaTheme="minorEastAsia"/>
          <w:szCs w:val="21"/>
        </w:rPr>
      </w:pPr>
      <w:r>
        <w:rPr>
          <w:rFonts w:hint="eastAsia" w:asciiTheme="minorEastAsia" w:hAnsiTheme="minorEastAsia" w:eastAsiaTheme="minorEastAsia"/>
          <w:szCs w:val="21"/>
        </w:rPr>
        <w:t>4、上述的货物免费质保期，因人为因素出现的故障不在免费保修范围内。超过保修期的机器设备，终生维修，维修时只收部件成本费。</w:t>
      </w:r>
    </w:p>
    <w:p>
      <w:pPr>
        <w:pStyle w:val="40"/>
        <w:spacing w:before="0" w:beforeAutospacing="0" w:after="0" w:afterAutospacing="0"/>
        <w:ind w:firstLine="480" w:firstLineChars="200"/>
        <w:textAlignment w:val="baseline"/>
        <w:rPr>
          <w:rFonts w:asciiTheme="minorEastAsia" w:hAnsiTheme="minorEastAsia" w:eastAsiaTheme="minorEastAsia"/>
          <w:szCs w:val="21"/>
        </w:rPr>
      </w:pPr>
      <w:r>
        <w:rPr>
          <w:rFonts w:hint="eastAsia" w:asciiTheme="minorEastAsia" w:hAnsiTheme="minorEastAsia" w:eastAsiaTheme="minorEastAsia"/>
          <w:szCs w:val="21"/>
        </w:rPr>
        <w:t>5、中标单位须向甲方免费提供培训服务，确保使用者完全会使用及操作为止。</w:t>
      </w:r>
    </w:p>
    <w:p>
      <w:pPr>
        <w:pStyle w:val="40"/>
        <w:spacing w:before="0" w:beforeAutospacing="0" w:after="0" w:afterAutospacing="0"/>
        <w:ind w:firstLine="480" w:firstLineChars="200"/>
        <w:textAlignment w:val="baseline"/>
        <w:rPr>
          <w:rFonts w:asciiTheme="minorEastAsia" w:hAnsiTheme="minorEastAsia" w:eastAsiaTheme="minorEastAsia"/>
          <w:szCs w:val="21"/>
        </w:rPr>
      </w:pPr>
      <w:r>
        <w:rPr>
          <w:rFonts w:hint="eastAsia" w:asciiTheme="minorEastAsia" w:hAnsiTheme="minorEastAsia" w:eastAsiaTheme="minorEastAsia"/>
          <w:szCs w:val="21"/>
        </w:rPr>
        <w:t>6、质保期内，乙方免费提供系统升级服务。</w:t>
      </w:r>
    </w:p>
    <w:p>
      <w:pPr>
        <w:pStyle w:val="17"/>
      </w:pPr>
    </w:p>
    <w:p/>
    <w:p>
      <w:pPr>
        <w:pStyle w:val="17"/>
      </w:pPr>
    </w:p>
    <w:p/>
    <w:p>
      <w:pPr>
        <w:pStyle w:val="17"/>
      </w:pPr>
    </w:p>
    <w:p/>
    <w:p>
      <w:pPr>
        <w:pStyle w:val="17"/>
      </w:pPr>
    </w:p>
    <w:p/>
    <w:p>
      <w:pPr>
        <w:pStyle w:val="17"/>
      </w:pPr>
    </w:p>
    <w:p/>
    <w:p>
      <w:pPr>
        <w:pStyle w:val="17"/>
      </w:pPr>
    </w:p>
    <w:p/>
    <w:p>
      <w:pPr>
        <w:pStyle w:val="40"/>
        <w:jc w:val="center"/>
        <w:outlineLvl w:val="0"/>
        <w:rPr>
          <w:b/>
          <w:color w:val="000000" w:themeColor="text1"/>
          <w:sz w:val="44"/>
          <w14:textFill>
            <w14:solidFill>
              <w14:schemeClr w14:val="tx1"/>
            </w14:solidFill>
          </w14:textFill>
        </w:rPr>
        <w:sectPr>
          <w:headerReference r:id="rId8" w:type="default"/>
          <w:footerReference r:id="rId9" w:type="default"/>
          <w:pgSz w:w="16838" w:h="11906" w:orient="landscape"/>
          <w:pgMar w:top="1417" w:right="1417" w:bottom="1417" w:left="1417" w:header="851" w:footer="907" w:gutter="0"/>
          <w:cols w:space="0" w:num="1"/>
          <w:docGrid w:type="lines" w:linePitch="292" w:charSpace="0"/>
        </w:sectPr>
      </w:pPr>
    </w:p>
    <w:p>
      <w:pPr>
        <w:pStyle w:val="40"/>
        <w:jc w:val="center"/>
        <w:outlineLvl w:val="0"/>
        <w:rPr>
          <w:b/>
          <w:color w:val="000000" w:themeColor="text1"/>
          <w:sz w:val="44"/>
          <w14:textFill>
            <w14:solidFill>
              <w14:schemeClr w14:val="tx1"/>
            </w14:solidFill>
          </w14:textFill>
        </w:rPr>
      </w:pPr>
    </w:p>
    <w:p>
      <w:pPr>
        <w:pStyle w:val="40"/>
        <w:jc w:val="center"/>
        <w:outlineLvl w:val="0"/>
        <w:rPr>
          <w:b/>
          <w:color w:val="000000" w:themeColor="text1"/>
          <w:sz w:val="44"/>
          <w14:textFill>
            <w14:solidFill>
              <w14:schemeClr w14:val="tx1"/>
            </w14:solidFill>
          </w14:textFill>
        </w:rPr>
      </w:pPr>
      <w:r>
        <w:rPr>
          <w:rFonts w:hint="eastAsia"/>
          <w:b/>
          <w:color w:val="000000" w:themeColor="text1"/>
          <w:sz w:val="44"/>
          <w14:textFill>
            <w14:solidFill>
              <w14:schemeClr w14:val="tx1"/>
            </w14:solidFill>
          </w14:textFill>
        </w:rPr>
        <w:t>第五章  评标方法与评标标准</w:t>
      </w:r>
      <w:bookmarkEnd w:id="211"/>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一、评标方法与定标原则</w:t>
      </w:r>
    </w:p>
    <w:p>
      <w:pPr>
        <w:snapToGrid w:val="0"/>
        <w:spacing w:line="500" w:lineRule="exact"/>
        <w:ind w:firstLine="480" w:firstLineChars="200"/>
        <w:rPr>
          <w:rStyle w:val="115"/>
          <w:rFonts w:ascii="宋体" w:hAnsi="宋体" w:cs="宋体"/>
          <w:bCs/>
          <w:sz w:val="24"/>
          <w:szCs w:val="24"/>
        </w:rPr>
      </w:pPr>
      <w:r>
        <w:rPr>
          <w:rFonts w:hint="eastAsia" w:ascii="宋体" w:hAnsi="宋体" w:cs="宋体"/>
          <w:bCs/>
          <w:sz w:val="24"/>
          <w:szCs w:val="24"/>
        </w:rPr>
        <w:t>评标采用综合评分法，评标结果按评审后得分由高到低顺序排列。得分相同的，按投标报价由低到高顺序排列。得分且投标报价相同的并列，由评标委员会组织通过抽签的方式确定中标候选人的排序。投标文件满足招标文件全部实质性要求，且按照评审因素的量化指标评审得分最高的投标人为排名第一的中标候选人。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w:t>
      </w:r>
      <w:r>
        <w:fldChar w:fldCharType="begin"/>
      </w:r>
      <w:r>
        <w:instrText xml:space="preserve">HYPERLINK "https://link.zhihu.com/?target=http://baike.baidu.com/view/89764.htm" \t "https://www.zhihu.com/question/_blank"</w:instrText>
      </w:r>
      <w:r>
        <w:fldChar w:fldCharType="separate"/>
      </w:r>
      <w:r>
        <w:rPr>
          <w:rFonts w:hint="eastAsia" w:ascii="宋体" w:hAnsi="宋体" w:cs="宋体"/>
          <w:bCs/>
          <w:sz w:val="24"/>
          <w:szCs w:val="24"/>
        </w:rPr>
        <w:t>竞争</w:t>
      </w:r>
      <w:r>
        <w:rPr>
          <w:rFonts w:ascii="宋体" w:hAnsi="宋体" w:cs="宋体"/>
          <w:bCs/>
          <w:sz w:val="24"/>
          <w:szCs w:val="24"/>
        </w:rPr>
        <w:fldChar w:fldCharType="end"/>
      </w:r>
      <w:r>
        <w:rPr>
          <w:rFonts w:hint="eastAsia" w:ascii="宋体" w:hAnsi="宋体" w:cs="宋体"/>
          <w:bCs/>
          <w:sz w:val="24"/>
          <w:szCs w:val="24"/>
        </w:rPr>
        <w:t>，其投标应作</w:t>
      </w:r>
      <w:r>
        <w:fldChar w:fldCharType="begin"/>
      </w:r>
      <w:r>
        <w:instrText xml:space="preserve"> HYPERLINK "https://link.zhihu.com/?target=http://baike.baidu.com/view/1281780.htm" \t "https://www.zhihu.com/question/_blank" </w:instrText>
      </w:r>
      <w:r>
        <w:fldChar w:fldCharType="separate"/>
      </w:r>
      <w:r>
        <w:rPr>
          <w:rFonts w:hint="eastAsia" w:ascii="宋体" w:hAnsi="宋体" w:cs="宋体"/>
          <w:bCs/>
          <w:sz w:val="24"/>
          <w:szCs w:val="24"/>
        </w:rPr>
        <w:t>废标</w:t>
      </w:r>
      <w:r>
        <w:rPr>
          <w:rFonts w:hint="eastAsia" w:ascii="宋体" w:hAnsi="宋体" w:cs="宋体"/>
          <w:bCs/>
          <w:sz w:val="24"/>
          <w:szCs w:val="24"/>
        </w:rPr>
        <w:fldChar w:fldCharType="end"/>
      </w:r>
      <w:r>
        <w:rPr>
          <w:rFonts w:hint="eastAsia" w:ascii="宋体" w:hAnsi="宋体" w:cs="宋体"/>
          <w:bCs/>
          <w:sz w:val="24"/>
          <w:szCs w:val="24"/>
        </w:rPr>
        <w:t>处理。</w:t>
      </w:r>
    </w:p>
    <w:p>
      <w:pPr>
        <w:pStyle w:val="40"/>
        <w:adjustRightInd w:val="0"/>
        <w:snapToGrid w:val="0"/>
        <w:spacing w:before="0" w:beforeAutospacing="0" w:after="0" w:afterAutospacing="0" w:line="360" w:lineRule="auto"/>
        <w:ind w:firstLine="482" w:firstLineChars="200"/>
        <w:rPr>
          <w:b/>
          <w:bCs/>
        </w:rPr>
      </w:pPr>
      <w:r>
        <w:rPr>
          <w:rFonts w:hint="eastAsia"/>
          <w:b/>
          <w:bCs/>
        </w:rPr>
        <w:t>政府采购政策功能落实</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1、小微型企业价格扣除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（1）本项目对小型和微型企业产品给予10%的扣除价格，用扣除后的价格参与评审。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（2）供应商需按照采购文件的要求提供相应的《企业声明函》。</w:t>
      </w:r>
    </w:p>
    <w:p>
      <w:pPr>
        <w:pStyle w:val="40"/>
        <w:spacing w:before="0" w:beforeAutospacing="0" w:after="0" w:afterAutospacing="0"/>
        <w:ind w:firstLine="480" w:firstLineChars="200"/>
        <w:rPr>
          <w:b/>
          <w:bCs/>
          <w:color w:val="00B0F0"/>
          <w:u w:val="single"/>
        </w:rPr>
      </w:pPr>
      <w:r>
        <w:rPr>
          <w:rFonts w:hint="eastAsia"/>
          <w:bCs/>
        </w:rPr>
        <w:t>（3）企业标准请参照《关于印发中小企业划型标准规定的通知》（工信部联企业[2011]300号）文件规定自行填写。</w:t>
      </w:r>
      <w:r>
        <w:rPr>
          <w:rFonts w:hint="eastAsia"/>
          <w:b/>
          <w:color w:val="000000" w:themeColor="text1"/>
          <w14:textFill>
            <w14:solidFill>
              <w14:schemeClr w14:val="tx1"/>
            </w14:solidFill>
          </w14:textFill>
        </w:rPr>
        <w:t>本采购标的所属行业为</w:t>
      </w:r>
      <w:r>
        <w:rPr>
          <w:rFonts w:hint="eastAsia"/>
          <w:b/>
          <w:color w:val="000000" w:themeColor="text1"/>
          <w:lang w:val="en-US" w:eastAsia="zh-CN"/>
          <w14:textFill>
            <w14:solidFill>
              <w14:schemeClr w14:val="tx1"/>
            </w14:solidFill>
          </w14:textFill>
        </w:rPr>
        <w:t>制造业。</w:t>
      </w:r>
      <w:bookmarkStart w:id="267" w:name="_GoBack"/>
      <w:bookmarkEnd w:id="267"/>
      <w:r>
        <w:rPr>
          <w:rFonts w:hint="eastAsia"/>
          <w:bCs/>
        </w:rPr>
        <w:t>如未按要求填写，不得享受价格扣除。</w:t>
      </w:r>
    </w:p>
    <w:p>
      <w:pPr>
        <w:snapToGrid w:val="0"/>
        <w:spacing w:line="360" w:lineRule="auto"/>
        <w:ind w:firstLine="480" w:firstLineChars="200"/>
        <w:rPr>
          <w:rFonts w:ascii="宋体" w:hAnsi="宋体" w:cs="宋体"/>
          <w:sz w:val="24"/>
          <w:szCs w:val="24"/>
        </w:rPr>
      </w:pPr>
      <w:r>
        <w:rPr>
          <w:rFonts w:hint="eastAsia" w:ascii="宋体" w:hAnsi="宋体" w:cs="宋体"/>
          <w:bCs/>
          <w:sz w:val="24"/>
          <w:szCs w:val="24"/>
        </w:rPr>
        <w:t>（4）</w:t>
      </w:r>
      <w:r>
        <w:rPr>
          <w:rFonts w:hint="eastAsia" w:ascii="宋体" w:hAnsi="宋体" w:cs="宋体"/>
          <w:sz w:val="24"/>
          <w:szCs w:val="24"/>
        </w:rPr>
        <w:t>在货物采购项目中，供应商提供的货物既有中小企业制造货物，也有大型企业制造货物的，不享受本办法规定的中小企业扶持政策。</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2、残疾人福利单位价格扣除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（1）本项目对残疾人福利性单位视同小型、微型企业，给予10%的价格扣除，用扣除后的价格参与评审。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3、监狱和戒毒企业价格扣除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（1）本项目对监狱和戒毒企业（简称监狱企业）视同小型、微型企业，给予10%的价格扣除，用扣除后的价格参与评审。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（3）监狱企业标准请参照《关于政府采购支持监狱企业发展有关问题的通知》（财库[2014]68号）。</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4、残疾人福利单位、监狱企业属于小型、微型企业的，不重复享受政策。</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注意：（其中小型和微型企业、监狱企业最终投标价格均给予10%的扣除，并用扣除后的价格参与评审，参加政府采购活动的中小企业应当提供《中小企业声明函》，未填写中小企业声明函的在评审过程中不予认可）</w:t>
      </w:r>
    </w:p>
    <w:p>
      <w:pPr>
        <w:snapToGrid w:val="0"/>
        <w:spacing w:line="50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二、评标标准</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本项目评分总分值为100分。</w:t>
      </w:r>
    </w:p>
    <w:tbl>
      <w:tblPr>
        <w:tblStyle w:val="45"/>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1722"/>
        <w:gridCol w:w="6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 w:hRule="atLeast"/>
          <w:jc w:val="center"/>
        </w:trPr>
        <w:tc>
          <w:tcPr>
            <w:tcW w:w="1171" w:type="dxa"/>
            <w:tcBorders>
              <w:tl2br w:val="nil"/>
              <w:tr2bl w:val="nil"/>
            </w:tcBorders>
            <w:vAlign w:val="center"/>
          </w:tcPr>
          <w:p>
            <w:pPr>
              <w:widowControl/>
              <w:jc w:val="center"/>
              <w:rPr>
                <w:color w:val="36363D"/>
              </w:rPr>
            </w:pPr>
            <w:r>
              <w:rPr>
                <w:rFonts w:hint="eastAsia"/>
                <w:b/>
                <w:color w:val="36363D"/>
                <w:kern w:val="0"/>
              </w:rPr>
              <w:t>评审项</w:t>
            </w:r>
          </w:p>
        </w:tc>
        <w:tc>
          <w:tcPr>
            <w:tcW w:w="1722" w:type="dxa"/>
            <w:tcBorders>
              <w:tl2br w:val="nil"/>
              <w:tr2bl w:val="nil"/>
            </w:tcBorders>
            <w:vAlign w:val="center"/>
          </w:tcPr>
          <w:p>
            <w:pPr>
              <w:widowControl/>
              <w:jc w:val="center"/>
              <w:rPr>
                <w:color w:val="36363D"/>
              </w:rPr>
            </w:pPr>
            <w:r>
              <w:rPr>
                <w:rFonts w:hint="eastAsia"/>
                <w:b/>
                <w:color w:val="36363D"/>
                <w:kern w:val="0"/>
              </w:rPr>
              <w:t>评分因素</w:t>
            </w:r>
          </w:p>
        </w:tc>
        <w:tc>
          <w:tcPr>
            <w:tcW w:w="6866" w:type="dxa"/>
            <w:tcBorders>
              <w:tl2br w:val="nil"/>
              <w:tr2bl w:val="nil"/>
            </w:tcBorders>
            <w:vAlign w:val="center"/>
          </w:tcPr>
          <w:p>
            <w:pPr>
              <w:widowControl/>
              <w:jc w:val="center"/>
              <w:rPr>
                <w:color w:val="36363D"/>
              </w:rPr>
            </w:pPr>
            <w:r>
              <w:rPr>
                <w:rFonts w:hint="eastAsia"/>
                <w:b/>
                <w:color w:val="36363D"/>
                <w:kern w:val="0"/>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71" w:type="dxa"/>
            <w:tcBorders>
              <w:tl2br w:val="nil"/>
              <w:tr2bl w:val="nil"/>
            </w:tcBorders>
            <w:vAlign w:val="center"/>
          </w:tcPr>
          <w:p>
            <w:pPr>
              <w:widowControl/>
              <w:textAlignment w:val="baseline"/>
              <w:rPr>
                <w:rFonts w:cstheme="minorBidi"/>
              </w:rPr>
            </w:pPr>
            <w:r>
              <w:rPr>
                <w:rFonts w:hint="eastAsia" w:cstheme="minorBidi"/>
              </w:rPr>
              <w:t>报价部分</w:t>
            </w:r>
          </w:p>
          <w:p>
            <w:pPr>
              <w:widowControl/>
              <w:textAlignment w:val="baseline"/>
              <w:rPr>
                <w:rFonts w:cstheme="minorBidi"/>
              </w:rPr>
            </w:pPr>
            <w:r>
              <w:rPr>
                <w:rFonts w:hint="eastAsia" w:cstheme="minorBidi"/>
              </w:rPr>
              <w:t>（60分）</w:t>
            </w:r>
          </w:p>
        </w:tc>
        <w:tc>
          <w:tcPr>
            <w:tcW w:w="1722" w:type="dxa"/>
            <w:tcBorders>
              <w:tl2br w:val="nil"/>
              <w:tr2bl w:val="nil"/>
            </w:tcBorders>
            <w:vAlign w:val="center"/>
          </w:tcPr>
          <w:p>
            <w:pPr>
              <w:widowControl/>
              <w:textAlignment w:val="baseline"/>
              <w:rPr>
                <w:rFonts w:cstheme="minorBidi"/>
              </w:rPr>
            </w:pPr>
            <w:r>
              <w:rPr>
                <w:rFonts w:hint="eastAsia" w:cstheme="minorBidi"/>
              </w:rPr>
              <w:t>报价（60分）</w:t>
            </w:r>
          </w:p>
        </w:tc>
        <w:tc>
          <w:tcPr>
            <w:tcW w:w="6866" w:type="dxa"/>
            <w:tcBorders>
              <w:tl2br w:val="nil"/>
              <w:tr2bl w:val="nil"/>
            </w:tcBorders>
            <w:vAlign w:val="center"/>
          </w:tcPr>
          <w:p>
            <w:pPr>
              <w:widowControl/>
              <w:textAlignment w:val="baseline"/>
              <w:rPr>
                <w:rFonts w:cstheme="minorBidi"/>
                <w:color w:val="000000"/>
              </w:rPr>
            </w:pPr>
            <w:r>
              <w:rPr>
                <w:rFonts w:hint="eastAsia" w:cstheme="minorBidi"/>
                <w:color w:val="000000"/>
              </w:rPr>
              <w:t>采用低价优先法计算，即满</w:t>
            </w:r>
            <w:r>
              <w:rPr>
                <w:rFonts w:hint="eastAsia" w:cstheme="minorBidi"/>
              </w:rPr>
              <w:t>足招标文件要求且投标报价最低的投标报价为评标基准价，其价格为满分60分，其他投标人的报价统一按照下列公式计算：投标报价得分 = (评标基准价/投标报价)×60，计算分数时四舍五入取小数点后两位。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0" w:hRule="atLeast"/>
          <w:jc w:val="center"/>
        </w:trPr>
        <w:tc>
          <w:tcPr>
            <w:tcW w:w="1171" w:type="dxa"/>
            <w:tcBorders>
              <w:tl2br w:val="nil"/>
              <w:tr2bl w:val="nil"/>
            </w:tcBorders>
            <w:vAlign w:val="center"/>
          </w:tcPr>
          <w:p>
            <w:pPr>
              <w:widowControl/>
              <w:textAlignment w:val="baseline"/>
              <w:rPr>
                <w:rFonts w:cstheme="minorBidi"/>
                <w:color w:val="000000"/>
              </w:rPr>
            </w:pPr>
            <w:r>
              <w:rPr>
                <w:rFonts w:hint="eastAsia" w:cstheme="minorBidi"/>
                <w:color w:val="000000"/>
              </w:rPr>
              <w:t>技术部分</w:t>
            </w:r>
          </w:p>
          <w:p>
            <w:pPr>
              <w:widowControl/>
              <w:textAlignment w:val="baseline"/>
              <w:rPr>
                <w:rFonts w:cstheme="minorBidi"/>
                <w:color w:val="000000"/>
              </w:rPr>
            </w:pPr>
            <w:r>
              <w:rPr>
                <w:rFonts w:hint="eastAsia" w:cstheme="minorBidi"/>
                <w:color w:val="000000"/>
              </w:rPr>
              <w:t>（25分）</w:t>
            </w:r>
          </w:p>
        </w:tc>
        <w:tc>
          <w:tcPr>
            <w:tcW w:w="1722" w:type="dxa"/>
            <w:tcBorders>
              <w:tl2br w:val="nil"/>
              <w:tr2bl w:val="nil"/>
            </w:tcBorders>
            <w:vAlign w:val="center"/>
          </w:tcPr>
          <w:p>
            <w:pPr>
              <w:widowControl/>
              <w:textAlignment w:val="baseline"/>
              <w:rPr>
                <w:rFonts w:cstheme="minorBidi"/>
                <w:color w:val="000000"/>
              </w:rPr>
            </w:pPr>
            <w:r>
              <w:rPr>
                <w:rFonts w:hint="eastAsia" w:cstheme="minorBidi"/>
                <w:color w:val="000000"/>
              </w:rPr>
              <w:t>技术参数响应</w:t>
            </w:r>
          </w:p>
          <w:p>
            <w:pPr>
              <w:widowControl/>
              <w:textAlignment w:val="baseline"/>
              <w:rPr>
                <w:rFonts w:cstheme="minorBidi"/>
                <w:color w:val="000000"/>
              </w:rPr>
            </w:pPr>
            <w:r>
              <w:rPr>
                <w:rFonts w:hint="eastAsia" w:cstheme="minorBidi"/>
                <w:color w:val="000000"/>
              </w:rPr>
              <w:t>（25分）</w:t>
            </w:r>
          </w:p>
        </w:tc>
        <w:tc>
          <w:tcPr>
            <w:tcW w:w="6866" w:type="dxa"/>
            <w:tcBorders>
              <w:tl2br w:val="nil"/>
              <w:tr2bl w:val="nil"/>
            </w:tcBorders>
            <w:vAlign w:val="center"/>
          </w:tcPr>
          <w:p>
            <w:pPr>
              <w:widowControl/>
              <w:textAlignment w:val="baseline"/>
              <w:rPr>
                <w:rFonts w:cstheme="minorBidi"/>
                <w:color w:val="000000"/>
              </w:rPr>
            </w:pPr>
            <w:r>
              <w:rPr>
                <w:rFonts w:hint="eastAsia" w:cstheme="minorBidi"/>
                <w:color w:val="000000"/>
              </w:rPr>
              <w:t>完全满足招标文件技术参数的，得25分。</w:t>
            </w:r>
          </w:p>
          <w:p>
            <w:pPr>
              <w:widowControl/>
              <w:textAlignment w:val="baseline"/>
              <w:rPr>
                <w:rFonts w:cstheme="minorBidi"/>
                <w:color w:val="000000"/>
              </w:rPr>
            </w:pPr>
            <w:r>
              <w:rPr>
                <w:rFonts w:hint="eastAsia" w:cstheme="minorBidi"/>
                <w:color w:val="000000"/>
              </w:rPr>
              <w:t>技术参数每有一项不满足扣3分；设备满足2023年江苏省职业院校技能大赛汽车技术赛项要求的为关键技术指标，每有一项不满足扣5分，扣完为止。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71" w:type="dxa"/>
            <w:vMerge w:val="restart"/>
            <w:tcBorders>
              <w:tl2br w:val="nil"/>
              <w:tr2bl w:val="nil"/>
            </w:tcBorders>
            <w:vAlign w:val="center"/>
          </w:tcPr>
          <w:p>
            <w:pPr>
              <w:widowControl/>
              <w:textAlignment w:val="baseline"/>
              <w:rPr>
                <w:rFonts w:cstheme="minorBidi"/>
              </w:rPr>
            </w:pPr>
            <w:r>
              <w:rPr>
                <w:rFonts w:hint="eastAsia" w:cstheme="minorBidi"/>
              </w:rPr>
              <w:t>商务部分</w:t>
            </w:r>
          </w:p>
          <w:p>
            <w:pPr>
              <w:widowControl/>
              <w:textAlignment w:val="baseline"/>
              <w:rPr>
                <w:rFonts w:cstheme="minorBidi"/>
              </w:rPr>
            </w:pPr>
            <w:r>
              <w:rPr>
                <w:rFonts w:hint="eastAsia" w:cstheme="minorBidi"/>
              </w:rPr>
              <w:t>（15分）</w:t>
            </w:r>
          </w:p>
        </w:tc>
        <w:tc>
          <w:tcPr>
            <w:tcW w:w="1722" w:type="dxa"/>
            <w:tcBorders>
              <w:tl2br w:val="nil"/>
              <w:tr2bl w:val="nil"/>
            </w:tcBorders>
            <w:vAlign w:val="center"/>
          </w:tcPr>
          <w:p>
            <w:pPr>
              <w:widowControl/>
              <w:textAlignment w:val="baseline"/>
              <w:rPr>
                <w:rFonts w:cstheme="minorBidi"/>
              </w:rPr>
            </w:pPr>
            <w:r>
              <w:rPr>
                <w:rFonts w:hint="eastAsia" w:cstheme="minorBidi"/>
              </w:rPr>
              <w:t>团队技术能力</w:t>
            </w:r>
          </w:p>
          <w:p>
            <w:pPr>
              <w:widowControl/>
              <w:textAlignment w:val="baseline"/>
              <w:rPr>
                <w:rFonts w:cstheme="minorBidi"/>
              </w:rPr>
            </w:pPr>
            <w:r>
              <w:rPr>
                <w:rFonts w:hint="eastAsia" w:cstheme="minorBidi"/>
              </w:rPr>
              <w:t>（3分）</w:t>
            </w:r>
          </w:p>
        </w:tc>
        <w:tc>
          <w:tcPr>
            <w:tcW w:w="6866" w:type="dxa"/>
            <w:tcBorders>
              <w:tl2br w:val="nil"/>
              <w:tr2bl w:val="nil"/>
            </w:tcBorders>
            <w:vAlign w:val="center"/>
          </w:tcPr>
          <w:p>
            <w:pPr>
              <w:widowControl/>
              <w:textAlignment w:val="baseline"/>
              <w:rPr>
                <w:rFonts w:hint="eastAsia" w:cstheme="minorBidi"/>
                <w:color w:val="000000"/>
              </w:rPr>
            </w:pPr>
            <w:r>
              <w:rPr>
                <w:rFonts w:hint="eastAsia" w:cstheme="minorBidi"/>
                <w:color w:val="000000"/>
              </w:rPr>
              <w:t>1. 投标人具备新能源教学设备研发能力，能够提供新能源相关专利证书的每个得1分，最多得3分。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6" w:hRule="atLeast"/>
          <w:jc w:val="center"/>
        </w:trPr>
        <w:tc>
          <w:tcPr>
            <w:tcW w:w="1171" w:type="dxa"/>
            <w:vMerge w:val="continue"/>
            <w:tcBorders>
              <w:tl2br w:val="nil"/>
              <w:tr2bl w:val="nil"/>
            </w:tcBorders>
            <w:vAlign w:val="center"/>
          </w:tcPr>
          <w:p>
            <w:pPr>
              <w:widowControl/>
              <w:textAlignment w:val="baseline"/>
              <w:rPr>
                <w:rFonts w:cstheme="minorBidi"/>
              </w:rPr>
            </w:pPr>
          </w:p>
        </w:tc>
        <w:tc>
          <w:tcPr>
            <w:tcW w:w="1722" w:type="dxa"/>
            <w:tcBorders>
              <w:tl2br w:val="nil"/>
              <w:tr2bl w:val="nil"/>
            </w:tcBorders>
            <w:vAlign w:val="center"/>
          </w:tcPr>
          <w:p>
            <w:pPr>
              <w:widowControl/>
              <w:textAlignment w:val="baseline"/>
              <w:rPr>
                <w:rFonts w:cstheme="minorBidi"/>
              </w:rPr>
            </w:pPr>
            <w:r>
              <w:rPr>
                <w:rFonts w:hint="eastAsia" w:cstheme="minorBidi"/>
              </w:rPr>
              <w:t>企业服务认证</w:t>
            </w:r>
          </w:p>
          <w:p>
            <w:pPr>
              <w:widowControl/>
              <w:textAlignment w:val="baseline"/>
              <w:rPr>
                <w:rFonts w:cstheme="minorBidi"/>
              </w:rPr>
            </w:pPr>
            <w:r>
              <w:rPr>
                <w:rFonts w:hint="eastAsia" w:cstheme="minorBidi"/>
              </w:rPr>
              <w:t>（3分）</w:t>
            </w:r>
          </w:p>
        </w:tc>
        <w:tc>
          <w:tcPr>
            <w:tcW w:w="6866" w:type="dxa"/>
            <w:tcBorders>
              <w:tl2br w:val="nil"/>
              <w:tr2bl w:val="nil"/>
            </w:tcBorders>
            <w:vAlign w:val="center"/>
          </w:tcPr>
          <w:p>
            <w:pPr>
              <w:widowControl/>
              <w:textAlignment w:val="baseline"/>
              <w:rPr>
                <w:rFonts w:cstheme="minorBidi"/>
                <w:color w:val="000000"/>
              </w:rPr>
            </w:pPr>
            <w:r>
              <w:rPr>
                <w:rFonts w:hint="eastAsia" w:cstheme="minorBidi"/>
                <w:color w:val="000000"/>
              </w:rPr>
              <w:t>1. 投标人提供有效的售后服务认证证书及国家认监委网站查询截图得1分（认证范围需包含教学产品销售的售后服务）;</w:t>
            </w:r>
          </w:p>
          <w:p>
            <w:pPr>
              <w:widowControl/>
              <w:textAlignment w:val="baseline"/>
              <w:rPr>
                <w:rFonts w:cstheme="minorBidi"/>
                <w:color w:val="000000"/>
              </w:rPr>
            </w:pPr>
            <w:r>
              <w:rPr>
                <w:rFonts w:hint="eastAsia" w:cstheme="minorBidi"/>
                <w:color w:val="000000"/>
              </w:rPr>
              <w:t>2.投标人提供有效的业务连续性管理体系认证证书及国家认监委网站查询截图得 1 分（认证范围需包含新能源汽车教学产品的技术研发与销售）；</w:t>
            </w:r>
          </w:p>
          <w:p>
            <w:pPr>
              <w:widowControl/>
              <w:textAlignment w:val="baseline"/>
              <w:rPr>
                <w:rFonts w:hint="eastAsia" w:cstheme="minorBidi"/>
                <w:color w:val="000000"/>
              </w:rPr>
            </w:pPr>
            <w:r>
              <w:rPr>
                <w:rFonts w:hint="eastAsia" w:cstheme="minorBidi"/>
                <w:color w:val="000000"/>
              </w:rPr>
              <w:t>3. 投标人提供有效的质量管理体系认证证书及国家认监委网站查询截图得 1 分（认证范围需包含教学产品研发）；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1171" w:type="dxa"/>
            <w:vMerge w:val="continue"/>
            <w:tcBorders>
              <w:tl2br w:val="nil"/>
              <w:tr2bl w:val="nil"/>
            </w:tcBorders>
            <w:vAlign w:val="center"/>
          </w:tcPr>
          <w:p>
            <w:pPr>
              <w:widowControl/>
              <w:textAlignment w:val="baseline"/>
              <w:rPr>
                <w:rFonts w:cstheme="minorBidi"/>
                <w:color w:val="000000"/>
              </w:rPr>
            </w:pPr>
          </w:p>
        </w:tc>
        <w:tc>
          <w:tcPr>
            <w:tcW w:w="1722" w:type="dxa"/>
            <w:tcBorders>
              <w:tl2br w:val="nil"/>
              <w:tr2bl w:val="nil"/>
            </w:tcBorders>
            <w:vAlign w:val="center"/>
          </w:tcPr>
          <w:p>
            <w:pPr>
              <w:widowControl/>
              <w:textAlignment w:val="baseline"/>
              <w:rPr>
                <w:rFonts w:cstheme="minorBidi"/>
                <w:color w:val="000000"/>
              </w:rPr>
            </w:pPr>
            <w:r>
              <w:rPr>
                <w:rFonts w:hint="eastAsia" w:cstheme="minorBidi"/>
                <w:color w:val="000000"/>
              </w:rPr>
              <w:t>业绩（5分）</w:t>
            </w:r>
          </w:p>
        </w:tc>
        <w:tc>
          <w:tcPr>
            <w:tcW w:w="6866" w:type="dxa"/>
            <w:tcBorders>
              <w:tl2br w:val="nil"/>
              <w:tr2bl w:val="nil"/>
            </w:tcBorders>
            <w:vAlign w:val="center"/>
          </w:tcPr>
          <w:p>
            <w:pPr>
              <w:widowControl/>
              <w:textAlignment w:val="baseline"/>
              <w:rPr>
                <w:rFonts w:cstheme="minorBidi"/>
                <w:color w:val="000000"/>
              </w:rPr>
            </w:pPr>
            <w:r>
              <w:rPr>
                <w:rFonts w:hint="eastAsia" w:cstheme="minorBidi"/>
                <w:color w:val="000000"/>
              </w:rPr>
              <w:t>投标人或设备供应商，提供</w:t>
            </w:r>
            <w:r>
              <w:rPr>
                <w:rFonts w:hint="eastAsia" w:cstheme="minorBidi"/>
              </w:rPr>
              <w:t>近三年（</w:t>
            </w:r>
            <w:r>
              <w:rPr>
                <w:rFonts w:hint="eastAsia" w:cstheme="minorBidi"/>
                <w:color w:val="000000" w:themeColor="text1"/>
                <w14:textFill>
                  <w14:solidFill>
                    <w14:schemeClr w14:val="tx1"/>
                  </w14:solidFill>
                </w14:textFill>
              </w:rPr>
              <w:t>2020年1月1日）</w:t>
            </w:r>
            <w:r>
              <w:rPr>
                <w:rFonts w:hint="eastAsia" w:cstheme="minorBidi"/>
                <w:color w:val="000000"/>
              </w:rPr>
              <w:t>以来新能源汽车项目的类似业绩。提供材料包括：项目中标通知书、合同的扫描件及验收单，每提供1份得1分，最高得5分。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jc w:val="center"/>
        </w:trPr>
        <w:tc>
          <w:tcPr>
            <w:tcW w:w="1171" w:type="dxa"/>
            <w:vMerge w:val="continue"/>
            <w:tcBorders>
              <w:tl2br w:val="nil"/>
              <w:tr2bl w:val="nil"/>
            </w:tcBorders>
            <w:vAlign w:val="center"/>
          </w:tcPr>
          <w:p>
            <w:pPr>
              <w:rPr>
                <w:rFonts w:cs="微软雅黑"/>
                <w:color w:val="36363D"/>
              </w:rPr>
            </w:pPr>
          </w:p>
        </w:tc>
        <w:tc>
          <w:tcPr>
            <w:tcW w:w="1722" w:type="dxa"/>
            <w:tcBorders>
              <w:tl2br w:val="nil"/>
              <w:tr2bl w:val="nil"/>
            </w:tcBorders>
            <w:vAlign w:val="center"/>
          </w:tcPr>
          <w:p>
            <w:pPr>
              <w:jc w:val="center"/>
              <w:rPr>
                <w:color w:val="36363D"/>
              </w:rPr>
            </w:pPr>
            <w:r>
              <w:rPr>
                <w:rFonts w:hint="eastAsia"/>
                <w:color w:val="36363D"/>
              </w:rPr>
              <w:t>售后服务</w:t>
            </w:r>
          </w:p>
          <w:p>
            <w:pPr>
              <w:jc w:val="center"/>
              <w:rPr>
                <w:color w:val="36363D"/>
              </w:rPr>
            </w:pPr>
            <w:r>
              <w:rPr>
                <w:rFonts w:hint="eastAsia"/>
                <w:color w:val="36363D"/>
              </w:rPr>
              <w:t>（</w:t>
            </w:r>
            <w:r>
              <w:rPr>
                <w:rFonts w:hint="eastAsia"/>
              </w:rPr>
              <w:t>4</w:t>
            </w:r>
            <w:r>
              <w:rPr>
                <w:rFonts w:hint="eastAsia"/>
                <w:color w:val="36363D"/>
              </w:rPr>
              <w:t>分）</w:t>
            </w:r>
          </w:p>
        </w:tc>
        <w:tc>
          <w:tcPr>
            <w:tcW w:w="6866" w:type="dxa"/>
            <w:tcBorders>
              <w:tl2br w:val="nil"/>
              <w:tr2bl w:val="nil"/>
            </w:tcBorders>
            <w:vAlign w:val="center"/>
          </w:tcPr>
          <w:p>
            <w:pPr>
              <w:widowControl/>
              <w:textAlignment w:val="baseline"/>
              <w:rPr>
                <w:rFonts w:cstheme="minorBidi"/>
                <w:color w:val="000000"/>
              </w:rPr>
            </w:pPr>
            <w:r>
              <w:rPr>
                <w:rFonts w:hint="eastAsia" w:cstheme="minorBidi"/>
                <w:color w:val="000000"/>
              </w:rPr>
              <w:t>1. 供货方案</w:t>
            </w:r>
          </w:p>
          <w:p>
            <w:pPr>
              <w:widowControl/>
              <w:textAlignment w:val="baseline"/>
              <w:rPr>
                <w:rFonts w:cstheme="minorBidi"/>
                <w:color w:val="000000"/>
              </w:rPr>
            </w:pPr>
            <w:r>
              <w:rPr>
                <w:rFonts w:hint="eastAsia" w:cstheme="minorBidi"/>
                <w:color w:val="000000"/>
              </w:rPr>
              <w:t>（1）供货方案科学合理，内容符合采购人要求的得2分。</w:t>
            </w:r>
          </w:p>
          <w:p>
            <w:pPr>
              <w:widowControl/>
              <w:textAlignment w:val="baseline"/>
              <w:rPr>
                <w:rFonts w:cstheme="minorBidi"/>
                <w:color w:val="000000"/>
              </w:rPr>
            </w:pPr>
            <w:r>
              <w:rPr>
                <w:rFonts w:hint="eastAsia" w:cstheme="minorBidi"/>
                <w:color w:val="000000"/>
              </w:rPr>
              <w:t>（2）供货方案内容一般的得1分。</w:t>
            </w:r>
          </w:p>
          <w:p>
            <w:pPr>
              <w:widowControl/>
              <w:textAlignment w:val="baseline"/>
              <w:rPr>
                <w:rFonts w:cstheme="minorBidi"/>
                <w:color w:val="000000"/>
              </w:rPr>
            </w:pPr>
            <w:r>
              <w:rPr>
                <w:rFonts w:hint="eastAsia" w:cstheme="minorBidi"/>
                <w:color w:val="000000"/>
              </w:rPr>
              <w:t>（3）未提供供货方案培训不得分。</w:t>
            </w:r>
          </w:p>
          <w:p>
            <w:pPr>
              <w:widowControl/>
              <w:textAlignment w:val="baseline"/>
              <w:rPr>
                <w:rFonts w:cstheme="minorBidi"/>
                <w:color w:val="000000"/>
              </w:rPr>
            </w:pPr>
            <w:r>
              <w:rPr>
                <w:rFonts w:hint="eastAsia" w:cstheme="minorBidi"/>
                <w:color w:val="000000"/>
              </w:rPr>
              <w:t>2. 技术培训</w:t>
            </w:r>
          </w:p>
          <w:p>
            <w:pPr>
              <w:widowControl/>
              <w:textAlignment w:val="baseline"/>
              <w:rPr>
                <w:rFonts w:cstheme="minorBidi"/>
                <w:color w:val="000000"/>
              </w:rPr>
            </w:pPr>
            <w:r>
              <w:rPr>
                <w:rFonts w:hint="eastAsia" w:cstheme="minorBidi"/>
                <w:color w:val="000000"/>
              </w:rPr>
              <w:t>（1）培训方案科学合理，培训内容符合采购人要求的得2分。</w:t>
            </w:r>
          </w:p>
          <w:p>
            <w:pPr>
              <w:widowControl/>
              <w:textAlignment w:val="baseline"/>
              <w:rPr>
                <w:rFonts w:cstheme="minorBidi"/>
                <w:color w:val="000000"/>
              </w:rPr>
            </w:pPr>
            <w:r>
              <w:rPr>
                <w:rFonts w:hint="eastAsia" w:cstheme="minorBidi"/>
                <w:color w:val="000000"/>
              </w:rPr>
              <w:t>（2）培训方案及培训内容一般的得1分。</w:t>
            </w:r>
          </w:p>
          <w:p>
            <w:pPr>
              <w:widowControl/>
              <w:textAlignment w:val="baseline"/>
              <w:rPr>
                <w:rFonts w:hint="eastAsia" w:cstheme="minorBidi"/>
                <w:color w:val="000000"/>
              </w:rPr>
            </w:pPr>
            <w:r>
              <w:rPr>
                <w:rFonts w:hint="eastAsia" w:cstheme="minorBidi"/>
                <w:color w:val="000000"/>
              </w:rPr>
              <w:t>（3）没有技术培训方案及培训内容的不得分。</w:t>
            </w:r>
          </w:p>
        </w:tc>
      </w:tr>
    </w:tbl>
    <w:p>
      <w:pPr>
        <w:widowControl/>
        <w:snapToGrid w:val="0"/>
        <w:ind w:firstLine="420" w:firstLineChars="200"/>
        <w:textAlignment w:val="baseline"/>
        <w:rPr>
          <w:rStyle w:val="115"/>
          <w:rFonts w:ascii="宋体" w:hAnsi="宋体"/>
          <w:szCs w:val="20"/>
        </w:rPr>
      </w:pPr>
    </w:p>
    <w:p>
      <w:pPr>
        <w:widowControl/>
        <w:snapToGrid w:val="0"/>
        <w:ind w:firstLine="420" w:firstLineChars="200"/>
        <w:textAlignment w:val="baseline"/>
        <w:rPr>
          <w:rStyle w:val="115"/>
          <w:rFonts w:ascii="宋体" w:hAnsi="宋体"/>
          <w:szCs w:val="20"/>
        </w:rPr>
      </w:pPr>
      <w:r>
        <w:rPr>
          <w:rStyle w:val="115"/>
          <w:rFonts w:hint="eastAsia" w:ascii="宋体" w:hAnsi="宋体"/>
          <w:szCs w:val="20"/>
        </w:rPr>
        <w:t>说明：</w:t>
      </w:r>
    </w:p>
    <w:p>
      <w:pPr>
        <w:widowControl/>
        <w:snapToGrid w:val="0"/>
        <w:ind w:firstLine="420" w:firstLineChars="200"/>
        <w:textAlignment w:val="baseline"/>
        <w:rPr>
          <w:rStyle w:val="115"/>
          <w:rFonts w:ascii="宋体" w:hAnsi="宋体"/>
          <w:szCs w:val="20"/>
        </w:rPr>
      </w:pPr>
      <w:r>
        <w:rPr>
          <w:rStyle w:val="115"/>
          <w:rFonts w:hint="eastAsia" w:ascii="宋体" w:hAnsi="宋体"/>
          <w:szCs w:val="20"/>
        </w:rPr>
        <w:t>1、若供应商提供虚假资料，一经查实取消其中标候选人资格，并向相关主管部门汇报。</w:t>
      </w:r>
    </w:p>
    <w:p>
      <w:pPr>
        <w:widowControl/>
        <w:snapToGrid w:val="0"/>
        <w:ind w:firstLine="420" w:firstLineChars="200"/>
        <w:textAlignment w:val="baseline"/>
        <w:rPr>
          <w:rStyle w:val="115"/>
          <w:rFonts w:ascii="宋体" w:hAnsi="宋体"/>
          <w:szCs w:val="20"/>
        </w:rPr>
      </w:pPr>
      <w:r>
        <w:rPr>
          <w:rStyle w:val="115"/>
          <w:rFonts w:hint="eastAsia" w:ascii="宋体" w:hAnsi="宋体"/>
          <w:szCs w:val="20"/>
        </w:rPr>
        <w:t>2、中标单位不得转包、分包，如果发现有转包、分包情况，则取消其中标候选人资格，并向相关主管部门汇报。</w:t>
      </w:r>
    </w:p>
    <w:p>
      <w:pPr>
        <w:widowControl/>
        <w:snapToGrid w:val="0"/>
        <w:ind w:firstLine="420" w:firstLineChars="200"/>
        <w:textAlignment w:val="baseline"/>
        <w:rPr>
          <w:rStyle w:val="115"/>
          <w:rFonts w:ascii="宋体" w:hAnsi="宋体"/>
          <w:szCs w:val="20"/>
        </w:rPr>
      </w:pPr>
      <w:r>
        <w:rPr>
          <w:rStyle w:val="115"/>
          <w:rFonts w:hint="eastAsia" w:ascii="宋体" w:hAnsi="宋体"/>
          <w:szCs w:val="20"/>
        </w:rPr>
        <w:t>3</w:t>
      </w:r>
      <w:r>
        <w:rPr>
          <w:rStyle w:val="115"/>
          <w:rFonts w:hint="eastAsia" w:ascii="宋体" w:hAnsi="宋体"/>
          <w:szCs w:val="20"/>
          <w:lang w:val="zh-CN"/>
        </w:rPr>
        <w:t>、中标公告期内，中标单位需向采购单位提供产品相关证明文件原件以供审核，如有不实采购人有权取消其中标资格。</w:t>
      </w:r>
    </w:p>
    <w:p>
      <w:pPr>
        <w:pStyle w:val="44"/>
        <w:rPr>
          <w:rFonts w:cs="宋体"/>
          <w:color w:val="000000" w:themeColor="text1"/>
          <w14:textFill>
            <w14:solidFill>
              <w14:schemeClr w14:val="tx1"/>
            </w14:solidFill>
          </w14:textFill>
        </w:rPr>
      </w:pPr>
    </w:p>
    <w:p>
      <w:pPr>
        <w:pStyle w:val="44"/>
        <w:ind w:firstLine="720" w:firstLineChars="300"/>
        <w:rPr>
          <w:rFonts w:cs="宋体"/>
          <w:color w:val="000000" w:themeColor="text1"/>
          <w:sz w:val="24"/>
          <w:szCs w:val="24"/>
          <w14:textFill>
            <w14:solidFill>
              <w14:schemeClr w14:val="tx1"/>
            </w14:solidFill>
          </w14:textFill>
        </w:rPr>
      </w:pPr>
    </w:p>
    <w:p>
      <w:pPr>
        <w:widowControl/>
        <w:jc w:val="left"/>
        <w:rPr>
          <w:rFonts w:ascii="宋体" w:hAnsi="宋体" w:cs="宋体"/>
          <w:b/>
          <w:color w:val="000000" w:themeColor="text1"/>
          <w:sz w:val="44"/>
          <w14:textFill>
            <w14:solidFill>
              <w14:schemeClr w14:val="tx1"/>
            </w14:solidFill>
          </w14:textFill>
        </w:rPr>
      </w:pPr>
      <w:bookmarkStart w:id="212" w:name="_Toc22937"/>
    </w:p>
    <w:p>
      <w:pPr>
        <w:pStyle w:val="3"/>
        <w:ind w:firstLine="2209" w:firstLineChars="500"/>
        <w:jc w:val="both"/>
        <w:rPr>
          <w:rFonts w:ascii="宋体" w:hAnsi="宋体" w:eastAsia="宋体" w:cs="宋体"/>
          <w:b/>
          <w:color w:val="000000" w:themeColor="text1"/>
          <w:sz w:val="44"/>
          <w14:textFill>
            <w14:solidFill>
              <w14:schemeClr w14:val="tx1"/>
            </w14:solidFill>
          </w14:textFill>
        </w:rPr>
      </w:pPr>
    </w:p>
    <w:p>
      <w:pPr>
        <w:pStyle w:val="3"/>
        <w:ind w:firstLine="2209" w:firstLineChars="500"/>
        <w:jc w:val="both"/>
        <w:rPr>
          <w:rFonts w:ascii="宋体" w:hAnsi="宋体" w:eastAsia="宋体" w:cs="宋体"/>
          <w:b/>
          <w:color w:val="000000" w:themeColor="text1"/>
          <w:sz w:val="44"/>
          <w14:textFill>
            <w14:solidFill>
              <w14:schemeClr w14:val="tx1"/>
            </w14:solidFill>
          </w14:textFill>
        </w:rPr>
      </w:pPr>
    </w:p>
    <w:p>
      <w:pPr>
        <w:pStyle w:val="3"/>
        <w:ind w:firstLine="2209" w:firstLineChars="500"/>
        <w:jc w:val="both"/>
        <w:rPr>
          <w:rFonts w:ascii="宋体" w:hAnsi="宋体" w:eastAsia="宋体" w:cs="宋体"/>
          <w:b/>
          <w:color w:val="000000" w:themeColor="text1"/>
          <w:sz w:val="44"/>
          <w14:textFill>
            <w14:solidFill>
              <w14:schemeClr w14:val="tx1"/>
            </w14:solidFill>
          </w14:textFill>
        </w:rPr>
      </w:pPr>
    </w:p>
    <w:p>
      <w:pPr>
        <w:pStyle w:val="3"/>
        <w:jc w:val="both"/>
        <w:rPr>
          <w:rFonts w:ascii="宋体" w:hAnsi="宋体" w:eastAsia="宋体" w:cs="宋体"/>
          <w:b/>
          <w:color w:val="000000" w:themeColor="text1"/>
          <w:sz w:val="44"/>
          <w14:textFill>
            <w14:solidFill>
              <w14:schemeClr w14:val="tx1"/>
            </w14:solidFill>
          </w14:textFill>
        </w:rPr>
      </w:pPr>
    </w:p>
    <w:p>
      <w:pPr>
        <w:pStyle w:val="3"/>
        <w:ind w:firstLine="2209" w:firstLineChars="500"/>
        <w:jc w:val="both"/>
        <w:rPr>
          <w:rFonts w:ascii="宋体" w:hAnsi="宋体" w:eastAsia="宋体" w:cs="宋体"/>
          <w:b/>
          <w:color w:val="000000" w:themeColor="text1"/>
          <w:sz w:val="44"/>
          <w14:textFill>
            <w14:solidFill>
              <w14:schemeClr w14:val="tx1"/>
            </w14:solidFill>
          </w14:textFill>
        </w:rPr>
      </w:pPr>
    </w:p>
    <w:p>
      <w:pPr>
        <w:pStyle w:val="3"/>
        <w:ind w:firstLine="2209" w:firstLineChars="500"/>
        <w:jc w:val="both"/>
        <w:rPr>
          <w:rFonts w:ascii="宋体" w:hAnsi="宋体" w:eastAsia="宋体" w:cs="宋体"/>
          <w:b/>
          <w:color w:val="000000" w:themeColor="text1"/>
          <w:sz w:val="44"/>
          <w14:textFill>
            <w14:solidFill>
              <w14:schemeClr w14:val="tx1"/>
            </w14:solidFill>
          </w14:textFill>
        </w:rPr>
      </w:pPr>
    </w:p>
    <w:p>
      <w:pPr>
        <w:pStyle w:val="3"/>
        <w:jc w:val="both"/>
        <w:rPr>
          <w:rFonts w:ascii="宋体" w:hAnsi="宋体" w:eastAsia="宋体" w:cs="宋体"/>
          <w:b/>
          <w:color w:val="000000" w:themeColor="text1"/>
          <w:sz w:val="44"/>
          <w14:textFill>
            <w14:solidFill>
              <w14:schemeClr w14:val="tx1"/>
            </w14:solidFill>
          </w14:textFill>
        </w:rPr>
      </w:pPr>
    </w:p>
    <w:p>
      <w:pPr>
        <w:pStyle w:val="3"/>
        <w:ind w:firstLine="2209" w:firstLineChars="500"/>
        <w:jc w:val="both"/>
        <w:rPr>
          <w:rFonts w:ascii="宋体" w:hAnsi="宋体" w:eastAsia="宋体" w:cs="宋体"/>
          <w:b/>
          <w:color w:val="000000" w:themeColor="text1"/>
          <w:sz w:val="44"/>
          <w14:textFill>
            <w14:solidFill>
              <w14:schemeClr w14:val="tx1"/>
            </w14:solidFill>
          </w14:textFill>
        </w:rPr>
      </w:pPr>
    </w:p>
    <w:p>
      <w:pPr>
        <w:rPr>
          <w:rFonts w:ascii="宋体" w:hAnsi="宋体" w:cs="宋体"/>
          <w:b/>
          <w:color w:val="000000" w:themeColor="text1"/>
          <w:sz w:val="44"/>
          <w14:textFill>
            <w14:solidFill>
              <w14:schemeClr w14:val="tx1"/>
            </w14:solidFill>
          </w14:textFill>
        </w:rPr>
      </w:pPr>
    </w:p>
    <w:p>
      <w:pPr>
        <w:pStyle w:val="17"/>
      </w:pPr>
    </w:p>
    <w:p/>
    <w:p>
      <w:pPr>
        <w:pStyle w:val="17"/>
      </w:pPr>
    </w:p>
    <w:p>
      <w:pPr>
        <w:rPr>
          <w:rFonts w:hint="eastAsia"/>
        </w:rPr>
      </w:pPr>
    </w:p>
    <w:p>
      <w:pPr>
        <w:pStyle w:val="3"/>
        <w:ind w:firstLine="2209" w:firstLineChars="500"/>
        <w:jc w:val="both"/>
        <w:rPr>
          <w:rFonts w:hint="eastAsia" w:ascii="宋体" w:hAnsi="宋体" w:eastAsia="宋体" w:cs="宋体"/>
          <w:b/>
          <w:color w:val="000000" w:themeColor="text1"/>
          <w:sz w:val="44"/>
          <w14:textFill>
            <w14:solidFill>
              <w14:schemeClr w14:val="tx1"/>
            </w14:solidFill>
          </w14:textFill>
        </w:rPr>
      </w:pPr>
    </w:p>
    <w:p>
      <w:pPr>
        <w:pStyle w:val="3"/>
        <w:ind w:firstLine="2209" w:firstLineChars="500"/>
        <w:jc w:val="both"/>
        <w:rPr>
          <w:rFonts w:hint="eastAsia" w:ascii="宋体" w:hAnsi="宋体" w:eastAsia="宋体" w:cs="宋体"/>
          <w:b/>
          <w:color w:val="000000" w:themeColor="text1"/>
          <w:sz w:val="44"/>
          <w14:textFill>
            <w14:solidFill>
              <w14:schemeClr w14:val="tx1"/>
            </w14:solidFill>
          </w14:textFill>
        </w:rPr>
      </w:pPr>
    </w:p>
    <w:p>
      <w:pPr>
        <w:pStyle w:val="3"/>
        <w:ind w:firstLine="2209" w:firstLineChars="500"/>
        <w:jc w:val="both"/>
        <w:rPr>
          <w:rFonts w:hint="eastAsia" w:ascii="宋体" w:hAnsi="宋体" w:eastAsia="宋体" w:cs="宋体"/>
          <w:b/>
          <w:color w:val="000000" w:themeColor="text1"/>
          <w:sz w:val="44"/>
          <w14:textFill>
            <w14:solidFill>
              <w14:schemeClr w14:val="tx1"/>
            </w14:solidFill>
          </w14:textFill>
        </w:rPr>
      </w:pPr>
    </w:p>
    <w:p>
      <w:pPr>
        <w:pStyle w:val="3"/>
        <w:ind w:firstLine="2209" w:firstLineChars="500"/>
        <w:jc w:val="both"/>
        <w:rPr>
          <w:rFonts w:hint="eastAsia" w:ascii="宋体" w:hAnsi="宋体" w:eastAsia="宋体" w:cs="宋体"/>
          <w:b/>
          <w:color w:val="000000" w:themeColor="text1"/>
          <w:sz w:val="44"/>
          <w14:textFill>
            <w14:solidFill>
              <w14:schemeClr w14:val="tx1"/>
            </w14:solidFill>
          </w14:textFill>
        </w:rPr>
      </w:pPr>
    </w:p>
    <w:p>
      <w:pPr>
        <w:pStyle w:val="3"/>
        <w:ind w:firstLine="2209" w:firstLineChars="500"/>
        <w:jc w:val="both"/>
        <w:rPr>
          <w:rFonts w:ascii="宋体" w:hAnsi="宋体" w:eastAsia="宋体" w:cs="宋体"/>
          <w:b/>
          <w:color w:val="000000" w:themeColor="text1"/>
          <w:sz w:val="44"/>
          <w14:textFill>
            <w14:solidFill>
              <w14:schemeClr w14:val="tx1"/>
            </w14:solidFill>
          </w14:textFill>
        </w:rPr>
      </w:pPr>
      <w:r>
        <w:rPr>
          <w:rFonts w:hint="eastAsia" w:ascii="宋体" w:hAnsi="宋体" w:eastAsia="宋体" w:cs="宋体"/>
          <w:b/>
          <w:color w:val="000000" w:themeColor="text1"/>
          <w:sz w:val="44"/>
          <w14:textFill>
            <w14:solidFill>
              <w14:schemeClr w14:val="tx1"/>
            </w14:solidFill>
          </w14:textFill>
        </w:rPr>
        <w:t>第六章  投标</w:t>
      </w:r>
      <w:bookmarkEnd w:id="208"/>
      <w:bookmarkEnd w:id="209"/>
      <w:bookmarkEnd w:id="210"/>
      <w:r>
        <w:rPr>
          <w:rFonts w:hint="eastAsia" w:ascii="宋体" w:hAnsi="宋体" w:eastAsia="宋体" w:cs="宋体"/>
          <w:b/>
          <w:color w:val="000000" w:themeColor="text1"/>
          <w:sz w:val="44"/>
          <w14:textFill>
            <w14:solidFill>
              <w14:schemeClr w14:val="tx1"/>
            </w14:solidFill>
          </w14:textFill>
        </w:rPr>
        <w:t>文件格式</w:t>
      </w:r>
      <w:bookmarkEnd w:id="212"/>
    </w:p>
    <w:p>
      <w:pPr>
        <w:jc w:val="center"/>
        <w:rPr>
          <w:rFonts w:ascii="宋体" w:hAnsi="宋体" w:cs="宋体"/>
          <w:b/>
          <w:color w:val="000000" w:themeColor="text1"/>
          <w:sz w:val="72"/>
          <w14:textFill>
            <w14:solidFill>
              <w14:schemeClr w14:val="tx1"/>
            </w14:solidFill>
          </w14:textFill>
        </w:rPr>
      </w:pPr>
      <w:bookmarkStart w:id="213" w:name="_Hlt26955039"/>
      <w:bookmarkEnd w:id="213"/>
      <w:bookmarkStart w:id="214" w:name="_Hlt26671244"/>
      <w:bookmarkEnd w:id="214"/>
      <w:bookmarkStart w:id="215" w:name="_Toc120614282"/>
      <w:bookmarkStart w:id="216" w:name="_Toc49090576"/>
      <w:bookmarkStart w:id="217" w:name="_Toc26554094"/>
    </w:p>
    <w:p>
      <w:pPr>
        <w:jc w:val="center"/>
        <w:outlineLvl w:val="0"/>
        <w:rPr>
          <w:rFonts w:ascii="宋体" w:hAnsi="宋体" w:cs="宋体"/>
          <w:b/>
          <w:color w:val="000000" w:themeColor="text1"/>
          <w:sz w:val="72"/>
          <w14:textFill>
            <w14:solidFill>
              <w14:schemeClr w14:val="tx1"/>
            </w14:solidFill>
          </w14:textFill>
        </w:rPr>
      </w:pPr>
      <w:bookmarkStart w:id="218" w:name="_Toc23509"/>
      <w:r>
        <w:rPr>
          <w:rFonts w:hint="eastAsia" w:ascii="宋体" w:hAnsi="宋体" w:cs="宋体"/>
          <w:b/>
          <w:color w:val="000000" w:themeColor="text1"/>
          <w:sz w:val="72"/>
          <w14:textFill>
            <w14:solidFill>
              <w14:schemeClr w14:val="tx1"/>
            </w14:solidFill>
          </w14:textFill>
        </w:rPr>
        <w:t>投  标  文  件</w:t>
      </w:r>
      <w:bookmarkEnd w:id="218"/>
    </w:p>
    <w:p>
      <w:pPr>
        <w:jc w:val="center"/>
        <w:outlineLvl w:val="0"/>
        <w:rPr>
          <w:rFonts w:ascii="宋体" w:hAnsi="宋体" w:cs="宋体"/>
          <w:b/>
          <w:color w:val="000000" w:themeColor="text1"/>
          <w:sz w:val="72"/>
          <w14:textFill>
            <w14:solidFill>
              <w14:schemeClr w14:val="tx1"/>
            </w14:solidFill>
          </w14:textFill>
        </w:rPr>
      </w:pPr>
      <w:bookmarkStart w:id="219" w:name="_Toc20782"/>
      <w:r>
        <w:rPr>
          <w:rFonts w:hint="eastAsia" w:ascii="宋体" w:hAnsi="宋体" w:cs="宋体"/>
          <w:b/>
          <w:color w:val="000000" w:themeColor="text1"/>
          <w:sz w:val="36"/>
          <w14:textFill>
            <w14:solidFill>
              <w14:schemeClr w14:val="tx1"/>
            </w14:solidFill>
          </w14:textFill>
        </w:rPr>
        <w:t>（正或副本）</w:t>
      </w:r>
      <w:bookmarkEnd w:id="219"/>
    </w:p>
    <w:p>
      <w:pPr>
        <w:jc w:val="center"/>
        <w:rPr>
          <w:rFonts w:ascii="宋体" w:hAnsi="宋体" w:cs="宋体"/>
          <w:b/>
          <w:color w:val="000000" w:themeColor="text1"/>
          <w:sz w:val="72"/>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ind w:firstLine="1084" w:firstLineChars="300"/>
        <w:outlineLvl w:val="0"/>
        <w:rPr>
          <w:rFonts w:ascii="宋体" w:hAnsi="宋体" w:cs="宋体"/>
          <w:b/>
          <w:color w:val="000000" w:themeColor="text1"/>
          <w:sz w:val="36"/>
          <w14:textFill>
            <w14:solidFill>
              <w14:schemeClr w14:val="tx1"/>
            </w14:solidFill>
          </w14:textFill>
        </w:rPr>
      </w:pPr>
      <w:bookmarkStart w:id="220" w:name="_Toc26923"/>
      <w:r>
        <w:rPr>
          <w:rFonts w:hint="eastAsia" w:ascii="宋体" w:hAnsi="宋体" w:cs="宋体"/>
          <w:b/>
          <w:color w:val="000000" w:themeColor="text1"/>
          <w:sz w:val="36"/>
          <w14:textFill>
            <w14:solidFill>
              <w14:schemeClr w14:val="tx1"/>
            </w14:solidFill>
          </w14:textFill>
        </w:rPr>
        <w:t>项 目 名 称：</w:t>
      </w:r>
      <w:bookmarkEnd w:id="220"/>
    </w:p>
    <w:p>
      <w:pPr>
        <w:ind w:firstLine="1084" w:firstLineChars="300"/>
        <w:outlineLvl w:val="0"/>
        <w:rPr>
          <w:rFonts w:ascii="宋体" w:hAnsi="宋体" w:cs="宋体"/>
          <w:b/>
          <w:color w:val="000000" w:themeColor="text1"/>
          <w:sz w:val="36"/>
          <w:u w:val="single"/>
          <w14:textFill>
            <w14:solidFill>
              <w14:schemeClr w14:val="tx1"/>
            </w14:solidFill>
          </w14:textFill>
        </w:rPr>
      </w:pPr>
      <w:bookmarkStart w:id="221" w:name="_Toc13450"/>
      <w:r>
        <w:rPr>
          <w:rFonts w:hint="eastAsia" w:ascii="宋体" w:hAnsi="宋体" w:cs="宋体"/>
          <w:b/>
          <w:color w:val="000000" w:themeColor="text1"/>
          <w:sz w:val="36"/>
          <w14:textFill>
            <w14:solidFill>
              <w14:schemeClr w14:val="tx1"/>
            </w14:solidFill>
          </w14:textFill>
        </w:rPr>
        <w:t>招 标 编 号：</w:t>
      </w:r>
      <w:bookmarkEnd w:id="221"/>
    </w:p>
    <w:p>
      <w:pPr>
        <w:ind w:firstLine="1084" w:firstLineChars="300"/>
        <w:outlineLvl w:val="0"/>
        <w:rPr>
          <w:rFonts w:ascii="宋体" w:hAnsi="宋体" w:cs="宋体"/>
          <w:b/>
          <w:color w:val="000000" w:themeColor="text1"/>
          <w:sz w:val="36"/>
          <w:u w:val="single"/>
          <w14:textFill>
            <w14:solidFill>
              <w14:schemeClr w14:val="tx1"/>
            </w14:solidFill>
          </w14:textFill>
        </w:rPr>
      </w:pPr>
      <w:bookmarkStart w:id="222" w:name="_Toc26135"/>
      <w:r>
        <w:rPr>
          <w:rFonts w:hint="eastAsia" w:ascii="宋体" w:hAnsi="宋体" w:cs="宋体"/>
          <w:b/>
          <w:color w:val="000000" w:themeColor="text1"/>
          <w:sz w:val="36"/>
          <w14:textFill>
            <w14:solidFill>
              <w14:schemeClr w14:val="tx1"/>
            </w14:solidFill>
          </w14:textFill>
        </w:rPr>
        <w:t>投标人名称 ：</w:t>
      </w:r>
      <w:bookmarkEnd w:id="222"/>
    </w:p>
    <w:p>
      <w:pPr>
        <w:ind w:firstLine="1084" w:firstLineChars="300"/>
        <w:outlineLvl w:val="0"/>
        <w:rPr>
          <w:rFonts w:ascii="宋体" w:hAnsi="宋体" w:cs="宋体"/>
          <w:b/>
          <w:color w:val="000000" w:themeColor="text1"/>
          <w:sz w:val="36"/>
          <w14:textFill>
            <w14:solidFill>
              <w14:schemeClr w14:val="tx1"/>
            </w14:solidFill>
          </w14:textFill>
        </w:rPr>
      </w:pPr>
      <w:bookmarkStart w:id="223" w:name="_Toc28004"/>
      <w:r>
        <w:rPr>
          <w:rFonts w:hint="eastAsia" w:ascii="宋体" w:hAnsi="宋体" w:cs="宋体"/>
          <w:b/>
          <w:color w:val="000000" w:themeColor="text1"/>
          <w:sz w:val="36"/>
          <w14:textFill>
            <w14:solidFill>
              <w14:schemeClr w14:val="tx1"/>
            </w14:solidFill>
          </w14:textFill>
        </w:rPr>
        <w:t>日      期 ：</w:t>
      </w:r>
      <w:bookmarkEnd w:id="223"/>
    </w:p>
    <w:p>
      <w:pPr>
        <w:spacing w:line="440" w:lineRule="exact"/>
        <w:ind w:firstLine="4216" w:firstLineChars="1400"/>
        <w:rPr>
          <w:rFonts w:ascii="宋体" w:hAnsi="宋体" w:cs="宋体"/>
          <w:b/>
          <w:color w:val="000000" w:themeColor="text1"/>
          <w:sz w:val="30"/>
          <w:szCs w:val="30"/>
          <w14:textFill>
            <w14:solidFill>
              <w14:schemeClr w14:val="tx1"/>
            </w14:solidFill>
          </w14:textFill>
        </w:rPr>
      </w:pPr>
    </w:p>
    <w:p>
      <w:pPr>
        <w:spacing w:line="440" w:lineRule="exact"/>
        <w:ind w:firstLine="4216" w:firstLineChars="1400"/>
        <w:rPr>
          <w:rFonts w:ascii="宋体" w:hAnsi="宋体" w:cs="宋体"/>
          <w:b/>
          <w:color w:val="000000" w:themeColor="text1"/>
          <w:sz w:val="30"/>
          <w:szCs w:val="30"/>
          <w14:textFill>
            <w14:solidFill>
              <w14:schemeClr w14:val="tx1"/>
            </w14:solidFill>
          </w14:textFill>
        </w:rPr>
      </w:pPr>
    </w:p>
    <w:p>
      <w:pPr>
        <w:spacing w:line="440" w:lineRule="exact"/>
        <w:ind w:firstLine="4216" w:firstLineChars="1400"/>
        <w:rPr>
          <w:rFonts w:ascii="宋体" w:hAnsi="宋体" w:cs="宋体"/>
          <w:b/>
          <w:color w:val="000000" w:themeColor="text1"/>
          <w:sz w:val="30"/>
          <w:szCs w:val="30"/>
          <w14:textFill>
            <w14:solidFill>
              <w14:schemeClr w14:val="tx1"/>
            </w14:solidFill>
          </w14:textFill>
        </w:rPr>
      </w:pPr>
    </w:p>
    <w:p>
      <w:pPr>
        <w:spacing w:line="440" w:lineRule="exact"/>
        <w:ind w:firstLine="4216" w:firstLineChars="1400"/>
        <w:rPr>
          <w:rFonts w:ascii="宋体" w:hAnsi="宋体" w:cs="宋体"/>
          <w:b/>
          <w:color w:val="000000" w:themeColor="text1"/>
          <w:sz w:val="30"/>
          <w:szCs w:val="30"/>
          <w14:textFill>
            <w14:solidFill>
              <w14:schemeClr w14:val="tx1"/>
            </w14:solidFill>
          </w14:textFill>
        </w:rPr>
      </w:pPr>
    </w:p>
    <w:p>
      <w:pPr>
        <w:spacing w:line="440" w:lineRule="exact"/>
        <w:ind w:firstLine="4216" w:firstLineChars="1400"/>
        <w:rPr>
          <w:rFonts w:ascii="宋体" w:hAnsi="宋体" w:cs="宋体"/>
          <w:b/>
          <w:color w:val="000000" w:themeColor="text1"/>
          <w:sz w:val="30"/>
          <w:szCs w:val="30"/>
          <w14:textFill>
            <w14:solidFill>
              <w14:schemeClr w14:val="tx1"/>
            </w14:solidFill>
          </w14:textFill>
        </w:rPr>
      </w:pPr>
    </w:p>
    <w:p>
      <w:pPr>
        <w:spacing w:line="440" w:lineRule="exact"/>
        <w:ind w:firstLine="4216" w:firstLineChars="1400"/>
        <w:rPr>
          <w:rFonts w:ascii="宋体" w:hAnsi="宋体" w:cs="宋体"/>
          <w:b/>
          <w:color w:val="000000" w:themeColor="text1"/>
          <w:sz w:val="30"/>
          <w:szCs w:val="30"/>
          <w14:textFill>
            <w14:solidFill>
              <w14:schemeClr w14:val="tx1"/>
            </w14:solidFill>
          </w14:textFill>
        </w:rPr>
      </w:pPr>
    </w:p>
    <w:p>
      <w:pPr>
        <w:spacing w:line="440" w:lineRule="exact"/>
        <w:jc w:val="center"/>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评分索引表</w:t>
      </w:r>
    </w:p>
    <w:p>
      <w:pPr>
        <w:spacing w:line="440" w:lineRule="exact"/>
        <w:jc w:val="center"/>
        <w:rPr>
          <w:rFonts w:ascii="宋体" w:hAnsi="宋体" w:cs="宋体"/>
          <w:b/>
          <w:color w:val="000000" w:themeColor="text1"/>
          <w:sz w:val="30"/>
          <w:szCs w:val="30"/>
          <w14:textFill>
            <w14:solidFill>
              <w14:schemeClr w14:val="tx1"/>
            </w14:solidFill>
          </w14:textFill>
        </w:rPr>
      </w:pPr>
    </w:p>
    <w:tbl>
      <w:tblPr>
        <w:tblStyle w:val="45"/>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74"/>
              <w:shd w:val="clear" w:color="auto" w:fill="FFFFFF"/>
              <w:spacing w:line="265" w:lineRule="atLeast"/>
              <w:ind w:left="420"/>
              <w:jc w:val="center"/>
              <w:rPr>
                <w:rFonts w:ascii="宋体" w:hAnsi="宋体" w:cs="宋体"/>
                <w:b/>
                <w:bCs/>
                <w:color w:val="000000" w:themeColor="text1"/>
                <w:lang w:eastAsia="zh-CN"/>
                <w14:textFill>
                  <w14:solidFill>
                    <w14:schemeClr w14:val="tx1"/>
                  </w14:solidFill>
                </w14:textFill>
              </w:rPr>
            </w:pPr>
            <w:r>
              <w:rPr>
                <w:rFonts w:hint="eastAsia" w:ascii="宋体" w:hAnsi="宋体" w:cs="宋体"/>
                <w:b/>
                <w:color w:val="000000" w:themeColor="text1"/>
                <w14:textFill>
                  <w14:solidFill>
                    <w14:schemeClr w14:val="tx1"/>
                  </w14:solidFill>
                </w14:textFill>
              </w:rPr>
              <w:t>评分项目</w:t>
            </w:r>
          </w:p>
        </w:tc>
        <w:tc>
          <w:tcPr>
            <w:tcW w:w="3570" w:type="dxa"/>
            <w:noWrap/>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kern w:val="0"/>
                <w:sz w:val="24"/>
                <w:lang w:bidi="en-US"/>
                <w14:textFill>
                  <w14:solidFill>
                    <w14:schemeClr w14:val="tx1"/>
                  </w14:solidFill>
                </w14:textFill>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noWrap/>
          </w:tcPr>
          <w:p>
            <w:pPr>
              <w:pStyle w:val="74"/>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c>
          <w:tcPr>
            <w:tcW w:w="3570" w:type="dxa"/>
            <w:noWrap/>
          </w:tcPr>
          <w:p>
            <w:pPr>
              <w:rPr>
                <w:rFonts w:ascii="宋体" w:hAnsi="宋体" w:cs="宋体"/>
                <w:b/>
                <w:color w:val="000000" w:themeColor="text1"/>
                <w:kern w:val="0"/>
                <w:sz w:val="24"/>
                <w:lang w:bidi="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noWrap/>
          </w:tcPr>
          <w:p>
            <w:pPr>
              <w:pStyle w:val="74"/>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tcPr>
          <w:p>
            <w:pPr>
              <w:pStyle w:val="74"/>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tcPr>
          <w:p>
            <w:pPr>
              <w:pStyle w:val="74"/>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74"/>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74"/>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noWrap/>
          </w:tcPr>
          <w:p>
            <w:pPr>
              <w:pStyle w:val="74"/>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noWrap/>
          </w:tcPr>
          <w:p>
            <w:pPr>
              <w:pStyle w:val="74"/>
              <w:shd w:val="clear" w:color="auto" w:fill="FFFFFF"/>
              <w:spacing w:line="265" w:lineRule="atLeast"/>
              <w:ind w:left="0" w:firstLine="480" w:firstLineChars="200"/>
              <w:rPr>
                <w:rFonts w:ascii="宋体" w:hAnsi="宋体" w:cs="宋体"/>
                <w:color w:val="000000" w:themeColor="text1"/>
                <w:szCs w:val="2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noWrap/>
          </w:tcPr>
          <w:p>
            <w:pPr>
              <w:pStyle w:val="74"/>
              <w:shd w:val="clear" w:color="auto" w:fill="FFFFFF"/>
              <w:spacing w:line="265" w:lineRule="atLeast"/>
              <w:ind w:left="0" w:firstLine="480" w:firstLineChars="200"/>
              <w:rPr>
                <w:rFonts w:ascii="宋体" w:hAnsi="宋体" w:cs="宋体"/>
                <w:color w:val="000000" w:themeColor="text1"/>
                <w:lang w:eastAsia="zh-CN"/>
                <w14:textFill>
                  <w14:solidFill>
                    <w14:schemeClr w14:val="tx1"/>
                  </w14:solidFill>
                </w14:textFill>
              </w:rPr>
            </w:pPr>
          </w:p>
        </w:tc>
        <w:tc>
          <w:tcPr>
            <w:tcW w:w="3570" w:type="dxa"/>
            <w:tcBorders>
              <w:bottom w:val="single" w:color="auto" w:sz="4" w:space="0"/>
            </w:tcBorders>
            <w:noWrap/>
          </w:tcPr>
          <w:p>
            <w:pPr>
              <w:rPr>
                <w:rFonts w:ascii="宋体" w:hAnsi="宋体" w:cs="宋体"/>
                <w:color w:val="000000" w:themeColor="text1"/>
                <w14:textFill>
                  <w14:solidFill>
                    <w14:schemeClr w14:val="tx1"/>
                  </w14:solidFill>
                </w14:textFill>
              </w:rPr>
            </w:pPr>
          </w:p>
        </w:tc>
      </w:tr>
    </w:tbl>
    <w:p>
      <w:pPr>
        <w:rPr>
          <w:rFonts w:ascii="宋体" w:hAnsi="宋体" w:cs="宋体"/>
          <w:color w:val="000000" w:themeColor="text1"/>
          <w14:textFill>
            <w14:solidFill>
              <w14:schemeClr w14:val="tx1"/>
            </w14:solidFill>
          </w14:textFill>
        </w:rPr>
      </w:pPr>
    </w:p>
    <w:p>
      <w:pPr>
        <w:ind w:firstLine="1084" w:firstLineChars="300"/>
        <w:jc w:val="center"/>
        <w:outlineLvl w:val="0"/>
        <w:rPr>
          <w:rFonts w:ascii="宋体" w:hAnsi="宋体" w:cs="宋体"/>
          <w:b/>
          <w:bCs/>
          <w:color w:val="000000" w:themeColor="text1"/>
          <w:sz w:val="32"/>
          <w:szCs w:val="32"/>
          <w14:textFill>
            <w14:solidFill>
              <w14:schemeClr w14:val="tx1"/>
            </w14:solidFill>
          </w14:textFill>
        </w:rPr>
      </w:pPr>
      <w:r>
        <w:rPr>
          <w:rFonts w:hint="eastAsia" w:ascii="宋体" w:hAnsi="宋体" w:cs="宋体"/>
          <w:b/>
          <w:color w:val="000000" w:themeColor="text1"/>
          <w:sz w:val="36"/>
          <w:u w:val="single"/>
          <w14:textFill>
            <w14:solidFill>
              <w14:schemeClr w14:val="tx1"/>
            </w14:solidFill>
          </w14:textFill>
        </w:rPr>
        <w:br w:type="page"/>
      </w:r>
      <w:bookmarkStart w:id="224" w:name="_Toc16079"/>
      <w:r>
        <w:rPr>
          <w:rFonts w:hint="eastAsia" w:ascii="宋体" w:hAnsi="宋体" w:cs="宋体"/>
          <w:b/>
          <w:bCs/>
          <w:color w:val="000000" w:themeColor="text1"/>
          <w:sz w:val="32"/>
          <w:szCs w:val="32"/>
          <w14:textFill>
            <w14:solidFill>
              <w14:schemeClr w14:val="tx1"/>
            </w14:solidFill>
          </w14:textFill>
        </w:rPr>
        <w:t>投标主要文件目录</w:t>
      </w:r>
      <w:bookmarkEnd w:id="224"/>
    </w:p>
    <w:p>
      <w:pPr>
        <w:spacing w:line="440" w:lineRule="exact"/>
        <w:jc w:val="center"/>
        <w:rPr>
          <w:rFonts w:ascii="宋体" w:hAnsi="宋体" w:cs="宋体"/>
          <w:b/>
          <w:bCs/>
          <w:color w:val="000000" w:themeColor="text1"/>
          <w:sz w:val="32"/>
          <w:szCs w:val="32"/>
          <w14:textFill>
            <w14:solidFill>
              <w14:schemeClr w14:val="tx1"/>
            </w14:solidFill>
          </w14:textFill>
        </w:rPr>
      </w:pPr>
    </w:p>
    <w:p>
      <w:pPr>
        <w:ind w:firstLine="480" w:firstLineChars="200"/>
        <w:outlineLvl w:val="0"/>
        <w:rPr>
          <w:rFonts w:ascii="宋体" w:hAnsi="宋体" w:cs="宋体"/>
          <w:color w:val="000000" w:themeColor="text1"/>
          <w:sz w:val="24"/>
          <w14:textFill>
            <w14:solidFill>
              <w14:schemeClr w14:val="tx1"/>
            </w14:solidFill>
          </w14:textFill>
        </w:rPr>
      </w:pPr>
      <w:bookmarkStart w:id="225" w:name="_Toc8971"/>
      <w:r>
        <w:rPr>
          <w:rFonts w:hint="eastAsia" w:ascii="宋体" w:hAnsi="宋体" w:cs="宋体"/>
          <w:color w:val="000000" w:themeColor="text1"/>
          <w:sz w:val="24"/>
          <w14:textFill>
            <w14:solidFill>
              <w14:schemeClr w14:val="tx1"/>
            </w14:solidFill>
          </w14:textFill>
        </w:rPr>
        <w:t>一、</w:t>
      </w:r>
      <w:r>
        <w:rPr>
          <w:rFonts w:hint="eastAsia" w:ascii="宋体" w:hAnsi="宋体" w:cs="宋体"/>
          <w:bCs/>
          <w:color w:val="000000" w:themeColor="text1"/>
          <w:sz w:val="24"/>
          <w14:textFill>
            <w14:solidFill>
              <w14:schemeClr w14:val="tx1"/>
            </w14:solidFill>
          </w14:textFill>
        </w:rPr>
        <w:t>资信证明文件要求</w:t>
      </w:r>
      <w:bookmarkEnd w:id="225"/>
    </w:p>
    <w:p>
      <w:pPr>
        <w:ind w:firstLine="482" w:firstLineChars="200"/>
        <w:outlineLvl w:val="0"/>
        <w:rPr>
          <w:rFonts w:ascii="宋体" w:hAnsi="宋体" w:cs="宋体"/>
          <w:color w:val="000000" w:themeColor="text1"/>
          <w:sz w:val="24"/>
          <w14:textFill>
            <w14:solidFill>
              <w14:schemeClr w14:val="tx1"/>
            </w14:solidFill>
          </w14:textFill>
        </w:rPr>
      </w:pPr>
      <w:bookmarkStart w:id="226" w:name="_Toc400"/>
      <w:r>
        <w:rPr>
          <w:rFonts w:hint="eastAsia" w:ascii="宋体" w:hAnsi="宋体" w:cs="宋体"/>
          <w:b/>
          <w:bCs/>
          <w:color w:val="000000" w:themeColor="text1"/>
          <w:sz w:val="24"/>
          <w14:textFill>
            <w14:solidFill>
              <w14:schemeClr w14:val="tx1"/>
            </w14:solidFill>
          </w14:textFill>
        </w:rPr>
        <w:t>二</w:t>
      </w:r>
      <w:r>
        <w:rPr>
          <w:rFonts w:hint="eastAsia" w:ascii="宋体" w:hAnsi="宋体" w:cs="宋体"/>
          <w:color w:val="000000" w:themeColor="text1"/>
          <w:sz w:val="24"/>
          <w14:textFill>
            <w14:solidFill>
              <w14:schemeClr w14:val="tx1"/>
            </w14:solidFill>
          </w14:textFill>
        </w:rPr>
        <w:t>、资格性审查响应对照表</w:t>
      </w:r>
      <w:bookmarkEnd w:id="226"/>
    </w:p>
    <w:p>
      <w:pPr>
        <w:ind w:firstLine="480" w:firstLineChars="200"/>
        <w:outlineLvl w:val="0"/>
        <w:rPr>
          <w:rFonts w:ascii="宋体" w:hAnsi="宋体" w:cs="宋体"/>
          <w:bCs/>
          <w:color w:val="000000" w:themeColor="text1"/>
          <w:sz w:val="24"/>
          <w14:textFill>
            <w14:solidFill>
              <w14:schemeClr w14:val="tx1"/>
            </w14:solidFill>
          </w14:textFill>
        </w:rPr>
      </w:pPr>
      <w:bookmarkStart w:id="227" w:name="_Toc17993"/>
      <w:r>
        <w:rPr>
          <w:rFonts w:hint="eastAsia" w:ascii="宋体" w:hAnsi="宋体" w:cs="宋体"/>
          <w:color w:val="000000" w:themeColor="text1"/>
          <w:sz w:val="24"/>
          <w14:textFill>
            <w14:solidFill>
              <w14:schemeClr w14:val="tx1"/>
            </w14:solidFill>
          </w14:textFill>
        </w:rPr>
        <w:t>三、符合性检查响应对照表</w:t>
      </w:r>
      <w:bookmarkEnd w:id="227"/>
    </w:p>
    <w:p>
      <w:pPr>
        <w:ind w:firstLine="480" w:firstLineChars="200"/>
        <w:outlineLvl w:val="0"/>
        <w:rPr>
          <w:rFonts w:ascii="宋体" w:hAnsi="宋体" w:cs="宋体"/>
          <w:color w:val="000000" w:themeColor="text1"/>
          <w:sz w:val="24"/>
          <w14:textFill>
            <w14:solidFill>
              <w14:schemeClr w14:val="tx1"/>
            </w14:solidFill>
          </w14:textFill>
        </w:rPr>
      </w:pPr>
      <w:bookmarkStart w:id="228" w:name="_Toc4466"/>
      <w:r>
        <w:rPr>
          <w:rFonts w:hint="eastAsia" w:ascii="宋体" w:hAnsi="宋体" w:cs="宋体"/>
          <w:color w:val="000000" w:themeColor="text1"/>
          <w:sz w:val="24"/>
          <w14:textFill>
            <w14:solidFill>
              <w14:schemeClr w14:val="tx1"/>
            </w14:solidFill>
          </w14:textFill>
        </w:rPr>
        <w:t>四、投标函</w:t>
      </w:r>
      <w:bookmarkEnd w:id="228"/>
    </w:p>
    <w:p>
      <w:pPr>
        <w:ind w:firstLine="480" w:firstLineChars="200"/>
        <w:outlineLvl w:val="0"/>
        <w:rPr>
          <w:rFonts w:ascii="宋体" w:hAnsi="宋体" w:cs="宋体"/>
          <w:color w:val="000000" w:themeColor="text1"/>
          <w:sz w:val="24"/>
          <w14:textFill>
            <w14:solidFill>
              <w14:schemeClr w14:val="tx1"/>
            </w14:solidFill>
          </w14:textFill>
        </w:rPr>
      </w:pPr>
      <w:bookmarkStart w:id="229" w:name="_Toc30056"/>
      <w:r>
        <w:rPr>
          <w:rFonts w:hint="eastAsia" w:ascii="宋体" w:hAnsi="宋体" w:cs="宋体"/>
          <w:color w:val="000000" w:themeColor="text1"/>
          <w:sz w:val="24"/>
          <w14:textFill>
            <w14:solidFill>
              <w14:schemeClr w14:val="tx1"/>
            </w14:solidFill>
          </w14:textFill>
        </w:rPr>
        <w:t>五</w:t>
      </w:r>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开标一览表</w:t>
      </w:r>
      <w:bookmarkEnd w:id="229"/>
    </w:p>
    <w:p>
      <w:pPr>
        <w:ind w:firstLine="480" w:firstLineChars="200"/>
        <w:outlineLvl w:val="0"/>
        <w:rPr>
          <w:rFonts w:ascii="宋体" w:hAnsi="宋体" w:cs="宋体"/>
          <w:color w:val="000000" w:themeColor="text1"/>
          <w:sz w:val="24"/>
          <w14:textFill>
            <w14:solidFill>
              <w14:schemeClr w14:val="tx1"/>
            </w14:solidFill>
          </w14:textFill>
        </w:rPr>
      </w:pPr>
      <w:bookmarkStart w:id="230" w:name="_Toc1256"/>
      <w:r>
        <w:rPr>
          <w:rFonts w:hint="eastAsia" w:ascii="宋体" w:hAnsi="宋体" w:cs="宋体"/>
          <w:color w:val="000000" w:themeColor="text1"/>
          <w:sz w:val="24"/>
          <w14:textFill>
            <w14:solidFill>
              <w14:schemeClr w14:val="tx1"/>
            </w14:solidFill>
          </w14:textFill>
        </w:rPr>
        <w:t>六、投标配置与分项报价表</w:t>
      </w:r>
      <w:bookmarkEnd w:id="230"/>
    </w:p>
    <w:p>
      <w:pPr>
        <w:ind w:firstLine="480" w:firstLineChars="200"/>
        <w:outlineLvl w:val="0"/>
        <w:rPr>
          <w:rFonts w:ascii="宋体" w:hAnsi="宋体" w:cs="宋体"/>
          <w:color w:val="000000" w:themeColor="text1"/>
          <w:sz w:val="24"/>
          <w14:textFill>
            <w14:solidFill>
              <w14:schemeClr w14:val="tx1"/>
            </w14:solidFill>
          </w14:textFill>
        </w:rPr>
      </w:pPr>
      <w:bookmarkStart w:id="231" w:name="_Toc16688"/>
      <w:r>
        <w:rPr>
          <w:rFonts w:hint="eastAsia" w:ascii="宋体" w:hAnsi="宋体" w:cs="宋体"/>
          <w:color w:val="000000" w:themeColor="text1"/>
          <w:sz w:val="24"/>
          <w14:textFill>
            <w14:solidFill>
              <w14:schemeClr w14:val="tx1"/>
            </w14:solidFill>
          </w14:textFill>
        </w:rPr>
        <w:t>七</w:t>
      </w:r>
      <w:r>
        <w:rPr>
          <w:rFonts w:hint="eastAsia" w:ascii="宋体" w:hAnsi="宋体" w:cs="宋体"/>
          <w:color w:val="000000" w:themeColor="text1"/>
          <w:sz w:val="24"/>
          <w:szCs w:val="24"/>
          <w14:textFill>
            <w14:solidFill>
              <w14:schemeClr w14:val="tx1"/>
            </w14:solidFill>
          </w14:textFill>
        </w:rPr>
        <w:t>、技术参数响应及偏离表</w:t>
      </w:r>
      <w:bookmarkEnd w:id="231"/>
    </w:p>
    <w:p>
      <w:pPr>
        <w:ind w:firstLine="480" w:firstLineChars="200"/>
        <w:outlineLvl w:val="0"/>
        <w:rPr>
          <w:rFonts w:ascii="宋体" w:hAnsi="宋体" w:cs="宋体"/>
          <w:color w:val="000000" w:themeColor="text1"/>
          <w:sz w:val="24"/>
          <w14:textFill>
            <w14:solidFill>
              <w14:schemeClr w14:val="tx1"/>
            </w14:solidFill>
          </w14:textFill>
        </w:rPr>
      </w:pPr>
      <w:bookmarkStart w:id="232" w:name="_Toc13614"/>
      <w:r>
        <w:rPr>
          <w:rFonts w:hint="eastAsia" w:ascii="宋体" w:hAnsi="宋体" w:cs="宋体"/>
          <w:color w:val="000000" w:themeColor="text1"/>
          <w:sz w:val="24"/>
          <w14:textFill>
            <w14:solidFill>
              <w14:schemeClr w14:val="tx1"/>
            </w14:solidFill>
          </w14:textFill>
        </w:rPr>
        <w:t>八、商务条款响应及偏离表</w:t>
      </w:r>
      <w:bookmarkEnd w:id="232"/>
    </w:p>
    <w:p>
      <w:pPr>
        <w:ind w:firstLine="480" w:firstLineChars="200"/>
        <w:outlineLvl w:val="0"/>
        <w:rPr>
          <w:rFonts w:ascii="宋体" w:hAnsi="宋体" w:cs="宋体"/>
          <w:color w:val="000000" w:themeColor="text1"/>
          <w:sz w:val="24"/>
          <w14:textFill>
            <w14:solidFill>
              <w14:schemeClr w14:val="tx1"/>
            </w14:solidFill>
          </w14:textFill>
        </w:rPr>
      </w:pPr>
      <w:bookmarkStart w:id="233" w:name="_Toc25377"/>
      <w:r>
        <w:rPr>
          <w:rFonts w:hint="eastAsia" w:ascii="宋体" w:hAnsi="宋体" w:cs="宋体"/>
          <w:color w:val="000000" w:themeColor="text1"/>
          <w:sz w:val="24"/>
          <w14:textFill>
            <w14:solidFill>
              <w14:schemeClr w14:val="tx1"/>
            </w14:solidFill>
          </w14:textFill>
        </w:rPr>
        <w:t>九、技术方案、服务承诺、培训承诺等</w:t>
      </w:r>
      <w:bookmarkEnd w:id="233"/>
    </w:p>
    <w:p>
      <w:pPr>
        <w:ind w:firstLine="480" w:firstLineChars="200"/>
        <w:outlineLvl w:val="0"/>
        <w:rPr>
          <w:rFonts w:ascii="宋体" w:hAnsi="宋体" w:cs="宋体"/>
          <w:color w:val="000000" w:themeColor="text1"/>
          <w14:textFill>
            <w14:solidFill>
              <w14:schemeClr w14:val="tx1"/>
            </w14:solidFill>
          </w14:textFill>
        </w:rPr>
      </w:pPr>
      <w:bookmarkStart w:id="234" w:name="_Toc28209"/>
      <w:r>
        <w:rPr>
          <w:rFonts w:hint="eastAsia" w:ascii="宋体" w:hAnsi="宋体" w:cs="宋体"/>
          <w:color w:val="000000" w:themeColor="text1"/>
          <w:sz w:val="24"/>
          <w:szCs w:val="24"/>
          <w14:textFill>
            <w14:solidFill>
              <w14:schemeClr w14:val="tx1"/>
            </w14:solidFill>
          </w14:textFill>
        </w:rPr>
        <w:t>十、中小企业声明函</w:t>
      </w:r>
      <w:bookmarkEnd w:id="234"/>
    </w:p>
    <w:p>
      <w:pPr>
        <w:spacing w:line="440" w:lineRule="exact"/>
        <w:ind w:firstLine="480" w:firstLineChars="200"/>
        <w:outlineLvl w:val="0"/>
        <w:rPr>
          <w:rFonts w:ascii="宋体" w:hAnsi="宋体" w:cs="宋体"/>
          <w:color w:val="000000" w:themeColor="text1"/>
          <w:sz w:val="24"/>
          <w14:textFill>
            <w14:solidFill>
              <w14:schemeClr w14:val="tx1"/>
            </w14:solidFill>
          </w14:textFill>
        </w:rPr>
      </w:pPr>
      <w:bookmarkStart w:id="235" w:name="_Toc13879"/>
      <w:r>
        <w:rPr>
          <w:rFonts w:hint="eastAsia" w:ascii="宋体" w:hAnsi="宋体" w:cs="宋体"/>
          <w:color w:val="000000" w:themeColor="text1"/>
          <w:sz w:val="24"/>
          <w14:textFill>
            <w14:solidFill>
              <w14:schemeClr w14:val="tx1"/>
            </w14:solidFill>
          </w14:textFill>
        </w:rPr>
        <w:t>十一、盐城市政府采购事前信用承诺书</w:t>
      </w:r>
      <w:bookmarkEnd w:id="235"/>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napToGrid w:val="0"/>
        <w:spacing w:before="50" w:after="50"/>
        <w:jc w:val="center"/>
        <w:outlineLvl w:val="0"/>
        <w:rPr>
          <w:rFonts w:ascii="宋体" w:hAnsi="宋体" w:cs="宋体"/>
          <w:b/>
          <w:bCs/>
          <w:color w:val="000000" w:themeColor="text1"/>
          <w:sz w:val="32"/>
          <w:szCs w:val="32"/>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bookmarkStart w:id="236" w:name="_Toc27319"/>
      <w:r>
        <w:rPr>
          <w:rFonts w:hint="eastAsia" w:ascii="宋体" w:hAnsi="宋体" w:cs="宋体"/>
          <w:color w:val="000000" w:themeColor="text1"/>
          <w:sz w:val="32"/>
          <w:szCs w:val="32"/>
          <w14:textFill>
            <w14:solidFill>
              <w14:schemeClr w14:val="tx1"/>
            </w14:solidFill>
          </w14:textFill>
        </w:rPr>
        <w:t>一、</w:t>
      </w:r>
      <w:r>
        <w:rPr>
          <w:rFonts w:hint="eastAsia" w:ascii="宋体" w:hAnsi="宋体" w:cs="宋体"/>
          <w:b/>
          <w:bCs/>
          <w:color w:val="000000" w:themeColor="text1"/>
          <w:sz w:val="32"/>
          <w:szCs w:val="32"/>
          <w14:textFill>
            <w14:solidFill>
              <w14:schemeClr w14:val="tx1"/>
            </w14:solidFill>
          </w14:textFill>
        </w:rPr>
        <w:t>资信证明文件要求</w:t>
      </w:r>
      <w:bookmarkEnd w:id="236"/>
    </w:p>
    <w:p>
      <w:pPr>
        <w:snapToGrid w:val="0"/>
        <w:spacing w:before="50" w:after="50"/>
        <w:rPr>
          <w:rFonts w:ascii="宋体" w:hAnsi="宋体" w:cs="宋体"/>
          <w:i/>
          <w:color w:val="000000" w:themeColor="text1"/>
          <w:szCs w:val="24"/>
          <w:u w:val="single"/>
          <w14:textFill>
            <w14:solidFill>
              <w14:schemeClr w14:val="tx1"/>
            </w14:solidFill>
          </w14:textFill>
        </w:rPr>
      </w:pPr>
    </w:p>
    <w:p>
      <w:pPr>
        <w:snapToGrid w:val="0"/>
        <w:spacing w:line="500" w:lineRule="exact"/>
        <w:ind w:firstLine="482" w:firstLineChars="200"/>
        <w:rPr>
          <w:rFonts w:ascii="宋体" w:hAnsi="宋体" w:cs="宋体"/>
          <w:color w:val="000000" w:themeColor="text1"/>
          <w:sz w:val="24"/>
          <w:szCs w:val="20"/>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1、实质性资格证明文件目录</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文件1 法人或者其他组织的营业执照等证明文件，自然人的身份证明（复印件）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文件2 上一年度财务状况报表（复印件，成立不满一年不需提供）</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文件3 依法缴纳税收和社会保障资金的相关材料（复印件）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文件4 具备履行合同所必需的设备和专业技术能力的书面声明</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文件5 参加政府采购活动前 3 年内在经营活动中没有重大违法记录的书面声明</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文件6 法人授权书</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文件7未被“信用中国”网站（www.creditchina.gov.cn）列入失信被执行人、重大税收违法案件当事人名单、政府采购严重失信行为记录名单的网上查询截图（查询日期为采购公告发布之日当天或以后任一时间）。</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文件8 招标文件中规定要求提供的证明材料和投标人认为需要提供的其他材料（招标文件要求提供原件的必须单独封装并与投标文件一起递交，评标结束后原件退回；未要求提供原件的提供复印件，原件自带备查）</w:t>
      </w:r>
    </w:p>
    <w:p>
      <w:pPr>
        <w:snapToGrid w:val="0"/>
        <w:spacing w:line="50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2、非实质性资信证明文件目录</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格式1 《企业申明函》</w:t>
      </w:r>
    </w:p>
    <w:p>
      <w:pPr>
        <w:pStyle w:val="3"/>
        <w:rPr>
          <w:rFonts w:ascii="宋体" w:hAnsi="宋体" w:eastAsia="宋体" w:cs="宋体"/>
          <w:color w:val="000000" w:themeColor="text1"/>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ind w:firstLine="0"/>
        <w:rPr>
          <w:rFonts w:ascii="宋体" w:hAnsi="宋体" w:cs="宋体"/>
          <w:color w:val="000000" w:themeColor="text1"/>
          <w:sz w:val="24"/>
          <w:szCs w:val="24"/>
          <w14:textFill>
            <w14:solidFill>
              <w14:schemeClr w14:val="tx1"/>
            </w14:solidFill>
          </w14:textFill>
        </w:rPr>
      </w:pPr>
    </w:p>
    <w:p>
      <w:pPr>
        <w:pStyle w:val="5"/>
        <w:jc w:val="center"/>
        <w:rPr>
          <w:rFonts w:ascii="宋体" w:hAnsi="宋体" w:cs="宋体"/>
          <w:b w:val="0"/>
          <w:bCs w:val="0"/>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具备履行合同所必需的设备和专业技术能力的书面声明</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主要设备有：。</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主要专业技术能力有：。</w:t>
      </w: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供应商名称（公章）：</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jc w:val="righ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pStyle w:val="5"/>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br w:type="page"/>
      </w:r>
      <w:r>
        <w:rPr>
          <w:rFonts w:hint="eastAsia" w:ascii="宋体" w:hAnsi="宋体" w:cs="宋体"/>
          <w:color w:val="000000" w:themeColor="text1"/>
          <w:sz w:val="28"/>
          <w:szCs w:val="28"/>
          <w14:textFill>
            <w14:solidFill>
              <w14:schemeClr w14:val="tx1"/>
            </w14:solidFill>
          </w14:textFill>
        </w:rPr>
        <w:t>参加政府采购活动前 3 年内在经营活动中没有重大违法记录的书面声明</w:t>
      </w:r>
    </w:p>
    <w:p>
      <w:pPr>
        <w:spacing w:line="460" w:lineRule="exact"/>
        <w:rPr>
          <w:rFonts w:ascii="宋体" w:hAnsi="宋体" w:cs="宋体"/>
          <w:b/>
          <w:bCs/>
          <w:color w:val="000000" w:themeColor="text1"/>
          <w:sz w:val="28"/>
          <w:szCs w:val="28"/>
          <w14:textFill>
            <w14:solidFill>
              <w14:schemeClr w14:val="tx1"/>
            </w14:solidFill>
          </w14:textFill>
        </w:rPr>
      </w:pPr>
    </w:p>
    <w:p>
      <w:pPr>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声  明</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供应商名称（公章）：</w:t>
      </w: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授权代表签字：</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pStyle w:val="5"/>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法人授权书</w:t>
      </w:r>
    </w:p>
    <w:p>
      <w:pPr>
        <w:pStyle w:val="89"/>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本授权书声明：____________（供应商名称）授权________________（被授权人的姓名）为我方就</w:t>
      </w:r>
      <w:r>
        <w:rPr>
          <w:rFonts w:hint="eastAsia" w:ascii="宋体" w:hAnsi="宋体" w:cs="宋体"/>
          <w:color w:val="000000" w:themeColor="text1"/>
          <w:sz w:val="24"/>
          <w:szCs w:val="24"/>
          <w:u w:val="single"/>
          <w14:textFill>
            <w14:solidFill>
              <w14:schemeClr w14:val="tx1"/>
            </w14:solidFill>
          </w14:textFill>
        </w:rPr>
        <w:t>2022-0Q</w:t>
      </w:r>
      <w:r>
        <w:rPr>
          <w:rFonts w:hint="eastAsia" w:ascii="宋体" w:hAnsi="宋体" w:cs="宋体"/>
          <w:color w:val="000000" w:themeColor="text1"/>
          <w:sz w:val="24"/>
          <w:szCs w:val="24"/>
          <w14:textFill>
            <w14:solidFill>
              <w14:schemeClr w14:val="tx1"/>
            </w14:solidFill>
          </w14:textFill>
        </w:rPr>
        <w:t>号项目采购活动的合法代理人，以本公司名义全权处理一切与该项目采购有关的事务。</w:t>
      </w:r>
    </w:p>
    <w:p>
      <w:pPr>
        <w:pStyle w:val="89"/>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本授权书于______年____月____日起生效，特此声明。</w:t>
      </w:r>
    </w:p>
    <w:p>
      <w:pPr>
        <w:pStyle w:val="89"/>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代理人（被授权人）：_______________________</w:t>
      </w:r>
    </w:p>
    <w:p>
      <w:pPr>
        <w:pStyle w:val="89"/>
        <w:ind w:firstLine="0" w:firstLineChars="0"/>
        <w:rPr>
          <w:rFonts w:ascii="宋体" w:hAnsi="宋体" w:cs="宋体"/>
          <w:color w:val="000000" w:themeColor="text1"/>
          <w:sz w:val="24"/>
          <w:szCs w:val="24"/>
          <w14:textFill>
            <w14:solidFill>
              <w14:schemeClr w14:val="tx1"/>
            </w14:solidFill>
          </w14:textFill>
        </w:rPr>
      </w:pPr>
    </w:p>
    <w:p>
      <w:pPr>
        <w:pStyle w:val="89"/>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89"/>
        <w:ind w:firstLine="480"/>
        <w:rPr>
          <w:rFonts w:ascii="宋体" w:hAnsi="宋体" w:cs="宋体"/>
          <w:color w:val="000000" w:themeColor="text1"/>
          <w:sz w:val="24"/>
          <w:szCs w:val="24"/>
          <w14:textFill>
            <w14:solidFill>
              <w14:schemeClr w14:val="tx1"/>
            </w14:solidFill>
          </w14:textFill>
        </w:rPr>
      </w:pPr>
    </w:p>
    <w:p>
      <w:pPr>
        <w:pStyle w:val="89"/>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授权单位盖章：_________________________________</w:t>
      </w:r>
    </w:p>
    <w:p>
      <w:pPr>
        <w:pStyle w:val="89"/>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89"/>
        <w:ind w:firstLine="48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地址：</w:t>
      </w:r>
    </w:p>
    <w:p>
      <w:pPr>
        <w:pStyle w:val="89"/>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日期：                    </w:t>
      </w:r>
    </w:p>
    <w:p>
      <w:pPr>
        <w:pStyle w:val="5"/>
        <w:rPr>
          <w:rFonts w:ascii="宋体" w:hAnsi="宋体" w:cs="宋体"/>
          <w:color w:val="000000" w:themeColor="text1"/>
          <w:sz w:val="24"/>
          <w:szCs w:val="24"/>
          <w14:textFill>
            <w14:solidFill>
              <w14:schemeClr w14:val="tx1"/>
            </w14:solidFill>
          </w14:textFill>
        </w:rPr>
      </w:pPr>
      <w:bookmarkStart w:id="237" w:name="_格式3__银行出具的资信证明"/>
      <w:bookmarkEnd w:id="237"/>
      <w:bookmarkStart w:id="238" w:name="_Hlt26671380"/>
      <w:bookmarkEnd w:id="238"/>
      <w:bookmarkStart w:id="239" w:name="_Hlt26955070"/>
      <w:bookmarkEnd w:id="239"/>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560" w:lineRule="exact"/>
        <w:rPr>
          <w:rFonts w:ascii="宋体" w:hAnsi="宋体" w:cs="宋体"/>
          <w:bCs/>
          <w:color w:val="000000" w:themeColor="text1"/>
          <w:sz w:val="24"/>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40" w:name="_Toc3822"/>
      <w:r>
        <w:rPr>
          <w:rFonts w:hint="eastAsia" w:ascii="宋体" w:hAnsi="宋体" w:cs="宋体"/>
          <w:color w:val="000000" w:themeColor="text1"/>
          <w:sz w:val="32"/>
          <w:szCs w:val="32"/>
          <w14:textFill>
            <w14:solidFill>
              <w14:schemeClr w14:val="tx1"/>
            </w14:solidFill>
          </w14:textFill>
        </w:rPr>
        <w:t>二、资格性审查响应对照表（格式）</w:t>
      </w:r>
      <w:bookmarkEnd w:id="240"/>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4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资格性审查响应内容</w:t>
            </w:r>
          </w:p>
        </w:tc>
        <w:tc>
          <w:tcPr>
            <w:tcW w:w="1680"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b/>
                <w:color w:val="000000" w:themeColor="text1"/>
                <w14:textFill>
                  <w14:solidFill>
                    <w14:schemeClr w14:val="tx1"/>
                  </w14:solidFill>
                </w14:textFill>
              </w:rPr>
            </w:pPr>
          </w:p>
        </w:tc>
        <w:tc>
          <w:tcPr>
            <w:tcW w:w="1785" w:type="dxa"/>
            <w:noWrap/>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noWrap/>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bl>
    <w:p>
      <w:pPr>
        <w:spacing w:line="440" w:lineRule="exact"/>
        <w:ind w:firstLine="480" w:firstLineChars="200"/>
        <w:rPr>
          <w:rFonts w:ascii="宋体" w:hAnsi="宋体" w:cs="宋体"/>
          <w:color w:val="000000" w:themeColor="text1"/>
          <w:sz w:val="24"/>
          <w14:textFill>
            <w14:solidFill>
              <w14:schemeClr w14:val="tx1"/>
            </w14:solidFill>
          </w14:textFill>
        </w:rPr>
      </w:pPr>
    </w:p>
    <w:bookmarkEnd w:id="215"/>
    <w:bookmarkEnd w:id="216"/>
    <w:bookmarkEnd w:id="217"/>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41" w:name="_Toc26324"/>
      <w:r>
        <w:rPr>
          <w:rFonts w:hint="eastAsia" w:ascii="宋体" w:hAnsi="宋体" w:cs="宋体"/>
          <w:color w:val="000000" w:themeColor="text1"/>
          <w:sz w:val="32"/>
          <w:szCs w:val="32"/>
          <w14:textFill>
            <w14:solidFill>
              <w14:schemeClr w14:val="tx1"/>
            </w14:solidFill>
          </w14:textFill>
        </w:rPr>
        <w:t>三、符合性检查响应对照表（格式）</w:t>
      </w:r>
      <w:bookmarkEnd w:id="241"/>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4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符合性检查响应内容</w:t>
            </w:r>
          </w:p>
        </w:tc>
        <w:tc>
          <w:tcPr>
            <w:tcW w:w="1680"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b/>
                <w:color w:val="000000" w:themeColor="text1"/>
                <w14:textFill>
                  <w14:solidFill>
                    <w14:schemeClr w14:val="tx1"/>
                  </w14:solidFill>
                </w14:textFill>
              </w:rPr>
            </w:pPr>
          </w:p>
        </w:tc>
        <w:tc>
          <w:tcPr>
            <w:tcW w:w="1785" w:type="dxa"/>
            <w:noWrap/>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noWrap/>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r>
              <w:rPr>
                <w:rFonts w:hint="eastAsia" w:ascii="宋体" w:hAnsi="宋体" w:cs="宋体"/>
                <w:iCs/>
                <w:color w:val="000000" w:themeColor="text1"/>
                <w:sz w:val="24"/>
                <w:szCs w:val="24"/>
                <w14:textFill>
                  <w14:solidFill>
                    <w14:schemeClr w14:val="tx1"/>
                  </w14:solidFill>
                </w14:textFill>
              </w:rPr>
              <w:t>招标文件中的其他实质性要求</w:t>
            </w: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bl>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32"/>
          <w:szCs w:val="32"/>
          <w14:textFill>
            <w14:solidFill>
              <w14:schemeClr w14:val="tx1"/>
            </w14:solidFill>
          </w14:textFill>
        </w:rPr>
      </w:pPr>
      <w:bookmarkStart w:id="242" w:name="_Toc120614284"/>
    </w:p>
    <w:p>
      <w:pPr>
        <w:snapToGrid w:val="0"/>
        <w:spacing w:before="50" w:after="50"/>
        <w:rPr>
          <w:rFonts w:ascii="宋体" w:hAnsi="宋体" w:cs="宋体"/>
          <w:color w:val="000000" w:themeColor="text1"/>
          <w:sz w:val="24"/>
          <w:szCs w:val="24"/>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43" w:name="_Toc13422"/>
      <w:r>
        <w:rPr>
          <w:rFonts w:hint="eastAsia" w:ascii="宋体" w:hAnsi="宋体" w:cs="宋体"/>
          <w:color w:val="000000" w:themeColor="text1"/>
          <w:sz w:val="32"/>
          <w:szCs w:val="32"/>
          <w14:textFill>
            <w14:solidFill>
              <w14:schemeClr w14:val="tx1"/>
            </w14:solidFill>
          </w14:textFill>
        </w:rPr>
        <w:t>四、投标函（格式）</w:t>
      </w:r>
      <w:bookmarkEnd w:id="243"/>
    </w:p>
    <w:p>
      <w:pPr>
        <w:pStyle w:val="98"/>
        <w:spacing w:before="0" w:after="0" w:line="420" w:lineRule="exact"/>
        <w:ind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致：</w:t>
      </w:r>
      <w:r>
        <w:rPr>
          <w:rFonts w:hint="eastAsia" w:ascii="宋体" w:hAnsi="宋体" w:cs="宋体"/>
          <w:color w:val="000000" w:themeColor="text1"/>
          <w:kern w:val="2"/>
          <w:u w:val="single"/>
          <w14:textFill>
            <w14:solidFill>
              <w14:schemeClr w14:val="tx1"/>
            </w14:solidFill>
          </w14:textFill>
        </w:rPr>
        <w:t>盐城工业职业技术学院</w:t>
      </w:r>
    </w:p>
    <w:p>
      <w:pPr>
        <w:pStyle w:val="98"/>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根据贵方的</w:t>
      </w:r>
      <w:r>
        <w:rPr>
          <w:rFonts w:hint="eastAsia" w:ascii="宋体" w:hAnsi="宋体" w:cs="宋体"/>
          <w:color w:val="000000" w:themeColor="text1"/>
          <w:kern w:val="2"/>
          <w:u w:val="single"/>
          <w14:textFill>
            <w14:solidFill>
              <w14:schemeClr w14:val="tx1"/>
            </w14:solidFill>
          </w14:textFill>
        </w:rPr>
        <w:t>2022-0Q号</w:t>
      </w:r>
      <w:r>
        <w:rPr>
          <w:rFonts w:hint="eastAsia" w:ascii="宋体" w:hAnsi="宋体" w:cs="宋体"/>
          <w:color w:val="000000" w:themeColor="text1"/>
          <w:kern w:val="2"/>
          <w14:textFill>
            <w14:solidFill>
              <w14:schemeClr w14:val="tx1"/>
            </w14:solidFill>
          </w14:textFill>
        </w:rPr>
        <w:t>招标文件，正式授权下述签字人_________________(姓名)代表我方______________（投标人的名称），全权处理本次项目投标的有关事宜。</w:t>
      </w:r>
    </w:p>
    <w:p>
      <w:pPr>
        <w:pStyle w:val="98"/>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据此函，__________签字人兹宣布同意如下：</w:t>
      </w:r>
    </w:p>
    <w:p>
      <w:pPr>
        <w:pStyle w:val="98"/>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1.按招标文件规定的各项要求，向买方提供所需货物与服务。</w:t>
      </w:r>
    </w:p>
    <w:p>
      <w:pPr>
        <w:pStyle w:val="98"/>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2.我们完全理解贵方不一定将合同授予最低报价的投标人。</w:t>
      </w:r>
    </w:p>
    <w:p>
      <w:pPr>
        <w:pStyle w:val="98"/>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3.我们已详细审核全部招标文件及其有效补充文件，我们知道必须放弃提出含糊不清或误解问题的权利。</w:t>
      </w:r>
    </w:p>
    <w:p>
      <w:pPr>
        <w:pStyle w:val="98"/>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4.我们同意从规定的开标日期起遵循本投标文件，并在规定的投标有效期期满之前均具有约束力。</w:t>
      </w:r>
    </w:p>
    <w:p>
      <w:pPr>
        <w:pStyle w:val="98"/>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5.如果在开标后规定的投标有效期内撤回投标或中标后拒绝签订合同，</w:t>
      </w:r>
      <w:r>
        <w:rPr>
          <w:rFonts w:hint="eastAsia" w:ascii="宋体" w:hAnsi="宋体" w:cs="宋体"/>
          <w:color w:val="000000" w:themeColor="text1"/>
          <w14:textFill>
            <w14:solidFill>
              <w14:schemeClr w14:val="tx1"/>
            </w14:solidFill>
          </w14:textFill>
        </w:rPr>
        <w:t>则按照国家相关法律法规受到相应处罚</w:t>
      </w:r>
      <w:r>
        <w:rPr>
          <w:rFonts w:hint="eastAsia" w:ascii="宋体" w:hAnsi="宋体" w:cs="宋体"/>
          <w:color w:val="000000" w:themeColor="text1"/>
          <w:kern w:val="2"/>
          <w14:textFill>
            <w14:solidFill>
              <w14:schemeClr w14:val="tx1"/>
            </w14:solidFill>
          </w14:textFill>
        </w:rPr>
        <w:t>。</w:t>
      </w:r>
    </w:p>
    <w:p>
      <w:pPr>
        <w:pStyle w:val="98"/>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6.同意向贵方提供贵方可能另外要求的与投标有关的任何证据或资料，并保证我方已提供和将要提供的文件是真实的、准确的。</w:t>
      </w:r>
    </w:p>
    <w:p>
      <w:pPr>
        <w:pStyle w:val="98"/>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7.一旦我方中标,我方将根据招标文件的规定，严格履行合同的责任和义务,并保证在招标文件规定的时间完成项目，交付买方验收、使用。</w:t>
      </w:r>
    </w:p>
    <w:p>
      <w:pPr>
        <w:pStyle w:val="98"/>
        <w:spacing w:before="0" w:after="0" w:line="420" w:lineRule="exact"/>
        <w:ind w:left="425"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8.与本投标有关的正式通讯地址为：</w:t>
      </w:r>
    </w:p>
    <w:p>
      <w:pPr>
        <w:pStyle w:val="98"/>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地          址：</w:t>
      </w:r>
    </w:p>
    <w:p>
      <w:pPr>
        <w:pStyle w:val="98"/>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邮          编：</w:t>
      </w:r>
    </w:p>
    <w:p>
      <w:pPr>
        <w:pStyle w:val="98"/>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电          话：</w:t>
      </w:r>
    </w:p>
    <w:p>
      <w:pPr>
        <w:pStyle w:val="98"/>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传          真：</w:t>
      </w:r>
    </w:p>
    <w:p>
      <w:pPr>
        <w:pStyle w:val="98"/>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投标人开户行：</w:t>
      </w:r>
    </w:p>
    <w:p>
      <w:pPr>
        <w:pStyle w:val="98"/>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账          户： </w:t>
      </w:r>
    </w:p>
    <w:p>
      <w:pPr>
        <w:pStyle w:val="98"/>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投标人授权代表姓名（签字）： </w:t>
      </w:r>
    </w:p>
    <w:p>
      <w:pPr>
        <w:pStyle w:val="98"/>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投标人名称（公章）： </w:t>
      </w:r>
    </w:p>
    <w:p>
      <w:pPr>
        <w:pStyle w:val="98"/>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日           期：________年____月____日</w:t>
      </w:r>
    </w:p>
    <w:p>
      <w:pPr>
        <w:snapToGrid w:val="0"/>
        <w:spacing w:before="50" w:after="146" w:afterLines="50"/>
        <w:jc w:val="left"/>
        <w:rPr>
          <w:rFonts w:ascii="宋体" w:hAnsi="宋体" w:cs="宋体"/>
          <w:color w:val="000000" w:themeColor="text1"/>
          <w:sz w:val="24"/>
          <w:szCs w:val="24"/>
          <w14:textFill>
            <w14:solidFill>
              <w14:schemeClr w14:val="tx1"/>
            </w14:solidFill>
          </w14:textFill>
        </w:rPr>
      </w:pPr>
    </w:p>
    <w:p>
      <w:pPr>
        <w:jc w:val="center"/>
        <w:rPr>
          <w:rFonts w:ascii="宋体" w:hAnsi="宋体" w:cs="宋体"/>
          <w:b/>
          <w:color w:val="000000" w:themeColor="text1"/>
          <w:sz w:val="32"/>
          <w:szCs w:val="32"/>
          <w14:textFill>
            <w14:solidFill>
              <w14:schemeClr w14:val="tx1"/>
            </w14:solidFill>
          </w14:textFill>
        </w:rPr>
      </w:pPr>
    </w:p>
    <w:p>
      <w:pPr>
        <w:jc w:val="center"/>
        <w:rPr>
          <w:rFonts w:ascii="宋体" w:hAnsi="宋体" w:cs="宋体"/>
          <w:b/>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numPr>
          <w:ilvl w:val="0"/>
          <w:numId w:val="7"/>
        </w:num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44" w:name="_Toc8939"/>
      <w:r>
        <w:rPr>
          <w:rFonts w:hint="eastAsia" w:ascii="宋体" w:hAnsi="宋体" w:cs="宋体"/>
          <w:color w:val="000000" w:themeColor="text1"/>
          <w:sz w:val="32"/>
          <w:szCs w:val="32"/>
          <w14:textFill>
            <w14:solidFill>
              <w14:schemeClr w14:val="tx1"/>
            </w14:solidFill>
          </w14:textFill>
        </w:rPr>
        <w:t>开标一览表（格式）</w:t>
      </w:r>
      <w:bookmarkEnd w:id="244"/>
    </w:p>
    <w:p>
      <w:pPr>
        <w:pStyle w:val="3"/>
        <w:jc w:val="both"/>
        <w:rPr>
          <w:rFonts w:ascii="宋体" w:hAnsi="宋体" w:eastAsia="宋体" w:cs="宋体"/>
          <w:color w:val="000000" w:themeColor="text1"/>
          <w14:textFill>
            <w14:solidFill>
              <w14:schemeClr w14:val="tx1"/>
            </w14:solidFill>
          </w14:textFill>
        </w:rPr>
      </w:pPr>
    </w:p>
    <w:tbl>
      <w:tblPr>
        <w:tblStyle w:val="45"/>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116"/>
              <w:jc w:val="both"/>
              <w:rPr>
                <w:rStyle w:val="115"/>
                <w:rFonts w:ascii="宋体" w:hAnsi="宋体" w:eastAsia="宋体" w:cs="宋体"/>
                <w:color w:val="000000" w:themeColor="text1"/>
                <w:sz w:val="24"/>
                <w:szCs w:val="24"/>
                <w:u w:val="singl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116"/>
              <w:jc w:val="both"/>
              <w:rPr>
                <w:rStyle w:val="115"/>
                <w:rFonts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b/>
                <w:bCs/>
                <w:color w:val="000000" w:themeColor="text1"/>
                <w:sz w:val="24"/>
                <w:szCs w:val="24"/>
                <w14:textFill>
                  <w14:solidFill>
                    <w14:schemeClr w14:val="tx1"/>
                  </w14:solidFill>
                </w14:textFill>
              </w:rPr>
              <w:t>项目投标报价：（大写）</w:t>
            </w:r>
            <w:r>
              <w:rPr>
                <w:rStyle w:val="115"/>
                <w:rFonts w:hint="eastAsia" w:ascii="宋体" w:hAnsi="宋体" w:cs="宋体"/>
                <w:color w:val="000000" w:themeColor="text1"/>
                <w:sz w:val="24"/>
                <w:szCs w:val="24"/>
                <w14:textFill>
                  <w14:solidFill>
                    <w14:schemeClr w14:val="tx1"/>
                  </w14:solidFill>
                </w14:textFill>
              </w:rPr>
              <w:t>_____</w:t>
            </w:r>
            <w:r>
              <w:rPr>
                <w:rStyle w:val="115"/>
                <w:rFonts w:hint="eastAsia" w:ascii="宋体" w:hAnsi="宋体" w:cs="宋体"/>
                <w:b/>
                <w:bCs/>
                <w:color w:val="000000" w:themeColor="text1"/>
                <w:sz w:val="24"/>
                <w:szCs w:val="24"/>
                <w14:textFill>
                  <w14:solidFill>
                    <w14:schemeClr w14:val="tx1"/>
                  </w14:solidFill>
                </w14:textFill>
              </w:rPr>
              <w:t>元，小写：_____元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5"/>
                <w:rFonts w:ascii="宋体" w:hAnsi="宋体" w:cs="宋体"/>
                <w:b/>
                <w:bCs/>
                <w:color w:val="000000" w:themeColor="text1"/>
                <w:sz w:val="24"/>
                <w:szCs w:val="24"/>
                <w14:textFill>
                  <w14:solidFill>
                    <w14:schemeClr w14:val="tx1"/>
                  </w14:solidFill>
                </w14:textFill>
              </w:rPr>
            </w:pPr>
            <w:r>
              <w:rPr>
                <w:rStyle w:val="115"/>
                <w:rFonts w:hint="eastAsia" w:ascii="宋体" w:hAnsi="宋体" w:cs="宋体"/>
                <w:b/>
                <w:bCs/>
                <w:color w:val="000000" w:themeColor="text1"/>
                <w:sz w:val="24"/>
                <w:szCs w:val="24"/>
                <w14:textFill>
                  <w14:solidFill>
                    <w14:schemeClr w14:val="tx1"/>
                  </w14:solidFill>
                </w14:textFill>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5"/>
                <w:rFonts w:ascii="宋体" w:hAnsi="宋体" w:cs="宋体"/>
                <w:b/>
                <w:bCs/>
                <w:color w:val="000000" w:themeColor="text1"/>
                <w:sz w:val="24"/>
                <w:szCs w:val="24"/>
                <w14:textFill>
                  <w14:solidFill>
                    <w14:schemeClr w14:val="tx1"/>
                  </w14:solidFill>
                </w14:textFill>
              </w:rPr>
            </w:pPr>
            <w:r>
              <w:rPr>
                <w:rStyle w:val="115"/>
                <w:rFonts w:hint="eastAsia" w:ascii="宋体" w:hAnsi="宋体" w:cs="宋体"/>
                <w:b/>
                <w:bCs/>
                <w:color w:val="000000" w:themeColor="text1"/>
                <w:sz w:val="24"/>
                <w:szCs w:val="24"/>
                <w14:textFill>
                  <w14:solidFill>
                    <w14:schemeClr w14:val="tx1"/>
                  </w14:solidFill>
                </w14:textFill>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5"/>
                <w:rFonts w:ascii="宋体" w:hAnsi="宋体" w:cs="宋体"/>
                <w:b/>
                <w:bCs/>
                <w:color w:val="000000" w:themeColor="text1"/>
                <w:szCs w:val="28"/>
                <w14:textFill>
                  <w14:solidFill>
                    <w14:schemeClr w14:val="tx1"/>
                  </w14:solidFill>
                </w14:textFill>
              </w:rPr>
            </w:pPr>
            <w:r>
              <w:rPr>
                <w:rStyle w:val="115"/>
                <w:rFonts w:hint="eastAsia" w:ascii="宋体" w:hAnsi="宋体" w:cs="宋体"/>
                <w:b/>
                <w:bCs/>
                <w:color w:val="000000" w:themeColor="text1"/>
                <w:szCs w:val="28"/>
                <w14:textFill>
                  <w14:solidFill>
                    <w14:schemeClr w14:val="tx1"/>
                  </w14:solidFill>
                </w14:textFill>
              </w:rPr>
              <w:t>是否提供《中小企业声明函》：是 / 否   ，见（       ）页。</w:t>
            </w:r>
          </w:p>
        </w:tc>
      </w:tr>
    </w:tbl>
    <w:p>
      <w:pPr>
        <w:spacing w:line="180" w:lineRule="atLeast"/>
        <w:rPr>
          <w:rFonts w:ascii="宋体" w:hAnsi="宋体" w:cs="宋体"/>
          <w:color w:val="000000" w:themeColor="text1"/>
          <w:szCs w:val="28"/>
          <w14:textFill>
            <w14:solidFill>
              <w14:schemeClr w14:val="tx1"/>
            </w14:solidFill>
          </w14:textFill>
        </w:rPr>
      </w:pPr>
    </w:p>
    <w:p>
      <w:pPr>
        <w:spacing w:line="180" w:lineRule="atLeast"/>
        <w:rPr>
          <w:rFonts w:ascii="宋体" w:hAns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t>填写说明：</w:t>
      </w:r>
    </w:p>
    <w:p>
      <w:pPr>
        <w:numPr>
          <w:ilvl w:val="0"/>
          <w:numId w:val="8"/>
        </w:num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开标一览表不得填报选择性报价，否则将作为无效投标；</w:t>
      </w:r>
    </w:p>
    <w:p>
      <w:pPr>
        <w:numPr>
          <w:ilvl w:val="0"/>
          <w:numId w:val="8"/>
        </w:num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开标一览表中报价与投标分项明细报价表中不符时时，以开标一览表为准；</w:t>
      </w:r>
    </w:p>
    <w:p>
      <w:pPr>
        <w:ind w:firstLine="2640" w:firstLineChars="600"/>
        <w:rPr>
          <w:rFonts w:ascii="宋体" w:hAnsi="宋体" w:cs="宋体"/>
          <w:color w:val="000000" w:themeColor="text1"/>
          <w:sz w:val="44"/>
          <w14:textFill>
            <w14:solidFill>
              <w14:schemeClr w14:val="tx1"/>
            </w14:solidFill>
          </w14:textFill>
        </w:rPr>
      </w:pPr>
    </w:p>
    <w:p>
      <w:pPr>
        <w:ind w:firstLine="480"/>
        <w:rPr>
          <w:rFonts w:ascii="宋体" w:hAnsi="宋体" w:cs="宋体"/>
          <w:color w:val="000000" w:themeColor="text1"/>
          <w:sz w:val="24"/>
          <w14:textFill>
            <w14:solidFill>
              <w14:schemeClr w14:val="tx1"/>
            </w14:solidFill>
          </w14:textFill>
        </w:rPr>
      </w:pPr>
    </w:p>
    <w:p>
      <w:pPr>
        <w:ind w:firstLine="480"/>
        <w:rPr>
          <w:rFonts w:ascii="宋体" w:hAnsi="宋体" w:cs="宋体"/>
          <w:color w:val="000000" w:themeColor="text1"/>
          <w:sz w:val="24"/>
          <w14:textFill>
            <w14:solidFill>
              <w14:schemeClr w14:val="tx1"/>
            </w14:solidFill>
          </w14:textFill>
        </w:rPr>
      </w:pPr>
    </w:p>
    <w:p>
      <w:pPr>
        <w:ind w:firstLine="480"/>
        <w:jc w:val="center"/>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供应商名称（公章）：</w:t>
      </w:r>
    </w:p>
    <w:p>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  年月日</w:t>
      </w:r>
    </w:p>
    <w:p>
      <w:pPr>
        <w:snapToGrid w:val="0"/>
        <w:spacing w:before="50" w:after="50"/>
        <w:rPr>
          <w:rFonts w:ascii="宋体" w:hAnsi="宋体" w:cs="宋体"/>
          <w:color w:val="000000" w:themeColor="text1"/>
          <w:sz w:val="32"/>
          <w:szCs w:val="32"/>
          <w14:textFill>
            <w14:solidFill>
              <w14:schemeClr w14:val="tx1"/>
            </w14:solidFill>
          </w14:textFill>
        </w:rPr>
      </w:pPr>
    </w:p>
    <w:p>
      <w:pPr>
        <w:rPr>
          <w:rFonts w:ascii="宋体" w:hAnsi="宋体" w:cs="宋体"/>
          <w:color w:val="000000" w:themeColor="text1"/>
          <w:sz w:val="32"/>
          <w:szCs w:val="32"/>
          <w14:textFill>
            <w14:solidFill>
              <w14:schemeClr w14:val="tx1"/>
            </w14:solidFill>
          </w14:textFill>
        </w:rPr>
      </w:pPr>
    </w:p>
    <w:p>
      <w:pPr>
        <w:pStyle w:val="4"/>
        <w:pageBreakBefore/>
        <w:rPr>
          <w:rFonts w:ascii="宋体" w:hAnsi="宋体" w:eastAsia="宋体" w:cs="宋体"/>
          <w:bCs w:val="0"/>
          <w:color w:val="000000" w:themeColor="text1"/>
          <w:sz w:val="32"/>
          <w:szCs w:val="32"/>
          <w14:textFill>
            <w14:solidFill>
              <w14:schemeClr w14:val="tx1"/>
            </w14:solidFill>
          </w14:textFill>
        </w:rPr>
      </w:pPr>
      <w:r>
        <w:rPr>
          <w:rFonts w:ascii="宋体" w:hAnsi="宋体" w:eastAsia="宋体" w:cs="宋体"/>
          <w:bCs w:val="0"/>
          <w:color w:val="000000" w:themeColor="text1"/>
          <w:sz w:val="32"/>
          <w:szCs w:val="32"/>
          <w14:textFill>
            <w14:solidFill>
              <w14:schemeClr w14:val="tx1"/>
            </w14:solidFill>
          </w14:textFill>
        </w:rPr>
        <w:t>中小企业声明</w:t>
      </w:r>
    </w:p>
    <w:p>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附件：1、中小企业声明函（货物）</w:t>
      </w:r>
    </w:p>
    <w:p>
      <w:pPr>
        <w:spacing w:line="360" w:lineRule="auto"/>
        <w:ind w:firstLine="420" w:firstLineChars="200"/>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附件：2、《残疾人福利性单位声明函》（格式）</w:t>
      </w:r>
    </w:p>
    <w:p>
      <w:pPr>
        <w:pStyle w:val="4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r>
        <w:rPr>
          <w:rFonts w:hint="eastAsia"/>
          <w:b/>
          <w:color w:val="000000" w:themeColor="text1"/>
          <w:shd w:val="clear" w:color="auto" w:fill="FFFFFF"/>
          <w14:textFill>
            <w14:solidFill>
              <w14:schemeClr w14:val="tx1"/>
            </w14:solidFill>
          </w14:textFill>
        </w:rPr>
        <w:t>附件1：</w:t>
      </w:r>
      <w:r>
        <w:rPr>
          <w:rFonts w:hint="eastAsia"/>
          <w:b/>
          <w:bCs/>
          <w:color w:val="000000" w:themeColor="text1"/>
          <w14:textFill>
            <w14:solidFill>
              <w14:schemeClr w14:val="tx1"/>
            </w14:solidFill>
          </w14:textFill>
        </w:rPr>
        <w:t>中小企业声明函（货物）</w:t>
      </w:r>
    </w:p>
    <w:p>
      <w:pPr>
        <w:pStyle w:val="40"/>
        <w:shd w:val="clear" w:color="auto" w:fill="FFFFFF"/>
        <w:spacing w:before="0" w:beforeAutospacing="0" w:after="0" w:afterAutospacing="0" w:line="560" w:lineRule="atLeast"/>
        <w:jc w:val="center"/>
        <w:rPr>
          <w:color w:val="000000" w:themeColor="text1"/>
          <w:sz w:val="21"/>
          <w:szCs w:val="21"/>
          <w14:textFill>
            <w14:solidFill>
              <w14:schemeClr w14:val="tx1"/>
            </w14:solidFill>
          </w14:textFill>
        </w:rPr>
      </w:pPr>
      <w:r>
        <w:rPr>
          <w:rFonts w:hint="eastAsia"/>
          <w:b/>
          <w:color w:val="000000" w:themeColor="text1"/>
          <w:shd w:val="clear" w:color="auto" w:fill="FFFFFF"/>
          <w14:textFill>
            <w14:solidFill>
              <w14:schemeClr w14:val="tx1"/>
            </w14:solidFill>
          </w14:textFill>
        </w:rPr>
        <w:t>中小企业声明函（货物）</w:t>
      </w:r>
    </w:p>
    <w:p>
      <w:pPr>
        <w:pStyle w:val="40"/>
        <w:shd w:val="clear" w:color="auto" w:fill="FFFFFF"/>
        <w:spacing w:before="0" w:beforeAutospacing="0" w:after="0" w:afterAutospacing="0" w:line="560" w:lineRule="atLeast"/>
        <w:jc w:val="center"/>
        <w:rPr>
          <w:color w:val="000000" w:themeColor="text1"/>
          <w:sz w:val="21"/>
          <w:szCs w:val="21"/>
          <w14:textFill>
            <w14:solidFill>
              <w14:schemeClr w14:val="tx1"/>
            </w14:solidFill>
          </w14:textFill>
        </w:rPr>
      </w:pPr>
    </w:p>
    <w:p>
      <w:pPr>
        <w:pStyle w:val="40"/>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本公司（联合体）郑重声明，根据《政府采购促进中小企业发展管理办法》（财库﹝2020﹞46 号）的规定，本公司（联合体）参加</w:t>
      </w:r>
      <w:r>
        <w:rPr>
          <w:rFonts w:hint="eastAsia"/>
          <w:color w:val="000000" w:themeColor="text1"/>
          <w:u w:val="single"/>
          <w:shd w:val="clear" w:color="auto" w:fill="FFFFFF"/>
          <w14:textFill>
            <w14:solidFill>
              <w14:schemeClr w14:val="tx1"/>
            </w14:solidFill>
          </w14:textFill>
        </w:rPr>
        <w:t>（单位名称）</w:t>
      </w:r>
      <w:r>
        <w:rPr>
          <w:rFonts w:hint="eastAsia"/>
          <w:color w:val="000000" w:themeColor="text1"/>
          <w:shd w:val="clear" w:color="auto" w:fill="FFFFFF"/>
          <w14:textFill>
            <w14:solidFill>
              <w14:schemeClr w14:val="tx1"/>
            </w14:solidFill>
          </w14:textFill>
        </w:rPr>
        <w:t>的</w:t>
      </w:r>
      <w:r>
        <w:rPr>
          <w:rFonts w:hint="eastAsia"/>
          <w:color w:val="000000" w:themeColor="text1"/>
          <w:u w:val="single"/>
          <w:shd w:val="clear" w:color="auto" w:fill="FFFFFF"/>
          <w14:textFill>
            <w14:solidFill>
              <w14:schemeClr w14:val="tx1"/>
            </w14:solidFill>
          </w14:textFill>
        </w:rPr>
        <w:t>（项目名称）</w:t>
      </w:r>
      <w:r>
        <w:rPr>
          <w:rFonts w:hint="eastAsia"/>
          <w:color w:val="000000" w:themeColor="text1"/>
          <w:shd w:val="clear" w:color="auto" w:fill="FFFFFF"/>
          <w14:textFill>
            <w14:solidFill>
              <w14:schemeClr w14:val="tx1"/>
            </w14:solidFill>
          </w14:textFill>
        </w:rPr>
        <w:t>采购活动，提供的货物全部由符合政策要求的中小企业制造。相关企业（含联合体中的中小企业、签订分包意向协议的中小企业）的具体情况如下：</w:t>
      </w:r>
    </w:p>
    <w:p>
      <w:pPr>
        <w:pStyle w:val="40"/>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1.</w:t>
      </w:r>
      <w:r>
        <w:rPr>
          <w:rFonts w:hint="eastAsia"/>
          <w:color w:val="000000" w:themeColor="text1"/>
          <w:u w:val="single"/>
          <w:shd w:val="clear" w:color="auto" w:fill="FFFFFF"/>
          <w14:textFill>
            <w14:solidFill>
              <w14:schemeClr w14:val="tx1"/>
            </w14:solidFill>
          </w14:textFill>
        </w:rPr>
        <w:t xml:space="preserve">（标的名称） </w:t>
      </w:r>
      <w:r>
        <w:rPr>
          <w:rFonts w:hint="eastAsia"/>
          <w:color w:val="000000" w:themeColor="text1"/>
          <w:shd w:val="clear" w:color="auto" w:fill="FFFFFF"/>
          <w14:textFill>
            <w14:solidFill>
              <w14:schemeClr w14:val="tx1"/>
            </w14:solidFill>
          </w14:textFill>
        </w:rPr>
        <w:t>，属于</w:t>
      </w:r>
      <w:r>
        <w:rPr>
          <w:rFonts w:hint="eastAsia"/>
          <w:color w:val="000000" w:themeColor="text1"/>
          <w:u w:val="single"/>
          <w:shd w:val="clear" w:color="auto" w:fill="FFFFFF"/>
          <w14:textFill>
            <w14:solidFill>
              <w14:schemeClr w14:val="tx1"/>
            </w14:solidFill>
          </w14:textFill>
        </w:rPr>
        <w:t>（采购文件中明确的所属行业）</w:t>
      </w:r>
      <w:r>
        <w:rPr>
          <w:rFonts w:hint="eastAsia"/>
          <w:color w:val="000000" w:themeColor="text1"/>
          <w:shd w:val="clear" w:color="auto" w:fill="FFFFFF"/>
          <w14:textFill>
            <w14:solidFill>
              <w14:schemeClr w14:val="tx1"/>
            </w14:solidFill>
          </w14:textFill>
        </w:rPr>
        <w:t>行业；制造商为</w:t>
      </w:r>
      <w:r>
        <w:rPr>
          <w:rFonts w:hint="eastAsia"/>
          <w:color w:val="000000" w:themeColor="text1"/>
          <w:u w:val="single"/>
          <w:shd w:val="clear" w:color="auto" w:fill="FFFFFF"/>
          <w14:textFill>
            <w14:solidFill>
              <w14:schemeClr w14:val="tx1"/>
            </w14:solidFill>
          </w14:textFill>
        </w:rPr>
        <w:t>（企业名称）</w:t>
      </w:r>
      <w:r>
        <w:rPr>
          <w:rFonts w:hint="eastAsia"/>
          <w:color w:val="000000" w:themeColor="text1"/>
          <w:shd w:val="clear" w:color="auto" w:fill="FFFFFF"/>
          <w14:textFill>
            <w14:solidFill>
              <w14:schemeClr w14:val="tx1"/>
            </w14:solidFill>
          </w14:textFill>
        </w:rPr>
        <w:t>，从业人员人，营业收入为万元，资产总额为万元，属于</w:t>
      </w:r>
      <w:r>
        <w:rPr>
          <w:rFonts w:hint="eastAsia"/>
          <w:color w:val="000000" w:themeColor="text1"/>
          <w:u w:val="single"/>
          <w:shd w:val="clear" w:color="auto" w:fill="FFFFFF"/>
          <w14:textFill>
            <w14:solidFill>
              <w14:schemeClr w14:val="tx1"/>
            </w14:solidFill>
          </w14:textFill>
        </w:rPr>
        <w:t>（中型企业、小型企业、微型企业）</w:t>
      </w:r>
      <w:r>
        <w:rPr>
          <w:rFonts w:hint="eastAsia"/>
          <w:color w:val="000000" w:themeColor="text1"/>
          <w:shd w:val="clear" w:color="auto" w:fill="FFFFFF"/>
          <w14:textFill>
            <w14:solidFill>
              <w14:schemeClr w14:val="tx1"/>
            </w14:solidFill>
          </w14:textFill>
        </w:rPr>
        <w:t>；</w:t>
      </w:r>
    </w:p>
    <w:p>
      <w:pPr>
        <w:pStyle w:val="40"/>
        <w:shd w:val="clear" w:color="auto" w:fill="FFFFFF"/>
        <w:adjustRightInd w:val="0"/>
        <w:snapToGrid w:val="0"/>
        <w:spacing w:before="0" w:beforeAutospacing="0" w:after="0" w:afterAutospacing="0" w:line="360" w:lineRule="auto"/>
        <w:ind w:firstLine="840"/>
        <w:rPr>
          <w:color w:val="000000" w:themeColor="text1"/>
          <w14:textFill>
            <w14:solidFill>
              <w14:schemeClr w14:val="tx1"/>
            </w14:solidFill>
          </w14:textFill>
        </w:rPr>
      </w:pPr>
      <w:r>
        <w:rPr>
          <w:rFonts w:hint="eastAsia"/>
          <w:color w:val="000000" w:themeColor="text1"/>
          <w:u w:val="single"/>
          <w:shd w:val="clear" w:color="auto" w:fill="FFFFFF"/>
          <w14:textFill>
            <w14:solidFill>
              <w14:schemeClr w14:val="tx1"/>
            </w14:solidFill>
          </w14:textFill>
        </w:rPr>
        <w:t xml:space="preserve">（标的名称） </w:t>
      </w:r>
      <w:r>
        <w:rPr>
          <w:rFonts w:hint="eastAsia"/>
          <w:color w:val="000000" w:themeColor="text1"/>
          <w:shd w:val="clear" w:color="auto" w:fill="FFFFFF"/>
          <w14:textFill>
            <w14:solidFill>
              <w14:schemeClr w14:val="tx1"/>
            </w14:solidFill>
          </w14:textFill>
        </w:rPr>
        <w:t>，属于</w:t>
      </w:r>
      <w:r>
        <w:rPr>
          <w:rFonts w:hint="eastAsia"/>
          <w:color w:val="000000" w:themeColor="text1"/>
          <w:u w:val="single"/>
          <w:shd w:val="clear" w:color="auto" w:fill="FFFFFF"/>
          <w14:textFill>
            <w14:solidFill>
              <w14:schemeClr w14:val="tx1"/>
            </w14:solidFill>
          </w14:textFill>
        </w:rPr>
        <w:t>（采购文件中明确的所属行业）</w:t>
      </w:r>
      <w:r>
        <w:rPr>
          <w:rFonts w:hint="eastAsia"/>
          <w:color w:val="000000" w:themeColor="text1"/>
          <w:shd w:val="clear" w:color="auto" w:fill="FFFFFF"/>
          <w14:textFill>
            <w14:solidFill>
              <w14:schemeClr w14:val="tx1"/>
            </w14:solidFill>
          </w14:textFill>
        </w:rPr>
        <w:t>行业；制造商为</w:t>
      </w:r>
      <w:r>
        <w:rPr>
          <w:rFonts w:hint="eastAsia"/>
          <w:color w:val="000000" w:themeColor="text1"/>
          <w:u w:val="single"/>
          <w:shd w:val="clear" w:color="auto" w:fill="FFFFFF"/>
          <w14:textFill>
            <w14:solidFill>
              <w14:schemeClr w14:val="tx1"/>
            </w14:solidFill>
          </w14:textFill>
        </w:rPr>
        <w:t>（企业名称）</w:t>
      </w:r>
      <w:r>
        <w:rPr>
          <w:rFonts w:hint="eastAsia"/>
          <w:color w:val="000000" w:themeColor="text1"/>
          <w:shd w:val="clear" w:color="auto" w:fill="FFFFFF"/>
          <w14:textFill>
            <w14:solidFill>
              <w14:schemeClr w14:val="tx1"/>
            </w14:solidFill>
          </w14:textFill>
        </w:rPr>
        <w:t>，从业人员人，营业收入为万元，资产总额为万元，属于</w:t>
      </w:r>
      <w:r>
        <w:rPr>
          <w:rFonts w:hint="eastAsia"/>
          <w:color w:val="000000" w:themeColor="text1"/>
          <w:u w:val="single"/>
          <w:shd w:val="clear" w:color="auto" w:fill="FFFFFF"/>
          <w14:textFill>
            <w14:solidFill>
              <w14:schemeClr w14:val="tx1"/>
            </w14:solidFill>
          </w14:textFill>
        </w:rPr>
        <w:t>（中型企业、小型企业、微型企业）</w:t>
      </w:r>
      <w:r>
        <w:rPr>
          <w:rFonts w:hint="eastAsia"/>
          <w:color w:val="000000" w:themeColor="text1"/>
          <w:shd w:val="clear" w:color="auto" w:fill="FFFFFF"/>
          <w14:textFill>
            <w14:solidFill>
              <w14:schemeClr w14:val="tx1"/>
            </w14:solidFill>
          </w14:textFill>
        </w:rPr>
        <w:t>；</w:t>
      </w:r>
    </w:p>
    <w:p>
      <w:pPr>
        <w:pStyle w:val="40"/>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w:t>
      </w:r>
    </w:p>
    <w:p>
      <w:pPr>
        <w:pStyle w:val="40"/>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以上企业，不属于大企业的分支机构，不存在控股股东为大企业的情形，也不存在与大企业的负责人为同一人的情形。</w:t>
      </w:r>
    </w:p>
    <w:p>
      <w:pPr>
        <w:pStyle w:val="40"/>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本企业对上述声明内容的真实性负责。如有虚假，将依法承担相应责任。</w:t>
      </w:r>
    </w:p>
    <w:p>
      <w:pPr>
        <w:pStyle w:val="40"/>
        <w:shd w:val="clear" w:color="auto" w:fill="FFFFFF"/>
        <w:adjustRightInd w:val="0"/>
        <w:snapToGrid w:val="0"/>
        <w:spacing w:before="0" w:beforeAutospacing="0" w:after="0" w:afterAutospacing="0" w:line="360" w:lineRule="auto"/>
        <w:ind w:firstLine="40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企业名称（盖章）：</w:t>
      </w:r>
    </w:p>
    <w:p>
      <w:pPr>
        <w:pStyle w:val="40"/>
        <w:shd w:val="clear" w:color="auto" w:fill="FFFFFF"/>
        <w:adjustRightInd w:val="0"/>
        <w:snapToGrid w:val="0"/>
        <w:spacing w:before="0" w:beforeAutospacing="0" w:after="0" w:afterAutospacing="0" w:line="360" w:lineRule="auto"/>
        <w:ind w:firstLine="40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日期：</w:t>
      </w:r>
    </w:p>
    <w:p>
      <w:pPr>
        <w:pStyle w:val="40"/>
        <w:shd w:val="clear" w:color="auto" w:fill="FFFFFF"/>
        <w:adjustRightInd w:val="0"/>
        <w:snapToGrid w:val="0"/>
        <w:spacing w:before="0" w:beforeAutospacing="0" w:after="0" w:afterAutospacing="0" w:line="360" w:lineRule="auto"/>
        <w:rPr>
          <w:color w:val="000000" w:themeColor="text1"/>
          <w14:textFill>
            <w14:solidFill>
              <w14:schemeClr w14:val="tx1"/>
            </w14:solidFill>
          </w14:textFill>
        </w:rPr>
      </w:pPr>
      <w:r>
        <w:rPr>
          <w:rFonts w:hint="eastAsia"/>
          <w:b/>
          <w:color w:val="000000" w:themeColor="text1"/>
          <w:shd w:val="clear" w:color="auto" w:fill="FFFFFF"/>
          <w14:textFill>
            <w14:solidFill>
              <w14:schemeClr w14:val="tx1"/>
            </w14:solidFill>
          </w14:textFill>
        </w:rPr>
        <w:t>从业人员、营业收入、资产总额填报上一年度数据，无上一年度数据的新成立企业可不填报。</w:t>
      </w:r>
    </w:p>
    <w:p>
      <w:pPr>
        <w:pStyle w:val="40"/>
        <w:shd w:val="clear" w:color="auto" w:fill="FFFFFF"/>
        <w:spacing w:before="0" w:beforeAutospacing="0" w:after="0" w:afterAutospacing="0" w:line="560" w:lineRule="atLeast"/>
        <w:jc w:val="center"/>
        <w:rPr>
          <w:color w:val="000000" w:themeColor="text1"/>
          <w:sz w:val="21"/>
          <w:szCs w:val="21"/>
          <w14:textFill>
            <w14:solidFill>
              <w14:schemeClr w14:val="tx1"/>
            </w14:solidFill>
          </w14:textFill>
        </w:rPr>
      </w:pPr>
    </w:p>
    <w:p>
      <w:pPr>
        <w:pStyle w:val="40"/>
        <w:shd w:val="clear" w:color="auto" w:fill="FFFFFF"/>
        <w:spacing w:before="0" w:beforeAutospacing="0" w:after="0" w:afterAutospacing="0" w:line="560" w:lineRule="atLeast"/>
        <w:jc w:val="center"/>
        <w:rPr>
          <w:color w:val="000000" w:themeColor="text1"/>
          <w:sz w:val="21"/>
          <w:szCs w:val="21"/>
          <w14:textFill>
            <w14:solidFill>
              <w14:schemeClr w14:val="tx1"/>
            </w14:solidFill>
          </w14:textFill>
        </w:rPr>
      </w:pPr>
    </w:p>
    <w:p>
      <w:pPr>
        <w:pStyle w:val="40"/>
        <w:shd w:val="clear" w:color="auto" w:fill="FFFFFF"/>
        <w:spacing w:before="0" w:beforeAutospacing="0" w:after="0" w:afterAutospacing="0" w:line="560" w:lineRule="atLeast"/>
        <w:jc w:val="center"/>
        <w:rPr>
          <w:color w:val="000000" w:themeColor="text1"/>
          <w:sz w:val="21"/>
          <w:szCs w:val="21"/>
          <w14:textFill>
            <w14:solidFill>
              <w14:schemeClr w14:val="tx1"/>
            </w14:solidFill>
          </w14:textFill>
        </w:rPr>
      </w:pPr>
    </w:p>
    <w:p>
      <w:pPr>
        <w:pStyle w:val="40"/>
        <w:shd w:val="clear" w:color="auto" w:fill="FFFFFF"/>
        <w:spacing w:before="0" w:beforeAutospacing="0" w:after="0" w:afterAutospacing="0" w:line="560" w:lineRule="atLeast"/>
        <w:jc w:val="center"/>
        <w:rPr>
          <w:color w:val="000000" w:themeColor="text1"/>
          <w:sz w:val="21"/>
          <w:szCs w:val="21"/>
          <w14:textFill>
            <w14:solidFill>
              <w14:schemeClr w14:val="tx1"/>
            </w14:solidFill>
          </w14:textFill>
        </w:rPr>
      </w:pPr>
    </w:p>
    <w:p>
      <w:pPr>
        <w:pStyle w:val="40"/>
        <w:shd w:val="clear" w:color="auto" w:fill="FFFFFF"/>
        <w:spacing w:before="0" w:beforeAutospacing="0" w:after="0" w:afterAutospacing="0" w:line="560" w:lineRule="atLeast"/>
        <w:jc w:val="center"/>
        <w:rPr>
          <w:color w:val="000000" w:themeColor="text1"/>
          <w:sz w:val="21"/>
          <w:szCs w:val="21"/>
          <w14:textFill>
            <w14:solidFill>
              <w14:schemeClr w14:val="tx1"/>
            </w14:solidFill>
          </w14:textFill>
        </w:rPr>
      </w:pPr>
    </w:p>
    <w:p>
      <w:pPr>
        <w:pStyle w:val="40"/>
        <w:shd w:val="clear" w:color="auto" w:fill="FFFFFF"/>
        <w:spacing w:before="0" w:beforeAutospacing="0" w:after="0" w:afterAutospacing="0" w:line="560" w:lineRule="atLeast"/>
        <w:jc w:val="center"/>
        <w:rPr>
          <w:color w:val="000000" w:themeColor="text1"/>
          <w:sz w:val="21"/>
          <w:szCs w:val="21"/>
          <w14:textFill>
            <w14:solidFill>
              <w14:schemeClr w14:val="tx1"/>
            </w14:solidFill>
          </w14:textFill>
        </w:rPr>
      </w:pPr>
    </w:p>
    <w:p>
      <w:pPr>
        <w:spacing w:line="360" w:lineRule="auto"/>
        <w:outlineLvl w:val="0"/>
        <w:rPr>
          <w:rFonts w:ascii="宋体" w:hAnsi="宋体" w:cs="宋体"/>
          <w:b/>
          <w:color w:val="000000" w:themeColor="text1"/>
          <w:sz w:val="24"/>
          <w:szCs w:val="24"/>
          <w14:textFill>
            <w14:solidFill>
              <w14:schemeClr w14:val="tx1"/>
            </w14:solidFill>
          </w14:textFill>
        </w:rPr>
      </w:pPr>
    </w:p>
    <w:p>
      <w:pPr>
        <w:spacing w:line="360" w:lineRule="auto"/>
        <w:outlineLvl w:val="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附件2、残疾人福利性单位声明函</w:t>
      </w: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残疾人福利性单位声明函</w:t>
      </w: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本单位对上述声明的真实性负责。如有虚假，将依法承担相应责任。</w:t>
      </w:r>
    </w:p>
    <w:p>
      <w:pPr>
        <w:spacing w:line="360" w:lineRule="auto"/>
        <w:ind w:firstLine="3960" w:firstLineChars="1650"/>
        <w:rPr>
          <w:rFonts w:ascii="宋体" w:hAnsi="宋体" w:cs="宋体"/>
          <w:color w:val="000000" w:themeColor="text1"/>
          <w:kern w:val="0"/>
          <w:sz w:val="24"/>
          <w:szCs w:val="24"/>
          <w14:textFill>
            <w14:solidFill>
              <w14:schemeClr w14:val="tx1"/>
            </w14:solidFill>
          </w14:textFill>
        </w:rPr>
      </w:pPr>
    </w:p>
    <w:p>
      <w:pPr>
        <w:spacing w:line="360" w:lineRule="auto"/>
        <w:ind w:firstLine="3960" w:firstLineChars="1650"/>
        <w:rPr>
          <w:rStyle w:val="122"/>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残疾人福利性</w:t>
      </w:r>
      <w:r>
        <w:rPr>
          <w:rFonts w:hint="eastAsia" w:ascii="宋体" w:hAnsi="宋体" w:cs="宋体"/>
          <w:color w:val="000000" w:themeColor="text1"/>
          <w:sz w:val="24"/>
          <w:szCs w:val="24"/>
          <w14:textFill>
            <w14:solidFill>
              <w14:schemeClr w14:val="tx1"/>
            </w14:solidFill>
          </w14:textFill>
        </w:rPr>
        <w:t>单位名称（盖章）：</w:t>
      </w:r>
    </w:p>
    <w:p>
      <w:pPr>
        <w:spacing w:line="360" w:lineRule="auto"/>
        <w:ind w:firstLine="3960" w:firstLineChars="16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w:t>
      </w:r>
      <w:r>
        <w:rPr>
          <w:rStyle w:val="122"/>
          <w:rFonts w:hint="eastAsia" w:ascii="宋体" w:hAnsi="宋体" w:cs="宋体"/>
          <w:color w:val="000000" w:themeColor="text1"/>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 期：</w:t>
      </w:r>
    </w:p>
    <w:p>
      <w:pPr>
        <w:rPr>
          <w:color w:val="000000" w:themeColor="text1"/>
          <w14:textFill>
            <w14:solidFill>
              <w14:schemeClr w14:val="tx1"/>
            </w14:solidFill>
          </w14:textFill>
        </w:rPr>
        <w:sectPr>
          <w:pgSz w:w="11906" w:h="16838"/>
          <w:pgMar w:top="1417" w:right="1417" w:bottom="1417" w:left="1417" w:header="851" w:footer="907" w:gutter="0"/>
          <w:cols w:space="0" w:num="1"/>
          <w:docGrid w:type="lines" w:linePitch="292" w:charSpace="0"/>
        </w:sectPr>
      </w:pPr>
    </w:p>
    <w:p>
      <w:pPr>
        <w:snapToGrid w:val="0"/>
        <w:spacing w:before="50" w:after="50"/>
        <w:rPr>
          <w:rFonts w:ascii="宋体" w:hAnsi="宋体"/>
          <w:color w:val="000000" w:themeColor="text1"/>
          <w:sz w:val="32"/>
          <w:szCs w:val="32"/>
          <w14:textFill>
            <w14:solidFill>
              <w14:schemeClr w14:val="tx1"/>
            </w14:solidFill>
          </w14:textFill>
        </w:rPr>
      </w:pPr>
      <w:bookmarkStart w:id="245" w:name="_Toc3073"/>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六、投标产品配置及分项报价表（格式）</w:t>
      </w:r>
      <w:bookmarkEnd w:id="245"/>
    </w:p>
    <w:p>
      <w:pPr>
        <w:snapToGrid w:val="0"/>
        <w:spacing w:before="50" w:after="50"/>
        <w:jc w:val="center"/>
        <w:rPr>
          <w:rFonts w:ascii="宋体" w:hAnsi="宋体" w:cs="宋体"/>
          <w:color w:val="000000" w:themeColor="text1"/>
          <w:sz w:val="32"/>
          <w:szCs w:val="32"/>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45"/>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681"/>
        <w:gridCol w:w="1439"/>
        <w:gridCol w:w="1065"/>
        <w:gridCol w:w="1074"/>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1681"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货物名称</w:t>
            </w:r>
          </w:p>
        </w:tc>
        <w:tc>
          <w:tcPr>
            <w:tcW w:w="143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规格、型号</w:t>
            </w:r>
          </w:p>
        </w:tc>
        <w:tc>
          <w:tcPr>
            <w:tcW w:w="1065"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单位</w:t>
            </w:r>
          </w:p>
        </w:tc>
        <w:tc>
          <w:tcPr>
            <w:tcW w:w="1074"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数量</w:t>
            </w:r>
          </w:p>
        </w:tc>
        <w:tc>
          <w:tcPr>
            <w:tcW w:w="1421"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单价</w:t>
            </w:r>
          </w:p>
        </w:tc>
        <w:tc>
          <w:tcPr>
            <w:tcW w:w="1421"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合计</w:t>
            </w:r>
          </w:p>
        </w:tc>
        <w:tc>
          <w:tcPr>
            <w:tcW w:w="8101" w:type="dxa"/>
            <w:gridSpan w:val="6"/>
            <w:noWrap/>
          </w:tcPr>
          <w:p>
            <w:pPr>
              <w:rPr>
                <w:rFonts w:ascii="宋体" w:hAnsi="宋体" w:cs="宋体"/>
                <w:color w:val="000000" w:themeColor="text1"/>
                <w:sz w:val="24"/>
                <w:szCs w:val="24"/>
                <w14:textFill>
                  <w14:solidFill>
                    <w14:schemeClr w14:val="tx1"/>
                  </w14:solidFill>
                </w14:textFill>
              </w:rPr>
            </w:pPr>
          </w:p>
        </w:tc>
      </w:tr>
    </w:tbl>
    <w:p>
      <w:pPr>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注：1、按照基本技术要求详细填列。</w:t>
      </w:r>
    </w:p>
    <w:p>
      <w:pPr>
        <w:numPr>
          <w:ilvl w:val="0"/>
          <w:numId w:val="9"/>
        </w:num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行数不够，可自行添加。</w:t>
      </w:r>
    </w:p>
    <w:p>
      <w:pPr>
        <w:spacing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3、技术偏离表应针对项目需求逐条应答。</w:t>
      </w:r>
    </w:p>
    <w:bookmarkEnd w:id="242"/>
    <w:p>
      <w:pPr>
        <w:snapToGrid w:val="0"/>
        <w:spacing w:before="50" w:after="50"/>
        <w:jc w:val="center"/>
        <w:rPr>
          <w:rFonts w:ascii="宋体" w:hAnsi="宋体" w:cs="宋体"/>
          <w:color w:val="000000" w:themeColor="text1"/>
          <w:sz w:val="32"/>
          <w:szCs w:val="32"/>
          <w14:textFill>
            <w14:solidFill>
              <w14:schemeClr w14:val="tx1"/>
            </w14:solidFill>
          </w14:textFill>
        </w:rPr>
        <w:sectPr>
          <w:footerReference r:id="rId11" w:type="first"/>
          <w:footerReference r:id="rId10" w:type="default"/>
          <w:pgSz w:w="11906" w:h="16838"/>
          <w:pgMar w:top="1417" w:right="1417" w:bottom="1417" w:left="1417" w:header="851" w:footer="907" w:gutter="0"/>
          <w:cols w:space="0" w:num="1"/>
          <w:docGrid w:type="lines" w:linePitch="292" w:charSpace="0"/>
        </w:sectPr>
      </w:pPr>
      <w:bookmarkStart w:id="246" w:name="_Hlt26955054"/>
      <w:bookmarkEnd w:id="246"/>
    </w:p>
    <w:p>
      <w:pPr>
        <w:pStyle w:val="17"/>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47" w:name="_Toc17355"/>
      <w:r>
        <w:rPr>
          <w:rFonts w:hint="eastAsia" w:ascii="宋体" w:hAnsi="宋体" w:cs="宋体"/>
          <w:color w:val="000000" w:themeColor="text1"/>
          <w:sz w:val="32"/>
          <w:szCs w:val="32"/>
          <w14:textFill>
            <w14:solidFill>
              <w14:schemeClr w14:val="tx1"/>
            </w14:solidFill>
          </w14:textFill>
        </w:rPr>
        <w:t>七、技术参数响应及偏离表（如有）</w:t>
      </w:r>
      <w:bookmarkEnd w:id="247"/>
    </w:p>
    <w:p>
      <w:pPr>
        <w:jc w:val="cente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45"/>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2852"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招标要求</w:t>
            </w:r>
          </w:p>
        </w:tc>
        <w:tc>
          <w:tcPr>
            <w:tcW w:w="2852"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投标响应</w:t>
            </w:r>
          </w:p>
        </w:tc>
        <w:tc>
          <w:tcPr>
            <w:tcW w:w="1308" w:type="dxa"/>
            <w:noWrap/>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超出、符合或偏离</w:t>
            </w:r>
          </w:p>
        </w:tc>
        <w:tc>
          <w:tcPr>
            <w:tcW w:w="1173"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注：1、按照基本技术要求详细填列。</w:t>
      </w:r>
    </w:p>
    <w:p>
      <w:pPr>
        <w:numPr>
          <w:ilvl w:val="0"/>
          <w:numId w:val="9"/>
        </w:num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行数不够，可自行添加。</w:t>
      </w:r>
    </w:p>
    <w:p>
      <w:pPr>
        <w:spacing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3、技术偏离表应针对项目需求逐条应答。</w:t>
      </w:r>
    </w:p>
    <w:p>
      <w:pPr>
        <w:rPr>
          <w:rFonts w:ascii="宋体" w:hAnsi="宋体" w:cs="宋体"/>
          <w:color w:val="000000" w:themeColor="text1"/>
          <w:sz w:val="24"/>
          <w:szCs w:val="24"/>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48" w:name="_Toc20796"/>
      <w:r>
        <w:rPr>
          <w:rFonts w:hint="eastAsia" w:ascii="宋体" w:hAnsi="宋体" w:cs="宋体"/>
          <w:color w:val="000000" w:themeColor="text1"/>
          <w:sz w:val="32"/>
          <w:szCs w:val="32"/>
          <w14:textFill>
            <w14:solidFill>
              <w14:schemeClr w14:val="tx1"/>
            </w14:solidFill>
          </w14:textFill>
        </w:rPr>
        <w:t>八、商务条款响应及偏离表（如有）</w:t>
      </w:r>
      <w:bookmarkEnd w:id="248"/>
    </w:p>
    <w:p>
      <w:pPr>
        <w:jc w:val="cente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45"/>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6"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6"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招标文件要求</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6"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是否响应</w:t>
            </w: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6"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6"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质保期</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6"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6"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6"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6"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售后技术服务要求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6"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6"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6"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6"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交货时间</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6"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合同签订后天内</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6"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6"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6"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6" w:beforeLines="50"/>
              <w:rPr>
                <w:rFonts w:ascii="宋体" w:hAnsi="宋体" w:cs="宋体"/>
                <w:color w:val="000000" w:themeColor="text1"/>
                <w:sz w:val="24"/>
                <w14:textFill>
                  <w14:solidFill>
                    <w14:schemeClr w14:val="tx1"/>
                  </w14:solidFill>
                </w14:textFill>
              </w:rPr>
            </w:pPr>
          </w:p>
          <w:p>
            <w:pPr>
              <w:snapToGrid w:val="0"/>
              <w:spacing w:before="146"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6"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6"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6"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交货地点</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6" w:beforeLines="50"/>
              <w:rPr>
                <w:rFonts w:ascii="宋体" w:hAnsi="宋体" w:cs="宋体"/>
                <w:color w:val="000000" w:themeColor="text1"/>
                <w:sz w:val="24"/>
                <w14:textFill>
                  <w14:solidFill>
                    <w14:schemeClr w14:val="tx1"/>
                  </w14:solidFill>
                </w14:textFill>
              </w:rPr>
            </w:pPr>
          </w:p>
          <w:p>
            <w:pPr>
              <w:snapToGrid w:val="0"/>
              <w:spacing w:before="146"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6"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6"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6"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付款方式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6"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6"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6"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6"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投标货币</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6" w:beforeLines="50"/>
              <w:rPr>
                <w:rFonts w:ascii="宋体" w:hAnsi="宋体" w:cs="宋体"/>
                <w:color w:val="000000" w:themeColor="text1"/>
                <w:sz w:val="24"/>
                <w:szCs w:val="20"/>
                <w14:textFill>
                  <w14:solidFill>
                    <w14:schemeClr w14:val="tx1"/>
                  </w14:solidFill>
                </w14:textFill>
              </w:rPr>
            </w:pPr>
          </w:p>
          <w:p>
            <w:pPr>
              <w:snapToGrid w:val="0"/>
              <w:spacing w:before="146"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6"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6"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6"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备品备件及耗材等要求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6"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6"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6"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tcPr>
          <w:p>
            <w:pPr>
              <w:snapToGrid w:val="0"/>
              <w:spacing w:before="146"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6"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6"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6" w:beforeLines="50"/>
              <w:rPr>
                <w:rFonts w:ascii="宋体" w:hAnsi="宋体" w:cs="宋体"/>
                <w:color w:val="000000" w:themeColor="text1"/>
                <w:sz w:val="24"/>
                <w:szCs w:val="20"/>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spacing w:line="480" w:lineRule="auto"/>
        <w:rPr>
          <w:rFonts w:ascii="宋体" w:hAnsi="宋体" w:cs="宋体"/>
          <w:color w:val="000000" w:themeColor="text1"/>
          <w:sz w:val="30"/>
          <w14:textFill>
            <w14:solidFill>
              <w14:schemeClr w14:val="tx1"/>
            </w14:solidFill>
          </w14:textFill>
        </w:rPr>
      </w:pPr>
      <w:bookmarkStart w:id="249" w:name="_Hlt26955066"/>
      <w:bookmarkEnd w:id="249"/>
      <w:bookmarkStart w:id="250" w:name="_Hlt26671374"/>
      <w:bookmarkEnd w:id="250"/>
      <w:bookmarkStart w:id="251" w:name="_Hlt26955064"/>
      <w:bookmarkEnd w:id="251"/>
      <w:bookmarkStart w:id="252" w:name="_Hlt26955056"/>
      <w:bookmarkEnd w:id="252"/>
      <w:bookmarkStart w:id="253" w:name="_Hlt26671343"/>
      <w:bookmarkEnd w:id="253"/>
      <w:bookmarkStart w:id="254" w:name="_Hlt24879081"/>
      <w:bookmarkEnd w:id="254"/>
      <w:bookmarkStart w:id="255" w:name="_Hlt26580838"/>
      <w:bookmarkEnd w:id="255"/>
      <w:bookmarkStart w:id="256" w:name="_Hlt26782999"/>
      <w:bookmarkEnd w:id="256"/>
      <w:bookmarkStart w:id="257" w:name="_Hlt26609389"/>
      <w:bookmarkEnd w:id="257"/>
      <w:bookmarkStart w:id="258" w:name="_Hlt26609391"/>
      <w:bookmarkEnd w:id="258"/>
      <w:bookmarkStart w:id="259" w:name="_Hlt26671372"/>
      <w:bookmarkEnd w:id="259"/>
      <w:bookmarkStart w:id="260" w:name="_Toc462564146"/>
    </w:p>
    <w:p>
      <w:pPr>
        <w:pStyle w:val="6"/>
        <w:ind w:firstLine="0"/>
        <w:rPr>
          <w:rFonts w:ascii="宋体" w:hAnsi="宋体" w:cs="宋体"/>
          <w:color w:val="000000" w:themeColor="text1"/>
          <w:sz w:val="24"/>
          <w14:textFill>
            <w14:solidFill>
              <w14:schemeClr w14:val="tx1"/>
            </w14:solidFill>
          </w14:textFill>
        </w:rPr>
      </w:pPr>
    </w:p>
    <w:p>
      <w:pPr>
        <w:snapToGrid w:val="0"/>
        <w:spacing w:before="50" w:after="50"/>
        <w:ind w:left="2520"/>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br w:type="page"/>
      </w:r>
      <w:bookmarkStart w:id="261" w:name="_Toc8363"/>
      <w:r>
        <w:rPr>
          <w:rFonts w:hint="eastAsia" w:ascii="宋体" w:hAnsi="宋体" w:cs="宋体"/>
          <w:color w:val="000000" w:themeColor="text1"/>
          <w:sz w:val="32"/>
          <w:szCs w:val="32"/>
          <w14:textFill>
            <w14:solidFill>
              <w14:schemeClr w14:val="tx1"/>
            </w14:solidFill>
          </w14:textFill>
        </w:rPr>
        <w:t>九、技术方案、服务承诺等</w:t>
      </w:r>
      <w:bookmarkEnd w:id="206"/>
      <w:bookmarkEnd w:id="207"/>
      <w:bookmarkEnd w:id="260"/>
      <w:bookmarkEnd w:id="261"/>
      <w:bookmarkStart w:id="262" w:name="_格式2__法定代表人授权书"/>
      <w:bookmarkEnd w:id="262"/>
    </w:p>
    <w:p>
      <w:pPr>
        <w:pStyle w:val="17"/>
        <w:rPr>
          <w:rFonts w:ascii="宋体" w:hAnsi="宋体" w:eastAsia="宋体" w:cs="宋体"/>
          <w:color w:val="000000" w:themeColor="text1"/>
          <w14:textFill>
            <w14:solidFill>
              <w14:schemeClr w14:val="tx1"/>
            </w14:solidFill>
          </w14:textFill>
        </w:rPr>
      </w:pPr>
    </w:p>
    <w:p>
      <w:pPr>
        <w:pStyle w:val="17"/>
        <w:rPr>
          <w:rFonts w:ascii="宋体" w:hAnsi="宋体" w:eastAsia="宋体" w:cs="宋体"/>
          <w:color w:val="000000" w:themeColor="text1"/>
          <w14:textFill>
            <w14:solidFill>
              <w14:schemeClr w14:val="tx1"/>
            </w14:solidFill>
          </w14:textFill>
        </w:rPr>
      </w:pPr>
    </w:p>
    <w:p>
      <w:pPr>
        <w:pStyle w:val="17"/>
        <w:rPr>
          <w:rFonts w:ascii="宋体" w:hAnsi="宋体" w:eastAsia="宋体" w:cs="宋体"/>
          <w:color w:val="000000" w:themeColor="text1"/>
          <w14:textFill>
            <w14:solidFill>
              <w14:schemeClr w14:val="tx1"/>
            </w14:solidFill>
          </w14:textFill>
        </w:rPr>
      </w:pPr>
    </w:p>
    <w:p>
      <w:pPr>
        <w:pStyle w:val="17"/>
        <w:rPr>
          <w:rFonts w:ascii="宋体" w:hAnsi="宋体" w:eastAsia="宋体" w:cs="宋体"/>
          <w:color w:val="000000" w:themeColor="text1"/>
          <w14:textFill>
            <w14:solidFill>
              <w14:schemeClr w14:val="tx1"/>
            </w14:solidFill>
          </w14:textFill>
        </w:rPr>
      </w:pPr>
    </w:p>
    <w:p>
      <w:pPr>
        <w:pStyle w:val="17"/>
        <w:rPr>
          <w:rFonts w:ascii="宋体" w:hAnsi="宋体" w:eastAsia="宋体" w:cs="宋体"/>
          <w:color w:val="000000" w:themeColor="text1"/>
          <w14:textFill>
            <w14:solidFill>
              <w14:schemeClr w14:val="tx1"/>
            </w14:solidFill>
          </w14:textFill>
        </w:rPr>
      </w:pPr>
    </w:p>
    <w:p>
      <w:pPr>
        <w:pStyle w:val="17"/>
        <w:rPr>
          <w:rFonts w:ascii="宋体" w:hAnsi="宋体" w:eastAsia="宋体" w:cs="宋体"/>
          <w:color w:val="000000" w:themeColor="text1"/>
          <w14:textFill>
            <w14:solidFill>
              <w14:schemeClr w14:val="tx1"/>
            </w14:solidFill>
          </w14:textFill>
        </w:rPr>
      </w:pPr>
    </w:p>
    <w:p>
      <w:pPr>
        <w:pStyle w:val="17"/>
        <w:rPr>
          <w:rFonts w:ascii="宋体" w:hAnsi="宋体" w:eastAsia="宋体" w:cs="宋体"/>
          <w:color w:val="000000" w:themeColor="text1"/>
          <w14:textFill>
            <w14:solidFill>
              <w14:schemeClr w14:val="tx1"/>
            </w14:solidFill>
          </w14:textFill>
        </w:rPr>
      </w:pPr>
    </w:p>
    <w:p>
      <w:pPr>
        <w:pStyle w:val="17"/>
        <w:rPr>
          <w:rFonts w:ascii="宋体" w:hAnsi="宋体" w:eastAsia="宋体" w:cs="宋体"/>
          <w:color w:val="000000" w:themeColor="text1"/>
          <w14:textFill>
            <w14:solidFill>
              <w14:schemeClr w14:val="tx1"/>
            </w14:solidFill>
          </w14:textFill>
        </w:rPr>
      </w:pPr>
    </w:p>
    <w:p>
      <w:pPr>
        <w:pStyle w:val="17"/>
        <w:rPr>
          <w:rFonts w:ascii="宋体" w:hAnsi="宋体" w:eastAsia="宋体" w:cs="宋体"/>
          <w:color w:val="000000" w:themeColor="text1"/>
          <w14:textFill>
            <w14:solidFill>
              <w14:schemeClr w14:val="tx1"/>
            </w14:solidFill>
          </w14:textFill>
        </w:rPr>
      </w:pPr>
    </w:p>
    <w:p>
      <w:pPr>
        <w:pStyle w:val="17"/>
        <w:rPr>
          <w:rFonts w:ascii="宋体" w:hAnsi="宋体" w:eastAsia="宋体" w:cs="宋体"/>
          <w:color w:val="000000" w:themeColor="text1"/>
          <w14:textFill>
            <w14:solidFill>
              <w14:schemeClr w14:val="tx1"/>
            </w14:solidFill>
          </w14:textFill>
        </w:rPr>
      </w:pPr>
    </w:p>
    <w:p>
      <w:pPr>
        <w:pStyle w:val="17"/>
        <w:rPr>
          <w:rFonts w:ascii="宋体" w:hAnsi="宋体" w:eastAsia="宋体" w:cs="宋体"/>
          <w:color w:val="000000" w:themeColor="text1"/>
          <w14:textFill>
            <w14:solidFill>
              <w14:schemeClr w14:val="tx1"/>
            </w14:solidFill>
          </w14:textFill>
        </w:rPr>
      </w:pPr>
    </w:p>
    <w:p>
      <w:pPr>
        <w:pStyle w:val="17"/>
        <w:rPr>
          <w:rFonts w:ascii="宋体" w:hAnsi="宋体" w:eastAsia="宋体" w:cs="宋体"/>
          <w:color w:val="000000" w:themeColor="text1"/>
          <w14:textFill>
            <w14:solidFill>
              <w14:schemeClr w14:val="tx1"/>
            </w14:solidFill>
          </w14:textFill>
        </w:rPr>
      </w:pPr>
    </w:p>
    <w:p>
      <w:pPr>
        <w:pStyle w:val="17"/>
        <w:rPr>
          <w:rFonts w:ascii="宋体" w:hAnsi="宋体" w:eastAsia="宋体" w:cs="宋体"/>
          <w:color w:val="000000" w:themeColor="text1"/>
          <w14:textFill>
            <w14:solidFill>
              <w14:schemeClr w14:val="tx1"/>
            </w14:solidFill>
          </w14:textFill>
        </w:rPr>
      </w:pPr>
    </w:p>
    <w:p>
      <w:pPr>
        <w:pStyle w:val="17"/>
        <w:rPr>
          <w:rFonts w:ascii="宋体" w:hAnsi="宋体" w:eastAsia="宋体" w:cs="宋体"/>
          <w:color w:val="000000" w:themeColor="text1"/>
          <w14:textFill>
            <w14:solidFill>
              <w14:schemeClr w14:val="tx1"/>
            </w14:solidFill>
          </w14:textFill>
        </w:rPr>
      </w:pPr>
    </w:p>
    <w:p>
      <w:pPr>
        <w:pStyle w:val="17"/>
        <w:rPr>
          <w:rFonts w:ascii="宋体" w:hAnsi="宋体" w:eastAsia="宋体" w:cs="宋体"/>
          <w:color w:val="000000" w:themeColor="text1"/>
          <w14:textFill>
            <w14:solidFill>
              <w14:schemeClr w14:val="tx1"/>
            </w14:solidFill>
          </w14:textFill>
        </w:rPr>
      </w:pPr>
    </w:p>
    <w:p>
      <w:pPr>
        <w:pStyle w:val="17"/>
        <w:rPr>
          <w:rFonts w:ascii="宋体" w:hAnsi="宋体" w:eastAsia="宋体" w:cs="宋体"/>
          <w:color w:val="000000" w:themeColor="text1"/>
          <w14:textFill>
            <w14:solidFill>
              <w14:schemeClr w14:val="tx1"/>
            </w14:solidFill>
          </w14:textFill>
        </w:rPr>
      </w:pPr>
    </w:p>
    <w:p>
      <w:pPr>
        <w:pStyle w:val="17"/>
        <w:rPr>
          <w:rFonts w:ascii="宋体" w:hAnsi="宋体" w:eastAsia="宋体" w:cs="宋体"/>
          <w:color w:val="000000" w:themeColor="text1"/>
          <w14:textFill>
            <w14:solidFill>
              <w14:schemeClr w14:val="tx1"/>
            </w14:solidFill>
          </w14:textFill>
        </w:rPr>
      </w:pPr>
    </w:p>
    <w:p>
      <w:pPr>
        <w:pStyle w:val="17"/>
        <w:rPr>
          <w:rFonts w:ascii="宋体" w:hAnsi="宋体" w:eastAsia="宋体" w:cs="宋体"/>
          <w:color w:val="000000" w:themeColor="text1"/>
          <w14:textFill>
            <w14:solidFill>
              <w14:schemeClr w14:val="tx1"/>
            </w14:solidFill>
          </w14:textFill>
        </w:rPr>
      </w:pPr>
    </w:p>
    <w:p>
      <w:pPr>
        <w:pStyle w:val="17"/>
        <w:rPr>
          <w:rFonts w:ascii="宋体" w:hAnsi="宋体" w:eastAsia="宋体" w:cs="宋体"/>
          <w:color w:val="000000" w:themeColor="text1"/>
          <w14:textFill>
            <w14:solidFill>
              <w14:schemeClr w14:val="tx1"/>
            </w14:solidFill>
          </w14:textFill>
        </w:rPr>
      </w:pPr>
    </w:p>
    <w:p>
      <w:pPr>
        <w:pStyle w:val="17"/>
        <w:rPr>
          <w:rFonts w:ascii="宋体" w:hAnsi="宋体" w:eastAsia="宋体" w:cs="宋体"/>
          <w:color w:val="000000" w:themeColor="text1"/>
          <w14:textFill>
            <w14:solidFill>
              <w14:schemeClr w14:val="tx1"/>
            </w14:solidFill>
          </w14:textFill>
        </w:rPr>
      </w:pPr>
    </w:p>
    <w:p>
      <w:pPr>
        <w:pStyle w:val="17"/>
        <w:rPr>
          <w:rFonts w:ascii="宋体" w:hAnsi="宋体" w:eastAsia="宋体" w:cs="宋体"/>
          <w:color w:val="000000" w:themeColor="text1"/>
          <w14:textFill>
            <w14:solidFill>
              <w14:schemeClr w14:val="tx1"/>
            </w14:solidFill>
          </w14:textFill>
        </w:rPr>
      </w:pPr>
    </w:p>
    <w:p>
      <w:pPr>
        <w:numPr>
          <w:ilvl w:val="0"/>
          <w:numId w:val="10"/>
        </w:numPr>
        <w:snapToGrid w:val="0"/>
        <w:spacing w:before="50" w:after="50"/>
        <w:outlineLvl w:val="0"/>
        <w:rPr>
          <w:rFonts w:hAnsi="宋体" w:cs="宋体"/>
          <w:b/>
          <w:bCs/>
          <w:color w:val="000000" w:themeColor="text1"/>
          <w14:textFill>
            <w14:solidFill>
              <w14:schemeClr w14:val="tx1"/>
            </w14:solidFill>
          </w14:textFill>
        </w:rPr>
        <w:sectPr>
          <w:footerReference r:id="rId12" w:type="default"/>
          <w:pgSz w:w="11906" w:h="16838"/>
          <w:pgMar w:top="1417" w:right="1417" w:bottom="1417" w:left="1417" w:header="851" w:footer="907" w:gutter="0"/>
          <w:cols w:space="0" w:num="1"/>
          <w:docGrid w:type="lines" w:linePitch="292" w:charSpace="0"/>
        </w:sectPr>
      </w:pPr>
    </w:p>
    <w:p>
      <w:pPr>
        <w:widowControl/>
        <w:spacing w:line="460" w:lineRule="exact"/>
        <w:outlineLvl w:val="0"/>
        <w:rPr>
          <w:rFonts w:ascii="宋体" w:hAnsi="宋体" w:cs="宋体"/>
          <w:color w:val="000000" w:themeColor="text1"/>
          <w:sz w:val="32"/>
          <w14:textFill>
            <w14:solidFill>
              <w14:schemeClr w14:val="tx1"/>
            </w14:solidFill>
          </w14:textFill>
        </w:rPr>
      </w:pPr>
      <w:bookmarkStart w:id="263" w:name="_Toc22033"/>
    </w:p>
    <w:p>
      <w:pPr>
        <w:widowControl/>
        <w:spacing w:line="460" w:lineRule="exact"/>
        <w:ind w:firstLine="640" w:firstLineChars="200"/>
        <w:jc w:val="center"/>
        <w:outlineLvl w:val="0"/>
        <w:rPr>
          <w:rFonts w:ascii="宋体" w:hAnsi="宋体" w:cs="宋体"/>
          <w:color w:val="000000" w:themeColor="text1"/>
          <w:sz w:val="32"/>
          <w14:textFill>
            <w14:solidFill>
              <w14:schemeClr w14:val="tx1"/>
            </w14:solidFill>
          </w14:textFill>
        </w:rPr>
      </w:pPr>
      <w:r>
        <w:rPr>
          <w:rFonts w:hint="eastAsia" w:ascii="宋体" w:hAnsi="宋体" w:cs="宋体"/>
          <w:color w:val="000000" w:themeColor="text1"/>
          <w:sz w:val="32"/>
          <w14:textFill>
            <w14:solidFill>
              <w14:schemeClr w14:val="tx1"/>
            </w14:solidFill>
          </w14:textFill>
        </w:rPr>
        <w:t>十、盐城市政府采购事前信用承诺书</w:t>
      </w:r>
      <w:bookmarkEnd w:id="263"/>
    </w:p>
    <w:p>
      <w:pPr>
        <w:widowControl/>
        <w:spacing w:line="460" w:lineRule="exact"/>
        <w:ind w:firstLine="640" w:firstLineChars="200"/>
        <w:jc w:val="left"/>
        <w:rPr>
          <w:rFonts w:ascii="宋体" w:hAnsi="宋体" w:cs="宋体"/>
          <w:color w:val="000000" w:themeColor="text1"/>
          <w:sz w:val="32"/>
          <w14:textFill>
            <w14:solidFill>
              <w14:schemeClr w14:val="tx1"/>
            </w14:solidFill>
          </w14:textFill>
        </w:rPr>
      </w:pP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为营造我市公开、公平、公正、诚实守信的政府采购交易环境，树立诚信守法的投标人形象，本人代表本单位作出以下承诺：</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（三）严格依照国家和省、市关于政府采购的法律、法规、规章、规范性文件，参加政府采购投标活动；积极履行社会责任，促进廉政建设；</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（四）严格遵守即时信息公示规定，及时维护和更新维护和更新盐城市政府采购网中与本单位相关的信息；</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（六）自觉接受政府、行业组织、社会公众、新闻舆论的监督；</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（八）本人已认真阅读了上述承诺，并向本单位员工作了宣传教育。</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p>
    <w:p>
      <w:pPr>
        <w:widowControl/>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264" w:name="_Toc1790"/>
      <w:r>
        <w:rPr>
          <w:rFonts w:hint="eastAsia" w:ascii="宋体" w:hAnsi="宋体" w:cs="宋体"/>
          <w:color w:val="000000" w:themeColor="text1"/>
          <w:sz w:val="24"/>
          <w:szCs w:val="24"/>
          <w14:textFill>
            <w14:solidFill>
              <w14:schemeClr w14:val="tx1"/>
            </w14:solidFill>
          </w14:textFill>
        </w:rPr>
        <w:t>法定代表人签名：</w:t>
      </w:r>
      <w:bookmarkEnd w:id="264"/>
    </w:p>
    <w:p>
      <w:pPr>
        <w:widowControl/>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265" w:name="_Toc27882"/>
      <w:r>
        <w:rPr>
          <w:rFonts w:hint="eastAsia" w:ascii="宋体" w:hAnsi="宋体" w:cs="宋体"/>
          <w:color w:val="000000" w:themeColor="text1"/>
          <w:sz w:val="24"/>
          <w:szCs w:val="24"/>
          <w14:textFill>
            <w14:solidFill>
              <w14:schemeClr w14:val="tx1"/>
            </w14:solidFill>
          </w14:textFill>
        </w:rPr>
        <w:t>单位名称（盖章）：</w:t>
      </w:r>
      <w:bookmarkEnd w:id="265"/>
    </w:p>
    <w:p>
      <w:pPr>
        <w:widowControl/>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266" w:name="_Toc385"/>
      <w:r>
        <w:rPr>
          <w:rFonts w:hint="eastAsia" w:ascii="宋体" w:hAnsi="宋体" w:cs="宋体"/>
          <w:color w:val="000000" w:themeColor="text1"/>
          <w:sz w:val="24"/>
          <w:szCs w:val="24"/>
          <w14:textFill>
            <w14:solidFill>
              <w14:schemeClr w14:val="tx1"/>
            </w14:solidFill>
          </w14:textFill>
        </w:rPr>
        <w:t>年    月    日</w:t>
      </w:r>
      <w:bookmarkEnd w:id="266"/>
    </w:p>
    <w:p>
      <w:pPr>
        <w:pStyle w:val="17"/>
        <w:rPr>
          <w:rFonts w:ascii="宋体" w:hAnsi="宋体" w:eastAsia="宋体" w:cs="宋体"/>
          <w:color w:val="000000" w:themeColor="text1"/>
          <w14:textFill>
            <w14:solidFill>
              <w14:schemeClr w14:val="tx1"/>
            </w14:solidFill>
          </w14:textFill>
        </w:rPr>
      </w:pPr>
    </w:p>
    <w:sectPr>
      <w:footerReference r:id="rId13" w:type="default"/>
      <w:pgSz w:w="11906" w:h="16838"/>
      <w:pgMar w:top="1417" w:right="1417" w:bottom="1417" w:left="1417" w:header="851" w:footer="907" w:gutter="0"/>
      <w:cols w:space="0" w:num="1"/>
      <w:docGrid w:type="lines" w:linePitch="29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swiss"/>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9"/>
      </w:rPr>
    </w:pPr>
    <w:r>
      <w:fldChar w:fldCharType="begin"/>
    </w:r>
    <w:r>
      <w:rPr>
        <w:rStyle w:val="49"/>
      </w:rPr>
      <w:instrText xml:space="preserve">PAGE  </w:instrText>
    </w:r>
    <w:r>
      <w:fldChar w:fldCharType="separate"/>
    </w:r>
    <w:r>
      <w:rPr>
        <w:rStyle w:val="49"/>
      </w:rPr>
      <w:t>1</w:t>
    </w:r>
    <w:r>
      <w:fldChar w:fldCharType="end"/>
    </w:r>
  </w:p>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b/>
        <w: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b/>
        <w:i/>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9"/>
                            <w:rPr>
                              <w:rStyle w:val="49"/>
                              <w:rFonts w:ascii="宋体" w:hAnsi="宋体"/>
                            </w:rPr>
                          </w:pPr>
                          <w:r>
                            <w:rPr>
                              <w:rStyle w:val="49"/>
                              <w:rFonts w:ascii="宋体" w:hAnsi="宋体"/>
                            </w:rPr>
                            <w:t xml:space="preserve">第 </w:t>
                          </w:r>
                          <w:r>
                            <w:rPr>
                              <w:rStyle w:val="49"/>
                              <w:rFonts w:ascii="宋体" w:hAnsi="宋体"/>
                            </w:rPr>
                            <w:fldChar w:fldCharType="begin"/>
                          </w:r>
                          <w:r>
                            <w:rPr>
                              <w:rStyle w:val="49"/>
                              <w:rFonts w:ascii="宋体" w:hAnsi="宋体"/>
                            </w:rPr>
                            <w:instrText xml:space="preserve"> PAGE  \* MERGEFORMAT </w:instrText>
                          </w:r>
                          <w:r>
                            <w:rPr>
                              <w:rStyle w:val="49"/>
                              <w:rFonts w:ascii="宋体" w:hAnsi="宋体"/>
                            </w:rPr>
                            <w:fldChar w:fldCharType="separate"/>
                          </w:r>
                          <w:r>
                            <w:rPr>
                              <w:rStyle w:val="49"/>
                              <w:rFonts w:ascii="宋体" w:hAnsi="宋体"/>
                            </w:rPr>
                            <w:t>2</w:t>
                          </w:r>
                          <w:r>
                            <w:rPr>
                              <w:rStyle w:val="49"/>
                              <w:rFonts w:ascii="宋体" w:hAnsi="宋体"/>
                            </w:rPr>
                            <w:fldChar w:fldCharType="end"/>
                          </w:r>
                          <w:r>
                            <w:rPr>
                              <w:rStyle w:val="49"/>
                              <w:rFonts w:ascii="宋体" w:hAnsi="宋体"/>
                            </w:rPr>
                            <w:t xml:space="preserve"> 页 共 </w:t>
                          </w:r>
                          <w:r>
                            <w:rPr>
                              <w:rFonts w:hint="eastAsia"/>
                            </w:rPr>
                            <w:t>49</w:t>
                          </w:r>
                          <w:r>
                            <w:rPr>
                              <w:rStyle w:val="49"/>
                              <w:rFonts w:ascii="宋体" w:hAnsi="宋体"/>
                            </w:rPr>
                            <w:t xml:space="preserve"> 页</w:t>
                          </w:r>
                        </w:p>
                      </w:txbxContent>
                    </wps:txbx>
                    <wps:bodyPr wrap="none" lIns="0" tIns="0" rIns="0" bIns="0" upright="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jNIksoBAACaAwAADgAAAGRycy9lMm9Eb2MueG1srVNLbtswEN0XyB0I&#10;7mNKRlE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TU3fUmK5wYGfv387//h1/vmV&#10;lGXqT++hwrQnj4lxuHMDbs3sB3Qm2UMbTPqiIIJx7O7p0l05RCLSo9VytSowJDA2XxCfPT/3AeJ7&#10;6QxJRk0Dji93lR8fIY6pc0qqZt290jqPUNu/HIiZPCxxHzkmKw67YRK0c80J9fQ4+ZpaXHRK9IPF&#10;xqYlmY0wG7vZOPig9h1SKzMv8LeHiCQyt1RhhJ0K48iyumm90k78ec9Zz7/U5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mjNIksoBAACaAwAADgAAAAAAAAABACAAAAAeAQAAZHJzL2Uyb0Rv&#10;Yy54bWxQSwUGAAAAAAYABgBZAQAAWgUAAAAA&#10;">
              <v:fill on="f" focussize="0,0"/>
              <v:stroke on="f"/>
              <v:imagedata o:title=""/>
              <o:lock v:ext="edit" aspectratio="f"/>
              <v:textbox inset="0mm,0mm,0mm,0mm" style="mso-fit-shape-to-text:t;">
                <w:txbxContent>
                  <w:p>
                    <w:pPr>
                      <w:pStyle w:val="29"/>
                      <w:rPr>
                        <w:rStyle w:val="49"/>
                        <w:rFonts w:ascii="宋体" w:hAnsi="宋体"/>
                      </w:rPr>
                    </w:pPr>
                    <w:r>
                      <w:rPr>
                        <w:rStyle w:val="49"/>
                        <w:rFonts w:ascii="宋体" w:hAnsi="宋体"/>
                      </w:rPr>
                      <w:t xml:space="preserve">第 </w:t>
                    </w:r>
                    <w:r>
                      <w:rPr>
                        <w:rStyle w:val="49"/>
                        <w:rFonts w:ascii="宋体" w:hAnsi="宋体"/>
                      </w:rPr>
                      <w:fldChar w:fldCharType="begin"/>
                    </w:r>
                    <w:r>
                      <w:rPr>
                        <w:rStyle w:val="49"/>
                        <w:rFonts w:ascii="宋体" w:hAnsi="宋体"/>
                      </w:rPr>
                      <w:instrText xml:space="preserve"> PAGE  \* MERGEFORMAT </w:instrText>
                    </w:r>
                    <w:r>
                      <w:rPr>
                        <w:rStyle w:val="49"/>
                        <w:rFonts w:ascii="宋体" w:hAnsi="宋体"/>
                      </w:rPr>
                      <w:fldChar w:fldCharType="separate"/>
                    </w:r>
                    <w:r>
                      <w:rPr>
                        <w:rStyle w:val="49"/>
                        <w:rFonts w:ascii="宋体" w:hAnsi="宋体"/>
                      </w:rPr>
                      <w:t>2</w:t>
                    </w:r>
                    <w:r>
                      <w:rPr>
                        <w:rStyle w:val="49"/>
                        <w:rFonts w:ascii="宋体" w:hAnsi="宋体"/>
                      </w:rPr>
                      <w:fldChar w:fldCharType="end"/>
                    </w:r>
                    <w:r>
                      <w:rPr>
                        <w:rStyle w:val="49"/>
                        <w:rFonts w:ascii="宋体" w:hAnsi="宋体"/>
                      </w:rPr>
                      <w:t xml:space="preserve"> 页 共 </w:t>
                    </w:r>
                    <w:r>
                      <w:rPr>
                        <w:rFonts w:hint="eastAsia"/>
                      </w:rPr>
                      <w:t>49</w:t>
                    </w:r>
                    <w:r>
                      <w:rPr>
                        <w:rStyle w:val="49"/>
                        <w:rFonts w:ascii="宋体" w:hAnsi="宋体"/>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9"/>
                          </w:pPr>
                          <w:r>
                            <w:t xml:space="preserve">第 </w:t>
                          </w:r>
                          <w:r>
                            <w:fldChar w:fldCharType="begin"/>
                          </w:r>
                          <w:r>
                            <w:instrText xml:space="preserve"> PAGE  \* MERGEFORMAT </w:instrText>
                          </w:r>
                          <w:r>
                            <w:fldChar w:fldCharType="separate"/>
                          </w:r>
                          <w:r>
                            <w:t>43</w:t>
                          </w:r>
                          <w:r>
                            <w:fldChar w:fldCharType="end"/>
                          </w:r>
                          <w:r>
                            <w:t xml:space="preserve"> 页 共 </w:t>
                          </w:r>
                          <w:r>
                            <w:rPr>
                              <w:rFonts w:hint="eastAsia"/>
                            </w:rPr>
                            <w:t>49</w:t>
                          </w:r>
                          <w:r>
                            <w:t xml:space="preserve"> 页</w:t>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41qkcgBAACa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zpsbVn6gvD6mLCJ0luuMMJOhXFkhd20Xnkn/ryXrNsv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eNapHIAQAAmgMAAA4AAAAAAAAAAQAgAAAAHgEAAGRycy9lMm9Eb2Mu&#10;eG1sUEsFBgAAAAAGAAYAWQEAAFgFAAAAAA==&#10;">
              <v:fill on="f" focussize="0,0"/>
              <v:stroke on="f"/>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43</w:t>
                    </w:r>
                    <w:r>
                      <w:fldChar w:fldCharType="end"/>
                    </w:r>
                    <w:r>
                      <w:t xml:space="preserve"> 页 共 </w:t>
                    </w:r>
                    <w:r>
                      <w:rPr>
                        <w:rFonts w:hint="eastAsia"/>
                      </w:rPr>
                      <w:t>49</w:t>
                    </w:r>
                    <w:r>
                      <w:t xml:space="preserve"> 页</w:t>
                    </w:r>
                  </w:p>
                </w:txbxContent>
              </v:textbox>
            </v:shape>
          </w:pict>
        </mc:Fallback>
      </mc:AlternateContent>
    </w:r>
  </w:p>
  <w:p>
    <w:pPr>
      <w:pStyle w:val="2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9"/>
                          </w:pPr>
                          <w:r>
                            <w:t xml:space="preserve">第 </w:t>
                          </w:r>
                          <w:r>
                            <w:fldChar w:fldCharType="begin"/>
                          </w:r>
                          <w:r>
                            <w:instrText xml:space="preserve"> PAGE  \* MERGEFORMAT </w:instrText>
                          </w:r>
                          <w:r>
                            <w:fldChar w:fldCharType="separate"/>
                          </w:r>
                          <w:r>
                            <w:t>45</w:t>
                          </w:r>
                          <w:r>
                            <w:fldChar w:fldCharType="end"/>
                          </w:r>
                          <w:r>
                            <w:t xml:space="preserve"> 页 共 </w:t>
                          </w:r>
                          <w:r>
                            <w:rPr>
                              <w:rFonts w:hint="eastAsia"/>
                            </w:rPr>
                            <w:t>49</w:t>
                          </w:r>
                          <w:r>
                            <w:t xml:space="preserve"> 页</w:t>
                          </w:r>
                        </w:p>
                      </w:txbxContent>
                    </wps:txbx>
                    <wps:bodyPr wrap="none" lIns="0" tIns="0" rIns="0" bIns="0" upright="1">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U8DVa0QEAAKMDAAAOAAAAAAAAAAEAIAAAAB8BAABk&#10;cnMvZTJvRG9jLnhtbFBLBQYAAAAABgAGAFkBAABiBQAAAAA=&#10;">
              <v:fill on="f" focussize="0,0"/>
              <v:stroke on="f" weight="0.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45</w:t>
                    </w:r>
                    <w:r>
                      <w:fldChar w:fldCharType="end"/>
                    </w:r>
                    <w:r>
                      <w:t xml:space="preserve"> 页 共 </w:t>
                    </w:r>
                    <w:r>
                      <w:rPr>
                        <w:rFonts w:hint="eastAsia"/>
                      </w:rPr>
                      <w:t>49</w:t>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9"/>
                          </w:pPr>
                          <w:r>
                            <w:t xml:space="preserve">第 </w:t>
                          </w:r>
                          <w:r>
                            <w:fldChar w:fldCharType="begin"/>
                          </w:r>
                          <w:r>
                            <w:instrText xml:space="preserve"> PAGE  \* MERGEFORMAT </w:instrText>
                          </w:r>
                          <w:r>
                            <w:fldChar w:fldCharType="separate"/>
                          </w:r>
                          <w:r>
                            <w:t>42</w:t>
                          </w:r>
                          <w:r>
                            <w:fldChar w:fldCharType="end"/>
                          </w:r>
                          <w:r>
                            <w:t xml:space="preserve"> 页 共 </w:t>
                          </w:r>
                          <w:r>
                            <w:fldChar w:fldCharType="begin"/>
                          </w:r>
                          <w:r>
                            <w:instrText xml:space="preserve"> NUMPAGES  \* MERGEFORMAT </w:instrText>
                          </w:r>
                          <w:r>
                            <w:fldChar w:fldCharType="separate"/>
                          </w:r>
                          <w:r>
                            <w:t>48</w:t>
                          </w:r>
                          <w:r>
                            <w:fldChar w:fldCharType="end"/>
                          </w:r>
                          <w:r>
                            <w:t xml:space="preserve"> 页</w:t>
                          </w:r>
                        </w:p>
                      </w:txbxContent>
                    </wps:txbx>
                    <wps:bodyPr wrap="none" lIns="0" tIns="0" rIns="0" bIns="0" upright="1">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zSVju0AAAAAUBAAAPAAAAAAAAAAEAIAAAACIA&#10;AABkcnMvZG93bnJldi54bWxQSwECFAAUAAAACACHTuJA4VvVutgBAACxAwAADgAAAAAAAAABACAA&#10;AAAfAQAAZHJzL2Uyb0RvYy54bWxQSwUGAAAAAAYABgBZAQAAaQUAAAAA&#10;">
              <v:fill on="f" focussize="0,0"/>
              <v:stroke on="f" weight="0.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42</w:t>
                    </w:r>
                    <w:r>
                      <w:fldChar w:fldCharType="end"/>
                    </w:r>
                    <w:r>
                      <w:t xml:space="preserve"> 页 共 </w:t>
                    </w:r>
                    <w:r>
                      <w:fldChar w:fldCharType="begin"/>
                    </w:r>
                    <w:r>
                      <w:instrText xml:space="preserve"> NUMPAGES  \* MERGEFORMAT </w:instrText>
                    </w:r>
                    <w:r>
                      <w:fldChar w:fldCharType="separate"/>
                    </w:r>
                    <w:r>
                      <w:t>48</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N+E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5w34TgCAABxBAAADgAAAAAAAAABACAAAAAfAQAAZHJzL2Uyb0RvYy54&#10;bWxQSwUGAAAAAAYABgBZAQAAyQUAAAAA&#10;">
              <v:fill on="f" focussize="0,0"/>
              <v:stroke on="f" weight="0.5pt"/>
              <v:imagedata o:title=""/>
              <o:lock v:ext="edit" aspectratio="f"/>
              <v:textbox inset="0mm,0mm,0mm,0mm" style="mso-fit-shape-to-text:t;">
                <w:txbxContent>
                  <w:p>
                    <w:pPr>
                      <w:pStyle w:val="29"/>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9"/>
                          </w:pPr>
                          <w:r>
                            <w:t xml:space="preserve">第 </w:t>
                          </w:r>
                          <w:r>
                            <w:fldChar w:fldCharType="begin"/>
                          </w:r>
                          <w:r>
                            <w:instrText xml:space="preserve"> PAGE  \* MERGEFORMAT </w:instrText>
                          </w:r>
                          <w:r>
                            <w:fldChar w:fldCharType="separate"/>
                          </w:r>
                          <w:r>
                            <w:t>47</w:t>
                          </w:r>
                          <w:r>
                            <w:fldChar w:fldCharType="end"/>
                          </w:r>
                          <w:r>
                            <w:t xml:space="preserve"> 页 共 </w:t>
                          </w:r>
                          <w:r>
                            <w:rPr>
                              <w:rFonts w:hint="eastAsia"/>
                            </w:rPr>
                            <w:t>49</w:t>
                          </w:r>
                          <w:r>
                            <w:t xml:space="preserve"> 页</w:t>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37OyZ0QEAAKIDAAAOAAAAAAAAAAEAIAAAAB8BAABk&#10;cnMvZTJvRG9jLnhtbFBLBQYAAAAABgAGAFkBAABiBQAAAAA=&#10;">
              <v:fill on="f" focussize="0,0"/>
              <v:stroke on="f" weight="0.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47</w:t>
                    </w:r>
                    <w:r>
                      <w:fldChar w:fldCharType="end"/>
                    </w:r>
                    <w:r>
                      <w:t xml:space="preserve"> 页 共 </w:t>
                    </w:r>
                    <w:r>
                      <w:rPr>
                        <w:rFonts w:hint="eastAsia"/>
                      </w:rPr>
                      <w:t>49</w:t>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9"/>
                          </w:pPr>
                          <w:r>
                            <w:t xml:space="preserve">第 </w:t>
                          </w:r>
                          <w:r>
                            <w:fldChar w:fldCharType="begin"/>
                          </w:r>
                          <w:r>
                            <w:instrText xml:space="preserve"> PAGE  \* MERGEFORMAT </w:instrText>
                          </w:r>
                          <w:r>
                            <w:fldChar w:fldCharType="separate"/>
                          </w:r>
                          <w:r>
                            <w:t>49</w:t>
                          </w:r>
                          <w:r>
                            <w:fldChar w:fldCharType="end"/>
                          </w:r>
                          <w:r>
                            <w:t xml:space="preserve"> 页 共 </w:t>
                          </w:r>
                          <w:r>
                            <w:rPr>
                              <w:rFonts w:hint="eastAsia"/>
                            </w:rPr>
                            <w:t>49</w:t>
                          </w:r>
                          <w:r>
                            <w:t xml:space="preserve"> 页</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0FTbddIBAACiAwAADgAAAAAAAAABACAAAAAfAQAA&#10;ZHJzL2Uyb0RvYy54bWxQSwUGAAAAAAYABgBZAQAAYwUAAAAA&#10;">
              <v:fill on="f" focussize="0,0"/>
              <v:stroke on="f" weight="0.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49</w:t>
                    </w:r>
                    <w:r>
                      <w:fldChar w:fldCharType="end"/>
                    </w:r>
                    <w:r>
                      <w:t xml:space="preserve"> 页 共 </w:t>
                    </w:r>
                    <w:r>
                      <w:rPr>
                        <w:rFonts w:hint="eastAsia"/>
                      </w:rPr>
                      <w:t>49</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szCs w:val="21"/>
      </w:rPr>
    </w:pPr>
    <w:r>
      <w:rPr>
        <w:rFonts w:hint="eastAsia" w:ascii="Times New Roman" w:hAnsi="Times New Roman" w:eastAsia="隶书" w:cs="Times New Roman"/>
        <w:color w:val="FF0000"/>
        <w:spacing w:val="40"/>
        <w:kern w:val="2"/>
        <w:sz w:val="21"/>
        <w:szCs w:val="21"/>
      </w:rPr>
      <w:t>2022-0</w:t>
    </w:r>
    <w:r>
      <w:rPr>
        <w:rFonts w:hint="eastAsia" w:ascii="Times New Roman" w:hAnsi="Times New Roman" w:eastAsia="隶书" w:cs="Times New Roman"/>
        <w:color w:val="FF0000"/>
        <w:spacing w:val="40"/>
        <w:kern w:val="2"/>
        <w:sz w:val="21"/>
        <w:szCs w:val="21"/>
        <w:lang w:val="en-US" w:eastAsia="zh-CN"/>
      </w:rPr>
      <w:t>48</w:t>
    </w:r>
    <w:r>
      <w:rPr>
        <w:rFonts w:hint="eastAsia" w:ascii="Times New Roman" w:hAnsi="Times New Roman" w:eastAsia="隶书" w:cs="Times New Roman"/>
        <w:color w:val="FF0000"/>
        <w:spacing w:val="40"/>
        <w:kern w:val="2"/>
        <w:sz w:val="21"/>
        <w:szCs w:val="21"/>
      </w:rPr>
      <w:t>Q</w:t>
    </w:r>
    <w:r>
      <w:rPr>
        <w:rFonts w:hint="eastAsia" w:ascii="Times New Roman" w:hAnsi="隶书" w:eastAsia="隶书" w:cs="隶书"/>
        <w:color w:val="000000"/>
        <w:spacing w:val="40"/>
        <w:kern w:val="2"/>
        <w:sz w:val="21"/>
        <w:szCs w:val="21"/>
      </w:rPr>
      <w:t>招标文件</w:t>
    </w:r>
  </w:p>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szCs w:val="21"/>
      </w:rPr>
    </w:pPr>
    <w:r>
      <w:rPr>
        <w:rFonts w:hint="eastAsia" w:ascii="Times New Roman" w:hAnsi="Times New Roman" w:eastAsia="隶书" w:cs="Times New Roman"/>
        <w:color w:val="FF0000"/>
        <w:spacing w:val="40"/>
        <w:kern w:val="2"/>
        <w:sz w:val="21"/>
        <w:szCs w:val="21"/>
      </w:rPr>
      <w:t>2022-04</w:t>
    </w:r>
    <w:r>
      <w:rPr>
        <w:rFonts w:hint="eastAsia" w:ascii="Times New Roman" w:hAnsi="Times New Roman" w:eastAsia="隶书" w:cs="Times New Roman"/>
        <w:color w:val="FF0000"/>
        <w:spacing w:val="40"/>
        <w:kern w:val="2"/>
        <w:sz w:val="21"/>
        <w:szCs w:val="21"/>
        <w:lang w:val="en-US" w:eastAsia="zh-CN"/>
      </w:rPr>
      <w:t>8</w:t>
    </w:r>
    <w:r>
      <w:rPr>
        <w:rFonts w:hint="eastAsia" w:ascii="Times New Roman" w:hAnsi="Times New Roman" w:eastAsia="隶书" w:cs="Times New Roman"/>
        <w:color w:val="FF0000"/>
        <w:spacing w:val="40"/>
        <w:kern w:val="2"/>
        <w:sz w:val="21"/>
        <w:szCs w:val="21"/>
      </w:rPr>
      <w:t>Q</w:t>
    </w:r>
    <w:r>
      <w:rPr>
        <w:rFonts w:hint="eastAsia" w:ascii="Times New Roman" w:hAnsi="隶书" w:eastAsia="隶书" w:cs="隶书"/>
        <w:color w:val="000000"/>
        <w:spacing w:val="40"/>
        <w:kern w:val="2"/>
        <w:sz w:val="21"/>
        <w:szCs w:val="21"/>
      </w:rPr>
      <w:t>招标文件</w:t>
    </w:r>
  </w:p>
  <w:p>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C0F53A"/>
    <w:multiLevelType w:val="singleLevel"/>
    <w:tmpl w:val="95C0F53A"/>
    <w:lvl w:ilvl="0" w:tentative="0">
      <w:start w:val="1"/>
      <w:numFmt w:val="chineseCounting"/>
      <w:suff w:val="space"/>
      <w:lvlText w:val="第%1章"/>
      <w:lvlJc w:val="left"/>
      <w:rPr>
        <w:rFonts w:hint="eastAsia"/>
      </w:rPr>
    </w:lvl>
  </w:abstractNum>
  <w:abstractNum w:abstractNumId="1">
    <w:nsid w:val="AE273C1F"/>
    <w:multiLevelType w:val="singleLevel"/>
    <w:tmpl w:val="AE273C1F"/>
    <w:lvl w:ilvl="0" w:tentative="0">
      <w:start w:val="12"/>
      <w:numFmt w:val="chineseCounting"/>
      <w:suff w:val="nothing"/>
      <w:lvlText w:val="%1、"/>
      <w:lvlJc w:val="left"/>
      <w:rPr>
        <w:rFonts w:hint="eastAsia"/>
      </w:rPr>
    </w:lvl>
  </w:abstractNum>
  <w:abstractNum w:abstractNumId="2">
    <w:nsid w:val="06784D56"/>
    <w:multiLevelType w:val="singleLevel"/>
    <w:tmpl w:val="06784D56"/>
    <w:lvl w:ilvl="0" w:tentative="0">
      <w:start w:val="1"/>
      <w:numFmt w:val="upperLetter"/>
      <w:pStyle w:val="92"/>
      <w:lvlText w:val="附录%1."/>
      <w:lvlJc w:val="left"/>
      <w:pPr>
        <w:tabs>
          <w:tab w:val="left" w:pos="907"/>
        </w:tabs>
        <w:ind w:left="907" w:hanging="907"/>
      </w:pPr>
      <w:rPr>
        <w:rFonts w:hint="eastAsia"/>
      </w:rPr>
    </w:lvl>
  </w:abstractNum>
  <w:abstractNum w:abstractNumId="3">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1DA2F70C"/>
    <w:multiLevelType w:val="singleLevel"/>
    <w:tmpl w:val="1DA2F70C"/>
    <w:lvl w:ilvl="0" w:tentative="0">
      <w:start w:val="1"/>
      <w:numFmt w:val="chineseCounting"/>
      <w:lvlText w:val="%1."/>
      <w:lvlJc w:val="left"/>
      <w:pPr>
        <w:tabs>
          <w:tab w:val="left" w:pos="312"/>
        </w:tabs>
      </w:pPr>
      <w:rPr>
        <w:rFonts w:hint="eastAsia"/>
      </w:rPr>
    </w:lvl>
  </w:abstractNum>
  <w:abstractNum w:abstractNumId="5">
    <w:nsid w:val="23CA3DFE"/>
    <w:multiLevelType w:val="singleLevel"/>
    <w:tmpl w:val="23CA3DFE"/>
    <w:lvl w:ilvl="0" w:tentative="0">
      <w:start w:val="1"/>
      <w:numFmt w:val="decimal"/>
      <w:lvlText w:val="%1、"/>
      <w:lvlJc w:val="left"/>
      <w:pPr>
        <w:tabs>
          <w:tab w:val="left" w:pos="480"/>
        </w:tabs>
        <w:ind w:left="480" w:hanging="480"/>
      </w:pPr>
    </w:lvl>
  </w:abstractNum>
  <w:abstractNum w:abstractNumId="6">
    <w:nsid w:val="2D917819"/>
    <w:multiLevelType w:val="singleLevel"/>
    <w:tmpl w:val="2D917819"/>
    <w:lvl w:ilvl="0" w:tentative="0">
      <w:start w:val="10"/>
      <w:numFmt w:val="chineseCounting"/>
      <w:suff w:val="nothing"/>
      <w:lvlText w:val="%1、"/>
      <w:lvlJc w:val="left"/>
      <w:pPr>
        <w:ind w:left="3150"/>
      </w:pPr>
      <w:rPr>
        <w:rFonts w:hint="eastAsia"/>
      </w:rPr>
    </w:lvl>
  </w:abstractNum>
  <w:abstractNum w:abstractNumId="7">
    <w:nsid w:val="34620FCE"/>
    <w:multiLevelType w:val="singleLevel"/>
    <w:tmpl w:val="34620FCE"/>
    <w:lvl w:ilvl="0" w:tentative="0">
      <w:start w:val="5"/>
      <w:numFmt w:val="chineseCounting"/>
      <w:suff w:val="nothing"/>
      <w:lvlText w:val="%1、"/>
      <w:lvlJc w:val="left"/>
      <w:rPr>
        <w:rFonts w:hint="eastAsia"/>
      </w:rPr>
    </w:lvl>
  </w:abstractNum>
  <w:abstractNum w:abstractNumId="8">
    <w:nsid w:val="420C153B"/>
    <w:multiLevelType w:val="multilevel"/>
    <w:tmpl w:val="420C153B"/>
    <w:lvl w:ilvl="0" w:tentative="0">
      <w:start w:val="1"/>
      <w:numFmt w:val="decimal"/>
      <w:pStyle w:val="11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num w:numId="1">
    <w:abstractNumId w:val="9"/>
  </w:num>
  <w:num w:numId="2">
    <w:abstractNumId w:val="2"/>
  </w:num>
  <w:num w:numId="3">
    <w:abstractNumId w:val="8"/>
  </w:num>
  <w:num w:numId="4">
    <w:abstractNumId w:val="0"/>
  </w:num>
  <w:num w:numId="5">
    <w:abstractNumId w:val="1"/>
  </w:num>
  <w:num w:numId="6">
    <w:abstractNumId w:val="4"/>
  </w:num>
  <w:num w:numId="7">
    <w:abstractNumId w:val="7"/>
  </w:num>
  <w:num w:numId="8">
    <w:abstractNumId w:val="5"/>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5"/>
  <w:drawingGridHorizontalSpacing w:val="105"/>
  <w:drawingGridVerticalSpacing w:val="146"/>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iZmIxY2ZiNzg0NjFkYTM1MDM1ZjljNjg4M2E1YWMifQ=="/>
  </w:docVars>
  <w:rsids>
    <w:rsidRoot w:val="00822AF1"/>
    <w:rsid w:val="000021F1"/>
    <w:rsid w:val="00003DC7"/>
    <w:rsid w:val="00005139"/>
    <w:rsid w:val="000060F7"/>
    <w:rsid w:val="000065F6"/>
    <w:rsid w:val="00006B61"/>
    <w:rsid w:val="00006BCB"/>
    <w:rsid w:val="000114A6"/>
    <w:rsid w:val="00012B1C"/>
    <w:rsid w:val="00014F7E"/>
    <w:rsid w:val="0001609A"/>
    <w:rsid w:val="00016776"/>
    <w:rsid w:val="000177E7"/>
    <w:rsid w:val="00017ECF"/>
    <w:rsid w:val="00020C65"/>
    <w:rsid w:val="00021067"/>
    <w:rsid w:val="00021BC0"/>
    <w:rsid w:val="00023FC6"/>
    <w:rsid w:val="000242A5"/>
    <w:rsid w:val="00024E29"/>
    <w:rsid w:val="00025F21"/>
    <w:rsid w:val="00026BBB"/>
    <w:rsid w:val="000270C3"/>
    <w:rsid w:val="000276E8"/>
    <w:rsid w:val="00027F43"/>
    <w:rsid w:val="00031E43"/>
    <w:rsid w:val="000333D7"/>
    <w:rsid w:val="00033D8D"/>
    <w:rsid w:val="00034AA1"/>
    <w:rsid w:val="00036863"/>
    <w:rsid w:val="00036F39"/>
    <w:rsid w:val="000440A4"/>
    <w:rsid w:val="00045D22"/>
    <w:rsid w:val="00046B9E"/>
    <w:rsid w:val="0005153E"/>
    <w:rsid w:val="000544A7"/>
    <w:rsid w:val="0005513D"/>
    <w:rsid w:val="00055398"/>
    <w:rsid w:val="00055BC4"/>
    <w:rsid w:val="00056AE9"/>
    <w:rsid w:val="00057ADA"/>
    <w:rsid w:val="000605BB"/>
    <w:rsid w:val="0006121F"/>
    <w:rsid w:val="00062851"/>
    <w:rsid w:val="00062C51"/>
    <w:rsid w:val="0006579C"/>
    <w:rsid w:val="0006657E"/>
    <w:rsid w:val="00066E0B"/>
    <w:rsid w:val="000704C0"/>
    <w:rsid w:val="00071631"/>
    <w:rsid w:val="00072A72"/>
    <w:rsid w:val="00073884"/>
    <w:rsid w:val="00073CD4"/>
    <w:rsid w:val="000742E4"/>
    <w:rsid w:val="00076A17"/>
    <w:rsid w:val="000824BA"/>
    <w:rsid w:val="00082C5C"/>
    <w:rsid w:val="00082F11"/>
    <w:rsid w:val="0008366C"/>
    <w:rsid w:val="000837A2"/>
    <w:rsid w:val="00084B83"/>
    <w:rsid w:val="00085AAC"/>
    <w:rsid w:val="00090BB5"/>
    <w:rsid w:val="0009388C"/>
    <w:rsid w:val="000939A7"/>
    <w:rsid w:val="00094CD5"/>
    <w:rsid w:val="000956B3"/>
    <w:rsid w:val="00096A17"/>
    <w:rsid w:val="00096BDF"/>
    <w:rsid w:val="0009760F"/>
    <w:rsid w:val="000A2FC6"/>
    <w:rsid w:val="000A41F7"/>
    <w:rsid w:val="000A535D"/>
    <w:rsid w:val="000A5684"/>
    <w:rsid w:val="000B048C"/>
    <w:rsid w:val="000B1517"/>
    <w:rsid w:val="000B7486"/>
    <w:rsid w:val="000B7669"/>
    <w:rsid w:val="000C0376"/>
    <w:rsid w:val="000C0CA5"/>
    <w:rsid w:val="000C1440"/>
    <w:rsid w:val="000C3447"/>
    <w:rsid w:val="000C3B7F"/>
    <w:rsid w:val="000C4A8C"/>
    <w:rsid w:val="000C6DBE"/>
    <w:rsid w:val="000C73FF"/>
    <w:rsid w:val="000C7D2E"/>
    <w:rsid w:val="000D004D"/>
    <w:rsid w:val="000D12F6"/>
    <w:rsid w:val="000D24A9"/>
    <w:rsid w:val="000D5CD6"/>
    <w:rsid w:val="000D640F"/>
    <w:rsid w:val="000E0296"/>
    <w:rsid w:val="000E1348"/>
    <w:rsid w:val="000E4679"/>
    <w:rsid w:val="000E6362"/>
    <w:rsid w:val="000F17DF"/>
    <w:rsid w:val="000F1C96"/>
    <w:rsid w:val="000F299B"/>
    <w:rsid w:val="000F2FA5"/>
    <w:rsid w:val="000F3196"/>
    <w:rsid w:val="000F3822"/>
    <w:rsid w:val="000F3C65"/>
    <w:rsid w:val="000F4765"/>
    <w:rsid w:val="000F5749"/>
    <w:rsid w:val="000F7AE6"/>
    <w:rsid w:val="00101213"/>
    <w:rsid w:val="0010432D"/>
    <w:rsid w:val="00105C21"/>
    <w:rsid w:val="001062AB"/>
    <w:rsid w:val="001065A0"/>
    <w:rsid w:val="00106600"/>
    <w:rsid w:val="00106A54"/>
    <w:rsid w:val="00106D92"/>
    <w:rsid w:val="00110803"/>
    <w:rsid w:val="00113C44"/>
    <w:rsid w:val="00115161"/>
    <w:rsid w:val="00115439"/>
    <w:rsid w:val="00116CC8"/>
    <w:rsid w:val="00116DBE"/>
    <w:rsid w:val="001209A8"/>
    <w:rsid w:val="00120B27"/>
    <w:rsid w:val="001216F8"/>
    <w:rsid w:val="0012335D"/>
    <w:rsid w:val="00126079"/>
    <w:rsid w:val="00127195"/>
    <w:rsid w:val="00127354"/>
    <w:rsid w:val="00127CC7"/>
    <w:rsid w:val="00130A9A"/>
    <w:rsid w:val="001319A2"/>
    <w:rsid w:val="001320A5"/>
    <w:rsid w:val="00132552"/>
    <w:rsid w:val="001331C3"/>
    <w:rsid w:val="00133CFB"/>
    <w:rsid w:val="00134C5A"/>
    <w:rsid w:val="00135483"/>
    <w:rsid w:val="00136201"/>
    <w:rsid w:val="00137CF4"/>
    <w:rsid w:val="0014305A"/>
    <w:rsid w:val="00143AE7"/>
    <w:rsid w:val="0014483C"/>
    <w:rsid w:val="00144EDF"/>
    <w:rsid w:val="001462D7"/>
    <w:rsid w:val="00146BB1"/>
    <w:rsid w:val="001471B3"/>
    <w:rsid w:val="001474D5"/>
    <w:rsid w:val="00147B72"/>
    <w:rsid w:val="001501E4"/>
    <w:rsid w:val="001503E1"/>
    <w:rsid w:val="00151950"/>
    <w:rsid w:val="00151BCA"/>
    <w:rsid w:val="0015339B"/>
    <w:rsid w:val="0015366A"/>
    <w:rsid w:val="001539B3"/>
    <w:rsid w:val="001542EE"/>
    <w:rsid w:val="00154675"/>
    <w:rsid w:val="00155193"/>
    <w:rsid w:val="001553EC"/>
    <w:rsid w:val="00155CB8"/>
    <w:rsid w:val="001569DC"/>
    <w:rsid w:val="00157965"/>
    <w:rsid w:val="00161885"/>
    <w:rsid w:val="00162263"/>
    <w:rsid w:val="001639BC"/>
    <w:rsid w:val="00163DB6"/>
    <w:rsid w:val="00163ED5"/>
    <w:rsid w:val="00164ABA"/>
    <w:rsid w:val="0016506B"/>
    <w:rsid w:val="00167B47"/>
    <w:rsid w:val="001705EF"/>
    <w:rsid w:val="0017062E"/>
    <w:rsid w:val="00170855"/>
    <w:rsid w:val="00171AE8"/>
    <w:rsid w:val="00173EEF"/>
    <w:rsid w:val="001752DD"/>
    <w:rsid w:val="00176DDF"/>
    <w:rsid w:val="00180009"/>
    <w:rsid w:val="0018080C"/>
    <w:rsid w:val="00181408"/>
    <w:rsid w:val="00181970"/>
    <w:rsid w:val="00185B7D"/>
    <w:rsid w:val="001860E5"/>
    <w:rsid w:val="0018667B"/>
    <w:rsid w:val="001909F8"/>
    <w:rsid w:val="001916EA"/>
    <w:rsid w:val="0019175E"/>
    <w:rsid w:val="00192491"/>
    <w:rsid w:val="0019270C"/>
    <w:rsid w:val="001943E8"/>
    <w:rsid w:val="00197156"/>
    <w:rsid w:val="001972B4"/>
    <w:rsid w:val="00197325"/>
    <w:rsid w:val="00197B96"/>
    <w:rsid w:val="001A0F57"/>
    <w:rsid w:val="001A121B"/>
    <w:rsid w:val="001A16F7"/>
    <w:rsid w:val="001A2217"/>
    <w:rsid w:val="001A2797"/>
    <w:rsid w:val="001A5BDF"/>
    <w:rsid w:val="001A6895"/>
    <w:rsid w:val="001B2DEF"/>
    <w:rsid w:val="001B5050"/>
    <w:rsid w:val="001B73A0"/>
    <w:rsid w:val="001B7E61"/>
    <w:rsid w:val="001B7F47"/>
    <w:rsid w:val="001C14B1"/>
    <w:rsid w:val="001C373D"/>
    <w:rsid w:val="001C5C56"/>
    <w:rsid w:val="001C5F27"/>
    <w:rsid w:val="001C7C11"/>
    <w:rsid w:val="001D01DB"/>
    <w:rsid w:val="001D1657"/>
    <w:rsid w:val="001D4A32"/>
    <w:rsid w:val="001D6773"/>
    <w:rsid w:val="001D6B89"/>
    <w:rsid w:val="001D6E74"/>
    <w:rsid w:val="001D702A"/>
    <w:rsid w:val="001E13DE"/>
    <w:rsid w:val="001E1981"/>
    <w:rsid w:val="001E2637"/>
    <w:rsid w:val="001E61A6"/>
    <w:rsid w:val="001E7093"/>
    <w:rsid w:val="001E7A14"/>
    <w:rsid w:val="001F110F"/>
    <w:rsid w:val="001F15A6"/>
    <w:rsid w:val="001F1B38"/>
    <w:rsid w:val="001F1FA1"/>
    <w:rsid w:val="001F2972"/>
    <w:rsid w:val="001F3E1F"/>
    <w:rsid w:val="001F5085"/>
    <w:rsid w:val="001F7971"/>
    <w:rsid w:val="002015B0"/>
    <w:rsid w:val="00201E97"/>
    <w:rsid w:val="00203A07"/>
    <w:rsid w:val="00210ECA"/>
    <w:rsid w:val="00211A2F"/>
    <w:rsid w:val="00213857"/>
    <w:rsid w:val="00213E9A"/>
    <w:rsid w:val="002142E2"/>
    <w:rsid w:val="00215C57"/>
    <w:rsid w:val="002173E8"/>
    <w:rsid w:val="00217582"/>
    <w:rsid w:val="002178D7"/>
    <w:rsid w:val="00217A24"/>
    <w:rsid w:val="00220546"/>
    <w:rsid w:val="002206A2"/>
    <w:rsid w:val="00223B19"/>
    <w:rsid w:val="00224864"/>
    <w:rsid w:val="002248B3"/>
    <w:rsid w:val="00225AFD"/>
    <w:rsid w:val="00230D01"/>
    <w:rsid w:val="00231963"/>
    <w:rsid w:val="00233012"/>
    <w:rsid w:val="002330E9"/>
    <w:rsid w:val="00234032"/>
    <w:rsid w:val="00236135"/>
    <w:rsid w:val="00243056"/>
    <w:rsid w:val="0024324A"/>
    <w:rsid w:val="002440FD"/>
    <w:rsid w:val="00244357"/>
    <w:rsid w:val="00244C9A"/>
    <w:rsid w:val="00244FFE"/>
    <w:rsid w:val="00247653"/>
    <w:rsid w:val="00250A8C"/>
    <w:rsid w:val="00254FD3"/>
    <w:rsid w:val="002561D3"/>
    <w:rsid w:val="00256269"/>
    <w:rsid w:val="00260723"/>
    <w:rsid w:val="002607A3"/>
    <w:rsid w:val="00260BB7"/>
    <w:rsid w:val="00262FF0"/>
    <w:rsid w:val="002636B3"/>
    <w:rsid w:val="002664E2"/>
    <w:rsid w:val="0027038C"/>
    <w:rsid w:val="002716FB"/>
    <w:rsid w:val="0027505D"/>
    <w:rsid w:val="002751D4"/>
    <w:rsid w:val="00280A99"/>
    <w:rsid w:val="00281581"/>
    <w:rsid w:val="00281895"/>
    <w:rsid w:val="00287E9A"/>
    <w:rsid w:val="002910ED"/>
    <w:rsid w:val="00291D3C"/>
    <w:rsid w:val="0029219F"/>
    <w:rsid w:val="00293E8A"/>
    <w:rsid w:val="00293F75"/>
    <w:rsid w:val="00294281"/>
    <w:rsid w:val="00296F36"/>
    <w:rsid w:val="00297496"/>
    <w:rsid w:val="002975F4"/>
    <w:rsid w:val="002976E3"/>
    <w:rsid w:val="002A1D98"/>
    <w:rsid w:val="002A257F"/>
    <w:rsid w:val="002A2FE1"/>
    <w:rsid w:val="002A31C4"/>
    <w:rsid w:val="002A5EB4"/>
    <w:rsid w:val="002B340B"/>
    <w:rsid w:val="002B3493"/>
    <w:rsid w:val="002B3A14"/>
    <w:rsid w:val="002B3ED2"/>
    <w:rsid w:val="002B3F6A"/>
    <w:rsid w:val="002B49AD"/>
    <w:rsid w:val="002B5887"/>
    <w:rsid w:val="002B758B"/>
    <w:rsid w:val="002B7C5D"/>
    <w:rsid w:val="002C0ED5"/>
    <w:rsid w:val="002C14F9"/>
    <w:rsid w:val="002C57E1"/>
    <w:rsid w:val="002C5A53"/>
    <w:rsid w:val="002C5DC3"/>
    <w:rsid w:val="002C639D"/>
    <w:rsid w:val="002D0440"/>
    <w:rsid w:val="002D2BA8"/>
    <w:rsid w:val="002D2D7E"/>
    <w:rsid w:val="002D2EC2"/>
    <w:rsid w:val="002D337A"/>
    <w:rsid w:val="002D337E"/>
    <w:rsid w:val="002D49D4"/>
    <w:rsid w:val="002D5A0E"/>
    <w:rsid w:val="002D6427"/>
    <w:rsid w:val="002D7C63"/>
    <w:rsid w:val="002E0D36"/>
    <w:rsid w:val="002E1BAA"/>
    <w:rsid w:val="002E206A"/>
    <w:rsid w:val="002E32E7"/>
    <w:rsid w:val="002E4F80"/>
    <w:rsid w:val="002E7D17"/>
    <w:rsid w:val="002F0DD3"/>
    <w:rsid w:val="002F160B"/>
    <w:rsid w:val="002F39C9"/>
    <w:rsid w:val="002F5991"/>
    <w:rsid w:val="002F6543"/>
    <w:rsid w:val="002F7432"/>
    <w:rsid w:val="0030004D"/>
    <w:rsid w:val="003007AD"/>
    <w:rsid w:val="0030300C"/>
    <w:rsid w:val="00303B22"/>
    <w:rsid w:val="00305902"/>
    <w:rsid w:val="0030792E"/>
    <w:rsid w:val="00307D8B"/>
    <w:rsid w:val="003100C5"/>
    <w:rsid w:val="003102E4"/>
    <w:rsid w:val="00311404"/>
    <w:rsid w:val="00311F7A"/>
    <w:rsid w:val="00314A50"/>
    <w:rsid w:val="00314CE0"/>
    <w:rsid w:val="003161E0"/>
    <w:rsid w:val="0031718B"/>
    <w:rsid w:val="00320AF9"/>
    <w:rsid w:val="0032284B"/>
    <w:rsid w:val="00322C31"/>
    <w:rsid w:val="0032383B"/>
    <w:rsid w:val="00324629"/>
    <w:rsid w:val="00324942"/>
    <w:rsid w:val="00325F10"/>
    <w:rsid w:val="00327962"/>
    <w:rsid w:val="0033180A"/>
    <w:rsid w:val="00332BD1"/>
    <w:rsid w:val="00333DCA"/>
    <w:rsid w:val="00340404"/>
    <w:rsid w:val="00341B1F"/>
    <w:rsid w:val="00342232"/>
    <w:rsid w:val="00342F58"/>
    <w:rsid w:val="003442CD"/>
    <w:rsid w:val="00344A42"/>
    <w:rsid w:val="00345172"/>
    <w:rsid w:val="00345847"/>
    <w:rsid w:val="00345904"/>
    <w:rsid w:val="00346DB2"/>
    <w:rsid w:val="00351E99"/>
    <w:rsid w:val="00352805"/>
    <w:rsid w:val="00352E10"/>
    <w:rsid w:val="00361414"/>
    <w:rsid w:val="0036323C"/>
    <w:rsid w:val="003637A9"/>
    <w:rsid w:val="00364C10"/>
    <w:rsid w:val="00364D92"/>
    <w:rsid w:val="003651A8"/>
    <w:rsid w:val="0036697F"/>
    <w:rsid w:val="00366A7D"/>
    <w:rsid w:val="00366B06"/>
    <w:rsid w:val="00370538"/>
    <w:rsid w:val="00370EE3"/>
    <w:rsid w:val="00371669"/>
    <w:rsid w:val="003723DE"/>
    <w:rsid w:val="0037409D"/>
    <w:rsid w:val="00374A1A"/>
    <w:rsid w:val="0037542D"/>
    <w:rsid w:val="003757DC"/>
    <w:rsid w:val="003757FE"/>
    <w:rsid w:val="0037639C"/>
    <w:rsid w:val="00376BFC"/>
    <w:rsid w:val="00380344"/>
    <w:rsid w:val="003805A7"/>
    <w:rsid w:val="003813A4"/>
    <w:rsid w:val="00381970"/>
    <w:rsid w:val="0038206F"/>
    <w:rsid w:val="00382C6A"/>
    <w:rsid w:val="00382E67"/>
    <w:rsid w:val="003837A1"/>
    <w:rsid w:val="003837C7"/>
    <w:rsid w:val="00383877"/>
    <w:rsid w:val="00384669"/>
    <w:rsid w:val="00384843"/>
    <w:rsid w:val="00384B1E"/>
    <w:rsid w:val="00386BE7"/>
    <w:rsid w:val="00386DF4"/>
    <w:rsid w:val="00387E7E"/>
    <w:rsid w:val="00391A1F"/>
    <w:rsid w:val="00391F59"/>
    <w:rsid w:val="003942C1"/>
    <w:rsid w:val="003955A2"/>
    <w:rsid w:val="00396302"/>
    <w:rsid w:val="00397211"/>
    <w:rsid w:val="003A09F4"/>
    <w:rsid w:val="003A10B4"/>
    <w:rsid w:val="003A10F5"/>
    <w:rsid w:val="003A1A6E"/>
    <w:rsid w:val="003A454B"/>
    <w:rsid w:val="003A4E67"/>
    <w:rsid w:val="003A5ED9"/>
    <w:rsid w:val="003A72E5"/>
    <w:rsid w:val="003B367D"/>
    <w:rsid w:val="003B3E7D"/>
    <w:rsid w:val="003B559E"/>
    <w:rsid w:val="003B59D9"/>
    <w:rsid w:val="003B5D45"/>
    <w:rsid w:val="003B62CF"/>
    <w:rsid w:val="003B6952"/>
    <w:rsid w:val="003B6DB5"/>
    <w:rsid w:val="003C10DD"/>
    <w:rsid w:val="003C1190"/>
    <w:rsid w:val="003C1289"/>
    <w:rsid w:val="003C3300"/>
    <w:rsid w:val="003C3481"/>
    <w:rsid w:val="003C3791"/>
    <w:rsid w:val="003C422D"/>
    <w:rsid w:val="003C5ABF"/>
    <w:rsid w:val="003C69D7"/>
    <w:rsid w:val="003C7AE5"/>
    <w:rsid w:val="003D10D2"/>
    <w:rsid w:val="003D137A"/>
    <w:rsid w:val="003D1E45"/>
    <w:rsid w:val="003D2006"/>
    <w:rsid w:val="003D2D05"/>
    <w:rsid w:val="003D300E"/>
    <w:rsid w:val="003D430B"/>
    <w:rsid w:val="003D647D"/>
    <w:rsid w:val="003D7B1B"/>
    <w:rsid w:val="003E01CB"/>
    <w:rsid w:val="003E01D7"/>
    <w:rsid w:val="003E11C1"/>
    <w:rsid w:val="003E15AA"/>
    <w:rsid w:val="003E19BE"/>
    <w:rsid w:val="003E2BFA"/>
    <w:rsid w:val="003E3C34"/>
    <w:rsid w:val="003E46E0"/>
    <w:rsid w:val="003E5F8D"/>
    <w:rsid w:val="003E744E"/>
    <w:rsid w:val="003E7467"/>
    <w:rsid w:val="003F0E5A"/>
    <w:rsid w:val="003F2F87"/>
    <w:rsid w:val="003F3D20"/>
    <w:rsid w:val="003F3D3D"/>
    <w:rsid w:val="003F4477"/>
    <w:rsid w:val="003F4A55"/>
    <w:rsid w:val="003F4F24"/>
    <w:rsid w:val="003F4FAB"/>
    <w:rsid w:val="003F5A9B"/>
    <w:rsid w:val="003F5CA7"/>
    <w:rsid w:val="003F6983"/>
    <w:rsid w:val="004007DB"/>
    <w:rsid w:val="00400C8B"/>
    <w:rsid w:val="004018B8"/>
    <w:rsid w:val="004022DD"/>
    <w:rsid w:val="004024F1"/>
    <w:rsid w:val="00403EE9"/>
    <w:rsid w:val="004043A2"/>
    <w:rsid w:val="00405121"/>
    <w:rsid w:val="0041079B"/>
    <w:rsid w:val="00410D40"/>
    <w:rsid w:val="00411141"/>
    <w:rsid w:val="00412922"/>
    <w:rsid w:val="00412A51"/>
    <w:rsid w:val="00414707"/>
    <w:rsid w:val="00414E62"/>
    <w:rsid w:val="00416102"/>
    <w:rsid w:val="0041786D"/>
    <w:rsid w:val="0042033E"/>
    <w:rsid w:val="004207BA"/>
    <w:rsid w:val="00420952"/>
    <w:rsid w:val="00420ECB"/>
    <w:rsid w:val="00421F2E"/>
    <w:rsid w:val="0042200D"/>
    <w:rsid w:val="00422355"/>
    <w:rsid w:val="00423691"/>
    <w:rsid w:val="004248EB"/>
    <w:rsid w:val="00426DC2"/>
    <w:rsid w:val="00427452"/>
    <w:rsid w:val="004278D2"/>
    <w:rsid w:val="00427D01"/>
    <w:rsid w:val="00431297"/>
    <w:rsid w:val="00433227"/>
    <w:rsid w:val="00434521"/>
    <w:rsid w:val="00435338"/>
    <w:rsid w:val="00435C59"/>
    <w:rsid w:val="0043640B"/>
    <w:rsid w:val="00436A23"/>
    <w:rsid w:val="00437A7F"/>
    <w:rsid w:val="00440C79"/>
    <w:rsid w:val="00441801"/>
    <w:rsid w:val="00441A24"/>
    <w:rsid w:val="00442C53"/>
    <w:rsid w:val="0044338F"/>
    <w:rsid w:val="00443946"/>
    <w:rsid w:val="00444AAB"/>
    <w:rsid w:val="00445268"/>
    <w:rsid w:val="00445A89"/>
    <w:rsid w:val="00446354"/>
    <w:rsid w:val="004467D3"/>
    <w:rsid w:val="004541C8"/>
    <w:rsid w:val="0045494F"/>
    <w:rsid w:val="00455782"/>
    <w:rsid w:val="0046208D"/>
    <w:rsid w:val="00462769"/>
    <w:rsid w:val="004635F0"/>
    <w:rsid w:val="00464466"/>
    <w:rsid w:val="0047140D"/>
    <w:rsid w:val="004717D9"/>
    <w:rsid w:val="00472192"/>
    <w:rsid w:val="00472FDE"/>
    <w:rsid w:val="00474521"/>
    <w:rsid w:val="00474B80"/>
    <w:rsid w:val="00475C95"/>
    <w:rsid w:val="004765B6"/>
    <w:rsid w:val="00477688"/>
    <w:rsid w:val="00481BCD"/>
    <w:rsid w:val="0048224C"/>
    <w:rsid w:val="00482715"/>
    <w:rsid w:val="004837DF"/>
    <w:rsid w:val="00484CB3"/>
    <w:rsid w:val="004874B1"/>
    <w:rsid w:val="0049146C"/>
    <w:rsid w:val="00491A79"/>
    <w:rsid w:val="0049301E"/>
    <w:rsid w:val="004939DA"/>
    <w:rsid w:val="00494B59"/>
    <w:rsid w:val="00494C4F"/>
    <w:rsid w:val="004957EF"/>
    <w:rsid w:val="004A099A"/>
    <w:rsid w:val="004A4374"/>
    <w:rsid w:val="004A4795"/>
    <w:rsid w:val="004A4C5B"/>
    <w:rsid w:val="004A5947"/>
    <w:rsid w:val="004A5A84"/>
    <w:rsid w:val="004A5B1A"/>
    <w:rsid w:val="004A7991"/>
    <w:rsid w:val="004A7C68"/>
    <w:rsid w:val="004B060B"/>
    <w:rsid w:val="004B0612"/>
    <w:rsid w:val="004B0715"/>
    <w:rsid w:val="004B23E3"/>
    <w:rsid w:val="004B2C74"/>
    <w:rsid w:val="004B4BBB"/>
    <w:rsid w:val="004B4EFA"/>
    <w:rsid w:val="004B57E2"/>
    <w:rsid w:val="004B5E0A"/>
    <w:rsid w:val="004B642D"/>
    <w:rsid w:val="004B6BE7"/>
    <w:rsid w:val="004C1A8F"/>
    <w:rsid w:val="004C37E9"/>
    <w:rsid w:val="004C4882"/>
    <w:rsid w:val="004C51B3"/>
    <w:rsid w:val="004C598D"/>
    <w:rsid w:val="004C6730"/>
    <w:rsid w:val="004C6B95"/>
    <w:rsid w:val="004D139B"/>
    <w:rsid w:val="004D13A1"/>
    <w:rsid w:val="004D1559"/>
    <w:rsid w:val="004D21EC"/>
    <w:rsid w:val="004D2366"/>
    <w:rsid w:val="004D36A3"/>
    <w:rsid w:val="004D510B"/>
    <w:rsid w:val="004D6107"/>
    <w:rsid w:val="004D6335"/>
    <w:rsid w:val="004E0ECA"/>
    <w:rsid w:val="004E4130"/>
    <w:rsid w:val="004E6338"/>
    <w:rsid w:val="004E6D99"/>
    <w:rsid w:val="004E6F8D"/>
    <w:rsid w:val="004F05B3"/>
    <w:rsid w:val="004F0D38"/>
    <w:rsid w:val="004F2C95"/>
    <w:rsid w:val="004F34A8"/>
    <w:rsid w:val="004F4AE0"/>
    <w:rsid w:val="004F526C"/>
    <w:rsid w:val="004F54BA"/>
    <w:rsid w:val="005000FE"/>
    <w:rsid w:val="00500D41"/>
    <w:rsid w:val="00502660"/>
    <w:rsid w:val="00503685"/>
    <w:rsid w:val="00504FB2"/>
    <w:rsid w:val="00505733"/>
    <w:rsid w:val="00506B42"/>
    <w:rsid w:val="005118AB"/>
    <w:rsid w:val="00512034"/>
    <w:rsid w:val="005142D5"/>
    <w:rsid w:val="00514D3A"/>
    <w:rsid w:val="00514F73"/>
    <w:rsid w:val="0052793F"/>
    <w:rsid w:val="00527C3A"/>
    <w:rsid w:val="00532ED5"/>
    <w:rsid w:val="00533AE1"/>
    <w:rsid w:val="00533FB8"/>
    <w:rsid w:val="005340AF"/>
    <w:rsid w:val="00535FA1"/>
    <w:rsid w:val="005361E9"/>
    <w:rsid w:val="0054082E"/>
    <w:rsid w:val="0054132B"/>
    <w:rsid w:val="00541D5A"/>
    <w:rsid w:val="00542A4C"/>
    <w:rsid w:val="005448F9"/>
    <w:rsid w:val="00545C97"/>
    <w:rsid w:val="00546111"/>
    <w:rsid w:val="0054631A"/>
    <w:rsid w:val="005474A7"/>
    <w:rsid w:val="00547F1A"/>
    <w:rsid w:val="00551078"/>
    <w:rsid w:val="005528D7"/>
    <w:rsid w:val="0055319A"/>
    <w:rsid w:val="00553209"/>
    <w:rsid w:val="00553A93"/>
    <w:rsid w:val="00553E41"/>
    <w:rsid w:val="00556ACF"/>
    <w:rsid w:val="00557A2E"/>
    <w:rsid w:val="005619A4"/>
    <w:rsid w:val="00563148"/>
    <w:rsid w:val="00564925"/>
    <w:rsid w:val="00565404"/>
    <w:rsid w:val="005662B1"/>
    <w:rsid w:val="005700F5"/>
    <w:rsid w:val="005704A3"/>
    <w:rsid w:val="00570DA0"/>
    <w:rsid w:val="00572AAC"/>
    <w:rsid w:val="00576136"/>
    <w:rsid w:val="005764D5"/>
    <w:rsid w:val="005765A1"/>
    <w:rsid w:val="00576A34"/>
    <w:rsid w:val="0058049C"/>
    <w:rsid w:val="00580792"/>
    <w:rsid w:val="0058113B"/>
    <w:rsid w:val="00581334"/>
    <w:rsid w:val="00581514"/>
    <w:rsid w:val="00582386"/>
    <w:rsid w:val="00582A77"/>
    <w:rsid w:val="00582F7C"/>
    <w:rsid w:val="00583B02"/>
    <w:rsid w:val="00585B72"/>
    <w:rsid w:val="00585E2F"/>
    <w:rsid w:val="00592963"/>
    <w:rsid w:val="005930B9"/>
    <w:rsid w:val="005946DC"/>
    <w:rsid w:val="00595052"/>
    <w:rsid w:val="005966F6"/>
    <w:rsid w:val="00597A56"/>
    <w:rsid w:val="00597AD8"/>
    <w:rsid w:val="005A0E90"/>
    <w:rsid w:val="005A1B17"/>
    <w:rsid w:val="005A26D5"/>
    <w:rsid w:val="005A31E3"/>
    <w:rsid w:val="005A5060"/>
    <w:rsid w:val="005A71B8"/>
    <w:rsid w:val="005B0841"/>
    <w:rsid w:val="005B220B"/>
    <w:rsid w:val="005B296B"/>
    <w:rsid w:val="005B2A20"/>
    <w:rsid w:val="005B317C"/>
    <w:rsid w:val="005B5728"/>
    <w:rsid w:val="005B6660"/>
    <w:rsid w:val="005B666F"/>
    <w:rsid w:val="005B6B13"/>
    <w:rsid w:val="005B713F"/>
    <w:rsid w:val="005C1AC2"/>
    <w:rsid w:val="005C226F"/>
    <w:rsid w:val="005C31A5"/>
    <w:rsid w:val="005C54A5"/>
    <w:rsid w:val="005C5E1B"/>
    <w:rsid w:val="005C7F76"/>
    <w:rsid w:val="005D0E31"/>
    <w:rsid w:val="005D0FF6"/>
    <w:rsid w:val="005D1814"/>
    <w:rsid w:val="005D2582"/>
    <w:rsid w:val="005D2F4F"/>
    <w:rsid w:val="005D45E2"/>
    <w:rsid w:val="005D4F77"/>
    <w:rsid w:val="005D50E5"/>
    <w:rsid w:val="005D622B"/>
    <w:rsid w:val="005D6EAC"/>
    <w:rsid w:val="005D7231"/>
    <w:rsid w:val="005D74B4"/>
    <w:rsid w:val="005E041E"/>
    <w:rsid w:val="005E066A"/>
    <w:rsid w:val="005E08F0"/>
    <w:rsid w:val="005E0D27"/>
    <w:rsid w:val="005E209B"/>
    <w:rsid w:val="005E2853"/>
    <w:rsid w:val="005E3525"/>
    <w:rsid w:val="005E6190"/>
    <w:rsid w:val="005E6D04"/>
    <w:rsid w:val="005E711C"/>
    <w:rsid w:val="005E74E2"/>
    <w:rsid w:val="005E78FF"/>
    <w:rsid w:val="005E797D"/>
    <w:rsid w:val="005F1F14"/>
    <w:rsid w:val="005F2D59"/>
    <w:rsid w:val="005F37C7"/>
    <w:rsid w:val="005F4260"/>
    <w:rsid w:val="005F4702"/>
    <w:rsid w:val="005F5746"/>
    <w:rsid w:val="005F5F5F"/>
    <w:rsid w:val="005F6011"/>
    <w:rsid w:val="005F688B"/>
    <w:rsid w:val="00600EF7"/>
    <w:rsid w:val="006013D6"/>
    <w:rsid w:val="0060313A"/>
    <w:rsid w:val="00605458"/>
    <w:rsid w:val="0060612E"/>
    <w:rsid w:val="00606422"/>
    <w:rsid w:val="00610966"/>
    <w:rsid w:val="00611087"/>
    <w:rsid w:val="00611A6B"/>
    <w:rsid w:val="00611B75"/>
    <w:rsid w:val="00612785"/>
    <w:rsid w:val="00615124"/>
    <w:rsid w:val="00617A49"/>
    <w:rsid w:val="00617E8B"/>
    <w:rsid w:val="006233EB"/>
    <w:rsid w:val="00624406"/>
    <w:rsid w:val="0062494A"/>
    <w:rsid w:val="006253F1"/>
    <w:rsid w:val="006264B1"/>
    <w:rsid w:val="00630DAC"/>
    <w:rsid w:val="00630E1C"/>
    <w:rsid w:val="006319BA"/>
    <w:rsid w:val="00635980"/>
    <w:rsid w:val="00635F47"/>
    <w:rsid w:val="006377D7"/>
    <w:rsid w:val="00640359"/>
    <w:rsid w:val="0064259B"/>
    <w:rsid w:val="00643300"/>
    <w:rsid w:val="006435C5"/>
    <w:rsid w:val="006439B3"/>
    <w:rsid w:val="00643CB6"/>
    <w:rsid w:val="0064411E"/>
    <w:rsid w:val="00644909"/>
    <w:rsid w:val="00646034"/>
    <w:rsid w:val="006502FA"/>
    <w:rsid w:val="00650C43"/>
    <w:rsid w:val="00651685"/>
    <w:rsid w:val="00651A7D"/>
    <w:rsid w:val="00651B78"/>
    <w:rsid w:val="00651D3F"/>
    <w:rsid w:val="00651EDB"/>
    <w:rsid w:val="0065276D"/>
    <w:rsid w:val="00653120"/>
    <w:rsid w:val="00653342"/>
    <w:rsid w:val="00653D99"/>
    <w:rsid w:val="00654444"/>
    <w:rsid w:val="00654E03"/>
    <w:rsid w:val="00655FB0"/>
    <w:rsid w:val="006605C3"/>
    <w:rsid w:val="00663932"/>
    <w:rsid w:val="006646FE"/>
    <w:rsid w:val="006653B1"/>
    <w:rsid w:val="0066550E"/>
    <w:rsid w:val="006655F4"/>
    <w:rsid w:val="00667DF2"/>
    <w:rsid w:val="00671016"/>
    <w:rsid w:val="00671C9E"/>
    <w:rsid w:val="006721A6"/>
    <w:rsid w:val="00672F92"/>
    <w:rsid w:val="006730DF"/>
    <w:rsid w:val="00673969"/>
    <w:rsid w:val="00674DA6"/>
    <w:rsid w:val="00674E96"/>
    <w:rsid w:val="00675047"/>
    <w:rsid w:val="006757A0"/>
    <w:rsid w:val="00677195"/>
    <w:rsid w:val="006772C8"/>
    <w:rsid w:val="00677933"/>
    <w:rsid w:val="0068010E"/>
    <w:rsid w:val="006809A1"/>
    <w:rsid w:val="00681716"/>
    <w:rsid w:val="00681E38"/>
    <w:rsid w:val="00682057"/>
    <w:rsid w:val="00682B2A"/>
    <w:rsid w:val="00684434"/>
    <w:rsid w:val="006852A3"/>
    <w:rsid w:val="006861EC"/>
    <w:rsid w:val="00686340"/>
    <w:rsid w:val="0068645D"/>
    <w:rsid w:val="006865A6"/>
    <w:rsid w:val="006926C2"/>
    <w:rsid w:val="00692A73"/>
    <w:rsid w:val="0069416E"/>
    <w:rsid w:val="00694BB8"/>
    <w:rsid w:val="006958E0"/>
    <w:rsid w:val="00697A44"/>
    <w:rsid w:val="006A0347"/>
    <w:rsid w:val="006A0505"/>
    <w:rsid w:val="006A40D6"/>
    <w:rsid w:val="006A46FB"/>
    <w:rsid w:val="006A6A8C"/>
    <w:rsid w:val="006B0BFF"/>
    <w:rsid w:val="006B1F13"/>
    <w:rsid w:val="006B21C1"/>
    <w:rsid w:val="006B31B9"/>
    <w:rsid w:val="006B60FB"/>
    <w:rsid w:val="006C2552"/>
    <w:rsid w:val="006C3AAD"/>
    <w:rsid w:val="006C4BEC"/>
    <w:rsid w:val="006C6A72"/>
    <w:rsid w:val="006D0A14"/>
    <w:rsid w:val="006D253D"/>
    <w:rsid w:val="006D3461"/>
    <w:rsid w:val="006D3599"/>
    <w:rsid w:val="006D4BF1"/>
    <w:rsid w:val="006E04C0"/>
    <w:rsid w:val="006E1F31"/>
    <w:rsid w:val="006E288A"/>
    <w:rsid w:val="006E4B96"/>
    <w:rsid w:val="006E4D62"/>
    <w:rsid w:val="006E7129"/>
    <w:rsid w:val="006F11BC"/>
    <w:rsid w:val="006F2513"/>
    <w:rsid w:val="006F2C72"/>
    <w:rsid w:val="006F39A6"/>
    <w:rsid w:val="006F3A2A"/>
    <w:rsid w:val="006F3F3A"/>
    <w:rsid w:val="006F531B"/>
    <w:rsid w:val="006F603C"/>
    <w:rsid w:val="006F693C"/>
    <w:rsid w:val="006F7164"/>
    <w:rsid w:val="007003F6"/>
    <w:rsid w:val="00700977"/>
    <w:rsid w:val="00700AB7"/>
    <w:rsid w:val="007018A5"/>
    <w:rsid w:val="007019DA"/>
    <w:rsid w:val="007027BB"/>
    <w:rsid w:val="00702825"/>
    <w:rsid w:val="00703613"/>
    <w:rsid w:val="00703B69"/>
    <w:rsid w:val="0070457E"/>
    <w:rsid w:val="00705F12"/>
    <w:rsid w:val="00707F7E"/>
    <w:rsid w:val="0071001E"/>
    <w:rsid w:val="00711682"/>
    <w:rsid w:val="00713650"/>
    <w:rsid w:val="007150B2"/>
    <w:rsid w:val="00717537"/>
    <w:rsid w:val="00720AAE"/>
    <w:rsid w:val="00723AD7"/>
    <w:rsid w:val="00724BA4"/>
    <w:rsid w:val="0073014A"/>
    <w:rsid w:val="00730623"/>
    <w:rsid w:val="00731ABA"/>
    <w:rsid w:val="00734AAC"/>
    <w:rsid w:val="0073782C"/>
    <w:rsid w:val="00737840"/>
    <w:rsid w:val="00737E98"/>
    <w:rsid w:val="00740D6F"/>
    <w:rsid w:val="00740F5D"/>
    <w:rsid w:val="00741C57"/>
    <w:rsid w:val="007420D8"/>
    <w:rsid w:val="0074243F"/>
    <w:rsid w:val="00742A78"/>
    <w:rsid w:val="00744352"/>
    <w:rsid w:val="0074612B"/>
    <w:rsid w:val="00747EEB"/>
    <w:rsid w:val="007526D9"/>
    <w:rsid w:val="007544E5"/>
    <w:rsid w:val="0075607C"/>
    <w:rsid w:val="007565CD"/>
    <w:rsid w:val="00756DD4"/>
    <w:rsid w:val="00761192"/>
    <w:rsid w:val="00761B03"/>
    <w:rsid w:val="00762D54"/>
    <w:rsid w:val="00762E7D"/>
    <w:rsid w:val="007656B3"/>
    <w:rsid w:val="00766122"/>
    <w:rsid w:val="00766753"/>
    <w:rsid w:val="00766F33"/>
    <w:rsid w:val="0077182E"/>
    <w:rsid w:val="007729B6"/>
    <w:rsid w:val="00772AF3"/>
    <w:rsid w:val="0077516D"/>
    <w:rsid w:val="00775AB0"/>
    <w:rsid w:val="0077632D"/>
    <w:rsid w:val="0078081B"/>
    <w:rsid w:val="00783A8D"/>
    <w:rsid w:val="00784C9B"/>
    <w:rsid w:val="007854A7"/>
    <w:rsid w:val="00785824"/>
    <w:rsid w:val="00785C62"/>
    <w:rsid w:val="00785CA4"/>
    <w:rsid w:val="00785E00"/>
    <w:rsid w:val="0078681D"/>
    <w:rsid w:val="00786A14"/>
    <w:rsid w:val="00790456"/>
    <w:rsid w:val="00791200"/>
    <w:rsid w:val="00792334"/>
    <w:rsid w:val="007926F2"/>
    <w:rsid w:val="0079372E"/>
    <w:rsid w:val="00795BCB"/>
    <w:rsid w:val="00796140"/>
    <w:rsid w:val="007970B0"/>
    <w:rsid w:val="007A0C69"/>
    <w:rsid w:val="007A6074"/>
    <w:rsid w:val="007A66DE"/>
    <w:rsid w:val="007A6C95"/>
    <w:rsid w:val="007A724A"/>
    <w:rsid w:val="007B0EFF"/>
    <w:rsid w:val="007B139D"/>
    <w:rsid w:val="007B24F5"/>
    <w:rsid w:val="007B2D3C"/>
    <w:rsid w:val="007B330A"/>
    <w:rsid w:val="007B3392"/>
    <w:rsid w:val="007B5192"/>
    <w:rsid w:val="007B5CFB"/>
    <w:rsid w:val="007B613E"/>
    <w:rsid w:val="007B7166"/>
    <w:rsid w:val="007B792E"/>
    <w:rsid w:val="007C1147"/>
    <w:rsid w:val="007C2B22"/>
    <w:rsid w:val="007C2FF3"/>
    <w:rsid w:val="007C375B"/>
    <w:rsid w:val="007C4E1A"/>
    <w:rsid w:val="007C6419"/>
    <w:rsid w:val="007D0549"/>
    <w:rsid w:val="007D1019"/>
    <w:rsid w:val="007D2B49"/>
    <w:rsid w:val="007D57D4"/>
    <w:rsid w:val="007D7B4A"/>
    <w:rsid w:val="007D7F35"/>
    <w:rsid w:val="007E086A"/>
    <w:rsid w:val="007E0DC0"/>
    <w:rsid w:val="007E13A4"/>
    <w:rsid w:val="007E15B4"/>
    <w:rsid w:val="007E4057"/>
    <w:rsid w:val="007E4FD4"/>
    <w:rsid w:val="007E5F65"/>
    <w:rsid w:val="007F015D"/>
    <w:rsid w:val="007F0A0A"/>
    <w:rsid w:val="007F0EF3"/>
    <w:rsid w:val="007F2F27"/>
    <w:rsid w:val="007F3CBF"/>
    <w:rsid w:val="007F3FF3"/>
    <w:rsid w:val="007F5B3A"/>
    <w:rsid w:val="007F5CE5"/>
    <w:rsid w:val="007F5E90"/>
    <w:rsid w:val="007F61D0"/>
    <w:rsid w:val="007F7178"/>
    <w:rsid w:val="007F762F"/>
    <w:rsid w:val="008006D8"/>
    <w:rsid w:val="00801A93"/>
    <w:rsid w:val="00804038"/>
    <w:rsid w:val="00804FD1"/>
    <w:rsid w:val="00805308"/>
    <w:rsid w:val="00805348"/>
    <w:rsid w:val="00805771"/>
    <w:rsid w:val="00806934"/>
    <w:rsid w:val="00806E4E"/>
    <w:rsid w:val="00807832"/>
    <w:rsid w:val="008100F5"/>
    <w:rsid w:val="008106A3"/>
    <w:rsid w:val="00810A8D"/>
    <w:rsid w:val="00810F19"/>
    <w:rsid w:val="008140CE"/>
    <w:rsid w:val="00817230"/>
    <w:rsid w:val="008179F9"/>
    <w:rsid w:val="00817EC4"/>
    <w:rsid w:val="00821B77"/>
    <w:rsid w:val="008220F7"/>
    <w:rsid w:val="00822AF1"/>
    <w:rsid w:val="008249BE"/>
    <w:rsid w:val="00824A0D"/>
    <w:rsid w:val="00824BC4"/>
    <w:rsid w:val="00824F16"/>
    <w:rsid w:val="00825E64"/>
    <w:rsid w:val="00826376"/>
    <w:rsid w:val="008306E7"/>
    <w:rsid w:val="00830B78"/>
    <w:rsid w:val="00831C73"/>
    <w:rsid w:val="00831ED5"/>
    <w:rsid w:val="00832628"/>
    <w:rsid w:val="0083559D"/>
    <w:rsid w:val="00836173"/>
    <w:rsid w:val="00836F4D"/>
    <w:rsid w:val="00837842"/>
    <w:rsid w:val="00841AB6"/>
    <w:rsid w:val="008441DE"/>
    <w:rsid w:val="00844726"/>
    <w:rsid w:val="00844D3B"/>
    <w:rsid w:val="008473C8"/>
    <w:rsid w:val="00852DCA"/>
    <w:rsid w:val="00856B7C"/>
    <w:rsid w:val="008571C5"/>
    <w:rsid w:val="00860414"/>
    <w:rsid w:val="008618CB"/>
    <w:rsid w:val="00864C4D"/>
    <w:rsid w:val="00866542"/>
    <w:rsid w:val="00867C09"/>
    <w:rsid w:val="00871945"/>
    <w:rsid w:val="00871A21"/>
    <w:rsid w:val="00871E98"/>
    <w:rsid w:val="00873C3E"/>
    <w:rsid w:val="008746B5"/>
    <w:rsid w:val="008753E1"/>
    <w:rsid w:val="00881711"/>
    <w:rsid w:val="008832F8"/>
    <w:rsid w:val="008858D1"/>
    <w:rsid w:val="00885EA5"/>
    <w:rsid w:val="0088773B"/>
    <w:rsid w:val="00887A46"/>
    <w:rsid w:val="008925CC"/>
    <w:rsid w:val="00892845"/>
    <w:rsid w:val="00892AFD"/>
    <w:rsid w:val="008931CC"/>
    <w:rsid w:val="0089490E"/>
    <w:rsid w:val="00897744"/>
    <w:rsid w:val="008A26E2"/>
    <w:rsid w:val="008A397D"/>
    <w:rsid w:val="008A51F4"/>
    <w:rsid w:val="008A63E4"/>
    <w:rsid w:val="008A65F1"/>
    <w:rsid w:val="008B1D69"/>
    <w:rsid w:val="008B3D5C"/>
    <w:rsid w:val="008B5535"/>
    <w:rsid w:val="008B7BC9"/>
    <w:rsid w:val="008C1804"/>
    <w:rsid w:val="008C207B"/>
    <w:rsid w:val="008C25C6"/>
    <w:rsid w:val="008C3DE4"/>
    <w:rsid w:val="008C4D0D"/>
    <w:rsid w:val="008C6625"/>
    <w:rsid w:val="008C7B2D"/>
    <w:rsid w:val="008D1585"/>
    <w:rsid w:val="008D2978"/>
    <w:rsid w:val="008D3D31"/>
    <w:rsid w:val="008D789D"/>
    <w:rsid w:val="008D7EF0"/>
    <w:rsid w:val="008E0215"/>
    <w:rsid w:val="008E0A1C"/>
    <w:rsid w:val="008E0E05"/>
    <w:rsid w:val="008E1AC0"/>
    <w:rsid w:val="008E1D72"/>
    <w:rsid w:val="008E32DB"/>
    <w:rsid w:val="008E369E"/>
    <w:rsid w:val="008E4C10"/>
    <w:rsid w:val="008E4CA2"/>
    <w:rsid w:val="008E5AF8"/>
    <w:rsid w:val="008E6062"/>
    <w:rsid w:val="008E74FF"/>
    <w:rsid w:val="008E7CEA"/>
    <w:rsid w:val="008E7E66"/>
    <w:rsid w:val="008F0698"/>
    <w:rsid w:val="008F10B8"/>
    <w:rsid w:val="008F2A5D"/>
    <w:rsid w:val="008F593E"/>
    <w:rsid w:val="008F682E"/>
    <w:rsid w:val="008F6BD2"/>
    <w:rsid w:val="008F7B07"/>
    <w:rsid w:val="008F7B43"/>
    <w:rsid w:val="008F7FEB"/>
    <w:rsid w:val="00900246"/>
    <w:rsid w:val="00901081"/>
    <w:rsid w:val="00901C9E"/>
    <w:rsid w:val="00902060"/>
    <w:rsid w:val="00902773"/>
    <w:rsid w:val="00902A5B"/>
    <w:rsid w:val="00902D64"/>
    <w:rsid w:val="00904BE6"/>
    <w:rsid w:val="00905F94"/>
    <w:rsid w:val="009076A7"/>
    <w:rsid w:val="0091369E"/>
    <w:rsid w:val="00914E35"/>
    <w:rsid w:val="009170C0"/>
    <w:rsid w:val="00917CFF"/>
    <w:rsid w:val="009205DA"/>
    <w:rsid w:val="00921367"/>
    <w:rsid w:val="00922D59"/>
    <w:rsid w:val="009231B3"/>
    <w:rsid w:val="0092395E"/>
    <w:rsid w:val="00924023"/>
    <w:rsid w:val="00926B02"/>
    <w:rsid w:val="009275E6"/>
    <w:rsid w:val="009307C6"/>
    <w:rsid w:val="00931D77"/>
    <w:rsid w:val="0093330F"/>
    <w:rsid w:val="009336C7"/>
    <w:rsid w:val="009336D5"/>
    <w:rsid w:val="009357E0"/>
    <w:rsid w:val="0094153D"/>
    <w:rsid w:val="00942200"/>
    <w:rsid w:val="00943F3F"/>
    <w:rsid w:val="009450F7"/>
    <w:rsid w:val="009476B7"/>
    <w:rsid w:val="00950791"/>
    <w:rsid w:val="00950F1C"/>
    <w:rsid w:val="00952F16"/>
    <w:rsid w:val="0095318A"/>
    <w:rsid w:val="00953603"/>
    <w:rsid w:val="00953D4F"/>
    <w:rsid w:val="00953D99"/>
    <w:rsid w:val="009540B3"/>
    <w:rsid w:val="00956B1B"/>
    <w:rsid w:val="009611DC"/>
    <w:rsid w:val="009614B9"/>
    <w:rsid w:val="00961B5B"/>
    <w:rsid w:val="00961C6D"/>
    <w:rsid w:val="009625BD"/>
    <w:rsid w:val="0096536B"/>
    <w:rsid w:val="009657AC"/>
    <w:rsid w:val="00965AB4"/>
    <w:rsid w:val="00967E3C"/>
    <w:rsid w:val="00970D68"/>
    <w:rsid w:val="00970DDE"/>
    <w:rsid w:val="00972492"/>
    <w:rsid w:val="00972B53"/>
    <w:rsid w:val="00972BBD"/>
    <w:rsid w:val="00973CD7"/>
    <w:rsid w:val="00975775"/>
    <w:rsid w:val="009759EB"/>
    <w:rsid w:val="00976444"/>
    <w:rsid w:val="00977021"/>
    <w:rsid w:val="009802B4"/>
    <w:rsid w:val="00985049"/>
    <w:rsid w:val="00985097"/>
    <w:rsid w:val="0098525D"/>
    <w:rsid w:val="00990942"/>
    <w:rsid w:val="009911AA"/>
    <w:rsid w:val="00991B92"/>
    <w:rsid w:val="009922DE"/>
    <w:rsid w:val="00992537"/>
    <w:rsid w:val="00994401"/>
    <w:rsid w:val="00994BD6"/>
    <w:rsid w:val="0099727E"/>
    <w:rsid w:val="009A12C4"/>
    <w:rsid w:val="009A36A4"/>
    <w:rsid w:val="009A4019"/>
    <w:rsid w:val="009A4BB3"/>
    <w:rsid w:val="009A530D"/>
    <w:rsid w:val="009A6363"/>
    <w:rsid w:val="009A7382"/>
    <w:rsid w:val="009B04BD"/>
    <w:rsid w:val="009B0B41"/>
    <w:rsid w:val="009B1E73"/>
    <w:rsid w:val="009B2DCD"/>
    <w:rsid w:val="009B7A54"/>
    <w:rsid w:val="009C0036"/>
    <w:rsid w:val="009C0E3E"/>
    <w:rsid w:val="009C1580"/>
    <w:rsid w:val="009C2EB5"/>
    <w:rsid w:val="009C383E"/>
    <w:rsid w:val="009C4A2D"/>
    <w:rsid w:val="009C5274"/>
    <w:rsid w:val="009C6772"/>
    <w:rsid w:val="009C79C1"/>
    <w:rsid w:val="009D2762"/>
    <w:rsid w:val="009D75AF"/>
    <w:rsid w:val="009E040B"/>
    <w:rsid w:val="009E108F"/>
    <w:rsid w:val="009E12F9"/>
    <w:rsid w:val="009E181A"/>
    <w:rsid w:val="009E25FD"/>
    <w:rsid w:val="009E459D"/>
    <w:rsid w:val="009E5265"/>
    <w:rsid w:val="009E60CC"/>
    <w:rsid w:val="009E61D7"/>
    <w:rsid w:val="009E719F"/>
    <w:rsid w:val="009E7215"/>
    <w:rsid w:val="009F143B"/>
    <w:rsid w:val="009F1664"/>
    <w:rsid w:val="009F2F70"/>
    <w:rsid w:val="009F42A9"/>
    <w:rsid w:val="009F530F"/>
    <w:rsid w:val="009F78F7"/>
    <w:rsid w:val="00A004E1"/>
    <w:rsid w:val="00A023E9"/>
    <w:rsid w:val="00A0267C"/>
    <w:rsid w:val="00A02D07"/>
    <w:rsid w:val="00A05139"/>
    <w:rsid w:val="00A052A2"/>
    <w:rsid w:val="00A05A8F"/>
    <w:rsid w:val="00A069F9"/>
    <w:rsid w:val="00A0798A"/>
    <w:rsid w:val="00A07AE0"/>
    <w:rsid w:val="00A116C5"/>
    <w:rsid w:val="00A13395"/>
    <w:rsid w:val="00A13AED"/>
    <w:rsid w:val="00A13D69"/>
    <w:rsid w:val="00A169B5"/>
    <w:rsid w:val="00A16F24"/>
    <w:rsid w:val="00A174FC"/>
    <w:rsid w:val="00A17718"/>
    <w:rsid w:val="00A177AD"/>
    <w:rsid w:val="00A17B4F"/>
    <w:rsid w:val="00A218CC"/>
    <w:rsid w:val="00A21B14"/>
    <w:rsid w:val="00A22030"/>
    <w:rsid w:val="00A2253E"/>
    <w:rsid w:val="00A22644"/>
    <w:rsid w:val="00A22A94"/>
    <w:rsid w:val="00A23EB4"/>
    <w:rsid w:val="00A254CF"/>
    <w:rsid w:val="00A25B0A"/>
    <w:rsid w:val="00A317F5"/>
    <w:rsid w:val="00A326E4"/>
    <w:rsid w:val="00A32D44"/>
    <w:rsid w:val="00A32E33"/>
    <w:rsid w:val="00A33040"/>
    <w:rsid w:val="00A33C12"/>
    <w:rsid w:val="00A340AC"/>
    <w:rsid w:val="00A35638"/>
    <w:rsid w:val="00A37614"/>
    <w:rsid w:val="00A42456"/>
    <w:rsid w:val="00A436CC"/>
    <w:rsid w:val="00A438FE"/>
    <w:rsid w:val="00A4415C"/>
    <w:rsid w:val="00A46EE5"/>
    <w:rsid w:val="00A515A5"/>
    <w:rsid w:val="00A51940"/>
    <w:rsid w:val="00A5420C"/>
    <w:rsid w:val="00A545B6"/>
    <w:rsid w:val="00A55DAE"/>
    <w:rsid w:val="00A5773C"/>
    <w:rsid w:val="00A57A14"/>
    <w:rsid w:val="00A60B81"/>
    <w:rsid w:val="00A630D8"/>
    <w:rsid w:val="00A63510"/>
    <w:rsid w:val="00A64979"/>
    <w:rsid w:val="00A65037"/>
    <w:rsid w:val="00A672C9"/>
    <w:rsid w:val="00A6780D"/>
    <w:rsid w:val="00A70254"/>
    <w:rsid w:val="00A719CB"/>
    <w:rsid w:val="00A71D22"/>
    <w:rsid w:val="00A73159"/>
    <w:rsid w:val="00A74FAB"/>
    <w:rsid w:val="00A751FA"/>
    <w:rsid w:val="00A75411"/>
    <w:rsid w:val="00A76E43"/>
    <w:rsid w:val="00A802C0"/>
    <w:rsid w:val="00A80887"/>
    <w:rsid w:val="00A8123C"/>
    <w:rsid w:val="00A813A5"/>
    <w:rsid w:val="00A81744"/>
    <w:rsid w:val="00A8483F"/>
    <w:rsid w:val="00A85BFF"/>
    <w:rsid w:val="00A90378"/>
    <w:rsid w:val="00A911C5"/>
    <w:rsid w:val="00A92DAF"/>
    <w:rsid w:val="00A932DB"/>
    <w:rsid w:val="00A97664"/>
    <w:rsid w:val="00AA1E45"/>
    <w:rsid w:val="00AA4443"/>
    <w:rsid w:val="00AA5269"/>
    <w:rsid w:val="00AA7EA9"/>
    <w:rsid w:val="00AB0801"/>
    <w:rsid w:val="00AB274F"/>
    <w:rsid w:val="00AB4886"/>
    <w:rsid w:val="00AB4E74"/>
    <w:rsid w:val="00AB4F39"/>
    <w:rsid w:val="00AB5204"/>
    <w:rsid w:val="00AB5F26"/>
    <w:rsid w:val="00AB6270"/>
    <w:rsid w:val="00AB71D2"/>
    <w:rsid w:val="00AC198A"/>
    <w:rsid w:val="00AC39FB"/>
    <w:rsid w:val="00AC6AA0"/>
    <w:rsid w:val="00AC6F7A"/>
    <w:rsid w:val="00AC6FC4"/>
    <w:rsid w:val="00AC779B"/>
    <w:rsid w:val="00AD0C62"/>
    <w:rsid w:val="00AD1A04"/>
    <w:rsid w:val="00AD4439"/>
    <w:rsid w:val="00AD5379"/>
    <w:rsid w:val="00AD5B78"/>
    <w:rsid w:val="00AD62AF"/>
    <w:rsid w:val="00AD6BBC"/>
    <w:rsid w:val="00AD7E7D"/>
    <w:rsid w:val="00AE1523"/>
    <w:rsid w:val="00AE17D6"/>
    <w:rsid w:val="00AE2971"/>
    <w:rsid w:val="00AE2AF0"/>
    <w:rsid w:val="00AE3657"/>
    <w:rsid w:val="00AE3DE8"/>
    <w:rsid w:val="00AE5977"/>
    <w:rsid w:val="00AE5C2B"/>
    <w:rsid w:val="00AE6164"/>
    <w:rsid w:val="00AE6616"/>
    <w:rsid w:val="00AE6F19"/>
    <w:rsid w:val="00AE7655"/>
    <w:rsid w:val="00AF399B"/>
    <w:rsid w:val="00AF3C23"/>
    <w:rsid w:val="00AF5109"/>
    <w:rsid w:val="00AF68BD"/>
    <w:rsid w:val="00B01B10"/>
    <w:rsid w:val="00B04E8A"/>
    <w:rsid w:val="00B103F0"/>
    <w:rsid w:val="00B10B2B"/>
    <w:rsid w:val="00B13BD8"/>
    <w:rsid w:val="00B14934"/>
    <w:rsid w:val="00B16832"/>
    <w:rsid w:val="00B17262"/>
    <w:rsid w:val="00B177E7"/>
    <w:rsid w:val="00B22DE7"/>
    <w:rsid w:val="00B245AB"/>
    <w:rsid w:val="00B2583C"/>
    <w:rsid w:val="00B25AA0"/>
    <w:rsid w:val="00B25BAB"/>
    <w:rsid w:val="00B260BA"/>
    <w:rsid w:val="00B26136"/>
    <w:rsid w:val="00B26BE5"/>
    <w:rsid w:val="00B275CC"/>
    <w:rsid w:val="00B2769E"/>
    <w:rsid w:val="00B301A6"/>
    <w:rsid w:val="00B31CB8"/>
    <w:rsid w:val="00B31F85"/>
    <w:rsid w:val="00B321B6"/>
    <w:rsid w:val="00B3408E"/>
    <w:rsid w:val="00B34EB2"/>
    <w:rsid w:val="00B35352"/>
    <w:rsid w:val="00B35DF2"/>
    <w:rsid w:val="00B35EE6"/>
    <w:rsid w:val="00B36FE3"/>
    <w:rsid w:val="00B37C3B"/>
    <w:rsid w:val="00B423E7"/>
    <w:rsid w:val="00B42595"/>
    <w:rsid w:val="00B4386D"/>
    <w:rsid w:val="00B43B1C"/>
    <w:rsid w:val="00B446F3"/>
    <w:rsid w:val="00B44A65"/>
    <w:rsid w:val="00B52F51"/>
    <w:rsid w:val="00B53B58"/>
    <w:rsid w:val="00B54AF8"/>
    <w:rsid w:val="00B552BB"/>
    <w:rsid w:val="00B55C65"/>
    <w:rsid w:val="00B57615"/>
    <w:rsid w:val="00B62C7E"/>
    <w:rsid w:val="00B6330B"/>
    <w:rsid w:val="00B63F50"/>
    <w:rsid w:val="00B65159"/>
    <w:rsid w:val="00B6582C"/>
    <w:rsid w:val="00B66178"/>
    <w:rsid w:val="00B66B46"/>
    <w:rsid w:val="00B66D0E"/>
    <w:rsid w:val="00B67007"/>
    <w:rsid w:val="00B701C5"/>
    <w:rsid w:val="00B7127A"/>
    <w:rsid w:val="00B718AC"/>
    <w:rsid w:val="00B71DD3"/>
    <w:rsid w:val="00B75925"/>
    <w:rsid w:val="00B76482"/>
    <w:rsid w:val="00B8030E"/>
    <w:rsid w:val="00B80FF2"/>
    <w:rsid w:val="00B82ED6"/>
    <w:rsid w:val="00B83205"/>
    <w:rsid w:val="00B849FF"/>
    <w:rsid w:val="00B86B36"/>
    <w:rsid w:val="00B90992"/>
    <w:rsid w:val="00B9156A"/>
    <w:rsid w:val="00B92207"/>
    <w:rsid w:val="00B928F9"/>
    <w:rsid w:val="00B937C3"/>
    <w:rsid w:val="00B938DC"/>
    <w:rsid w:val="00B93F55"/>
    <w:rsid w:val="00B95B1F"/>
    <w:rsid w:val="00B968AA"/>
    <w:rsid w:val="00BA23A6"/>
    <w:rsid w:val="00BA23E5"/>
    <w:rsid w:val="00BA27E1"/>
    <w:rsid w:val="00BA2857"/>
    <w:rsid w:val="00BA3A6A"/>
    <w:rsid w:val="00BA3CBD"/>
    <w:rsid w:val="00BA4130"/>
    <w:rsid w:val="00BA42CD"/>
    <w:rsid w:val="00BA4992"/>
    <w:rsid w:val="00BA6FB5"/>
    <w:rsid w:val="00BB0693"/>
    <w:rsid w:val="00BB0753"/>
    <w:rsid w:val="00BB18F2"/>
    <w:rsid w:val="00BB2C25"/>
    <w:rsid w:val="00BB3CAB"/>
    <w:rsid w:val="00BB3DBA"/>
    <w:rsid w:val="00BB43C6"/>
    <w:rsid w:val="00BB7602"/>
    <w:rsid w:val="00BC2661"/>
    <w:rsid w:val="00BC3ACB"/>
    <w:rsid w:val="00BC4133"/>
    <w:rsid w:val="00BC576C"/>
    <w:rsid w:val="00BD2CDD"/>
    <w:rsid w:val="00BD4B00"/>
    <w:rsid w:val="00BD6526"/>
    <w:rsid w:val="00BD7047"/>
    <w:rsid w:val="00BD7587"/>
    <w:rsid w:val="00BD79DD"/>
    <w:rsid w:val="00BD7F3E"/>
    <w:rsid w:val="00BE343C"/>
    <w:rsid w:val="00BE4440"/>
    <w:rsid w:val="00BE459E"/>
    <w:rsid w:val="00BE6114"/>
    <w:rsid w:val="00BE721E"/>
    <w:rsid w:val="00BF0152"/>
    <w:rsid w:val="00BF03A6"/>
    <w:rsid w:val="00BF13F1"/>
    <w:rsid w:val="00BF27A8"/>
    <w:rsid w:val="00BF30A9"/>
    <w:rsid w:val="00BF30E6"/>
    <w:rsid w:val="00BF3B89"/>
    <w:rsid w:val="00BF3CF9"/>
    <w:rsid w:val="00BF3FCB"/>
    <w:rsid w:val="00BF6622"/>
    <w:rsid w:val="00BF7806"/>
    <w:rsid w:val="00BF7F23"/>
    <w:rsid w:val="00C0056A"/>
    <w:rsid w:val="00C00A71"/>
    <w:rsid w:val="00C0164B"/>
    <w:rsid w:val="00C038A6"/>
    <w:rsid w:val="00C06DEB"/>
    <w:rsid w:val="00C07E2C"/>
    <w:rsid w:val="00C10207"/>
    <w:rsid w:val="00C102E5"/>
    <w:rsid w:val="00C107C5"/>
    <w:rsid w:val="00C110AA"/>
    <w:rsid w:val="00C116E6"/>
    <w:rsid w:val="00C11B62"/>
    <w:rsid w:val="00C13432"/>
    <w:rsid w:val="00C1372B"/>
    <w:rsid w:val="00C13B01"/>
    <w:rsid w:val="00C14773"/>
    <w:rsid w:val="00C163C2"/>
    <w:rsid w:val="00C170B7"/>
    <w:rsid w:val="00C17500"/>
    <w:rsid w:val="00C209FA"/>
    <w:rsid w:val="00C21933"/>
    <w:rsid w:val="00C2244B"/>
    <w:rsid w:val="00C22760"/>
    <w:rsid w:val="00C22796"/>
    <w:rsid w:val="00C22CFD"/>
    <w:rsid w:val="00C233A4"/>
    <w:rsid w:val="00C24537"/>
    <w:rsid w:val="00C26D1F"/>
    <w:rsid w:val="00C302D0"/>
    <w:rsid w:val="00C30F62"/>
    <w:rsid w:val="00C319A5"/>
    <w:rsid w:val="00C34AAA"/>
    <w:rsid w:val="00C42A82"/>
    <w:rsid w:val="00C42B1B"/>
    <w:rsid w:val="00C439B6"/>
    <w:rsid w:val="00C46772"/>
    <w:rsid w:val="00C47053"/>
    <w:rsid w:val="00C47119"/>
    <w:rsid w:val="00C5319A"/>
    <w:rsid w:val="00C53413"/>
    <w:rsid w:val="00C539E6"/>
    <w:rsid w:val="00C57D5C"/>
    <w:rsid w:val="00C57DB4"/>
    <w:rsid w:val="00C60B35"/>
    <w:rsid w:val="00C60ECA"/>
    <w:rsid w:val="00C6304B"/>
    <w:rsid w:val="00C65365"/>
    <w:rsid w:val="00C65D18"/>
    <w:rsid w:val="00C722C8"/>
    <w:rsid w:val="00C73A3A"/>
    <w:rsid w:val="00C74005"/>
    <w:rsid w:val="00C74501"/>
    <w:rsid w:val="00C7629C"/>
    <w:rsid w:val="00C777BF"/>
    <w:rsid w:val="00C8169D"/>
    <w:rsid w:val="00C83570"/>
    <w:rsid w:val="00C86775"/>
    <w:rsid w:val="00C86C62"/>
    <w:rsid w:val="00C877E8"/>
    <w:rsid w:val="00C90398"/>
    <w:rsid w:val="00C9051A"/>
    <w:rsid w:val="00C9055C"/>
    <w:rsid w:val="00C92D92"/>
    <w:rsid w:val="00C93017"/>
    <w:rsid w:val="00C9394D"/>
    <w:rsid w:val="00C95A0B"/>
    <w:rsid w:val="00C97BF9"/>
    <w:rsid w:val="00C97D58"/>
    <w:rsid w:val="00CA0DCF"/>
    <w:rsid w:val="00CA1014"/>
    <w:rsid w:val="00CA1138"/>
    <w:rsid w:val="00CA1878"/>
    <w:rsid w:val="00CA365B"/>
    <w:rsid w:val="00CA46F9"/>
    <w:rsid w:val="00CA5F9D"/>
    <w:rsid w:val="00CA6819"/>
    <w:rsid w:val="00CA6FCC"/>
    <w:rsid w:val="00CA7540"/>
    <w:rsid w:val="00CB0854"/>
    <w:rsid w:val="00CB2283"/>
    <w:rsid w:val="00CB295A"/>
    <w:rsid w:val="00CB341F"/>
    <w:rsid w:val="00CB39AB"/>
    <w:rsid w:val="00CB52BA"/>
    <w:rsid w:val="00CB5813"/>
    <w:rsid w:val="00CC01E7"/>
    <w:rsid w:val="00CC0A9A"/>
    <w:rsid w:val="00CC38D7"/>
    <w:rsid w:val="00CC4110"/>
    <w:rsid w:val="00CC4E32"/>
    <w:rsid w:val="00CC5C60"/>
    <w:rsid w:val="00CC7768"/>
    <w:rsid w:val="00CC7A4E"/>
    <w:rsid w:val="00CD03F6"/>
    <w:rsid w:val="00CD0808"/>
    <w:rsid w:val="00CD0B4A"/>
    <w:rsid w:val="00CD0BAF"/>
    <w:rsid w:val="00CD10EC"/>
    <w:rsid w:val="00CD3A22"/>
    <w:rsid w:val="00CD4DF5"/>
    <w:rsid w:val="00CD6842"/>
    <w:rsid w:val="00CE0001"/>
    <w:rsid w:val="00CE036D"/>
    <w:rsid w:val="00CE22B8"/>
    <w:rsid w:val="00CE2F45"/>
    <w:rsid w:val="00CE3068"/>
    <w:rsid w:val="00CE3A72"/>
    <w:rsid w:val="00CE54C2"/>
    <w:rsid w:val="00CE6435"/>
    <w:rsid w:val="00CF21D5"/>
    <w:rsid w:val="00CF2417"/>
    <w:rsid w:val="00CF2829"/>
    <w:rsid w:val="00CF3162"/>
    <w:rsid w:val="00CF3D91"/>
    <w:rsid w:val="00CF6AD4"/>
    <w:rsid w:val="00D006A5"/>
    <w:rsid w:val="00D00AF5"/>
    <w:rsid w:val="00D0129A"/>
    <w:rsid w:val="00D021FC"/>
    <w:rsid w:val="00D05012"/>
    <w:rsid w:val="00D05A5E"/>
    <w:rsid w:val="00D0629A"/>
    <w:rsid w:val="00D07080"/>
    <w:rsid w:val="00D07106"/>
    <w:rsid w:val="00D07F84"/>
    <w:rsid w:val="00D10D18"/>
    <w:rsid w:val="00D17568"/>
    <w:rsid w:val="00D20E60"/>
    <w:rsid w:val="00D2100A"/>
    <w:rsid w:val="00D23157"/>
    <w:rsid w:val="00D23991"/>
    <w:rsid w:val="00D23ADD"/>
    <w:rsid w:val="00D24774"/>
    <w:rsid w:val="00D25267"/>
    <w:rsid w:val="00D25334"/>
    <w:rsid w:val="00D26601"/>
    <w:rsid w:val="00D27B74"/>
    <w:rsid w:val="00D31598"/>
    <w:rsid w:val="00D32C72"/>
    <w:rsid w:val="00D33264"/>
    <w:rsid w:val="00D33B81"/>
    <w:rsid w:val="00D360E8"/>
    <w:rsid w:val="00D3742E"/>
    <w:rsid w:val="00D40ED6"/>
    <w:rsid w:val="00D42716"/>
    <w:rsid w:val="00D44E89"/>
    <w:rsid w:val="00D45970"/>
    <w:rsid w:val="00D45B4E"/>
    <w:rsid w:val="00D45E1D"/>
    <w:rsid w:val="00D46EA2"/>
    <w:rsid w:val="00D4716D"/>
    <w:rsid w:val="00D5292D"/>
    <w:rsid w:val="00D529F8"/>
    <w:rsid w:val="00D5436F"/>
    <w:rsid w:val="00D54745"/>
    <w:rsid w:val="00D555A5"/>
    <w:rsid w:val="00D5567B"/>
    <w:rsid w:val="00D55B3E"/>
    <w:rsid w:val="00D5645B"/>
    <w:rsid w:val="00D61D9A"/>
    <w:rsid w:val="00D66B26"/>
    <w:rsid w:val="00D66E21"/>
    <w:rsid w:val="00D679B9"/>
    <w:rsid w:val="00D679E6"/>
    <w:rsid w:val="00D67C8B"/>
    <w:rsid w:val="00D724E9"/>
    <w:rsid w:val="00D74565"/>
    <w:rsid w:val="00D74CC2"/>
    <w:rsid w:val="00D7540F"/>
    <w:rsid w:val="00D76F78"/>
    <w:rsid w:val="00D77F56"/>
    <w:rsid w:val="00D804A6"/>
    <w:rsid w:val="00D816E0"/>
    <w:rsid w:val="00D81A5D"/>
    <w:rsid w:val="00D83E03"/>
    <w:rsid w:val="00D8437D"/>
    <w:rsid w:val="00D853EA"/>
    <w:rsid w:val="00D8631C"/>
    <w:rsid w:val="00D86A7D"/>
    <w:rsid w:val="00D86C36"/>
    <w:rsid w:val="00D86F2D"/>
    <w:rsid w:val="00D878E1"/>
    <w:rsid w:val="00D92B15"/>
    <w:rsid w:val="00D932F2"/>
    <w:rsid w:val="00D94997"/>
    <w:rsid w:val="00D96127"/>
    <w:rsid w:val="00D969FC"/>
    <w:rsid w:val="00DA217B"/>
    <w:rsid w:val="00DA30DA"/>
    <w:rsid w:val="00DA3414"/>
    <w:rsid w:val="00DA4484"/>
    <w:rsid w:val="00DA4861"/>
    <w:rsid w:val="00DA609B"/>
    <w:rsid w:val="00DA6158"/>
    <w:rsid w:val="00DA6A64"/>
    <w:rsid w:val="00DB1505"/>
    <w:rsid w:val="00DB2D21"/>
    <w:rsid w:val="00DB34C7"/>
    <w:rsid w:val="00DB708C"/>
    <w:rsid w:val="00DC0D67"/>
    <w:rsid w:val="00DC1868"/>
    <w:rsid w:val="00DC3032"/>
    <w:rsid w:val="00DC387B"/>
    <w:rsid w:val="00DC5456"/>
    <w:rsid w:val="00DC62C5"/>
    <w:rsid w:val="00DD02EC"/>
    <w:rsid w:val="00DD0AD0"/>
    <w:rsid w:val="00DD13F8"/>
    <w:rsid w:val="00DD2841"/>
    <w:rsid w:val="00DD2F31"/>
    <w:rsid w:val="00DD3208"/>
    <w:rsid w:val="00DD3248"/>
    <w:rsid w:val="00DD38BA"/>
    <w:rsid w:val="00DD5363"/>
    <w:rsid w:val="00DD5B0C"/>
    <w:rsid w:val="00DD6776"/>
    <w:rsid w:val="00DE0372"/>
    <w:rsid w:val="00DE152E"/>
    <w:rsid w:val="00DE187C"/>
    <w:rsid w:val="00DE1B47"/>
    <w:rsid w:val="00DE1CA0"/>
    <w:rsid w:val="00DE1D38"/>
    <w:rsid w:val="00DE2652"/>
    <w:rsid w:val="00DE4E0E"/>
    <w:rsid w:val="00DE53A7"/>
    <w:rsid w:val="00DE56E4"/>
    <w:rsid w:val="00DE626E"/>
    <w:rsid w:val="00DE62F8"/>
    <w:rsid w:val="00DF1AF8"/>
    <w:rsid w:val="00DF1F97"/>
    <w:rsid w:val="00DF208C"/>
    <w:rsid w:val="00DF237D"/>
    <w:rsid w:val="00DF260A"/>
    <w:rsid w:val="00DF2D03"/>
    <w:rsid w:val="00DF2DED"/>
    <w:rsid w:val="00DF3A76"/>
    <w:rsid w:val="00DF62FA"/>
    <w:rsid w:val="00DF76C7"/>
    <w:rsid w:val="00E00769"/>
    <w:rsid w:val="00E012D5"/>
    <w:rsid w:val="00E016D7"/>
    <w:rsid w:val="00E01E85"/>
    <w:rsid w:val="00E03A36"/>
    <w:rsid w:val="00E04178"/>
    <w:rsid w:val="00E045E8"/>
    <w:rsid w:val="00E046E7"/>
    <w:rsid w:val="00E0586F"/>
    <w:rsid w:val="00E05C4C"/>
    <w:rsid w:val="00E06CA9"/>
    <w:rsid w:val="00E06F34"/>
    <w:rsid w:val="00E07FCD"/>
    <w:rsid w:val="00E10EC6"/>
    <w:rsid w:val="00E12F79"/>
    <w:rsid w:val="00E15484"/>
    <w:rsid w:val="00E1552E"/>
    <w:rsid w:val="00E1579A"/>
    <w:rsid w:val="00E167C1"/>
    <w:rsid w:val="00E1753D"/>
    <w:rsid w:val="00E20F22"/>
    <w:rsid w:val="00E216DE"/>
    <w:rsid w:val="00E22142"/>
    <w:rsid w:val="00E227A3"/>
    <w:rsid w:val="00E22A22"/>
    <w:rsid w:val="00E23180"/>
    <w:rsid w:val="00E241AF"/>
    <w:rsid w:val="00E25CEE"/>
    <w:rsid w:val="00E2632E"/>
    <w:rsid w:val="00E26579"/>
    <w:rsid w:val="00E30739"/>
    <w:rsid w:val="00E32A02"/>
    <w:rsid w:val="00E32A85"/>
    <w:rsid w:val="00E32EBE"/>
    <w:rsid w:val="00E3491B"/>
    <w:rsid w:val="00E36DBF"/>
    <w:rsid w:val="00E37549"/>
    <w:rsid w:val="00E40AEB"/>
    <w:rsid w:val="00E42F35"/>
    <w:rsid w:val="00E4480C"/>
    <w:rsid w:val="00E4542F"/>
    <w:rsid w:val="00E45622"/>
    <w:rsid w:val="00E51BC3"/>
    <w:rsid w:val="00E55D96"/>
    <w:rsid w:val="00E56672"/>
    <w:rsid w:val="00E568F2"/>
    <w:rsid w:val="00E608D4"/>
    <w:rsid w:val="00E616DC"/>
    <w:rsid w:val="00E61ECC"/>
    <w:rsid w:val="00E6218F"/>
    <w:rsid w:val="00E644DA"/>
    <w:rsid w:val="00E64F4B"/>
    <w:rsid w:val="00E6792B"/>
    <w:rsid w:val="00E71425"/>
    <w:rsid w:val="00E71D5B"/>
    <w:rsid w:val="00E71F88"/>
    <w:rsid w:val="00E729DC"/>
    <w:rsid w:val="00E75FA0"/>
    <w:rsid w:val="00E772E6"/>
    <w:rsid w:val="00E802EC"/>
    <w:rsid w:val="00E81490"/>
    <w:rsid w:val="00E816BF"/>
    <w:rsid w:val="00E82551"/>
    <w:rsid w:val="00E84220"/>
    <w:rsid w:val="00E8472A"/>
    <w:rsid w:val="00E847CA"/>
    <w:rsid w:val="00E84A4E"/>
    <w:rsid w:val="00E8533E"/>
    <w:rsid w:val="00E85B02"/>
    <w:rsid w:val="00E87E93"/>
    <w:rsid w:val="00E87F9C"/>
    <w:rsid w:val="00E911A8"/>
    <w:rsid w:val="00E91295"/>
    <w:rsid w:val="00E91AD5"/>
    <w:rsid w:val="00E93252"/>
    <w:rsid w:val="00E95320"/>
    <w:rsid w:val="00E9538C"/>
    <w:rsid w:val="00EA08D7"/>
    <w:rsid w:val="00EA2217"/>
    <w:rsid w:val="00EA233D"/>
    <w:rsid w:val="00EA2767"/>
    <w:rsid w:val="00EA4DFA"/>
    <w:rsid w:val="00EA56B7"/>
    <w:rsid w:val="00EA5D39"/>
    <w:rsid w:val="00EA768F"/>
    <w:rsid w:val="00EB1143"/>
    <w:rsid w:val="00EB4180"/>
    <w:rsid w:val="00EB52B6"/>
    <w:rsid w:val="00EB721A"/>
    <w:rsid w:val="00EC1B66"/>
    <w:rsid w:val="00EC563C"/>
    <w:rsid w:val="00EC5930"/>
    <w:rsid w:val="00EC6508"/>
    <w:rsid w:val="00EC689A"/>
    <w:rsid w:val="00EC77F3"/>
    <w:rsid w:val="00ED0855"/>
    <w:rsid w:val="00ED10BC"/>
    <w:rsid w:val="00ED1115"/>
    <w:rsid w:val="00ED1166"/>
    <w:rsid w:val="00ED1EA3"/>
    <w:rsid w:val="00ED2B34"/>
    <w:rsid w:val="00ED45F2"/>
    <w:rsid w:val="00ED5F16"/>
    <w:rsid w:val="00ED64F6"/>
    <w:rsid w:val="00EE2A56"/>
    <w:rsid w:val="00EE2F55"/>
    <w:rsid w:val="00EE37A5"/>
    <w:rsid w:val="00EE533C"/>
    <w:rsid w:val="00EE61AB"/>
    <w:rsid w:val="00EF1390"/>
    <w:rsid w:val="00EF205B"/>
    <w:rsid w:val="00EF2926"/>
    <w:rsid w:val="00EF3F43"/>
    <w:rsid w:val="00EF5CEE"/>
    <w:rsid w:val="00F004BE"/>
    <w:rsid w:val="00F00797"/>
    <w:rsid w:val="00F020C5"/>
    <w:rsid w:val="00F02D71"/>
    <w:rsid w:val="00F02DA0"/>
    <w:rsid w:val="00F037A1"/>
    <w:rsid w:val="00F03D0B"/>
    <w:rsid w:val="00F04417"/>
    <w:rsid w:val="00F053AC"/>
    <w:rsid w:val="00F07DBB"/>
    <w:rsid w:val="00F110C3"/>
    <w:rsid w:val="00F12C7A"/>
    <w:rsid w:val="00F12F80"/>
    <w:rsid w:val="00F12FCD"/>
    <w:rsid w:val="00F1323F"/>
    <w:rsid w:val="00F14500"/>
    <w:rsid w:val="00F14FC9"/>
    <w:rsid w:val="00F161E6"/>
    <w:rsid w:val="00F167F2"/>
    <w:rsid w:val="00F17771"/>
    <w:rsid w:val="00F20956"/>
    <w:rsid w:val="00F20D5E"/>
    <w:rsid w:val="00F23819"/>
    <w:rsid w:val="00F23A7D"/>
    <w:rsid w:val="00F24B7E"/>
    <w:rsid w:val="00F259E4"/>
    <w:rsid w:val="00F260D1"/>
    <w:rsid w:val="00F31145"/>
    <w:rsid w:val="00F319D9"/>
    <w:rsid w:val="00F31A21"/>
    <w:rsid w:val="00F32044"/>
    <w:rsid w:val="00F3303E"/>
    <w:rsid w:val="00F33253"/>
    <w:rsid w:val="00F35327"/>
    <w:rsid w:val="00F36186"/>
    <w:rsid w:val="00F367E9"/>
    <w:rsid w:val="00F3734B"/>
    <w:rsid w:val="00F41B26"/>
    <w:rsid w:val="00F42EEA"/>
    <w:rsid w:val="00F451DA"/>
    <w:rsid w:val="00F46660"/>
    <w:rsid w:val="00F50636"/>
    <w:rsid w:val="00F52024"/>
    <w:rsid w:val="00F545FC"/>
    <w:rsid w:val="00F54AB2"/>
    <w:rsid w:val="00F55753"/>
    <w:rsid w:val="00F55A0C"/>
    <w:rsid w:val="00F562E1"/>
    <w:rsid w:val="00F56DF8"/>
    <w:rsid w:val="00F57D77"/>
    <w:rsid w:val="00F602A2"/>
    <w:rsid w:val="00F60482"/>
    <w:rsid w:val="00F624D8"/>
    <w:rsid w:val="00F64E04"/>
    <w:rsid w:val="00F67483"/>
    <w:rsid w:val="00F7258A"/>
    <w:rsid w:val="00F72935"/>
    <w:rsid w:val="00F72D18"/>
    <w:rsid w:val="00F72F56"/>
    <w:rsid w:val="00F73F6F"/>
    <w:rsid w:val="00F7451A"/>
    <w:rsid w:val="00F74655"/>
    <w:rsid w:val="00F74AF3"/>
    <w:rsid w:val="00F75623"/>
    <w:rsid w:val="00F75ABD"/>
    <w:rsid w:val="00F76C25"/>
    <w:rsid w:val="00F810CE"/>
    <w:rsid w:val="00F82B31"/>
    <w:rsid w:val="00F84762"/>
    <w:rsid w:val="00F85996"/>
    <w:rsid w:val="00F85C3B"/>
    <w:rsid w:val="00F8692A"/>
    <w:rsid w:val="00F86BE7"/>
    <w:rsid w:val="00F87BF8"/>
    <w:rsid w:val="00F87FF1"/>
    <w:rsid w:val="00F909D7"/>
    <w:rsid w:val="00F90AC9"/>
    <w:rsid w:val="00F91684"/>
    <w:rsid w:val="00F92B92"/>
    <w:rsid w:val="00F941DB"/>
    <w:rsid w:val="00F959A1"/>
    <w:rsid w:val="00F95A88"/>
    <w:rsid w:val="00F95EA9"/>
    <w:rsid w:val="00F96A51"/>
    <w:rsid w:val="00F97BC7"/>
    <w:rsid w:val="00F97BD9"/>
    <w:rsid w:val="00FA07C2"/>
    <w:rsid w:val="00FA0BB6"/>
    <w:rsid w:val="00FA0C7A"/>
    <w:rsid w:val="00FA2A37"/>
    <w:rsid w:val="00FA34F4"/>
    <w:rsid w:val="00FA3F40"/>
    <w:rsid w:val="00FA4460"/>
    <w:rsid w:val="00FA4EB4"/>
    <w:rsid w:val="00FA6239"/>
    <w:rsid w:val="00FA6763"/>
    <w:rsid w:val="00FA6A26"/>
    <w:rsid w:val="00FA7DEC"/>
    <w:rsid w:val="00FB0532"/>
    <w:rsid w:val="00FB1BFB"/>
    <w:rsid w:val="00FB3D8D"/>
    <w:rsid w:val="00FB41A1"/>
    <w:rsid w:val="00FB5C3D"/>
    <w:rsid w:val="00FB606A"/>
    <w:rsid w:val="00FB682E"/>
    <w:rsid w:val="00FC05DB"/>
    <w:rsid w:val="00FC20E0"/>
    <w:rsid w:val="00FC2BE0"/>
    <w:rsid w:val="00FC3B65"/>
    <w:rsid w:val="00FC3FC5"/>
    <w:rsid w:val="00FC4755"/>
    <w:rsid w:val="00FC5F64"/>
    <w:rsid w:val="00FC77CD"/>
    <w:rsid w:val="00FD23FC"/>
    <w:rsid w:val="00FD4524"/>
    <w:rsid w:val="00FD5B41"/>
    <w:rsid w:val="00FD5F29"/>
    <w:rsid w:val="00FD6025"/>
    <w:rsid w:val="00FD6A38"/>
    <w:rsid w:val="00FD70E7"/>
    <w:rsid w:val="00FD79C4"/>
    <w:rsid w:val="00FE15C7"/>
    <w:rsid w:val="00FE2596"/>
    <w:rsid w:val="00FE363F"/>
    <w:rsid w:val="00FE4CD7"/>
    <w:rsid w:val="00FE4E51"/>
    <w:rsid w:val="00FE543B"/>
    <w:rsid w:val="00FF15C6"/>
    <w:rsid w:val="00FF2264"/>
    <w:rsid w:val="00FF2980"/>
    <w:rsid w:val="00FF5306"/>
    <w:rsid w:val="00FF6EF0"/>
    <w:rsid w:val="01A43589"/>
    <w:rsid w:val="021904BB"/>
    <w:rsid w:val="028E0FBA"/>
    <w:rsid w:val="02C040B5"/>
    <w:rsid w:val="03240C83"/>
    <w:rsid w:val="036C5B85"/>
    <w:rsid w:val="038D4024"/>
    <w:rsid w:val="03CD2A40"/>
    <w:rsid w:val="05EB7A33"/>
    <w:rsid w:val="061A3A5E"/>
    <w:rsid w:val="06DA0035"/>
    <w:rsid w:val="06DD2A3E"/>
    <w:rsid w:val="06FC0BD1"/>
    <w:rsid w:val="071C69B9"/>
    <w:rsid w:val="07537D8D"/>
    <w:rsid w:val="07E970E1"/>
    <w:rsid w:val="092819AB"/>
    <w:rsid w:val="099005DD"/>
    <w:rsid w:val="099E54B7"/>
    <w:rsid w:val="0AB14695"/>
    <w:rsid w:val="0AB438A8"/>
    <w:rsid w:val="0B143885"/>
    <w:rsid w:val="0B7404F1"/>
    <w:rsid w:val="0B750BFE"/>
    <w:rsid w:val="0B9A58EE"/>
    <w:rsid w:val="0BD06502"/>
    <w:rsid w:val="0C285B16"/>
    <w:rsid w:val="0C7C51F1"/>
    <w:rsid w:val="0CAC0D20"/>
    <w:rsid w:val="0CB0770E"/>
    <w:rsid w:val="0D902489"/>
    <w:rsid w:val="0DC77FD1"/>
    <w:rsid w:val="0FE720EF"/>
    <w:rsid w:val="101B66E2"/>
    <w:rsid w:val="107873A8"/>
    <w:rsid w:val="11A95D80"/>
    <w:rsid w:val="12322E94"/>
    <w:rsid w:val="12563822"/>
    <w:rsid w:val="12D90647"/>
    <w:rsid w:val="13917AF6"/>
    <w:rsid w:val="13C00ACC"/>
    <w:rsid w:val="13F02D50"/>
    <w:rsid w:val="16120435"/>
    <w:rsid w:val="16512FFB"/>
    <w:rsid w:val="16562BE9"/>
    <w:rsid w:val="16855166"/>
    <w:rsid w:val="16872148"/>
    <w:rsid w:val="17A031CF"/>
    <w:rsid w:val="18184CED"/>
    <w:rsid w:val="183D0EAD"/>
    <w:rsid w:val="19E2542C"/>
    <w:rsid w:val="1B5B23CB"/>
    <w:rsid w:val="1C0C1537"/>
    <w:rsid w:val="1CB47594"/>
    <w:rsid w:val="1CC6131B"/>
    <w:rsid w:val="1D8D1823"/>
    <w:rsid w:val="1D8E47CC"/>
    <w:rsid w:val="1DBD7429"/>
    <w:rsid w:val="1E245C22"/>
    <w:rsid w:val="1FE854B8"/>
    <w:rsid w:val="1FED3B02"/>
    <w:rsid w:val="202F5142"/>
    <w:rsid w:val="20377E69"/>
    <w:rsid w:val="204320F1"/>
    <w:rsid w:val="20823E91"/>
    <w:rsid w:val="220B0320"/>
    <w:rsid w:val="22402E18"/>
    <w:rsid w:val="226B4585"/>
    <w:rsid w:val="22C87508"/>
    <w:rsid w:val="23B25BC1"/>
    <w:rsid w:val="24684E55"/>
    <w:rsid w:val="246F00C4"/>
    <w:rsid w:val="248E7DC8"/>
    <w:rsid w:val="24FD3BFF"/>
    <w:rsid w:val="256A51B9"/>
    <w:rsid w:val="27233DA8"/>
    <w:rsid w:val="275978C1"/>
    <w:rsid w:val="275F3615"/>
    <w:rsid w:val="27C4770A"/>
    <w:rsid w:val="28A8690F"/>
    <w:rsid w:val="29395EDB"/>
    <w:rsid w:val="295A6C21"/>
    <w:rsid w:val="296E77CC"/>
    <w:rsid w:val="29D578F1"/>
    <w:rsid w:val="2A046F50"/>
    <w:rsid w:val="2A186894"/>
    <w:rsid w:val="2B556D8B"/>
    <w:rsid w:val="2BAC4606"/>
    <w:rsid w:val="2BF94B05"/>
    <w:rsid w:val="2C4A2609"/>
    <w:rsid w:val="2CD43621"/>
    <w:rsid w:val="2D025BA4"/>
    <w:rsid w:val="2D1D6F93"/>
    <w:rsid w:val="2D255B2E"/>
    <w:rsid w:val="2D433FFD"/>
    <w:rsid w:val="2D9E4D2B"/>
    <w:rsid w:val="2E656801"/>
    <w:rsid w:val="2E8A07BD"/>
    <w:rsid w:val="2EC152C1"/>
    <w:rsid w:val="2EEB0553"/>
    <w:rsid w:val="2F056EEE"/>
    <w:rsid w:val="2F2213F4"/>
    <w:rsid w:val="3059705A"/>
    <w:rsid w:val="306D6FBD"/>
    <w:rsid w:val="30806A8E"/>
    <w:rsid w:val="308F4CF9"/>
    <w:rsid w:val="30D763BF"/>
    <w:rsid w:val="3163741B"/>
    <w:rsid w:val="32093A30"/>
    <w:rsid w:val="321310F1"/>
    <w:rsid w:val="3223166E"/>
    <w:rsid w:val="34711F4D"/>
    <w:rsid w:val="347A7879"/>
    <w:rsid w:val="34EA0C07"/>
    <w:rsid w:val="35577B35"/>
    <w:rsid w:val="35D935F1"/>
    <w:rsid w:val="37105028"/>
    <w:rsid w:val="385139BD"/>
    <w:rsid w:val="398F69F5"/>
    <w:rsid w:val="39957D5B"/>
    <w:rsid w:val="3A0663B5"/>
    <w:rsid w:val="3A323F12"/>
    <w:rsid w:val="3AF93623"/>
    <w:rsid w:val="3B343338"/>
    <w:rsid w:val="3BB731E4"/>
    <w:rsid w:val="3C5D2E55"/>
    <w:rsid w:val="3C7025C7"/>
    <w:rsid w:val="3C8B7266"/>
    <w:rsid w:val="3D102ED4"/>
    <w:rsid w:val="3D8457B7"/>
    <w:rsid w:val="3D9703B1"/>
    <w:rsid w:val="3DA45504"/>
    <w:rsid w:val="3E2F6470"/>
    <w:rsid w:val="3F1B3A07"/>
    <w:rsid w:val="40195DA0"/>
    <w:rsid w:val="40965737"/>
    <w:rsid w:val="4132380B"/>
    <w:rsid w:val="420B6D31"/>
    <w:rsid w:val="42431CC8"/>
    <w:rsid w:val="42BD1230"/>
    <w:rsid w:val="4355594B"/>
    <w:rsid w:val="43CC2D11"/>
    <w:rsid w:val="43E63BD7"/>
    <w:rsid w:val="44147B34"/>
    <w:rsid w:val="442C5578"/>
    <w:rsid w:val="445E613C"/>
    <w:rsid w:val="455948CC"/>
    <w:rsid w:val="45994BC6"/>
    <w:rsid w:val="46552398"/>
    <w:rsid w:val="46D90278"/>
    <w:rsid w:val="47D3232C"/>
    <w:rsid w:val="47DB1A8D"/>
    <w:rsid w:val="48094A78"/>
    <w:rsid w:val="48306EE4"/>
    <w:rsid w:val="48B44438"/>
    <w:rsid w:val="48C66DF7"/>
    <w:rsid w:val="493B5BD0"/>
    <w:rsid w:val="49BF2877"/>
    <w:rsid w:val="4A0601AC"/>
    <w:rsid w:val="4AC93AEC"/>
    <w:rsid w:val="4AF02B05"/>
    <w:rsid w:val="4AFF7111"/>
    <w:rsid w:val="4B494A5A"/>
    <w:rsid w:val="4C3E4531"/>
    <w:rsid w:val="4CD47C7E"/>
    <w:rsid w:val="4DB13004"/>
    <w:rsid w:val="4DF70AF7"/>
    <w:rsid w:val="4E30322A"/>
    <w:rsid w:val="4E4E42A3"/>
    <w:rsid w:val="4F0B1C83"/>
    <w:rsid w:val="50440F93"/>
    <w:rsid w:val="50623A14"/>
    <w:rsid w:val="50883C24"/>
    <w:rsid w:val="513D15FA"/>
    <w:rsid w:val="515F22AF"/>
    <w:rsid w:val="51877C0C"/>
    <w:rsid w:val="51B97CC5"/>
    <w:rsid w:val="51D100F5"/>
    <w:rsid w:val="52195C5B"/>
    <w:rsid w:val="534A15B2"/>
    <w:rsid w:val="535A22F5"/>
    <w:rsid w:val="53715A8B"/>
    <w:rsid w:val="5408165A"/>
    <w:rsid w:val="549D746D"/>
    <w:rsid w:val="54E7304B"/>
    <w:rsid w:val="55280D7F"/>
    <w:rsid w:val="555C23D1"/>
    <w:rsid w:val="55926BA1"/>
    <w:rsid w:val="561E09E9"/>
    <w:rsid w:val="5697129D"/>
    <w:rsid w:val="58083964"/>
    <w:rsid w:val="589C3B71"/>
    <w:rsid w:val="58C26E9B"/>
    <w:rsid w:val="59167B6E"/>
    <w:rsid w:val="59C564D6"/>
    <w:rsid w:val="5A127462"/>
    <w:rsid w:val="5AB31D37"/>
    <w:rsid w:val="5AD12546"/>
    <w:rsid w:val="5CA05437"/>
    <w:rsid w:val="5D2D3F61"/>
    <w:rsid w:val="5D8D128E"/>
    <w:rsid w:val="5DCD0713"/>
    <w:rsid w:val="5E262CED"/>
    <w:rsid w:val="5E347ADF"/>
    <w:rsid w:val="5E4467FA"/>
    <w:rsid w:val="5E91745A"/>
    <w:rsid w:val="5EA23BE9"/>
    <w:rsid w:val="5EAA3CE9"/>
    <w:rsid w:val="5FC23A99"/>
    <w:rsid w:val="5FC30FE5"/>
    <w:rsid w:val="5FE16FBC"/>
    <w:rsid w:val="60C2301D"/>
    <w:rsid w:val="60F954CA"/>
    <w:rsid w:val="61185BB1"/>
    <w:rsid w:val="615A7538"/>
    <w:rsid w:val="619B3E34"/>
    <w:rsid w:val="61B24459"/>
    <w:rsid w:val="62FA104D"/>
    <w:rsid w:val="639413D1"/>
    <w:rsid w:val="63CE1FF0"/>
    <w:rsid w:val="64283A5F"/>
    <w:rsid w:val="64740760"/>
    <w:rsid w:val="649E033F"/>
    <w:rsid w:val="65573289"/>
    <w:rsid w:val="65625852"/>
    <w:rsid w:val="65846229"/>
    <w:rsid w:val="66A56E0D"/>
    <w:rsid w:val="67010561"/>
    <w:rsid w:val="67455BA7"/>
    <w:rsid w:val="67CB0233"/>
    <w:rsid w:val="68485D83"/>
    <w:rsid w:val="69026EF3"/>
    <w:rsid w:val="69BA15C7"/>
    <w:rsid w:val="69D8078F"/>
    <w:rsid w:val="6A2E5B11"/>
    <w:rsid w:val="6A41228D"/>
    <w:rsid w:val="6A4E2E77"/>
    <w:rsid w:val="6AB663FC"/>
    <w:rsid w:val="6B047A4E"/>
    <w:rsid w:val="6B0A6015"/>
    <w:rsid w:val="6BEA0B22"/>
    <w:rsid w:val="6BF5735C"/>
    <w:rsid w:val="6C2F6BD5"/>
    <w:rsid w:val="6C480AB5"/>
    <w:rsid w:val="6D69131E"/>
    <w:rsid w:val="6D754FE7"/>
    <w:rsid w:val="6D8132A7"/>
    <w:rsid w:val="6DFB7772"/>
    <w:rsid w:val="6E826BC5"/>
    <w:rsid w:val="6EC50D3D"/>
    <w:rsid w:val="6EC77533"/>
    <w:rsid w:val="6EE1672F"/>
    <w:rsid w:val="6F1D4630"/>
    <w:rsid w:val="6F80131E"/>
    <w:rsid w:val="70123A7A"/>
    <w:rsid w:val="705B7179"/>
    <w:rsid w:val="715B18B1"/>
    <w:rsid w:val="715E40B2"/>
    <w:rsid w:val="71EC79AC"/>
    <w:rsid w:val="72B536B2"/>
    <w:rsid w:val="72C03C99"/>
    <w:rsid w:val="73273E54"/>
    <w:rsid w:val="7338289F"/>
    <w:rsid w:val="73F12F09"/>
    <w:rsid w:val="7459405D"/>
    <w:rsid w:val="74B83223"/>
    <w:rsid w:val="754C46B4"/>
    <w:rsid w:val="75906F6B"/>
    <w:rsid w:val="75B5488B"/>
    <w:rsid w:val="75CE2848"/>
    <w:rsid w:val="77864E38"/>
    <w:rsid w:val="779B3589"/>
    <w:rsid w:val="77BD39B5"/>
    <w:rsid w:val="77C4170E"/>
    <w:rsid w:val="77FA1D4F"/>
    <w:rsid w:val="782F2B70"/>
    <w:rsid w:val="78830CAE"/>
    <w:rsid w:val="789C09C7"/>
    <w:rsid w:val="78AD72C7"/>
    <w:rsid w:val="78D6061E"/>
    <w:rsid w:val="795534C5"/>
    <w:rsid w:val="79FD13E9"/>
    <w:rsid w:val="7A743D1D"/>
    <w:rsid w:val="7BBB6F0C"/>
    <w:rsid w:val="7C8426BA"/>
    <w:rsid w:val="7CE231D6"/>
    <w:rsid w:val="7E1E3B10"/>
    <w:rsid w:val="7E25756B"/>
    <w:rsid w:val="7EBB11CE"/>
    <w:rsid w:val="7EDC0238"/>
    <w:rsid w:val="7F037E93"/>
    <w:rsid w:val="7F5E50D4"/>
    <w:rsid w:val="7FBB0E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qFormat="1" w:unhideWhenUsed="0" w:uiPriority="0" w:name="table of figures"/>
    <w:lsdException w:uiPriority="0" w:name="envelope address"/>
    <w:lsdException w:qFormat="1" w:unhideWhenUsed="0" w:uiPriority="0" w:semiHidden="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3"/>
    <w:next w:val="1"/>
    <w:qFormat/>
    <w:uiPriority w:val="0"/>
    <w:pPr>
      <w:keepLines/>
      <w:spacing w:before="260" w:after="260" w:line="416" w:lineRule="auto"/>
      <w:outlineLvl w:val="1"/>
    </w:pPr>
    <w:rPr>
      <w:rFonts w:ascii="Arial" w:hAnsi="Arial" w:eastAsia="幼圆" w:cs="Arial"/>
      <w:b/>
      <w:bCs/>
      <w:sz w:val="44"/>
      <w:szCs w:val="44"/>
    </w:rPr>
  </w:style>
  <w:style w:type="paragraph" w:styleId="5">
    <w:name w:val="heading 3"/>
    <w:basedOn w:val="1"/>
    <w:next w:val="6"/>
    <w:link w:val="65"/>
    <w:qFormat/>
    <w:uiPriority w:val="0"/>
    <w:pPr>
      <w:keepNext/>
      <w:keepLines/>
      <w:spacing w:before="260" w:after="260" w:line="416" w:lineRule="auto"/>
      <w:outlineLvl w:val="2"/>
    </w:pPr>
    <w:rPr>
      <w:b/>
      <w:bCs/>
      <w:sz w:val="32"/>
      <w:szCs w:val="32"/>
    </w:rPr>
  </w:style>
  <w:style w:type="paragraph" w:styleId="2">
    <w:name w:val="heading 4"/>
    <w:basedOn w:val="1"/>
    <w:next w:val="1"/>
    <w:link w:val="66"/>
    <w:qFormat/>
    <w:uiPriority w:val="0"/>
    <w:pPr>
      <w:keepNext/>
      <w:keepLines/>
      <w:spacing w:before="280" w:after="290" w:line="376" w:lineRule="auto"/>
      <w:outlineLvl w:val="3"/>
    </w:pPr>
    <w:rPr>
      <w:rFonts w:ascii="Cambria" w:hAnsi="Cambria"/>
      <w:b/>
      <w:sz w:val="28"/>
      <w:szCs w:val="28"/>
    </w:rPr>
  </w:style>
  <w:style w:type="paragraph" w:styleId="7">
    <w:name w:val="heading 5"/>
    <w:basedOn w:val="1"/>
    <w:next w:val="6"/>
    <w:qFormat/>
    <w:uiPriority w:val="0"/>
    <w:pPr>
      <w:keepNext/>
      <w:autoSpaceDE w:val="0"/>
      <w:autoSpaceDN w:val="0"/>
      <w:adjustRightInd w:val="0"/>
      <w:outlineLvl w:val="4"/>
    </w:pPr>
    <w:rPr>
      <w:rFonts w:ascii="宋体"/>
      <w:color w:val="000000"/>
      <w:kern w:val="0"/>
      <w:sz w:val="28"/>
      <w:szCs w:val="28"/>
    </w:rPr>
  </w:style>
  <w:style w:type="paragraph" w:styleId="8">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9">
    <w:name w:val="heading 7"/>
    <w:basedOn w:val="1"/>
    <w:next w:val="1"/>
    <w:qFormat/>
    <w:uiPriority w:val="0"/>
    <w:pPr>
      <w:keepNext/>
      <w:keepLines/>
      <w:numPr>
        <w:ilvl w:val="6"/>
        <w:numId w:val="1"/>
      </w:numPr>
      <w:spacing w:before="240" w:after="64" w:line="320" w:lineRule="auto"/>
      <w:outlineLvl w:val="6"/>
    </w:pPr>
    <w:rPr>
      <w:b/>
      <w:bCs/>
      <w:sz w:val="24"/>
      <w:szCs w:val="24"/>
    </w:rPr>
  </w:style>
  <w:style w:type="paragraph" w:styleId="10">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1">
    <w:name w:val="heading 9"/>
    <w:basedOn w:val="1"/>
    <w:next w:val="1"/>
    <w:qFormat/>
    <w:uiPriority w:val="0"/>
    <w:pPr>
      <w:keepNext/>
      <w:keepLines/>
      <w:numPr>
        <w:ilvl w:val="8"/>
        <w:numId w:val="1"/>
      </w:numPr>
      <w:spacing w:before="240" w:after="64" w:line="320" w:lineRule="auto"/>
      <w:outlineLvl w:val="8"/>
    </w:pPr>
    <w:rPr>
      <w:rFonts w:ascii="Arial" w:hAnsi="Arial" w:eastAsia="黑体"/>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64"/>
    <w:qFormat/>
    <w:uiPriority w:val="0"/>
    <w:pPr>
      <w:ind w:firstLine="420"/>
    </w:pPr>
  </w:style>
  <w:style w:type="paragraph" w:styleId="12">
    <w:name w:val="List 3"/>
    <w:basedOn w:val="1"/>
    <w:qFormat/>
    <w:uiPriority w:val="0"/>
    <w:pPr>
      <w:ind w:left="100" w:leftChars="400" w:hanging="200" w:hangingChars="200"/>
    </w:pPr>
  </w:style>
  <w:style w:type="paragraph" w:styleId="13">
    <w:name w:val="toc 7"/>
    <w:basedOn w:val="1"/>
    <w:next w:val="1"/>
    <w:semiHidden/>
    <w:qFormat/>
    <w:uiPriority w:val="0"/>
    <w:pPr>
      <w:ind w:left="1260"/>
      <w:jc w:val="left"/>
    </w:pPr>
  </w:style>
  <w:style w:type="paragraph" w:styleId="14">
    <w:name w:val="Document Map"/>
    <w:basedOn w:val="1"/>
    <w:link w:val="67"/>
    <w:semiHidden/>
    <w:qFormat/>
    <w:uiPriority w:val="0"/>
    <w:pPr>
      <w:shd w:val="clear" w:color="auto" w:fill="000080"/>
    </w:pPr>
  </w:style>
  <w:style w:type="paragraph" w:styleId="15">
    <w:name w:val="annotation text"/>
    <w:basedOn w:val="1"/>
    <w:semiHidden/>
    <w:qFormat/>
    <w:uiPriority w:val="0"/>
    <w:pPr>
      <w:jc w:val="left"/>
    </w:pPr>
  </w:style>
  <w:style w:type="paragraph" w:styleId="16">
    <w:name w:val="Body Text 3"/>
    <w:basedOn w:val="1"/>
    <w:qFormat/>
    <w:uiPriority w:val="0"/>
    <w:rPr>
      <w:rFonts w:ascii="仿宋_GB2312" w:hAnsi="Arial" w:eastAsia="仿宋_GB2312"/>
      <w:sz w:val="32"/>
      <w:szCs w:val="32"/>
    </w:rPr>
  </w:style>
  <w:style w:type="paragraph" w:styleId="17">
    <w:name w:val="Body Text"/>
    <w:basedOn w:val="1"/>
    <w:next w:val="1"/>
    <w:qFormat/>
    <w:uiPriority w:val="0"/>
    <w:rPr>
      <w:rFonts w:ascii="楷体_GB2312" w:hAnsi="Arial" w:eastAsia="楷体_GB2312"/>
      <w:sz w:val="28"/>
      <w:szCs w:val="28"/>
    </w:rPr>
  </w:style>
  <w:style w:type="paragraph" w:styleId="18">
    <w:name w:val="Body Text Indent"/>
    <w:basedOn w:val="1"/>
    <w:next w:val="19"/>
    <w:qFormat/>
    <w:uiPriority w:val="0"/>
    <w:pPr>
      <w:ind w:firstLine="645"/>
    </w:pPr>
    <w:rPr>
      <w:rFonts w:ascii="楷体_GB2312" w:eastAsia="楷体_GB2312"/>
      <w:sz w:val="32"/>
      <w:szCs w:val="32"/>
    </w:rPr>
  </w:style>
  <w:style w:type="paragraph" w:styleId="19">
    <w:name w:val="envelope return"/>
    <w:basedOn w:val="1"/>
    <w:qFormat/>
    <w:uiPriority w:val="0"/>
    <w:pPr>
      <w:snapToGrid w:val="0"/>
    </w:pPr>
    <w:rPr>
      <w:rFonts w:ascii="Arial" w:hAnsi="Arial"/>
    </w:rPr>
  </w:style>
  <w:style w:type="paragraph" w:styleId="20">
    <w:name w:val="List 2"/>
    <w:basedOn w:val="1"/>
    <w:qFormat/>
    <w:uiPriority w:val="0"/>
    <w:pPr>
      <w:ind w:left="100" w:leftChars="200" w:hanging="200" w:hangingChars="200"/>
    </w:pPr>
  </w:style>
  <w:style w:type="paragraph" w:styleId="21">
    <w:name w:val="Block Text"/>
    <w:basedOn w:val="1"/>
    <w:qFormat/>
    <w:uiPriority w:val="99"/>
    <w:pPr>
      <w:spacing w:after="120"/>
      <w:ind w:left="1440" w:leftChars="700" w:right="1440" w:rightChars="700"/>
    </w:pPr>
  </w:style>
  <w:style w:type="paragraph" w:styleId="22">
    <w:name w:val="toc 5"/>
    <w:basedOn w:val="1"/>
    <w:next w:val="1"/>
    <w:semiHidden/>
    <w:qFormat/>
    <w:uiPriority w:val="0"/>
    <w:pPr>
      <w:ind w:left="840"/>
      <w:jc w:val="left"/>
    </w:pPr>
  </w:style>
  <w:style w:type="paragraph" w:styleId="23">
    <w:name w:val="toc 3"/>
    <w:basedOn w:val="1"/>
    <w:next w:val="1"/>
    <w:semiHidden/>
    <w:qFormat/>
    <w:uiPriority w:val="0"/>
    <w:pPr>
      <w:ind w:left="420"/>
      <w:jc w:val="left"/>
    </w:pPr>
    <w:rPr>
      <w:i/>
      <w:iCs/>
      <w:szCs w:val="24"/>
    </w:rPr>
  </w:style>
  <w:style w:type="paragraph" w:styleId="24">
    <w:name w:val="Plain Text"/>
    <w:basedOn w:val="1"/>
    <w:link w:val="68"/>
    <w:qFormat/>
    <w:uiPriority w:val="0"/>
    <w:rPr>
      <w:rFonts w:ascii="宋体" w:hAnsi="Courier New"/>
    </w:rPr>
  </w:style>
  <w:style w:type="paragraph" w:styleId="25">
    <w:name w:val="toc 8"/>
    <w:basedOn w:val="1"/>
    <w:next w:val="1"/>
    <w:semiHidden/>
    <w:qFormat/>
    <w:uiPriority w:val="0"/>
    <w:pPr>
      <w:ind w:left="1470"/>
      <w:jc w:val="left"/>
    </w:pPr>
  </w:style>
  <w:style w:type="paragraph" w:styleId="26">
    <w:name w:val="Date"/>
    <w:basedOn w:val="1"/>
    <w:next w:val="1"/>
    <w:qFormat/>
    <w:uiPriority w:val="0"/>
    <w:rPr>
      <w:sz w:val="24"/>
      <w:szCs w:val="24"/>
    </w:rPr>
  </w:style>
  <w:style w:type="paragraph" w:styleId="27">
    <w:name w:val="Body Text Indent 2"/>
    <w:basedOn w:val="1"/>
    <w:qFormat/>
    <w:uiPriority w:val="0"/>
    <w:pPr>
      <w:ind w:left="630" w:firstLine="645"/>
    </w:pPr>
    <w:rPr>
      <w:rFonts w:ascii="Arial" w:hAnsi="Arial" w:eastAsia="仿宋_GB2312" w:cs="Arial"/>
      <w:sz w:val="32"/>
      <w:szCs w:val="32"/>
    </w:rPr>
  </w:style>
  <w:style w:type="paragraph" w:styleId="28">
    <w:name w:val="Balloon Text"/>
    <w:basedOn w:val="1"/>
    <w:semiHidden/>
    <w:qFormat/>
    <w:uiPriority w:val="0"/>
    <w:rPr>
      <w:sz w:val="18"/>
      <w:szCs w:val="18"/>
    </w:rPr>
  </w:style>
  <w:style w:type="paragraph" w:styleId="29">
    <w:name w:val="footer"/>
    <w:basedOn w:val="1"/>
    <w:link w:val="69"/>
    <w:qFormat/>
    <w:uiPriority w:val="0"/>
    <w:pPr>
      <w:tabs>
        <w:tab w:val="center" w:pos="4153"/>
        <w:tab w:val="right" w:pos="8306"/>
      </w:tabs>
      <w:snapToGrid w:val="0"/>
      <w:jc w:val="left"/>
    </w:pPr>
    <w:rPr>
      <w:sz w:val="18"/>
      <w:szCs w:val="18"/>
    </w:rPr>
  </w:style>
  <w:style w:type="paragraph" w:styleId="30">
    <w:name w:val="header"/>
    <w:basedOn w:val="1"/>
    <w:link w:val="7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2">
    <w:name w:val="toc 4"/>
    <w:basedOn w:val="1"/>
    <w:next w:val="1"/>
    <w:semiHidden/>
    <w:qFormat/>
    <w:uiPriority w:val="0"/>
    <w:pPr>
      <w:ind w:left="630"/>
      <w:jc w:val="left"/>
    </w:pPr>
  </w:style>
  <w:style w:type="paragraph" w:styleId="33">
    <w:name w:val="List"/>
    <w:basedOn w:val="1"/>
    <w:qFormat/>
    <w:uiPriority w:val="0"/>
    <w:pPr>
      <w:ind w:left="200" w:hanging="200" w:hangingChars="200"/>
    </w:pPr>
  </w:style>
  <w:style w:type="paragraph" w:styleId="34">
    <w:name w:val="toc 6"/>
    <w:basedOn w:val="1"/>
    <w:next w:val="1"/>
    <w:semiHidden/>
    <w:qFormat/>
    <w:uiPriority w:val="0"/>
    <w:pPr>
      <w:ind w:left="1050"/>
      <w:jc w:val="left"/>
    </w:pPr>
  </w:style>
  <w:style w:type="paragraph" w:styleId="35">
    <w:name w:val="Body Text Indent 3"/>
    <w:basedOn w:val="1"/>
    <w:qFormat/>
    <w:uiPriority w:val="0"/>
    <w:pPr>
      <w:ind w:left="645" w:firstLine="645"/>
    </w:pPr>
    <w:rPr>
      <w:rFonts w:ascii="Arial" w:hAnsi="Arial" w:eastAsia="仿宋_GB2312" w:cs="Arial"/>
      <w:color w:val="FFFF00"/>
      <w:sz w:val="32"/>
      <w:szCs w:val="32"/>
    </w:rPr>
  </w:style>
  <w:style w:type="paragraph" w:styleId="36">
    <w:name w:val="table of figures"/>
    <w:basedOn w:val="1"/>
    <w:next w:val="1"/>
    <w:semiHidden/>
    <w:qFormat/>
    <w:uiPriority w:val="0"/>
    <w:pPr>
      <w:ind w:left="840" w:hanging="420"/>
    </w:pPr>
  </w:style>
  <w:style w:type="paragraph" w:styleId="37">
    <w:name w:val="toc 2"/>
    <w:basedOn w:val="1"/>
    <w:next w:val="1"/>
    <w:semiHidden/>
    <w:qFormat/>
    <w:uiPriority w:val="0"/>
    <w:pPr>
      <w:ind w:left="210"/>
      <w:jc w:val="left"/>
    </w:pPr>
    <w:rPr>
      <w:smallCaps/>
      <w:szCs w:val="24"/>
    </w:rPr>
  </w:style>
  <w:style w:type="paragraph" w:styleId="38">
    <w:name w:val="toc 9"/>
    <w:basedOn w:val="1"/>
    <w:next w:val="1"/>
    <w:semiHidden/>
    <w:qFormat/>
    <w:uiPriority w:val="0"/>
    <w:pPr>
      <w:ind w:left="1680"/>
      <w:jc w:val="left"/>
    </w:pPr>
  </w:style>
  <w:style w:type="paragraph" w:styleId="39">
    <w:name w:val="Body Text 2"/>
    <w:basedOn w:val="1"/>
    <w:qFormat/>
    <w:uiPriority w:val="0"/>
    <w:pPr>
      <w:widowControl/>
      <w:jc w:val="center"/>
    </w:pPr>
    <w:rPr>
      <w:rFonts w:ascii="楷体_GB2312" w:eastAsia="楷体_GB2312"/>
      <w:sz w:val="28"/>
      <w:szCs w:val="28"/>
    </w:rPr>
  </w:style>
  <w:style w:type="paragraph" w:styleId="4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1">
    <w:name w:val="index 1"/>
    <w:basedOn w:val="1"/>
    <w:next w:val="1"/>
    <w:semiHidden/>
    <w:qFormat/>
    <w:uiPriority w:val="0"/>
    <w:pPr>
      <w:spacing w:line="240" w:lineRule="atLeast"/>
    </w:pPr>
    <w:rPr>
      <w:b/>
      <w:bCs/>
    </w:rPr>
  </w:style>
  <w:style w:type="paragraph" w:styleId="42">
    <w:name w:val="annotation subject"/>
    <w:basedOn w:val="15"/>
    <w:next w:val="15"/>
    <w:semiHidden/>
    <w:qFormat/>
    <w:uiPriority w:val="0"/>
    <w:rPr>
      <w:b/>
      <w:bCs/>
    </w:rPr>
  </w:style>
  <w:style w:type="paragraph" w:styleId="43">
    <w:name w:val="Body Text First Indent"/>
    <w:basedOn w:val="1"/>
    <w:next w:val="1"/>
    <w:qFormat/>
    <w:uiPriority w:val="0"/>
    <w:pPr>
      <w:spacing w:line="360" w:lineRule="auto"/>
      <w:ind w:firstLine="200" w:firstLineChars="200"/>
    </w:pPr>
    <w:rPr>
      <w:rFonts w:ascii="仿宋_GB2312" w:eastAsia="仿宋_GB2312"/>
      <w:sz w:val="30"/>
      <w:szCs w:val="30"/>
    </w:rPr>
  </w:style>
  <w:style w:type="paragraph" w:styleId="44">
    <w:name w:val="Body Text First Indent 2"/>
    <w:basedOn w:val="18"/>
    <w:next w:val="17"/>
    <w:qFormat/>
    <w:uiPriority w:val="0"/>
    <w:pPr>
      <w:spacing w:line="360" w:lineRule="auto"/>
      <w:ind w:firstLine="420" w:firstLineChars="200"/>
    </w:pPr>
    <w:rPr>
      <w:rFonts w:ascii="宋体" w:hAnsi="宋体" w:eastAsia="宋体"/>
      <w:sz w:val="21"/>
      <w:szCs w:val="20"/>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qFormat/>
    <w:uiPriority w:val="0"/>
  </w:style>
  <w:style w:type="character" w:styleId="50">
    <w:name w:val="FollowedHyperlink"/>
    <w:qFormat/>
    <w:uiPriority w:val="0"/>
    <w:rPr>
      <w:color w:val="800080"/>
      <w:u w:val="none"/>
    </w:rPr>
  </w:style>
  <w:style w:type="character" w:styleId="51">
    <w:name w:val="Emphasis"/>
    <w:qFormat/>
    <w:uiPriority w:val="0"/>
  </w:style>
  <w:style w:type="character" w:styleId="52">
    <w:name w:val="HTML Definition"/>
    <w:qFormat/>
    <w:uiPriority w:val="0"/>
  </w:style>
  <w:style w:type="character" w:styleId="53">
    <w:name w:val="HTML Typewriter"/>
    <w:qFormat/>
    <w:uiPriority w:val="0"/>
    <w:rPr>
      <w:rFonts w:hint="default" w:ascii="monospace" w:hAnsi="monospace" w:eastAsia="monospace" w:cs="monospace"/>
      <w:sz w:val="20"/>
    </w:rPr>
  </w:style>
  <w:style w:type="character" w:styleId="54">
    <w:name w:val="HTML Acronym"/>
    <w:qFormat/>
    <w:uiPriority w:val="0"/>
  </w:style>
  <w:style w:type="character" w:styleId="55">
    <w:name w:val="HTML Variable"/>
    <w:qFormat/>
    <w:uiPriority w:val="0"/>
  </w:style>
  <w:style w:type="character" w:styleId="56">
    <w:name w:val="Hyperlink"/>
    <w:qFormat/>
    <w:uiPriority w:val="0"/>
    <w:rPr>
      <w:color w:val="0000FF"/>
      <w:u w:val="none"/>
    </w:rPr>
  </w:style>
  <w:style w:type="character" w:styleId="57">
    <w:name w:val="HTML Code"/>
    <w:qFormat/>
    <w:uiPriority w:val="0"/>
    <w:rPr>
      <w:rFonts w:ascii="monospace" w:hAnsi="monospace" w:eastAsia="monospace" w:cs="monospace"/>
      <w:sz w:val="20"/>
    </w:rPr>
  </w:style>
  <w:style w:type="character" w:styleId="58">
    <w:name w:val="annotation reference"/>
    <w:semiHidden/>
    <w:qFormat/>
    <w:uiPriority w:val="0"/>
    <w:rPr>
      <w:sz w:val="21"/>
      <w:szCs w:val="21"/>
    </w:rPr>
  </w:style>
  <w:style w:type="character" w:styleId="59">
    <w:name w:val="HTML Cite"/>
    <w:qFormat/>
    <w:uiPriority w:val="0"/>
  </w:style>
  <w:style w:type="character" w:styleId="60">
    <w:name w:val="HTML Keyboard"/>
    <w:qFormat/>
    <w:uiPriority w:val="0"/>
    <w:rPr>
      <w:rFonts w:hint="default" w:ascii="monospace" w:hAnsi="monospace" w:eastAsia="monospace" w:cs="monospace"/>
      <w:sz w:val="20"/>
    </w:rPr>
  </w:style>
  <w:style w:type="character" w:styleId="61">
    <w:name w:val="HTML Sample"/>
    <w:qFormat/>
    <w:uiPriority w:val="0"/>
    <w:rPr>
      <w:rFonts w:hint="default" w:ascii="monospace" w:hAnsi="monospace" w:eastAsia="monospace" w:cs="monospace"/>
    </w:rPr>
  </w:style>
  <w:style w:type="paragraph" w:customStyle="1" w:styleId="62">
    <w:name w:val="Default"/>
    <w:next w:val="63"/>
    <w:qFormat/>
    <w:uiPriority w:val="0"/>
    <w:pPr>
      <w:widowControl w:val="0"/>
      <w:autoSpaceDE w:val="0"/>
      <w:autoSpaceDN w:val="0"/>
      <w:ind w:left="5120" w:firstLine="4608"/>
    </w:pPr>
    <w:rPr>
      <w:rFonts w:ascii="宋体" w:hAnsi="宋体" w:eastAsia="Malgun Gothic" w:cs="Times New Roman"/>
      <w:lang w:val="en-US" w:eastAsia="zh-CN" w:bidi="ar-SA"/>
    </w:rPr>
  </w:style>
  <w:style w:type="paragraph" w:customStyle="1" w:styleId="63">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4">
    <w:name w:val="正文缩进 字符"/>
    <w:link w:val="6"/>
    <w:qFormat/>
    <w:uiPriority w:val="0"/>
    <w:rPr>
      <w:kern w:val="2"/>
      <w:sz w:val="21"/>
      <w:szCs w:val="21"/>
    </w:rPr>
  </w:style>
  <w:style w:type="character" w:customStyle="1" w:styleId="65">
    <w:name w:val="标题 3 字符"/>
    <w:link w:val="5"/>
    <w:qFormat/>
    <w:uiPriority w:val="0"/>
    <w:rPr>
      <w:rFonts w:eastAsia="宋体"/>
      <w:b/>
      <w:bCs/>
      <w:kern w:val="2"/>
      <w:sz w:val="32"/>
      <w:szCs w:val="32"/>
      <w:lang w:val="en-US" w:eastAsia="zh-CN" w:bidi="ar-SA"/>
    </w:rPr>
  </w:style>
  <w:style w:type="character" w:customStyle="1" w:styleId="66">
    <w:name w:val="标题 4 字符"/>
    <w:link w:val="2"/>
    <w:qFormat/>
    <w:uiPriority w:val="0"/>
    <w:rPr>
      <w:rFonts w:ascii="Cambria" w:hAnsi="Cambria" w:eastAsia="宋体" w:cs="Times New Roman"/>
      <w:b/>
      <w:kern w:val="2"/>
      <w:sz w:val="28"/>
      <w:szCs w:val="28"/>
    </w:rPr>
  </w:style>
  <w:style w:type="character" w:customStyle="1" w:styleId="67">
    <w:name w:val="文档结构图 字符"/>
    <w:link w:val="14"/>
    <w:qFormat/>
    <w:uiPriority w:val="0"/>
    <w:rPr>
      <w:rFonts w:eastAsia="宋体"/>
      <w:kern w:val="2"/>
      <w:sz w:val="21"/>
      <w:szCs w:val="21"/>
      <w:lang w:val="en-US" w:eastAsia="zh-CN" w:bidi="ar-SA"/>
    </w:rPr>
  </w:style>
  <w:style w:type="character" w:customStyle="1" w:styleId="68">
    <w:name w:val="纯文本 字符"/>
    <w:link w:val="24"/>
    <w:qFormat/>
    <w:uiPriority w:val="0"/>
    <w:rPr>
      <w:rFonts w:ascii="宋体" w:hAnsi="Courier New" w:cs="Courier New"/>
      <w:kern w:val="2"/>
      <w:sz w:val="21"/>
      <w:szCs w:val="21"/>
    </w:rPr>
  </w:style>
  <w:style w:type="character" w:customStyle="1" w:styleId="69">
    <w:name w:val="页脚 字符"/>
    <w:link w:val="29"/>
    <w:qFormat/>
    <w:uiPriority w:val="0"/>
    <w:rPr>
      <w:kern w:val="2"/>
      <w:sz w:val="18"/>
      <w:szCs w:val="18"/>
    </w:rPr>
  </w:style>
  <w:style w:type="character" w:customStyle="1" w:styleId="70">
    <w:name w:val="页眉 字符"/>
    <w:link w:val="30"/>
    <w:qFormat/>
    <w:uiPriority w:val="0"/>
    <w:rPr>
      <w:kern w:val="2"/>
      <w:sz w:val="18"/>
      <w:szCs w:val="18"/>
    </w:rPr>
  </w:style>
  <w:style w:type="character" w:customStyle="1" w:styleId="71">
    <w:name w:val="hover"/>
    <w:qFormat/>
    <w:uiPriority w:val="0"/>
    <w:rPr>
      <w:shd w:val="clear" w:color="auto" w:fill="EEEEEE"/>
    </w:rPr>
  </w:style>
  <w:style w:type="character" w:customStyle="1" w:styleId="72">
    <w:name w:val="old"/>
    <w:qFormat/>
    <w:uiPriority w:val="0"/>
    <w:rPr>
      <w:color w:val="999999"/>
    </w:rPr>
  </w:style>
  <w:style w:type="character" w:customStyle="1" w:styleId="73">
    <w:name w:val="列出段落 Char"/>
    <w:link w:val="74"/>
    <w:qFormat/>
    <w:locked/>
    <w:uiPriority w:val="0"/>
    <w:rPr>
      <w:rFonts w:ascii="Calibri" w:hAnsi="Calibri"/>
      <w:sz w:val="24"/>
      <w:szCs w:val="24"/>
      <w:lang w:eastAsia="en-US" w:bidi="en-US"/>
    </w:rPr>
  </w:style>
  <w:style w:type="paragraph" w:customStyle="1" w:styleId="74">
    <w:name w:val="列出段落1"/>
    <w:basedOn w:val="1"/>
    <w:link w:val="73"/>
    <w:qFormat/>
    <w:uiPriority w:val="0"/>
    <w:pPr>
      <w:widowControl/>
      <w:ind w:left="720"/>
      <w:contextualSpacing/>
      <w:jc w:val="left"/>
    </w:pPr>
    <w:rPr>
      <w:rFonts w:ascii="Calibri" w:hAnsi="Calibri"/>
      <w:kern w:val="0"/>
      <w:sz w:val="24"/>
      <w:szCs w:val="24"/>
      <w:lang w:eastAsia="en-US" w:bidi="en-US"/>
    </w:rPr>
  </w:style>
  <w:style w:type="character" w:customStyle="1" w:styleId="75">
    <w:name w:val="二级目录 Char"/>
    <w:link w:val="76"/>
    <w:qFormat/>
    <w:uiPriority w:val="0"/>
    <w:rPr>
      <w:b/>
      <w:kern w:val="2"/>
      <w:sz w:val="30"/>
      <w:szCs w:val="28"/>
    </w:rPr>
  </w:style>
  <w:style w:type="paragraph" w:customStyle="1" w:styleId="76">
    <w:name w:val="二级目录"/>
    <w:next w:val="1"/>
    <w:link w:val="75"/>
    <w:qFormat/>
    <w:uiPriority w:val="0"/>
    <w:pPr>
      <w:tabs>
        <w:tab w:val="left" w:pos="907"/>
        <w:tab w:val="left" w:pos="1145"/>
      </w:tabs>
      <w:ind w:left="907" w:hanging="907"/>
      <w:outlineLvl w:val="1"/>
    </w:pPr>
    <w:rPr>
      <w:rFonts w:ascii="Times New Roman" w:hAnsi="Times New Roman" w:eastAsia="宋体" w:cs="Times New Roman"/>
      <w:b/>
      <w:kern w:val="2"/>
      <w:sz w:val="30"/>
      <w:szCs w:val="28"/>
      <w:lang w:val="en-US" w:eastAsia="zh-CN" w:bidi="ar-SA"/>
    </w:rPr>
  </w:style>
  <w:style w:type="character" w:customStyle="1" w:styleId="77">
    <w:name w:val="hour_am"/>
    <w:qFormat/>
    <w:uiPriority w:val="0"/>
  </w:style>
  <w:style w:type="character" w:customStyle="1" w:styleId="78">
    <w:name w:val="glyphicon"/>
    <w:qFormat/>
    <w:uiPriority w:val="0"/>
  </w:style>
  <w:style w:type="character" w:customStyle="1" w:styleId="79">
    <w:name w:val="font5 Char"/>
    <w:qFormat/>
    <w:uiPriority w:val="0"/>
    <w:rPr>
      <w:rFonts w:ascii="宋体" w:hAnsi="宋体" w:eastAsia="宋体"/>
      <w:sz w:val="28"/>
      <w:szCs w:val="28"/>
      <w:lang w:val="en-US" w:eastAsia="zh-CN" w:bidi="ar-SA"/>
    </w:rPr>
  </w:style>
  <w:style w:type="character" w:customStyle="1" w:styleId="80">
    <w:name w:val="hour_pm"/>
    <w:qFormat/>
    <w:uiPriority w:val="0"/>
  </w:style>
  <w:style w:type="character" w:customStyle="1" w:styleId="81">
    <w:name w:val="Char Char Char Char Char"/>
    <w:link w:val="82"/>
    <w:qFormat/>
    <w:uiPriority w:val="0"/>
    <w:rPr>
      <w:rFonts w:ascii="Tahoma" w:hAnsi="Tahoma" w:eastAsia="宋体"/>
      <w:kern w:val="2"/>
      <w:sz w:val="24"/>
      <w:szCs w:val="24"/>
      <w:lang w:val="en-US" w:eastAsia="zh-CN" w:bidi="ar-SA"/>
    </w:rPr>
  </w:style>
  <w:style w:type="paragraph" w:customStyle="1" w:styleId="82">
    <w:name w:val="Char Char Char Char"/>
    <w:basedOn w:val="14"/>
    <w:link w:val="81"/>
    <w:qFormat/>
    <w:uiPriority w:val="0"/>
    <w:pPr>
      <w:adjustRightInd w:val="0"/>
      <w:snapToGrid w:val="0"/>
      <w:spacing w:line="360" w:lineRule="auto"/>
    </w:pPr>
    <w:rPr>
      <w:rFonts w:ascii="Tahoma" w:hAnsi="Tahoma"/>
      <w:sz w:val="24"/>
      <w:szCs w:val="24"/>
    </w:rPr>
  </w:style>
  <w:style w:type="paragraph" w:customStyle="1" w:styleId="83">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84">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85">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86">
    <w:name w:val="table_1stline"/>
    <w:basedOn w:val="1"/>
    <w:qFormat/>
    <w:uiPriority w:val="0"/>
    <w:pPr>
      <w:widowControl/>
      <w:spacing w:before="120"/>
      <w:jc w:val="left"/>
    </w:pPr>
    <w:rPr>
      <w:bCs/>
      <w:kern w:val="0"/>
      <w:sz w:val="20"/>
      <w:szCs w:val="20"/>
      <w:lang w:val="de-DE" w:eastAsia="de-DE"/>
    </w:rPr>
  </w:style>
  <w:style w:type="paragraph" w:customStyle="1" w:styleId="87">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88">
    <w:name w:val="table_lines"/>
    <w:basedOn w:val="1"/>
    <w:qFormat/>
    <w:uiPriority w:val="0"/>
    <w:pPr>
      <w:widowControl/>
      <w:jc w:val="left"/>
    </w:pPr>
    <w:rPr>
      <w:kern w:val="0"/>
      <w:sz w:val="20"/>
      <w:szCs w:val="20"/>
      <w:lang w:val="de-DE" w:eastAsia="de-DE"/>
    </w:rPr>
  </w:style>
  <w:style w:type="paragraph" w:customStyle="1" w:styleId="89">
    <w:name w:val="Char"/>
    <w:basedOn w:val="1"/>
    <w:qFormat/>
    <w:uiPriority w:val="0"/>
    <w:pPr>
      <w:tabs>
        <w:tab w:val="left" w:pos="360"/>
      </w:tabs>
      <w:ind w:firstLine="200" w:firstLineChars="200"/>
    </w:pPr>
    <w:rPr>
      <w:sz w:val="28"/>
      <w:szCs w:val="30"/>
    </w:rPr>
  </w:style>
  <w:style w:type="paragraph" w:customStyle="1" w:styleId="90">
    <w:name w:val="Index4"/>
    <w:basedOn w:val="1"/>
    <w:next w:val="1"/>
    <w:qFormat/>
    <w:uiPriority w:val="99"/>
    <w:pPr>
      <w:ind w:left="600" w:leftChars="600"/>
    </w:pPr>
    <w:rPr>
      <w:rFonts w:ascii="Verdana" w:hAnsi="Verdana"/>
      <w:szCs w:val="20"/>
    </w:rPr>
  </w:style>
  <w:style w:type="paragraph" w:customStyle="1" w:styleId="91">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92">
    <w:name w:val="附录1"/>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93">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4">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95">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6">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97">
    <w:name w:val="无间隔1"/>
    <w:qFormat/>
    <w:uiPriority w:val="5"/>
    <w:rPr>
      <w:rFonts w:ascii="Calibri" w:hAnsi="Calibri" w:eastAsia="Calibri" w:cs="Times New Roman"/>
      <w:sz w:val="22"/>
      <w:szCs w:val="22"/>
      <w:lang w:val="en-US" w:eastAsia="zh-CN" w:bidi="ar-SA"/>
    </w:rPr>
  </w:style>
  <w:style w:type="paragraph" w:customStyle="1" w:styleId="98">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99">
    <w:name w:val="Char Char Char Char Char Char Char Char Char Char"/>
    <w:basedOn w:val="1"/>
    <w:qFormat/>
    <w:uiPriority w:val="0"/>
    <w:pPr>
      <w:adjustRightInd w:val="0"/>
      <w:spacing w:line="360" w:lineRule="auto"/>
    </w:pPr>
    <w:rPr>
      <w:kern w:val="0"/>
      <w:sz w:val="24"/>
      <w:szCs w:val="20"/>
    </w:rPr>
  </w:style>
  <w:style w:type="paragraph" w:customStyle="1" w:styleId="100">
    <w:name w:val="Char Char Char Char1"/>
    <w:basedOn w:val="14"/>
    <w:qFormat/>
    <w:uiPriority w:val="0"/>
    <w:pPr>
      <w:adjustRightInd w:val="0"/>
      <w:snapToGrid w:val="0"/>
      <w:spacing w:line="360" w:lineRule="auto"/>
    </w:pPr>
    <w:rPr>
      <w:rFonts w:ascii="Tahoma" w:hAnsi="Tahoma"/>
      <w:sz w:val="24"/>
      <w:szCs w:val="24"/>
    </w:rPr>
  </w:style>
  <w:style w:type="paragraph" w:customStyle="1" w:styleId="101">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02">
    <w:name w:val="Body Text(ch)"/>
    <w:basedOn w:val="1"/>
    <w:next w:val="17"/>
    <w:qFormat/>
    <w:uiPriority w:val="0"/>
    <w:pPr>
      <w:spacing w:after="120"/>
    </w:pPr>
    <w:rPr>
      <w:rFonts w:ascii="宋体" w:hAnsi="Arial"/>
      <w:bCs/>
      <w:iCs/>
      <w:szCs w:val="24"/>
    </w:rPr>
  </w:style>
  <w:style w:type="paragraph" w:customStyle="1" w:styleId="103">
    <w:name w:val="Char1"/>
    <w:basedOn w:val="14"/>
    <w:qFormat/>
    <w:uiPriority w:val="0"/>
    <w:rPr>
      <w:rFonts w:ascii="Tahoma" w:hAnsi="Tahoma"/>
      <w:sz w:val="24"/>
      <w:szCs w:val="24"/>
    </w:rPr>
  </w:style>
  <w:style w:type="paragraph" w:customStyle="1" w:styleId="10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05">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styleId="106">
    <w:name w:val="List Paragraph"/>
    <w:basedOn w:val="1"/>
    <w:qFormat/>
    <w:uiPriority w:val="34"/>
    <w:pPr>
      <w:widowControl/>
      <w:ind w:left="720"/>
      <w:contextualSpacing/>
      <w:jc w:val="left"/>
    </w:pPr>
    <w:rPr>
      <w:rFonts w:ascii="Calibri" w:hAnsi="Calibri"/>
      <w:kern w:val="0"/>
      <w:sz w:val="24"/>
      <w:szCs w:val="24"/>
      <w:lang w:eastAsia="en-US" w:bidi="en-US"/>
    </w:rPr>
  </w:style>
  <w:style w:type="paragraph" w:customStyle="1" w:styleId="107">
    <w:name w:val="Normal_19"/>
    <w:next w:val="108"/>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108">
    <w:name w:val="段_0"/>
    <w:next w:val="10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9">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10">
    <w:name w:val="样式1"/>
    <w:basedOn w:val="1"/>
    <w:qFormat/>
    <w:uiPriority w:val="0"/>
    <w:pPr>
      <w:numPr>
        <w:ilvl w:val="0"/>
        <w:numId w:val="3"/>
      </w:numPr>
      <w:adjustRightInd w:val="0"/>
      <w:textAlignment w:val="baseline"/>
    </w:pPr>
    <w:rPr>
      <w:rFonts w:ascii="宋体" w:hAnsi="宋体"/>
      <w:kern w:val="0"/>
    </w:rPr>
  </w:style>
  <w:style w:type="paragraph" w:customStyle="1" w:styleId="111">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12">
    <w:name w:val="4"/>
    <w:basedOn w:val="1"/>
    <w:next w:val="35"/>
    <w:qFormat/>
    <w:uiPriority w:val="0"/>
    <w:pPr>
      <w:spacing w:line="360" w:lineRule="auto"/>
      <w:ind w:firstLine="420"/>
    </w:pPr>
    <w:rPr>
      <w:color w:val="FF0000"/>
      <w:sz w:val="24"/>
      <w:szCs w:val="24"/>
    </w:rPr>
  </w:style>
  <w:style w:type="paragraph" w:customStyle="1" w:styleId="113">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14">
    <w:name w:val="font5"/>
    <w:basedOn w:val="1"/>
    <w:qFormat/>
    <w:uiPriority w:val="0"/>
    <w:pPr>
      <w:widowControl/>
      <w:spacing w:before="100" w:beforeAutospacing="1" w:after="100" w:afterAutospacing="1"/>
      <w:jc w:val="left"/>
    </w:pPr>
    <w:rPr>
      <w:rFonts w:hint="eastAsia" w:ascii="宋体" w:hAnsi="宋体"/>
      <w:kern w:val="0"/>
      <w:sz w:val="28"/>
      <w:szCs w:val="28"/>
    </w:rPr>
  </w:style>
  <w:style w:type="character" w:customStyle="1" w:styleId="115">
    <w:name w:val="NormalCharacter"/>
    <w:semiHidden/>
    <w:qFormat/>
    <w:uiPriority w:val="0"/>
  </w:style>
  <w:style w:type="paragraph" w:customStyle="1" w:styleId="116">
    <w:name w:val="Heading2"/>
    <w:basedOn w:val="1"/>
    <w:next w:val="117"/>
    <w:qFormat/>
    <w:uiPriority w:val="0"/>
    <w:pPr>
      <w:keepNext/>
      <w:keepLines/>
      <w:spacing w:before="260" w:after="260" w:line="416" w:lineRule="auto"/>
      <w:jc w:val="center"/>
    </w:pPr>
    <w:rPr>
      <w:rFonts w:ascii="Arial" w:hAnsi="Arial" w:eastAsia="幼圆" w:cs="Arial"/>
      <w:b/>
      <w:bCs/>
      <w:sz w:val="44"/>
      <w:szCs w:val="44"/>
    </w:rPr>
  </w:style>
  <w:style w:type="paragraph" w:customStyle="1" w:styleId="117">
    <w:name w:val="NormalIndent"/>
    <w:basedOn w:val="1"/>
    <w:qFormat/>
    <w:uiPriority w:val="0"/>
    <w:pPr>
      <w:ind w:firstLine="420"/>
    </w:pPr>
  </w:style>
  <w:style w:type="paragraph" w:customStyle="1" w:styleId="118">
    <w:name w:val="Heading1"/>
    <w:basedOn w:val="1"/>
    <w:next w:val="1"/>
    <w:qFormat/>
    <w:uiPriority w:val="0"/>
    <w:pPr>
      <w:keepNext/>
      <w:jc w:val="center"/>
    </w:pPr>
    <w:rPr>
      <w:rFonts w:ascii="楷体_GB2312" w:eastAsia="楷体_GB2312"/>
      <w:sz w:val="28"/>
      <w:szCs w:val="28"/>
    </w:rPr>
  </w:style>
  <w:style w:type="paragraph" w:styleId="11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0">
    <w:name w:val="WPSOffice手动目录 1"/>
    <w:qFormat/>
    <w:uiPriority w:val="0"/>
    <w:rPr>
      <w:rFonts w:ascii="Calibri" w:hAnsi="Calibri" w:eastAsia="宋体" w:cs="Times New Roman"/>
      <w:lang w:val="en-US" w:eastAsia="zh-CN" w:bidi="ar-SA"/>
    </w:rPr>
  </w:style>
  <w:style w:type="paragraph" w:customStyle="1" w:styleId="121">
    <w:name w:val="纯文本1"/>
    <w:basedOn w:val="1"/>
    <w:qFormat/>
    <w:uiPriority w:val="0"/>
    <w:rPr>
      <w:rFonts w:ascii="宋体" w:hAnsi="Courier New"/>
      <w:sz w:val="28"/>
    </w:rPr>
  </w:style>
  <w:style w:type="character" w:customStyle="1" w:styleId="122">
    <w:name w:val="apple-converted-space"/>
    <w:basedOn w:val="47"/>
    <w:qFormat/>
    <w:uiPriority w:val="99"/>
  </w:style>
  <w:style w:type="paragraph" w:customStyle="1" w:styleId="123">
    <w:name w:val="HtmlNormal"/>
    <w:basedOn w:val="1"/>
    <w:qFormat/>
    <w:uiPriority w:val="0"/>
    <w:pPr>
      <w:spacing w:before="100" w:beforeAutospacing="1" w:after="10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财政厅局域网标书</Template>
  <Pages>52</Pages>
  <Words>23234</Words>
  <Characters>24753</Characters>
  <Lines>197</Lines>
  <Paragraphs>55</Paragraphs>
  <TotalTime>1</TotalTime>
  <ScaleCrop>false</ScaleCrop>
  <LinksUpToDate>false</LinksUpToDate>
  <CharactersWithSpaces>26855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2022-07-12T09:18:00Z</dcterms:created>
  <dc:creator>政府采购中心</dc:creator>
  <cp:lastModifiedBy>赵萌</cp:lastModifiedBy>
  <cp:lastPrinted>2021-10-22T01:16:00Z</cp:lastPrinted>
  <dcterms:modified xsi:type="dcterms:W3CDTF">2022-12-01T08:09:46Z</dcterms:modified>
  <dc:title>江苏卫生信息系统业务软件</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51A9FDD6E35D454892273084D1F40B18</vt:lpwstr>
  </property>
</Properties>
</file>