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0" w:firstLineChars="0"/>
        <w:rPr>
          <w:rStyle w:val="54"/>
          <w:rFonts w:cs="宋体"/>
          <w:color w:val="000000" w:themeColor="text1"/>
          <w:sz w:val="36"/>
          <w:szCs w:val="21"/>
          <w:highlight w:val="none"/>
          <w14:textFill>
            <w14:solidFill>
              <w14:schemeClr w14:val="tx1"/>
            </w14:solidFill>
          </w14:textFill>
        </w:rPr>
      </w:pPr>
    </w:p>
    <w:p>
      <w:pPr>
        <w:rPr>
          <w:rStyle w:val="54"/>
          <w:rFonts w:ascii="宋体" w:hAnsi="宋体" w:cs="宋体"/>
          <w:color w:val="000000" w:themeColor="text1"/>
          <w:sz w:val="36"/>
          <w:highlight w:val="none"/>
          <w14:textFill>
            <w14:solidFill>
              <w14:schemeClr w14:val="tx1"/>
            </w14:solidFill>
          </w14:textFill>
        </w:rPr>
      </w:pPr>
    </w:p>
    <w:p>
      <w:pPr>
        <w:jc w:val="center"/>
        <w:rPr>
          <w:rStyle w:val="54"/>
          <w:rFonts w:ascii="宋体" w:hAnsi="宋体" w:cs="宋体"/>
          <w:b/>
          <w:color w:val="000000" w:themeColor="text1"/>
          <w:sz w:val="84"/>
          <w:highlight w:val="none"/>
          <w14:textFill>
            <w14:solidFill>
              <w14:schemeClr w14:val="tx1"/>
            </w14:solidFill>
          </w14:textFill>
        </w:rPr>
      </w:pPr>
      <w:r>
        <w:rPr>
          <w:rStyle w:val="54"/>
          <w:rFonts w:hint="eastAsia" w:ascii="宋体" w:hAnsi="宋体" w:cs="宋体"/>
          <w:b/>
          <w:color w:val="000000" w:themeColor="text1"/>
          <w:sz w:val="84"/>
          <w:highlight w:val="none"/>
          <w14:textFill>
            <w14:solidFill>
              <w14:schemeClr w14:val="tx1"/>
            </w14:solidFill>
          </w14:textFill>
        </w:rPr>
        <w:t>招 标 文 件</w:t>
      </w:r>
    </w:p>
    <w:p>
      <w:pPr>
        <w:rPr>
          <w:rStyle w:val="54"/>
          <w:rFonts w:ascii="宋体" w:hAnsi="宋体" w:cs="宋体"/>
          <w:b/>
          <w:color w:val="000000" w:themeColor="text1"/>
          <w:sz w:val="32"/>
          <w:highlight w:val="none"/>
          <w14:textFill>
            <w14:solidFill>
              <w14:schemeClr w14:val="tx1"/>
            </w14:solidFill>
          </w14:textFill>
        </w:rPr>
      </w:pPr>
    </w:p>
    <w:p>
      <w:pPr>
        <w:jc w:val="center"/>
        <w:rPr>
          <w:rStyle w:val="54"/>
          <w:rFonts w:ascii="宋体" w:hAnsi="宋体" w:cs="宋体"/>
          <w:b/>
          <w:color w:val="000000" w:themeColor="text1"/>
          <w:sz w:val="32"/>
          <w:highlight w:val="none"/>
          <w14:textFill>
            <w14:solidFill>
              <w14:schemeClr w14:val="tx1"/>
            </w14:solidFill>
          </w14:textFill>
        </w:rPr>
      </w:pPr>
    </w:p>
    <w:p>
      <w:pPr>
        <w:pStyle w:val="26"/>
        <w:rPr>
          <w:rFonts w:cs="宋体"/>
          <w:color w:val="000000" w:themeColor="text1"/>
          <w:highlight w:val="none"/>
          <w14:textFill>
            <w14:solidFill>
              <w14:schemeClr w14:val="tx1"/>
            </w14:solidFill>
          </w14:textFill>
        </w:rPr>
      </w:pPr>
    </w:p>
    <w:p>
      <w:pPr>
        <w:jc w:val="center"/>
        <w:rPr>
          <w:rStyle w:val="54"/>
          <w:rFonts w:ascii="宋体" w:hAnsi="宋体" w:cs="宋体"/>
          <w:b/>
          <w:color w:val="000000" w:themeColor="text1"/>
          <w:sz w:val="32"/>
          <w:highlight w:val="none"/>
          <w14:textFill>
            <w14:solidFill>
              <w14:schemeClr w14:val="tx1"/>
            </w14:solidFill>
          </w14:textFill>
        </w:rPr>
      </w:pPr>
    </w:p>
    <w:p>
      <w:pPr>
        <w:ind w:firstLine="643" w:firstLineChars="200"/>
        <w:jc w:val="center"/>
        <w:rPr>
          <w:rStyle w:val="54"/>
          <w:rFonts w:ascii="宋体" w:hAnsi="宋体" w:cs="宋体"/>
          <w:b/>
          <w:color w:val="000000" w:themeColor="text1"/>
          <w:sz w:val="32"/>
          <w:highlight w:val="none"/>
          <w14:textFill>
            <w14:solidFill>
              <w14:schemeClr w14:val="tx1"/>
            </w14:solidFill>
          </w14:textFill>
        </w:rPr>
      </w:pPr>
    </w:p>
    <w:p>
      <w:pPr>
        <w:ind w:firstLine="361" w:firstLineChars="100"/>
        <w:rPr>
          <w:rStyle w:val="54"/>
          <w:rFonts w:hint="eastAsia" w:ascii="宋体" w:hAnsi="宋体" w:eastAsia="宋体" w:cs="宋体"/>
          <w:b/>
          <w:color w:val="000000" w:themeColor="text1"/>
          <w:sz w:val="36"/>
          <w:highlight w:val="none"/>
          <w:lang w:eastAsia="zh-CN"/>
          <w14:textFill>
            <w14:solidFill>
              <w14:schemeClr w14:val="tx1"/>
            </w14:solidFill>
          </w14:textFill>
        </w:rPr>
      </w:pPr>
      <w:r>
        <w:rPr>
          <w:rStyle w:val="54"/>
          <w:rFonts w:hint="eastAsia" w:ascii="宋体" w:hAnsi="宋体" w:cs="宋体"/>
          <w:b/>
          <w:color w:val="000000" w:themeColor="text1"/>
          <w:sz w:val="36"/>
          <w:highlight w:val="none"/>
          <w14:textFill>
            <w14:solidFill>
              <w14:schemeClr w14:val="tx1"/>
            </w14:solidFill>
          </w14:textFill>
        </w:rPr>
        <w:t>项目编号：</w:t>
      </w:r>
      <w:r>
        <w:rPr>
          <w:rStyle w:val="54"/>
          <w:rFonts w:hint="eastAsia" w:ascii="宋体" w:hAnsi="宋体" w:cs="宋体"/>
          <w:b/>
          <w:color w:val="000000" w:themeColor="text1"/>
          <w:sz w:val="36"/>
          <w:highlight w:val="none"/>
          <w:lang w:eastAsia="zh-CN"/>
          <w14:textFill>
            <w14:solidFill>
              <w14:schemeClr w14:val="tx1"/>
            </w14:solidFill>
          </w14:textFill>
        </w:rPr>
        <w:t xml:space="preserve">2024-031J  </w:t>
      </w:r>
    </w:p>
    <w:p>
      <w:pPr>
        <w:ind w:firstLine="643" w:firstLineChars="200"/>
        <w:jc w:val="center"/>
        <w:rPr>
          <w:rStyle w:val="54"/>
          <w:rFonts w:ascii="宋体" w:hAnsi="宋体" w:cs="宋体"/>
          <w:b/>
          <w:color w:val="000000" w:themeColor="text1"/>
          <w:sz w:val="32"/>
          <w:highlight w:val="none"/>
          <w14:textFill>
            <w14:solidFill>
              <w14:schemeClr w14:val="tx1"/>
            </w14:solidFill>
          </w14:textFill>
        </w:rPr>
      </w:pPr>
    </w:p>
    <w:p>
      <w:pPr>
        <w:ind w:firstLine="643" w:firstLineChars="200"/>
        <w:jc w:val="center"/>
        <w:rPr>
          <w:rStyle w:val="54"/>
          <w:rFonts w:ascii="宋体" w:hAnsi="宋体" w:cs="宋体"/>
          <w:b/>
          <w:color w:val="000000" w:themeColor="text1"/>
          <w:sz w:val="32"/>
          <w:highlight w:val="none"/>
          <w14:textFill>
            <w14:solidFill>
              <w14:schemeClr w14:val="tx1"/>
            </w14:solidFill>
          </w14:textFill>
        </w:rPr>
      </w:pPr>
    </w:p>
    <w:p>
      <w:pPr>
        <w:ind w:left="2166" w:leftChars="171" w:hanging="1807" w:hangingChars="500"/>
        <w:rPr>
          <w:rStyle w:val="54"/>
          <w:rFonts w:ascii="宋体" w:hAnsi="宋体" w:cs="宋体"/>
          <w:b/>
          <w:color w:val="000000" w:themeColor="text1"/>
          <w:sz w:val="30"/>
          <w:szCs w:val="30"/>
          <w:highlight w:val="none"/>
          <w14:textFill>
            <w14:solidFill>
              <w14:schemeClr w14:val="tx1"/>
            </w14:solidFill>
          </w14:textFill>
        </w:rPr>
      </w:pPr>
      <w:r>
        <w:rPr>
          <w:rStyle w:val="54"/>
          <w:rFonts w:hint="eastAsia" w:ascii="宋体" w:hAnsi="宋体" w:cs="宋体"/>
          <w:b/>
          <w:color w:val="000000" w:themeColor="text1"/>
          <w:sz w:val="36"/>
          <w:szCs w:val="36"/>
          <w:highlight w:val="none"/>
          <w14:textFill>
            <w14:solidFill>
              <w14:schemeClr w14:val="tx1"/>
            </w14:solidFill>
          </w14:textFill>
        </w:rPr>
        <w:t>项目名称：</w:t>
      </w:r>
      <w:r>
        <w:rPr>
          <w:rStyle w:val="54"/>
          <w:rFonts w:hint="eastAsia" w:ascii="宋体" w:hAnsi="宋体" w:cs="宋体"/>
          <w:b/>
          <w:color w:val="000000" w:themeColor="text1"/>
          <w:sz w:val="36"/>
          <w:szCs w:val="36"/>
          <w:highlight w:val="none"/>
          <w:lang w:eastAsia="zh-CN"/>
          <w14:textFill>
            <w14:solidFill>
              <w14:schemeClr w14:val="tx1"/>
            </w14:solidFill>
          </w14:textFill>
        </w:rPr>
        <w:t>盐城工业职业技术学院商学院改造设计施工一体化</w:t>
      </w:r>
    </w:p>
    <w:p>
      <w:pPr>
        <w:pStyle w:val="26"/>
        <w:ind w:firstLine="0" w:firstLineChars="0"/>
        <w:rPr>
          <w:rStyle w:val="54"/>
          <w:rFonts w:cs="宋体"/>
          <w:b/>
          <w:color w:val="000000" w:themeColor="text1"/>
          <w:sz w:val="32"/>
          <w:szCs w:val="21"/>
          <w:highlight w:val="none"/>
          <w14:textFill>
            <w14:solidFill>
              <w14:schemeClr w14:val="tx1"/>
            </w14:solidFill>
          </w14:textFill>
        </w:rPr>
      </w:pPr>
    </w:p>
    <w:p>
      <w:pPr>
        <w:pStyle w:val="26"/>
        <w:ind w:firstLine="643"/>
        <w:rPr>
          <w:rStyle w:val="54"/>
          <w:rFonts w:cs="宋体"/>
          <w:b/>
          <w:color w:val="000000" w:themeColor="text1"/>
          <w:sz w:val="32"/>
          <w:szCs w:val="21"/>
          <w:highlight w:val="none"/>
          <w14:textFill>
            <w14:solidFill>
              <w14:schemeClr w14:val="tx1"/>
            </w14:solidFill>
          </w14:textFill>
        </w:rPr>
      </w:pPr>
    </w:p>
    <w:p>
      <w:pPr>
        <w:pStyle w:val="114"/>
        <w:rPr>
          <w:rStyle w:val="54"/>
          <w:rFonts w:ascii="宋体" w:hAnsi="宋体" w:eastAsia="宋体" w:cs="宋体"/>
          <w:b/>
          <w:color w:val="000000" w:themeColor="text1"/>
          <w:sz w:val="32"/>
          <w:highlight w:val="none"/>
          <w14:textFill>
            <w14:solidFill>
              <w14:schemeClr w14:val="tx1"/>
            </w14:solidFill>
          </w14:textFill>
        </w:rPr>
      </w:pPr>
    </w:p>
    <w:p>
      <w:pPr>
        <w:pStyle w:val="114"/>
        <w:rPr>
          <w:rStyle w:val="54"/>
          <w:rFonts w:ascii="宋体" w:hAnsi="宋体" w:eastAsia="宋体" w:cs="宋体"/>
          <w:b/>
          <w:color w:val="000000" w:themeColor="text1"/>
          <w:sz w:val="32"/>
          <w:highlight w:val="none"/>
          <w14:textFill>
            <w14:solidFill>
              <w14:schemeClr w14:val="tx1"/>
            </w14:solidFill>
          </w14:textFill>
        </w:rPr>
      </w:pPr>
    </w:p>
    <w:p>
      <w:pPr>
        <w:spacing w:afterLines="100" w:line="360" w:lineRule="auto"/>
        <w:jc w:val="center"/>
        <w:rPr>
          <w:rStyle w:val="54"/>
          <w:rFonts w:ascii="宋体" w:hAnsi="宋体" w:cs="宋体"/>
          <w:bCs/>
          <w:color w:val="000000" w:themeColor="text1"/>
          <w:sz w:val="36"/>
          <w:szCs w:val="36"/>
          <w:highlight w:val="none"/>
          <w14:textFill>
            <w14:solidFill>
              <w14:schemeClr w14:val="tx1"/>
            </w14:solidFill>
          </w14:textFill>
        </w:rPr>
      </w:pPr>
      <w:r>
        <w:rPr>
          <w:rStyle w:val="54"/>
          <w:rFonts w:hint="eastAsia" w:ascii="宋体" w:hAnsi="宋体" w:cs="宋体"/>
          <w:bCs/>
          <w:color w:val="000000" w:themeColor="text1"/>
          <w:sz w:val="36"/>
          <w:szCs w:val="36"/>
          <w:highlight w:val="none"/>
          <w14:textFill>
            <w14:solidFill>
              <w14:schemeClr w14:val="tx1"/>
            </w14:solidFill>
          </w14:textFill>
        </w:rPr>
        <w:t>采购人：盐城工业职业技术学院</w:t>
      </w:r>
    </w:p>
    <w:p>
      <w:pPr>
        <w:pStyle w:val="2"/>
        <w:spacing w:line="360" w:lineRule="auto"/>
        <w:ind w:left="0" w:leftChars="0" w:right="0" w:rightChars="0"/>
        <w:jc w:val="center"/>
        <w:rPr>
          <w:rStyle w:val="54"/>
          <w:rFonts w:ascii="宋体" w:hAnsi="宋体" w:cs="宋体"/>
          <w:bCs/>
          <w:color w:val="000000" w:themeColor="text1"/>
          <w:sz w:val="36"/>
          <w:szCs w:val="36"/>
          <w:highlight w:val="none"/>
          <w14:textFill>
            <w14:solidFill>
              <w14:schemeClr w14:val="tx1"/>
            </w14:solidFill>
          </w14:textFill>
        </w:rPr>
      </w:pPr>
      <w:r>
        <w:rPr>
          <w:rStyle w:val="54"/>
          <w:rFonts w:hint="eastAsia" w:ascii="宋体" w:hAnsi="宋体" w:cs="宋体"/>
          <w:bCs/>
          <w:color w:val="000000" w:themeColor="text1"/>
          <w:sz w:val="36"/>
          <w:szCs w:val="36"/>
          <w:highlight w:val="none"/>
          <w14:textFill>
            <w14:solidFill>
              <w14:schemeClr w14:val="tx1"/>
            </w14:solidFill>
          </w14:textFill>
        </w:rPr>
        <w:t>代理人：江苏建博工程管理咨询有限公司</w:t>
      </w:r>
    </w:p>
    <w:p>
      <w:pPr>
        <w:jc w:val="center"/>
        <w:rPr>
          <w:rStyle w:val="54"/>
          <w:rFonts w:ascii="宋体" w:hAnsi="宋体" w:cs="宋体"/>
          <w:color w:val="000000" w:themeColor="text1"/>
          <w:sz w:val="36"/>
          <w:szCs w:val="36"/>
          <w:highlight w:val="none"/>
          <w14:textFill>
            <w14:solidFill>
              <w14:schemeClr w14:val="tx1"/>
            </w14:solidFill>
          </w14:textFill>
        </w:rPr>
      </w:pPr>
    </w:p>
    <w:p>
      <w:pPr>
        <w:jc w:val="center"/>
        <w:rPr>
          <w:rStyle w:val="54"/>
          <w:rFonts w:ascii="宋体" w:hAnsi="宋体" w:cs="宋体"/>
          <w:color w:val="000000" w:themeColor="text1"/>
          <w:sz w:val="36"/>
          <w:szCs w:val="36"/>
          <w:highlight w:val="none"/>
          <w14:textFill>
            <w14:solidFill>
              <w14:schemeClr w14:val="tx1"/>
            </w14:solidFill>
          </w14:textFill>
        </w:rPr>
      </w:pPr>
      <w:r>
        <w:rPr>
          <w:rStyle w:val="54"/>
          <w:rFonts w:hint="eastAsia" w:ascii="宋体" w:hAnsi="宋体" w:cs="宋体"/>
          <w:color w:val="000000" w:themeColor="text1"/>
          <w:sz w:val="36"/>
          <w:szCs w:val="36"/>
          <w:highlight w:val="none"/>
          <w14:textFill>
            <w14:solidFill>
              <w14:schemeClr w14:val="tx1"/>
            </w14:solidFill>
          </w14:textFill>
        </w:rPr>
        <w:t>2024年</w:t>
      </w:r>
      <w:r>
        <w:rPr>
          <w:rStyle w:val="54"/>
          <w:rFonts w:hint="eastAsia" w:ascii="宋体" w:hAnsi="宋体" w:cs="宋体"/>
          <w:color w:val="000000" w:themeColor="text1"/>
          <w:sz w:val="36"/>
          <w:szCs w:val="36"/>
          <w:highlight w:val="none"/>
          <w:lang w:val="en-US" w:eastAsia="zh-CN"/>
          <w14:textFill>
            <w14:solidFill>
              <w14:schemeClr w14:val="tx1"/>
            </w14:solidFill>
          </w14:textFill>
        </w:rPr>
        <w:t>8</w:t>
      </w:r>
      <w:r>
        <w:rPr>
          <w:rStyle w:val="54"/>
          <w:rFonts w:hint="eastAsia" w:ascii="宋体" w:hAnsi="宋体" w:cs="宋体"/>
          <w:color w:val="000000" w:themeColor="text1"/>
          <w:sz w:val="36"/>
          <w:szCs w:val="36"/>
          <w:highlight w:val="none"/>
          <w14:textFill>
            <w14:solidFill>
              <w14:schemeClr w14:val="tx1"/>
            </w14:solidFill>
          </w14:textFill>
        </w:rPr>
        <w:t>月</w:t>
      </w:r>
      <w:r>
        <w:rPr>
          <w:rStyle w:val="54"/>
          <w:rFonts w:hint="eastAsia" w:ascii="宋体" w:hAnsi="宋体" w:cs="宋体"/>
          <w:color w:val="000000" w:themeColor="text1"/>
          <w:sz w:val="36"/>
          <w:szCs w:val="36"/>
          <w:highlight w:val="none"/>
          <w:lang w:val="en-US" w:eastAsia="zh-CN"/>
          <w14:textFill>
            <w14:solidFill>
              <w14:schemeClr w14:val="tx1"/>
            </w14:solidFill>
          </w14:textFill>
        </w:rPr>
        <w:t>2</w:t>
      </w:r>
      <w:r>
        <w:rPr>
          <w:rStyle w:val="54"/>
          <w:rFonts w:hint="eastAsia" w:ascii="宋体" w:hAnsi="宋体" w:cs="宋体"/>
          <w:color w:val="000000" w:themeColor="text1"/>
          <w:sz w:val="36"/>
          <w:szCs w:val="36"/>
          <w:highlight w:val="none"/>
          <w14:textFill>
            <w14:solidFill>
              <w14:schemeClr w14:val="tx1"/>
            </w14:solidFill>
          </w14:textFill>
        </w:rPr>
        <w:t>日</w:t>
      </w:r>
    </w:p>
    <w:p>
      <w:pPr>
        <w:spacing w:line="480" w:lineRule="auto"/>
        <w:rPr>
          <w:rStyle w:val="54"/>
          <w:rFonts w:ascii="宋体" w:hAnsi="宋体" w:cs="宋体"/>
          <w:color w:val="000000" w:themeColor="text1"/>
          <w:highlight w:val="none"/>
          <w14:textFill>
            <w14:solidFill>
              <w14:schemeClr w14:val="tx1"/>
            </w14:solidFill>
          </w14:textFill>
        </w:rPr>
      </w:pPr>
    </w:p>
    <w:p>
      <w:pPr>
        <w:spacing w:line="480" w:lineRule="auto"/>
        <w:jc w:val="center"/>
        <w:rPr>
          <w:rStyle w:val="54"/>
          <w:rFonts w:ascii="宋体" w:hAnsi="宋体" w:cs="宋体"/>
          <w:color w:val="000000" w:themeColor="text1"/>
          <w:highlight w:val="none"/>
          <w14:textFill>
            <w14:solidFill>
              <w14:schemeClr w14:val="tx1"/>
            </w14:solidFill>
          </w14:textFill>
        </w:rPr>
        <w:sectPr>
          <w:headerReference r:id="rId5" w:type="first"/>
          <w:footerReference r:id="rId7" w:type="first"/>
          <w:headerReference r:id="rId3" w:type="default"/>
          <w:headerReference r:id="rId4" w:type="even"/>
          <w:footerReference r:id="rId6" w:type="even"/>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p>
    <w:p>
      <w:pPr>
        <w:pStyle w:val="10"/>
        <w:rPr>
          <w:color w:val="000000" w:themeColor="text1"/>
          <w:highlight w:val="none"/>
          <w14:textFill>
            <w14:solidFill>
              <w14:schemeClr w14:val="tx1"/>
            </w14:solidFill>
          </w14:textFill>
        </w:rPr>
      </w:pPr>
    </w:p>
    <w:p>
      <w:pPr>
        <w:pStyle w:val="26"/>
        <w:rPr>
          <w:rFonts w:cs="宋体"/>
          <w:color w:val="000000" w:themeColor="text1"/>
          <w:highlight w:val="none"/>
          <w14:textFill>
            <w14:solidFill>
              <w14:schemeClr w14:val="tx1"/>
            </w14:solidFill>
          </w14:textFill>
        </w:rPr>
      </w:pPr>
    </w:p>
    <w:p>
      <w:pPr>
        <w:spacing w:line="480" w:lineRule="auto"/>
        <w:jc w:val="center"/>
        <w:rPr>
          <w:rStyle w:val="54"/>
          <w:rFonts w:ascii="宋体" w:hAnsi="宋体" w:cs="宋体"/>
          <w:b/>
          <w:color w:val="000000" w:themeColor="text1"/>
          <w:sz w:val="44"/>
          <w:highlight w:val="none"/>
          <w14:textFill>
            <w14:solidFill>
              <w14:schemeClr w14:val="tx1"/>
            </w14:solidFill>
          </w14:textFill>
        </w:rPr>
      </w:pPr>
      <w:r>
        <w:rPr>
          <w:rStyle w:val="54"/>
          <w:rFonts w:hint="eastAsia" w:ascii="宋体" w:hAnsi="宋体" w:cs="宋体"/>
          <w:b/>
          <w:color w:val="000000" w:themeColor="text1"/>
          <w:sz w:val="44"/>
          <w:highlight w:val="none"/>
          <w14:textFill>
            <w14:solidFill>
              <w14:schemeClr w14:val="tx1"/>
            </w14:solidFill>
          </w14:textFill>
        </w:rPr>
        <w:t>总  目  录</w:t>
      </w:r>
    </w:p>
    <w:p>
      <w:pPr>
        <w:spacing w:line="480" w:lineRule="auto"/>
        <w:rPr>
          <w:rStyle w:val="54"/>
          <w:rFonts w:ascii="宋体" w:hAnsi="宋体" w:cs="宋体"/>
          <w:b/>
          <w:color w:val="000000" w:themeColor="text1"/>
          <w:sz w:val="28"/>
          <w:highlight w:val="none"/>
          <w14:textFill>
            <w14:solidFill>
              <w14:schemeClr w14:val="tx1"/>
            </w14:solidFill>
          </w14:textFill>
        </w:rPr>
      </w:pPr>
    </w:p>
    <w:sdt>
      <w:sdtPr>
        <w:rPr>
          <w:rFonts w:ascii="宋体" w:hAnsi="宋体" w:eastAsia="楷体_GB2312"/>
          <w:color w:val="000000" w:themeColor="text1"/>
          <w:sz w:val="28"/>
          <w:szCs w:val="28"/>
          <w:highlight w:val="none"/>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highlight w:val="none"/>
          <w14:textFill>
            <w14:solidFill>
              <w14:schemeClr w14:val="tx1"/>
            </w14:solidFill>
          </w14:textFill>
        </w:rPr>
      </w:sdtEndPr>
      <w:sdtContent>
        <w:p>
          <w:pPr>
            <w:jc w:val="center"/>
            <w:rPr>
              <w:color w:val="000000" w:themeColor="text1"/>
              <w:highlight w:val="none"/>
              <w14:textFill>
                <w14:solidFill>
                  <w14:schemeClr w14:val="tx1"/>
                </w14:solidFill>
              </w14:textFill>
            </w:rPr>
          </w:pPr>
        </w:p>
        <w:p>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rStyle w:val="54"/>
              <w:color w:val="000000" w:themeColor="text1"/>
              <w:sz w:val="44"/>
              <w:highlight w:val="none"/>
              <w14:textFill>
                <w14:solidFill>
                  <w14:schemeClr w14:val="tx1"/>
                </w14:solidFill>
              </w14:textFill>
            </w:rPr>
            <w:fldChar w:fldCharType="begin"/>
          </w:r>
          <w:r>
            <w:rPr>
              <w:rStyle w:val="54"/>
              <w:rFonts w:ascii="宋体" w:hAnsi="宋体" w:cs="宋体"/>
              <w:bCs/>
              <w:color w:val="000000" w:themeColor="text1"/>
              <w:sz w:val="44"/>
              <w:highlight w:val="none"/>
              <w14:textFill>
                <w14:solidFill>
                  <w14:schemeClr w14:val="tx1"/>
                </w14:solidFill>
              </w14:textFill>
            </w:rPr>
            <w:instrText xml:space="preserve">TOC \o "1-1" \h \u </w:instrText>
          </w:r>
          <w:r>
            <w:rPr>
              <w:rStyle w:val="54"/>
              <w:color w:val="000000" w:themeColor="text1"/>
              <w:sz w:val="4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"_Toc18878"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36"/>
              <w:szCs w:val="36"/>
              <w:highlight w:val="none"/>
              <w14:textFill>
                <w14:solidFill>
                  <w14:schemeClr w14:val="tx1"/>
                </w14:solidFill>
              </w14:textFill>
            </w:rPr>
            <w:t xml:space="preserve">第一章  </w:t>
          </w:r>
          <w:r>
            <w:rPr>
              <w:rFonts w:hint="eastAsia" w:ascii="宋体" w:hAnsi="宋体" w:cs="宋体"/>
              <w:bCs/>
              <w:color w:val="000000" w:themeColor="text1"/>
              <w:sz w:val="36"/>
              <w:szCs w:val="36"/>
              <w:highlight w:val="none"/>
              <w14:textFill>
                <w14:solidFill>
                  <w14:schemeClr w14:val="tx1"/>
                </w14:solidFill>
              </w14:textFill>
            </w:rPr>
            <w:t>招标公告</w:t>
          </w:r>
          <w:r>
            <w:rPr>
              <w:rFonts w:hint="eastAsia" w:ascii="宋体" w:hAnsi="宋体" w:cs="宋体"/>
              <w:bCs/>
              <w:color w:val="000000" w:themeColor="text1"/>
              <w:sz w:val="36"/>
              <w:szCs w:val="36"/>
              <w:highlight w:val="none"/>
              <w14:textFill>
                <w14:solidFill>
                  <w14:schemeClr w14:val="tx1"/>
                </w14:solidFill>
              </w14:textFill>
            </w:rPr>
            <w:tab/>
          </w:r>
          <w:r>
            <w:rPr>
              <w:rFonts w:hint="eastAsia" w:ascii="宋体" w:hAnsi="宋体" w:cs="宋体"/>
              <w:bCs/>
              <w:color w:val="000000" w:themeColor="text1"/>
              <w:sz w:val="36"/>
              <w:szCs w:val="36"/>
              <w:highlight w:val="none"/>
              <w14:textFill>
                <w14:solidFill>
                  <w14:schemeClr w14:val="tx1"/>
                </w14:solidFill>
              </w14:textFill>
            </w:rPr>
            <w:fldChar w:fldCharType="end"/>
          </w:r>
          <w:r>
            <w:rPr>
              <w:rFonts w:hint="eastAsia" w:ascii="宋体" w:hAnsi="宋体" w:cs="宋体"/>
              <w:bCs/>
              <w:color w:val="000000" w:themeColor="text1"/>
              <w:sz w:val="36"/>
              <w:szCs w:val="36"/>
              <w:highlight w:val="none"/>
              <w:lang w:val="en-US" w:eastAsia="zh-CN"/>
              <w14:textFill>
                <w14:solidFill>
                  <w14:schemeClr w14:val="tx1"/>
                </w14:solidFill>
              </w14:textFill>
            </w:rPr>
            <w:t>02</w:t>
          </w:r>
        </w:p>
        <w:p>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"_Toc21663"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第二章</w:t>
          </w:r>
          <w:r>
            <w:rPr>
              <w:rFonts w:hint="eastAsia" w:ascii="宋体" w:hAnsi="宋体" w:cs="宋体"/>
              <w:color w:val="000000" w:themeColor="text1"/>
              <w:sz w:val="36"/>
              <w:szCs w:val="36"/>
              <w:highlight w:val="none"/>
              <w14:textFill>
                <w14:solidFill>
                  <w14:schemeClr w14:val="tx1"/>
                </w14:solidFill>
              </w14:textFill>
            </w:rPr>
            <w:t xml:space="preserve">  投标人须知</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06</w:t>
          </w:r>
        </w:p>
        <w:p>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"_Toc19468"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第三章</w:t>
          </w:r>
          <w:r>
            <w:rPr>
              <w:rFonts w:hint="eastAsia" w:ascii="宋体" w:hAnsi="宋体" w:cs="宋体"/>
              <w:color w:val="000000" w:themeColor="text1"/>
              <w:sz w:val="36"/>
              <w:szCs w:val="36"/>
              <w:highlight w:val="none"/>
              <w14:textFill>
                <w14:solidFill>
                  <w14:schemeClr w14:val="tx1"/>
                </w14:solidFill>
              </w14:textFill>
            </w:rPr>
            <w:t xml:space="preserve">  合同条款及格式</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19</w:t>
          </w:r>
        </w:p>
        <w:p>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"_Toc17926"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 xml:space="preserve">第四章 </w:t>
          </w:r>
          <w:r>
            <w:rPr>
              <w:rFonts w:ascii="宋体" w:hAnsi="宋体" w:cs="宋体"/>
              <w:b/>
              <w:bCs/>
              <w:color w:val="000000" w:themeColor="text1"/>
              <w:sz w:val="36"/>
              <w:szCs w:val="36"/>
              <w:highlight w:val="none"/>
              <w14:textFill>
                <w14:solidFill>
                  <w14:schemeClr w14:val="tx1"/>
                </w14:solidFill>
              </w14:textFill>
            </w:rPr>
            <w:t xml:space="preserve"> </w:t>
          </w:r>
          <w:r>
            <w:rPr>
              <w:rFonts w:hint="eastAsia" w:ascii="宋体" w:hAnsi="宋体" w:cs="宋体"/>
              <w:color w:val="000000" w:themeColor="text1"/>
              <w:sz w:val="36"/>
              <w:szCs w:val="36"/>
              <w:highlight w:val="none"/>
              <w14:textFill>
                <w14:solidFill>
                  <w14:schemeClr w14:val="tx1"/>
                </w14:solidFill>
              </w14:textFill>
            </w:rPr>
            <w:t>项目需求</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33</w:t>
          </w:r>
        </w:p>
        <w:p>
          <w:pPr>
            <w:pStyle w:val="169"/>
            <w:tabs>
              <w:tab w:val="right" w:leader="dot" w:pos="8953"/>
            </w:tabs>
            <w:rPr>
              <w:rFonts w:hint="default"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"_Toc32259"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第五章</w:t>
          </w:r>
          <w:r>
            <w:rPr>
              <w:rFonts w:hint="eastAsia" w:ascii="宋体" w:hAnsi="宋体" w:cs="宋体"/>
              <w:color w:val="000000" w:themeColor="text1"/>
              <w:sz w:val="36"/>
              <w:szCs w:val="36"/>
              <w:highlight w:val="none"/>
              <w14:textFill>
                <w14:solidFill>
                  <w14:schemeClr w14:val="tx1"/>
                </w14:solidFill>
              </w14:textFill>
            </w:rPr>
            <w:t xml:space="preserve">  评标方法与评标标准</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40</w:t>
          </w:r>
        </w:p>
        <w:p>
          <w:pPr>
            <w:pStyle w:val="169"/>
            <w:tabs>
              <w:tab w:val="right" w:leader="dot" w:pos="8953"/>
            </w:tabs>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"_Toc20541"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第六章</w:t>
          </w:r>
          <w:r>
            <w:rPr>
              <w:rFonts w:hint="eastAsia" w:ascii="宋体" w:hAnsi="宋体" w:cs="宋体"/>
              <w:color w:val="000000" w:themeColor="text1"/>
              <w:sz w:val="36"/>
              <w:szCs w:val="36"/>
              <w:highlight w:val="none"/>
              <w14:textFill>
                <w14:solidFill>
                  <w14:schemeClr w14:val="tx1"/>
                </w14:solidFill>
              </w14:textFill>
            </w:rPr>
            <w:t xml:space="preserve">  投标文件格式</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44</w:t>
          </w:r>
          <w:bookmarkStart w:id="52" w:name="_GoBack"/>
          <w:bookmarkEnd w:id="52"/>
        </w:p>
        <w:p>
          <w:pPr>
            <w:pStyle w:val="169"/>
            <w:tabs>
              <w:tab w:val="right" w:leader="dot" w:pos="8953"/>
            </w:tabs>
            <w:rPr>
              <w:color w:val="000000" w:themeColor="text1"/>
              <w:highlight w:val="none"/>
              <w14:textFill>
                <w14:solidFill>
                  <w14:schemeClr w14:val="tx1"/>
                </w14:solidFill>
              </w14:textFill>
            </w:rPr>
          </w:pPr>
        </w:p>
        <w:p>
          <w:pPr>
            <w:pStyle w:val="44"/>
            <w:jc w:val="both"/>
            <w:rPr>
              <w:rFonts w:ascii="宋体" w:hAnsi="宋体" w:eastAsia="宋体" w:cs="宋体"/>
              <w:bCs/>
              <w:color w:val="000000" w:themeColor="text1"/>
              <w:highlight w:val="none"/>
              <w14:textFill>
                <w14:solidFill>
                  <w14:schemeClr w14:val="tx1"/>
                </w14:solidFill>
              </w14:textFill>
            </w:rPr>
            <w:sectPr>
              <w:footerReference r:id="rId9" w:type="first"/>
              <w:footerReference r:id="rId8" w:type="default"/>
              <w:pgSz w:w="11906" w:h="16838"/>
              <w:pgMar w:top="1418" w:right="1588" w:bottom="1418" w:left="1365" w:header="851" w:footer="907" w:gutter="0"/>
              <w:pgBorders>
                <w:top w:val="none" w:sz="0" w:space="0"/>
                <w:left w:val="none" w:sz="0" w:space="0"/>
                <w:bottom w:val="none" w:sz="0" w:space="0"/>
                <w:right w:val="none" w:sz="0" w:space="0"/>
              </w:pgBorders>
              <w:pgNumType w:start="1"/>
              <w:cols w:space="720" w:num="1"/>
              <w:titlePg/>
              <w:docGrid w:type="lines" w:linePitch="290" w:charSpace="0"/>
            </w:sectPr>
          </w:pPr>
          <w:r>
            <w:rPr>
              <w:rFonts w:ascii="宋体" w:hAnsi="宋体" w:eastAsia="宋体" w:cs="宋体"/>
              <w:bCs/>
              <w:color w:val="000000" w:themeColor="text1"/>
              <w:highlight w:val="none"/>
              <w14:textFill>
                <w14:solidFill>
                  <w14:schemeClr w14:val="tx1"/>
                </w14:solidFill>
              </w14:textFill>
            </w:rPr>
            <w:fldChar w:fldCharType="end"/>
          </w:r>
        </w:p>
      </w:sdtContent>
    </w:sdt>
    <w:p>
      <w:pPr>
        <w:pStyle w:val="44"/>
        <w:outlineLvl w:val="0"/>
        <w:rPr>
          <w:rStyle w:val="54"/>
          <w:rFonts w:ascii="宋体" w:hAnsi="宋体" w:eastAsia="宋体" w:cs="宋体"/>
          <w:b/>
          <w:bCs/>
          <w:color w:val="000000" w:themeColor="text1"/>
          <w:sz w:val="44"/>
          <w:szCs w:val="44"/>
          <w:highlight w:val="none"/>
          <w14:textFill>
            <w14:solidFill>
              <w14:schemeClr w14:val="tx1"/>
            </w14:solidFill>
          </w14:textFill>
        </w:rPr>
      </w:pPr>
      <w:bookmarkStart w:id="0" w:name="_Toc18878"/>
      <w:r>
        <w:rPr>
          <w:rStyle w:val="54"/>
          <w:rFonts w:hint="eastAsia" w:ascii="宋体" w:hAnsi="宋体" w:eastAsia="宋体" w:cs="宋体"/>
          <w:b/>
          <w:bCs/>
          <w:color w:val="000000" w:themeColor="text1"/>
          <w:sz w:val="44"/>
          <w:szCs w:val="44"/>
          <w:highlight w:val="none"/>
          <w14:textFill>
            <w14:solidFill>
              <w14:schemeClr w14:val="tx1"/>
            </w14:solidFill>
          </w14:textFill>
        </w:rPr>
        <w:t>第一章  招标公告</w:t>
      </w:r>
      <w:bookmarkEnd w:id="0"/>
    </w:p>
    <w:p>
      <w:pPr>
        <w:pStyle w:val="44"/>
        <w:tabs>
          <w:tab w:val="left" w:pos="0"/>
          <w:tab w:val="left" w:pos="3165"/>
          <w:tab w:val="center" w:pos="4153"/>
        </w:tabs>
        <w:spacing w:line="360" w:lineRule="auto"/>
        <w:rPr>
          <w:rStyle w:val="54"/>
          <w:rFonts w:ascii="宋体" w:hAnsi="宋体" w:eastAsia="宋体" w:cs="宋体"/>
          <w:b/>
          <w:bCs/>
          <w:color w:val="000000" w:themeColor="text1"/>
          <w:sz w:val="24"/>
          <w:szCs w:val="24"/>
          <w:highlight w:val="none"/>
          <w14:textFill>
            <w14:solidFill>
              <w14:schemeClr w14:val="tx1"/>
            </w14:solidFill>
          </w14:textFill>
        </w:rPr>
      </w:pPr>
      <w:r>
        <w:rPr>
          <w:rStyle w:val="54"/>
          <w:rFonts w:hint="eastAsia" w:ascii="宋体" w:hAnsi="宋体" w:eastAsia="宋体" w:cs="宋体"/>
          <w:b/>
          <w:bCs/>
          <w:color w:val="000000" w:themeColor="text1"/>
          <w:sz w:val="24"/>
          <w:szCs w:val="24"/>
          <w:highlight w:val="none"/>
          <w:lang w:eastAsia="zh-CN"/>
          <w14:textFill>
            <w14:solidFill>
              <w14:schemeClr w14:val="tx1"/>
            </w14:solidFill>
          </w14:textFill>
        </w:rPr>
        <w:t>盐城工业职业技术学院商学院改造设计施工一体化</w:t>
      </w:r>
      <w:r>
        <w:rPr>
          <w:rStyle w:val="54"/>
          <w:rFonts w:hint="eastAsia" w:ascii="宋体" w:hAnsi="宋体" w:eastAsia="宋体" w:cs="宋体"/>
          <w:b/>
          <w:bCs/>
          <w:color w:val="000000" w:themeColor="text1"/>
          <w:sz w:val="24"/>
          <w:szCs w:val="24"/>
          <w:highlight w:val="none"/>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u w:val="single" w:color="000000"/>
          <w:lang w:eastAsia="zh-CN"/>
          <w14:textFill>
            <w14:solidFill>
              <w14:schemeClr w14:val="tx1"/>
            </w14:solidFill>
          </w14:textFill>
        </w:rPr>
        <w:t>盐城工业职业技术学院商学院改造设计施工一体化</w:t>
      </w:r>
      <w:r>
        <w:rPr>
          <w:rStyle w:val="54"/>
          <w:rFonts w:hint="eastAsia" w:ascii="宋体" w:hAnsi="宋体" w:cs="宋体"/>
          <w:bCs/>
          <w:color w:val="000000" w:themeColor="text1"/>
          <w:sz w:val="24"/>
          <w:szCs w:val="24"/>
          <w:highlight w:val="none"/>
          <w:u w:val="single" w:color="000000"/>
          <w14:textFill>
            <w14:solidFill>
              <w14:schemeClr w14:val="tx1"/>
            </w14:solidFill>
          </w14:textFill>
        </w:rPr>
        <w:t>项目</w:t>
      </w:r>
      <w:r>
        <w:rPr>
          <w:rStyle w:val="54"/>
          <w:rFonts w:hint="eastAsia" w:ascii="宋体" w:hAnsi="宋体" w:cs="宋体"/>
          <w:bCs/>
          <w:color w:val="000000" w:themeColor="text1"/>
          <w:sz w:val="24"/>
          <w:szCs w:val="24"/>
          <w:highlight w:val="none"/>
          <w14:textFill>
            <w14:solidFill>
              <w14:schemeClr w14:val="tx1"/>
            </w14:solidFill>
          </w14:textFill>
        </w:rPr>
        <w:t>的潜在投标人应在“盐城工业职业技术学院招标采购网”获取招标文件</w:t>
      </w:r>
      <w:r>
        <w:rPr>
          <w:rStyle w:val="54"/>
          <w:rFonts w:hint="eastAsia" w:ascii="宋体" w:hAnsi="宋体" w:cs="宋体"/>
          <w:color w:val="000000" w:themeColor="text1"/>
          <w:sz w:val="24"/>
          <w:szCs w:val="24"/>
          <w:highlight w:val="none"/>
          <w14:textFill>
            <w14:solidFill>
              <w14:schemeClr w14:val="tx1"/>
            </w14:solidFill>
          </w14:textFill>
        </w:rPr>
        <w:t>，并于</w:t>
      </w:r>
      <w:r>
        <w:rPr>
          <w:rStyle w:val="54"/>
          <w:rFonts w:hint="eastAsia" w:ascii="宋体" w:hAnsi="宋体" w:cs="宋体"/>
          <w:color w:val="000000" w:themeColor="text1"/>
          <w:sz w:val="24"/>
          <w:szCs w:val="24"/>
          <w:highlight w:val="none"/>
          <w:u w:val="single" w:color="000000"/>
          <w14:textFill>
            <w14:solidFill>
              <w14:schemeClr w14:val="tx1"/>
            </w14:solidFill>
          </w14:textFill>
        </w:rPr>
        <w:t>2024</w:t>
      </w:r>
      <w:r>
        <w:rPr>
          <w:rStyle w:val="54"/>
          <w:rFonts w:hint="eastAsia" w:ascii="宋体" w:hAnsi="宋体" w:cs="宋体"/>
          <w:bCs/>
          <w:color w:val="000000" w:themeColor="text1"/>
          <w:sz w:val="24"/>
          <w:szCs w:val="24"/>
          <w:highlight w:val="none"/>
          <w:u w:val="single" w:color="000000"/>
          <w14:textFill>
            <w14:solidFill>
              <w14:schemeClr w14:val="tx1"/>
            </w14:solidFill>
          </w14:textFill>
        </w:rPr>
        <w:t>年</w:t>
      </w:r>
      <w:r>
        <w:rPr>
          <w:rStyle w:val="5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8</w:t>
      </w:r>
      <w:r>
        <w:rPr>
          <w:rStyle w:val="54"/>
          <w:rFonts w:hint="eastAsia" w:ascii="宋体" w:hAnsi="宋体" w:cs="宋体"/>
          <w:bCs/>
          <w:color w:val="000000" w:themeColor="text1"/>
          <w:sz w:val="24"/>
          <w:szCs w:val="24"/>
          <w:highlight w:val="none"/>
          <w:u w:val="single" w:color="000000"/>
          <w14:textFill>
            <w14:solidFill>
              <w14:schemeClr w14:val="tx1"/>
            </w14:solidFill>
          </w14:textFill>
        </w:rPr>
        <w:t>月</w:t>
      </w:r>
      <w:r>
        <w:rPr>
          <w:rStyle w:val="5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26</w:t>
      </w:r>
      <w:r>
        <w:rPr>
          <w:rStyle w:val="54"/>
          <w:rFonts w:hint="eastAsia" w:ascii="宋体" w:hAnsi="宋体" w:cs="宋体"/>
          <w:bCs/>
          <w:color w:val="000000" w:themeColor="text1"/>
          <w:sz w:val="24"/>
          <w:szCs w:val="24"/>
          <w:highlight w:val="none"/>
          <w:u w:val="single" w:color="000000"/>
          <w14:textFill>
            <w14:solidFill>
              <w14:schemeClr w14:val="tx1"/>
            </w14:solidFill>
          </w14:textFill>
        </w:rPr>
        <w:t>日</w:t>
      </w:r>
      <w:r>
        <w:rPr>
          <w:rStyle w:val="5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15</w:t>
      </w:r>
      <w:r>
        <w:rPr>
          <w:rStyle w:val="54"/>
          <w:rFonts w:hint="eastAsia" w:ascii="宋体" w:hAnsi="宋体" w:cs="宋体"/>
          <w:bCs/>
          <w:color w:val="000000" w:themeColor="text1"/>
          <w:sz w:val="24"/>
          <w:szCs w:val="24"/>
          <w:highlight w:val="none"/>
          <w:u w:val="single" w:color="000000"/>
          <w14:textFill>
            <w14:solidFill>
              <w14:schemeClr w14:val="tx1"/>
            </w14:solidFill>
          </w14:textFill>
        </w:rPr>
        <w:t>点</w:t>
      </w:r>
      <w:r>
        <w:rPr>
          <w:rStyle w:val="5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00</w:t>
      </w:r>
      <w:r>
        <w:rPr>
          <w:rStyle w:val="54"/>
          <w:rFonts w:hint="eastAsia" w:ascii="宋体" w:hAnsi="宋体" w:cs="宋体"/>
          <w:bCs/>
          <w:color w:val="000000" w:themeColor="text1"/>
          <w:sz w:val="24"/>
          <w:szCs w:val="24"/>
          <w:highlight w:val="none"/>
          <w:u w:val="single" w:color="000000"/>
          <w14:textFill>
            <w14:solidFill>
              <w14:schemeClr w14:val="tx1"/>
            </w14:solidFill>
          </w14:textFill>
        </w:rPr>
        <w:t>分（</w:t>
      </w:r>
      <w:r>
        <w:rPr>
          <w:rStyle w:val="54"/>
          <w:rFonts w:hint="eastAsia" w:ascii="宋体" w:hAnsi="宋体" w:cs="宋体"/>
          <w:bCs/>
          <w:color w:val="000000" w:themeColor="text1"/>
          <w:sz w:val="24"/>
          <w:szCs w:val="24"/>
          <w:highlight w:val="none"/>
          <w14:textFill>
            <w14:solidFill>
              <w14:schemeClr w14:val="tx1"/>
            </w14:solidFill>
          </w14:textFill>
        </w:rPr>
        <w:t>北京时间）前递交投标文件</w:t>
      </w:r>
      <w:r>
        <w:rPr>
          <w:rStyle w:val="54"/>
          <w:rFonts w:hint="eastAsia" w:ascii="宋体" w:hAnsi="宋体" w:cs="宋体"/>
          <w:color w:val="000000" w:themeColor="text1"/>
          <w:sz w:val="24"/>
          <w:szCs w:val="24"/>
          <w:highlight w:val="none"/>
          <w14:textFill>
            <w14:solidFill>
              <w14:schemeClr w14:val="tx1"/>
            </w14:solidFill>
          </w14:textFill>
        </w:rPr>
        <w:t>。</w:t>
      </w:r>
    </w:p>
    <w:p>
      <w:pPr>
        <w:pStyle w:val="44"/>
        <w:tabs>
          <w:tab w:val="left" w:pos="0"/>
          <w:tab w:val="left" w:pos="3165"/>
          <w:tab w:val="center" w:pos="4153"/>
        </w:tabs>
        <w:snapToGrid w:val="0"/>
        <w:spacing w:line="360" w:lineRule="auto"/>
        <w:ind w:firstLine="482" w:firstLineChars="200"/>
        <w:jc w:val="left"/>
        <w:rPr>
          <w:rStyle w:val="54"/>
          <w:rFonts w:ascii="宋体" w:hAnsi="宋体" w:eastAsia="宋体" w:cs="宋体"/>
          <w:b/>
          <w:bCs/>
          <w:color w:val="000000" w:themeColor="text1"/>
          <w:sz w:val="24"/>
          <w:szCs w:val="24"/>
          <w:highlight w:val="none"/>
          <w14:textFill>
            <w14:solidFill>
              <w14:schemeClr w14:val="tx1"/>
            </w14:solidFill>
          </w14:textFill>
        </w:rPr>
      </w:pPr>
      <w:r>
        <w:rPr>
          <w:rStyle w:val="54"/>
          <w:rFonts w:hint="eastAsia" w:ascii="宋体" w:hAnsi="宋体" w:eastAsia="宋体" w:cs="宋体"/>
          <w:b/>
          <w:bCs/>
          <w:color w:val="000000" w:themeColor="text1"/>
          <w:sz w:val="24"/>
          <w:szCs w:val="24"/>
          <w:highlight w:val="none"/>
          <w14:textFill>
            <w14:solidFill>
              <w14:schemeClr w14:val="tx1"/>
            </w14:solidFill>
          </w14:textFill>
        </w:rPr>
        <w:t>一、项目基本情况</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项目编号：</w:t>
      </w:r>
      <w:r>
        <w:rPr>
          <w:rStyle w:val="54"/>
          <w:rFonts w:hint="eastAsia" w:ascii="宋体" w:hAnsi="宋体" w:cs="宋体"/>
          <w:color w:val="000000" w:themeColor="text1"/>
          <w:sz w:val="24"/>
          <w:szCs w:val="24"/>
          <w:highlight w:val="none"/>
          <w:lang w:eastAsia="zh-CN"/>
          <w14:textFill>
            <w14:solidFill>
              <w14:schemeClr w14:val="tx1"/>
            </w14:solidFill>
          </w14:textFill>
        </w:rPr>
        <w:t xml:space="preserve">2024-031J  </w:t>
      </w:r>
      <w:r>
        <w:rPr>
          <w:rStyle w:val="54"/>
          <w:rFonts w:hint="eastAsia" w:ascii="宋体" w:hAnsi="宋体" w:cs="宋体"/>
          <w:color w:val="000000" w:themeColor="text1"/>
          <w:sz w:val="24"/>
          <w:szCs w:val="24"/>
          <w:highlight w:val="none"/>
          <w:u w:val="single"/>
          <w14:textFill>
            <w14:solidFill>
              <w14:schemeClr w14:val="tx1"/>
            </w14:solidFill>
          </w14:textFill>
        </w:rPr>
        <w:t xml:space="preserve">  </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项目名称：</w:t>
      </w:r>
      <w:r>
        <w:rPr>
          <w:rStyle w:val="54"/>
          <w:rFonts w:hint="eastAsia" w:ascii="宋体" w:hAnsi="宋体" w:cs="宋体"/>
          <w:color w:val="000000" w:themeColor="text1"/>
          <w:sz w:val="24"/>
          <w:szCs w:val="24"/>
          <w:highlight w:val="none"/>
          <w:u w:val="single"/>
          <w:lang w:eastAsia="zh-CN"/>
          <w14:textFill>
            <w14:solidFill>
              <w14:schemeClr w14:val="tx1"/>
            </w14:solidFill>
          </w14:textFill>
        </w:rPr>
        <w:t>盐城工业职业技术学院商学院改造设计施工一体化</w:t>
      </w:r>
    </w:p>
    <w:p>
      <w:pPr>
        <w:pStyle w:val="153"/>
        <w:widowControl w:val="0"/>
        <w:tabs>
          <w:tab w:val="left" w:pos="0"/>
        </w:tabs>
        <w:adjustRightInd w:val="0"/>
        <w:snapToGrid w:val="0"/>
        <w:spacing w:line="360" w:lineRule="auto"/>
        <w:ind w:left="0" w:firstLine="480" w:firstLineChars="200"/>
        <w:rPr>
          <w:rStyle w:val="54"/>
          <w:rFonts w:ascii="宋体" w:hAnsi="宋体" w:cs="宋体"/>
          <w:color w:val="000000" w:themeColor="text1"/>
          <w:szCs w:val="24"/>
          <w:highlight w:val="none"/>
          <w:u w:val="single"/>
          <w:lang w:eastAsia="zh-CN"/>
          <w14:textFill>
            <w14:solidFill>
              <w14:schemeClr w14:val="tx1"/>
            </w14:solidFill>
          </w14:textFill>
        </w:rPr>
      </w:pPr>
      <w:r>
        <w:rPr>
          <w:rStyle w:val="54"/>
          <w:rFonts w:hint="eastAsia" w:ascii="宋体" w:hAnsi="宋体" w:cs="宋体"/>
          <w:color w:val="000000" w:themeColor="text1"/>
          <w:szCs w:val="24"/>
          <w:highlight w:val="none"/>
          <w:lang w:eastAsia="zh-CN"/>
          <w14:textFill>
            <w14:solidFill>
              <w14:schemeClr w14:val="tx1"/>
            </w14:solidFill>
          </w14:textFill>
        </w:rPr>
        <w:t>预算价：</w:t>
      </w:r>
      <w:r>
        <w:rPr>
          <w:rStyle w:val="54"/>
          <w:rFonts w:hint="eastAsia" w:ascii="宋体" w:hAnsi="宋体" w:cs="宋体"/>
          <w:color w:val="000000" w:themeColor="text1"/>
          <w:szCs w:val="24"/>
          <w:highlight w:val="none"/>
          <w:u w:val="single"/>
          <w:lang w:eastAsia="zh-CN"/>
          <w14:textFill>
            <w14:solidFill>
              <w14:schemeClr w14:val="tx1"/>
            </w14:solidFill>
          </w14:textFill>
        </w:rPr>
        <w:t>50万元</w:t>
      </w:r>
    </w:p>
    <w:p>
      <w:pPr>
        <w:pStyle w:val="153"/>
        <w:widowControl w:val="0"/>
        <w:tabs>
          <w:tab w:val="left" w:pos="0"/>
        </w:tabs>
        <w:adjustRightInd w:val="0"/>
        <w:snapToGrid w:val="0"/>
        <w:spacing w:line="360" w:lineRule="auto"/>
        <w:ind w:left="0" w:firstLine="480" w:firstLineChars="200"/>
        <w:rPr>
          <w:rStyle w:val="54"/>
          <w:rFonts w:ascii="宋体" w:hAnsi="宋体" w:cs="宋体"/>
          <w:color w:val="000000" w:themeColor="text1"/>
          <w:szCs w:val="24"/>
          <w:highlight w:val="none"/>
          <w:u w:val="single"/>
          <w:lang w:eastAsia="zh-CN"/>
          <w14:textFill>
            <w14:solidFill>
              <w14:schemeClr w14:val="tx1"/>
            </w14:solidFill>
          </w14:textFill>
        </w:rPr>
      </w:pPr>
      <w:r>
        <w:rPr>
          <w:rStyle w:val="54"/>
          <w:rFonts w:hint="eastAsia" w:ascii="宋体" w:hAnsi="宋体" w:cs="宋体"/>
          <w:color w:val="000000" w:themeColor="text1"/>
          <w:szCs w:val="24"/>
          <w:highlight w:val="none"/>
          <w:lang w:eastAsia="zh-CN"/>
          <w14:textFill>
            <w14:solidFill>
              <w14:schemeClr w14:val="tx1"/>
            </w14:solidFill>
          </w14:textFill>
        </w:rPr>
        <w:t>最高限价：</w:t>
      </w:r>
      <w:r>
        <w:rPr>
          <w:rStyle w:val="54"/>
          <w:rFonts w:hint="eastAsia" w:ascii="宋体" w:hAnsi="宋体" w:cs="宋体"/>
          <w:color w:val="000000" w:themeColor="text1"/>
          <w:szCs w:val="24"/>
          <w:highlight w:val="none"/>
          <w:u w:val="single"/>
          <w:lang w:eastAsia="zh-CN"/>
          <w14:textFill>
            <w14:solidFill>
              <w14:schemeClr w14:val="tx1"/>
            </w14:solidFill>
          </w14:textFill>
        </w:rPr>
        <w:t>50万元</w:t>
      </w:r>
    </w:p>
    <w:p>
      <w:pPr>
        <w:adjustRightInd w:val="0"/>
        <w:snapToGrid w:val="0"/>
        <w:spacing w:line="336"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采购需求：</w:t>
      </w:r>
      <w:r>
        <w:rPr>
          <w:rStyle w:val="54"/>
          <w:rFonts w:hint="eastAsia" w:ascii="宋体" w:hAnsi="宋体" w:cs="宋体"/>
          <w:color w:val="000000" w:themeColor="text1"/>
          <w:sz w:val="24"/>
          <w:szCs w:val="24"/>
          <w:highlight w:val="none"/>
          <w:lang w:val="en-US" w:eastAsia="zh-CN"/>
          <w14:textFill>
            <w14:solidFill>
              <w14:schemeClr w14:val="tx1"/>
            </w14:solidFill>
          </w14:textFill>
        </w:rPr>
        <w:t>商学院虚拟仿真中心</w:t>
      </w:r>
      <w:r>
        <w:rPr>
          <w:rStyle w:val="54"/>
          <w:rFonts w:hint="eastAsia" w:ascii="宋体" w:hAnsi="宋体" w:cs="宋体"/>
          <w:color w:val="000000" w:themeColor="text1"/>
          <w:sz w:val="24"/>
          <w:szCs w:val="24"/>
          <w:highlight w:val="none"/>
          <w14:textFill>
            <w14:solidFill>
              <w14:schemeClr w14:val="tx1"/>
            </w14:solidFill>
          </w14:textFill>
        </w:rPr>
        <w:t>选址在江苏省盐城市解放南路285号，</w:t>
      </w:r>
      <w:r>
        <w:rPr>
          <w:rStyle w:val="54"/>
          <w:rFonts w:hint="eastAsia" w:ascii="宋体" w:hAnsi="宋体" w:cs="宋体"/>
          <w:color w:val="000000" w:themeColor="text1"/>
          <w:sz w:val="24"/>
          <w:szCs w:val="24"/>
          <w:highlight w:val="none"/>
          <w:lang w:val="en-US" w:eastAsia="zh-CN"/>
          <w14:textFill>
            <w14:solidFill>
              <w14:schemeClr w14:val="tx1"/>
            </w14:solidFill>
          </w14:textFill>
        </w:rPr>
        <w:t>商学院2楼，3楼</w:t>
      </w:r>
      <w:r>
        <w:rPr>
          <w:rStyle w:val="54"/>
          <w:rFonts w:hint="eastAsia" w:ascii="宋体" w:hAnsi="宋体" w:cs="宋体"/>
          <w:color w:val="000000" w:themeColor="text1"/>
          <w:sz w:val="24"/>
          <w:szCs w:val="24"/>
          <w:highlight w:val="none"/>
          <w14:textFill>
            <w14:solidFill>
              <w14:schemeClr w14:val="tx1"/>
            </w14:solidFill>
          </w14:textFill>
        </w:rPr>
        <w:t>，建设面积约</w:t>
      </w:r>
      <w:r>
        <w:rPr>
          <w:rStyle w:val="54"/>
          <w:rFonts w:hint="eastAsia" w:ascii="宋体" w:hAnsi="宋体" w:cs="宋体"/>
          <w:color w:val="000000" w:themeColor="text1"/>
          <w:sz w:val="24"/>
          <w:szCs w:val="24"/>
          <w:highlight w:val="none"/>
          <w:lang w:val="en-US" w:eastAsia="zh-CN"/>
          <w14:textFill>
            <w14:solidFill>
              <w14:schemeClr w14:val="tx1"/>
            </w14:solidFill>
          </w14:textFill>
        </w:rPr>
        <w:t>1000</w:t>
      </w:r>
      <w:r>
        <w:rPr>
          <w:rStyle w:val="54"/>
          <w:rFonts w:hint="eastAsia" w:ascii="宋体" w:hAnsi="宋体" w:cs="宋体"/>
          <w:color w:val="000000" w:themeColor="text1"/>
          <w:sz w:val="24"/>
          <w:szCs w:val="24"/>
          <w:highlight w:val="none"/>
          <w14:textFill>
            <w14:solidFill>
              <w14:schemeClr w14:val="tx1"/>
            </w14:solidFill>
          </w14:textFill>
        </w:rPr>
        <w:t>平方米，实施内容包括但不限于</w:t>
      </w:r>
      <w:r>
        <w:rPr>
          <w:rStyle w:val="54"/>
          <w:rFonts w:hint="eastAsia" w:ascii="宋体" w:hAnsi="宋体" w:cs="宋体"/>
          <w:color w:val="000000" w:themeColor="text1"/>
          <w:sz w:val="24"/>
          <w:szCs w:val="24"/>
          <w:highlight w:val="none"/>
          <w:lang w:val="en-US" w:eastAsia="zh-CN"/>
          <w14:textFill>
            <w14:solidFill>
              <w14:schemeClr w14:val="tx1"/>
            </w14:solidFill>
          </w14:textFill>
        </w:rPr>
        <w:t>原建筑物拆除、地面清理、门的更换、吊顶及隔断与安装、通风扇的安装调试、空调系统强电线路铺设（不含空调采购和安装）、垃圾清运</w:t>
      </w:r>
      <w:r>
        <w:rPr>
          <w:rStyle w:val="54"/>
          <w:rFonts w:hint="eastAsia" w:ascii="宋体" w:hAnsi="宋体" w:cs="宋体"/>
          <w:color w:val="000000" w:themeColor="text1"/>
          <w:sz w:val="24"/>
          <w:szCs w:val="24"/>
          <w:highlight w:val="none"/>
          <w14:textFill>
            <w14:solidFill>
              <w14:schemeClr w14:val="tx1"/>
            </w14:solidFill>
          </w14:textFill>
        </w:rPr>
        <w:t>等相关服务</w:t>
      </w:r>
      <w:r>
        <w:rPr>
          <w:rStyle w:val="54"/>
          <w:rFonts w:hint="eastAsia" w:ascii="宋体" w:hAnsi="宋体" w:cs="宋体"/>
          <w:bCs/>
          <w:color w:val="000000" w:themeColor="text1"/>
          <w:sz w:val="24"/>
          <w:szCs w:val="24"/>
          <w:highlight w:val="none"/>
          <w14:textFill>
            <w14:solidFill>
              <w14:schemeClr w14:val="tx1"/>
            </w14:solidFill>
          </w14:textFill>
        </w:rPr>
        <w:t>以及工程竣工验收备案、整体移交（含档案移交）及竣工验收合格及缺陷责任期内的保修等所有内容</w:t>
      </w:r>
      <w:r>
        <w:rPr>
          <w:rStyle w:val="54"/>
          <w:rFonts w:hint="eastAsia" w:ascii="宋体" w:hAnsi="宋体" w:cs="宋体"/>
          <w:color w:val="000000" w:themeColor="text1"/>
          <w:sz w:val="24"/>
          <w:szCs w:val="24"/>
          <w:highlight w:val="none"/>
          <w14:textFill>
            <w14:solidFill>
              <w14:schemeClr w14:val="tx1"/>
            </w14:solidFill>
          </w14:textFill>
        </w:rPr>
        <w:t>，采购人保留对上述规模进行调整的权利。</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合同履行期限：</w:t>
      </w:r>
      <w:r>
        <w:rPr>
          <w:rStyle w:val="54"/>
          <w:rFonts w:hint="eastAsia" w:ascii="宋体" w:hAnsi="宋体" w:cs="宋体"/>
          <w:bCs/>
          <w:color w:val="000000" w:themeColor="text1"/>
          <w:sz w:val="24"/>
          <w:szCs w:val="24"/>
          <w:highlight w:val="none"/>
          <w14:textFill>
            <w14:solidFill>
              <w14:schemeClr w14:val="tx1"/>
            </w14:solidFill>
          </w14:textFill>
        </w:rPr>
        <w:t>自合同签订之日起</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90</w:t>
      </w:r>
      <w:r>
        <w:rPr>
          <w:rStyle w:val="54"/>
          <w:rFonts w:hint="eastAsia" w:ascii="宋体" w:hAnsi="宋体" w:cs="宋体"/>
          <w:bCs/>
          <w:color w:val="000000" w:themeColor="text1"/>
          <w:sz w:val="24"/>
          <w:szCs w:val="24"/>
          <w:highlight w:val="none"/>
          <w14:textFill>
            <w14:solidFill>
              <w14:schemeClr w14:val="tx1"/>
            </w14:solidFill>
          </w14:textFill>
        </w:rPr>
        <w:t>日历天内竣工完毕，达到验收合格标准。</w:t>
      </w:r>
    </w:p>
    <w:p>
      <w:pPr>
        <w:widowControl w:val="0"/>
        <w:adjustRightInd w:val="0"/>
        <w:snapToGrid w:val="0"/>
        <w:spacing w:line="360" w:lineRule="auto"/>
        <w:ind w:firstLine="482" w:firstLineChars="200"/>
        <w:rPr>
          <w:rStyle w:val="54"/>
          <w:rFonts w:ascii="宋体" w:hAnsi="宋体" w:cs="宋体"/>
          <w:b/>
          <w:bCs/>
          <w:color w:val="000000" w:themeColor="text1"/>
          <w:sz w:val="24"/>
          <w:szCs w:val="24"/>
          <w:highlight w:val="none"/>
          <w14:textFill>
            <w14:solidFill>
              <w14:schemeClr w14:val="tx1"/>
            </w14:solidFill>
          </w14:textFill>
        </w:rPr>
      </w:pPr>
      <w:r>
        <w:rPr>
          <w:rStyle w:val="54"/>
          <w:rFonts w:hint="eastAsia" w:ascii="宋体" w:hAnsi="宋体" w:cs="宋体"/>
          <w:b/>
          <w:bCs/>
          <w:color w:val="000000" w:themeColor="text1"/>
          <w:sz w:val="24"/>
          <w:szCs w:val="24"/>
          <w:highlight w:val="none"/>
          <w14:textFill>
            <w14:solidFill>
              <w14:schemeClr w14:val="tx1"/>
            </w14:solidFill>
          </w14:textFill>
        </w:rPr>
        <w:t>本项目（是/否）接受联合体投标：不接受联合体</w:t>
      </w:r>
    </w:p>
    <w:p>
      <w:pPr>
        <w:pStyle w:val="44"/>
        <w:widowControl w:val="0"/>
        <w:tabs>
          <w:tab w:val="left" w:pos="0"/>
          <w:tab w:val="left" w:pos="3165"/>
          <w:tab w:val="center" w:pos="4153"/>
        </w:tabs>
        <w:adjustRightInd w:val="0"/>
        <w:snapToGrid w:val="0"/>
        <w:spacing w:line="360" w:lineRule="auto"/>
        <w:ind w:firstLine="482" w:firstLineChars="200"/>
        <w:jc w:val="left"/>
        <w:rPr>
          <w:rStyle w:val="54"/>
          <w:rFonts w:ascii="宋体" w:hAnsi="宋体" w:eastAsia="宋体" w:cs="宋体"/>
          <w:b/>
          <w:bCs/>
          <w:color w:val="000000" w:themeColor="text1"/>
          <w:sz w:val="24"/>
          <w:szCs w:val="24"/>
          <w:highlight w:val="none"/>
          <w14:textFill>
            <w14:solidFill>
              <w14:schemeClr w14:val="tx1"/>
            </w14:solidFill>
          </w14:textFill>
        </w:rPr>
      </w:pPr>
      <w:r>
        <w:rPr>
          <w:rStyle w:val="54"/>
          <w:rFonts w:hint="eastAsia" w:ascii="宋体" w:hAnsi="宋体" w:eastAsia="宋体" w:cs="宋体"/>
          <w:b/>
          <w:bCs/>
          <w:color w:val="000000" w:themeColor="text1"/>
          <w:sz w:val="24"/>
          <w:szCs w:val="24"/>
          <w:highlight w:val="none"/>
          <w14:textFill>
            <w14:solidFill>
              <w14:schemeClr w14:val="tx1"/>
            </w14:solidFill>
          </w14:textFill>
        </w:rPr>
        <w:t>二、申请人的资格要求：</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（一）满足《中华人民共和国政府采购法》第二十二条规定：</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（3）依法缴纳税收和社会保障资金的相关材料，依法免税或不需要缴纳社会保障资金的，应提供相应文件证明材料；</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lang w:eastAsia="zh-CN"/>
          <w14:textFill>
            <w14:solidFill>
              <w14:schemeClr w14:val="tx1"/>
            </w14:solidFill>
          </w14:textFill>
        </w:rPr>
        <w:t>（</w:t>
      </w:r>
      <w:r>
        <w:rPr>
          <w:rStyle w:val="54"/>
          <w:rFonts w:hint="eastAsia" w:ascii="宋体" w:hAnsi="宋体" w:cs="宋体"/>
          <w:color w:val="000000" w:themeColor="text1"/>
          <w:sz w:val="24"/>
          <w:szCs w:val="24"/>
          <w:highlight w:val="none"/>
          <w:lang w:val="en-US" w:eastAsia="zh-CN"/>
          <w14:textFill>
            <w14:solidFill>
              <w14:schemeClr w14:val="tx1"/>
            </w14:solidFill>
          </w14:textFill>
        </w:rPr>
        <w:t>6</w:t>
      </w:r>
      <w:r>
        <w:rPr>
          <w:rStyle w:val="54"/>
          <w:rFonts w:hint="eastAsia" w:ascii="宋体" w:hAnsi="宋体" w:cs="宋体"/>
          <w:color w:val="000000" w:themeColor="text1"/>
          <w:sz w:val="24"/>
          <w:szCs w:val="24"/>
          <w:highlight w:val="none"/>
          <w:lang w:eastAsia="zh-CN"/>
          <w14:textFill>
            <w14:solidFill>
              <w14:schemeClr w14:val="tx1"/>
            </w14:solidFill>
          </w14:textFill>
        </w:rPr>
        <w:t>）</w:t>
      </w:r>
      <w:r>
        <w:rPr>
          <w:rStyle w:val="54"/>
          <w:rFonts w:hint="eastAsia" w:ascii="宋体" w:hAnsi="宋体" w:cs="宋体"/>
          <w:color w:val="000000" w:themeColor="text1"/>
          <w:sz w:val="24"/>
          <w:szCs w:val="24"/>
          <w:highlight w:val="none"/>
          <w14:textFill>
            <w14:solidFill>
              <w14:schemeClr w14:val="tx1"/>
            </w14:solidFill>
          </w14:textFill>
        </w:rPr>
        <w:t>法律、行政法规规定的其他条件。</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（二）落实政府采购政策需满足的资格要求：本项目为专门面向中小企业采购的项目,供应商必须为中小微企业，提供中小微企业声明函，不接受非中小微型企业参与本项目投标。</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（三）本项目的特定资格要求：</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3.投标人资质等级和要求：</w:t>
      </w:r>
      <w:r>
        <w:rPr>
          <w:rStyle w:val="54"/>
          <w:rFonts w:hint="eastAsia" w:ascii="宋体" w:hAnsi="宋体" w:cs="宋体"/>
          <w:b/>
          <w:bCs/>
          <w:color w:val="000000" w:themeColor="text1"/>
          <w:sz w:val="24"/>
          <w:szCs w:val="24"/>
          <w:highlight w:val="none"/>
          <w14:textFill>
            <w14:solidFill>
              <w14:schemeClr w14:val="tx1"/>
            </w14:solidFill>
          </w14:textFill>
        </w:rPr>
        <w:t>投标人应同时具备建设行政主管部门核发的工程设计综合甲级资质或建筑行业（建筑工程）设计乙级及以上资质或建筑装饰工程专项设计乙级及以上资质三项设计资质中任意一项设计资质以及建设行政主管部门核发的建筑装修装饰工程专业承包二级及以上施工资质的独立法人，并取得有效的安全生产许可证</w:t>
      </w:r>
      <w:r>
        <w:rPr>
          <w:rStyle w:val="54"/>
          <w:rFonts w:hint="eastAsia" w:ascii="宋体" w:hAnsi="宋体" w:cs="宋体"/>
          <w:color w:val="000000" w:themeColor="text1"/>
          <w:sz w:val="24"/>
          <w:szCs w:val="24"/>
          <w:highlight w:val="none"/>
          <w14:textFill>
            <w14:solidFill>
              <w14:schemeClr w14:val="tx1"/>
            </w14:solidFill>
          </w14:textFill>
        </w:rPr>
        <w:t>。</w:t>
      </w:r>
    </w:p>
    <w:p>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4.投标人的项目负责人资格要求：具有建筑工程专业二级及以上注册建造师资格，同时具有有效的安全生产考核合格证（B类）。</w:t>
      </w:r>
    </w:p>
    <w:p>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4.1项目负责人从本工程响应文件递交截止之日起必须满足下列条件：</w:t>
      </w:r>
    </w:p>
    <w:p>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4.1.1项目负责人不得同时在两个或者两个以上单位受聘或者执业；</w:t>
      </w:r>
    </w:p>
    <w:p>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4.1.2项目负责人是非变更后无在建工程，或项目负责人是变更后无在建工程（必须原合同工期已满且变更备案之日已满 6个月），或因非承包人原因致使工程项目停工或因故不能按期开工、且已办理了项目负责人解锁手续，或项目负责人有在建工程，但该在建工程与本次采购的工程属于同一工程项目、同一项目批文、同一施工地点分段发包或分期施工的情况且总的工程规模在项目负责人执业范围之内。</w:t>
      </w:r>
    </w:p>
    <w:p>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项目负责人投标截止时不得同时在其他建设工程项目中担任现场管理人员、不在本项目兼任本项目的其它岗位。</w:t>
      </w:r>
    </w:p>
    <w:p>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在建工程：处于中标结果公告（直接发包的项目以网上合同备案或归集为准）到合同约定的工程全部完成且竣工验收合格期间的工程。竣工验收证明是指由建设单位（或监理）组织工程建设各方验收合格，并签署相应的单位工程质量竣工验收记录或者分部工程质量验收记录等验收文件。本项目招标文件约定行政主管部门、招标投标交易机构信息系统中项目负责人信息处于在建锁定状态的（绿化养护、市政养护项目除外）也认定为在建工程。</w:t>
      </w:r>
    </w:p>
    <w:p>
      <w:pPr>
        <w:pStyle w:val="37"/>
        <w:ind w:firstLine="480"/>
        <w:rPr>
          <w:rStyle w:val="54"/>
          <w:rFonts w:ascii="宋体" w:hAnsi="宋体" w:cs="宋体"/>
          <w:color w:val="000000" w:themeColor="text1"/>
          <w:highlight w:val="none"/>
          <w14:textFill>
            <w14:solidFill>
              <w14:schemeClr w14:val="tx1"/>
            </w14:solidFill>
          </w14:textFill>
        </w:rPr>
      </w:pPr>
      <w:r>
        <w:rPr>
          <w:rStyle w:val="54"/>
          <w:rFonts w:hint="eastAsia" w:ascii="宋体" w:hAnsi="宋体" w:cs="宋体"/>
          <w:color w:val="000000" w:themeColor="text1"/>
          <w:highlight w:val="none"/>
          <w14:textFill>
            <w14:solidFill>
              <w14:schemeClr w14:val="tx1"/>
            </w14:solidFill>
          </w14:textFill>
        </w:rPr>
        <w:t>本项目招标文件项目负责人有在养护期内的绿化养护、市政养护项目的，不属于招标公告及文件规定的有在建工程。</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三、获取招标文件</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报名时间及地点：本公告发布后凡具备上述资格条件，并自愿参加本项目投标的投标人应于2024年</w:t>
      </w:r>
      <w:r>
        <w:rPr>
          <w:rStyle w:val="54"/>
          <w:rFonts w:hint="eastAsia" w:ascii="宋体" w:hAnsi="宋体" w:cs="宋体"/>
          <w:color w:val="000000" w:themeColor="text1"/>
          <w:sz w:val="24"/>
          <w:szCs w:val="24"/>
          <w:highlight w:val="none"/>
          <w:lang w:val="en-US" w:eastAsia="zh-CN"/>
          <w14:textFill>
            <w14:solidFill>
              <w14:schemeClr w14:val="tx1"/>
            </w14:solidFill>
          </w14:textFill>
        </w:rPr>
        <w:t>8</w:t>
      </w:r>
      <w:r>
        <w:rPr>
          <w:rStyle w:val="54"/>
          <w:rFonts w:hint="eastAsia" w:ascii="宋体" w:hAnsi="宋体" w:cs="宋体"/>
          <w:color w:val="000000" w:themeColor="text1"/>
          <w:sz w:val="24"/>
          <w:szCs w:val="24"/>
          <w:highlight w:val="none"/>
          <w14:textFill>
            <w14:solidFill>
              <w14:schemeClr w14:val="tx1"/>
            </w14:solidFill>
          </w14:textFill>
        </w:rPr>
        <w:t>月</w:t>
      </w:r>
      <w:r>
        <w:rPr>
          <w:rStyle w:val="54"/>
          <w:rFonts w:hint="eastAsia" w:ascii="宋体" w:hAnsi="宋体" w:cs="宋体"/>
          <w:color w:val="000000" w:themeColor="text1"/>
          <w:sz w:val="24"/>
          <w:szCs w:val="24"/>
          <w:highlight w:val="none"/>
          <w:lang w:val="en-US" w:eastAsia="zh-CN"/>
          <w14:textFill>
            <w14:solidFill>
              <w14:schemeClr w14:val="tx1"/>
            </w14:solidFill>
          </w14:textFill>
        </w:rPr>
        <w:t>2</w:t>
      </w:r>
      <w:r>
        <w:rPr>
          <w:rStyle w:val="54"/>
          <w:rFonts w:hint="eastAsia" w:ascii="宋体" w:hAnsi="宋体" w:cs="宋体"/>
          <w:color w:val="000000" w:themeColor="text1"/>
          <w:sz w:val="24"/>
          <w:szCs w:val="24"/>
          <w:highlight w:val="none"/>
          <w14:textFill>
            <w14:solidFill>
              <w14:schemeClr w14:val="tx1"/>
            </w14:solidFill>
          </w14:textFill>
        </w:rPr>
        <w:t>日至2024年8月</w:t>
      </w:r>
      <w:r>
        <w:rPr>
          <w:rStyle w:val="54"/>
          <w:rFonts w:hint="eastAsia" w:ascii="宋体" w:hAnsi="宋体" w:cs="宋体"/>
          <w:color w:val="000000" w:themeColor="text1"/>
          <w:sz w:val="24"/>
          <w:szCs w:val="24"/>
          <w:highlight w:val="none"/>
          <w:lang w:val="en-US" w:eastAsia="zh-CN"/>
          <w14:textFill>
            <w14:solidFill>
              <w14:schemeClr w14:val="tx1"/>
            </w14:solidFill>
          </w14:textFill>
        </w:rPr>
        <w:t>12</w:t>
      </w:r>
      <w:r>
        <w:rPr>
          <w:rStyle w:val="54"/>
          <w:rFonts w:hint="eastAsia" w:ascii="宋体" w:hAnsi="宋体" w:cs="宋体"/>
          <w:color w:val="000000" w:themeColor="text1"/>
          <w:sz w:val="24"/>
          <w:szCs w:val="24"/>
          <w:highlight w:val="none"/>
          <w14:textFill>
            <w14:solidFill>
              <w14:schemeClr w14:val="tx1"/>
            </w14:solidFill>
          </w14:textFill>
        </w:rPr>
        <w:t>日委派本单位正式人员携带单位介绍信或授权委托书扫描件至我单位或添加微信（微信号:15605108891）购买招标文件，逾期的不予接收。</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售价：人民币500元，售后不退。</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时间：2024年</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26</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lang w:val="en-US" w:eastAsia="zh-CN"/>
          <w14:textFill>
            <w14:solidFill>
              <w14:schemeClr w14:val="tx1"/>
            </w14:solidFill>
          </w14:textFill>
        </w:rPr>
        <w:t>15</w:t>
      </w:r>
      <w:r>
        <w:rPr>
          <w:rStyle w:val="54"/>
          <w:rFonts w:hint="eastAsia" w:ascii="宋体" w:hAnsi="宋体" w:cs="宋体"/>
          <w:color w:val="000000" w:themeColor="text1"/>
          <w:sz w:val="24"/>
          <w:szCs w:val="24"/>
          <w:highlight w:val="none"/>
          <w14:textFill>
            <w14:solidFill>
              <w14:schemeClr w14:val="tx1"/>
            </w14:solidFill>
          </w14:textFill>
        </w:rPr>
        <w:t>点</w:t>
      </w:r>
      <w:r>
        <w:rPr>
          <w:rStyle w:val="54"/>
          <w:rFonts w:hint="eastAsia" w:ascii="宋体" w:hAnsi="宋体" w:cs="宋体"/>
          <w:color w:val="000000" w:themeColor="text1"/>
          <w:sz w:val="24"/>
          <w:szCs w:val="24"/>
          <w:highlight w:val="none"/>
          <w:lang w:val="en-US" w:eastAsia="zh-CN"/>
          <w14:textFill>
            <w14:solidFill>
              <w14:schemeClr w14:val="tx1"/>
            </w14:solidFill>
          </w14:textFill>
        </w:rPr>
        <w:t>00</w:t>
      </w:r>
      <w:r>
        <w:rPr>
          <w:rStyle w:val="54"/>
          <w:rFonts w:hint="eastAsia" w:ascii="宋体" w:hAnsi="宋体" w:cs="宋体"/>
          <w:color w:val="000000" w:themeColor="text1"/>
          <w:sz w:val="24"/>
          <w:szCs w:val="24"/>
          <w:highlight w:val="none"/>
          <w14:textFill>
            <w14:solidFill>
              <w14:schemeClr w14:val="tx1"/>
            </w14:solidFill>
          </w14:textFill>
        </w:rPr>
        <w:t>分（北京时间）</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五、公告期限</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六、其他补充事宜</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1.投标文件制作份数要求：正本份数：1份，副本份数：4份。</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3.对项目需求部分的询问、质疑请向使用部门提出，询问、质疑由项目联系人负责答复。</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七、对本次招标提出询问，请按以下方式联系。</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1.采购人信息</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地址：盐城市解放南路285号</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54"/>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联系电话：0515-8858</w:t>
      </w:r>
      <w:r>
        <w:rPr>
          <w:rStyle w:val="54"/>
          <w:rFonts w:hint="eastAsia" w:ascii="宋体" w:hAnsi="宋体" w:cs="宋体"/>
          <w:color w:val="000000" w:themeColor="text1"/>
          <w:sz w:val="24"/>
          <w:szCs w:val="24"/>
          <w:highlight w:val="none"/>
          <w:lang w:val="en-US" w:eastAsia="zh-CN"/>
          <w14:textFill>
            <w14:solidFill>
              <w14:schemeClr w14:val="tx1"/>
            </w14:solidFill>
          </w14:textFill>
        </w:rPr>
        <w:t>0406</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2.采购代理机构信息</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名称：江苏建博工程管理咨询有限公司</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地址：盐城市世纪大道619号金太阳装饰城B座六楼</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 xml:space="preserve">联系人：孙女士              </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联系电话：15605108891</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3.项目联系方式</w:t>
      </w:r>
    </w:p>
    <w:p>
      <w:pPr>
        <w:widowControl w:val="0"/>
        <w:adjustRightInd w:val="0"/>
        <w:snapToGrid w:val="0"/>
        <w:spacing w:line="360" w:lineRule="auto"/>
        <w:ind w:firstLine="480" w:firstLineChars="200"/>
        <w:rPr>
          <w:rStyle w:val="54"/>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项目联系人：</w:t>
      </w:r>
      <w:r>
        <w:rPr>
          <w:rStyle w:val="54"/>
          <w:rFonts w:hint="eastAsia" w:ascii="宋体" w:hAnsi="宋体" w:cs="宋体"/>
          <w:color w:val="000000" w:themeColor="text1"/>
          <w:sz w:val="24"/>
          <w:szCs w:val="24"/>
          <w:highlight w:val="none"/>
          <w:lang w:val="en-US" w:eastAsia="zh-CN"/>
          <w14:textFill>
            <w14:solidFill>
              <w14:schemeClr w14:val="tx1"/>
            </w14:solidFill>
          </w14:textFill>
        </w:rPr>
        <w:t>徐老师</w:t>
      </w:r>
    </w:p>
    <w:p>
      <w:pPr>
        <w:widowControl w:val="0"/>
        <w:adjustRightInd w:val="0"/>
        <w:snapToGrid w:val="0"/>
        <w:spacing w:line="360" w:lineRule="auto"/>
        <w:ind w:firstLine="480" w:firstLineChars="200"/>
        <w:rPr>
          <w:rStyle w:val="54"/>
          <w:rFonts w:hint="eastAsia"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联系电话：18351553622</w:t>
      </w:r>
    </w:p>
    <w:p>
      <w:pPr>
        <w:widowControl w:val="0"/>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pStyle w:val="2"/>
        <w:ind w:left="1470" w:right="1470"/>
        <w:rPr>
          <w:rStyle w:val="54"/>
          <w:rFonts w:ascii="宋体" w:hAnsi="宋体" w:cs="宋体"/>
          <w:color w:val="000000" w:themeColor="text1"/>
          <w:sz w:val="24"/>
          <w:szCs w:val="24"/>
          <w:highlight w:val="none"/>
          <w14:textFill>
            <w14:solidFill>
              <w14:schemeClr w14:val="tx1"/>
            </w14:solidFill>
          </w14:textFill>
        </w:rPr>
      </w:pPr>
    </w:p>
    <w:p>
      <w:pPr>
        <w:rPr>
          <w:rStyle w:val="54"/>
          <w:rFonts w:ascii="宋体" w:hAnsi="宋体" w:cs="宋体"/>
          <w:color w:val="000000" w:themeColor="text1"/>
          <w:highlight w:val="none"/>
          <w14:textFill>
            <w14:solidFill>
              <w14:schemeClr w14:val="tx1"/>
            </w14:solidFill>
          </w14:textFill>
        </w:rPr>
      </w:pPr>
      <w:bookmarkStart w:id="1" w:name="_Toc21663"/>
      <w:r>
        <w:rPr>
          <w:rStyle w:val="54"/>
          <w:rFonts w:hint="eastAsia" w:ascii="宋体" w:hAnsi="宋体" w:cs="宋体"/>
          <w:color w:val="000000" w:themeColor="text1"/>
          <w:highlight w:val="none"/>
          <w14:textFill>
            <w14:solidFill>
              <w14:schemeClr w14:val="tx1"/>
            </w14:solidFill>
          </w14:textFill>
        </w:rPr>
        <w:br w:type="page"/>
      </w:r>
    </w:p>
    <w:p>
      <w:pPr>
        <w:pStyle w:val="45"/>
        <w:spacing w:before="0" w:after="0" w:line="240" w:lineRule="auto"/>
        <w:outlineLvl w:val="0"/>
        <w:rPr>
          <w:rStyle w:val="54"/>
          <w:rFonts w:ascii="宋体" w:hAnsi="宋体" w:eastAsia="宋体" w:cs="宋体"/>
          <w:b w:val="0"/>
          <w:bCs w:val="0"/>
          <w:color w:val="000000" w:themeColor="text1"/>
          <w:highlight w:val="none"/>
          <w14:textFill>
            <w14:solidFill>
              <w14:schemeClr w14:val="tx1"/>
            </w14:solidFill>
          </w14:textFill>
        </w:rPr>
      </w:pPr>
      <w:r>
        <w:rPr>
          <w:rStyle w:val="54"/>
          <w:rFonts w:hint="eastAsia" w:ascii="宋体" w:hAnsi="宋体" w:eastAsia="宋体" w:cs="宋体"/>
          <w:color w:val="000000" w:themeColor="text1"/>
          <w:highlight w:val="none"/>
          <w14:textFill>
            <w14:solidFill>
              <w14:schemeClr w14:val="tx1"/>
            </w14:solidFill>
          </w14:textFill>
        </w:rPr>
        <w:t>第二章  投标人须知</w:t>
      </w:r>
      <w:bookmarkEnd w:id="1"/>
    </w:p>
    <w:p>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一、总则</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1、招标方式</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1.1 本次招标采取公开招标方式，本招标文件仅适用于招标公告中所述项目。</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2、合格的投标人</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2.1满足招标公告中供应商的资格要求的规定。</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 满足本文件实质性条款的规定。</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3、适用法律</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 本次招标及由此产生的合同受中华人民共和国有关的法律法规制约和保护。</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4、投标费用</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4.2本项目中标人与采购人签订合同前领取中标通知书时须向采购代理机构支付招标代理服务费，本项目代理服务费按苏招协〔2022﹞002号规定的收费标准的30%收取；上述费用由各投标人在投标时自行综合考虑分摊含进投标报价中，且不得单列，采购人不再承担上述费用。</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5、招标文件的约束力</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5.1</w:t>
      </w:r>
      <w:r>
        <w:rPr>
          <w:rStyle w:val="54"/>
          <w:rFonts w:hint="eastAsia" w:ascii="宋体" w:hAnsi="宋体" w:cs="宋体"/>
          <w:color w:val="000000" w:themeColor="text1"/>
          <w:sz w:val="24"/>
          <w:szCs w:val="24"/>
          <w:highlight w:val="none"/>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6、招标文件的解释</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6.1 本招标文件由采购人或采购代理机构负责解释。</w:t>
      </w:r>
    </w:p>
    <w:p>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二、招标文件</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7、招标文件构成</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7.1</w:t>
      </w:r>
      <w:r>
        <w:rPr>
          <w:rStyle w:val="54"/>
          <w:rFonts w:hint="eastAsia" w:ascii="宋体" w:hAnsi="宋体" w:cs="宋体"/>
          <w:color w:val="000000" w:themeColor="text1"/>
          <w:sz w:val="24"/>
          <w:szCs w:val="24"/>
          <w:highlight w:val="none"/>
          <w14:textFill>
            <w14:solidFill>
              <w14:schemeClr w14:val="tx1"/>
            </w14:solidFill>
          </w14:textFill>
        </w:rPr>
        <w:t xml:space="preserve"> 招标文件有以下部分组成：</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（1）招标公告</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（2）投标人须知</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（3）合同条款及格式</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（4）项目需求</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（5）评标方法与评标标准</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（6）投标文件格式</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7.2</w:t>
      </w:r>
      <w:r>
        <w:rPr>
          <w:rStyle w:val="54"/>
          <w:rFonts w:hint="eastAsia" w:ascii="宋体" w:hAnsi="宋体" w:cs="宋体"/>
          <w:color w:val="000000" w:themeColor="text1"/>
          <w:sz w:val="24"/>
          <w:szCs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8、招标文件的询问</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8.1</w:t>
      </w:r>
      <w:r>
        <w:rPr>
          <w:rStyle w:val="54"/>
          <w:rFonts w:hint="eastAsia" w:ascii="宋体" w:hAnsi="宋体" w:cs="宋体"/>
          <w:color w:val="000000" w:themeColor="text1"/>
          <w:sz w:val="24"/>
          <w:szCs w:val="24"/>
          <w:highlight w:val="none"/>
          <w14:textFill>
            <w14:solidFill>
              <w14:schemeClr w14:val="tx1"/>
            </w14:solidFill>
          </w14:textFill>
        </w:rPr>
        <w:t xml:space="preserve"> 任何要求对招标文件进行询问的投标人，应在投标截止日期</w:t>
      </w:r>
      <w:r>
        <w:rPr>
          <w:rStyle w:val="54"/>
          <w:rFonts w:hint="eastAsia" w:ascii="宋体" w:hAnsi="宋体" w:cs="宋体"/>
          <w:b/>
          <w:color w:val="000000" w:themeColor="text1"/>
          <w:sz w:val="24"/>
          <w:szCs w:val="24"/>
          <w:highlight w:val="none"/>
          <w14:textFill>
            <w14:solidFill>
              <w14:schemeClr w14:val="tx1"/>
            </w14:solidFill>
          </w14:textFill>
        </w:rPr>
        <w:t>十日</w:t>
      </w:r>
      <w:r>
        <w:rPr>
          <w:rStyle w:val="54"/>
          <w:rFonts w:hint="eastAsia" w:ascii="宋体" w:hAnsi="宋体" w:cs="宋体"/>
          <w:color w:val="000000" w:themeColor="text1"/>
          <w:sz w:val="24"/>
          <w:szCs w:val="24"/>
          <w:highlight w:val="none"/>
          <w14:textFill>
            <w14:solidFill>
              <w14:schemeClr w14:val="tx1"/>
            </w14:solidFill>
          </w14:textFill>
        </w:rPr>
        <w:t>前按招标公告中的通讯地址，向采购人或采购代理机构提出。</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9、招标文件的修改</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9.1</w:t>
      </w:r>
      <w:r>
        <w:rPr>
          <w:rStyle w:val="54"/>
          <w:rFonts w:hint="eastAsia" w:ascii="宋体" w:hAnsi="宋体" w:cs="宋体"/>
          <w:color w:val="000000" w:themeColor="text1"/>
          <w:sz w:val="24"/>
          <w:szCs w:val="24"/>
          <w:highlight w:val="none"/>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9.2</w:t>
      </w:r>
      <w:r>
        <w:rPr>
          <w:rStyle w:val="54"/>
          <w:rFonts w:hint="eastAsia" w:ascii="宋体" w:hAnsi="宋体" w:cs="宋体"/>
          <w:color w:val="000000" w:themeColor="text1"/>
          <w:sz w:val="24"/>
          <w:szCs w:val="24"/>
          <w:highlight w:val="none"/>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9.3</w:t>
      </w:r>
      <w:r>
        <w:rPr>
          <w:rStyle w:val="54"/>
          <w:rFonts w:hint="eastAsia" w:ascii="宋体" w:hAnsi="宋体" w:cs="宋体"/>
          <w:color w:val="000000" w:themeColor="text1"/>
          <w:sz w:val="24"/>
          <w:szCs w:val="24"/>
          <w:highlight w:val="none"/>
          <w14:textFill>
            <w14:solidFill>
              <w14:schemeClr w14:val="tx1"/>
            </w14:solidFill>
          </w14:textFill>
        </w:rPr>
        <w:t>招标文件的修改将在“</w:t>
      </w:r>
      <w:r>
        <w:rPr>
          <w:rStyle w:val="54"/>
          <w:rFonts w:hint="eastAsia" w:ascii="宋体" w:hAnsi="宋体" w:cs="宋体"/>
          <w:color w:val="000000" w:themeColor="text1"/>
          <w:sz w:val="24"/>
          <w:szCs w:val="24"/>
          <w:highlight w:val="none"/>
          <w:lang w:eastAsia="zh-CN"/>
          <w14:textFill>
            <w14:solidFill>
              <w14:schemeClr w14:val="tx1"/>
            </w14:solidFill>
          </w14:textFill>
        </w:rPr>
        <w:t>盐城工业职业技术学院招标采购网</w:t>
      </w:r>
      <w:r>
        <w:rPr>
          <w:rStyle w:val="54"/>
          <w:rFonts w:hint="eastAsia" w:ascii="宋体" w:hAnsi="宋体" w:cs="宋体"/>
          <w:color w:val="000000" w:themeColor="text1"/>
          <w:sz w:val="24"/>
          <w:szCs w:val="24"/>
          <w:highlight w:val="none"/>
          <w14:textFill>
            <w14:solidFill>
              <w14:schemeClr w14:val="tx1"/>
            </w14:solidFill>
          </w14:textFill>
        </w:rPr>
        <w:t>”公布，补充文件将作为招标文件的组成部分，并对投标人具有约束力。</w:t>
      </w:r>
    </w:p>
    <w:p>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三、投标文件的编制</w:t>
      </w:r>
    </w:p>
    <w:p>
      <w:pPr>
        <w:pStyle w:val="48"/>
        <w:snapToGrid w:val="0"/>
        <w:spacing w:before="0" w:after="0"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10、投标文件的语言及度量衡单位</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10.1</w:t>
      </w:r>
      <w:r>
        <w:rPr>
          <w:rStyle w:val="54"/>
          <w:rFonts w:hint="eastAsia" w:ascii="宋体" w:hAnsi="宋体" w:cs="宋体"/>
          <w:color w:val="000000" w:themeColor="text1"/>
          <w:sz w:val="24"/>
          <w:szCs w:val="24"/>
          <w:highlight w:val="none"/>
          <w14:textFill>
            <w14:solidFill>
              <w14:schemeClr w14:val="tx1"/>
            </w14:solidFill>
          </w14:textFill>
        </w:rPr>
        <w:t xml:space="preserve"> 投标人提交的投标文件以及投标人与采购人或采购代理机构就有关投标的所有来往通知、函件和文件均应使用</w:t>
      </w:r>
      <w:r>
        <w:rPr>
          <w:rStyle w:val="54"/>
          <w:rFonts w:hint="eastAsia" w:ascii="宋体" w:hAnsi="宋体" w:cs="宋体"/>
          <w:b/>
          <w:bCs/>
          <w:color w:val="000000" w:themeColor="text1"/>
          <w:sz w:val="24"/>
          <w:szCs w:val="24"/>
          <w:highlight w:val="none"/>
          <w14:textFill>
            <w14:solidFill>
              <w14:schemeClr w14:val="tx1"/>
            </w14:solidFill>
          </w14:textFill>
        </w:rPr>
        <w:t>简体中文</w:t>
      </w:r>
      <w:r>
        <w:rPr>
          <w:rStyle w:val="54"/>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10.2 除技术性能另有规定外，投标文件所使用的度量衡单位，均须采用国家法定计量单位。</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11、投标文件构成</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11.1投标文件分为一号标书、二号标书、三号标书，其中：</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11.1.1 一号标书的组成至少应包括：</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（1）一号标书封面；（格式附后）</w:t>
      </w:r>
    </w:p>
    <w:p>
      <w:pPr>
        <w:snapToGrid w:val="0"/>
        <w:spacing w:line="360" w:lineRule="auto"/>
        <w:ind w:firstLine="420" w:firstLineChars="200"/>
        <w:rPr>
          <w:rStyle w:val="54"/>
          <w:rFonts w:ascii="宋体" w:hAnsi="宋体" w:cs="宋体"/>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"_Toc74993343"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sz w:val="24"/>
          <w:szCs w:val="24"/>
          <w:highlight w:val="none"/>
          <w14:textFill>
            <w14:solidFill>
              <w14:schemeClr w14:val="tx1"/>
            </w14:solidFill>
          </w14:textFill>
        </w:rPr>
        <w:t>（2）评分索引表；（格式附后）</w:t>
      </w:r>
      <w:r>
        <w:rPr>
          <w:rStyle w:val="54"/>
          <w:rFonts w:hint="eastAsia" w:ascii="宋体" w:hAnsi="宋体" w:cs="宋体"/>
          <w:bCs/>
          <w:color w:val="000000" w:themeColor="text1"/>
          <w:sz w:val="24"/>
          <w:szCs w:val="24"/>
          <w:highlight w:val="none"/>
          <w14:textFill>
            <w14:solidFill>
              <w14:schemeClr w14:val="tx1"/>
            </w14:solidFill>
          </w14:textFill>
        </w:rPr>
        <w:fldChar w:fldCharType="end"/>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（3）投标函；（格式附后）</w:t>
      </w:r>
    </w:p>
    <w:p>
      <w:pPr>
        <w:snapToGrid w:val="0"/>
        <w:spacing w:line="360" w:lineRule="auto"/>
        <w:ind w:firstLine="420" w:firstLineChars="200"/>
        <w:rPr>
          <w:rStyle w:val="54"/>
          <w:rFonts w:ascii="宋体" w:hAnsi="宋体" w:cs="宋体"/>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"_Toc74993344"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sz w:val="24"/>
          <w:szCs w:val="24"/>
          <w:highlight w:val="none"/>
          <w14:textFill>
            <w14:solidFill>
              <w14:schemeClr w14:val="tx1"/>
            </w14:solidFill>
          </w14:textFill>
        </w:rPr>
        <w:t>（4）开标一览表；（格式附后）</w:t>
      </w:r>
      <w:r>
        <w:rPr>
          <w:rStyle w:val="54"/>
          <w:rFonts w:hint="eastAsia" w:ascii="宋体" w:hAnsi="宋体" w:cs="宋体"/>
          <w:bCs/>
          <w:color w:val="000000" w:themeColor="text1"/>
          <w:sz w:val="24"/>
          <w:szCs w:val="24"/>
          <w:highlight w:val="none"/>
          <w14:textFill>
            <w14:solidFill>
              <w14:schemeClr w14:val="tx1"/>
            </w14:solidFill>
          </w14:textFill>
        </w:rPr>
        <w:fldChar w:fldCharType="end"/>
      </w:r>
    </w:p>
    <w:p>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（5）投标配置与分项报价表</w:t>
      </w:r>
    </w:p>
    <w:p>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（6）资格性审查响应对照表（</w:t>
      </w:r>
      <w:r>
        <w:rPr>
          <w:rStyle w:val="54"/>
          <w:rFonts w:hint="eastAsia" w:ascii="宋体" w:hAnsi="宋体" w:cs="宋体"/>
          <w:bCs/>
          <w:color w:val="000000" w:themeColor="text1"/>
          <w:sz w:val="24"/>
          <w:szCs w:val="24"/>
          <w:highlight w:val="none"/>
          <w14:textFill>
            <w14:solidFill>
              <w14:schemeClr w14:val="tx1"/>
            </w14:solidFill>
          </w14:textFill>
        </w:rPr>
        <w:t>格式附后</w:t>
      </w:r>
      <w:r>
        <w:rPr>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（7）符合性检查响应对照表（</w:t>
      </w:r>
      <w:r>
        <w:rPr>
          <w:rStyle w:val="54"/>
          <w:rFonts w:hint="eastAsia" w:ascii="宋体" w:hAnsi="宋体" w:cs="宋体"/>
          <w:bCs/>
          <w:color w:val="000000" w:themeColor="text1"/>
          <w:sz w:val="24"/>
          <w:szCs w:val="24"/>
          <w:highlight w:val="none"/>
          <w14:textFill>
            <w14:solidFill>
              <w14:schemeClr w14:val="tx1"/>
            </w14:solidFill>
          </w14:textFill>
        </w:rPr>
        <w:t>格式附后</w:t>
      </w:r>
      <w:r>
        <w:rPr>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（8）技术参数响应及偏离表</w:t>
      </w:r>
      <w:r>
        <w:rPr>
          <w:rStyle w:val="54"/>
          <w:rFonts w:hint="eastAsia" w:ascii="宋体" w:hAnsi="宋体" w:cs="宋体"/>
          <w:bCs/>
          <w:color w:val="000000" w:themeColor="text1"/>
          <w:sz w:val="24"/>
          <w:szCs w:val="24"/>
          <w:highlight w:val="none"/>
          <w14:textFill>
            <w14:solidFill>
              <w14:schemeClr w14:val="tx1"/>
            </w14:solidFill>
          </w14:textFill>
        </w:rPr>
        <w:t>（格式附后）</w:t>
      </w:r>
    </w:p>
    <w:p>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（9）商务条款响应及偏离表（格式附后）</w:t>
      </w:r>
    </w:p>
    <w:p>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（10）盐城市政府采购事前信用承诺书（格式附后）</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（11）法人或者其他组织的营业执照等证明文件，自然人的身份证明（复印件）</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（12）上一年度财务状况报告（或报表）（复印件，成立不满一年不需提供）</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（13）依法缴纳税收和社会保障资金的相关材料（复印件）</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（14）具备履行合同所必需的设备和专业技术能力的书面声明</w:t>
      </w:r>
      <w:r>
        <w:rPr>
          <w:rFonts w:hint="eastAsia" w:ascii="宋体" w:hAnsi="宋体" w:cs="宋体"/>
          <w:color w:val="000000" w:themeColor="text1"/>
          <w:sz w:val="24"/>
          <w:szCs w:val="24"/>
          <w:highlight w:val="none"/>
          <w14:textFill>
            <w14:solidFill>
              <w14:schemeClr w14:val="tx1"/>
            </w14:solidFill>
          </w14:textFill>
        </w:rPr>
        <w:t>（格式附后）</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（15）参加政府采购活动前 3 年内在经营活动中没有重大违法记录的书面声明；（格式附后）</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（16）法人授权书；（格式附后）</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（18）中小企业声明函</w:t>
      </w:r>
      <w:r>
        <w:rPr>
          <w:rStyle w:val="54"/>
          <w:rFonts w:hint="eastAsia" w:ascii="宋体" w:hAnsi="宋体" w:cs="宋体"/>
          <w:bCs/>
          <w:color w:val="000000" w:themeColor="text1"/>
          <w:sz w:val="24"/>
          <w:szCs w:val="24"/>
          <w:highlight w:val="none"/>
          <w14:textFill>
            <w14:solidFill>
              <w14:schemeClr w14:val="tx1"/>
            </w14:solidFill>
          </w14:textFill>
        </w:rPr>
        <w:t>（格式附后）</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（19）投标人有效的设计资质证书（副本）复印件、有效的施工资质证书（副本）复印件、有效的安全生产许可证（副本）复印件；</w:t>
      </w:r>
    </w:p>
    <w:p>
      <w:pPr>
        <w:pStyle w:val="48"/>
        <w:snapToGrid w:val="0"/>
        <w:spacing w:before="0" w:after="0" w:line="360" w:lineRule="auto"/>
        <w:ind w:firstLine="480" w:firstLineChars="200"/>
        <w:rPr>
          <w:color w:val="000000" w:themeColor="text1"/>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（20）项目负责人有效的注册建造师证书复印件、有效的安全生产考核合格证（B类）复印件</w:t>
      </w:r>
    </w:p>
    <w:p>
      <w:pPr>
        <w:snapToGrid w:val="0"/>
        <w:spacing w:line="360" w:lineRule="auto"/>
        <w:ind w:firstLine="420" w:firstLineChars="200"/>
        <w:rPr>
          <w:rStyle w:val="54"/>
          <w:rFonts w:ascii="宋体" w:hAnsi="宋体" w:cs="宋体"/>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"_Toc74993357"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sz w:val="24"/>
          <w:szCs w:val="24"/>
          <w:highlight w:val="none"/>
          <w14:textFill>
            <w14:solidFill>
              <w14:schemeClr w14:val="tx1"/>
            </w14:solidFill>
          </w14:textFill>
        </w:rPr>
        <w:t>（21）项目业绩汇总表</w:t>
      </w:r>
      <w:r>
        <w:rPr>
          <w:rStyle w:val="54"/>
          <w:rFonts w:hint="eastAsia" w:ascii="宋体" w:hAnsi="宋体" w:cs="宋体"/>
          <w:bCs/>
          <w:color w:val="000000" w:themeColor="text1"/>
          <w:sz w:val="24"/>
          <w:szCs w:val="24"/>
          <w:highlight w:val="none"/>
          <w14:textFill>
            <w14:solidFill>
              <w14:schemeClr w14:val="tx1"/>
            </w14:solidFill>
          </w14:textFill>
        </w:rPr>
        <w:tab/>
      </w:r>
      <w:r>
        <w:rPr>
          <w:rStyle w:val="54"/>
          <w:rFonts w:hint="eastAsia" w:ascii="宋体" w:hAnsi="宋体" w:cs="宋体"/>
          <w:bCs/>
          <w:color w:val="000000" w:themeColor="text1"/>
          <w:sz w:val="24"/>
          <w:szCs w:val="24"/>
          <w:highlight w:val="none"/>
          <w14:textFill>
            <w14:solidFill>
              <w14:schemeClr w14:val="tx1"/>
            </w14:solidFill>
          </w14:textFill>
        </w:rPr>
        <w:t>；（格式附后）</w:t>
      </w:r>
      <w:r>
        <w:rPr>
          <w:rStyle w:val="54"/>
          <w:rFonts w:hint="eastAsia" w:ascii="宋体" w:hAnsi="宋体" w:cs="宋体"/>
          <w:bCs/>
          <w:color w:val="000000" w:themeColor="text1"/>
          <w:sz w:val="24"/>
          <w:szCs w:val="24"/>
          <w:highlight w:val="none"/>
          <w14:textFill>
            <w14:solidFill>
              <w14:schemeClr w14:val="tx1"/>
            </w14:solidFill>
          </w14:textFill>
        </w:rPr>
        <w:fldChar w:fldCharType="end"/>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（22）人员配备一览表；（格式附后）</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（23）招标文件要求的其他证明资料和评标细则要求提供证明材料复印件。</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注：（1）以上材料应当按顺序进行排列；（2）以上材料均需加盖投标人单位公章，有签字要求的必须签字；</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投标人提供的材料如有虚假，视为提供虚假材料谋取中标资格，将被列入不良行为记录名单。</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11.1.2二号标书（设计方案）</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具体内容详按项目需求要求和评标办法中评审标准进行针对性编制。</w:t>
      </w:r>
    </w:p>
    <w:p>
      <w:pPr>
        <w:spacing w:line="420" w:lineRule="exact"/>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设计</w:t>
      </w:r>
      <w:r>
        <w:rPr>
          <w:rFonts w:ascii="宋体" w:hAnsi="宋体"/>
          <w:b/>
          <w:bCs/>
          <w:color w:val="000000" w:themeColor="text1"/>
          <w:sz w:val="24"/>
          <w:szCs w:val="24"/>
          <w:highlight w:val="none"/>
          <w14:textFill>
            <w14:solidFill>
              <w14:schemeClr w14:val="tx1"/>
            </w14:solidFill>
          </w14:textFill>
        </w:rPr>
        <w:t>方案</w:t>
      </w:r>
      <w:r>
        <w:rPr>
          <w:rFonts w:hint="eastAsia" w:ascii="宋体" w:hAnsi="宋体"/>
          <w:b/>
          <w:bCs/>
          <w:color w:val="000000" w:themeColor="text1"/>
          <w:sz w:val="24"/>
          <w:szCs w:val="24"/>
          <w:highlight w:val="none"/>
          <w14:textFill>
            <w14:solidFill>
              <w14:schemeClr w14:val="tx1"/>
            </w14:solidFill>
          </w14:textFill>
        </w:rPr>
        <w:t>应采用无标志方式。标书制作统一采用</w:t>
      </w:r>
      <w:r>
        <w:rPr>
          <w:rFonts w:ascii="宋体" w:hAnsi="宋体"/>
          <w:b/>
          <w:bCs/>
          <w:color w:val="000000" w:themeColor="text1"/>
          <w:sz w:val="24"/>
          <w:szCs w:val="24"/>
          <w:highlight w:val="none"/>
          <w14:textFill>
            <w14:solidFill>
              <w14:schemeClr w14:val="tx1"/>
            </w14:solidFill>
          </w14:textFill>
        </w:rPr>
        <w:t>A</w:t>
      </w:r>
      <w:r>
        <w:rPr>
          <w:rFonts w:hint="eastAsia" w:ascii="宋体" w:hAnsi="宋体"/>
          <w:b/>
          <w:bCs/>
          <w:color w:val="000000" w:themeColor="text1"/>
          <w:sz w:val="24"/>
          <w:szCs w:val="24"/>
          <w:highlight w:val="none"/>
          <w14:textFill>
            <w14:solidFill>
              <w14:schemeClr w14:val="tx1"/>
            </w14:solidFill>
          </w14:textFill>
        </w:rPr>
        <w:t>3软面封装</w:t>
      </w:r>
      <w:r>
        <w:rPr>
          <w:rFonts w:ascii="宋体" w:hAnsi="宋体"/>
          <w:b/>
          <w:bCs/>
          <w:color w:val="000000" w:themeColor="text1"/>
          <w:sz w:val="24"/>
          <w:szCs w:val="24"/>
          <w:highlight w:val="none"/>
          <w14:textFill>
            <w14:solidFill>
              <w14:schemeClr w14:val="tx1"/>
            </w14:solidFill>
          </w14:textFill>
        </w:rPr>
        <w:t>（包括封面及文本正文内容）</w:t>
      </w:r>
      <w:r>
        <w:rPr>
          <w:rFonts w:hint="eastAsia" w:ascii="宋体" w:hAnsi="宋体"/>
          <w:b/>
          <w:bCs/>
          <w:color w:val="000000" w:themeColor="text1"/>
          <w:sz w:val="24"/>
          <w:szCs w:val="24"/>
          <w:highlight w:val="none"/>
          <w14:textFill>
            <w14:solidFill>
              <w14:schemeClr w14:val="tx1"/>
            </w14:solidFill>
          </w14:textFill>
        </w:rPr>
        <w:t>,封面统一使用招标人提供的封面样式，详见附件。文本正文内</w:t>
      </w:r>
      <w:r>
        <w:rPr>
          <w:rFonts w:ascii="宋体" w:hAnsi="宋体"/>
          <w:b/>
          <w:bCs/>
          <w:color w:val="000000" w:themeColor="text1"/>
          <w:sz w:val="24"/>
          <w:szCs w:val="24"/>
          <w:highlight w:val="none"/>
          <w14:textFill>
            <w14:solidFill>
              <w14:schemeClr w14:val="tx1"/>
            </w14:solidFill>
          </w14:textFill>
        </w:rPr>
        <w:t>不得以任何方式直接或间接泄露投标人身份</w:t>
      </w:r>
      <w:r>
        <w:rPr>
          <w:rFonts w:hint="eastAsia" w:ascii="宋体" w:hAnsi="宋体"/>
          <w:b/>
          <w:bCs/>
          <w:color w:val="000000" w:themeColor="text1"/>
          <w:sz w:val="24"/>
          <w:szCs w:val="24"/>
          <w:highlight w:val="none"/>
          <w14:textFill>
            <w14:solidFill>
              <w14:schemeClr w14:val="tx1"/>
            </w14:solidFill>
          </w14:textFill>
        </w:rPr>
        <w:t>，且不得加页码</w:t>
      </w:r>
      <w:r>
        <w:rPr>
          <w:rFonts w:ascii="宋体" w:hAnsi="宋体"/>
          <w:b/>
          <w:bCs/>
          <w:color w:val="000000" w:themeColor="text1"/>
          <w:sz w:val="24"/>
          <w:szCs w:val="24"/>
          <w:highlight w:val="none"/>
          <w14:textFill>
            <w14:solidFill>
              <w14:schemeClr w14:val="tx1"/>
            </w14:solidFill>
          </w14:textFill>
        </w:rPr>
        <w:t>，不得含有反映投标人相关内容的信息。对违反规定要求者一律按</w:t>
      </w:r>
      <w:r>
        <w:rPr>
          <w:rFonts w:hint="eastAsia" w:ascii="宋体" w:hAnsi="宋体"/>
          <w:b/>
          <w:bCs/>
          <w:color w:val="000000" w:themeColor="text1"/>
          <w:sz w:val="24"/>
          <w:szCs w:val="24"/>
          <w:highlight w:val="none"/>
          <w14:textFill>
            <w14:solidFill>
              <w14:schemeClr w14:val="tx1"/>
            </w14:solidFill>
          </w14:textFill>
        </w:rPr>
        <w:t>无效标</w:t>
      </w:r>
      <w:r>
        <w:rPr>
          <w:rFonts w:ascii="宋体" w:hAnsi="宋体"/>
          <w:b/>
          <w:bCs/>
          <w:color w:val="000000" w:themeColor="text1"/>
          <w:sz w:val="24"/>
          <w:szCs w:val="24"/>
          <w:highlight w:val="none"/>
          <w14:textFill>
            <w14:solidFill>
              <w14:schemeClr w14:val="tx1"/>
            </w14:solidFill>
          </w14:textFill>
        </w:rPr>
        <w:t>处理。</w:t>
      </w:r>
      <w:r>
        <w:rPr>
          <w:rFonts w:hint="eastAsia" w:ascii="宋体" w:hAnsi="宋体"/>
          <w:b/>
          <w:bCs/>
          <w:color w:val="000000" w:themeColor="text1"/>
          <w:sz w:val="24"/>
          <w:szCs w:val="24"/>
          <w:highlight w:val="none"/>
          <w14:textFill>
            <w14:solidFill>
              <w14:schemeClr w14:val="tx1"/>
            </w14:solidFill>
          </w14:textFill>
        </w:rPr>
        <w:t>装订要求：不得采用活页、压条等明显标志和可能形成区别的其他任何修饰的方式装订。</w:t>
      </w:r>
    </w:p>
    <w:p>
      <w:pPr>
        <w:spacing w:line="420" w:lineRule="exact"/>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注：投标时须提供二号标书的电子档文件（U盘或光盘进行存储）1份（包含二号标书所有电子档，均采用无标志方式，不得以任何形式透露投标人信息，否则作无效标处理），与二号标书一起封存在二号标书封袋内。</w:t>
      </w:r>
    </w:p>
    <w:p>
      <w:pPr>
        <w:spacing w:line="42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11.1.3 三号标书（施工组织方案）</w:t>
      </w:r>
    </w:p>
    <w:p>
      <w:pPr>
        <w:spacing w:line="420" w:lineRule="exact"/>
        <w:ind w:firstLine="480"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具体内容详按项目需求要求和评标办法中评审标准进行针对性编制。</w:t>
      </w:r>
    </w:p>
    <w:p>
      <w:pPr>
        <w:spacing w:line="420" w:lineRule="exact"/>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施工组织方案采用无标志方式，封面统一使用招标人提供的封面样式，统一采用A4白纸软面封装（包括封面及文本正文内容）。不得以任何方式直接或间接泄露投标人身份，且不得加页码</w:t>
      </w:r>
      <w:r>
        <w:rPr>
          <w:rFonts w:ascii="宋体" w:hAnsi="宋体"/>
          <w:b/>
          <w:bCs/>
          <w:color w:val="000000" w:themeColor="text1"/>
          <w:sz w:val="24"/>
          <w:szCs w:val="24"/>
          <w:highlight w:val="none"/>
          <w14:textFill>
            <w14:solidFill>
              <w14:schemeClr w14:val="tx1"/>
            </w14:solidFill>
          </w14:textFill>
        </w:rPr>
        <w:t>，不得含有反映投标人相关内容的信息。对违反规定要求者一律按</w:t>
      </w:r>
      <w:r>
        <w:rPr>
          <w:rFonts w:hint="eastAsia" w:ascii="宋体" w:hAnsi="宋体"/>
          <w:b/>
          <w:bCs/>
          <w:color w:val="000000" w:themeColor="text1"/>
          <w:sz w:val="24"/>
          <w:szCs w:val="24"/>
          <w:highlight w:val="none"/>
          <w14:textFill>
            <w14:solidFill>
              <w14:schemeClr w14:val="tx1"/>
            </w14:solidFill>
          </w14:textFill>
        </w:rPr>
        <w:t>无效标</w:t>
      </w:r>
      <w:r>
        <w:rPr>
          <w:rFonts w:ascii="宋体" w:hAnsi="宋体"/>
          <w:b/>
          <w:bCs/>
          <w:color w:val="000000" w:themeColor="text1"/>
          <w:sz w:val="24"/>
          <w:szCs w:val="24"/>
          <w:highlight w:val="none"/>
          <w14:textFill>
            <w14:solidFill>
              <w14:schemeClr w14:val="tx1"/>
            </w14:solidFill>
          </w14:textFill>
        </w:rPr>
        <w:t>处理。</w:t>
      </w:r>
      <w:r>
        <w:rPr>
          <w:rFonts w:hint="eastAsia" w:ascii="宋体" w:hAnsi="宋体"/>
          <w:b/>
          <w:bCs/>
          <w:color w:val="000000" w:themeColor="text1"/>
          <w:sz w:val="24"/>
          <w:szCs w:val="24"/>
          <w:highlight w:val="none"/>
          <w14:textFill>
            <w14:solidFill>
              <w14:schemeClr w14:val="tx1"/>
            </w14:solidFill>
          </w14:textFill>
        </w:rPr>
        <w:t>装订要求：不得采用活页、压条等明显标志和可能形成区别的其他任何修饰的方式装订。</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12、证明投标人资格及符合招标文件规定的文件</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12.5证明投标人所提供货物及服务与招标文件的要求相一致的文件可以是手册、图纸、文字资料和数据</w:t>
      </w:r>
      <w:r>
        <w:rPr>
          <w:rStyle w:val="54"/>
          <w:rFonts w:hint="eastAsia" w:ascii="宋体" w:hAnsi="宋体" w:cs="宋体"/>
          <w:bCs/>
          <w:color w:val="000000" w:themeColor="text1"/>
          <w:sz w:val="24"/>
          <w:szCs w:val="24"/>
          <w:highlight w:val="none"/>
          <w14:textFill>
            <w14:solidFill>
              <w14:schemeClr w14:val="tx1"/>
            </w14:solidFill>
          </w14:textFill>
        </w:rPr>
        <w:t>。</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13、工程总承包报价</w:t>
      </w:r>
    </w:p>
    <w:p>
      <w:pPr>
        <w:adjustRightInd w:val="0"/>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13.1</w:t>
      </w:r>
      <w:r>
        <w:rPr>
          <w:rFonts w:hint="eastAsia" w:ascii="宋体" w:hAnsi="宋体" w:cs="宋体"/>
          <w:color w:val="000000" w:themeColor="text1"/>
          <w:sz w:val="24"/>
          <w:szCs w:val="24"/>
          <w:highlight w:val="none"/>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highlight w:val="none"/>
          <w14:textFill>
            <w14:solidFill>
              <w14:schemeClr w14:val="tx1"/>
            </w14:solidFill>
          </w14:textFill>
        </w:rPr>
        <w:t>标人应按照招标文件规定格式填报</w:t>
      </w:r>
      <w:bookmarkStart w:id="3" w:name="_Hlt26670399"/>
      <w:bookmarkEnd w:id="3"/>
      <w:r>
        <w:rPr>
          <w:rStyle w:val="54"/>
          <w:rFonts w:hint="eastAsia" w:ascii="宋体" w:hAnsi="宋体" w:cs="宋体"/>
          <w:bCs/>
          <w:color w:val="000000" w:themeColor="text1"/>
          <w:sz w:val="24"/>
          <w:szCs w:val="24"/>
          <w:highlight w:val="none"/>
          <w14:textFill>
            <w14:solidFill>
              <w14:schemeClr w14:val="tx1"/>
            </w14:solidFill>
          </w14:textFill>
        </w:rPr>
        <w:t>工程总承包报价</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每项产品或服务只允许有一个报价，任何有选择的报价将不予接受</w:t>
      </w:r>
      <w:r>
        <w:rPr>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13.2</w:t>
      </w:r>
      <w:r>
        <w:rPr>
          <w:rStyle w:val="54"/>
          <w:rFonts w:hint="eastAsia" w:ascii="宋体" w:hAnsi="宋体" w:cs="宋体"/>
          <w:color w:val="000000" w:themeColor="text1"/>
          <w:sz w:val="24"/>
          <w:szCs w:val="24"/>
          <w:highlight w:val="none"/>
          <w14:textFill>
            <w14:solidFill>
              <w14:schemeClr w14:val="tx1"/>
            </w14:solidFill>
          </w14:textFill>
        </w:rPr>
        <w:t xml:space="preserve"> 标的物</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详见项目需求</w:t>
      </w:r>
      <w:r>
        <w:rPr>
          <w:rStyle w:val="54"/>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13.3投标报价</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13.3.1投标人应充分了解施工场地的位置、周边环境、道路、装卸、保管、安装限制以及影响投标报价的其他要素。投标人根据投标设计，结合市场情况进行投标报价。</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13.3.2投标人的投标报价不得超过最高投标限价。</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 xml:space="preserve">13.3.3投标报价统一采用人民币作为计量单位，并且精确到元、角、分(精确到小数点后二位数)。 </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13.3.4 投标人应参照国家的相应标准，结合自身综合实力、市场行情、本项目具体特点和技术要求对项目的设计费用和施工费用进行分开报价。项目设计费用是指完成设计范围内所进行方案、施工图设计的费用。</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 xml:space="preserve">13.3.5项目设计费用包括但不限于招标范围的相关费用（包含方案设计、方案优化、施工图设计费等）、获取相关设计资料、办公、交通、保险、人员、差旅、税费、施工图图审费用（如需）、专家评审费用、测试工具等费用、批文申报及协调及招标文件要求的其他费用等全部价格费用。 </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 xml:space="preserve">13.3.6 项目施工费用包括但不限于招标范围的相关费用、人工费、材料费、机械使用费、施工组织及技术措施费、管理费、利润、所有措施项目费、其他项目费、规费、税金、总承包服务费、附属工程临时工程、环境保护、特殊条件施工、地方矛盾处理、设备主材费、软件费、辅材费、现场施工围栏、竣工面的清理、垃圾清运、成品保护以及各种管线、建筑物、构筑物的加固围护费，以及政策性文件规定和市场风险及招标文件要求的其他费用等审批后施工图纸内的全部施工费用。 </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13.3.7本项目投标报价包括但不限于上述设计费用、上述施工费用、设备主材及辅材费（包括所有</w:t>
      </w:r>
      <w:r>
        <w:rPr>
          <w:rStyle w:val="54"/>
          <w:rFonts w:hint="eastAsia" w:ascii="宋体" w:hAnsi="宋体" w:cs="宋体"/>
          <w:bCs/>
          <w:color w:val="000000" w:themeColor="text1"/>
          <w:sz w:val="24"/>
          <w:szCs w:val="24"/>
          <w:highlight w:val="none"/>
          <w:lang w:val="en-US" w:eastAsia="zh-CN"/>
          <w14:textFill>
            <w14:solidFill>
              <w14:schemeClr w14:val="tx1"/>
            </w14:solidFill>
          </w14:textFill>
        </w:rPr>
        <w:t>软硬件</w:t>
      </w:r>
      <w:r>
        <w:rPr>
          <w:rStyle w:val="54"/>
          <w:rFonts w:hint="eastAsia" w:ascii="宋体" w:hAnsi="宋体" w:cs="宋体"/>
          <w:bCs/>
          <w:color w:val="000000" w:themeColor="text1"/>
          <w:sz w:val="24"/>
          <w:szCs w:val="24"/>
          <w:highlight w:val="none"/>
          <w14:textFill>
            <w14:solidFill>
              <w14:schemeClr w14:val="tx1"/>
            </w14:solidFill>
          </w14:textFill>
        </w:rPr>
        <w:t>、附件、配件、备品备件及专用工具费等）、手续办理费用、保险费、运输费、质保期内的维修费、验收费用、其他费用（如包装费、仓储费、质保、资料费以及完成本项目所需要的其他费用等）、招标文件要求的其他费用及所有价内价外税金及合理利润等。凡漏项或少计均视为已包含在本次投标报价的范围内，招标人不再另行增加费用，竣工结算时均不调整。</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16、投标函和开标一览表</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16.1</w:t>
      </w:r>
      <w:r>
        <w:rPr>
          <w:rStyle w:val="54"/>
          <w:rFonts w:hint="eastAsia" w:ascii="宋体" w:hAnsi="宋体" w:cs="宋体"/>
          <w:color w:val="000000" w:themeColor="text1"/>
          <w:sz w:val="24"/>
          <w:szCs w:val="24"/>
          <w:highlight w:val="none"/>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16.2开标一览表中的价格应与投标文件中投标配置与分项报价表中的价格一致，如不一致，</w:t>
      </w:r>
      <w:r>
        <w:rPr>
          <w:rStyle w:val="54"/>
          <w:rFonts w:hint="eastAsia" w:ascii="宋体" w:hAnsi="宋体" w:cs="宋体"/>
          <w:color w:val="000000" w:themeColor="text1"/>
          <w:sz w:val="24"/>
          <w:szCs w:val="24"/>
          <w:highlight w:val="none"/>
          <w14:textFill>
            <w14:solidFill>
              <w14:schemeClr w14:val="tx1"/>
            </w14:solidFill>
          </w14:textFill>
        </w:rPr>
        <w:t>不作为无效投标处理</w:t>
      </w:r>
      <w:r>
        <w:rPr>
          <w:rStyle w:val="54"/>
          <w:rFonts w:hint="eastAsia" w:ascii="宋体" w:hAnsi="宋体" w:cs="宋体"/>
          <w:bCs/>
          <w:color w:val="000000" w:themeColor="text1"/>
          <w:sz w:val="24"/>
          <w:szCs w:val="24"/>
          <w:highlight w:val="none"/>
          <w14:textFill>
            <w14:solidFill>
              <w14:schemeClr w14:val="tx1"/>
            </w14:solidFill>
          </w14:textFill>
        </w:rPr>
        <w:t>，但评标时按开标一览表中价格为准</w:t>
      </w:r>
      <w:r>
        <w:rPr>
          <w:rStyle w:val="54"/>
          <w:rFonts w:hint="eastAsia" w:ascii="宋体" w:hAnsi="宋体" w:cs="宋体"/>
          <w:b/>
          <w:bCs/>
          <w:color w:val="000000" w:themeColor="text1"/>
          <w:sz w:val="24"/>
          <w:szCs w:val="24"/>
          <w:highlight w:val="none"/>
          <w14:textFill>
            <w14:solidFill>
              <w14:schemeClr w14:val="tx1"/>
            </w14:solidFill>
          </w14:textFill>
        </w:rPr>
        <w:t>。</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17、投标有效期</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17.1</w:t>
      </w:r>
      <w:r>
        <w:rPr>
          <w:rStyle w:val="54"/>
          <w:rFonts w:hint="eastAsia" w:ascii="宋体" w:hAnsi="宋体" w:cs="宋体"/>
          <w:bCs/>
          <w:color w:val="000000" w:themeColor="text1"/>
          <w:sz w:val="24"/>
          <w:szCs w:val="24"/>
          <w:highlight w:val="none"/>
          <w14:textFill>
            <w14:solidFill>
              <w14:schemeClr w14:val="tx1"/>
            </w14:solidFill>
          </w14:textFill>
        </w:rPr>
        <w:t xml:space="preserve"> 投标有效期为采购人或采购代理机构规定的开标之日后</w:t>
      </w:r>
      <w:r>
        <w:rPr>
          <w:rStyle w:val="54"/>
          <w:rFonts w:hint="eastAsia" w:ascii="宋体" w:hAnsi="宋体" w:cs="宋体"/>
          <w:b/>
          <w:color w:val="000000" w:themeColor="text1"/>
          <w:sz w:val="24"/>
          <w:szCs w:val="24"/>
          <w:highlight w:val="none"/>
          <w:u w:val="single" w:color="000000"/>
          <w14:textFill>
            <w14:solidFill>
              <w14:schemeClr w14:val="tx1"/>
            </w14:solidFill>
          </w14:textFill>
        </w:rPr>
        <w:t>六十（60）天</w:t>
      </w:r>
      <w:r>
        <w:rPr>
          <w:rStyle w:val="54"/>
          <w:rFonts w:hint="eastAsia" w:ascii="宋体" w:hAnsi="宋体" w:cs="宋体"/>
          <w:bCs/>
          <w:color w:val="000000" w:themeColor="text1"/>
          <w:sz w:val="24"/>
          <w:szCs w:val="24"/>
          <w:highlight w:val="none"/>
          <w14:textFill>
            <w14:solidFill>
              <w14:schemeClr w14:val="tx1"/>
            </w14:solidFill>
          </w14:textFill>
        </w:rPr>
        <w:t>。投标有效期比规定短的将被视为非响应性投标而予以拒绝。</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17.2</w:t>
      </w:r>
      <w:r>
        <w:rPr>
          <w:rStyle w:val="54"/>
          <w:rFonts w:hint="eastAsia" w:ascii="宋体" w:hAnsi="宋体" w:cs="宋体"/>
          <w:bCs/>
          <w:color w:val="000000" w:themeColor="text1"/>
          <w:sz w:val="24"/>
          <w:szCs w:val="24"/>
          <w:highlight w:val="none"/>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4"/>
          <w:rFonts w:hint="eastAsia" w:ascii="宋体" w:hAnsi="宋体" w:cs="宋体"/>
          <w:color w:val="000000" w:themeColor="text1"/>
          <w:sz w:val="24"/>
          <w:szCs w:val="24"/>
          <w:highlight w:val="none"/>
          <w14:textFill>
            <w14:solidFill>
              <w14:schemeClr w14:val="tx1"/>
            </w14:solidFill>
          </w14:textFill>
        </w:rPr>
        <w:t>。</w:t>
      </w:r>
      <w:r>
        <w:rPr>
          <w:rStyle w:val="54"/>
          <w:rFonts w:hint="eastAsia" w:ascii="宋体" w:hAnsi="宋体" w:cs="宋体"/>
          <w:bCs/>
          <w:color w:val="000000" w:themeColor="text1"/>
          <w:sz w:val="24"/>
          <w:szCs w:val="24"/>
          <w:highlight w:val="none"/>
          <w14:textFill>
            <w14:solidFill>
              <w14:schemeClr w14:val="tx1"/>
            </w14:solidFill>
          </w14:textFill>
        </w:rPr>
        <w:t>同意延长投标有效期的投标人既不能要求也不允许修改其投标文件。</w:t>
      </w:r>
      <w:r>
        <w:rPr>
          <w:rStyle w:val="54"/>
          <w:rFonts w:hint="eastAsia" w:ascii="宋体" w:hAnsi="宋体" w:cs="宋体"/>
          <w:color w:val="000000" w:themeColor="text1"/>
          <w:sz w:val="24"/>
          <w:szCs w:val="24"/>
          <w:highlight w:val="none"/>
          <w14:textFill>
            <w14:solidFill>
              <w14:schemeClr w14:val="tx1"/>
            </w14:solidFill>
          </w14:textFill>
        </w:rPr>
        <w:t>受投标有效期约束的所有权利与义务均延长至新的有效期</w:t>
      </w:r>
      <w:r>
        <w:rPr>
          <w:rStyle w:val="54"/>
          <w:rFonts w:hint="eastAsia" w:ascii="宋体" w:hAnsi="宋体" w:cs="宋体"/>
          <w:bCs/>
          <w:color w:val="000000" w:themeColor="text1"/>
          <w:sz w:val="24"/>
          <w:szCs w:val="24"/>
          <w:highlight w:val="none"/>
          <w14:textFill>
            <w14:solidFill>
              <w14:schemeClr w14:val="tx1"/>
            </w14:solidFill>
          </w14:textFill>
        </w:rPr>
        <w:t>。</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18、投标文件份数和签署</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18.1</w:t>
      </w:r>
      <w:r>
        <w:rPr>
          <w:rStyle w:val="54"/>
          <w:rFonts w:hint="eastAsia" w:ascii="宋体" w:hAnsi="宋体" w:cs="宋体"/>
          <w:bCs/>
          <w:color w:val="000000" w:themeColor="text1"/>
          <w:sz w:val="24"/>
          <w:szCs w:val="24"/>
          <w:highlight w:val="none"/>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18.2投标文件</w:t>
      </w:r>
      <w:r>
        <w:rPr>
          <w:rStyle w:val="54"/>
          <w:rFonts w:hint="eastAsia" w:ascii="宋体" w:hAnsi="宋体" w:cs="宋体"/>
          <w:color w:val="000000" w:themeColor="text1"/>
          <w:sz w:val="24"/>
          <w:szCs w:val="24"/>
          <w:highlight w:val="none"/>
          <w:lang w:val="en-US" w:eastAsia="zh-CN"/>
          <w14:textFill>
            <w14:solidFill>
              <w14:schemeClr w14:val="tx1"/>
            </w14:solidFill>
          </w14:textFill>
        </w:rPr>
        <w:t>一号标书</w:t>
      </w:r>
      <w:r>
        <w:rPr>
          <w:rStyle w:val="54"/>
          <w:rFonts w:hint="eastAsia" w:ascii="宋体" w:hAnsi="宋体" w:cs="宋体"/>
          <w:color w:val="000000" w:themeColor="text1"/>
          <w:sz w:val="24"/>
          <w:szCs w:val="24"/>
          <w:highlight w:val="none"/>
          <w14:textFill>
            <w14:solidFill>
              <w14:schemeClr w14:val="tx1"/>
            </w14:solidFill>
          </w14:textFill>
        </w:rPr>
        <w:t>正本中，</w:t>
      </w:r>
      <w:r>
        <w:rPr>
          <w:rStyle w:val="54"/>
          <w:rFonts w:hint="eastAsia" w:ascii="宋体" w:hAnsi="宋体" w:cs="宋体"/>
          <w:bCs/>
          <w:color w:val="000000" w:themeColor="text1"/>
          <w:sz w:val="24"/>
          <w:szCs w:val="24"/>
          <w:highlight w:val="none"/>
          <w14:textFill>
            <w14:solidFill>
              <w14:schemeClr w14:val="tx1"/>
            </w14:solidFill>
          </w14:textFill>
        </w:rPr>
        <w:t>招标文件要求必须提供原件的按照要求提供，文</w:t>
      </w:r>
      <w:r>
        <w:rPr>
          <w:rStyle w:val="54"/>
          <w:rFonts w:hint="eastAsia" w:ascii="宋体" w:hAnsi="宋体" w:cs="宋体"/>
          <w:color w:val="000000" w:themeColor="text1"/>
          <w:sz w:val="24"/>
          <w:szCs w:val="24"/>
          <w:highlight w:val="none"/>
          <w14:textFill>
            <w14:solidFill>
              <w14:schemeClr w14:val="tx1"/>
            </w14:solidFill>
          </w14:textFill>
        </w:rPr>
        <w:t>字材料需打印或用不褪色墨水书写。投标文件的</w:t>
      </w:r>
      <w:r>
        <w:rPr>
          <w:rStyle w:val="54"/>
          <w:rFonts w:hint="eastAsia" w:ascii="宋体" w:hAnsi="宋体" w:cs="宋体"/>
          <w:color w:val="000000" w:themeColor="text1"/>
          <w:sz w:val="24"/>
          <w:szCs w:val="24"/>
          <w:highlight w:val="none"/>
          <w:lang w:val="en-US" w:eastAsia="zh-CN"/>
          <w14:textFill>
            <w14:solidFill>
              <w14:schemeClr w14:val="tx1"/>
            </w14:solidFill>
          </w14:textFill>
        </w:rPr>
        <w:t>一号标书</w:t>
      </w:r>
      <w:r>
        <w:rPr>
          <w:rStyle w:val="54"/>
          <w:rFonts w:hint="eastAsia" w:ascii="宋体" w:hAnsi="宋体" w:cs="宋体"/>
          <w:color w:val="000000" w:themeColor="text1"/>
          <w:sz w:val="24"/>
          <w:szCs w:val="24"/>
          <w:highlight w:val="none"/>
          <w14:textFill>
            <w14:solidFill>
              <w14:schemeClr w14:val="tx1"/>
            </w14:solidFill>
          </w14:textFill>
        </w:rPr>
        <w:t>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18.3</w:t>
      </w:r>
      <w:r>
        <w:rPr>
          <w:rStyle w:val="54"/>
          <w:rFonts w:hint="eastAsia" w:ascii="宋体" w:hAnsi="宋体" w:cs="宋体"/>
          <w:bCs/>
          <w:color w:val="000000" w:themeColor="text1"/>
          <w:sz w:val="24"/>
          <w:szCs w:val="24"/>
          <w:highlight w:val="none"/>
          <w14:textFill>
            <w14:solidFill>
              <w14:schemeClr w14:val="tx1"/>
            </w14:solidFill>
          </w14:textFill>
        </w:rPr>
        <w:t xml:space="preserve"> 除投标人对错处做必要修改外，投标文件不得行间插字、涂改或增删。如有修改错漏处，必须由投标文件签署人签字或盖章。</w:t>
      </w:r>
    </w:p>
    <w:p>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四、投标文件的递交</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19、投标文件的密封和标记</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19.1</w:t>
      </w:r>
      <w:r>
        <w:rPr>
          <w:rStyle w:val="54"/>
          <w:rFonts w:hint="eastAsia" w:ascii="宋体" w:hAnsi="宋体" w:cs="宋体"/>
          <w:bCs/>
          <w:color w:val="000000" w:themeColor="text1"/>
          <w:sz w:val="24"/>
          <w:szCs w:val="24"/>
          <w:highlight w:val="none"/>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19.2</w:t>
      </w:r>
      <w:r>
        <w:rPr>
          <w:rStyle w:val="54"/>
          <w:rFonts w:hint="eastAsia" w:ascii="宋体" w:hAnsi="宋体" w:cs="宋体"/>
          <w:bCs/>
          <w:color w:val="000000" w:themeColor="text1"/>
          <w:sz w:val="24"/>
          <w:szCs w:val="24"/>
          <w:highlight w:val="none"/>
          <w14:textFill>
            <w14:solidFill>
              <w14:schemeClr w14:val="tx1"/>
            </w14:solidFill>
          </w14:textFill>
        </w:rPr>
        <w:t xml:space="preserve"> 密封的投标文件应：</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19.2.2  注明投标项目名称、标书编号。</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19.2.3</w:t>
      </w:r>
      <w:r>
        <w:rPr>
          <w:rStyle w:val="54"/>
          <w:rFonts w:hint="eastAsia" w:ascii="宋体" w:hAnsi="宋体" w:cs="宋体"/>
          <w:bCs/>
          <w:color w:val="000000" w:themeColor="text1"/>
          <w:sz w:val="24"/>
          <w:szCs w:val="24"/>
          <w:highlight w:val="none"/>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20、投标截止日期</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20.1</w:t>
      </w:r>
      <w:r>
        <w:rPr>
          <w:rStyle w:val="54"/>
          <w:rFonts w:hint="eastAsia" w:ascii="宋体" w:hAnsi="宋体" w:cs="宋体"/>
          <w:bCs/>
          <w:color w:val="000000" w:themeColor="text1"/>
          <w:sz w:val="24"/>
          <w:szCs w:val="24"/>
          <w:highlight w:val="none"/>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20.2</w:t>
      </w:r>
      <w:r>
        <w:rPr>
          <w:rStyle w:val="54"/>
          <w:rFonts w:hint="eastAsia" w:ascii="宋体" w:hAnsi="宋体" w:cs="宋体"/>
          <w:bCs/>
          <w:color w:val="000000" w:themeColor="text1"/>
          <w:sz w:val="24"/>
          <w:szCs w:val="24"/>
          <w:highlight w:val="none"/>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21、迟交的投标文件</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21.1</w:t>
      </w:r>
      <w:r>
        <w:rPr>
          <w:rStyle w:val="54"/>
          <w:rFonts w:hint="eastAsia" w:ascii="宋体" w:hAnsi="宋体" w:cs="宋体"/>
          <w:bCs/>
          <w:color w:val="000000" w:themeColor="text1"/>
          <w:sz w:val="24"/>
          <w:szCs w:val="24"/>
          <w:highlight w:val="none"/>
          <w14:textFill>
            <w14:solidFill>
              <w14:schemeClr w14:val="tx1"/>
            </w14:solidFill>
          </w14:textFill>
        </w:rPr>
        <w:t xml:space="preserve"> 采购人和采购代理机构拒绝接收在其规定的投标截止时间后递交的任何投标文件。</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22、投标文件的修改和撤回</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22.1</w:t>
      </w:r>
      <w:r>
        <w:rPr>
          <w:rStyle w:val="54"/>
          <w:rFonts w:hint="eastAsia" w:ascii="宋体" w:hAnsi="宋体" w:cs="宋体"/>
          <w:bCs/>
          <w:color w:val="000000" w:themeColor="text1"/>
          <w:sz w:val="24"/>
          <w:szCs w:val="24"/>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Style w:val="54"/>
          <w:rFonts w:hint="eastAsia" w:ascii="宋体" w:hAnsi="宋体" w:cs="宋体"/>
          <w:color w:val="000000" w:themeColor="text1"/>
          <w:sz w:val="24"/>
          <w:szCs w:val="24"/>
          <w:highlight w:val="none"/>
          <w14:textFill>
            <w14:solidFill>
              <w14:schemeClr w14:val="tx1"/>
            </w14:solidFill>
          </w14:textFill>
        </w:rPr>
        <w:t>通知采购人或采购代理机构，修改或撤回其投标文件。</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22.2</w:t>
      </w:r>
      <w:r>
        <w:rPr>
          <w:rStyle w:val="54"/>
          <w:rFonts w:hint="eastAsia" w:ascii="宋体" w:hAnsi="宋体" w:cs="宋体"/>
          <w:bCs/>
          <w:color w:val="000000" w:themeColor="text1"/>
          <w:sz w:val="24"/>
          <w:szCs w:val="24"/>
          <w:highlight w:val="none"/>
          <w14:textFill>
            <w14:solidFill>
              <w14:schemeClr w14:val="tx1"/>
            </w14:solidFill>
          </w14:textFill>
        </w:rPr>
        <w:t xml:space="preserve"> 投标人的修改或撤回文件应按规定进行编制、密封、标记和发送，并应在封套上加注“修改”或“撤回”字样。</w:t>
      </w:r>
      <w:r>
        <w:rPr>
          <w:rStyle w:val="54"/>
          <w:rFonts w:hint="eastAsia" w:ascii="宋体" w:hAnsi="宋体" w:cs="宋体"/>
          <w:color w:val="000000" w:themeColor="text1"/>
          <w:sz w:val="24"/>
          <w:szCs w:val="24"/>
          <w:highlight w:val="none"/>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22.3</w:t>
      </w:r>
      <w:r>
        <w:rPr>
          <w:rStyle w:val="54"/>
          <w:rFonts w:hint="eastAsia" w:ascii="宋体" w:hAnsi="宋体" w:cs="宋体"/>
          <w:bCs/>
          <w:color w:val="000000" w:themeColor="text1"/>
          <w:sz w:val="24"/>
          <w:szCs w:val="24"/>
          <w:highlight w:val="none"/>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22.4</w:t>
      </w:r>
      <w:r>
        <w:rPr>
          <w:rStyle w:val="54"/>
          <w:rFonts w:hint="eastAsia" w:ascii="宋体" w:hAnsi="宋体" w:cs="宋体"/>
          <w:bCs/>
          <w:color w:val="000000" w:themeColor="text1"/>
          <w:sz w:val="24"/>
          <w:szCs w:val="24"/>
          <w:highlight w:val="none"/>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五、开标与评标</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23、开标</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23.1</w:t>
      </w:r>
      <w:r>
        <w:rPr>
          <w:rStyle w:val="54"/>
          <w:rFonts w:hint="eastAsia" w:ascii="宋体" w:hAnsi="宋体" w:cs="宋体"/>
          <w:bCs/>
          <w:color w:val="000000" w:themeColor="text1"/>
          <w:sz w:val="24"/>
          <w:szCs w:val="24"/>
          <w:highlight w:val="none"/>
          <w14:textFill>
            <w14:solidFill>
              <w14:schemeClr w14:val="tx1"/>
            </w14:solidFill>
          </w14:textFill>
        </w:rPr>
        <w:t xml:space="preserve"> 采购人和采购代理机构将在招标公告中规定的时间和地点组织公开开标</w:t>
      </w:r>
      <w:r>
        <w:rPr>
          <w:rStyle w:val="54"/>
          <w:rFonts w:hint="eastAsia" w:ascii="宋体" w:hAnsi="宋体" w:cs="宋体"/>
          <w:color w:val="000000" w:themeColor="text1"/>
          <w:sz w:val="24"/>
          <w:szCs w:val="24"/>
          <w:highlight w:val="none"/>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23.2</w:t>
      </w:r>
      <w:r>
        <w:rPr>
          <w:rFonts w:hint="eastAsia" w:ascii="宋体" w:hAnsi="宋体" w:cs="宋体"/>
          <w:color w:val="000000" w:themeColor="text1"/>
          <w:sz w:val="24"/>
          <w:szCs w:val="24"/>
          <w:highlight w:val="none"/>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23.3</w:t>
      </w:r>
      <w:r>
        <w:rPr>
          <w:rStyle w:val="54"/>
          <w:rFonts w:hint="eastAsia" w:ascii="宋体" w:hAnsi="宋体" w:cs="宋体"/>
          <w:bCs/>
          <w:color w:val="000000" w:themeColor="text1"/>
          <w:sz w:val="24"/>
          <w:szCs w:val="24"/>
          <w:highlight w:val="none"/>
          <w14:textFill>
            <w14:solidFill>
              <w14:schemeClr w14:val="tx1"/>
            </w14:solidFill>
          </w14:textFill>
        </w:rPr>
        <w:t>按照规定同意撤回的投标将不予开封。</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23.6 投标人在报价时不允许采用选择性报价，否则将被视为无效投标。</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24、资格审查</w:t>
      </w:r>
    </w:p>
    <w:p>
      <w:pPr>
        <w:adjustRightInd w:val="0"/>
        <w:snapToGrid w:val="0"/>
        <w:spacing w:line="360" w:lineRule="auto"/>
        <w:ind w:firstLine="480" w:firstLineChars="200"/>
        <w:jc w:val="left"/>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24.1</w:t>
      </w:r>
      <w:r>
        <w:rPr>
          <w:rFonts w:hint="eastAsia" w:ascii="宋体" w:hAnsi="宋体" w:cs="宋体"/>
          <w:b/>
          <w:color w:val="000000" w:themeColor="text1"/>
          <w:sz w:val="24"/>
          <w:szCs w:val="24"/>
          <w:highlight w:val="none"/>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highlight w:val="none"/>
          <w14:textFill>
            <w14:solidFill>
              <w14:schemeClr w14:val="tx1"/>
            </w14:solidFill>
          </w14:textFill>
        </w:rPr>
        <w:t>（财政部87号令第44条规定）</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25、评标委员会</w:t>
      </w:r>
    </w:p>
    <w:p>
      <w:pPr>
        <w:snapToGrid w:val="0"/>
        <w:spacing w:line="360" w:lineRule="auto"/>
        <w:ind w:firstLine="480" w:firstLineChars="200"/>
        <w:rPr>
          <w:rStyle w:val="54"/>
          <w:rFonts w:ascii="宋体" w:hAnsi="宋体" w:cs="宋体"/>
          <w:b/>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25.3评委会独立工作，负责评审所有投标文件并确定中标候选人。</w:t>
      </w:r>
    </w:p>
    <w:p>
      <w:pPr>
        <w:pStyle w:val="48"/>
        <w:widowControl w:val="0"/>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26、评标过程的保密与公正</w:t>
      </w:r>
    </w:p>
    <w:p>
      <w:pPr>
        <w:widowControl w:val="0"/>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26.1</w:t>
      </w:r>
      <w:r>
        <w:rPr>
          <w:rStyle w:val="54"/>
          <w:rFonts w:hint="eastAsia" w:ascii="宋体" w:hAnsi="宋体" w:cs="宋体"/>
          <w:bCs/>
          <w:color w:val="000000" w:themeColor="text1"/>
          <w:sz w:val="24"/>
          <w:szCs w:val="24"/>
          <w:highlight w:val="none"/>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26.2在评标过程中，投标人不得以任何行为影响评标过程，否则其投标文件将被作为无效投标文件。</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27、投标的澄清</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27.3 接到评委会澄清要求的投标人如未按规定做出澄清，其风险由投标人自行承担。</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28、对投标文件的评审</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28.1</w:t>
      </w:r>
      <w:r>
        <w:rPr>
          <w:rStyle w:val="54"/>
          <w:rFonts w:hint="eastAsia" w:ascii="宋体" w:hAnsi="宋体" w:cs="宋体"/>
          <w:bCs/>
          <w:color w:val="000000" w:themeColor="text1"/>
          <w:sz w:val="24"/>
          <w:szCs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4"/>
          <w:rFonts w:hint="eastAsia" w:ascii="宋体" w:hAnsi="宋体" w:cs="宋体"/>
          <w:bCs/>
          <w:color w:val="000000" w:themeColor="text1"/>
          <w:sz w:val="24"/>
          <w:szCs w:val="24"/>
          <w:highlight w:val="none"/>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28.3</w:t>
      </w:r>
      <w:r>
        <w:rPr>
          <w:rStyle w:val="54"/>
          <w:rFonts w:hint="eastAsia" w:ascii="宋体" w:hAnsi="宋体" w:cs="宋体"/>
          <w:bCs/>
          <w:color w:val="000000" w:themeColor="text1"/>
          <w:sz w:val="24"/>
          <w:szCs w:val="24"/>
          <w:highlight w:val="none"/>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28.4评委会将对确定为实质性响应的投标进行进一步审核，看其是否有计算上或累加上的算术错误，修正错误的原则如下：</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（2）大写金额和小写金额不一致的，以大写金额为准。</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同时出现两种以上错误的，按照前款规定的顺序修正。</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28.5</w:t>
      </w:r>
      <w:r>
        <w:rPr>
          <w:rStyle w:val="54"/>
          <w:rFonts w:hint="eastAsia" w:ascii="宋体" w:hAnsi="宋体" w:cs="宋体"/>
          <w:bCs/>
          <w:color w:val="000000" w:themeColor="text1"/>
          <w:sz w:val="24"/>
          <w:szCs w:val="24"/>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28.6</w:t>
      </w:r>
      <w:r>
        <w:rPr>
          <w:rStyle w:val="54"/>
          <w:rFonts w:hint="eastAsia" w:ascii="宋体" w:hAnsi="宋体" w:cs="宋体"/>
          <w:bCs/>
          <w:color w:val="000000" w:themeColor="text1"/>
          <w:sz w:val="24"/>
          <w:szCs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pPr>
        <w:pStyle w:val="48"/>
        <w:snapToGrid w:val="0"/>
        <w:spacing w:before="0" w:after="0" w:line="360" w:lineRule="auto"/>
        <w:ind w:firstLine="480" w:firstLineChars="200"/>
        <w:rPr>
          <w:rStyle w:val="54"/>
          <w:rFonts w:ascii="宋体" w:hAnsi="宋体" w:cs="宋体"/>
          <w:b w:val="0"/>
          <w:bCs/>
          <w:color w:val="000000" w:themeColor="text1"/>
          <w:sz w:val="24"/>
          <w:szCs w:val="24"/>
          <w:highlight w:val="none"/>
          <w14:textFill>
            <w14:solidFill>
              <w14:schemeClr w14:val="tx1"/>
            </w14:solidFill>
          </w14:textFill>
        </w:rPr>
      </w:pPr>
      <w:r>
        <w:rPr>
          <w:rStyle w:val="54"/>
          <w:rFonts w:hint="eastAsia" w:ascii="宋体" w:hAnsi="宋体" w:cs="宋体"/>
          <w:b w:val="0"/>
          <w:bCs/>
          <w:color w:val="000000" w:themeColor="text1"/>
          <w:sz w:val="24"/>
          <w:szCs w:val="24"/>
          <w:highlight w:val="none"/>
          <w14:textFill>
            <w14:solidFill>
              <w14:schemeClr w14:val="tx1"/>
            </w14:solidFill>
          </w14:textFill>
        </w:rPr>
        <w:t>29、无效投标条款和废标条款</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29.1无效投标条款</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29.1.1未按要求交纳投标保证金的（本项目无要求）；</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29.1.2未按照招标文件规定要求密封、签署、盖章的；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29.1.3投标人在报价时采用选择性报价；</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29.1.4投标人不具备招标文件中规定资格要求的；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29.1.5投标人的报价超过了采购预算或最高限价的；</w:t>
      </w:r>
    </w:p>
    <w:p>
      <w:pPr>
        <w:snapToGrid w:val="0"/>
        <w:spacing w:line="360" w:lineRule="auto"/>
        <w:ind w:firstLine="480" w:firstLineChars="200"/>
        <w:rPr>
          <w:rStyle w:val="54"/>
          <w:rFonts w:ascii="宋体" w:hAnsi="宋体" w:cs="宋体"/>
          <w:bCs/>
          <w:i/>
          <w:color w:val="000000" w:themeColor="text1"/>
          <w:sz w:val="24"/>
          <w:szCs w:val="24"/>
          <w:highlight w:val="none"/>
          <w:u w:val="single" w:color="000000"/>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29.1.6未通过符合性检查的；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29.1.7不符合招标文件中规定的其他实质性要求和条件的；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29.1.8 投标人串通投标；</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29.1.9  投标文件含有采购人不能接受的附加条件的。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29.1.11其他法律、法规及本招标文件规定的属无效投标的情形。</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 xml:space="preserve">29.2废标条款：                                                                                                                                                                                                                                                                                                                                                                                                                                                                                                                                                                                                                                                                                                                                                                                                                                                                                                                                                                                                                                                                                                                                                                                                                                                                                                                                                                                                                                                                         </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29.2.2出现影响采购公正的违法、违规行为的；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29.2.3因重大变故，采购任务取消的；</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29.3 投标截止时间结束后参加投标的供应商不足三家的处理：</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六、定标</w:t>
      </w:r>
    </w:p>
    <w:p>
      <w:pPr>
        <w:pStyle w:val="48"/>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30、确定中标单位</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30.2 采购人应根据评委会推荐的中标候选人确定中标供应商。</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30.3采购人</w:t>
      </w:r>
      <w:r>
        <w:rPr>
          <w:rStyle w:val="54"/>
          <w:rFonts w:hint="eastAsia" w:ascii="宋体" w:hAnsi="宋体" w:cs="宋体"/>
          <w:color w:val="000000" w:themeColor="text1"/>
          <w:sz w:val="24"/>
          <w:szCs w:val="24"/>
          <w:highlight w:val="none"/>
          <w14:textFill>
            <w14:solidFill>
              <w14:schemeClr w14:val="tx1"/>
            </w14:solidFill>
          </w14:textFill>
        </w:rPr>
        <w:t>将在“</w:t>
      </w:r>
      <w:r>
        <w:rPr>
          <w:rStyle w:val="54"/>
          <w:rFonts w:hint="eastAsia" w:ascii="宋体" w:hAnsi="宋体" w:cs="宋体"/>
          <w:color w:val="000000" w:themeColor="text1"/>
          <w:sz w:val="24"/>
          <w:szCs w:val="24"/>
          <w:highlight w:val="none"/>
          <w:lang w:eastAsia="zh-CN"/>
          <w14:textFill>
            <w14:solidFill>
              <w14:schemeClr w14:val="tx1"/>
            </w14:solidFill>
          </w14:textFill>
        </w:rPr>
        <w:t>盐城工业职业技术学院招标采购网</w:t>
      </w:r>
      <w:r>
        <w:rPr>
          <w:rStyle w:val="54"/>
          <w:rFonts w:hint="eastAsia" w:ascii="宋体" w:hAnsi="宋体" w:cs="宋体"/>
          <w:color w:val="000000" w:themeColor="text1"/>
          <w:sz w:val="24"/>
          <w:szCs w:val="24"/>
          <w:highlight w:val="none"/>
          <w14:textFill>
            <w14:solidFill>
              <w14:schemeClr w14:val="tx1"/>
            </w14:solidFill>
          </w14:textFill>
        </w:rPr>
        <w:t>”发布中标公告，公告期限为1个工作日。</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.4.1提供虚假材料谋取中标的；</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30</w:t>
      </w:r>
      <w:r>
        <w:rPr>
          <w:rStyle w:val="54"/>
          <w:rFonts w:hint="eastAsia" w:ascii="宋体" w:hAnsi="宋体" w:cs="宋体"/>
          <w:color w:val="000000" w:themeColor="text1"/>
          <w:sz w:val="24"/>
          <w:szCs w:val="24"/>
          <w:highlight w:val="none"/>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30.4.5与采购人或者其他供应商恶意串通的；</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30.4.6采取不正当手段诋毁、排挤其他供应商的；</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30.4.7不符合法律、法规的规定的。</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 xml:space="preserve">30.5. </w:t>
      </w:r>
      <w:r>
        <w:rPr>
          <w:rStyle w:val="54"/>
          <w:rFonts w:hint="eastAsia" w:ascii="宋体" w:hAnsi="宋体" w:cs="宋体"/>
          <w:color w:val="000000" w:themeColor="text1"/>
          <w:kern w:val="0"/>
          <w:sz w:val="24"/>
          <w:szCs w:val="24"/>
          <w:highlight w:val="none"/>
          <w14:textFill>
            <w14:solidFill>
              <w14:schemeClr w14:val="tx1"/>
            </w14:solidFill>
          </w14:textFill>
        </w:rPr>
        <w:t>有下列情形之一的，视为投标人串通投标，投标无效：</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30.5.1不同投标人的投标文件由同一单位或者个人编制。</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30.5.2不同投标人委托同一单位或者个人办理投标事宜。</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30.5.5不同投标人的投标文件相互混装。</w:t>
      </w:r>
    </w:p>
    <w:p>
      <w:pPr>
        <w:pStyle w:val="48"/>
        <w:tabs>
          <w:tab w:val="left" w:pos="4120"/>
        </w:tabs>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31、质疑处理</w:t>
      </w:r>
      <w:r>
        <w:rPr>
          <w:rStyle w:val="54"/>
          <w:rFonts w:hint="eastAsia" w:ascii="宋体" w:hAnsi="宋体" w:cs="宋体"/>
          <w:b w:val="0"/>
          <w:color w:val="000000" w:themeColor="text1"/>
          <w:sz w:val="24"/>
          <w:szCs w:val="24"/>
          <w:highlight w:val="none"/>
          <w14:textFill>
            <w14:solidFill>
              <w14:schemeClr w14:val="tx1"/>
            </w14:solidFill>
          </w14:textFill>
        </w:rPr>
        <w:tab/>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54"/>
          <w:rFonts w:ascii="宋体" w:hAnsi="宋体" w:cs="宋体"/>
          <w:color w:val="000000" w:themeColor="text1"/>
          <w:kern w:val="0"/>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31.1.1</w:t>
      </w:r>
      <w:r>
        <w:rPr>
          <w:rStyle w:val="54"/>
          <w:rFonts w:hint="eastAsia" w:ascii="宋体" w:hAnsi="宋体" w:cs="宋体"/>
          <w:color w:val="000000" w:themeColor="text1"/>
          <w:kern w:val="0"/>
          <w:sz w:val="24"/>
          <w:szCs w:val="24"/>
          <w:highlight w:val="none"/>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54"/>
          <w:rFonts w:ascii="宋体" w:hAnsi="宋体" w:cs="宋体"/>
          <w:color w:val="000000" w:themeColor="text1"/>
          <w:kern w:val="0"/>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31.1.2</w:t>
      </w:r>
      <w:r>
        <w:rPr>
          <w:rStyle w:val="54"/>
          <w:rFonts w:hint="eastAsia" w:ascii="宋体" w:hAnsi="宋体" w:cs="宋体"/>
          <w:color w:val="000000" w:themeColor="text1"/>
          <w:kern w:val="0"/>
          <w:sz w:val="24"/>
          <w:szCs w:val="24"/>
          <w:highlight w:val="none"/>
          <w14:textFill>
            <w14:solidFill>
              <w14:schemeClr w14:val="tx1"/>
            </w14:solidFill>
          </w14:textFill>
        </w:rPr>
        <w:t>对采购过程提出质疑的，为各采购程序环节结束之日；</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31.1.3</w:t>
      </w:r>
      <w:r>
        <w:rPr>
          <w:rStyle w:val="54"/>
          <w:rFonts w:hint="eastAsia" w:ascii="宋体" w:hAnsi="宋体" w:cs="宋体"/>
          <w:color w:val="000000" w:themeColor="text1"/>
          <w:kern w:val="0"/>
          <w:sz w:val="24"/>
          <w:szCs w:val="24"/>
          <w:highlight w:val="none"/>
          <w14:textFill>
            <w14:solidFill>
              <w14:schemeClr w14:val="tx1"/>
            </w14:solidFill>
          </w14:textFill>
        </w:rPr>
        <w:t>对中标结果提出质疑的，为中标结果公告期限届满之日。</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31.4质疑函应当包括下列内容：</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31.4.1质疑投标人的名称、地址、邮编、联系人、联系电话；</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31.4.2具体的质疑事项及明确的请求；</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31.4.4提起质疑的日期；</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8"/>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32、中标通知书</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32.l中标结果确定后，采购人将向中标供应商发出中标通知书。</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7"/>
        <w:snapToGrid w:val="0"/>
        <w:spacing w:before="0" w:after="0" w:line="360" w:lineRule="auto"/>
        <w:ind w:firstLine="482"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七、合同签订相关事项</w:t>
      </w:r>
    </w:p>
    <w:p>
      <w:pPr>
        <w:pStyle w:val="48"/>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33. 签订合同</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33</w:t>
      </w:r>
      <w:r>
        <w:rPr>
          <w:rStyle w:val="54"/>
          <w:rFonts w:hint="eastAsia" w:ascii="宋体" w:hAnsi="宋体" w:cs="宋体"/>
          <w:color w:val="000000" w:themeColor="text1"/>
          <w:sz w:val="24"/>
          <w:szCs w:val="24"/>
          <w:highlight w:val="none"/>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8"/>
        <w:snapToGrid w:val="0"/>
        <w:spacing w:before="0" w:after="0" w:line="360" w:lineRule="auto"/>
        <w:ind w:firstLine="480" w:firstLineChars="200"/>
        <w:rPr>
          <w:rStyle w:val="54"/>
          <w:rFonts w:ascii="宋体" w:hAnsi="宋体" w:cs="宋体"/>
          <w:b w:val="0"/>
          <w:color w:val="000000" w:themeColor="text1"/>
          <w:sz w:val="24"/>
          <w:szCs w:val="24"/>
          <w:highlight w:val="none"/>
          <w14:textFill>
            <w14:solidFill>
              <w14:schemeClr w14:val="tx1"/>
            </w14:solidFill>
          </w14:textFill>
        </w:rPr>
      </w:pPr>
      <w:r>
        <w:rPr>
          <w:rStyle w:val="54"/>
          <w:rFonts w:hint="eastAsia" w:ascii="宋体" w:hAnsi="宋体" w:cs="宋体"/>
          <w:b w:val="0"/>
          <w:color w:val="000000" w:themeColor="text1"/>
          <w:sz w:val="24"/>
          <w:szCs w:val="24"/>
          <w:highlight w:val="none"/>
          <w14:textFill>
            <w14:solidFill>
              <w14:schemeClr w14:val="tx1"/>
            </w14:solidFill>
          </w14:textFill>
        </w:rPr>
        <w:t>34、货物和服务的追加、减少和添购。</w:t>
      </w:r>
    </w:p>
    <w:p>
      <w:pPr>
        <w:snapToGrid w:val="0"/>
        <w:spacing w:line="360" w:lineRule="auto"/>
        <w:ind w:firstLine="480" w:firstLineChars="200"/>
        <w:rPr>
          <w:rStyle w:val="54"/>
          <w:rFonts w:ascii="宋体" w:hAnsi="宋体" w:cs="宋体"/>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54"/>
          <w:rFonts w:ascii="宋体" w:hAnsi="宋体" w:cs="宋体"/>
          <w:b/>
          <w:color w:val="000000" w:themeColor="text1"/>
          <w:sz w:val="24"/>
          <w:szCs w:val="2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54"/>
          <w:rFonts w:ascii="宋体" w:hAnsi="宋体" w:cs="宋体"/>
          <w:bCs/>
          <w:color w:val="000000" w:themeColor="text1"/>
          <w:sz w:val="24"/>
          <w:szCs w:val="24"/>
          <w:highlight w:val="none"/>
          <w14:textFill>
            <w14:solidFill>
              <w14:schemeClr w14:val="tx1"/>
            </w14:solidFill>
          </w14:textFill>
        </w:rPr>
      </w:pPr>
      <w:r>
        <w:rPr>
          <w:rStyle w:val="54"/>
          <w:rFonts w:hint="eastAsia" w:ascii="宋体" w:hAnsi="宋体" w:cs="宋体"/>
          <w:bCs/>
          <w:color w:val="000000" w:themeColor="text1"/>
          <w:sz w:val="24"/>
          <w:szCs w:val="24"/>
          <w:highlight w:val="none"/>
          <w14:textFill>
            <w14:solidFill>
              <w14:schemeClr w14:val="tx1"/>
            </w14:solidFill>
          </w14:textFill>
        </w:rPr>
        <w:t>35、履约保证金</w:t>
      </w:r>
    </w:p>
    <w:p>
      <w:pPr>
        <w:tabs>
          <w:tab w:val="left" w:pos="900"/>
        </w:tabs>
        <w:snapToGrid w:val="0"/>
        <w:spacing w:line="360" w:lineRule="auto"/>
        <w:ind w:firstLine="480" w:firstLineChars="200"/>
        <w:rPr>
          <w:rStyle w:val="54"/>
          <w:rFonts w:ascii="宋体" w:hAnsi="宋体" w:cs="宋体"/>
          <w:b/>
          <w:color w:val="000000" w:themeColor="text1"/>
          <w:sz w:val="44"/>
          <w:highlight w:val="none"/>
          <w14:textFill>
            <w14:solidFill>
              <w14:schemeClr w14:val="tx1"/>
            </w14:solidFill>
          </w14:textFill>
        </w:rPr>
      </w:pPr>
      <w:r>
        <w:rPr>
          <w:rStyle w:val="54"/>
          <w:rFonts w:hint="eastAsia" w:ascii="宋体" w:hAnsi="宋体" w:cs="宋体"/>
          <w:color w:val="000000" w:themeColor="text1"/>
          <w:sz w:val="24"/>
          <w:szCs w:val="24"/>
          <w:highlight w:val="none"/>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Pr>
        <w:rPr>
          <w:color w:val="000000" w:themeColor="text1"/>
          <w:highlight w:val="none"/>
          <w14:textFill>
            <w14:solidFill>
              <w14:schemeClr w14:val="tx1"/>
            </w14:solidFill>
          </w14:textFill>
        </w:rPr>
      </w:pPr>
    </w:p>
    <w:p>
      <w:pPr>
        <w:pStyle w:val="44"/>
        <w:outlineLvl w:val="0"/>
        <w:rPr>
          <w:rStyle w:val="54"/>
          <w:rFonts w:ascii="宋体" w:hAnsi="宋体" w:eastAsia="宋体" w:cs="宋体"/>
          <w:b/>
          <w:color w:val="000000" w:themeColor="text1"/>
          <w:sz w:val="44"/>
          <w:highlight w:val="none"/>
          <w14:textFill>
            <w14:solidFill>
              <w14:schemeClr w14:val="tx1"/>
            </w14:solidFill>
          </w14:textFill>
        </w:rPr>
      </w:pPr>
    </w:p>
    <w:p>
      <w:pPr>
        <w:pStyle w:val="44"/>
        <w:jc w:val="both"/>
        <w:outlineLvl w:val="0"/>
        <w:rPr>
          <w:rStyle w:val="54"/>
          <w:rFonts w:ascii="宋体" w:hAnsi="宋体" w:eastAsia="宋体" w:cs="宋体"/>
          <w:b/>
          <w:color w:val="000000" w:themeColor="text1"/>
          <w:sz w:val="44"/>
          <w:highlight w:val="none"/>
          <w14:textFill>
            <w14:solidFill>
              <w14:schemeClr w14:val="tx1"/>
            </w14:solidFill>
          </w14:textFill>
        </w:rPr>
      </w:pPr>
    </w:p>
    <w:p>
      <w:pPr>
        <w:rPr>
          <w:rStyle w:val="54"/>
          <w:rFonts w:ascii="宋体" w:hAnsi="宋体" w:cs="宋体"/>
          <w:b/>
          <w:color w:val="000000" w:themeColor="text1"/>
          <w:sz w:val="44"/>
          <w:highlight w:val="none"/>
          <w14:textFill>
            <w14:solidFill>
              <w14:schemeClr w14:val="tx1"/>
            </w14:solidFill>
          </w14:textFill>
        </w:rPr>
      </w:pPr>
    </w:p>
    <w:p>
      <w:pPr>
        <w:pStyle w:val="10"/>
        <w:rPr>
          <w:rStyle w:val="54"/>
          <w:rFonts w:ascii="宋体" w:hAnsi="宋体" w:cs="宋体"/>
          <w:b/>
          <w:color w:val="000000" w:themeColor="text1"/>
          <w:sz w:val="44"/>
          <w:highlight w:val="none"/>
          <w14:textFill>
            <w14:solidFill>
              <w14:schemeClr w14:val="tx1"/>
            </w14:solidFill>
          </w14:textFill>
        </w:rPr>
      </w:pPr>
    </w:p>
    <w:p>
      <w:pPr>
        <w:rPr>
          <w:rStyle w:val="54"/>
          <w:rFonts w:ascii="宋体" w:hAnsi="宋体" w:cs="宋体"/>
          <w:b/>
          <w:color w:val="000000" w:themeColor="text1"/>
          <w:sz w:val="44"/>
          <w:highlight w:val="none"/>
          <w14:textFill>
            <w14:solidFill>
              <w14:schemeClr w14:val="tx1"/>
            </w14:solidFill>
          </w14:textFill>
        </w:rPr>
      </w:pPr>
    </w:p>
    <w:p>
      <w:pPr>
        <w:pStyle w:val="10"/>
        <w:rPr>
          <w:rStyle w:val="54"/>
          <w:rFonts w:ascii="宋体" w:hAnsi="宋体" w:cs="宋体"/>
          <w:b/>
          <w:color w:val="000000" w:themeColor="text1"/>
          <w:sz w:val="44"/>
          <w:highlight w:val="none"/>
          <w14:textFill>
            <w14:solidFill>
              <w14:schemeClr w14:val="tx1"/>
            </w14:solidFill>
          </w14:textFill>
        </w:rPr>
      </w:pPr>
    </w:p>
    <w:p>
      <w:pPr>
        <w:rPr>
          <w:rStyle w:val="54"/>
          <w:rFonts w:ascii="宋体" w:hAnsi="宋体" w:cs="宋体"/>
          <w:b/>
          <w:color w:val="000000" w:themeColor="text1"/>
          <w:sz w:val="44"/>
          <w:highlight w:val="none"/>
          <w14:textFill>
            <w14:solidFill>
              <w14:schemeClr w14:val="tx1"/>
            </w14:solidFill>
          </w14:textFill>
        </w:rPr>
      </w:pPr>
    </w:p>
    <w:p>
      <w:pPr>
        <w:pStyle w:val="10"/>
        <w:rPr>
          <w:rStyle w:val="54"/>
          <w:rFonts w:ascii="宋体" w:hAnsi="宋体" w:cs="宋体"/>
          <w:b/>
          <w:color w:val="000000" w:themeColor="text1"/>
          <w:sz w:val="44"/>
          <w:highlight w:val="none"/>
          <w14:textFill>
            <w14:solidFill>
              <w14:schemeClr w14:val="tx1"/>
            </w14:solidFill>
          </w14:textFill>
        </w:rPr>
      </w:pPr>
    </w:p>
    <w:p>
      <w:pPr>
        <w:rPr>
          <w:rStyle w:val="54"/>
          <w:rFonts w:ascii="宋体" w:hAnsi="宋体" w:cs="宋体"/>
          <w:b/>
          <w:color w:val="000000" w:themeColor="text1"/>
          <w:sz w:val="44"/>
          <w:highlight w:val="none"/>
          <w14:textFill>
            <w14:solidFill>
              <w14:schemeClr w14:val="tx1"/>
            </w14:solidFill>
          </w14:textFill>
        </w:rPr>
      </w:pPr>
    </w:p>
    <w:p>
      <w:pPr>
        <w:pStyle w:val="10"/>
        <w:rPr>
          <w:rStyle w:val="54"/>
          <w:rFonts w:ascii="宋体" w:hAnsi="宋体" w:cs="宋体"/>
          <w:b/>
          <w:color w:val="000000" w:themeColor="text1"/>
          <w:sz w:val="44"/>
          <w:highlight w:val="none"/>
          <w14:textFill>
            <w14:solidFill>
              <w14:schemeClr w14:val="tx1"/>
            </w14:solidFill>
          </w14:textFill>
        </w:rPr>
      </w:pPr>
    </w:p>
    <w:p>
      <w:pPr>
        <w:rPr>
          <w:rStyle w:val="54"/>
          <w:rFonts w:ascii="宋体" w:hAnsi="宋体" w:cs="宋体"/>
          <w:b/>
          <w:color w:val="000000" w:themeColor="text1"/>
          <w:sz w:val="44"/>
          <w:highlight w:val="none"/>
          <w14:textFill>
            <w14:solidFill>
              <w14:schemeClr w14:val="tx1"/>
            </w14:solidFill>
          </w14:textFill>
        </w:rPr>
      </w:pPr>
    </w:p>
    <w:p>
      <w:pPr>
        <w:pStyle w:val="10"/>
        <w:rPr>
          <w:rStyle w:val="54"/>
          <w:rFonts w:ascii="宋体" w:hAnsi="宋体" w:cs="宋体"/>
          <w:b/>
          <w:color w:val="000000" w:themeColor="text1"/>
          <w:sz w:val="44"/>
          <w:highlight w:val="none"/>
          <w14:textFill>
            <w14:solidFill>
              <w14:schemeClr w14:val="tx1"/>
            </w14:solidFill>
          </w14:textFill>
        </w:rPr>
      </w:pPr>
    </w:p>
    <w:p>
      <w:pPr>
        <w:rPr>
          <w:rStyle w:val="54"/>
          <w:rFonts w:ascii="宋体" w:hAnsi="宋体" w:cs="宋体"/>
          <w:b/>
          <w:color w:val="000000" w:themeColor="text1"/>
          <w:sz w:val="44"/>
          <w:highlight w:val="none"/>
          <w14:textFill>
            <w14:solidFill>
              <w14:schemeClr w14:val="tx1"/>
            </w14:solidFill>
          </w14:textFill>
        </w:rPr>
      </w:pPr>
    </w:p>
    <w:p>
      <w:pPr>
        <w:pStyle w:val="36"/>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0"/>
        <w:rPr>
          <w:rStyle w:val="54"/>
          <w:rFonts w:ascii="宋体" w:hAnsi="宋体" w:cs="宋体"/>
          <w:b/>
          <w:color w:val="000000" w:themeColor="text1"/>
          <w:sz w:val="44"/>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rPr>
          <w:rStyle w:val="54"/>
          <w:rFonts w:hint="eastAsia" w:ascii="宋体" w:hAnsi="宋体" w:eastAsia="宋体" w:cs="宋体"/>
          <w:b/>
          <w:color w:val="000000" w:themeColor="text1"/>
          <w:sz w:val="44"/>
          <w:highlight w:val="none"/>
          <w14:textFill>
            <w14:solidFill>
              <w14:schemeClr w14:val="tx1"/>
            </w14:solidFill>
          </w14:textFill>
        </w:rPr>
      </w:pPr>
      <w:r>
        <w:rPr>
          <w:rStyle w:val="54"/>
          <w:rFonts w:hint="eastAsia" w:ascii="宋体" w:hAnsi="宋体" w:eastAsia="宋体" w:cs="宋体"/>
          <w:b/>
          <w:color w:val="000000" w:themeColor="text1"/>
          <w:sz w:val="44"/>
          <w:highlight w:val="none"/>
          <w14:textFill>
            <w14:solidFill>
              <w14:schemeClr w14:val="tx1"/>
            </w14:solidFill>
          </w14:textFill>
        </w:rPr>
        <w:br w:type="page"/>
      </w:r>
    </w:p>
    <w:p>
      <w:pPr>
        <w:pStyle w:val="44"/>
        <w:outlineLvl w:val="0"/>
        <w:rPr>
          <w:rStyle w:val="54"/>
          <w:rFonts w:ascii="宋体" w:hAnsi="宋体" w:eastAsia="宋体" w:cs="宋体"/>
          <w:b/>
          <w:color w:val="000000" w:themeColor="text1"/>
          <w:sz w:val="44"/>
          <w:highlight w:val="none"/>
          <w14:textFill>
            <w14:solidFill>
              <w14:schemeClr w14:val="tx1"/>
            </w14:solidFill>
          </w14:textFill>
        </w:rPr>
      </w:pPr>
      <w:r>
        <w:rPr>
          <w:rStyle w:val="54"/>
          <w:rFonts w:hint="eastAsia" w:ascii="宋体" w:hAnsi="宋体" w:eastAsia="宋体" w:cs="宋体"/>
          <w:b/>
          <w:color w:val="000000" w:themeColor="text1"/>
          <w:sz w:val="44"/>
          <w:highlight w:val="none"/>
          <w14:textFill>
            <w14:solidFill>
              <w14:schemeClr w14:val="tx1"/>
            </w14:solidFill>
          </w14:textFill>
        </w:rPr>
        <w:t>第三章  合同条款及格式</w:t>
      </w:r>
      <w:bookmarkEnd w:id="4"/>
    </w:p>
    <w:p>
      <w:pPr>
        <w:spacing w:line="440" w:lineRule="exact"/>
        <w:ind w:firstLine="480" w:firstLineChars="200"/>
        <w:rPr>
          <w:rStyle w:val="54"/>
          <w:rFonts w:ascii="宋体" w:hAnsi="宋体" w:cs="宋体"/>
          <w:bCs/>
          <w:color w:val="000000" w:themeColor="text1"/>
          <w:sz w:val="24"/>
          <w:highlight w:val="none"/>
          <w14:textFill>
            <w14:solidFill>
              <w14:schemeClr w14:val="tx1"/>
            </w14:solidFill>
          </w14:textFill>
        </w:rPr>
      </w:pPr>
      <w:r>
        <w:rPr>
          <w:rStyle w:val="54"/>
          <w:rFonts w:hint="eastAsia" w:ascii="宋体" w:hAnsi="宋体" w:cs="宋体"/>
          <w:bCs/>
          <w:color w:val="000000" w:themeColor="text1"/>
          <w:sz w:val="24"/>
          <w:highlight w:val="none"/>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54"/>
          <w:rFonts w:ascii="宋体" w:hAnsi="宋体" w:cs="宋体"/>
          <w:b/>
          <w:bCs/>
          <w:color w:val="000000" w:themeColor="text1"/>
          <w:sz w:val="30"/>
          <w:szCs w:val="20"/>
          <w:highlight w:val="none"/>
          <w14:textFill>
            <w14:solidFill>
              <w14:schemeClr w14:val="tx1"/>
            </w14:solidFill>
          </w14:textFill>
        </w:rPr>
      </w:pPr>
      <w:bookmarkStart w:id="5" w:name="_Toc17926"/>
      <w:r>
        <w:rPr>
          <w:rStyle w:val="54"/>
          <w:rFonts w:ascii="宋体" w:hAnsi="宋体"/>
          <w:b/>
          <w:color w:val="000000" w:themeColor="text1"/>
          <w:sz w:val="30"/>
          <w:highlight w:val="none"/>
          <w14:textFill>
            <w14:solidFill>
              <w14:schemeClr w14:val="tx1"/>
            </w14:solidFill>
          </w14:textFill>
        </w:rPr>
        <w:t>采购合同</w:t>
      </w:r>
    </w:p>
    <w:p>
      <w:pPr>
        <w:pStyle w:val="80"/>
        <w:snapToGrid w:val="0"/>
        <w:spacing w:line="420" w:lineRule="exact"/>
        <w:ind w:firstLine="480" w:firstLineChars="200"/>
        <w:jc w:val="left"/>
        <w:rPr>
          <w:rStyle w:val="54"/>
          <w:rFonts w:hAnsi="宋体"/>
          <w:color w:val="000000" w:themeColor="text1"/>
          <w:sz w:val="24"/>
          <w:szCs w:val="24"/>
          <w:highlight w:val="none"/>
          <w:u w:val="single" w:color="000000"/>
          <w14:textFill>
            <w14:solidFill>
              <w14:schemeClr w14:val="tx1"/>
            </w14:solidFill>
          </w14:textFill>
        </w:rPr>
      </w:pPr>
      <w:r>
        <w:rPr>
          <w:rStyle w:val="54"/>
          <w:rFonts w:hAnsi="宋体"/>
          <w:color w:val="000000" w:themeColor="text1"/>
          <w:sz w:val="24"/>
          <w:szCs w:val="24"/>
          <w:highlight w:val="none"/>
          <w14:textFill>
            <w14:solidFill>
              <w14:schemeClr w14:val="tx1"/>
            </w14:solidFill>
          </w14:textFill>
        </w:rPr>
        <w:t>项目名称：</w:t>
      </w:r>
      <w:r>
        <w:rPr>
          <w:rStyle w:val="54"/>
          <w:rFonts w:hint="eastAsia" w:hAnsi="宋体"/>
          <w:color w:val="000000" w:themeColor="text1"/>
          <w:sz w:val="24"/>
          <w:szCs w:val="24"/>
          <w:highlight w:val="none"/>
          <w:u w:val="single" w:color="000000"/>
          <w:lang w:eastAsia="zh-CN"/>
          <w14:textFill>
            <w14:solidFill>
              <w14:schemeClr w14:val="tx1"/>
            </w14:solidFill>
          </w14:textFill>
        </w:rPr>
        <w:t>盐城工业职业技术学院商学院改造设计施工一体化</w:t>
      </w:r>
    </w:p>
    <w:p>
      <w:pPr>
        <w:pStyle w:val="80"/>
        <w:snapToGrid w:val="0"/>
        <w:spacing w:line="420" w:lineRule="exact"/>
        <w:ind w:firstLine="480" w:firstLineChars="200"/>
        <w:jc w:val="left"/>
        <w:rPr>
          <w:rStyle w:val="54"/>
          <w:rFonts w:hint="eastAsia" w:hAnsi="宋体" w:eastAsia="宋体"/>
          <w:color w:val="000000" w:themeColor="text1"/>
          <w:sz w:val="24"/>
          <w:szCs w:val="24"/>
          <w:highlight w:val="none"/>
          <w:lang w:eastAsia="zh-CN"/>
          <w14:textFill>
            <w14:solidFill>
              <w14:schemeClr w14:val="tx1"/>
            </w14:solidFill>
          </w14:textFill>
        </w:rPr>
      </w:pPr>
      <w:r>
        <w:rPr>
          <w:rStyle w:val="54"/>
          <w:rFonts w:hAnsi="宋体"/>
          <w:color w:val="000000" w:themeColor="text1"/>
          <w:sz w:val="24"/>
          <w:szCs w:val="24"/>
          <w:highlight w:val="none"/>
          <w14:textFill>
            <w14:solidFill>
              <w14:schemeClr w14:val="tx1"/>
            </w14:solidFill>
          </w14:textFill>
        </w:rPr>
        <w:t>项目编号：</w:t>
      </w:r>
      <w:r>
        <w:rPr>
          <w:rStyle w:val="54"/>
          <w:rFonts w:hint="eastAsia" w:hAnsi="宋体"/>
          <w:color w:val="000000" w:themeColor="text1"/>
          <w:sz w:val="24"/>
          <w:szCs w:val="24"/>
          <w:highlight w:val="none"/>
          <w:u w:val="single"/>
          <w:lang w:eastAsia="zh-CN"/>
          <w14:textFill>
            <w14:solidFill>
              <w14:schemeClr w14:val="tx1"/>
            </w14:solidFill>
          </w14:textFill>
        </w:rPr>
        <w:t xml:space="preserve">2024-031J  </w:t>
      </w:r>
    </w:p>
    <w:p>
      <w:pPr>
        <w:pStyle w:val="80"/>
        <w:snapToGrid w:val="0"/>
        <w:spacing w:line="420" w:lineRule="exact"/>
        <w:ind w:firstLine="480" w:firstLineChars="200"/>
        <w:rPr>
          <w:rStyle w:val="54"/>
          <w:rFonts w:hAnsi="宋体"/>
          <w:color w:val="000000" w:themeColor="text1"/>
          <w:sz w:val="24"/>
          <w:szCs w:val="24"/>
          <w:highlight w:val="none"/>
          <w14:textFill>
            <w14:solidFill>
              <w14:schemeClr w14:val="tx1"/>
            </w14:solidFill>
          </w14:textFill>
        </w:rPr>
      </w:pPr>
      <w:r>
        <w:rPr>
          <w:rStyle w:val="54"/>
          <w:rFonts w:hAnsi="宋体"/>
          <w:color w:val="000000" w:themeColor="text1"/>
          <w:sz w:val="24"/>
          <w:szCs w:val="24"/>
          <w:highlight w:val="none"/>
          <w14:textFill>
            <w14:solidFill>
              <w14:schemeClr w14:val="tx1"/>
            </w14:solidFill>
          </w14:textFill>
        </w:rPr>
        <w:t>甲方：（买方）</w:t>
      </w:r>
      <w:r>
        <w:rPr>
          <w:rStyle w:val="54"/>
          <w:rFonts w:hAnsi="宋体"/>
          <w:color w:val="000000" w:themeColor="text1"/>
          <w:sz w:val="24"/>
          <w:szCs w:val="24"/>
          <w:highlight w:val="none"/>
          <w:u w:val="single" w:color="000000"/>
          <w14:textFill>
            <w14:solidFill>
              <w14:schemeClr w14:val="tx1"/>
            </w14:solidFill>
          </w14:textFill>
        </w:rPr>
        <w:t>盐城工业职业技术学院</w:t>
      </w:r>
    </w:p>
    <w:p>
      <w:pPr>
        <w:pStyle w:val="80"/>
        <w:snapToGrid w:val="0"/>
        <w:spacing w:line="420" w:lineRule="exact"/>
        <w:ind w:firstLine="480" w:firstLineChars="200"/>
        <w:rPr>
          <w:rStyle w:val="54"/>
          <w:rFonts w:hAnsi="宋体"/>
          <w:color w:val="000000" w:themeColor="text1"/>
          <w:sz w:val="24"/>
          <w:szCs w:val="24"/>
          <w:highlight w:val="none"/>
          <w14:textFill>
            <w14:solidFill>
              <w14:schemeClr w14:val="tx1"/>
            </w14:solidFill>
          </w14:textFill>
        </w:rPr>
      </w:pPr>
      <w:r>
        <w:rPr>
          <w:rStyle w:val="54"/>
          <w:rFonts w:hAnsi="宋体"/>
          <w:color w:val="000000" w:themeColor="text1"/>
          <w:sz w:val="24"/>
          <w:szCs w:val="24"/>
          <w:highlight w:val="none"/>
          <w14:textFill>
            <w14:solidFill>
              <w14:schemeClr w14:val="tx1"/>
            </w14:solidFill>
          </w14:textFill>
        </w:rPr>
        <w:t>乙方：（卖方）</w:t>
      </w:r>
    </w:p>
    <w:p>
      <w:pPr>
        <w:spacing w:line="420" w:lineRule="exact"/>
        <w:ind w:firstLine="480" w:firstLineChars="200"/>
        <w:rPr>
          <w:rStyle w:val="54"/>
          <w:rFonts w:ascii="宋体" w:hAnsi="宋体"/>
          <w:b/>
          <w:color w:val="000000" w:themeColor="text1"/>
          <w:sz w:val="24"/>
          <w:szCs w:val="24"/>
          <w:highlight w:val="none"/>
          <w14:textFill>
            <w14:solidFill>
              <w14:schemeClr w14:val="tx1"/>
            </w14:solidFill>
          </w14:textFill>
        </w:rPr>
      </w:pPr>
      <w:r>
        <w:rPr>
          <w:rStyle w:val="54"/>
          <w:rFonts w:ascii="宋体" w:hAnsi="宋体"/>
          <w:color w:val="000000" w:themeColor="text1"/>
          <w:sz w:val="24"/>
          <w:szCs w:val="24"/>
          <w:highlight w:val="none"/>
          <w14:textFill>
            <w14:solidFill>
              <w14:schemeClr w14:val="tx1"/>
            </w14:solidFill>
          </w14:textFill>
        </w:rPr>
        <w:t>甲、乙双方根据</w:t>
      </w:r>
      <w:r>
        <w:rPr>
          <w:rStyle w:val="54"/>
          <w:rFonts w:hint="eastAsia" w:ascii="宋体" w:hAnsi="宋体"/>
          <w:color w:val="000000" w:themeColor="text1"/>
          <w:sz w:val="24"/>
          <w:szCs w:val="24"/>
          <w:highlight w:val="none"/>
          <w:u w:val="single" w:color="000000"/>
          <w:lang w:eastAsia="zh-CN"/>
          <w14:textFill>
            <w14:solidFill>
              <w14:schemeClr w14:val="tx1"/>
            </w14:solidFill>
          </w14:textFill>
        </w:rPr>
        <w:t>盐城工业职业技术学院商学院改造设计施工一体化</w:t>
      </w:r>
      <w:r>
        <w:rPr>
          <w:rStyle w:val="54"/>
          <w:rFonts w:ascii="宋体" w:hAnsi="宋体"/>
          <w:color w:val="000000" w:themeColor="text1"/>
          <w:sz w:val="24"/>
          <w:szCs w:val="24"/>
          <w:highlight w:val="none"/>
          <w14:textFill>
            <w14:solidFill>
              <w14:schemeClr w14:val="tx1"/>
            </w14:solidFill>
          </w14:textFill>
        </w:rPr>
        <w:t>公开招标的结果，签署本合同。</w:t>
      </w:r>
    </w:p>
    <w:p>
      <w:pPr>
        <w:tabs>
          <w:tab w:val="left" w:pos="790"/>
        </w:tabs>
        <w:spacing w:line="500" w:lineRule="exact"/>
        <w:ind w:firstLine="47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一、项目内容：</w:t>
      </w:r>
    </w:p>
    <w:p>
      <w:pPr>
        <w:pStyle w:val="14"/>
        <w:spacing w:before="120" w:after="120" w:line="500" w:lineRule="exact"/>
        <w:ind w:firstLine="48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1.1项目名称：</w:t>
      </w:r>
      <w:r>
        <w:rPr>
          <w:rFonts w:hint="eastAsia" w:hAnsi="宋体" w:cs="宋体"/>
          <w:bCs/>
          <w:color w:val="000000" w:themeColor="text1"/>
          <w:sz w:val="24"/>
          <w:szCs w:val="24"/>
          <w:highlight w:val="none"/>
          <w:lang w:eastAsia="zh-CN"/>
          <w14:textFill>
            <w14:solidFill>
              <w14:schemeClr w14:val="tx1"/>
            </w14:solidFill>
          </w14:textFill>
        </w:rPr>
        <w:t>盐城工业职业技术学院商学院改造设计施工一体化</w:t>
      </w:r>
    </w:p>
    <w:p>
      <w:pPr>
        <w:pStyle w:val="14"/>
        <w:spacing w:before="120" w:after="120" w:line="500" w:lineRule="exact"/>
        <w:ind w:firstLine="48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1.2项目地点：盐城工业职业技术学院</w:t>
      </w:r>
    </w:p>
    <w:p>
      <w:pPr>
        <w:pStyle w:val="14"/>
        <w:spacing w:before="120" w:after="120" w:line="500" w:lineRule="exact"/>
        <w:ind w:firstLine="480"/>
        <w:rPr>
          <w:rFonts w:hint="eastAsia" w:hAnsi="宋体" w:eastAsia="宋体" w:cs="宋体"/>
          <w:bCs/>
          <w:color w:val="000000" w:themeColor="text1"/>
          <w:sz w:val="24"/>
          <w:szCs w:val="24"/>
          <w:highlight w:val="none"/>
          <w:lang w:eastAsia="zh-CN"/>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1.3承包内容：</w:t>
      </w:r>
      <w:r>
        <w:rPr>
          <w:rStyle w:val="54"/>
          <w:rFonts w:hint="eastAsia" w:ascii="宋体" w:hAnsi="宋体" w:cs="宋体"/>
          <w:color w:val="000000" w:themeColor="text1"/>
          <w:sz w:val="24"/>
          <w:szCs w:val="24"/>
          <w:highlight w:val="none"/>
          <w:lang w:val="en-US" w:eastAsia="zh-CN"/>
          <w14:textFill>
            <w14:solidFill>
              <w14:schemeClr w14:val="tx1"/>
            </w14:solidFill>
          </w14:textFill>
        </w:rPr>
        <w:t>商学院虚拟仿真中心</w:t>
      </w:r>
      <w:r>
        <w:rPr>
          <w:rStyle w:val="54"/>
          <w:rFonts w:hint="eastAsia" w:ascii="宋体" w:hAnsi="宋体" w:cs="宋体"/>
          <w:color w:val="000000" w:themeColor="text1"/>
          <w:sz w:val="24"/>
          <w:szCs w:val="24"/>
          <w:highlight w:val="none"/>
          <w14:textFill>
            <w14:solidFill>
              <w14:schemeClr w14:val="tx1"/>
            </w14:solidFill>
          </w14:textFill>
        </w:rPr>
        <w:t>选址在江苏省盐城市解放南路285号，</w:t>
      </w:r>
      <w:r>
        <w:rPr>
          <w:rStyle w:val="54"/>
          <w:rFonts w:hint="eastAsia" w:ascii="宋体" w:hAnsi="宋体" w:cs="宋体"/>
          <w:color w:val="000000" w:themeColor="text1"/>
          <w:sz w:val="24"/>
          <w:szCs w:val="24"/>
          <w:highlight w:val="none"/>
          <w:lang w:val="en-US" w:eastAsia="zh-CN"/>
          <w14:textFill>
            <w14:solidFill>
              <w14:schemeClr w14:val="tx1"/>
            </w14:solidFill>
          </w14:textFill>
        </w:rPr>
        <w:t>商学院2楼，3楼</w:t>
      </w:r>
      <w:r>
        <w:rPr>
          <w:rStyle w:val="54"/>
          <w:rFonts w:hint="eastAsia" w:ascii="宋体" w:hAnsi="宋体" w:cs="宋体"/>
          <w:color w:val="000000" w:themeColor="text1"/>
          <w:sz w:val="24"/>
          <w:szCs w:val="24"/>
          <w:highlight w:val="none"/>
          <w14:textFill>
            <w14:solidFill>
              <w14:schemeClr w14:val="tx1"/>
            </w14:solidFill>
          </w14:textFill>
        </w:rPr>
        <w:t>，建设面积约</w:t>
      </w:r>
      <w:r>
        <w:rPr>
          <w:rStyle w:val="54"/>
          <w:rFonts w:hint="eastAsia" w:ascii="宋体" w:hAnsi="宋体" w:cs="宋体"/>
          <w:color w:val="000000" w:themeColor="text1"/>
          <w:sz w:val="24"/>
          <w:szCs w:val="24"/>
          <w:highlight w:val="none"/>
          <w:lang w:val="en-US" w:eastAsia="zh-CN"/>
          <w14:textFill>
            <w14:solidFill>
              <w14:schemeClr w14:val="tx1"/>
            </w14:solidFill>
          </w14:textFill>
        </w:rPr>
        <w:t>1000</w:t>
      </w:r>
      <w:r>
        <w:rPr>
          <w:rStyle w:val="54"/>
          <w:rFonts w:hint="eastAsia" w:ascii="宋体" w:hAnsi="宋体" w:cs="宋体"/>
          <w:color w:val="000000" w:themeColor="text1"/>
          <w:sz w:val="24"/>
          <w:szCs w:val="24"/>
          <w:highlight w:val="none"/>
          <w14:textFill>
            <w14:solidFill>
              <w14:schemeClr w14:val="tx1"/>
            </w14:solidFill>
          </w14:textFill>
        </w:rPr>
        <w:t>平方米，实施内容包括但不限于</w:t>
      </w:r>
      <w:r>
        <w:rPr>
          <w:rStyle w:val="54"/>
          <w:rFonts w:hint="eastAsia" w:ascii="宋体" w:hAnsi="宋体" w:cs="宋体"/>
          <w:color w:val="000000" w:themeColor="text1"/>
          <w:sz w:val="24"/>
          <w:szCs w:val="24"/>
          <w:highlight w:val="none"/>
          <w:lang w:val="en-US" w:eastAsia="zh-CN"/>
          <w14:textFill>
            <w14:solidFill>
              <w14:schemeClr w14:val="tx1"/>
            </w14:solidFill>
          </w14:textFill>
        </w:rPr>
        <w:t>原建筑物拆除、地面清理、门的更换、吊顶及隔断与安装、通风扇的安装调试、空调系统强电线路铺设（不含空调采购和安装）、垃圾清运</w:t>
      </w:r>
      <w:r>
        <w:rPr>
          <w:rStyle w:val="54"/>
          <w:rFonts w:hint="eastAsia" w:ascii="宋体" w:hAnsi="宋体" w:cs="宋体"/>
          <w:color w:val="000000" w:themeColor="text1"/>
          <w:sz w:val="24"/>
          <w:szCs w:val="24"/>
          <w:highlight w:val="none"/>
          <w14:textFill>
            <w14:solidFill>
              <w14:schemeClr w14:val="tx1"/>
            </w14:solidFill>
          </w14:textFill>
        </w:rPr>
        <w:t>等相关服务</w:t>
      </w:r>
      <w:r>
        <w:rPr>
          <w:rStyle w:val="54"/>
          <w:rFonts w:hint="eastAsia" w:ascii="宋体" w:hAnsi="宋体" w:cs="宋体"/>
          <w:bCs/>
          <w:color w:val="000000" w:themeColor="text1"/>
          <w:sz w:val="24"/>
          <w:szCs w:val="24"/>
          <w:highlight w:val="none"/>
          <w14:textFill>
            <w14:solidFill>
              <w14:schemeClr w14:val="tx1"/>
            </w14:solidFill>
          </w14:textFill>
        </w:rPr>
        <w:t>以及工程竣工验收备案、整体移交（含档案移交）及竣工验收合格及缺陷责任期内的保修等所有内容</w:t>
      </w:r>
      <w:r>
        <w:rPr>
          <w:rStyle w:val="54"/>
          <w:rFonts w:hint="eastAsia" w:ascii="宋体" w:hAnsi="宋体" w:cs="宋体"/>
          <w:color w:val="000000" w:themeColor="text1"/>
          <w:sz w:val="24"/>
          <w:szCs w:val="24"/>
          <w:highlight w:val="none"/>
          <w14:textFill>
            <w14:solidFill>
              <w14:schemeClr w14:val="tx1"/>
            </w14:solidFill>
          </w14:textFill>
        </w:rPr>
        <w:t>，</w:t>
      </w:r>
      <w:r>
        <w:rPr>
          <w:rStyle w:val="54"/>
          <w:rFonts w:hint="eastAsia" w:hAnsi="宋体" w:cs="宋体"/>
          <w:color w:val="000000" w:themeColor="text1"/>
          <w:sz w:val="24"/>
          <w:szCs w:val="24"/>
          <w:highlight w:val="none"/>
          <w:lang w:val="en-US" w:eastAsia="zh-CN"/>
          <w14:textFill>
            <w14:solidFill>
              <w14:schemeClr w14:val="tx1"/>
            </w14:solidFill>
          </w14:textFill>
        </w:rPr>
        <w:t>甲方</w:t>
      </w:r>
      <w:r>
        <w:rPr>
          <w:rStyle w:val="54"/>
          <w:rFonts w:hint="eastAsia" w:ascii="宋体" w:hAnsi="宋体" w:cs="宋体"/>
          <w:color w:val="000000" w:themeColor="text1"/>
          <w:sz w:val="24"/>
          <w:szCs w:val="24"/>
          <w:highlight w:val="none"/>
          <w14:textFill>
            <w14:solidFill>
              <w14:schemeClr w14:val="tx1"/>
            </w14:solidFill>
          </w14:textFill>
        </w:rPr>
        <w:t>保留对上述规模进行调整的权利</w:t>
      </w:r>
      <w:r>
        <w:rPr>
          <w:rStyle w:val="54"/>
          <w:rFonts w:hint="eastAsia" w:hAnsi="宋体" w:cs="宋体"/>
          <w:color w:val="000000" w:themeColor="text1"/>
          <w:sz w:val="24"/>
          <w:szCs w:val="24"/>
          <w:highlight w:val="none"/>
          <w:lang w:eastAsia="zh-CN"/>
          <w14:textFill>
            <w14:solidFill>
              <w14:schemeClr w14:val="tx1"/>
            </w14:solidFill>
          </w14:textFill>
        </w:rPr>
        <w:t>。</w:t>
      </w:r>
    </w:p>
    <w:p>
      <w:pPr>
        <w:pStyle w:val="14"/>
        <w:spacing w:before="120" w:after="120" w:line="500" w:lineRule="exact"/>
        <w:ind w:firstLine="48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1.4项目范围：</w:t>
      </w:r>
    </w:p>
    <w:p>
      <w:pPr>
        <w:tabs>
          <w:tab w:val="left" w:pos="790"/>
        </w:tabs>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（1）设计：方案以及施工图设计（包括装饰、电气安装、照明等所有涉及到的专业设计）。</w:t>
      </w:r>
    </w:p>
    <w:p>
      <w:pPr>
        <w:tabs>
          <w:tab w:val="left" w:pos="790"/>
        </w:tabs>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（2）施工安装：包括</w:t>
      </w:r>
      <w:r>
        <w:rPr>
          <w:rFonts w:hint="eastAsia" w:hAnsi="宋体" w:cs="宋体"/>
          <w:bCs/>
          <w:color w:val="000000" w:themeColor="text1"/>
          <w:sz w:val="24"/>
          <w:szCs w:val="24"/>
          <w:highlight w:val="none"/>
          <w14:textFill>
            <w14:solidFill>
              <w14:schemeClr w14:val="tx1"/>
            </w14:solidFill>
          </w14:textFill>
        </w:rPr>
        <w:t>原装修拆除、地面清理及铺装、门窗改造、吊顶</w:t>
      </w:r>
      <w:r>
        <w:rPr>
          <w:rFonts w:hint="eastAsia" w:hAnsi="宋体" w:cs="宋体"/>
          <w:bCs/>
          <w:color w:val="000000" w:themeColor="text1"/>
          <w:sz w:val="24"/>
          <w:szCs w:val="24"/>
          <w:highlight w:val="none"/>
          <w:lang w:val="en-US" w:eastAsia="zh-CN"/>
          <w14:textFill>
            <w14:solidFill>
              <w14:schemeClr w14:val="tx1"/>
            </w14:solidFill>
          </w14:textFill>
        </w:rPr>
        <w:t>隔断</w:t>
      </w:r>
      <w:r>
        <w:rPr>
          <w:rFonts w:hint="eastAsia" w:hAnsi="宋体" w:cs="宋体"/>
          <w:bCs/>
          <w:color w:val="000000" w:themeColor="text1"/>
          <w:sz w:val="24"/>
          <w:szCs w:val="24"/>
          <w:highlight w:val="none"/>
          <w14:textFill>
            <w14:solidFill>
              <w14:schemeClr w14:val="tx1"/>
            </w14:solidFill>
          </w14:textFill>
        </w:rPr>
        <w:t>及造型制作、灯光安装、强弱电布线布管、</w:t>
      </w:r>
      <w:r>
        <w:rPr>
          <w:rFonts w:hint="eastAsia" w:hAnsi="宋体" w:cs="宋体"/>
          <w:bCs/>
          <w:color w:val="000000" w:themeColor="text1"/>
          <w:sz w:val="24"/>
          <w:szCs w:val="24"/>
          <w:highlight w:val="none"/>
          <w:lang w:val="en-US" w:eastAsia="zh-CN"/>
          <w14:textFill>
            <w14:solidFill>
              <w14:schemeClr w14:val="tx1"/>
            </w14:solidFill>
          </w14:textFill>
        </w:rPr>
        <w:t>通风扇的安装调试、空调系统强电线路铺设（不含空调采购和安装）</w:t>
      </w:r>
      <w:r>
        <w:rPr>
          <w:rFonts w:hint="eastAsia" w:hAnsi="宋体" w:cs="宋体"/>
          <w:bCs/>
          <w:color w:val="000000" w:themeColor="text1"/>
          <w:sz w:val="24"/>
          <w:szCs w:val="24"/>
          <w:highlight w:val="none"/>
          <w14:textFill>
            <w14:solidFill>
              <w14:schemeClr w14:val="tx1"/>
            </w14:solidFill>
          </w14:textFill>
        </w:rPr>
        <w:t>等相关服务以及工程</w:t>
      </w:r>
      <w:r>
        <w:rPr>
          <w:rFonts w:hint="eastAsia" w:hAnsi="宋体" w:cs="宋体"/>
          <w:bCs/>
          <w:color w:val="000000" w:themeColor="text1"/>
          <w:sz w:val="24"/>
          <w:highlight w:val="none"/>
          <w14:textFill>
            <w14:solidFill>
              <w14:schemeClr w14:val="tx1"/>
            </w14:solidFill>
          </w14:textFill>
        </w:rPr>
        <w:t>的包工、包料、包工期、包质量、包安全、包文明施工、包验收、包质量保修期等。</w:t>
      </w:r>
    </w:p>
    <w:p>
      <w:pPr>
        <w:pStyle w:val="7"/>
        <w:spacing w:line="360" w:lineRule="auto"/>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1.5质量标准：设计按国家及省市现行规范文件和有关甲方要求执行；施工满足国家现行“合格”标准。项目确保按规范和标准验收，且达国家合格标准。</w:t>
      </w:r>
    </w:p>
    <w:p>
      <w:pPr>
        <w:pStyle w:val="14"/>
        <w:spacing w:before="120" w:after="120" w:line="500" w:lineRule="exac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二、合同金额：</w:t>
      </w:r>
    </w:p>
    <w:p>
      <w:pPr>
        <w:pStyle w:val="14"/>
        <w:spacing w:before="120" w:after="120" w:line="500" w:lineRule="exact"/>
        <w:ind w:firstLine="48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2.1 本合同金额为：人民币（大写</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元整）（¥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元）。</w:t>
      </w:r>
    </w:p>
    <w:p>
      <w:pPr>
        <w:tabs>
          <w:tab w:val="left" w:pos="790"/>
        </w:tabs>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三、工期：</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合同履行期限</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0日历天，自合同签订之日起</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0日历天内竣工完毕，达到验收合格标准。并确保项目招标范围内的所有工作内容按投标文件承诺的工期要求竣工验收并交付使用。如因乙方的原因延误工期的，应承担违约责任。</w:t>
      </w:r>
    </w:p>
    <w:p>
      <w:pPr>
        <w:pStyle w:val="26"/>
        <w:ind w:firstLine="480"/>
        <w:rPr>
          <w:rFonts w:cs="宋体"/>
          <w:color w:val="000000" w:themeColor="text1"/>
          <w:sz w:val="24"/>
          <w:szCs w:val="21"/>
          <w:highlight w:val="none"/>
          <w14:textFill>
            <w14:solidFill>
              <w14:schemeClr w14:val="tx1"/>
            </w14:solidFill>
          </w14:textFill>
        </w:rPr>
      </w:pPr>
      <w:r>
        <w:rPr>
          <w:rFonts w:hint="eastAsia" w:cs="宋体"/>
          <w:color w:val="000000" w:themeColor="text1"/>
          <w:sz w:val="24"/>
          <w:szCs w:val="21"/>
          <w:highlight w:val="none"/>
          <w14:textFill>
            <w14:solidFill>
              <w14:schemeClr w14:val="tx1"/>
            </w14:solidFill>
          </w14:textFill>
        </w:rPr>
        <w:t>3.2根据甲方的要求提供详细的</w:t>
      </w:r>
      <w:r>
        <w:rPr>
          <w:rFonts w:hint="eastAsia" w:cs="宋体"/>
          <w:color w:val="000000" w:themeColor="text1"/>
          <w:sz w:val="24"/>
          <w:szCs w:val="21"/>
          <w:highlight w:val="none"/>
          <w:lang w:val="en-US" w:eastAsia="zh-CN"/>
          <w14:textFill>
            <w14:solidFill>
              <w14:schemeClr w14:val="tx1"/>
            </w14:solidFill>
          </w14:textFill>
        </w:rPr>
        <w:t>改造</w:t>
      </w:r>
      <w:r>
        <w:rPr>
          <w:rFonts w:hint="eastAsia" w:cs="宋体"/>
          <w:color w:val="000000" w:themeColor="text1"/>
          <w:sz w:val="24"/>
          <w:szCs w:val="21"/>
          <w:highlight w:val="none"/>
          <w14:textFill>
            <w14:solidFill>
              <w14:schemeClr w14:val="tx1"/>
            </w14:solidFill>
          </w14:textFill>
        </w:rPr>
        <w:t>图纸，</w:t>
      </w:r>
      <w:r>
        <w:rPr>
          <w:rFonts w:hint="eastAsia" w:cs="宋体"/>
          <w:color w:val="000000" w:themeColor="text1"/>
          <w:sz w:val="24"/>
          <w:szCs w:val="21"/>
          <w:highlight w:val="none"/>
          <w:lang w:val="en-US" w:eastAsia="zh-CN"/>
          <w14:textFill>
            <w14:solidFill>
              <w14:schemeClr w14:val="tx1"/>
            </w14:solidFill>
          </w14:textFill>
        </w:rPr>
        <w:t>改造</w:t>
      </w:r>
      <w:r>
        <w:rPr>
          <w:rFonts w:hint="eastAsia" w:cs="宋体"/>
          <w:color w:val="000000" w:themeColor="text1"/>
          <w:sz w:val="24"/>
          <w:szCs w:val="21"/>
          <w:highlight w:val="none"/>
          <w14:textFill>
            <w14:solidFill>
              <w14:schemeClr w14:val="tx1"/>
            </w14:solidFill>
          </w14:textFill>
        </w:rPr>
        <w:t xml:space="preserve">方案最终确定后及时组织办理进场手续及布展项目。 </w:t>
      </w:r>
    </w:p>
    <w:p>
      <w:pPr>
        <w:pStyle w:val="26"/>
        <w:ind w:firstLine="480"/>
        <w:rPr>
          <w:rFonts w:cs="宋体"/>
          <w:color w:val="000000" w:themeColor="text1"/>
          <w:sz w:val="24"/>
          <w:szCs w:val="21"/>
          <w:highlight w:val="none"/>
          <w14:textFill>
            <w14:solidFill>
              <w14:schemeClr w14:val="tx1"/>
            </w14:solidFill>
          </w14:textFill>
        </w:rPr>
      </w:pPr>
      <w:r>
        <w:rPr>
          <w:rFonts w:hint="eastAsia" w:cs="宋体"/>
          <w:color w:val="000000" w:themeColor="text1"/>
          <w:sz w:val="24"/>
          <w:szCs w:val="21"/>
          <w:highlight w:val="none"/>
          <w14:textFill>
            <w14:solidFill>
              <w14:schemeClr w14:val="tx1"/>
            </w14:solidFill>
          </w14:textFill>
        </w:rPr>
        <w:t>3.3乙方应在签订合同后15个日历天内进场施工。</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乙方必须确保总体工期目标，除甲方明确提出停工要求的，乙方不得以任何理由延迟工期，每延迟一天（5日历天以内），将向甲方支付1000元/天的违约金，超过5日历天以上，每超过一天，将向甲方支付5000元/天的违约金。</w:t>
      </w:r>
    </w:p>
    <w:p>
      <w:pPr>
        <w:tabs>
          <w:tab w:val="left" w:pos="790"/>
        </w:tabs>
        <w:spacing w:line="5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四、质量：</w:t>
      </w:r>
    </w:p>
    <w:p>
      <w:pPr>
        <w:tabs>
          <w:tab w:val="left" w:pos="790"/>
        </w:tabs>
        <w:spacing w:line="500" w:lineRule="exact"/>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4.1设计按国家及省市现行规范文件和有关甲方要求执行；项目确保按规范和标准验收，且达国家合格标准。</w:t>
      </w:r>
      <w:r>
        <w:rPr>
          <w:rFonts w:hint="eastAsia" w:ascii="宋体" w:hAnsi="宋体" w:cs="宋体"/>
          <w:b/>
          <w:color w:val="000000" w:themeColor="text1"/>
          <w:sz w:val="24"/>
          <w:highlight w:val="none"/>
          <w14:textFill>
            <w14:solidFill>
              <w14:schemeClr w14:val="tx1"/>
            </w14:solidFill>
          </w14:textFill>
        </w:rPr>
        <w:t>如施工一次性验收不合格，乙方必须在甲方要求的时间内无偿整改直至项目合格并通过验收。</w:t>
      </w:r>
    </w:p>
    <w:p>
      <w:pPr>
        <w:tabs>
          <w:tab w:val="left" w:pos="790"/>
        </w:tabs>
        <w:spacing w:line="500" w:lineRule="exact"/>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4.2实际施工过程中，如果达不到承诺质量标准，乙方必须无偿整改达到承诺质量标准，若整改后仍达不到承诺质量标准的，</w:t>
      </w:r>
      <w:r>
        <w:rPr>
          <w:rFonts w:hint="eastAsia" w:ascii="宋体" w:hAnsi="宋体" w:cs="宋体"/>
          <w:b/>
          <w:color w:val="000000" w:themeColor="text1"/>
          <w:sz w:val="24"/>
          <w:highlight w:val="none"/>
          <w14:textFill>
            <w14:solidFill>
              <w14:schemeClr w14:val="tx1"/>
            </w14:solidFill>
          </w14:textFill>
        </w:rPr>
        <w:t>按不低于合同价的5%向甲方支付违约金</w:t>
      </w:r>
      <w:r>
        <w:rPr>
          <w:rFonts w:hint="eastAsia" w:ascii="宋体" w:hAnsi="宋体" w:cs="宋体"/>
          <w:color w:val="000000" w:themeColor="text1"/>
          <w:sz w:val="24"/>
          <w:highlight w:val="none"/>
          <w14:textFill>
            <w14:solidFill>
              <w14:schemeClr w14:val="tx1"/>
            </w14:solidFill>
          </w14:textFill>
        </w:rPr>
        <w:t>，违约金从本项目的履约保证金中扣除，不足部分再从剩余工程款中扣除。由此造成的工期延误将不予顺延，给甲方造成实际损失的还将承担经济赔偿责任。</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工程质量应达到质量检验评定标准的合格条件，质量标准须达到投标时承诺质量标准。乙方应认真按照现行有效的标准、规范和设计的要求以及甲方发出的指令要求组织施工单位施工，同时应符合国家的相关质量验收管理规定。除政府部门依照法律法规进行的监督检查以外，甲方或其代表以及甲方委托的质量检测部门还可在工程施工期间对本项目建设随时进行监督检查，乙方必须配合做好相关工作。甲方及甲方委托的质量检查部门有权配派代表对本项目的建设过程实施跟踪，并参加定期的进度、质量会议，遇有问题书面向乙方提出。签署监督、检查等以不影响工程施工为前提。</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甲方发现项目存在质量问题时，有权要求乙方采取有效措施进行整改。甲方就工程质量存在的缺陷通知乙方，乙方应当采取必要的整改措施予以补救，若不立即予以补救，甲方有权要求第三方予以补救，相关费用按双倍发生的费用在履约保证金和项目费用中扣除。</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4.5非甲方原因，质量整改所发生的费用不予增加，工期也不予顺延。</w:t>
      </w:r>
    </w:p>
    <w:p>
      <w:pPr>
        <w:tabs>
          <w:tab w:val="left" w:pos="790"/>
        </w:tabs>
        <w:spacing w:line="500" w:lineRule="exact"/>
        <w:ind w:firstLine="47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bookmarkStart w:id="6" w:name="_Toc411407454"/>
      <w:r>
        <w:rPr>
          <w:rFonts w:hint="eastAsia" w:ascii="宋体" w:hAnsi="宋体" w:cs="宋体"/>
          <w:b/>
          <w:color w:val="000000" w:themeColor="text1"/>
          <w:sz w:val="24"/>
          <w:highlight w:val="none"/>
          <w14:textFill>
            <w14:solidFill>
              <w14:schemeClr w14:val="tx1"/>
            </w14:solidFill>
          </w14:textFill>
        </w:rPr>
        <w:t>材料设备及施工要求</w:t>
      </w:r>
      <w:bookmarkEnd w:id="6"/>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材料设备供应：本项目所有材料均由乙方自行组织采购。凡由乙方采购的材料，乙方应按照设计要求、技术标准及招标文件的约定采购符合上述要求的材料。并向甲方提供质量保证书、出厂合格证及现场抽样检测报告等证明材料，对材料质量负责。如不符合质量及技术标准要求或规格有差异的，乙方应按甲方要求的时间将不符合要求的材料运出施工场地，重新采购符合要求的材料。若已使用，由乙方负责整改处理，确保达到要求的质量目标。因使用不符合要求的材料对项目造成的损失由乙方负责，由此延误的工期不予顺延。</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乙方中标后必须严格按施工图纸、招标文件等要求提供本项目设备材料的样品，供甲方比较选择确定，以保证选用质优价好的材料用于本项目，同时防止出现以劣充优，以次充好，谋取不正当利益的情况，乙方在主材报价时本着诚实信用的原则按实际情况予以报价，同时甲方有权对设备材料生产基地进行实地考察，乙方须无条件予以配合，乙方提供的设备材料样品经甲方书面同意后方可进行批量采购。在施工前或施工过程中，甲方要求调整、变更材料品种，乙方应无条件认可，其变更后的材料价格由甲方签证认可确定。设备材料进场交货、验收必须由乙方到场参加。</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5.3乙方在施工中偷工减料的，使用不合格的建筑材料、建筑构配件和设备的，或者有不按照工程设计图纸或者施工技术标准施工的其他行为的，责令改正，结合相关法律法规规定，处以合同总价5%的罚款；造成工程质量不符合规定的质量标准的，负责返工、修理，并赔偿因此造成的损失。 </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5.4乙方未对建筑材料、建筑构配件、设备等进行检验，或者未对涉及结构安全的试块、试件以及有关材料取样检测的，责令改正，处1万元以上5万元以下的罚款；造成损失的，依法承担赔偿责任。</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5.5总体要求：</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材料必须经甲方确认后进行选购，材料必须符合招标文件和有关图纸的设计要求，必须保证为没有缺陷的优等品且满足环保要求，乙方必须提供材料的有关试验报告以确认材料的质量。</w:t>
      </w:r>
    </w:p>
    <w:p>
      <w:pPr>
        <w:tabs>
          <w:tab w:val="left" w:pos="790"/>
        </w:tabs>
        <w:spacing w:line="4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5.6施工及验收规范</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应符合现行国家、行业及江苏省、市等相关技术标准及规范，包括但不仅限于下列规范(如有替代以现行最新规范为准)：</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建筑装饰装修工程质量验收规范(GB50210-</w:t>
      </w:r>
      <w:r>
        <w:rPr>
          <w:rFonts w:ascii="宋体" w:hAnsi="宋体" w:cs="Arial"/>
          <w:bCs/>
          <w:color w:val="000000" w:themeColor="text1"/>
          <w:kern w:val="0"/>
          <w:sz w:val="24"/>
          <w:highlight w:val="none"/>
          <w14:textFill>
            <w14:solidFill>
              <w14:schemeClr w14:val="tx1"/>
            </w14:solidFill>
          </w14:textFill>
        </w:rPr>
        <w:t xml:space="preserve"> 2018</w:t>
      </w:r>
      <w:r>
        <w:rPr>
          <w:rFonts w:hint="eastAsia" w:ascii="宋体" w:hAnsi="宋体" w:cs="Arial"/>
          <w:bCs/>
          <w:color w:val="000000" w:themeColor="text1"/>
          <w:kern w:val="0"/>
          <w:sz w:val="24"/>
          <w:highlight w:val="none"/>
          <w14:textFill>
            <w14:solidFill>
              <w14:schemeClr w14:val="tx1"/>
            </w14:solidFill>
          </w14:textFill>
        </w:rPr>
        <w:t>)；</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建筑工程施工质量验收统一标准规范(GB50300-</w:t>
      </w:r>
      <w:r>
        <w:rPr>
          <w:rFonts w:ascii="Arial" w:hAnsi="Arial" w:cs="Arial"/>
          <w:color w:val="000000" w:themeColor="text1"/>
          <w:sz w:val="20"/>
          <w:szCs w:val="20"/>
          <w:highlight w:val="none"/>
          <w14:textFill>
            <w14:solidFill>
              <w14:schemeClr w14:val="tx1"/>
            </w14:solidFill>
          </w14:textFill>
        </w:rPr>
        <w:t xml:space="preserve"> 2013</w:t>
      </w:r>
      <w:r>
        <w:rPr>
          <w:rFonts w:hint="eastAsia" w:ascii="宋体" w:hAnsi="宋体" w:cs="Arial"/>
          <w:bCs/>
          <w:color w:val="000000" w:themeColor="text1"/>
          <w:kern w:val="0"/>
          <w:sz w:val="24"/>
          <w:highlight w:val="none"/>
          <w14:textFill>
            <w14:solidFill>
              <w14:schemeClr w14:val="tx1"/>
            </w14:solidFill>
          </w14:textFill>
        </w:rPr>
        <w:t>)；</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建筑内部装修设计防火规范(GB50022-</w:t>
      </w:r>
      <w:r>
        <w:rPr>
          <w:rFonts w:ascii="Arial" w:hAnsi="Arial" w:cs="Arial"/>
          <w:color w:val="000000" w:themeColor="text1"/>
          <w:highlight w:val="none"/>
          <w14:textFill>
            <w14:solidFill>
              <w14:schemeClr w14:val="tx1"/>
            </w14:solidFill>
          </w14:textFill>
        </w:rPr>
        <w:t xml:space="preserve"> 2017</w:t>
      </w:r>
      <w:r>
        <w:rPr>
          <w:rFonts w:hint="eastAsia" w:ascii="宋体" w:hAnsi="宋体" w:cs="Arial"/>
          <w:bCs/>
          <w:color w:val="000000" w:themeColor="text1"/>
          <w:kern w:val="0"/>
          <w:sz w:val="24"/>
          <w:highlight w:val="none"/>
          <w14:textFill>
            <w14:solidFill>
              <w14:schemeClr w14:val="tx1"/>
            </w14:solidFill>
          </w14:textFill>
        </w:rPr>
        <w:t>)；</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建筑设计防火规范(GBJ16-87)2001年版；</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建筑电气工程施工质量验收规范(GB50303-</w:t>
      </w:r>
      <w:r>
        <w:rPr>
          <w:rFonts w:ascii="宋体" w:hAnsi="宋体" w:cs="Arial"/>
          <w:bCs/>
          <w:color w:val="000000" w:themeColor="text1"/>
          <w:kern w:val="0"/>
          <w:sz w:val="24"/>
          <w:highlight w:val="none"/>
          <w14:textFill>
            <w14:solidFill>
              <w14:schemeClr w14:val="tx1"/>
            </w14:solidFill>
          </w14:textFill>
        </w:rPr>
        <w:t xml:space="preserve"> 2019</w:t>
      </w:r>
      <w:r>
        <w:rPr>
          <w:rFonts w:hint="eastAsia" w:ascii="宋体" w:hAnsi="宋体" w:cs="Arial"/>
          <w:bCs/>
          <w:color w:val="000000" w:themeColor="text1"/>
          <w:kern w:val="0"/>
          <w:sz w:val="24"/>
          <w:highlight w:val="none"/>
          <w14:textFill>
            <w14:solidFill>
              <w14:schemeClr w14:val="tx1"/>
            </w14:solidFill>
          </w14:textFill>
        </w:rPr>
        <w:t>)；</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建筑给排水工程施工质量验收规范(GB50242-2016)；</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民用建筑工程室内环境污染控制规范(GB50325-2020)；</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民用建筑工程室内环境质量控制规范(GB50325-2020)；</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室内装饰装修材料人造板及其制品中甲醛释放限量(GB18580-2017)；</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室内装饰装修材料胶粘剂中有害物质限量(GB20212-2006)；</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室内装饰装修材料溶剂型木器涂料中有害物质限量(GB18501-2018)；</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室内装饰材料壁纸中有害物质限量(GB18585-2016)；</w:t>
      </w:r>
    </w:p>
    <w:p>
      <w:pPr>
        <w:spacing w:line="470" w:lineRule="exact"/>
        <w:ind w:firstLine="464"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spacing w:val="-4"/>
          <w:kern w:val="0"/>
          <w:sz w:val="24"/>
          <w:highlight w:val="none"/>
          <w14:textFill>
            <w14:solidFill>
              <w14:schemeClr w14:val="tx1"/>
            </w14:solidFill>
          </w14:textFill>
        </w:rPr>
        <w:t>室内装饰材料地毯、地毯衬垫及地毯用胶粘剂中有害物质释放限量(GB18587-2017)</w:t>
      </w:r>
      <w:r>
        <w:rPr>
          <w:rFonts w:hint="eastAsia" w:ascii="宋体" w:hAnsi="宋体" w:cs="Arial"/>
          <w:bCs/>
          <w:color w:val="000000" w:themeColor="text1"/>
          <w:kern w:val="0"/>
          <w:sz w:val="24"/>
          <w:highlight w:val="none"/>
          <w14:textFill>
            <w14:solidFill>
              <w14:schemeClr w14:val="tx1"/>
            </w14:solidFill>
          </w14:textFill>
        </w:rPr>
        <w:t>；</w:t>
      </w:r>
    </w:p>
    <w:p>
      <w:pPr>
        <w:spacing w:line="470" w:lineRule="exact"/>
        <w:ind w:firstLine="480" w:firstLineChars="200"/>
        <w:jc w:val="left"/>
        <w:rPr>
          <w:rFonts w:ascii="宋体" w:hAnsi="宋体" w:cs="Arial"/>
          <w:bCs/>
          <w:color w:val="000000" w:themeColor="text1"/>
          <w:kern w:val="0"/>
          <w:sz w:val="24"/>
          <w:highlight w:val="none"/>
          <w14:textFill>
            <w14:solidFill>
              <w14:schemeClr w14:val="tx1"/>
            </w14:solidFill>
          </w14:textFill>
        </w:rPr>
      </w:pPr>
      <w:r>
        <w:rPr>
          <w:rFonts w:hint="eastAsia" w:ascii="宋体" w:hAnsi="宋体" w:cs="Arial"/>
          <w:bCs/>
          <w:color w:val="000000" w:themeColor="text1"/>
          <w:kern w:val="0"/>
          <w:sz w:val="24"/>
          <w:highlight w:val="none"/>
          <w14:textFill>
            <w14:solidFill>
              <w14:schemeClr w14:val="tx1"/>
            </w14:solidFill>
          </w14:textFill>
        </w:rPr>
        <w:t>《建筑玻璃应用技术规程》(JGJ113－2015)。</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其他相关法律、法规</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5.7施工管理要求</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已充分考虑，交叉施工对本项目施工区域、施工顺序、施工相关节点的影响。并承诺，在投标阶段已经充分考虑施工区域的调整、交叉施工对工期影响的风险并已经采取积极措施，保证按招标/合同约定工期、质量要求移交交付物。</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（2）乙方在施工过程中须沟通协调，因缺少沟通协调而造成的一切后果（如延误工期）等，将由乙方负责。</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（3）本项目工期为合格项目完成日期，已含检测/不合格处理/验收等时间和节假日、阴雨天、前期准备时间；台风、地震等不可抗拒的因素除外。</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（4）甲方可能根据现场项目实际状况和需求，对施工工期、承包范围做调整。经甲乙双方协商后，乙方须无条件配合、执行，并按照有关约定按期、保质的完成施工任务。</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（5）乙方接开工通知后，须在2天内上报详细的施工进度计划（人、机、料等）、分项技术方案和安全文明施工方案，不按时报该计划，乙方应支付甲方违约金2000元。</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乙方施工期间需要上报每周计划，不按时报该计划，乙方应支付甲方违约金500元，周计划是甲方对乙方施工进度的重要考核目标，若乙方不能完成周计划的90％（含），将给予1000～3000元（人民币）的阶段违约处罚，如若总的工期没有拖延，则撤销阶段违约处罚，如若总的工期拖延，则按照拖延天数还要追加违约处罚。</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（7）甲方要求的总进度计划并不完全保证乙方能按所定的进度计划连续不断的施工，假若因实际施工情况而需要对有关进度计划作出修改时，乙方须予以配合及不能为此而作出任何的索偿。</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（8）乙方在整个施工过程中应按实际情况不断修订其工作进度计划以配合。</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（9）需要进行检测或验收的材料及分项工程，必须在专业和相关法规规定检测基础上达到设计要求和相应的国家规范要求，并应保证在检测和申请甲方进行验收时，做到一次性验收成功。</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（10）乙方若对甲方提供的设计和施工要求等任何要求存在意见，必须与甲方进行沟通并获书面认可后，方可修改要求进行实施。否则，无论是否影响工程质量，均视为质量问题。</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（11）乙方有义务复核和发现已完工的部分存在的专业性问题，并及早提交甲方代表。</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（12）乙方若在施工期间出现质量问题，而又不能及时整改，必须承担每处人民币500～5000元的违约处罚。</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（13）场地移交：具备进场条件后，乙方提出申请，由甲方按现状组织移交给乙方，确定无误后双方签订书面移交手续。移交后，移交范围中包含的各项内容管理责任由乙方负责，若有损坏，乙方负责赔偿。</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（14）审图意见：乙方在进场后2天内，必须将正式图纸提交甲方进行审核确认，甲方提出的修改意见，将作为图纸的修改意见或补充要求。</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（15）成品保护：乙方自行负责工程的成品保护及巡查看管直至通过验收并移交，施工过程中如有损坏，乙方负责恢复维护。</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（16）材料样板：乙方所使用任何材料，必须提前提供实物样板，并取得甲方书面确认后，方可使用。</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（17）乙方必须充分考虑到如下雨、其他专业工序交叉作业、夜间施工噪音控制等全部因素对工期的影响。除非甲方要求，乙方不得因包括但不限于上述任何因素而要求工期顺延，不得因上述因素要求额外签证。</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（18）乙方应在进场2天内报送详细的进度计划并经甲方审批。</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（19）乙方的投标所用主要材料或固定全费用单价项目等与甲方提供的项目需求有增加时，应在投标报价表中自行增加，列出明细注明清楚。</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（20）乙方须保持畅通的沟通渠道，且服从甲方的统一协调。</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（21）为使获得更佳的工程施工，本乙方须按照甲方代表发出的指令对有关安排做适当的调整而不能额外收取任何费用。</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（22）如果乙方以找不到材料为由，要求更换材料和施工工艺，如果严重影响整体工程，甲方有权追究其责任，并相应给予惩罚，甲方可视情节严重程度单方终止合同，已完工部分按结算价的60%计算。</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（23）乙方不得以任何理由将本项目转包他人，一经发现，甲方有权随时解除合同，由此造成的责任和全部损失由乙方无条件承担。</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（24）乙方必须充分考虑到各种因素对工期的影响。除非甲方要求，乙方不得因任何因素而要求工期顺延或要求额外签证。</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乙方必须遵守现行有关安全防护规范及相关安全文明施工要求，做好安全文明施工，如因管理不到位造成的一切安全问题，其责任及发生的相关费用均由乙方承担，与甲方无涉。并且甲方有权追偿由此而带来的全部损失。</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（26）乙方应采取有效措施，对其施工的范围内的材料、成品、半成品保护负全部责任，乙方负责承担在施工过程中对现场成品产生破坏、污染所引起的返工维修、更换等所有费用。</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（27）施工期间引起一切罚款、</w:t>
      </w:r>
      <w:r>
        <w:rPr>
          <w:rFonts w:hint="eastAsia" w:ascii="宋体" w:hAnsi="宋体" w:cs="宋体"/>
          <w:bCs/>
          <w:color w:val="000000" w:themeColor="text1"/>
          <w:sz w:val="24"/>
          <w:highlight w:val="none"/>
          <w14:textFill>
            <w14:solidFill>
              <w14:schemeClr w14:val="tx1"/>
            </w14:solidFill>
          </w14:textFill>
        </w:rPr>
        <w:t>矛盾</w:t>
      </w:r>
      <w:r>
        <w:rPr>
          <w:rFonts w:hint="eastAsia" w:ascii="宋体" w:hAnsi="宋体" w:cs="宋体"/>
          <w:color w:val="000000" w:themeColor="text1"/>
          <w:sz w:val="24"/>
          <w:highlight w:val="none"/>
          <w14:textFill>
            <w14:solidFill>
              <w14:schemeClr w14:val="tx1"/>
            </w14:solidFill>
          </w14:textFill>
        </w:rPr>
        <w:t>、投诉（含有可能对周边单位影响的投诉）均由乙方自行解决并承担相关费用。由此对工期造成影响、社会负面影响的，甲方还将保留对乙方索赔的权力。</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（28）乙方必须服从甲方的管理，向甲方报送进度计划，按照甲方的要求和安排组织施工。</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（29）要求乙方的现场施工人员佩带安全帽，否则，甲方有权禁止乙方人员进入工地，每发现一次，罚款100元/人次。</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（30）本要求未提及到内容，按有关国家规范、标准执行。</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（31）人员住宿与办公：由乙方在场外自行解决，工地不允许住人。</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（32）材料堆场与仓库：由乙方根据场地情况布置堆场，并负责保管，因保管不善造成损坏或损失均由乙方自行负责。</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（33）乙方应执行包括但不限于环境保护等相关规定，若引起罚款、投诉均由乙方自行解决。如对甲方造成社会负面影响，甲方有权进行索赔。</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施工中产生的建筑垃圾必须日产日清，保证施工现场的整洁。否则甲方有权委托其它单位进行清理，费用从乙方工程款中直接扣除，并有权进行人民币500～5000元的相应处罚。场地移交后，施工区域的垃圾管理责任由乙方负责。</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6、付款方式：</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6.1工程全部竣工验收合格后付工程合同价的60%，项目审计结束后付至审计价的90%，余款转为质量保证金，质保期满后无质量问题一次结清。</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6.2付款一律通过银行结转。</w:t>
      </w:r>
    </w:p>
    <w:p>
      <w:pPr>
        <w:tabs>
          <w:tab w:val="left" w:pos="790"/>
        </w:tabs>
        <w:spacing w:line="50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注：以上付款均不计任何利息和相关费用</w:t>
      </w:r>
      <w:r>
        <w:rPr>
          <w:rFonts w:hint="eastAsia" w:ascii="宋体" w:hAnsi="宋体" w:cs="宋体"/>
          <w:color w:val="000000" w:themeColor="text1"/>
          <w:sz w:val="24"/>
          <w:highlight w:val="none"/>
          <w:lang w:eastAsia="zh-CN"/>
          <w14:textFill>
            <w14:solidFill>
              <w14:schemeClr w14:val="tx1"/>
            </w14:solidFill>
          </w14:textFill>
        </w:rPr>
        <w:t>。</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7、工程变更</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 乙方不得以增加工程利润为目的要求甲方进行设计变更，所有工程设计变更须经甲方书面确认。</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 乙方须无条件服从甲方对工程的设计变更，不得以因甲方设计变更减少了工程利润为由要挟甲方追加其它费用。</w:t>
      </w:r>
    </w:p>
    <w:p>
      <w:pPr>
        <w:spacing w:line="500" w:lineRule="exact"/>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8、结算方式：合同价包含的风险范围：本项目为“</w:t>
      </w:r>
      <w:r>
        <w:rPr>
          <w:rFonts w:hint="eastAsia" w:ascii="宋体" w:hAnsi="宋体" w:cs="宋体"/>
          <w:b/>
          <w:bCs/>
          <w:color w:val="000000" w:themeColor="text1"/>
          <w:sz w:val="24"/>
          <w:highlight w:val="none"/>
          <w14:textFill>
            <w14:solidFill>
              <w14:schemeClr w14:val="tx1"/>
            </w14:solidFill>
          </w14:textFill>
        </w:rPr>
        <w:t>固定总价</w:t>
      </w:r>
      <w:r>
        <w:rPr>
          <w:rFonts w:hint="eastAsia" w:ascii="宋体" w:hAnsi="宋体" w:cs="宋体"/>
          <w:color w:val="000000" w:themeColor="text1"/>
          <w:sz w:val="24"/>
          <w:highlight w:val="none"/>
          <w14:textFill>
            <w14:solidFill>
              <w14:schemeClr w14:val="tx1"/>
            </w14:solidFill>
          </w14:textFill>
        </w:rPr>
        <w:t>”合同，中标后人工、材料价格波动及政策性调整的风险均包含在投标报价中，除本合同专用条款明确约定价格可调整外，竣工结算时均不调整。</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8.1结算原则</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8.1.1 由于乙方设计内容或报价内容不齐全或不完善，乙方的设计达不到甲方的设计要求、不满足现行规范要求或设计方案不合理等进行的修改，其投标报价视为含在原投标报价中，其投标报价不调整。如出现乙方设计图纸中有、投标报价中也有的内容，经甲方确认该内容不需实施，或投标报价时多报项目，实际未实施内容，结算时则根据乙方报价清单扣减相应部分内容后结算。如出现设计图纸中没有，投标报价中也没有，但项目需求中要求或为本项目项目需求使用功能或规范要求必须要施工的，此部分费用结算时不增加，视为已包含在合同总价中。</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8.1.2中标后甲方可对乙方的施工图提出进一步优化的建议，形成施工图后，其施工图已经甲方确认并同意按该图纸施工，在施工过程中，对确认的方案再次优化，发生的施工内容变化（已施工后拆除的或对原有方案的设计进行调整的其施工内容发生变化的），若本合同投标清单报价有适用或类似的按照相同或类似项目的综合单价确定；若本合同投标清单报价没有适用或类似项目综合单价的，由甲乙双方参照市场价格另行协商确定该部分综合单价。原投标报价中措施费由乙方包干使用，由于施工图纸调整引起的措施费均不再调整。对于施工调整其设计费用不另行增加。</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8.1.3如设计方案作实质性修改，导致原有设计方案和投标报价无法使用的，若本合同投标清单报价有适用或类似的按照相同或类似项目的综合单价确定；若本合同投标清单报价没有适用或类似项目综合单价的，由甲乙双方参照市场价格另行协商确定该部分综合单价。设计费用不另行增加。</w:t>
      </w:r>
    </w:p>
    <w:p>
      <w:pPr>
        <w:spacing w:line="500" w:lineRule="exact"/>
        <w:ind w:firstLine="47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9、安全、文明施工</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乙方进场后，必须服从甲方和监理单位对施工场地总平面的规划，服从甲方和监理单位的统一调度和指挥。如出现不服从管理和下列现象的，甲方将视情节轻重认定乙方是否违约，并根据情况要求乙方承担违约责任，支付违约金。</w:t>
      </w:r>
    </w:p>
    <w:p>
      <w:pPr>
        <w:spacing w:line="500" w:lineRule="exact"/>
        <w:ind w:firstLine="460"/>
        <w:rPr>
          <w:rFonts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项目必须确保安全，乙方自行承担项目施工过程中的工程质量、任何状况下的安全责任。本项目施工期间发生的一切安全事故，其责任由乙方承担。非甲方原因，发生的一切问题和责任与甲方无关，相关一切费用或民事、刑事责任均由乙方自理。若乙方不能及时处理所发生的问题和责任，并且影响到项目进度时，甲方有权处理相关事务，所发生的费用在支付工程款时扣除。</w:t>
      </w:r>
    </w:p>
    <w:p>
      <w:pPr>
        <w:spacing w:line="500" w:lineRule="exact"/>
        <w:ind w:firstLine="4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9.3施工过程中如遇管线、电缆等破坏修复费用、施工过程中及保修期内未及时修复而发生的一切安全责任，均由乙方自行承担。</w:t>
      </w:r>
    </w:p>
    <w:p>
      <w:pPr>
        <w:spacing w:line="500" w:lineRule="exact"/>
        <w:ind w:firstLine="4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施工现场应在适当位置悬挂施工标准和文明施工标语，危险区域应当设置危险警示标牌和警示灯。现场围护要求坚固、稳定、整洁、美观，施工现场车辆应当采取有效措施，确保不污染其他区域环境。由于乙方疏于采取文明施工措施所造成的必要费用的支出，应由乙方支付，乙方未支付或迟延支付的，甲方可从履约保证金或到期工程款中予以扣除。</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9.5乙方在施工中污染周围环境、施工噪音干扰他人等所引起的政府职能部门罚款或停工整改或引起周围居民纠纷和索赔时，其所有发生的费用与损失将全部由乙方自行承担。</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9.6乙方应负责整个场地的安全文明卫生管理，做到文明施工、保持施工场地清洁。本项目所有施工建筑垃圾均应全部清运出现场。服从甲方、监理单位及相关主管部门的管理要求，主动协调、解决问题，若在施工期间出现因场地不清洁等违反文明施工管理规定的情况，所发生的一切费用均由乙方承担，同时还需接受甲方每次3000元的罚金。</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9.7甲方将定期对乙方的施工质量、安全、文明施工进行检查，如发现工程现场及生活区内安全、文明施工管理较差的，有权要求乙方整改并通报批评，如发生三次通报批评情况，可按照合同总价0.1%对乙方处以违约金。</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9.8严禁在施工现场焚烧垃圾,如发现一次, 可按照合同总价0.2%对乙方处以违约金。进入施工现场的所有施工人员必须带好安全帽,如发现有一人次进入施工现场未带安全帽,甲方则按50 元/人次对乙方处以违约金,如一天发现3人以上进入施工现场未带安全帽, 甲方则按200元/人次对乙方处以违约金。</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9.9乙方不得在施工现场发生打架、斗殴、偷窃行为，发生一次，甲方可对乙方处1000元/次违约金。</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9.10施工过程中须考虑成品保护措施费用以及材料运输过程中防尘、密闭运输、安全等措施费用及与建设、城管等部门之间的矛盾协调、处罚及应上缴的相关规费等费用，乙方须自行考虑，与甲方无涉。</w:t>
      </w:r>
    </w:p>
    <w:p>
      <w:pPr>
        <w:spacing w:line="500" w:lineRule="exact"/>
        <w:ind w:firstLine="4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9.11乙方竣工清场前，必须将现场的建筑垃圾及生产、生活等临时设施拆除、清运出施工现场，并运至甲方指定地点，否则甲方有权让第三方代为实施，但所发生的费用由甲方直接在乙方到期工程款中扣除。</w:t>
      </w:r>
    </w:p>
    <w:p>
      <w:pPr>
        <w:spacing w:line="500" w:lineRule="exact"/>
        <w:ind w:firstLine="463"/>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10、保修及服务：</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10.1乙方负责本项目的维护、坏损材料设备的更换等维修保养，应结合本项目的具体情况，制定详细的维护计划，并经甲方认可同意。</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10.2本项目质量保修期详见《工程质量保修书》，质保期起算日：经验收合格后，双方办理正式移交手续并从次日起开始计算质量保修期），在此期间，乙方应无偿负责本项目的维保（维修和保养）、坏损材料设备的更换（人为破坏除外）和技术支持等。</w:t>
      </w:r>
    </w:p>
    <w:p>
      <w:p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10.3售后服务要求</w:t>
      </w:r>
    </w:p>
    <w:p>
      <w:pPr>
        <w:numPr>
          <w:ilvl w:val="0"/>
          <w:numId w:val="4"/>
        </w:num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自竣工验收合格之日起，为本项目整体提供不低于2年的免费维修保养；本项目硬件设备提供原厂不低于2年免费保修以及软件设备提供原厂不低于2年免费升级。</w:t>
      </w:r>
    </w:p>
    <w:p>
      <w:pPr>
        <w:numPr>
          <w:ilvl w:val="0"/>
          <w:numId w:val="4"/>
        </w:num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规定的质量保证期内，乙方应对由于设计制作、工艺或材料的缺陷而发生的任何不足或故障负责。质保期内免费负责修理或更换有缺陷的零部件或整机并相应延长此保修期，否则，甲方可采取必要的补救措施，但风险和费用将由乙方承担；质保期满后提供有偿服务，投标文件中提供质保期内和质保期满后的质保服务措施方案。质保期过后如甲方要求需提供上门维修服务，终身维修并标明保修期后的具体维修维护事宜；乙方应在投标文件中提供详细具体的售后服务保证条款及承诺。</w:t>
      </w:r>
    </w:p>
    <w:p>
      <w:pPr>
        <w:numPr>
          <w:ilvl w:val="0"/>
          <w:numId w:val="4"/>
        </w:numPr>
        <w:tabs>
          <w:tab w:val="left" w:pos="790"/>
        </w:tabs>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免费保修期内需提供7×24小时响应服务，确保2小时内响应，3小时内到达现场，24小时内提供解决方案，如遇重大活动，需提供现场技术支持和服务。</w:t>
      </w:r>
    </w:p>
    <w:p>
      <w:pPr>
        <w:tabs>
          <w:tab w:val="left" w:pos="790"/>
        </w:tabs>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（4）乙方需至少为采购单位提供一周以上时间的现场培训，保证甲方的操作人可以熟练操作。</w:t>
      </w:r>
    </w:p>
    <w:p>
      <w:pPr>
        <w:spacing w:line="500" w:lineRule="exact"/>
        <w:ind w:left="-99" w:firstLine="60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11、分包</w:t>
      </w:r>
    </w:p>
    <w:p>
      <w:pPr>
        <w:spacing w:line="500" w:lineRule="exact"/>
        <w:ind w:left="-99"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11.1除国家规定必须具有专项资质施工可分包外，其余项目甲方不允许乙方将工程转包和违法分包给任何第三方，如发现转包或违法分包行为，限令改正，否则甲方有权立即终止合同。</w:t>
      </w:r>
    </w:p>
    <w:p>
      <w:pPr>
        <w:spacing w:line="500" w:lineRule="exact"/>
        <w:ind w:firstLine="47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12、违约责任</w:t>
      </w:r>
    </w:p>
    <w:p>
      <w:pPr>
        <w:spacing w:line="500" w:lineRule="exact"/>
        <w:ind w:firstLine="4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12.1甲方或乙方如违约，应按《中华人民共和国民法典》和招标文件的约定承担其违约责任，赔偿因其违约给对方造成的损失。</w:t>
      </w:r>
    </w:p>
    <w:p>
      <w:pPr>
        <w:spacing w:line="520" w:lineRule="exact"/>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13、不可抗力</w:t>
      </w:r>
    </w:p>
    <w:p>
      <w:pPr>
        <w:spacing w:line="52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 如果甲、乙双方中任何一方由于战争、严重火灾、水灾、台风和地震以及其他经甲、乙双方同意属于不可抗力的事故，致使合同履行受阻时，履行合同的期限应予延长，延长的期限应相当于事故所影响的时间。</w:t>
      </w:r>
    </w:p>
    <w:p>
      <w:pPr>
        <w:spacing w:line="52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受事故影响的一方应在不可抗力的事故发生后尽快以电报或电传通知另一方。如果不可抗力影响时间延续120天以上的，甲、乙双方应通过友好协商在合理的时间内达成进一步履行合同的协议。</w:t>
      </w:r>
    </w:p>
    <w:p>
      <w:pPr>
        <w:spacing w:line="520" w:lineRule="exact"/>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14、履约保证金</w:t>
      </w:r>
    </w:p>
    <w:p>
      <w:pPr>
        <w:spacing w:line="500" w:lineRule="exact"/>
        <w:ind w:firstLine="537"/>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乙方签订合同前向甲方缴纳中标价</w:t>
      </w:r>
      <w:r>
        <w:rPr>
          <w:rFonts w:hint="eastAsia"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val="zh-CN"/>
          <w14:textFill>
            <w14:solidFill>
              <w14:schemeClr w14:val="tx1"/>
            </w14:solidFill>
          </w14:textFill>
        </w:rPr>
        <w:t>%的履约保证金，履约保证金乙方自主选择以支票、汇票、本票或者金融机构、</w:t>
      </w:r>
      <w:r>
        <w:rPr>
          <w:rFonts w:hint="eastAsia" w:ascii="宋体" w:hAnsi="宋体" w:cs="宋体"/>
          <w:color w:val="000000" w:themeColor="text1"/>
          <w:sz w:val="24"/>
          <w:highlight w:val="none"/>
          <w14:textFill>
            <w14:solidFill>
              <w14:schemeClr w14:val="tx1"/>
            </w14:solidFill>
          </w14:textFill>
        </w:rPr>
        <w:t>保险机构、</w:t>
      </w:r>
      <w:r>
        <w:rPr>
          <w:rFonts w:hint="eastAsia" w:ascii="宋体" w:hAnsi="宋体" w:cs="宋体"/>
          <w:color w:val="000000" w:themeColor="text1"/>
          <w:sz w:val="24"/>
          <w:highlight w:val="none"/>
          <w:lang w:val="zh-CN"/>
          <w14:textFill>
            <w14:solidFill>
              <w14:schemeClr w14:val="tx1"/>
            </w14:solidFill>
          </w14:textFill>
        </w:rPr>
        <w:t>担保机构出具的保函等非现金形式提交至甲方指定帐户并存于甲方处(根据苏财购[2023]150号《关于在全省政府采购领域推行电子履约保函(保险)的通知》乙方可选择电子保函(保险)的形式)，待工程结束并通过验收合格后且无违约情况方可退还（</w:t>
      </w:r>
      <w:r>
        <w:rPr>
          <w:rFonts w:hint="eastAsia" w:ascii="宋体" w:hAnsi="宋体" w:cs="宋体"/>
          <w:color w:val="000000" w:themeColor="text1"/>
          <w:sz w:val="24"/>
          <w:highlight w:val="none"/>
          <w14:textFill>
            <w14:solidFill>
              <w14:schemeClr w14:val="tx1"/>
            </w14:solidFill>
          </w14:textFill>
        </w:rPr>
        <w:t>无息</w:t>
      </w:r>
      <w:r>
        <w:rPr>
          <w:rFonts w:hint="eastAsia" w:ascii="宋体" w:hAnsi="宋体" w:cs="宋体"/>
          <w:color w:val="000000" w:themeColor="text1"/>
          <w:sz w:val="24"/>
          <w:highlight w:val="none"/>
          <w:lang w:val="zh-CN"/>
          <w14:textFill>
            <w14:solidFill>
              <w14:schemeClr w14:val="tx1"/>
            </w14:solidFill>
          </w14:textFill>
        </w:rPr>
        <w:t>）。乙方不能按要求提交履约担保的，视为放弃中标，由此给甲方造成的损失乙方应当予以赔偿。</w:t>
      </w:r>
    </w:p>
    <w:p>
      <w:pPr>
        <w:spacing w:line="500" w:lineRule="exact"/>
        <w:ind w:firstLine="537"/>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甲方对AA评级及以上的政府采购供应商（需提供信用管理部门备案的第三方信用报告），可降低履约保证金缴纳比例至5%。</w:t>
      </w:r>
    </w:p>
    <w:p>
      <w:pPr>
        <w:spacing w:line="500" w:lineRule="exact"/>
        <w:ind w:firstLine="537"/>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若有违约事项，履约保证金需按照具体约定扣除相应金额，如有剩余，在工程全部竣工验收合格备案通过后退还。</w:t>
      </w:r>
    </w:p>
    <w:p>
      <w:pPr>
        <w:spacing w:line="500" w:lineRule="exact"/>
        <w:ind w:firstLine="480"/>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zh-CN"/>
          <w14:textFill>
            <w14:solidFill>
              <w14:schemeClr w14:val="tx1"/>
            </w14:solidFill>
          </w14:textFill>
        </w:rPr>
        <w:t>、争议</w:t>
      </w:r>
    </w:p>
    <w:p>
      <w:pPr>
        <w:spacing w:line="500" w:lineRule="exact"/>
        <w:ind w:firstLine="537"/>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本合同在履行过程中发生的争议，由双方当事人协商解决，协商不成的，</w:t>
      </w:r>
      <w:r>
        <w:rPr>
          <w:rFonts w:hint="eastAsia" w:ascii="宋体" w:hAnsi="宋体" w:cs="宋体"/>
          <w:color w:val="000000" w:themeColor="text1"/>
          <w:sz w:val="24"/>
          <w:highlight w:val="none"/>
          <w14:textFill>
            <w14:solidFill>
              <w14:schemeClr w14:val="tx1"/>
            </w14:solidFill>
          </w14:textFill>
        </w:rPr>
        <w:t>任何一方均可向项目所在地人民法院起诉</w:t>
      </w:r>
      <w:r>
        <w:rPr>
          <w:rFonts w:hint="eastAsia" w:ascii="宋体" w:hAnsi="宋体" w:cs="宋体"/>
          <w:color w:val="000000" w:themeColor="text1"/>
          <w:sz w:val="24"/>
          <w:highlight w:val="none"/>
          <w:lang w:val="zh-CN"/>
          <w14:textFill>
            <w14:solidFill>
              <w14:schemeClr w14:val="tx1"/>
            </w14:solidFill>
          </w14:textFill>
        </w:rPr>
        <w:t>。</w:t>
      </w:r>
    </w:p>
    <w:p>
      <w:pPr>
        <w:spacing w:line="500" w:lineRule="exact"/>
        <w:ind w:firstLine="47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16、其他</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16.1乙方负责本项目的施工协调、矛盾处理，并承担由此发生的一切费用；甲方不承担任何费用和责任，工期不顺延。</w:t>
      </w:r>
    </w:p>
    <w:p>
      <w:pPr>
        <w:spacing w:line="500" w:lineRule="exact"/>
        <w:ind w:firstLine="4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16.2甲方有权监督和管理项目的设计、施工、安装、调试、验收等各项工作，乙方必须接受并服从甲方的监督、管理要求，无条件提供中间过程工作成果。</w:t>
      </w:r>
    </w:p>
    <w:p>
      <w:pPr>
        <w:spacing w:line="500" w:lineRule="exact"/>
        <w:ind w:firstLine="4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16.3乙方在施工过程中，根据现场情况须留设备检修口的必须保留；否则，乙方承担一切责任。</w:t>
      </w:r>
    </w:p>
    <w:p>
      <w:pPr>
        <w:spacing w:line="500" w:lineRule="exact"/>
        <w:ind w:firstLine="4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16.4乙方采购产生的所有调研费、差旅费及所获酬金的税费自理；</w:t>
      </w:r>
    </w:p>
    <w:p>
      <w:pPr>
        <w:spacing w:line="500" w:lineRule="exact"/>
        <w:ind w:firstLine="4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项目施工过程中项目负责人和投标时确认的项目部人员必须常驻现场实施施工管理，并参与甲方的日常考勤。中途项目负责人和项目部人员需离岗必须履行书面请假手续并经甲方同意。若未经甲方同意而擅自离岗的，将处以每人每天5000元的违约金，在支付工程款时从应付的工程款中扣除。若擅自离岗连续达7天以上的，经甲方提出仍未改正的，甲方有权终止合同，因此给甲方造成损失的，甲方将依法追偿。</w:t>
      </w:r>
    </w:p>
    <w:p>
      <w:pPr>
        <w:spacing w:line="460" w:lineRule="exact"/>
        <w:ind w:firstLine="479"/>
        <w:rPr>
          <w:rFonts w:ascii="宋体" w:hAnsi="宋体" w:cs="宋体"/>
          <w:bCs/>
          <w:strike/>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16.6在施工过程中，乙方不得以材料、设备供货时其生产厂家不生产或无法购买为理由要求甲方更改材料、设备品牌，如该项材料、设备确实无法购买，甲方调研市场后可确定目前市场中同等级品牌要求乙方组织采购并不予以调增结算价格，如乙方拒绝采购，由甲方自行组织采购，结算时按甲方采购价的1.5倍从合同价中扣除。</w:t>
      </w:r>
    </w:p>
    <w:p>
      <w:pPr>
        <w:spacing w:line="500" w:lineRule="exact"/>
        <w:ind w:firstLine="4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16.7本项目价款一律通过银行非现金结算。</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16.8本项目竣工验收及竣工结算审计须按相关规定执行。在竣工后配合审计部门工作，不配合审计部门审计工作的，按人民币5000元/次进行处罚，以上处罚均在竣工结算工程款中直接扣罚。</w:t>
      </w:r>
    </w:p>
    <w:p>
      <w:pPr>
        <w:spacing w:line="500" w:lineRule="exact"/>
        <w:ind w:firstLine="47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16.9甲方必要时安排队伍抢工时，所发生费用和责任均由乙方承担。</w:t>
      </w:r>
    </w:p>
    <w:p>
      <w:pPr>
        <w:spacing w:line="500" w:lineRule="exact"/>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16.10在本合同履行过程中，如乙方发生如下情形之一，甲方将视乙方严重违约，立即解除合同，乙方承担违约责任并承担由此造成的一切损失，乙方在现场的人员无条件退场，乙方在现场的设备和材料无条件供甲方使用，其设备和材料价值如有剩余,待双方商定或法院判决生效后7天内支付。</w:t>
      </w:r>
    </w:p>
    <w:p>
      <w:pPr>
        <w:spacing w:line="500" w:lineRule="exact"/>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 不同意本项目合同条件；</w:t>
      </w:r>
    </w:p>
    <w:p>
      <w:pPr>
        <w:spacing w:line="500" w:lineRule="exact"/>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 停工或拖延施工进度或影响施工质量；</w:t>
      </w:r>
    </w:p>
    <w:p>
      <w:pPr>
        <w:spacing w:line="500" w:lineRule="exact"/>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 无正当理由，单方面要挟甲方提高合同价款；</w:t>
      </w:r>
    </w:p>
    <w:p>
      <w:pPr>
        <w:spacing w:line="500" w:lineRule="exact"/>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 无正当理由，单方面要挟甲方给予某种补偿。</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乙方必须是所递交成果的合法权利人，且所用设计和施工工艺等知识产权不得侵犯他人知识产权，同时也不得直接挪用他人设计成果。如有所递交成果侵犯他人知识产权的情况发生，由乙方承担相应法律责任和相关费用，甲方对此不承担任何责任。</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16.12乙方所递交成果的设计构思和内容，受中华人民共和国相关知识产权法律、法规的保护。</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16.13乙方所递交成果的知识产权属甲方所有（所有设计底稿电子版须移交甲方所有），乙方享有署名权。未经甲方同意，设计成果不得作其他宣传使用。</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16.14本合同未尽事宜按《中华人民共和国民法典》和国家其他相关法律法规的有关规定协商解决。 </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16.15招标文件和投标文件作为本合同的组成部分，与本合同具有同等法律效力。</w:t>
      </w:r>
    </w:p>
    <w:p>
      <w:pPr>
        <w:pStyle w:val="179"/>
        <w:spacing w:line="46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16.16施工过程中，甲方将对乙方在施工组织方案中承诺的所有内容进行严格考核，如发现乙方不能满足其承诺内容，甲方可要求乙方进行立即整改，严重的可直接清退其出场，同时履约保证金不予退还。</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16.17  合同修改：欲对合同条款进行任何改动，均须由双方签署书面的合同修改书。</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16.18  合同生效及其他：</w:t>
      </w:r>
    </w:p>
    <w:p>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16.18.1  本合同正本一式六份，具有同等法律效力，甲乙双方各执三份，经甲、乙双方签字盖章后生效。</w:t>
      </w:r>
    </w:p>
    <w:p>
      <w:pPr>
        <w:spacing w:line="500" w:lineRule="exact"/>
        <w:ind w:firstLine="48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16.18.2  如需补充合同内容，经协商，甲、乙双方应签署书面补充合同协议，该协议将作为本合同的一个组成部分。</w:t>
      </w:r>
    </w:p>
    <w:p>
      <w:pPr>
        <w:pStyle w:val="14"/>
        <w:spacing w:before="120" w:after="120"/>
        <w:ind w:firstLine="72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甲方（盖章）：                       乙方（盖章）：</w:t>
      </w:r>
    </w:p>
    <w:p>
      <w:pPr>
        <w:pStyle w:val="14"/>
        <w:spacing w:before="120" w:after="120"/>
        <w:ind w:firstLine="72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                               地址：</w:t>
      </w:r>
    </w:p>
    <w:p>
      <w:pPr>
        <w:pStyle w:val="14"/>
        <w:spacing w:before="120" w:after="120"/>
        <w:ind w:firstLine="72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法定代表人或授权代表（签字）：       法定代表人或授权代表（签字）：                               </w:t>
      </w:r>
    </w:p>
    <w:p>
      <w:pPr>
        <w:pStyle w:val="24"/>
        <w:widowControl w:val="0"/>
        <w:snapToGrid w:val="0"/>
        <w:spacing w:before="0" w:beforeAutospacing="0" w:after="0" w:afterAutospacing="0" w:line="460" w:lineRule="exact"/>
        <w:ind w:firstLine="720" w:firstLineChars="3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承办部门负责人（签字）：</w:t>
      </w:r>
    </w:p>
    <w:p>
      <w:pPr>
        <w:pStyle w:val="24"/>
        <w:widowControl w:val="0"/>
        <w:snapToGrid w:val="0"/>
        <w:spacing w:before="0" w:beforeAutospacing="0" w:after="0" w:afterAutospacing="0" w:line="460" w:lineRule="exact"/>
        <w:ind w:firstLine="720" w:firstLineChars="3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联系电话：                             联系电话：</w:t>
      </w:r>
    </w:p>
    <w:p>
      <w:pPr>
        <w:spacing w:line="4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pStyle w:val="14"/>
        <w:spacing w:before="120" w:after="120"/>
        <w:ind w:left="718"/>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签订日期：      年  月  日               日期：年   月   日</w:t>
      </w:r>
    </w:p>
    <w:p>
      <w:pPr>
        <w:spacing w:line="460" w:lineRule="exact"/>
        <w:ind w:firstLine="1325" w:firstLineChars="300"/>
        <w:rPr>
          <w:rFonts w:ascii="宋体" w:hAnsi="宋体" w:cs="宋体"/>
          <w:b/>
          <w:color w:val="000000" w:themeColor="text1"/>
          <w:sz w:val="44"/>
          <w:highlight w:val="none"/>
          <w14:textFill>
            <w14:solidFill>
              <w14:schemeClr w14:val="tx1"/>
            </w14:solidFill>
          </w14:textFill>
        </w:rPr>
        <w:sectPr>
          <w:headerReference r:id="rId10" w:type="default"/>
          <w:footerReference r:id="rId11" w:type="default"/>
          <w:pgSz w:w="11906" w:h="16838"/>
          <w:pgMar w:top="1418" w:right="1417" w:bottom="1418" w:left="1417" w:header="851" w:footer="907" w:gutter="0"/>
          <w:pgBorders>
            <w:top w:val="none" w:sz="0" w:space="0"/>
            <w:left w:val="none" w:sz="0" w:space="0"/>
            <w:bottom w:val="none" w:sz="0" w:space="0"/>
            <w:right w:val="none" w:sz="0" w:space="0"/>
          </w:pgBorders>
          <w:cols w:space="720" w:num="1"/>
          <w:docGrid w:type="lines" w:linePitch="290" w:charSpace="0"/>
        </w:sectPr>
      </w:pPr>
    </w:p>
    <w:p>
      <w:pPr>
        <w:pStyle w:val="44"/>
        <w:spacing w:line="360" w:lineRule="auto"/>
        <w:outlineLvl w:val="0"/>
        <w:rPr>
          <w:rStyle w:val="54"/>
          <w:rFonts w:ascii="宋体" w:hAnsi="宋体" w:eastAsia="宋体" w:cs="宋体"/>
          <w:b/>
          <w:color w:val="000000" w:themeColor="text1"/>
          <w:sz w:val="24"/>
          <w:szCs w:val="24"/>
          <w:highlight w:val="none"/>
          <w14:textFill>
            <w14:solidFill>
              <w14:schemeClr w14:val="tx1"/>
            </w14:solidFill>
          </w14:textFill>
        </w:rPr>
      </w:pPr>
      <w:r>
        <w:rPr>
          <w:rStyle w:val="54"/>
          <w:rFonts w:hint="eastAsia" w:ascii="宋体" w:hAnsi="宋体" w:eastAsia="宋体" w:cs="宋体"/>
          <w:b/>
          <w:color w:val="000000" w:themeColor="text1"/>
          <w:sz w:val="44"/>
          <w:highlight w:val="none"/>
          <w14:textFill>
            <w14:solidFill>
              <w14:schemeClr w14:val="tx1"/>
            </w14:solidFill>
          </w14:textFill>
        </w:rPr>
        <w:t>第四章 项目需求</w:t>
      </w:r>
      <w:bookmarkEnd w:id="5"/>
    </w:p>
    <w:p>
      <w:pPr>
        <w:spacing w:line="360" w:lineRule="auto"/>
        <w:ind w:firstLine="482" w:firstLineChars="200"/>
        <w:outlineLvl w:val="0"/>
        <w:rPr>
          <w:rFonts w:ascii="宋体" w:hAnsi="宋体" w:cs="宋体"/>
          <w:color w:val="000000" w:themeColor="text1"/>
          <w:sz w:val="24"/>
          <w:szCs w:val="24"/>
          <w:highlight w:val="none"/>
          <w14:textFill>
            <w14:solidFill>
              <w14:schemeClr w14:val="tx1"/>
            </w14:solidFill>
          </w14:textFill>
        </w:rPr>
      </w:pPr>
      <w:bookmarkStart w:id="7" w:name="_Toc357772756"/>
      <w:bookmarkStart w:id="8" w:name="_Toc357773188"/>
      <w:bookmarkStart w:id="9" w:name="_Toc32259"/>
      <w:r>
        <w:rPr>
          <w:rFonts w:hint="eastAsia" w:ascii="宋体" w:hAnsi="宋体" w:cs="宋体"/>
          <w:b/>
          <w:bCs/>
          <w:color w:val="000000" w:themeColor="text1"/>
          <w:sz w:val="24"/>
          <w:szCs w:val="24"/>
          <w:highlight w:val="none"/>
          <w14:textFill>
            <w14:solidFill>
              <w14:schemeClr w14:val="tx1"/>
            </w14:solidFill>
          </w14:textFill>
        </w:rPr>
        <w:t>一、项目概况及内容要求</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（一）项目概况</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项目地址：</w:t>
      </w:r>
      <w:r>
        <w:rPr>
          <w:rFonts w:hint="eastAsia" w:ascii="宋体" w:hAnsi="宋体" w:cs="宋体"/>
          <w:color w:val="000000" w:themeColor="text1"/>
          <w:sz w:val="24"/>
          <w:szCs w:val="24"/>
          <w:highlight w:val="none"/>
          <w:lang w:val="en-US" w:eastAsia="zh-CN"/>
          <w14:textFill>
            <w14:solidFill>
              <w14:schemeClr w14:val="tx1"/>
            </w14:solidFill>
          </w14:textFill>
        </w:rPr>
        <w:t>商学院虚拟仿真中心</w:t>
      </w:r>
      <w:r>
        <w:rPr>
          <w:rFonts w:hint="eastAsia" w:ascii="宋体" w:hAnsi="宋体" w:cs="宋体"/>
          <w:color w:val="000000" w:themeColor="text1"/>
          <w:sz w:val="24"/>
          <w:szCs w:val="24"/>
          <w:highlight w:val="none"/>
          <w14:textFill>
            <w14:solidFill>
              <w14:schemeClr w14:val="tx1"/>
            </w14:solidFill>
          </w14:textFill>
        </w:rPr>
        <w:t>选址在江苏省盐城市解放南路285号，</w:t>
      </w:r>
      <w:r>
        <w:rPr>
          <w:rFonts w:hint="eastAsia" w:ascii="宋体" w:hAnsi="宋体" w:cs="宋体"/>
          <w:color w:val="000000" w:themeColor="text1"/>
          <w:sz w:val="24"/>
          <w:szCs w:val="24"/>
          <w:highlight w:val="none"/>
          <w:lang w:val="en-US" w:eastAsia="zh-CN"/>
          <w14:textFill>
            <w14:solidFill>
              <w14:schemeClr w14:val="tx1"/>
            </w14:solidFill>
          </w14:textFill>
        </w:rPr>
        <w:t>商学院2楼，3楼，建设面积约1000</w:t>
      </w:r>
      <w:r>
        <w:rPr>
          <w:rFonts w:hint="eastAsia" w:ascii="宋体" w:hAnsi="宋体" w:cs="宋体"/>
          <w:color w:val="000000" w:themeColor="text1"/>
          <w:sz w:val="24"/>
          <w:szCs w:val="24"/>
          <w:highlight w:val="none"/>
          <w14:textFill>
            <w14:solidFill>
              <w14:schemeClr w14:val="tx1"/>
            </w14:solidFill>
          </w14:textFill>
        </w:rPr>
        <w:t>平方米（以实际测量为准）。</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1、项目用途、预期效果或要求</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目前商学院机房构造、地板及线路系统等存在诸多问题，为提高教学质量、保证教育教学安全稳定，现需将商学院2F,3F局部改造为</w:t>
      </w:r>
      <w:r>
        <w:rPr>
          <w:rFonts w:hint="eastAsia" w:ascii="宋体" w:hAnsi="宋体" w:cs="宋体"/>
          <w:color w:val="000000" w:themeColor="text1"/>
          <w:sz w:val="24"/>
          <w:szCs w:val="24"/>
          <w:highlight w:val="none"/>
          <w:lang w:val="en-US" w:eastAsia="zh-CN"/>
          <w14:textFill>
            <w14:solidFill>
              <w14:schemeClr w14:val="tx1"/>
            </w14:solidFill>
          </w14:textFill>
        </w:rPr>
        <w:t>虚拟仿真中心</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80" w:firstLineChars="200"/>
        <w:outlineLvl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2、楼层布置（详见附件1）</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二层4间教室，</w:t>
      </w:r>
      <w:r>
        <w:rPr>
          <w:rFonts w:hint="eastAsia" w:ascii="宋体" w:hAnsi="宋体" w:cs="宋体"/>
          <w:color w:val="000000" w:themeColor="text1"/>
          <w:sz w:val="24"/>
          <w:szCs w:val="24"/>
          <w:highlight w:val="none"/>
          <w14:textFill>
            <w14:solidFill>
              <w14:schemeClr w14:val="tx1"/>
            </w14:solidFill>
          </w14:textFill>
        </w:rPr>
        <w:t>楼梯口205室外墙面做背景墙，202一间教室改造数智企业体验中心，其余2间与207教室改为数智企业营运中心、公共资源服务中心。</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层</w:t>
      </w:r>
      <w:r>
        <w:rPr>
          <w:rFonts w:hint="eastAsia" w:ascii="宋体" w:hAnsi="宋体" w:cs="宋体"/>
          <w:color w:val="000000" w:themeColor="text1"/>
          <w:sz w:val="24"/>
          <w:szCs w:val="24"/>
          <w:highlight w:val="none"/>
          <w:lang w:val="en-US" w:eastAsia="zh-CN"/>
          <w14:textFill>
            <w14:solidFill>
              <w14:schemeClr w14:val="tx1"/>
            </w14:solidFill>
          </w14:textFill>
        </w:rPr>
        <w:t>4间教室</w:t>
      </w:r>
      <w:r>
        <w:rPr>
          <w:rFonts w:hint="eastAsia" w:ascii="宋体" w:hAnsi="宋体" w:cs="宋体"/>
          <w:color w:val="000000" w:themeColor="text1"/>
          <w:sz w:val="24"/>
          <w:szCs w:val="24"/>
          <w:highlight w:val="none"/>
          <w14:textFill>
            <w14:solidFill>
              <w14:schemeClr w14:val="tx1"/>
            </w14:solidFill>
          </w14:textFill>
        </w:rPr>
        <w:t>布置301室、302室、303室改数智工程师认证中心、企业数智赋能培训中心，304室改产业数字经济研究中心。</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资金预算：</w:t>
      </w:r>
      <w:r>
        <w:rPr>
          <w:rFonts w:hint="eastAsia" w:ascii="宋体" w:hAnsi="宋体" w:cs="宋体"/>
          <w:color w:val="000000" w:themeColor="text1"/>
          <w:sz w:val="24"/>
          <w:szCs w:val="24"/>
          <w:highlight w:val="none"/>
          <w:lang w:eastAsia="zh-CN"/>
          <w14:textFill>
            <w14:solidFill>
              <w14:schemeClr w14:val="tx1"/>
            </w14:solidFill>
          </w14:textFill>
        </w:rPr>
        <w:t>50万</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（二）建设理念</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虚拟仿真实训室的建设本着建成集“教、学、做</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为一体的教学环境和专业综合性实训基地的理念，从演示实践教学、基本技能实训教学和项目综合实训教学三个层面，为《虚拟仿真》课程的实践教学供应保障。</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虚拟仿真实训室需要符合以下要求</w:t>
      </w:r>
    </w:p>
    <w:p>
      <w:pPr>
        <w:spacing w:line="360" w:lineRule="auto"/>
        <w:ind w:firstLine="480" w:firstLineChars="200"/>
        <w:outlineLvl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满足于综合性实践教学的要求建成后的实训室可以实现四种形式的教学与培训方式，极大丰富了教学内容和教法。“实物模拟仿真设备培训方式"，“实物虚拟操作培训方式”，“软件及仿真软件培训方法“和“新产品新技术呈现与介绍的培训方式”，这四种培训方式的综合应用，为社会培育高素养的技术人才奠定了基础</w:t>
      </w:r>
      <w:r>
        <w:rPr>
          <w:rFonts w:hint="eastAsia" w:ascii="宋体" w:hAnsi="宋体" w:cs="宋体"/>
          <w:color w:val="000000" w:themeColor="text1"/>
          <w:sz w:val="24"/>
          <w:szCs w:val="24"/>
          <w:highlight w:val="none"/>
          <w:lang w:eastAsia="zh-CN"/>
          <w14:textFill>
            <w14:solidFill>
              <w14:schemeClr w14:val="tx1"/>
            </w14:solidFill>
          </w14:textFill>
        </w:rPr>
        <w:t>。</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进展的趋势，力求体现先进性、前瞻性、有用性、可操作性及示范性。切实提高同学的实际操作力量和分析解决问题的综合力量使得纯学问性的教学与培训变得更加生动和形象，从而真正把握现代工业技术。</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实训室接受模拟仿真的实训手段，实现由单一基础技术的虚拟仿真实训训练到各种技术综合应用的虚拟仿真实训训练。力求体现虚拟化、仿真化、机电一体化方面的技术特色和行业应用及进展的趋势，力求体现先进性、前瞻性、有用性、可操作性及示范性。切实提高同学的实际操作力量和分析解决问题的综合力量使得纯学问性的教学与培训变得更加生动和形象，从而真正把握现代工业技术。</w:t>
      </w:r>
    </w:p>
    <w:p>
      <w:pPr>
        <w:spacing w:line="360" w:lineRule="auto"/>
        <w:ind w:firstLine="482"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二、设计施工的要求</w:t>
      </w:r>
    </w:p>
    <w:p>
      <w:pPr>
        <w:spacing w:line="360" w:lineRule="auto"/>
        <w:ind w:firstLine="480" w:firstLineChars="200"/>
        <w:outlineLvl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按照采购人提供的相关项目材料和采购文件要求及国家有关规范规定，装</w:t>
      </w:r>
      <w:r>
        <w:rPr>
          <w:rFonts w:hint="eastAsia" w:ascii="宋体" w:hAnsi="宋体" w:cs="宋体"/>
          <w:color w:val="000000" w:themeColor="text1"/>
          <w:sz w:val="24"/>
          <w:szCs w:val="24"/>
          <w:highlight w:val="none"/>
          <w:lang w:val="en-US" w:eastAsia="zh-CN"/>
          <w14:textFill>
            <w14:solidFill>
              <w14:schemeClr w14:val="tx1"/>
            </w14:solidFill>
          </w14:textFill>
        </w:rPr>
        <w:t>修</w:t>
      </w:r>
      <w:r>
        <w:rPr>
          <w:rFonts w:hint="eastAsia" w:ascii="宋体" w:hAnsi="宋体" w:cs="宋体"/>
          <w:color w:val="000000" w:themeColor="text1"/>
          <w:sz w:val="24"/>
          <w:szCs w:val="24"/>
          <w:highlight w:val="none"/>
          <w14:textFill>
            <w14:solidFill>
              <w14:schemeClr w14:val="tx1"/>
            </w14:solidFill>
          </w14:textFill>
        </w:rPr>
        <w:t>设计必须保证房屋的结构安全性，不破坏原建筑的消防功能。</w:t>
      </w:r>
      <w:r>
        <w:rPr>
          <w:rFonts w:hint="eastAsia" w:ascii="宋体" w:hAnsi="宋体" w:cs="宋体"/>
          <w:color w:val="000000" w:themeColor="text1"/>
          <w:sz w:val="24"/>
          <w:szCs w:val="24"/>
          <w:highlight w:val="none"/>
          <w:lang w:val="en-US" w:eastAsia="zh-CN"/>
          <w14:textFill>
            <w14:solidFill>
              <w14:schemeClr w14:val="tx1"/>
            </w14:solidFill>
          </w14:textFill>
        </w:rPr>
        <w:t>商学院虚拟仿真中心</w:t>
      </w:r>
      <w:r>
        <w:rPr>
          <w:rFonts w:hint="eastAsia" w:ascii="宋体" w:hAnsi="宋体" w:cs="宋体"/>
          <w:color w:val="000000" w:themeColor="text1"/>
          <w:sz w:val="24"/>
          <w:szCs w:val="24"/>
          <w:highlight w:val="none"/>
          <w14:textFill>
            <w14:solidFill>
              <w14:schemeClr w14:val="tx1"/>
            </w14:solidFill>
          </w14:textFill>
        </w:rPr>
        <w:t>设计以学校的从演示实践教学、基本</w:t>
      </w:r>
      <w:r>
        <w:rPr>
          <w:rFonts w:hint="eastAsia" w:ascii="宋体" w:hAnsi="宋体" w:cs="宋体"/>
          <w:color w:val="000000" w:themeColor="text1"/>
          <w:sz w:val="24"/>
          <w:szCs w:val="24"/>
          <w:highlight w:val="none"/>
          <w:lang w:val="en-US" w:eastAsia="zh-CN"/>
          <w14:textFill>
            <w14:solidFill>
              <w14:schemeClr w14:val="tx1"/>
            </w14:solidFill>
          </w14:textFill>
        </w:rPr>
        <w:t>技能实训教学和项目综合实训教学内容为依托，展示学校深厚的文化底蕴和为社会创造人才的理念。中心设计（包括整体策划、平面布置图等）要与教学、实训相结合，达到一体化设计和布展效果。设计必须满足采购人需求和紧密结合商学院虚拟仿真中心的主题定位要求，应主题鲜明、强化亮点。通过合理规划功能区域，充分让学生通过模拟中心更能深入学习各项技能，清晰展示学校在发展过程中形成办学特色的脉络。</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（一）设计具体要求</w:t>
      </w:r>
    </w:p>
    <w:p>
      <w:pPr>
        <w:spacing w:line="360" w:lineRule="auto"/>
        <w:ind w:firstLine="480" w:firstLineChars="200"/>
        <w:outlineLvl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1.体现艺术性，设计造型新颖、简洁朴实、庄重大气；视觉效果好，有冲击力；可通过多种表现形式和手段，体现商学院教学的先进，彰显学校办学特色和文化内涵。</w:t>
      </w:r>
    </w:p>
    <w:p>
      <w:pPr>
        <w:spacing w:line="360" w:lineRule="auto"/>
        <w:ind w:firstLine="480" w:firstLineChars="200"/>
        <w:outlineLvl w:val="0"/>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2.遵循实用性，设计方案功能齐全，教室布局合理，满足参观的空间及教学的需要。顶面和地面须按整个空间的风格进行设计，确保质感精良、协调美观。</w:t>
      </w:r>
    </w:p>
    <w:p>
      <w:pPr>
        <w:spacing w:line="360" w:lineRule="auto"/>
        <w:ind w:firstLine="480" w:firstLineChars="200"/>
        <w:outlineLvl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保证安全性，设计需充分考虑到原建筑内的消防、空调、暖通、立柱、顶梁等设备和结构的处理，特别是妥善处理并充分利用好现有空间的结构特点，保证良好的展示效果和使用功能；供电及电器产品的线路、网线布置、管路的敷设、安装、使用，必须符合相关技术标准和设计规范要求，并满足绿色、节能环保的要求。标准及规范必须达到现行版的中华人民共和国有关法律法规、规范及地方法规的要求。</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（二）装饰空间设计要求</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1.空间设计方案风格应当充分把握商业模拟中心教学及展览整体设计风格，契合内容主题。</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2.空间设计的造型、色彩及灯光等有系统性，整体感强，既统一又富于变化。</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3.空间设计方案布局合理，空间流线设计合理，空间通透性好，色彩明亮。</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（三）质量要求</w:t>
      </w:r>
    </w:p>
    <w:p>
      <w:pPr>
        <w:spacing w:line="360" w:lineRule="auto"/>
        <w:ind w:firstLine="480" w:firstLineChars="200"/>
        <w:outlineLvl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1.学生课堂体验设计理念合理，充分考虑采用新材料新工艺，满足灵活性、耐用性、可替换性需求。效果全面、符合设计方案，并确保满足环保要求。</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（四）项目施工要求</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施工内容包含原建筑物拆除、地面清理、门的更换、吊顶及隔断与安装、通风扇的安装调试、空调系统强电线路铺设（不含空调采购和安装）、弱电系统（如网线布置）、垃圾清运等相关服务。</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s="宋体"/>
          <w:color w:val="000000" w:themeColor="text1"/>
          <w:sz w:val="24"/>
          <w:szCs w:val="24"/>
          <w:highlight w:val="none"/>
          <w14:textFill>
            <w14:solidFill>
              <w14:schemeClr w14:val="tx1"/>
            </w14:solidFill>
          </w14:textFill>
        </w:rPr>
        <w:t>）</w:t>
      </w:r>
      <w:bookmarkStart w:id="10" w:name="_Toc115082606"/>
      <w:bookmarkStart w:id="11" w:name="_Toc118796087"/>
      <w:r>
        <w:rPr>
          <w:rFonts w:hint="eastAsia" w:ascii="宋体" w:hAnsi="宋体" w:cs="宋体"/>
          <w:color w:val="000000" w:themeColor="text1"/>
          <w:sz w:val="24"/>
          <w:szCs w:val="24"/>
          <w:highlight w:val="none"/>
          <w14:textFill>
            <w14:solidFill>
              <w14:schemeClr w14:val="tx1"/>
            </w14:solidFill>
          </w14:textFill>
        </w:rPr>
        <w:t>选用材料</w:t>
      </w:r>
      <w:bookmarkEnd w:id="10"/>
      <w:bookmarkEnd w:id="11"/>
      <w:r>
        <w:rPr>
          <w:rFonts w:hint="eastAsia" w:ascii="宋体" w:hAnsi="宋体" w:cs="宋体"/>
          <w:color w:val="000000" w:themeColor="text1"/>
          <w:sz w:val="24"/>
          <w:szCs w:val="24"/>
          <w:highlight w:val="none"/>
          <w14:textFill>
            <w14:solidFill>
              <w14:schemeClr w14:val="tx1"/>
            </w14:solidFill>
          </w14:textFill>
        </w:rPr>
        <w:t>的技术要求</w:t>
      </w:r>
    </w:p>
    <w:p>
      <w:pPr>
        <w:spacing w:line="360" w:lineRule="auto"/>
        <w:ind w:firstLine="480" w:firstLineChars="200"/>
        <w:outlineLvl w:val="0"/>
        <w:rPr>
          <w:rFonts w:hint="eastAsia" w:ascii="宋体" w:hAnsi="宋体" w:cs="宋体"/>
          <w:color w:val="000000" w:themeColor="text1"/>
          <w:sz w:val="24"/>
          <w:szCs w:val="24"/>
          <w:highlight w:val="none"/>
          <w:lang w:val="en-US" w:eastAsia="zh-CN"/>
          <w14:textFill>
            <w14:solidFill>
              <w14:schemeClr w14:val="tx1"/>
            </w14:solidFill>
          </w14:textFill>
        </w:rPr>
      </w:pPr>
      <w:bookmarkStart w:id="12" w:name="_Toc118796088"/>
      <w:bookmarkStart w:id="13" w:name="_Toc112121412"/>
      <w:bookmarkStart w:id="14" w:name="_Toc115082607"/>
      <w:r>
        <w:rPr>
          <w:rFonts w:hint="eastAsia" w:ascii="宋体" w:hAnsi="宋体" w:cs="宋体"/>
          <w:color w:val="000000" w:themeColor="text1"/>
          <w:sz w:val="24"/>
          <w:szCs w:val="24"/>
          <w:highlight w:val="none"/>
          <w:lang w:val="en-US" w:eastAsia="zh-CN"/>
          <w14:textFill>
            <w14:solidFill>
              <w14:schemeClr w14:val="tx1"/>
            </w14:solidFill>
          </w14:textFill>
        </w:rPr>
        <w:t>1.所投入使用的材料、结构和安装方式应科学、环保，使用安全、可靠等，严禁使用国家明令淘汰的材料，所有材料均须满足消防要求。</w:t>
      </w:r>
    </w:p>
    <w:p>
      <w:pPr>
        <w:spacing w:line="360" w:lineRule="auto"/>
        <w:ind w:firstLine="480" w:firstLineChars="200"/>
        <w:outlineLvl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2.设计和施工过程使用材料的品种、规格、性能应符合国家现行有关标准的规定,并应持有产品合格证，设计使用的主材料要有厂家相关送检报验合格证。</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3.文化墙的制作及装饰部分应确保安全可靠，结构合理，保证其强度、稳定性和可靠性达到采购人的要求。装饰施工中大量使用的主材料需在设计图纸中注明。</w:t>
      </w:r>
    </w:p>
    <w:bookmarkEnd w:id="12"/>
    <w:bookmarkEnd w:id="13"/>
    <w:bookmarkEnd w:id="14"/>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三、项目工期与进度要求</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1.项目工期：自合同签订之日起</w:t>
      </w:r>
      <w:r>
        <w:rPr>
          <w:rFonts w:hint="eastAsia" w:ascii="宋体" w:hAnsi="宋体" w:cs="宋体"/>
          <w:color w:val="000000" w:themeColor="text1"/>
          <w:sz w:val="24"/>
          <w:szCs w:val="24"/>
          <w:highlight w:val="none"/>
          <w:lang w:val="en-US" w:eastAsia="zh-CN"/>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日历天内竣工完毕，达到验收合格标准。</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项目为交钥匙项目。供应商报价应包括项目设计、施工、材料供应、产品制作、运输装卸费、保管、安装、调试、主材、配件及辅助材料费、人工费、检验检测、劳保、利润、税金、脚手架、验收、售后服务、培训、相关伴随服务、行业管理规费等一切费用。</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3.供应商应制定详细的项目实施进度计划和服务人员安排计划，并根据布展进度及时向采购人汇报。</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4.根据采购人的要求提供详细的</w:t>
      </w:r>
      <w:r>
        <w:rPr>
          <w:rFonts w:hint="eastAsia" w:ascii="宋体" w:hAnsi="宋体" w:cs="宋体"/>
          <w:color w:val="000000" w:themeColor="text1"/>
          <w:sz w:val="24"/>
          <w:szCs w:val="24"/>
          <w:highlight w:val="none"/>
          <w:lang w:val="en-US" w:eastAsia="zh-CN"/>
          <w14:textFill>
            <w14:solidFill>
              <w14:schemeClr w14:val="tx1"/>
            </w14:solidFill>
          </w14:textFill>
        </w:rPr>
        <w:t>装修施工</w:t>
      </w:r>
      <w:r>
        <w:rPr>
          <w:rFonts w:hint="eastAsia" w:ascii="宋体" w:hAnsi="宋体" w:cs="宋体"/>
          <w:color w:val="000000" w:themeColor="text1"/>
          <w:sz w:val="24"/>
          <w:szCs w:val="24"/>
          <w:highlight w:val="none"/>
          <w14:textFill>
            <w14:solidFill>
              <w14:schemeClr w14:val="tx1"/>
            </w14:solidFill>
          </w14:textFill>
        </w:rPr>
        <w:t>图纸，</w:t>
      </w:r>
      <w:r>
        <w:rPr>
          <w:rFonts w:hint="eastAsia" w:ascii="宋体" w:hAnsi="宋体" w:cs="宋体"/>
          <w:color w:val="000000" w:themeColor="text1"/>
          <w:sz w:val="24"/>
          <w:szCs w:val="24"/>
          <w:highlight w:val="none"/>
          <w:lang w:val="en-US" w:eastAsia="zh-CN"/>
          <w14:textFill>
            <w14:solidFill>
              <w14:schemeClr w14:val="tx1"/>
            </w14:solidFill>
          </w14:textFill>
        </w:rPr>
        <w:t>施工</w:t>
      </w:r>
      <w:r>
        <w:rPr>
          <w:rFonts w:hint="eastAsia" w:ascii="宋体" w:hAnsi="宋体" w:cs="宋体"/>
          <w:color w:val="000000" w:themeColor="text1"/>
          <w:sz w:val="24"/>
          <w:szCs w:val="24"/>
          <w:highlight w:val="none"/>
          <w14:textFill>
            <w14:solidFill>
              <w14:schemeClr w14:val="tx1"/>
            </w14:solidFill>
          </w14:textFill>
        </w:rPr>
        <w:t>方案最终确定后及时组织办理进场手续及项目</w:t>
      </w:r>
      <w:r>
        <w:rPr>
          <w:rFonts w:hint="eastAsia" w:ascii="宋体" w:hAnsi="宋体" w:cs="宋体"/>
          <w:color w:val="000000" w:themeColor="text1"/>
          <w:sz w:val="24"/>
          <w:szCs w:val="24"/>
          <w:highlight w:val="none"/>
          <w:lang w:val="en-US" w:eastAsia="zh-CN"/>
          <w14:textFill>
            <w14:solidFill>
              <w14:schemeClr w14:val="tx1"/>
            </w14:solidFill>
          </w14:textFill>
        </w:rPr>
        <w:t>实施</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5.供应商应在签订合同后15个日历天内进场施工布展。</w:t>
      </w:r>
    </w:p>
    <w:p>
      <w:pPr>
        <w:spacing w:line="360" w:lineRule="auto"/>
        <w:ind w:firstLine="482" w:firstLineChars="200"/>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四、投标文件设计方案要求</w:t>
      </w:r>
    </w:p>
    <w:p>
      <w:pPr>
        <w:tabs>
          <w:tab w:val="left" w:pos="5971"/>
        </w:tabs>
        <w:spacing w:line="360" w:lineRule="auto"/>
        <w:ind w:firstLine="482" w:firstLineChars="200"/>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1.设计成果文本（</w:t>
      </w:r>
      <w:r>
        <w:rPr>
          <w:rFonts w:hint="eastAsia" w:ascii="宋体" w:hAnsi="宋体" w:cs="宋体"/>
          <w:b/>
          <w:bCs/>
          <w:color w:val="000000" w:themeColor="text1"/>
          <w:sz w:val="24"/>
          <w:szCs w:val="24"/>
          <w:highlight w:val="none"/>
          <w:lang w:val="en-US" w:eastAsia="zh-CN"/>
          <w14:textFill>
            <w14:solidFill>
              <w14:schemeClr w14:val="tx1"/>
            </w14:solidFill>
          </w14:textFill>
        </w:rPr>
        <w:t>A3彩色，胶装）</w:t>
      </w:r>
    </w:p>
    <w:p>
      <w:pPr>
        <w:spacing w:line="360" w:lineRule="auto"/>
        <w:ind w:firstLine="482" w:firstLineChars="200"/>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.其他要求：</w:t>
      </w:r>
    </w:p>
    <w:p>
      <w:pPr>
        <w:spacing w:line="360" w:lineRule="auto"/>
        <w:ind w:firstLine="482" w:firstLineChars="200"/>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（1）方案设计说明——设计构想（项目构成及总体构想、布展设计的特点及亮点、展示大纲（至少三级纲）的编写、平面布置及流线说明、重要节点的处理和说明等）。</w:t>
      </w:r>
    </w:p>
    <w:p>
      <w:pPr>
        <w:spacing w:line="360" w:lineRule="auto"/>
        <w:ind w:firstLine="482" w:firstLineChars="200"/>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（2）规划设计总平面图、各展示区域的效果图和整体效果图，以及其它能清晰反映思路和形式的相关图纸。</w:t>
      </w:r>
    </w:p>
    <w:p>
      <w:pPr>
        <w:spacing w:line="360" w:lineRule="auto"/>
        <w:ind w:firstLine="482" w:firstLineChars="200"/>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）设计单位可根据自身设计特点，增加图纸或其他表现手段，更为有效地阐述设计意图。</w:t>
      </w:r>
    </w:p>
    <w:p>
      <w:pPr>
        <w:spacing w:line="360" w:lineRule="auto"/>
        <w:ind w:firstLine="482" w:firstLineChars="200"/>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（5）中标后中标人根据采购人要求对设计</w:t>
      </w:r>
      <w:r>
        <w:rPr>
          <w:rFonts w:hint="eastAsia" w:ascii="宋体" w:hAnsi="宋体" w:cs="宋体"/>
          <w:b/>
          <w:bCs/>
          <w:color w:val="000000" w:themeColor="text1"/>
          <w:sz w:val="24"/>
          <w:szCs w:val="24"/>
          <w:highlight w:val="none"/>
          <w:lang w:val="en-US" w:eastAsia="zh-CN"/>
          <w14:textFill>
            <w14:solidFill>
              <w14:schemeClr w14:val="tx1"/>
            </w14:solidFill>
          </w14:textFill>
        </w:rPr>
        <w:t>图纸</w:t>
      </w:r>
      <w:r>
        <w:rPr>
          <w:rFonts w:hint="eastAsia" w:ascii="宋体" w:hAnsi="宋体" w:cs="宋体"/>
          <w:b/>
          <w:bCs/>
          <w:color w:val="000000" w:themeColor="text1"/>
          <w:sz w:val="24"/>
          <w:szCs w:val="24"/>
          <w:highlight w:val="none"/>
          <w14:textFill>
            <w14:solidFill>
              <w14:schemeClr w14:val="tx1"/>
            </w14:solidFill>
          </w14:textFill>
        </w:rPr>
        <w:t>进行深化设计，并出具</w:t>
      </w:r>
      <w:r>
        <w:rPr>
          <w:rFonts w:hint="eastAsia" w:ascii="宋体" w:hAnsi="宋体" w:cs="宋体"/>
          <w:b/>
          <w:bCs/>
          <w:color w:val="000000" w:themeColor="text1"/>
          <w:sz w:val="24"/>
          <w:szCs w:val="24"/>
          <w:highlight w:val="none"/>
          <w:lang w:val="en-US" w:eastAsia="zh-CN"/>
          <w14:textFill>
            <w14:solidFill>
              <w14:schemeClr w14:val="tx1"/>
            </w14:solidFill>
          </w14:textFill>
        </w:rPr>
        <w:t>最终施工</w:t>
      </w:r>
      <w:r>
        <w:rPr>
          <w:rFonts w:hint="eastAsia" w:ascii="宋体" w:hAnsi="宋体" w:cs="宋体"/>
          <w:b/>
          <w:bCs/>
          <w:color w:val="000000" w:themeColor="text1"/>
          <w:sz w:val="24"/>
          <w:szCs w:val="24"/>
          <w:highlight w:val="none"/>
          <w14:textFill>
            <w14:solidFill>
              <w14:schemeClr w14:val="tx1"/>
            </w14:solidFill>
          </w14:textFill>
        </w:rPr>
        <w:t>图纸方案。</w:t>
      </w:r>
    </w:p>
    <w:p>
      <w:pPr>
        <w:spacing w:line="360" w:lineRule="auto"/>
        <w:ind w:firstLine="482" w:firstLineChars="200"/>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（6）中标人须根据最终确定的效果方案，出具</w:t>
      </w:r>
      <w:r>
        <w:rPr>
          <w:rFonts w:hint="eastAsia" w:ascii="宋体" w:hAnsi="宋体" w:cs="宋体"/>
          <w:b/>
          <w:bCs/>
          <w:color w:val="000000" w:themeColor="text1"/>
          <w:sz w:val="24"/>
          <w:szCs w:val="24"/>
          <w:highlight w:val="none"/>
          <w:lang w:val="en-US" w:eastAsia="zh-CN"/>
          <w14:textFill>
            <w14:solidFill>
              <w14:schemeClr w14:val="tx1"/>
            </w14:solidFill>
          </w14:textFill>
        </w:rPr>
        <w:t>施工效果图</w:t>
      </w:r>
      <w:r>
        <w:rPr>
          <w:rFonts w:hint="eastAsia" w:ascii="宋体" w:hAnsi="宋体" w:cs="宋体"/>
          <w:b/>
          <w:bCs/>
          <w:color w:val="000000" w:themeColor="text1"/>
          <w:sz w:val="24"/>
          <w:szCs w:val="24"/>
          <w:highlight w:val="none"/>
          <w14:textFill>
            <w14:solidFill>
              <w14:schemeClr w14:val="tx1"/>
            </w14:solidFill>
          </w14:textFill>
        </w:rPr>
        <w:t>包括但不限于以上内容。</w:t>
      </w:r>
    </w:p>
    <w:p>
      <w:pPr>
        <w:pStyle w:val="9"/>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    （7）投标设计成果知识产权以及版权：所有投标单位针对本项目的所有设计方案、草稿、图纸、样板、图片等的知识产权以及版权归采购单位所有，且采购单位不支付任何费用给所有投标单位（包括未中标供应商）。</w:t>
      </w:r>
    </w:p>
    <w:p>
      <w:pPr>
        <w:spacing w:line="360" w:lineRule="auto"/>
        <w:ind w:firstLine="420"/>
        <w:rPr>
          <w:rFonts w:asciiTheme="majorEastAsia" w:hAnsiTheme="majorEastAsia" w:eastAsiaTheme="majorEastAsia" w:cstheme="majorEastAsia"/>
          <w:b/>
          <w:bCs/>
          <w:color w:val="000000" w:themeColor="text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highlight w:val="none"/>
          <w14:textFill>
            <w14:solidFill>
              <w14:schemeClr w14:val="tx1"/>
            </w14:solidFill>
          </w14:textFill>
        </w:rPr>
        <w:t>五、主材及重要设备技术规格要求</w:t>
      </w:r>
    </w:p>
    <w:p>
      <w:pPr>
        <w:spacing w:line="360" w:lineRule="auto"/>
        <w:ind w:firstLine="482" w:firstLineChars="200"/>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（一）材料选用</w:t>
      </w:r>
    </w:p>
    <w:p>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项目为设计施工一体化采购项目，采购单位不提供展陈施工材料和相关设备，均由供应商负责采购。供应商根据设计方案用于本项目的建筑材料、设备等应选用符合国家规范、规程、标准、环保、节能、防火阻燃的产品，环保产品应无异味。</w:t>
      </w:r>
      <w:bookmarkStart w:id="15" w:name="_Toc53004037"/>
      <w:bookmarkStart w:id="16" w:name="_Toc53003669"/>
      <w:bookmarkStart w:id="17" w:name="_Toc52983677"/>
      <w:bookmarkStart w:id="18" w:name="_Toc53002079"/>
      <w:bookmarkStart w:id="19" w:name="_Toc53004257"/>
      <w:bookmarkStart w:id="20" w:name="_Toc54163962"/>
      <w:bookmarkStart w:id="21" w:name="_Toc52976838"/>
      <w:bookmarkStart w:id="22" w:name="_Toc52988110"/>
      <w:bookmarkStart w:id="23" w:name="_Toc52983828"/>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装饰材料工艺和材料品控必须满足国家相关规范标准，使用符合绿色环保、节能要求的材料，减少施工造成的污染和安全隐患。使用的材料为环保材料满足E0级，使用的木材、织布、橡胶、装饰等制作材料满足B1级防火材料。材料的燃烧性能符合现行国家标准GB50222-2017的规定。照明、电热器等设备的高温部位应采用岩棉、瓷管或玻璃棉等A级防火材料隔热。易蛀、易腐材料要进行防腐、防蚀处理。</w:t>
      </w:r>
    </w:p>
    <w:tbl>
      <w:tblPr>
        <w:tblStyle w:val="2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3"/>
        <w:gridCol w:w="1298"/>
        <w:gridCol w:w="2881"/>
        <w:gridCol w:w="2710"/>
        <w:gridCol w:w="1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83" w:type="dxa"/>
            <w:vAlign w:val="center"/>
          </w:tcPr>
          <w:p>
            <w:pPr>
              <w:pStyle w:val="180"/>
              <w:ind w:firstLine="0"/>
              <w:jc w:val="center"/>
              <w:rPr>
                <w:rFonts w:asciiTheme="majorEastAsia" w:hAnsiTheme="majorEastAsia" w:eastAsiaTheme="majorEastAsia" w:cstheme="majorEastAsia"/>
                <w:b/>
                <w:bCs/>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1"/>
                <w:highlight w:val="none"/>
                <w14:textFill>
                  <w14:solidFill>
                    <w14:schemeClr w14:val="tx1"/>
                  </w14:solidFill>
                </w14:textFill>
              </w:rPr>
              <w:t>序号</w:t>
            </w:r>
          </w:p>
        </w:tc>
        <w:tc>
          <w:tcPr>
            <w:tcW w:w="1298" w:type="dxa"/>
            <w:vAlign w:val="center"/>
          </w:tcPr>
          <w:p>
            <w:pPr>
              <w:pStyle w:val="180"/>
              <w:ind w:firstLine="0"/>
              <w:jc w:val="center"/>
              <w:rPr>
                <w:rFonts w:asciiTheme="majorEastAsia" w:hAnsiTheme="majorEastAsia" w:eastAsiaTheme="majorEastAsia" w:cstheme="majorEastAsia"/>
                <w:b/>
                <w:bCs/>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1"/>
                <w:highlight w:val="none"/>
                <w14:textFill>
                  <w14:solidFill>
                    <w14:schemeClr w14:val="tx1"/>
                  </w14:solidFill>
                </w14:textFill>
              </w:rPr>
              <w:t>材料名称</w:t>
            </w:r>
          </w:p>
        </w:tc>
        <w:tc>
          <w:tcPr>
            <w:tcW w:w="2881" w:type="dxa"/>
            <w:vAlign w:val="center"/>
          </w:tcPr>
          <w:p>
            <w:pPr>
              <w:pStyle w:val="180"/>
              <w:ind w:firstLine="0"/>
              <w:jc w:val="center"/>
              <w:rPr>
                <w:rFonts w:hint="default" w:asciiTheme="majorEastAsia" w:hAnsiTheme="majorEastAsia" w:eastAsiaTheme="majorEastAsia" w:cstheme="majorEastAsia"/>
                <w:b/>
                <w:bCs/>
                <w:color w:val="000000" w:themeColor="text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Cs w:val="21"/>
                <w:highlight w:val="none"/>
                <w:lang w:val="en-US" w:eastAsia="zh-CN"/>
                <w14:textFill>
                  <w14:solidFill>
                    <w14:schemeClr w14:val="tx1"/>
                  </w14:solidFill>
                </w14:textFill>
              </w:rPr>
              <w:t>技术标准</w:t>
            </w:r>
          </w:p>
        </w:tc>
        <w:tc>
          <w:tcPr>
            <w:tcW w:w="2710" w:type="dxa"/>
            <w:vAlign w:val="center"/>
          </w:tcPr>
          <w:p>
            <w:pPr>
              <w:pStyle w:val="180"/>
              <w:ind w:firstLine="0"/>
              <w:jc w:val="center"/>
              <w:rPr>
                <w:rFonts w:asciiTheme="majorEastAsia" w:hAnsiTheme="majorEastAsia" w:eastAsiaTheme="majorEastAsia" w:cstheme="majorEastAsia"/>
                <w:b/>
                <w:bCs/>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1"/>
                <w:highlight w:val="none"/>
                <w14:textFill>
                  <w14:solidFill>
                    <w14:schemeClr w14:val="tx1"/>
                  </w14:solidFill>
                </w14:textFill>
              </w:rPr>
              <w:t>推荐品牌</w:t>
            </w:r>
          </w:p>
        </w:tc>
        <w:tc>
          <w:tcPr>
            <w:tcW w:w="1150" w:type="dxa"/>
            <w:vAlign w:val="center"/>
          </w:tcPr>
          <w:p>
            <w:pPr>
              <w:pStyle w:val="180"/>
              <w:ind w:firstLine="0"/>
              <w:jc w:val="center"/>
              <w:rPr>
                <w:rFonts w:asciiTheme="majorEastAsia" w:hAnsiTheme="majorEastAsia" w:eastAsiaTheme="majorEastAsia" w:cstheme="majorEastAsia"/>
                <w:b/>
                <w:bCs/>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83"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1</w:t>
            </w:r>
          </w:p>
        </w:tc>
        <w:tc>
          <w:tcPr>
            <w:tcW w:w="1298"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纸面石膏板</w:t>
            </w:r>
          </w:p>
        </w:tc>
        <w:tc>
          <w:tcPr>
            <w:tcW w:w="2881"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优等品</w:t>
            </w:r>
          </w:p>
        </w:tc>
        <w:tc>
          <w:tcPr>
            <w:tcW w:w="2710"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拉法基、可耐福、龙牌</w:t>
            </w:r>
          </w:p>
        </w:tc>
        <w:tc>
          <w:tcPr>
            <w:tcW w:w="1150"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83"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2</w:t>
            </w:r>
          </w:p>
        </w:tc>
        <w:tc>
          <w:tcPr>
            <w:tcW w:w="1298"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涂料</w:t>
            </w:r>
          </w:p>
        </w:tc>
        <w:tc>
          <w:tcPr>
            <w:tcW w:w="2881"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优等品</w:t>
            </w:r>
          </w:p>
        </w:tc>
        <w:tc>
          <w:tcPr>
            <w:tcW w:w="2710"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立邦、多乐士、华润、三棵树、亚士</w:t>
            </w:r>
          </w:p>
        </w:tc>
        <w:tc>
          <w:tcPr>
            <w:tcW w:w="1150"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83"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3</w:t>
            </w:r>
          </w:p>
        </w:tc>
        <w:tc>
          <w:tcPr>
            <w:tcW w:w="1298"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胶合板门、木质门</w:t>
            </w:r>
          </w:p>
        </w:tc>
        <w:tc>
          <w:tcPr>
            <w:tcW w:w="2881"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优等品</w:t>
            </w:r>
          </w:p>
        </w:tc>
        <w:tc>
          <w:tcPr>
            <w:tcW w:w="2710"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梦天、莫干山、TATA、美心、大自然</w:t>
            </w:r>
          </w:p>
        </w:tc>
        <w:tc>
          <w:tcPr>
            <w:tcW w:w="1150"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83"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4</w:t>
            </w:r>
          </w:p>
        </w:tc>
        <w:tc>
          <w:tcPr>
            <w:tcW w:w="1298"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开关、插座</w:t>
            </w:r>
          </w:p>
        </w:tc>
        <w:tc>
          <w:tcPr>
            <w:tcW w:w="2881"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优等品</w:t>
            </w:r>
          </w:p>
        </w:tc>
        <w:tc>
          <w:tcPr>
            <w:tcW w:w="2710"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正泰、欧普、雷士、松下</w:t>
            </w:r>
          </w:p>
        </w:tc>
        <w:tc>
          <w:tcPr>
            <w:tcW w:w="1150"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83"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5</w:t>
            </w:r>
          </w:p>
        </w:tc>
        <w:tc>
          <w:tcPr>
            <w:tcW w:w="1298"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普通照明灯具</w:t>
            </w:r>
          </w:p>
        </w:tc>
        <w:tc>
          <w:tcPr>
            <w:tcW w:w="2881"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优等品</w:t>
            </w:r>
          </w:p>
        </w:tc>
        <w:tc>
          <w:tcPr>
            <w:tcW w:w="2710"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三雄极光、欧普、雷士</w:t>
            </w:r>
          </w:p>
        </w:tc>
        <w:tc>
          <w:tcPr>
            <w:tcW w:w="1150"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83"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6</w:t>
            </w:r>
          </w:p>
        </w:tc>
        <w:tc>
          <w:tcPr>
            <w:tcW w:w="1298"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电线、电缆</w:t>
            </w:r>
          </w:p>
        </w:tc>
        <w:tc>
          <w:tcPr>
            <w:tcW w:w="2881"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优等品</w:t>
            </w:r>
          </w:p>
        </w:tc>
        <w:tc>
          <w:tcPr>
            <w:tcW w:w="2710"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江南、远东、上上、东强</w:t>
            </w:r>
          </w:p>
        </w:tc>
        <w:tc>
          <w:tcPr>
            <w:tcW w:w="1150"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83"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7</w:t>
            </w:r>
          </w:p>
        </w:tc>
        <w:tc>
          <w:tcPr>
            <w:tcW w:w="1298"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成套配电箱(元器件)</w:t>
            </w:r>
          </w:p>
        </w:tc>
        <w:tc>
          <w:tcPr>
            <w:tcW w:w="2881"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优等品</w:t>
            </w:r>
          </w:p>
        </w:tc>
        <w:tc>
          <w:tcPr>
            <w:tcW w:w="2710" w:type="dxa"/>
            <w:vAlign w:val="center"/>
          </w:tcPr>
          <w:p>
            <w:pPr>
              <w:keepNext w:val="0"/>
              <w:keepLines w:val="0"/>
              <w:widowControl/>
              <w:suppressLineNumbers w:val="0"/>
              <w:jc w:val="center"/>
              <w:textAlignment w:val="center"/>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正泰、上海人民、德力西</w:t>
            </w:r>
          </w:p>
        </w:tc>
        <w:tc>
          <w:tcPr>
            <w:tcW w:w="1150" w:type="dxa"/>
            <w:vAlign w:val="center"/>
          </w:tcPr>
          <w:p>
            <w:pPr>
              <w:pStyle w:val="180"/>
              <w:ind w:firstLine="0"/>
              <w:jc w:val="center"/>
              <w:rPr>
                <w:rFonts w:asciiTheme="majorEastAsia" w:hAnsiTheme="majorEastAsia" w:eastAsiaTheme="majorEastAsia" w:cstheme="majorEastAsia"/>
                <w:color w:val="000000" w:themeColor="text1"/>
                <w:szCs w:val="21"/>
                <w:highlight w:val="none"/>
                <w14:textFill>
                  <w14:solidFill>
                    <w14:schemeClr w14:val="tx1"/>
                  </w14:solidFill>
                </w14:textFill>
              </w:rPr>
            </w:pPr>
          </w:p>
        </w:tc>
      </w:tr>
    </w:tbl>
    <w:p>
      <w:pPr>
        <w:spacing w:line="360" w:lineRule="auto"/>
        <w:ind w:firstLine="42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投标人投标时可不具体选择哪一个品牌投标，但供货时必须是招标人推荐品牌或型号中的一种。投标人投标时投标文件中可不提供投标人选用品牌一览表，但投标人一旦参加本项目投标，视为认可招标人推荐的品牌及型号。投标人选用其它品牌投标的，其必须优于或相当于招标人推荐的品牌或型号，同时必须在投标人提出问题的截止时间前以答疑的形式提出，经招标人认可且在答疑澄清截止时间前以答疑的形式发出后方可。中标人不得以其中一个品牌或几个品牌已不生产为由或其它任何理由要求招标人更换品牌，如发生类似情况，招标人有权取消其中标资格。</w:t>
      </w:r>
    </w:p>
    <w:bookmarkEnd w:id="15"/>
    <w:bookmarkEnd w:id="16"/>
    <w:bookmarkEnd w:id="17"/>
    <w:bookmarkEnd w:id="18"/>
    <w:bookmarkEnd w:id="19"/>
    <w:bookmarkEnd w:id="20"/>
    <w:bookmarkEnd w:id="21"/>
    <w:bookmarkEnd w:id="22"/>
    <w:bookmarkEnd w:id="23"/>
    <w:p>
      <w:pPr>
        <w:ind w:firstLine="422" w:firstLineChars="200"/>
        <w:rPr>
          <w:rFonts w:asciiTheme="majorEastAsia" w:hAnsiTheme="majorEastAsia" w:eastAsiaTheme="majorEastAsia" w:cstheme="majorEastAsia"/>
          <w:b/>
          <w:bCs/>
          <w:color w:val="000000" w:themeColor="text1"/>
          <w:highlight w:val="none"/>
          <w14:textFill>
            <w14:solidFill>
              <w14:schemeClr w14:val="tx1"/>
            </w14:solidFill>
          </w14:textFill>
        </w:rPr>
      </w:pPr>
      <w:r>
        <w:rPr>
          <w:rFonts w:hint="eastAsia" w:asciiTheme="majorEastAsia" w:hAnsiTheme="majorEastAsia" w:eastAsiaTheme="majorEastAsia" w:cstheme="majorEastAsia"/>
          <w:b/>
          <w:bCs/>
          <w:color w:val="000000" w:themeColor="text1"/>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highlight w:val="none"/>
          <w:lang w:val="en-US" w:eastAsia="zh-CN"/>
          <w14:textFill>
            <w14:solidFill>
              <w14:schemeClr w14:val="tx1"/>
            </w14:solidFill>
          </w14:textFill>
        </w:rPr>
        <w:t>二</w:t>
      </w:r>
      <w:r>
        <w:rPr>
          <w:rFonts w:hint="eastAsia" w:asciiTheme="majorEastAsia" w:hAnsiTheme="majorEastAsia" w:eastAsiaTheme="majorEastAsia" w:cstheme="majorEastAsia"/>
          <w:b/>
          <w:bCs/>
          <w:color w:val="000000" w:themeColor="text1"/>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highlight w:val="none"/>
          <w:lang w:val="en-US" w:eastAsia="zh-CN"/>
          <w14:textFill>
            <w14:solidFill>
              <w14:schemeClr w14:val="tx1"/>
            </w14:solidFill>
          </w14:textFill>
        </w:rPr>
        <w:t>装饰</w:t>
      </w:r>
      <w:r>
        <w:rPr>
          <w:rFonts w:hint="eastAsia" w:asciiTheme="majorEastAsia" w:hAnsiTheme="majorEastAsia" w:eastAsiaTheme="majorEastAsia" w:cstheme="majorEastAsia"/>
          <w:b/>
          <w:bCs/>
          <w:color w:val="000000" w:themeColor="text1"/>
          <w:highlight w:val="none"/>
          <w14:textFill>
            <w14:solidFill>
              <w14:schemeClr w14:val="tx1"/>
            </w14:solidFill>
          </w14:textFill>
        </w:rPr>
        <w:t>工程要求</w:t>
      </w:r>
    </w:p>
    <w:tbl>
      <w:tblPr>
        <w:tblStyle w:val="27"/>
        <w:tblW w:w="0" w:type="auto"/>
        <w:tblInd w:w="10" w:type="dxa"/>
        <w:tblLayout w:type="fixed"/>
        <w:tblCellMar>
          <w:top w:w="15" w:type="dxa"/>
          <w:left w:w="15" w:type="dxa"/>
          <w:bottom w:w="0" w:type="dxa"/>
          <w:right w:w="15" w:type="dxa"/>
        </w:tblCellMar>
      </w:tblPr>
      <w:tblGrid>
        <w:gridCol w:w="629"/>
        <w:gridCol w:w="1535"/>
        <w:gridCol w:w="10"/>
        <w:gridCol w:w="4271"/>
        <w:gridCol w:w="813"/>
        <w:gridCol w:w="1037"/>
      </w:tblGrid>
      <w:tr>
        <w:tblPrEx>
          <w:tblCellMar>
            <w:top w:w="15" w:type="dxa"/>
            <w:left w:w="15" w:type="dxa"/>
            <w:bottom w:w="0" w:type="dxa"/>
            <w:right w:w="15" w:type="dxa"/>
          </w:tblCellMar>
        </w:tblPrEx>
        <w:trPr>
          <w:trHeight w:val="600" w:hRule="atLeast"/>
        </w:trPr>
        <w:tc>
          <w:tcPr>
            <w:tcW w:w="8295"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装饰</w:t>
            </w:r>
            <w:r>
              <w:rPr>
                <w:rFonts w:hint="eastAsia" w:ascii="宋体" w:hAnsi="宋体" w:eastAsia="宋体" w:cs="宋体"/>
                <w:b/>
                <w:color w:val="000000" w:themeColor="text1"/>
                <w:highlight w:val="none"/>
                <w14:textFill>
                  <w14:solidFill>
                    <w14:schemeClr w14:val="tx1"/>
                  </w14:solidFill>
                </w14:textFill>
              </w:rPr>
              <w:t>工程要求</w:t>
            </w:r>
          </w:p>
        </w:tc>
      </w:tr>
      <w:tr>
        <w:tblPrEx>
          <w:tblCellMar>
            <w:top w:w="15" w:type="dxa"/>
            <w:left w:w="15" w:type="dxa"/>
            <w:bottom w:w="0" w:type="dxa"/>
            <w:right w:w="15" w:type="dxa"/>
          </w:tblCellMar>
        </w:tblPrEx>
        <w:trPr>
          <w:trHeight w:val="90" w:hRule="atLeast"/>
        </w:trPr>
        <w:tc>
          <w:tcPr>
            <w:tcW w:w="62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项目名称</w:t>
            </w:r>
          </w:p>
        </w:tc>
        <w:tc>
          <w:tcPr>
            <w:tcW w:w="428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项目特征</w:t>
            </w: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单位</w:t>
            </w:r>
          </w:p>
        </w:tc>
        <w:tc>
          <w:tcPr>
            <w:tcW w:w="103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工程量</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砖砌体拆除</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1、砌体材质:投标人自行勘察现场</w:t>
            </w:r>
          </w:p>
          <w:p>
            <w:pPr>
              <w:keepNext w:val="0"/>
              <w:keepLines w:val="0"/>
              <w:widowControl/>
              <w:suppressLineNumbers w:val="0"/>
              <w:jc w:val="left"/>
              <w:textAlignment w:val="center"/>
              <w:rPr>
                <w:rFonts w:hint="default"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2、具体拆除位置</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根据实际需求</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3、拆除垃圾投标人自行处理</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m3</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22.08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木门拆除</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1、木门及门套拆除 ，具体位置根据建设单位要求</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2、木门拆除 ，投标人自行踏勘现场 ，拆除需满足后续施工及建设单位要求 ，  需考虑门侧</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边维修、局部找平 ，涉及地插等移位或恢复费用综合考虑 ，后期不予增加 ，承包人拆除时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须循序拆除 ，对相邻保留物须保持完好 ，  因拆除导致保留物损坏的由承包人无偿修复 ，拆除的门由承包人运至甲方指定地点</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3、投标人综合考虑门规格 ，最终结算不作调整</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4、含木门门套拆除</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樘</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吊顶天棚</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1、双层9.5mm石膏板(满批腻子三度乳胶漆三度)</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  吊杆采用900mm间距,第一根吊杆离墙面距离不大于300mm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3、承载龙骨采用900mm间距,第一根吊杆离墙面距离不大于300mm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4、覆面龙骨采用400mm间距,根据石膏板的长边平均分隔 ;</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5、固定石膏板螺钉的间距为150mm。</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m2</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铝方通吊顶</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1、龙骨材料种类、规格、中距 :铝合金条板龙骨</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2、面层材料品种、规格:铝方通50*100*1mm</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m2</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750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墙面喷刷涂料</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1、喷（刷、辊）乳胶漆涂料二道饰面</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2、封底漆一道（干燥后再做面涂）</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3、铲除原有墙面涂料</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m2</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366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金属踢脚线</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1、踢脚线高度:50mm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2、基层:九厘板</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3、面层 :1.0厚304黑钛不锈钢踢脚线</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260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橡胶板卷材楼</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地面</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面层材料品种、规格、颜色:2mm厚PVC卷材地板</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自流平找平</w:t>
            </w:r>
          </w:p>
          <w:p>
            <w:pPr>
              <w:keepNext w:val="0"/>
              <w:keepLines w:val="0"/>
              <w:widowControl/>
              <w:numPr>
                <w:ilvl w:val="0"/>
                <w:numId w:val="5"/>
              </w:numPr>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具体样式满足建设单位要求</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m2</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玻璃隔断</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双层6厚钢化玻璃铝合金隔断(白色边框)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内置铝百叶</w:t>
            </w:r>
          </w:p>
          <w:p>
            <w:pPr>
              <w:keepNext w:val="0"/>
              <w:keepLines w:val="0"/>
              <w:widowControl/>
              <w:numPr>
                <w:ilvl w:val="0"/>
                <w:numId w:val="0"/>
              </w:numPr>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3、双层中空系统隔断耐火时间H≥2小时</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m2</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92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隔断移门</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1、成品定制木饰面移门</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2、30mm宽铝合金边框</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3、含移门轨道、滑轮、顶部钢架制作</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4、规格 ：0.8*3m</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樘</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木质门带套</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1、900*2100mm单开成品实木复合门 ，尺寸结合图纸及现场综合考虑（样式由甲方和设计确认）</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2、含门套门线及门头装饰板</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3、含铰链执手锁门吸等全部五金（锁另计）</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樘</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木质门带套</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1、1200*2100mm双开成品实木复合门 ，尺寸结合图纸及现场综合考虑（样式由甲方和设计确认）</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2、含门套门线及门头装饰板</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3、含铰链执手锁门吸等全部五金</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（锁另计）</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樘</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电子锁（密码</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锁）</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1、具体样式满足建设单位要求</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把</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w:t>
            </w:r>
          </w:p>
        </w:tc>
        <w:tc>
          <w:tcPr>
            <w:tcW w:w="154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垃圾清运、室</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内外保洁</w:t>
            </w:r>
          </w:p>
        </w:tc>
        <w:tc>
          <w:tcPr>
            <w:tcW w:w="427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1、废弃料品种:建筑垃圾</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2、运距:投标人自行考虑</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3、工作内容:施工场地内的拆除工程、出新改造工程施工后产生的建筑垃圾及保洁过程中产生的垃圾清理外运注:该项包干价，结算时不予调整</w:t>
            </w:r>
          </w:p>
        </w:tc>
        <w:tc>
          <w:tcPr>
            <w:tcW w:w="81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w:t>
            </w:r>
          </w:p>
        </w:tc>
        <w:tc>
          <w:tcPr>
            <w:tcW w:w="103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 </w:t>
            </w:r>
          </w:p>
        </w:tc>
      </w:tr>
      <w:tr>
        <w:tblPrEx>
          <w:tblCellMar>
            <w:top w:w="15" w:type="dxa"/>
            <w:left w:w="15" w:type="dxa"/>
            <w:bottom w:w="0" w:type="dxa"/>
            <w:right w:w="15" w:type="dxa"/>
          </w:tblCellMar>
        </w:tblPrEx>
        <w:trPr>
          <w:trHeight w:val="600" w:hRule="atLeast"/>
        </w:trPr>
        <w:tc>
          <w:tcPr>
            <w:tcW w:w="8295" w:type="dxa"/>
            <w:gridSpan w:val="6"/>
            <w:tcBorders>
              <w:top w:val="single" w:color="000000" w:sz="4" w:space="0"/>
              <w:left w:val="single" w:color="000000" w:sz="8"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安装</w:t>
            </w:r>
            <w:r>
              <w:rPr>
                <w:rFonts w:hint="eastAsia" w:ascii="宋体" w:hAnsi="宋体" w:eastAsia="宋体" w:cs="宋体"/>
                <w:b/>
                <w:color w:val="000000" w:themeColor="text1"/>
                <w:highlight w:val="none"/>
                <w14:textFill>
                  <w14:solidFill>
                    <w14:schemeClr w14:val="tx1"/>
                  </w14:solidFill>
                </w14:textFill>
              </w:rPr>
              <w:t>工程</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配电箱</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名称:照明配电箱</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规格、型号 :1ALxz</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内部配置:符合设计图纸和技术要求</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安装方式:悬挂嵌入式</w:t>
            </w:r>
          </w:p>
          <w:p>
            <w:pPr>
              <w:keepNext w:val="0"/>
              <w:keepLines w:val="0"/>
              <w:widowControl/>
              <w:numPr>
                <w:ilvl w:val="0"/>
                <w:numId w:val="0"/>
              </w:numPr>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5、备 注:符合设计规范及验收要求</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台</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配管</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1、名称:电线管</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2、材质:刚性阻燃管</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3、规格:ZR-GB DN25</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4、配置形式:砖、混凝土结构暗配</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5、备注:具体要求详见招标文件、施工技术标准和规范要求</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1500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配线</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1、名称:绝缘导线</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2、配线形式:管内穿线</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3、规格、型号:WDZ-BYJ-2.5mm2</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4、材质:铜芯</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4600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配线</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1、名称:绝缘导线</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2、配线形式:管内穿线</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3、规格、型号:WDZ-BYJ-4mm2</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4、材质:铜芯</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1500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接线盒</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1、名称:接线盒</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2、材质:塑料</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3、规格:86型</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4、安装形式:暗装</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个</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109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插座</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1、名称:单相五孔 安全插座</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2、材质:阻燃、塑料</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3、规格:220V  16A</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4、安装方式:暗装</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个</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插座</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1、名称:柜式空调三极暗插座,带开关</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2、材质:阻燃、塑料</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3、规格 :16A ，250V</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4、安装方式:暗装</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个</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插座</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1、名称:地插</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2、规格 :16A ，250V</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个</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装饰灯</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1、名称:LED线条灯带</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2、规格、型号:30w</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装饰灯</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1、名称:200*900mm长条灯</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2、具体要求:30w</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套</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120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装饰灯</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1、名称:30w筒灯</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套</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装饰灯</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1、名称:平板灯</w:t>
            </w:r>
          </w:p>
          <w:p>
            <w:pPr>
              <w:keepNext w:val="0"/>
              <w:keepLines w:val="0"/>
              <w:widowControl/>
              <w:suppressLineNumbers w:val="0"/>
              <w:jc w:val="left"/>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2、规格、型号:30w</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套</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桥架</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1、名称:金属防火中间带隔板桥架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2、规格、型号:200*100mm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3、材质:钢制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4、类型:槽式桥架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5、接地方式:符合设计规范及验收要求</w:t>
            </w:r>
          </w:p>
          <w:p>
            <w:pPr>
              <w:keepNext w:val="0"/>
              <w:keepLines w:val="0"/>
              <w:widowControl/>
              <w:suppressLineNumbers w:val="0"/>
              <w:jc w:val="left"/>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6、备注:包含桥架接地、走线金属电缆桥架全长BV-1*16.0mm2接地干线、桥架、防火封堵、支撑架制安(不包含抗震支架)、支架刷漆符合设计要求</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202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送配电装置系</w:t>
            </w:r>
          </w:p>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统</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1、名称:交流供电送配电装置系统调试</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2、电压等级（kV）  :0.6/1kV</w:t>
            </w:r>
          </w:p>
          <w:p>
            <w:pPr>
              <w:keepNext w:val="0"/>
              <w:keepLines w:val="0"/>
              <w:widowControl/>
              <w:suppressLineNumbers w:val="0"/>
              <w:jc w:val="left"/>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3、备 注:最终结算时需出具相关试验报告</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系统</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 </w:t>
            </w:r>
          </w:p>
        </w:tc>
      </w:tr>
      <w:tr>
        <w:tblPrEx>
          <w:tblCellMar>
            <w:top w:w="15" w:type="dxa"/>
            <w:left w:w="15" w:type="dxa"/>
            <w:bottom w:w="0" w:type="dxa"/>
            <w:right w:w="15" w:type="dxa"/>
          </w:tblCellMar>
        </w:tblPrEx>
        <w:trPr>
          <w:trHeight w:val="600" w:hRule="atLeast"/>
        </w:trPr>
        <w:tc>
          <w:tcPr>
            <w:tcW w:w="62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15</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双绞线缆</w:t>
            </w:r>
          </w:p>
        </w:tc>
        <w:tc>
          <w:tcPr>
            <w:tcW w:w="42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1、名称:六类4对非屏蔽双绞线电缆</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2、类别:符合标准：  ISO/IEC11801：  008；  IEC61156-5-2009 ；TIA /EIA-568-C.2 ；通过标准250MHz带宽测试要求 可扩展到550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MHz带宽；  单根导体直流电阻：  ≤9.0Ω/100m;  额定传输速率(NVP)：68%；   电缆</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对数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对；十字骨架材料 ：PE混合物；  导体材料 ：无氧圆铜（纯度99.99%）；  导体</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线规：  23AWG；  绝缘材料 ：HDPE；  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蔽方式 ：U/UTP；电缆外径 ：6.3±0.3mm；</w:t>
            </w:r>
          </w:p>
          <w:p>
            <w:pPr>
              <w:keepNext w:val="0"/>
              <w:keepLines w:val="0"/>
              <w:widowControl/>
              <w:suppressLineNumbers w:val="0"/>
              <w:jc w:val="left"/>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外护套材料 ：LSZH低烟无卤阻燃或PE阻水；  安装温度 :0℃~+50℃;  工作温度 ：-20℃~+60℃;</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w:t>
            </w:r>
          </w:p>
        </w:tc>
        <w:tc>
          <w:tcPr>
            <w:tcW w:w="103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300 </w:t>
            </w:r>
          </w:p>
        </w:tc>
      </w:tr>
    </w:tbl>
    <w:p>
      <w:pPr>
        <w:ind w:left="420"/>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b/>
          <w:color w:val="000000" w:themeColor="text1"/>
          <w:highlight w:val="none"/>
          <w14:textFill>
            <w14:solidFill>
              <w14:schemeClr w14:val="tx1"/>
            </w14:solidFill>
          </w14:textFill>
        </w:rPr>
      </w:pPr>
      <w:r>
        <w:rPr>
          <w:rFonts w:hint="eastAsia" w:asciiTheme="majorEastAsia" w:hAnsiTheme="majorEastAsia" w:eastAsiaTheme="majorEastAsia" w:cstheme="majorEastAsia"/>
          <w:b/>
          <w:color w:val="000000" w:themeColor="text1"/>
          <w:highlight w:val="none"/>
          <w14:textFill>
            <w14:solidFill>
              <w14:schemeClr w14:val="tx1"/>
            </w14:solidFill>
          </w14:textFill>
        </w:rPr>
        <w:t>特别说明：</w:t>
      </w:r>
    </w:p>
    <w:bookmarkEnd w:id="7"/>
    <w:bookmarkEnd w:id="8"/>
    <w:p>
      <w:pPr>
        <w:rPr>
          <w:rFonts w:asciiTheme="majorEastAsia" w:hAnsiTheme="majorEastAsia" w:eastAsiaTheme="majorEastAsia" w:cstheme="majorEastAsia"/>
          <w:bCs/>
          <w:color w:val="000000" w:themeColor="text1"/>
          <w:highlight w:val="none"/>
          <w14:textFill>
            <w14:solidFill>
              <w14:schemeClr w14:val="tx1"/>
            </w14:solidFill>
          </w14:textFill>
        </w:rPr>
      </w:pPr>
      <w:r>
        <w:rPr>
          <w:rFonts w:hint="eastAsia" w:asciiTheme="majorEastAsia" w:hAnsiTheme="majorEastAsia" w:eastAsiaTheme="majorEastAsia" w:cstheme="majorEastAsia"/>
          <w:bCs/>
          <w:color w:val="000000" w:themeColor="text1"/>
          <w:highlight w:val="none"/>
          <w:lang w:val="en-US" w:eastAsia="zh-CN"/>
          <w14:textFill>
            <w14:solidFill>
              <w14:schemeClr w14:val="tx1"/>
            </w14:solidFill>
          </w14:textFill>
        </w:rPr>
        <w:t>1</w:t>
      </w:r>
      <w:r>
        <w:rPr>
          <w:rFonts w:hint="eastAsia" w:asciiTheme="majorEastAsia" w:hAnsiTheme="majorEastAsia" w:eastAsiaTheme="majorEastAsia" w:cstheme="majorEastAsia"/>
          <w:bCs/>
          <w:color w:val="000000" w:themeColor="text1"/>
          <w:highlight w:val="none"/>
          <w14:textFill>
            <w14:solidFill>
              <w14:schemeClr w14:val="tx1"/>
            </w14:solidFill>
          </w14:textFill>
        </w:rPr>
        <w:t>、以上清单供投标单位报价参考，投标人在满足采购需求的前提下对方案进行深化，并对报价清单作相应调整（不得减少项目），深化方案必须满足采购需求。</w:t>
      </w:r>
    </w:p>
    <w:p>
      <w:pPr>
        <w:pStyle w:val="9"/>
        <w:rPr>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w:t>
      </w:r>
      <w:r>
        <w:rPr>
          <w:rFonts w:hint="eastAsia"/>
          <w:bCs/>
          <w:color w:val="000000" w:themeColor="text1"/>
          <w:highlight w:val="none"/>
          <w14:textFill>
            <w14:solidFill>
              <w14:schemeClr w14:val="tx1"/>
            </w14:solidFill>
          </w14:textFill>
        </w:rPr>
        <w:t>、本次招标清单为全费用单价，</w:t>
      </w:r>
      <w:r>
        <w:rPr>
          <w:rFonts w:hint="eastAsia"/>
          <w:color w:val="000000" w:themeColor="text1"/>
          <w:highlight w:val="none"/>
          <w14:textFill>
            <w14:solidFill>
              <w14:schemeClr w14:val="tx1"/>
            </w14:solidFill>
          </w14:textFill>
        </w:rPr>
        <w:t>各投标人必须按照项目需求以及招标文件格式要求仔细填报投标配置与分项报价表明细清单。</w:t>
      </w:r>
    </w:p>
    <w:p>
      <w:pPr>
        <w:rPr>
          <w:rStyle w:val="54"/>
          <w:rFonts w:cs="宋体"/>
          <w:b/>
          <w:color w:val="000000" w:themeColor="text1"/>
          <w:sz w:val="44"/>
          <w:highlight w:val="none"/>
          <w14:textFill>
            <w14:solidFill>
              <w14:schemeClr w14:val="tx1"/>
            </w14:solidFill>
          </w14:textFill>
        </w:rPr>
      </w:pPr>
      <w:r>
        <w:rPr>
          <w:rStyle w:val="54"/>
          <w:rFonts w:hint="eastAsia" w:cs="宋体"/>
          <w:b/>
          <w:color w:val="000000" w:themeColor="text1"/>
          <w:sz w:val="44"/>
          <w:highlight w:val="none"/>
          <w14:textFill>
            <w14:solidFill>
              <w14:schemeClr w14:val="tx1"/>
            </w14:solidFill>
          </w14:textFill>
        </w:rPr>
        <w:br w:type="page"/>
      </w:r>
    </w:p>
    <w:p>
      <w:pPr>
        <w:pStyle w:val="97"/>
        <w:spacing w:before="290" w:after="290"/>
        <w:jc w:val="center"/>
        <w:outlineLvl w:val="0"/>
        <w:rPr>
          <w:rStyle w:val="54"/>
          <w:rFonts w:cs="宋体"/>
          <w:color w:val="000000" w:themeColor="text1"/>
          <w:highlight w:val="none"/>
          <w14:textFill>
            <w14:solidFill>
              <w14:schemeClr w14:val="tx1"/>
            </w14:solidFill>
          </w14:textFill>
        </w:rPr>
      </w:pPr>
      <w:r>
        <w:rPr>
          <w:rStyle w:val="54"/>
          <w:rFonts w:hint="eastAsia" w:cs="宋体"/>
          <w:b/>
          <w:color w:val="000000" w:themeColor="text1"/>
          <w:sz w:val="44"/>
          <w:highlight w:val="none"/>
          <w14:textFill>
            <w14:solidFill>
              <w14:schemeClr w14:val="tx1"/>
            </w14:solidFill>
          </w14:textFill>
        </w:rPr>
        <w:t>第五章  评标方法与评标标准</w:t>
      </w:r>
      <w:bookmarkEnd w:id="9"/>
    </w:p>
    <w:p>
      <w:pPr>
        <w:snapToGrid w:val="0"/>
        <w:spacing w:line="500" w:lineRule="exact"/>
        <w:ind w:firstLine="482" w:firstLineChars="200"/>
        <w:rPr>
          <w:rStyle w:val="54"/>
          <w:rFonts w:ascii="宋体" w:hAnsi="宋体"/>
          <w:b/>
          <w:bCs/>
          <w:color w:val="000000" w:themeColor="text1"/>
          <w:sz w:val="24"/>
          <w:szCs w:val="24"/>
          <w:highlight w:val="none"/>
          <w14:textFill>
            <w14:solidFill>
              <w14:schemeClr w14:val="tx1"/>
            </w14:solidFill>
          </w14:textFill>
        </w:rPr>
      </w:pPr>
      <w:r>
        <w:rPr>
          <w:rStyle w:val="54"/>
          <w:rFonts w:hint="eastAsia" w:ascii="宋体" w:hAnsi="宋体"/>
          <w:b/>
          <w:bCs/>
          <w:color w:val="000000" w:themeColor="text1"/>
          <w:sz w:val="24"/>
          <w:szCs w:val="24"/>
          <w:highlight w:val="none"/>
          <w14:textFill>
            <w14:solidFill>
              <w14:schemeClr w14:val="tx1"/>
            </w14:solidFill>
          </w14:textFill>
        </w:rPr>
        <w:t>一、评标方法与定标原则</w:t>
      </w:r>
    </w:p>
    <w:p>
      <w:pPr>
        <w:snapToGrid w:val="0"/>
        <w:spacing w:line="50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cs="Courier New"/>
          <w:bCs/>
          <w:color w:val="000000" w:themeColor="text1"/>
          <w:sz w:val="24"/>
          <w:szCs w:val="24"/>
          <w:highlight w:val="none"/>
          <w14:textFill>
            <w14:solidFill>
              <w14:schemeClr w14:val="tx1"/>
            </w14:solidFill>
          </w14:textFill>
        </w:rPr>
        <w:t>本项目采用</w:t>
      </w:r>
      <w:r>
        <w:rPr>
          <w:rFonts w:hint="eastAsia" w:ascii="宋体" w:hAnsi="宋体" w:cs="Courier New"/>
          <w:bCs/>
          <w:color w:val="000000" w:themeColor="text1"/>
          <w:sz w:val="24"/>
          <w:szCs w:val="24"/>
          <w:highlight w:val="none"/>
          <w:u w:val="single"/>
          <w14:textFill>
            <w14:solidFill>
              <w14:schemeClr w14:val="tx1"/>
            </w14:solidFill>
          </w14:textFill>
        </w:rPr>
        <w:t xml:space="preserve"> 综合评分 </w:t>
      </w:r>
      <w:r>
        <w:rPr>
          <w:rFonts w:hint="eastAsia" w:ascii="宋体" w:hAnsi="宋体" w:cs="Courier New"/>
          <w:bCs/>
          <w:color w:val="000000" w:themeColor="text1"/>
          <w:sz w:val="24"/>
          <w:szCs w:val="24"/>
          <w:highlight w:val="none"/>
          <w14:textFill>
            <w14:solidFill>
              <w14:schemeClr w14:val="tx1"/>
            </w14:solidFill>
          </w14:textFill>
        </w:rPr>
        <w:t>法。</w:t>
      </w:r>
      <w:r>
        <w:rPr>
          <w:rFonts w:hint="eastAsia" w:ascii="宋体" w:hAnsi="宋体" w:cs="Arial"/>
          <w:color w:val="000000" w:themeColor="text1"/>
          <w:kern w:val="0"/>
          <w:sz w:val="24"/>
          <w:szCs w:val="24"/>
          <w:highlight w:val="none"/>
          <w14:textFill>
            <w14:solidFill>
              <w14:schemeClr w14:val="tx1"/>
            </w14:solidFill>
          </w14:textFill>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本项目选取1名中标候选人。</w:t>
      </w:r>
    </w:p>
    <w:p>
      <w:pPr>
        <w:snapToGrid w:val="0"/>
        <w:spacing w:line="500" w:lineRule="exact"/>
        <w:ind w:firstLine="482" w:firstLineChars="200"/>
        <w:rPr>
          <w:rStyle w:val="54"/>
          <w:rFonts w:ascii="宋体" w:hAnsi="宋体" w:cs="Times New Roman"/>
          <w:b/>
          <w:bCs/>
          <w:color w:val="000000" w:themeColor="text1"/>
          <w:sz w:val="24"/>
          <w:szCs w:val="24"/>
          <w:highlight w:val="none"/>
          <w14:textFill>
            <w14:solidFill>
              <w14:schemeClr w14:val="tx1"/>
            </w14:solidFill>
          </w14:textFill>
        </w:rPr>
      </w:pPr>
      <w:r>
        <w:rPr>
          <w:rStyle w:val="54"/>
          <w:rFonts w:hint="eastAsia" w:ascii="宋体" w:hAnsi="宋体" w:cs="Times New Roman"/>
          <w:b/>
          <w:bCs/>
          <w:color w:val="000000" w:themeColor="text1"/>
          <w:sz w:val="24"/>
          <w:szCs w:val="24"/>
          <w:highlight w:val="none"/>
          <w14:textFill>
            <w14:solidFill>
              <w14:schemeClr w14:val="tx1"/>
            </w14:solidFill>
          </w14:textFill>
        </w:rPr>
        <w:t>二、政府采购政策功能落实</w:t>
      </w:r>
    </w:p>
    <w:p>
      <w:pPr>
        <w:snapToGrid w:val="0"/>
        <w:spacing w:line="500" w:lineRule="exact"/>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本次采购标的所属行业为</w:t>
      </w:r>
      <w:r>
        <w:rPr>
          <w:rFonts w:hint="eastAsia" w:ascii="宋体" w:hAnsi="宋体"/>
          <w:b/>
          <w:color w:val="000000" w:themeColor="text1"/>
          <w:sz w:val="24"/>
          <w:szCs w:val="24"/>
          <w:highlight w:val="none"/>
          <w:u w:val="single"/>
          <w14:textFill>
            <w14:solidFill>
              <w14:schemeClr w14:val="tx1"/>
            </w14:solidFill>
          </w14:textFill>
        </w:rPr>
        <w:t xml:space="preserve"> 建筑业</w:t>
      </w:r>
      <w:r>
        <w:rPr>
          <w:rFonts w:hint="eastAsia" w:ascii="宋体" w:hAnsi="宋体"/>
          <w:b/>
          <w:color w:val="000000" w:themeColor="text1"/>
          <w:sz w:val="24"/>
          <w:szCs w:val="24"/>
          <w:highlight w:val="none"/>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snapToGrid w:val="0"/>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1、小微型企业</w:t>
      </w:r>
    </w:p>
    <w:p>
      <w:pPr>
        <w:pStyle w:val="174"/>
        <w:spacing w:line="500" w:lineRule="exact"/>
        <w:ind w:firstLine="361" w:firstLineChars="150"/>
        <w:rPr>
          <w:rFonts w:ascii="宋体" w:hAnsi="宋体"/>
          <w:b/>
          <w:bCs/>
          <w:color w:val="000000" w:themeColor="text1"/>
          <w:kern w:val="2"/>
          <w:highlight w:val="none"/>
          <w14:textFill>
            <w14:solidFill>
              <w14:schemeClr w14:val="tx1"/>
            </w14:solidFill>
          </w14:textFill>
        </w:rPr>
      </w:pPr>
      <w:r>
        <w:rPr>
          <w:rFonts w:hint="eastAsia" w:ascii="宋体" w:hAnsi="宋体"/>
          <w:b/>
          <w:bCs/>
          <w:color w:val="000000" w:themeColor="text1"/>
          <w:kern w:val="2"/>
          <w:highlight w:val="none"/>
          <w14:textFill>
            <w14:solidFill>
              <w14:schemeClr w14:val="tx1"/>
            </w14:solidFill>
          </w14:textFill>
        </w:rPr>
        <w:t>（1）因本项目为专门面向中小企业采购的项目，不再执行价格评审优惠的扶持政策。</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（2）供应商需按照采购文件的要求提供相应的《企业声明函》。</w:t>
      </w:r>
    </w:p>
    <w:p>
      <w:pPr>
        <w:pStyle w:val="24"/>
        <w:spacing w:before="0" w:beforeAutospacing="0" w:after="0" w:afterAutospacing="0"/>
        <w:ind w:firstLine="480" w:firstLineChars="200"/>
        <w:rPr>
          <w:b/>
          <w:bCs/>
          <w:color w:val="000000" w:themeColor="text1"/>
          <w:szCs w:val="24"/>
          <w:highlight w:val="none"/>
          <w:u w:val="single"/>
          <w14:textFill>
            <w14:solidFill>
              <w14:schemeClr w14:val="tx1"/>
            </w14:solidFill>
          </w14:textFill>
        </w:rPr>
      </w:pPr>
      <w:r>
        <w:rPr>
          <w:rFonts w:hint="eastAsia"/>
          <w:bCs/>
          <w:color w:val="000000" w:themeColor="text1"/>
          <w:szCs w:val="24"/>
          <w:highlight w:val="none"/>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highlight w:val="none"/>
          <w14:textFill>
            <w14:solidFill>
              <w14:schemeClr w14:val="tx1"/>
            </w14:solidFill>
          </w14:textFill>
        </w:rPr>
        <w:t>本采购标的的所属行业为</w:t>
      </w:r>
      <w:r>
        <w:rPr>
          <w:rFonts w:hint="eastAsia"/>
          <w:b/>
          <w:color w:val="000000" w:themeColor="text1"/>
          <w:szCs w:val="24"/>
          <w:highlight w:val="none"/>
          <w:u w:val="single"/>
          <w14:textFill>
            <w14:solidFill>
              <w14:schemeClr w14:val="tx1"/>
            </w14:solidFill>
          </w14:textFill>
        </w:rPr>
        <w:t>建筑业</w:t>
      </w:r>
      <w:r>
        <w:rPr>
          <w:rFonts w:hint="eastAsia"/>
          <w:bCs/>
          <w:color w:val="000000" w:themeColor="text1"/>
          <w:szCs w:val="24"/>
          <w:highlight w:val="none"/>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（1）本项目对残疾人福利性单位视同小型、微型企业。</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3、监狱和戒毒企业</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（1）本项目对监狱和戒毒企业（简称监狱企业）视同小型、微型企业。</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（2）监狱企业参加政府采购活动时，需提供由省级以上监狱管理局、戒毒管理局(含新疆生产建设兵团)出具的属于监狱企业的证明文件。供应商如不提供上述证明文件，在评审过程中不予认可。</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参加政府采购活动的中小企业应当提供《中小企业声明函》，未填写中小企业声明函的在评审过程中不予认可。</w:t>
      </w:r>
    </w:p>
    <w:p>
      <w:pPr>
        <w:snapToGrid w:val="0"/>
        <w:spacing w:line="500" w:lineRule="exact"/>
        <w:ind w:firstLine="482" w:firstLineChars="200"/>
        <w:rPr>
          <w:rStyle w:val="54"/>
          <w:rFonts w:ascii="宋体" w:hAnsi="宋体"/>
          <w:color w:val="000000" w:themeColor="text1"/>
          <w:highlight w:val="none"/>
          <w14:textFill>
            <w14:solidFill>
              <w14:schemeClr w14:val="tx1"/>
            </w14:solidFill>
          </w14:textFill>
        </w:rPr>
      </w:pPr>
      <w:r>
        <w:rPr>
          <w:rStyle w:val="54"/>
          <w:rFonts w:hint="eastAsia" w:ascii="宋体" w:hAnsi="宋体"/>
          <w:b/>
          <w:color w:val="000000" w:themeColor="text1"/>
          <w:sz w:val="24"/>
          <w:szCs w:val="24"/>
          <w:highlight w:val="none"/>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highlight w:val="none"/>
          <w14:textFill>
            <w14:solidFill>
              <w14:schemeClr w14:val="tx1"/>
            </w14:solidFill>
          </w14:textFill>
        </w:rPr>
      </w:pPr>
      <w:r>
        <w:rPr>
          <w:rFonts w:hint="eastAsia" w:ascii="宋体" w:hAnsi="宋体"/>
          <w:snapToGrid w:val="0"/>
          <w:color w:val="000000" w:themeColor="text1"/>
          <w:kern w:val="0"/>
          <w:sz w:val="24"/>
          <w:szCs w:val="24"/>
          <w:highlight w:val="none"/>
          <w14:textFill>
            <w14:solidFill>
              <w14:schemeClr w14:val="tx1"/>
            </w14:solidFill>
          </w14:textFill>
        </w:rPr>
        <w:t>本项目评分总分值为100分。</w:t>
      </w:r>
    </w:p>
    <w:p>
      <w:pPr>
        <w:pStyle w:val="44"/>
        <w:jc w:val="both"/>
        <w:rPr>
          <w:rStyle w:val="54"/>
          <w:rFonts w:ascii="宋体" w:hAnsi="宋体" w:eastAsia="宋体" w:cs="宋体"/>
          <w:b/>
          <w:color w:val="000000" w:themeColor="text1"/>
          <w:sz w:val="44"/>
          <w:highlight w:val="none"/>
          <w14:textFill>
            <w14:solidFill>
              <w14:schemeClr w14:val="tx1"/>
            </w14:solidFill>
          </w14:textFill>
        </w:rPr>
      </w:pPr>
    </w:p>
    <w:tbl>
      <w:tblPr>
        <w:tblStyle w:val="27"/>
        <w:tblW w:w="9805" w:type="dxa"/>
        <w:tblInd w:w="96" w:type="dxa"/>
        <w:tblLayout w:type="fixed"/>
        <w:tblCellMar>
          <w:top w:w="0" w:type="dxa"/>
          <w:left w:w="108" w:type="dxa"/>
          <w:bottom w:w="0" w:type="dxa"/>
          <w:right w:w="108" w:type="dxa"/>
        </w:tblCellMar>
      </w:tblPr>
      <w:tblGrid>
        <w:gridCol w:w="732"/>
        <w:gridCol w:w="1716"/>
        <w:gridCol w:w="7357"/>
      </w:tblGrid>
      <w:tr>
        <w:tblPrEx>
          <w:tblCellMar>
            <w:top w:w="0" w:type="dxa"/>
            <w:left w:w="108" w:type="dxa"/>
            <w:bottom w:w="0" w:type="dxa"/>
            <w:right w:w="108" w:type="dxa"/>
          </w:tblCellMar>
        </w:tblPrEx>
        <w:trPr>
          <w:trHeight w:val="312" w:hRule="atLeast"/>
          <w:tblHeader/>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rPr>
                <w:rFonts w:ascii="宋体" w:hAnsi="宋体" w:cs="宋体"/>
                <w:b/>
                <w:bCs/>
                <w:color w:val="000000" w:themeColor="text1"/>
                <w:sz w:val="21"/>
                <w:szCs w:val="21"/>
                <w:highlight w:val="none"/>
                <w14:textFill>
                  <w14:solidFill>
                    <w14:schemeClr w14:val="tx1"/>
                  </w14:solidFill>
                </w14:textFill>
              </w:rPr>
            </w:pPr>
            <w:bookmarkStart w:id="24" w:name="_Toc20541"/>
            <w:r>
              <w:rPr>
                <w:rFonts w:hint="eastAsia" w:ascii="宋体" w:hAnsi="宋体" w:cs="宋体"/>
                <w:b/>
                <w:bCs/>
                <w:color w:val="000000" w:themeColor="text1"/>
                <w:sz w:val="21"/>
                <w:szCs w:val="21"/>
                <w:highlight w:val="none"/>
                <w14:textFill>
                  <w14:solidFill>
                    <w14:schemeClr w14:val="tx1"/>
                  </w14:solidFill>
                </w14:textFill>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ind w:firstLine="221"/>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评审因素</w:t>
            </w:r>
          </w:p>
        </w:tc>
        <w:tc>
          <w:tcPr>
            <w:tcW w:w="73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ind w:firstLine="241"/>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 分 标 准</w:t>
            </w:r>
          </w:p>
        </w:tc>
      </w:tr>
      <w:tr>
        <w:tblPrEx>
          <w:tblCellMar>
            <w:top w:w="0" w:type="dxa"/>
            <w:left w:w="108" w:type="dxa"/>
            <w:bottom w:w="0" w:type="dxa"/>
            <w:right w:w="108" w:type="dxa"/>
          </w:tblCellMar>
        </w:tblPrEx>
        <w:trPr>
          <w:trHeight w:val="1511"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ind w:firstLine="22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投标报价（30分）</w:t>
            </w:r>
          </w:p>
          <w:p>
            <w:pPr>
              <w:spacing w:line="276" w:lineRule="auto"/>
              <w:rPr>
                <w:rFonts w:ascii="宋体" w:hAnsi="宋体" w:cs="宋体"/>
                <w:color w:val="000000" w:themeColor="text1"/>
                <w:sz w:val="21"/>
                <w:szCs w:val="21"/>
                <w:highlight w:val="none"/>
                <w14:textFill>
                  <w14:solidFill>
                    <w14:schemeClr w14:val="tx1"/>
                  </w14:solidFill>
                </w14:textFill>
              </w:rPr>
            </w:pPr>
          </w:p>
        </w:tc>
        <w:tc>
          <w:tcPr>
            <w:tcW w:w="73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6"/>
              <w:ind w:firstLine="44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本项目以满足招标文件要求且报价最低的有效投标报价为评标基准价，其价格分为满分。其他供应商的价格得分统一按照下列公式计算：</w:t>
            </w:r>
          </w:p>
          <w:p>
            <w:pPr>
              <w:pStyle w:val="26"/>
              <w:ind w:firstLine="44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投标报价得分=(评标基准价／有效投标报价)×30分</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投标报价得分精确到小数点后两位</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第三位四舍五入</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pPr>
              <w:pStyle w:val="26"/>
              <w:ind w:firstLine="440"/>
              <w:rPr>
                <w:rFonts w:hint="eastAsia"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如报价显著低于其他投标人的报价，评委会可要求投标人进行书面说明，评委会酌情判断该投标报价是否有效。</w:t>
            </w:r>
          </w:p>
        </w:tc>
      </w:tr>
      <w:tr>
        <w:tblPrEx>
          <w:tblCellMar>
            <w:top w:w="0" w:type="dxa"/>
            <w:left w:w="108" w:type="dxa"/>
            <w:bottom w:w="0" w:type="dxa"/>
            <w:right w:w="108" w:type="dxa"/>
          </w:tblCellMar>
        </w:tblPrEx>
        <w:trPr>
          <w:trHeight w:val="396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履约及质量保障承诺</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14:textFill>
                  <w14:solidFill>
                    <w14:schemeClr w14:val="tx1"/>
                  </w14:solidFill>
                </w14:textFill>
              </w:rPr>
              <w:t>分）</w:t>
            </w:r>
          </w:p>
        </w:tc>
        <w:tc>
          <w:tcPr>
            <w:tcW w:w="7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投标人需提供的针对本项目的</w:t>
            </w:r>
            <w:r>
              <w:rPr>
                <w:rFonts w:hint="eastAsia" w:ascii="宋体" w:hAnsi="宋体" w:cs="宋体"/>
                <w:b/>
                <w:bCs/>
                <w:color w:val="000000" w:themeColor="text1"/>
                <w:sz w:val="21"/>
                <w:szCs w:val="21"/>
                <w:highlight w:val="none"/>
                <w:lang w:eastAsia="zh-CN"/>
                <w14:textFill>
                  <w14:solidFill>
                    <w14:schemeClr w14:val="tx1"/>
                  </w14:solidFill>
                </w14:textFill>
              </w:rPr>
              <w:t>履约承诺证明函</w:t>
            </w:r>
            <w:r>
              <w:rPr>
                <w:rFonts w:hint="eastAsia" w:ascii="宋体" w:hAnsi="宋体" w:cs="宋体"/>
                <w:color w:val="000000" w:themeColor="text1"/>
                <w:sz w:val="21"/>
                <w:szCs w:val="21"/>
                <w:highlight w:val="none"/>
                <w:lang w:eastAsia="zh-CN"/>
                <w14:textFill>
                  <w14:solidFill>
                    <w14:schemeClr w14:val="tx1"/>
                  </w14:solidFill>
                </w14:textFill>
              </w:rPr>
              <w:t>，承诺完全响应本项目所要求的</w:t>
            </w:r>
            <w:r>
              <w:rPr>
                <w:rFonts w:hint="eastAsia" w:ascii="宋体" w:hAnsi="宋体" w:cs="宋体"/>
                <w:b/>
                <w:bCs/>
                <w:color w:val="000000" w:themeColor="text1"/>
                <w:sz w:val="21"/>
                <w:szCs w:val="21"/>
                <w:highlight w:val="none"/>
                <w:lang w:eastAsia="zh-CN"/>
                <w14:textFill>
                  <w14:solidFill>
                    <w14:schemeClr w14:val="tx1"/>
                  </w14:solidFill>
                </w14:textFill>
              </w:rPr>
              <w:t>施工技术标准</w:t>
            </w:r>
            <w:r>
              <w:rPr>
                <w:rFonts w:hint="eastAsia" w:ascii="宋体" w:hAnsi="宋体" w:cs="宋体"/>
                <w:color w:val="000000" w:themeColor="text1"/>
                <w:sz w:val="21"/>
                <w:szCs w:val="21"/>
                <w:highlight w:val="none"/>
                <w:lang w:eastAsia="zh-CN"/>
                <w14:textFill>
                  <w14:solidFill>
                    <w14:schemeClr w14:val="tx1"/>
                  </w14:solidFill>
                </w14:textFill>
              </w:rPr>
              <w:t>与</w:t>
            </w:r>
            <w:r>
              <w:rPr>
                <w:rFonts w:hint="eastAsia" w:ascii="宋体" w:hAnsi="宋体" w:cs="宋体"/>
                <w:b/>
                <w:bCs/>
                <w:color w:val="000000" w:themeColor="text1"/>
                <w:sz w:val="21"/>
                <w:szCs w:val="21"/>
                <w:highlight w:val="none"/>
                <w:lang w:eastAsia="zh-CN"/>
                <w14:textFill>
                  <w14:solidFill>
                    <w14:schemeClr w14:val="tx1"/>
                  </w14:solidFill>
                </w14:textFill>
              </w:rPr>
              <w:t>施工工期</w:t>
            </w:r>
            <w:r>
              <w:rPr>
                <w:rFonts w:hint="eastAsia" w:ascii="宋体" w:hAnsi="宋体" w:cs="宋体"/>
                <w:color w:val="000000" w:themeColor="text1"/>
                <w:sz w:val="21"/>
                <w:szCs w:val="21"/>
                <w:highlight w:val="none"/>
                <w:lang w:eastAsia="zh-CN"/>
                <w14:textFill>
                  <w14:solidFill>
                    <w14:schemeClr w14:val="tx1"/>
                  </w14:solidFill>
                </w14:textFill>
              </w:rPr>
              <w:t>要求者，得</w:t>
            </w:r>
            <w:r>
              <w:rPr>
                <w:rFonts w:hint="eastAsia" w:ascii="宋体" w:hAnsi="宋体" w:cs="宋体"/>
                <w:color w:val="000000" w:themeColor="text1"/>
                <w:sz w:val="21"/>
                <w:szCs w:val="21"/>
                <w:highlight w:val="none"/>
                <w:lang w:val="en-US" w:eastAsia="zh-CN"/>
                <w14:textFill>
                  <w14:solidFill>
                    <w14:schemeClr w14:val="tx1"/>
                  </w14:solidFill>
                </w14:textFill>
              </w:rPr>
              <w:t>5分。（未提供或不完全响应不得分）</w:t>
            </w:r>
          </w:p>
          <w:p>
            <w:pPr>
              <w:spacing w:line="276"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投标人需提供的针对本项目的</w:t>
            </w:r>
            <w:r>
              <w:rPr>
                <w:rFonts w:hint="eastAsia" w:ascii="宋体" w:hAnsi="宋体" w:cs="宋体"/>
                <w:b/>
                <w:bCs/>
                <w:color w:val="000000" w:themeColor="text1"/>
                <w:sz w:val="21"/>
                <w:szCs w:val="21"/>
                <w:highlight w:val="none"/>
                <w:lang w:eastAsia="zh-CN"/>
                <w14:textFill>
                  <w14:solidFill>
                    <w14:schemeClr w14:val="tx1"/>
                  </w14:solidFill>
                </w14:textFill>
              </w:rPr>
              <w:t>质量保障承诺函</w:t>
            </w:r>
            <w:r>
              <w:rPr>
                <w:rFonts w:hint="eastAsia" w:ascii="宋体" w:hAnsi="宋体" w:cs="宋体"/>
                <w:color w:val="000000" w:themeColor="text1"/>
                <w:sz w:val="21"/>
                <w:szCs w:val="21"/>
                <w:highlight w:val="none"/>
                <w:lang w:eastAsia="zh-CN"/>
                <w14:textFill>
                  <w14:solidFill>
                    <w14:schemeClr w14:val="tx1"/>
                  </w14:solidFill>
                </w14:textFill>
              </w:rPr>
              <w:t>，承诺本项目所施工项目、搭建或组装的货物等一切采购需求内项目，</w:t>
            </w:r>
            <w:r>
              <w:rPr>
                <w:rFonts w:hint="eastAsia" w:ascii="宋体" w:hAnsi="宋体" w:cs="宋体"/>
                <w:b/>
                <w:bCs/>
                <w:color w:val="000000" w:themeColor="text1"/>
                <w:sz w:val="21"/>
                <w:szCs w:val="21"/>
                <w:highlight w:val="none"/>
                <w:lang w:eastAsia="zh-CN"/>
                <w14:textFill>
                  <w14:solidFill>
                    <w14:schemeClr w14:val="tx1"/>
                  </w14:solidFill>
                </w14:textFill>
              </w:rPr>
              <w:t>质保期为三年</w:t>
            </w:r>
            <w:r>
              <w:rPr>
                <w:rFonts w:hint="eastAsia" w:ascii="宋体" w:hAnsi="宋体" w:cs="宋体"/>
                <w:color w:val="000000" w:themeColor="text1"/>
                <w:sz w:val="21"/>
                <w:szCs w:val="21"/>
                <w:highlight w:val="none"/>
                <w:lang w:eastAsia="zh-CN"/>
                <w14:textFill>
                  <w14:solidFill>
                    <w14:schemeClr w14:val="tx1"/>
                  </w14:solidFill>
                </w14:textFill>
              </w:rPr>
              <w:t>，期间产生的一切（</w:t>
            </w:r>
            <w:r>
              <w:rPr>
                <w:rFonts w:hint="eastAsia" w:ascii="宋体" w:hAnsi="宋体" w:cs="宋体"/>
                <w:b/>
                <w:bCs/>
                <w:color w:val="000000" w:themeColor="text1"/>
                <w:sz w:val="21"/>
                <w:szCs w:val="21"/>
                <w:highlight w:val="none"/>
                <w:lang w:eastAsia="zh-CN"/>
                <w14:textFill>
                  <w14:solidFill>
                    <w14:schemeClr w14:val="tx1"/>
                  </w14:solidFill>
                </w14:textFill>
              </w:rPr>
              <w:t>人为破坏与不可抗力因素产生除外</w:t>
            </w:r>
            <w:r>
              <w:rPr>
                <w:rFonts w:hint="eastAsia" w:ascii="宋体" w:hAnsi="宋体" w:cs="宋体"/>
                <w:color w:val="000000" w:themeColor="text1"/>
                <w:sz w:val="21"/>
                <w:szCs w:val="21"/>
                <w:highlight w:val="none"/>
                <w:lang w:eastAsia="zh-CN"/>
                <w14:textFill>
                  <w14:solidFill>
                    <w14:schemeClr w14:val="tx1"/>
                  </w14:solidFill>
                </w14:textFill>
              </w:rPr>
              <w:t>）质量问题，均需在</w:t>
            </w:r>
            <w:r>
              <w:rPr>
                <w:rFonts w:hint="eastAsia" w:ascii="宋体" w:hAnsi="宋体" w:cs="宋体"/>
                <w:color w:val="000000" w:themeColor="text1"/>
                <w:sz w:val="21"/>
                <w:szCs w:val="21"/>
                <w:highlight w:val="none"/>
                <w:lang w:val="en-US" w:eastAsia="zh-CN"/>
                <w14:textFill>
                  <w14:solidFill>
                    <w14:schemeClr w14:val="tx1"/>
                  </w14:solidFill>
                </w14:textFill>
              </w:rPr>
              <w:t>24小时内及时响应，48小时内解决并不得收取任何费用，得5分。（未提供或不完全响应不得分）</w:t>
            </w:r>
          </w:p>
          <w:p>
            <w:pPr>
              <w:spacing w:line="276"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3、投标人需提供对</w:t>
            </w:r>
            <w:r>
              <w:rPr>
                <w:rFonts w:hint="eastAsia" w:ascii="宋体" w:hAnsi="宋体" w:cs="宋体"/>
                <w:b/>
                <w:bCs/>
                <w:color w:val="000000" w:themeColor="text1"/>
                <w:sz w:val="21"/>
                <w:szCs w:val="21"/>
                <w:highlight w:val="none"/>
                <w:lang w:val="en-US" w:eastAsia="zh-CN"/>
                <w14:textFill>
                  <w14:solidFill>
                    <w14:schemeClr w14:val="tx1"/>
                  </w14:solidFill>
                </w14:textFill>
              </w:rPr>
              <w:t>施工周边环境的协调处理承诺函</w:t>
            </w:r>
            <w:r>
              <w:rPr>
                <w:rFonts w:hint="eastAsia" w:ascii="宋体" w:hAnsi="宋体" w:cs="宋体"/>
                <w:color w:val="000000" w:themeColor="text1"/>
                <w:sz w:val="21"/>
                <w:szCs w:val="21"/>
                <w:highlight w:val="none"/>
                <w:lang w:val="en-US" w:eastAsia="zh-CN"/>
                <w14:textFill>
                  <w14:solidFill>
                    <w14:schemeClr w14:val="tx1"/>
                  </w14:solidFill>
                </w14:textFill>
              </w:rPr>
              <w:t>，承诺在本项目施工过程中，能够妥善协调处理好各方面关系，保证施工的顺利，</w:t>
            </w:r>
            <w:r>
              <w:rPr>
                <w:rFonts w:hint="eastAsia" w:ascii="宋体" w:hAnsi="宋体" w:cs="宋体"/>
                <w:b/>
                <w:bCs/>
                <w:color w:val="000000" w:themeColor="text1"/>
                <w:sz w:val="21"/>
                <w:szCs w:val="21"/>
                <w:highlight w:val="none"/>
                <w:lang w:val="en-US" w:eastAsia="zh-CN"/>
                <w14:textFill>
                  <w14:solidFill>
                    <w14:schemeClr w14:val="tx1"/>
                  </w14:solidFill>
                </w14:textFill>
              </w:rPr>
              <w:t>不给采购单位带来任何负面影响。若在施工期间，因周边关系给采购单位带来任何负面影响自行解决</w:t>
            </w:r>
            <w:r>
              <w:rPr>
                <w:rFonts w:hint="eastAsia" w:ascii="宋体" w:hAnsi="宋体" w:cs="宋体"/>
                <w:color w:val="000000" w:themeColor="text1"/>
                <w:sz w:val="21"/>
                <w:szCs w:val="21"/>
                <w:highlight w:val="none"/>
                <w:lang w:val="en-US" w:eastAsia="zh-CN"/>
                <w14:textFill>
                  <w14:solidFill>
                    <w14:schemeClr w14:val="tx1"/>
                  </w14:solidFill>
                </w14:textFill>
              </w:rPr>
              <w:t>，与采购单位无关，得5分。（未提供或不完全响应不得分）</w:t>
            </w:r>
          </w:p>
        </w:tc>
      </w:tr>
      <w:tr>
        <w:tblPrEx>
          <w:tblCellMar>
            <w:top w:w="0" w:type="dxa"/>
            <w:left w:w="108" w:type="dxa"/>
            <w:bottom w:w="0" w:type="dxa"/>
            <w:right w:w="108" w:type="dxa"/>
          </w:tblCellMar>
        </w:tblPrEx>
        <w:trPr>
          <w:trHeight w:val="2907" w:hRule="atLeast"/>
        </w:trPr>
        <w:tc>
          <w:tcPr>
            <w:tcW w:w="732" w:type="dxa"/>
            <w:tcBorders>
              <w:top w:val="single" w:color="000000" w:sz="4" w:space="0"/>
              <w:left w:val="single" w:color="000000" w:sz="4" w:space="0"/>
              <w:right w:val="single" w:color="000000" w:sz="4" w:space="0"/>
            </w:tcBorders>
            <w:shd w:val="clear" w:color="auto" w:fill="auto"/>
            <w:vAlign w:val="center"/>
          </w:tcPr>
          <w:p>
            <w:pPr>
              <w:spacing w:line="276"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716" w:type="dxa"/>
            <w:tcBorders>
              <w:top w:val="single" w:color="000000" w:sz="4" w:space="0"/>
              <w:left w:val="single" w:color="000000" w:sz="4" w:space="0"/>
              <w:right w:val="single" w:color="000000" w:sz="4" w:space="0"/>
            </w:tcBorders>
            <w:shd w:val="clear" w:color="auto" w:fill="auto"/>
            <w:vAlign w:val="center"/>
          </w:tcPr>
          <w:p>
            <w:pPr>
              <w:spacing w:line="276" w:lineRule="auto"/>
              <w:jc w:val="center"/>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施工方案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c>
          <w:tcPr>
            <w:tcW w:w="73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小组根据以下评审要点，对施工方案从内容的完整性、针对性、可行性等方面进行评审计分。缺少任一项评审要点或评审要点不响应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文件要求的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该评审要点不得分（即取消保底分值）。</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根据投标人针对本项目</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现场管理方案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，科学性、规范性、全面性、可行性及合理性等。</w:t>
            </w:r>
          </w:p>
          <w:p>
            <w:pPr>
              <w:numPr>
                <w:ilvl w:val="0"/>
                <w:numId w:val="8"/>
              </w:num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上述方案符合项目实际情况，合理性、可行性、针对性强且全面，得10分；</w:t>
            </w:r>
          </w:p>
          <w:p>
            <w:pPr>
              <w:numPr>
                <w:ilvl w:val="0"/>
                <w:numId w:val="8"/>
              </w:num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上述方案较贴合项目实际，合理性、可行性、针对性较强且较全面得8分；</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上述方案基本贴合项目实际，合理性、可行性针对性不强，得6分。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现场管理方案不合理，无可操作性的，得0分。</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根据投标人针对本项目的施工质量保证措施。内容包含但不限于施工质量控制措施、质量保证体系及分部分项工程施工过程质量控制等。</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上述方案符合项目实际情况，合理性、可行性、针对性强且全面，得1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上述方案较贴合项目实际，合理性、可行性、针对性较强且较全面， 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上述方案基本贴合项目实际，合理性、可行性针对性不强，得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保证措施不具备操作性，得0分。</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根据投标人提供针对本项目安全文明施工、环境保护采取措施方案的规范性、全面性、合理性、针对性、具体性、可靠性、及操作规程科学性等。</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上述方案符合项目实际情况，合理性、可行性、针对性强且全面，得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上述方案较贴合项目实际，合理性、可行性、针对性较强且较全面，得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pPr>
              <w:spacing w:line="276"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上述方案基本贴合项目实际，合理性、可行性针对性不强，得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保证措施不具备操作性，得0分。</w:t>
            </w:r>
          </w:p>
        </w:tc>
      </w:tr>
      <w:tr>
        <w:tblPrEx>
          <w:tblCellMar>
            <w:top w:w="0" w:type="dxa"/>
            <w:left w:w="108" w:type="dxa"/>
            <w:bottom w:w="0" w:type="dxa"/>
            <w:right w:w="108" w:type="dxa"/>
          </w:tblCellMar>
        </w:tblPrEx>
        <w:trPr>
          <w:trHeight w:val="164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Calibri" w:eastAsiaTheme="minorEastAsia"/>
                <w:color w:val="000000" w:themeColor="text1"/>
                <w:sz w:val="21"/>
                <w:szCs w:val="21"/>
                <w:highlight w:val="none"/>
                <w:lang w:val="en-US" w:eastAsia="zh-CN"/>
                <w14:textFill>
                  <w14:solidFill>
                    <w14:schemeClr w14:val="tx1"/>
                  </w14:solidFill>
                </w14:textFill>
              </w:rPr>
              <w:t>专业设计方案（16分）</w:t>
            </w:r>
          </w:p>
        </w:tc>
        <w:tc>
          <w:tcPr>
            <w:tcW w:w="73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9"/>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根据投标人提供的</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设计方案效果图</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（功能布局是否科学合理，</w:t>
            </w:r>
            <w:r>
              <w:rPr>
                <w:rFonts w:hint="eastAsia" w:ascii="宋体" w:hAnsi="宋体" w:eastAsia="宋体" w:cs="宋体"/>
                <w:color w:val="000000" w:themeColor="text1"/>
                <w:sz w:val="21"/>
                <w:szCs w:val="21"/>
                <w:highlight w:val="none"/>
                <w:lang w:bidi="ar"/>
                <w14:textFill>
                  <w14:solidFill>
                    <w14:schemeClr w14:val="tx1"/>
                  </w14:solidFill>
                </w14:textFill>
              </w:rPr>
              <w:t>整体设计风格</w:t>
            </w:r>
            <w:r>
              <w:rPr>
                <w:rFonts w:hint="eastAsia" w:ascii="宋体" w:hAnsi="宋体" w:eastAsia="宋体" w:cs="宋体"/>
                <w:color w:val="000000" w:themeColor="text1"/>
                <w:sz w:val="21"/>
                <w:szCs w:val="21"/>
                <w:highlight w:val="none"/>
                <w:lang w:eastAsia="zh-CN" w:bidi="ar"/>
                <w14:textFill>
                  <w14:solidFill>
                    <w14:schemeClr w14:val="tx1"/>
                  </w14:solidFill>
                </w14:textFill>
              </w:rPr>
              <w:t>是否</w:t>
            </w:r>
            <w:r>
              <w:rPr>
                <w:rFonts w:hint="eastAsia" w:ascii="宋体" w:hAnsi="宋体" w:eastAsia="宋体" w:cs="宋体"/>
                <w:color w:val="000000" w:themeColor="text1"/>
                <w:sz w:val="21"/>
                <w:szCs w:val="21"/>
                <w:highlight w:val="none"/>
                <w:lang w:bidi="ar"/>
                <w14:textFill>
                  <w14:solidFill>
                    <w14:schemeClr w14:val="tx1"/>
                  </w14:solidFill>
                </w14:textFill>
              </w:rPr>
              <w:t>具有设计感、科技感和</w:t>
            </w:r>
            <w:r>
              <w:rPr>
                <w:rFonts w:hint="eastAsia" w:ascii="宋体" w:hAnsi="宋体" w:eastAsia="宋体" w:cs="宋体"/>
                <w:color w:val="000000" w:themeColor="text1"/>
                <w:sz w:val="21"/>
                <w:szCs w:val="21"/>
                <w:highlight w:val="none"/>
                <w:lang w:eastAsia="zh-CN" w:bidi="ar"/>
                <w14:textFill>
                  <w14:solidFill>
                    <w14:schemeClr w14:val="tx1"/>
                  </w14:solidFill>
                </w14:textFill>
              </w:rPr>
              <w:t>合理</w:t>
            </w:r>
            <w:r>
              <w:rPr>
                <w:rFonts w:hint="eastAsia" w:ascii="宋体" w:hAnsi="宋体" w:eastAsia="宋体" w:cs="宋体"/>
                <w:color w:val="000000" w:themeColor="text1"/>
                <w:sz w:val="21"/>
                <w:szCs w:val="21"/>
                <w:highlight w:val="none"/>
                <w:lang w:bidi="ar"/>
                <w14:textFill>
                  <w14:solidFill>
                    <w14:schemeClr w14:val="tx1"/>
                  </w14:solidFill>
                </w14:textFill>
              </w:rPr>
              <w:t>性，色调</w:t>
            </w:r>
            <w:r>
              <w:rPr>
                <w:rFonts w:hint="eastAsia" w:ascii="宋体" w:hAnsi="宋体" w:eastAsia="宋体" w:cs="宋体"/>
                <w:color w:val="000000" w:themeColor="text1"/>
                <w:sz w:val="21"/>
                <w:szCs w:val="21"/>
                <w:highlight w:val="none"/>
                <w:lang w:eastAsia="zh-CN" w:bidi="ar"/>
                <w14:textFill>
                  <w14:solidFill>
                    <w14:schemeClr w14:val="tx1"/>
                  </w14:solidFill>
                </w14:textFill>
              </w:rPr>
              <w:t>是否呈现</w:t>
            </w:r>
            <w:r>
              <w:rPr>
                <w:rFonts w:hint="eastAsia" w:ascii="宋体" w:hAnsi="宋体" w:eastAsia="宋体" w:cs="宋体"/>
                <w:color w:val="000000" w:themeColor="text1"/>
                <w:sz w:val="21"/>
                <w:szCs w:val="21"/>
                <w:highlight w:val="none"/>
                <w:lang w:bidi="ar"/>
                <w14:textFill>
                  <w14:solidFill>
                    <w14:schemeClr w14:val="tx1"/>
                  </w14:solidFill>
                </w14:textFill>
              </w:rPr>
              <w:t>明亮、活泼</w:t>
            </w:r>
            <w:r>
              <w:rPr>
                <w:rFonts w:hint="eastAsia" w:ascii="宋体" w:hAnsi="宋体" w:eastAsia="宋体" w:cs="宋体"/>
                <w:color w:val="000000" w:themeColor="text1"/>
                <w:sz w:val="21"/>
                <w:szCs w:val="21"/>
                <w:highlight w:val="none"/>
                <w:lang w:eastAsia="zh-CN" w:bidi="ar"/>
                <w14:textFill>
                  <w14:solidFill>
                    <w14:schemeClr w14:val="tx1"/>
                  </w14:solidFill>
                </w14:textFill>
              </w:rPr>
              <w:t>等因素）</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等内容进行综合打分：</w:t>
            </w:r>
          </w:p>
          <w:p>
            <w:pPr>
              <w:numPr>
                <w:ilvl w:val="0"/>
                <w:numId w:val="0"/>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1、设计方案</w:t>
            </w:r>
            <w:r>
              <w:rPr>
                <w:rFonts w:hint="eastAsia" w:ascii="宋体" w:hAnsi="宋体" w:eastAsia="宋体" w:cs="宋体"/>
                <w:color w:val="000000" w:themeColor="text1"/>
                <w:sz w:val="21"/>
                <w:szCs w:val="21"/>
                <w:highlight w:val="none"/>
                <w14:textFill>
                  <w14:solidFill>
                    <w14:schemeClr w14:val="tx1"/>
                  </w14:solidFill>
                </w14:textFill>
              </w:rPr>
              <w:t>功能布局科学合理、实用性强</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的，得8分；</w:t>
            </w:r>
          </w:p>
          <w:p>
            <w:pPr>
              <w:numPr>
                <w:ilvl w:val="0"/>
                <w:numId w:val="0"/>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2、设计方案</w:t>
            </w:r>
            <w:r>
              <w:rPr>
                <w:rFonts w:hint="eastAsia" w:ascii="宋体" w:hAnsi="宋体" w:eastAsia="宋体" w:cs="宋体"/>
                <w:color w:val="000000" w:themeColor="text1"/>
                <w:sz w:val="21"/>
                <w:szCs w:val="21"/>
                <w:highlight w:val="none"/>
                <w14:textFill>
                  <w14:solidFill>
                    <w14:schemeClr w14:val="tx1"/>
                  </w14:solidFill>
                </w14:textFill>
              </w:rPr>
              <w:t>功能布局</w:t>
            </w:r>
            <w:r>
              <w:rPr>
                <w:rFonts w:hint="eastAsia" w:ascii="宋体" w:hAnsi="宋体" w:eastAsia="宋体" w:cs="宋体"/>
                <w:color w:val="000000" w:themeColor="text1"/>
                <w:sz w:val="21"/>
                <w:szCs w:val="21"/>
                <w:highlight w:val="none"/>
                <w:lang w:eastAsia="zh-CN"/>
                <w14:textFill>
                  <w14:solidFill>
                    <w14:schemeClr w14:val="tx1"/>
                  </w14:solidFill>
                </w14:textFill>
              </w:rPr>
              <w:t>较为</w:t>
            </w:r>
            <w:r>
              <w:rPr>
                <w:rFonts w:hint="eastAsia" w:ascii="宋体" w:hAnsi="宋体" w:eastAsia="宋体" w:cs="宋体"/>
                <w:color w:val="000000" w:themeColor="text1"/>
                <w:sz w:val="21"/>
                <w:szCs w:val="21"/>
                <w:highlight w:val="none"/>
                <w14:textFill>
                  <w14:solidFill>
                    <w14:schemeClr w14:val="tx1"/>
                  </w14:solidFill>
                </w14:textFill>
              </w:rPr>
              <w:t>科学合</w:t>
            </w:r>
            <w:r>
              <w:rPr>
                <w:rFonts w:hint="eastAsia" w:ascii="宋体" w:hAnsi="宋体" w:eastAsia="宋体" w:cs="宋体"/>
                <w:color w:val="000000" w:themeColor="text1"/>
                <w:sz w:val="21"/>
                <w:szCs w:val="21"/>
                <w:highlight w:val="none"/>
                <w:lang w:eastAsia="zh-CN"/>
                <w14:textFill>
                  <w14:solidFill>
                    <w14:schemeClr w14:val="tx1"/>
                  </w14:solidFill>
                </w14:textFill>
              </w:rPr>
              <w:t>理</w:t>
            </w:r>
            <w:r>
              <w:rPr>
                <w:rFonts w:hint="eastAsia" w:ascii="宋体" w:hAnsi="宋体" w:eastAsia="宋体" w:cs="宋体"/>
                <w:color w:val="000000" w:themeColor="text1"/>
                <w:sz w:val="21"/>
                <w:szCs w:val="21"/>
                <w:highlight w:val="none"/>
                <w14:textFill>
                  <w14:solidFill>
                    <w14:schemeClr w14:val="tx1"/>
                  </w14:solidFill>
                </w14:textFill>
              </w:rPr>
              <w:t>、实用性</w:t>
            </w:r>
            <w:r>
              <w:rPr>
                <w:rFonts w:hint="eastAsia" w:ascii="宋体" w:hAnsi="宋体" w:eastAsia="宋体" w:cs="宋体"/>
                <w:color w:val="000000" w:themeColor="text1"/>
                <w:sz w:val="21"/>
                <w:szCs w:val="21"/>
                <w:highlight w:val="none"/>
                <w:lang w:eastAsia="zh-CN"/>
                <w14:textFill>
                  <w14:solidFill>
                    <w14:schemeClr w14:val="tx1"/>
                  </w14:solidFill>
                </w14:textFill>
              </w:rPr>
              <w:t>较强</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的，得6分；</w:t>
            </w:r>
          </w:p>
          <w:p>
            <w:pPr>
              <w:numPr>
                <w:ilvl w:val="0"/>
                <w:numId w:val="0"/>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3、设计</w:t>
            </w:r>
            <w:r>
              <w:rPr>
                <w:rFonts w:hint="eastAsia" w:ascii="宋体" w:hAnsi="宋体" w:eastAsia="宋体" w:cs="宋体"/>
                <w:color w:val="000000" w:themeColor="text1"/>
                <w:sz w:val="21"/>
                <w:szCs w:val="21"/>
                <w:highlight w:val="none"/>
                <w14:textFill>
                  <w14:solidFill>
                    <w14:schemeClr w14:val="tx1"/>
                  </w14:solidFill>
                </w14:textFill>
              </w:rPr>
              <w:t>方案设计</w:t>
            </w:r>
            <w:r>
              <w:rPr>
                <w:rFonts w:hint="eastAsia" w:ascii="宋体" w:hAnsi="宋体" w:eastAsia="宋体" w:cs="宋体"/>
                <w:color w:val="000000" w:themeColor="text1"/>
                <w:sz w:val="21"/>
                <w:szCs w:val="21"/>
                <w:highlight w:val="none"/>
                <w:lang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、实用性</w:t>
            </w:r>
            <w:r>
              <w:rPr>
                <w:rFonts w:hint="eastAsia" w:ascii="宋体" w:hAnsi="宋体" w:eastAsia="宋体" w:cs="宋体"/>
                <w:color w:val="000000" w:themeColor="text1"/>
                <w:sz w:val="21"/>
                <w:szCs w:val="21"/>
                <w:highlight w:val="none"/>
                <w:lang w:eastAsia="zh-CN"/>
                <w14:textFill>
                  <w14:solidFill>
                    <w14:schemeClr w14:val="tx1"/>
                  </w14:solidFill>
                </w14:textFill>
              </w:rPr>
              <w:t>明显不合实际</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的，得4分；</w:t>
            </w:r>
          </w:p>
          <w:p>
            <w:pPr>
              <w:numPr>
                <w:ilvl w:val="0"/>
                <w:numId w:val="0"/>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4、未提供不得分。</w:t>
            </w:r>
          </w:p>
          <w:p>
            <w:pPr>
              <w:numPr>
                <w:ilvl w:val="0"/>
                <w:numId w:val="0"/>
              </w:numPr>
              <w:spacing w:line="48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备注：上述评分项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重点以提供、企业数智化转型服务中心、数智企业体验中心、数智运营中心、公共资源服务中心、数智工程师认证中心、企业数智赋能培训中心、产业数字经济研究中心，</w:t>
            </w:r>
            <w:r>
              <w:rPr>
                <w:rFonts w:hint="eastAsia" w:ascii="宋体" w:hAnsi="宋体" w:eastAsia="宋体" w:cs="宋体"/>
                <w:b/>
                <w:color w:val="000000" w:themeColor="text1"/>
                <w:sz w:val="21"/>
                <w:szCs w:val="21"/>
                <w:highlight w:val="none"/>
                <w14:textFill>
                  <w14:solidFill>
                    <w14:schemeClr w14:val="tx1"/>
                  </w14:solidFill>
                </w14:textFill>
              </w:rPr>
              <w:t>须提供设计方案图，</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包含平面设计彩平图、重点展示区域3D效果图</w:t>
            </w:r>
            <w:r>
              <w:rPr>
                <w:rFonts w:hint="eastAsia" w:ascii="宋体" w:hAnsi="宋体" w:eastAsia="宋体" w:cs="宋体"/>
                <w:b/>
                <w:color w:val="000000" w:themeColor="text1"/>
                <w:sz w:val="21"/>
                <w:szCs w:val="21"/>
                <w:highlight w:val="none"/>
                <w:lang w:eastAsia="zh-CN"/>
                <w14:textFill>
                  <w14:solidFill>
                    <w14:schemeClr w14:val="tx1"/>
                  </w14:solidFill>
                </w14:textFill>
              </w:rPr>
              <w:t>等</w:t>
            </w:r>
            <w:r>
              <w:rPr>
                <w:rFonts w:hint="eastAsia" w:ascii="宋体" w:hAnsi="宋体" w:eastAsia="宋体" w:cs="宋体"/>
                <w:b/>
                <w:color w:val="000000" w:themeColor="text1"/>
                <w:sz w:val="21"/>
                <w:szCs w:val="21"/>
                <w:highlight w:val="none"/>
                <w14:textFill>
                  <w14:solidFill>
                    <w14:schemeClr w14:val="tx1"/>
                  </w14:solidFill>
                </w14:textFill>
              </w:rPr>
              <w:t>，供评委评审。</w:t>
            </w:r>
          </w:p>
          <w:p>
            <w:pPr>
              <w:spacing w:line="480" w:lineRule="auto"/>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二、根据投标人提供的</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施工图</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布局</w:t>
            </w:r>
            <w:r>
              <w:rPr>
                <w:rFonts w:hint="eastAsia" w:ascii="宋体" w:hAnsi="宋体" w:eastAsia="宋体" w:cs="宋体"/>
                <w:color w:val="000000" w:themeColor="text1"/>
                <w:sz w:val="21"/>
                <w:szCs w:val="21"/>
                <w:highlight w:val="none"/>
                <w:lang w:eastAsia="zh-CN"/>
                <w14:textFill>
                  <w14:solidFill>
                    <w14:schemeClr w14:val="tx1"/>
                  </w14:solidFill>
                </w14:textFill>
              </w:rPr>
              <w:t>是否</w:t>
            </w:r>
            <w:r>
              <w:rPr>
                <w:rFonts w:hint="eastAsia" w:ascii="宋体" w:hAnsi="宋体" w:eastAsia="宋体" w:cs="宋体"/>
                <w:color w:val="000000" w:themeColor="text1"/>
                <w:sz w:val="21"/>
                <w:szCs w:val="21"/>
                <w:highlight w:val="none"/>
                <w14:textFill>
                  <w14:solidFill>
                    <w14:schemeClr w14:val="tx1"/>
                  </w14:solidFill>
                </w14:textFill>
              </w:rPr>
              <w:t>科学合理</w:t>
            </w:r>
            <w:r>
              <w:rPr>
                <w:rFonts w:hint="eastAsia" w:ascii="宋体" w:hAnsi="宋体" w:eastAsia="宋体" w:cs="宋体"/>
                <w:color w:val="000000" w:themeColor="text1"/>
                <w:sz w:val="21"/>
                <w:szCs w:val="21"/>
                <w:highlight w:val="none"/>
                <w:lang w:eastAsia="zh-CN"/>
                <w14:textFill>
                  <w14:solidFill>
                    <w14:schemeClr w14:val="tx1"/>
                  </w14:solidFill>
                </w14:textFill>
              </w:rPr>
              <w:t>、是否</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充分尊重原建筑结构、施工图纸详细程度</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）等内容进行综合打分：</w:t>
            </w:r>
          </w:p>
          <w:p>
            <w:pPr>
              <w:numPr>
                <w:ilvl w:val="0"/>
                <w:numId w:val="0"/>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1、施工图</w:t>
            </w:r>
            <w:r>
              <w:rPr>
                <w:rFonts w:hint="eastAsia" w:ascii="宋体" w:hAnsi="宋体" w:eastAsia="宋体" w:cs="宋体"/>
                <w:color w:val="000000" w:themeColor="text1"/>
                <w:sz w:val="21"/>
                <w:szCs w:val="21"/>
                <w:highlight w:val="none"/>
                <w14:textFill>
                  <w14:solidFill>
                    <w14:schemeClr w14:val="tx1"/>
                  </w14:solidFill>
                </w14:textFill>
              </w:rPr>
              <w:t>布局科学合理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充分尊重原建筑结构、施工图纸详实仔细的，得8分；</w:t>
            </w:r>
          </w:p>
          <w:p>
            <w:pPr>
              <w:numPr>
                <w:ilvl w:val="0"/>
                <w:numId w:val="0"/>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2、施工图尊重原建筑结构、施工图纸较为全面的，得6分；</w:t>
            </w:r>
          </w:p>
          <w:p>
            <w:pPr>
              <w:numPr>
                <w:ilvl w:val="0"/>
                <w:numId w:val="0"/>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3、施工图简单笼统，不具备实施条件的，得4分；</w:t>
            </w:r>
          </w:p>
          <w:p>
            <w:pPr>
              <w:numPr>
                <w:ilvl w:val="0"/>
                <w:numId w:val="0"/>
              </w:numPr>
              <w:spacing w:line="48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4、未提供不得分。</w:t>
            </w:r>
          </w:p>
          <w:p>
            <w:pPr>
              <w:snapToGrid w:val="0"/>
              <w:spacing w:line="480" w:lineRule="auto"/>
              <w:ind w:firstLine="422" w:firstLineChars="200"/>
              <w:rPr>
                <w:rFonts w:ascii="宋体" w:hAnsi="Times New Roman" w:eastAsia="宋体" w:cstheme="minorBidi"/>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备注：上述评分项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重点以提供企业数智化转型服务中心、数智企业体验中心、数智运营中心、数智工程师认证中心、、产业数字经济研究中心为主，须提供包括：平面布置图、家</w:t>
            </w:r>
            <w:r>
              <w:rPr>
                <w:rFonts w:hint="eastAsia" w:ascii="宋体" w:hAnsi="宋体" w:cs="宋体"/>
                <w:b/>
                <w:color w:val="000000" w:themeColor="text1"/>
                <w:sz w:val="21"/>
                <w:szCs w:val="21"/>
                <w:highlight w:val="none"/>
                <w:lang w:val="en-US" w:eastAsia="zh-CN"/>
                <w14:textFill>
                  <w14:solidFill>
                    <w14:schemeClr w14:val="tx1"/>
                  </w14:solidFill>
                </w14:textFill>
              </w:rPr>
              <w:t>具</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布置图、地坪平面图、天花平面图、开关控制图、插座布置图、平面索引图</w:t>
            </w:r>
            <w:r>
              <w:rPr>
                <w:rFonts w:hint="eastAsia" w:ascii="宋体" w:hAnsi="宋体" w:cs="宋体"/>
                <w:b/>
                <w:color w:val="000000" w:themeColor="text1"/>
                <w:sz w:val="21"/>
                <w:szCs w:val="21"/>
                <w:highlight w:val="none"/>
                <w:lang w:val="en-US" w:eastAsia="zh-CN"/>
                <w14:textFill>
                  <w14:solidFill>
                    <w14:schemeClr w14:val="tx1"/>
                  </w14:solidFill>
                </w14:textFill>
              </w:rPr>
              <w:t>。</w:t>
            </w:r>
          </w:p>
        </w:tc>
      </w:tr>
      <w:tr>
        <w:tblPrEx>
          <w:tblCellMar>
            <w:top w:w="0" w:type="dxa"/>
            <w:left w:w="108" w:type="dxa"/>
            <w:bottom w:w="0" w:type="dxa"/>
            <w:right w:w="108" w:type="dxa"/>
          </w:tblCellMar>
        </w:tblPrEx>
        <w:trPr>
          <w:trHeight w:val="164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业绩（9分）</w:t>
            </w:r>
          </w:p>
        </w:tc>
        <w:tc>
          <w:tcPr>
            <w:tcW w:w="73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4"/>
              <w:spacing w:line="48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供应商自2019年1月1日以来（以合同签订时间为准），企业须承担过类似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设计施工一体化业绩</w:t>
            </w:r>
            <w:r>
              <w:rPr>
                <w:rFonts w:hint="eastAsia" w:ascii="宋体" w:hAnsi="宋体" w:eastAsia="宋体" w:cs="宋体"/>
                <w:color w:val="000000" w:themeColor="text1"/>
                <w:sz w:val="21"/>
                <w:szCs w:val="21"/>
                <w:highlight w:val="none"/>
                <w14:textFill>
                  <w14:solidFill>
                    <w14:schemeClr w14:val="tx1"/>
                  </w14:solidFill>
                </w14:textFill>
              </w:rPr>
              <w:t>的，有一个得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分，本项最多得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7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注：时间以合同签订时间为准。业绩证明材料须提供合同复印件并加盖供应商公章，未提供或未按要求提供有效的证明文件的此项不得分。</w:t>
            </w:r>
          </w:p>
        </w:tc>
      </w:tr>
    </w:tbl>
    <w:p>
      <w:pPr>
        <w:jc w:val="center"/>
        <w:rPr>
          <w:rStyle w:val="54"/>
          <w:rFonts w:ascii="宋体" w:hAnsi="宋体" w:cs="宋体"/>
          <w:b/>
          <w:color w:val="000000" w:themeColor="text1"/>
          <w:sz w:val="44"/>
          <w:highlight w:val="none"/>
          <w14:textFill>
            <w14:solidFill>
              <w14:schemeClr w14:val="tx1"/>
            </w14:solidFill>
          </w14:textFill>
        </w:rPr>
      </w:pPr>
      <w:r>
        <w:rPr>
          <w:rStyle w:val="54"/>
          <w:rFonts w:hint="eastAsia" w:ascii="宋体" w:hAnsi="宋体" w:cs="宋体"/>
          <w:b/>
          <w:color w:val="000000" w:themeColor="text1"/>
          <w:sz w:val="44"/>
          <w:highlight w:val="none"/>
          <w14:textFill>
            <w14:solidFill>
              <w14:schemeClr w14:val="tx1"/>
            </w14:solidFill>
          </w14:textFill>
        </w:rPr>
        <w:br w:type="page"/>
      </w:r>
      <w:r>
        <w:rPr>
          <w:rStyle w:val="54"/>
          <w:rFonts w:hint="eastAsia" w:ascii="宋体" w:hAnsi="宋体" w:cs="宋体"/>
          <w:b/>
          <w:color w:val="000000" w:themeColor="text1"/>
          <w:sz w:val="44"/>
          <w:highlight w:val="none"/>
          <w14:textFill>
            <w14:solidFill>
              <w14:schemeClr w14:val="tx1"/>
            </w14:solidFill>
          </w14:textFill>
        </w:rPr>
        <w:t>第六章  投标文件格式</w:t>
      </w:r>
      <w:bookmarkEnd w:id="24"/>
    </w:p>
    <w:p>
      <w:pPr>
        <w:pStyle w:val="14"/>
        <w:adjustRightInd w:val="0"/>
        <w:snapToGrid w:val="0"/>
        <w:jc w:val="left"/>
        <w:rPr>
          <w:rFonts w:hAnsi="宋体" w:cs="宋体"/>
          <w:color w:val="000000" w:themeColor="text1"/>
          <w:kern w:val="0"/>
          <w:sz w:val="24"/>
          <w:szCs w:val="24"/>
          <w:highlight w:val="none"/>
          <w:shd w:val="clear" w:color="auto" w:fill="FFFFFF"/>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一号、二号、三号标书封袋以及一号标书封面格式</w:t>
      </w:r>
      <w:r>
        <w:rPr>
          <w:rFonts w:hint="eastAsia" w:hAnsi="宋体" w:cs="宋体"/>
          <w:color w:val="000000" w:themeColor="text1"/>
          <w:kern w:val="0"/>
          <w:sz w:val="24"/>
          <w:szCs w:val="24"/>
          <w:highlight w:val="none"/>
          <w:shd w:val="clear" w:color="auto" w:fill="FFFFFF"/>
          <w14:textFill>
            <w14:solidFill>
              <w14:schemeClr w14:val="tx1"/>
            </w14:solidFill>
          </w14:textFill>
        </w:rPr>
        <w:t>（该行文字投标人自行删除）</w:t>
      </w:r>
    </w:p>
    <w:p>
      <w:pPr>
        <w:jc w:val="right"/>
        <w:rPr>
          <w:rStyle w:val="54"/>
          <w:rFonts w:ascii="宋体" w:hAnsi="宋体" w:cs="宋体"/>
          <w:b/>
          <w:color w:val="000000" w:themeColor="text1"/>
          <w:sz w:val="72"/>
          <w:highlight w:val="none"/>
          <w14:textFill>
            <w14:solidFill>
              <w14:schemeClr w14:val="tx1"/>
            </w14:solidFill>
          </w14:textFill>
        </w:rPr>
      </w:pPr>
      <w:r>
        <w:rPr>
          <w:rStyle w:val="54"/>
          <w:rFonts w:hint="eastAsia" w:ascii="宋体" w:hAnsi="宋体" w:cs="宋体"/>
          <w:b/>
          <w:color w:val="000000" w:themeColor="text1"/>
          <w:sz w:val="72"/>
          <w:highlight w:val="none"/>
          <w14:textFill>
            <w14:solidFill>
              <w14:schemeClr w14:val="tx1"/>
            </w14:solidFill>
          </w14:textFill>
        </w:rPr>
        <w:t xml:space="preserve">    </w:t>
      </w:r>
    </w:p>
    <w:p>
      <w:pPr>
        <w:jc w:val="right"/>
        <w:rPr>
          <w:rStyle w:val="54"/>
          <w:rFonts w:ascii="宋体" w:hAnsi="宋体" w:cs="宋体"/>
          <w:b/>
          <w:color w:val="000000" w:themeColor="text1"/>
          <w:sz w:val="72"/>
          <w:highlight w:val="none"/>
          <w14:textFill>
            <w14:solidFill>
              <w14:schemeClr w14:val="tx1"/>
            </w14:solidFill>
          </w14:textFill>
        </w:rPr>
      </w:pPr>
      <w:r>
        <w:rPr>
          <w:rStyle w:val="54"/>
          <w:rFonts w:hint="eastAsia" w:ascii="宋体" w:hAnsi="宋体" w:cs="宋体"/>
          <w:b/>
          <w:color w:val="000000" w:themeColor="text1"/>
          <w:sz w:val="72"/>
          <w:highlight w:val="none"/>
          <w14:textFill>
            <w14:solidFill>
              <w14:schemeClr w14:val="tx1"/>
            </w14:solidFill>
          </w14:textFill>
        </w:rPr>
        <w:t xml:space="preserve"> </w:t>
      </w:r>
      <w:r>
        <w:rPr>
          <w:rStyle w:val="54"/>
          <w:rFonts w:hint="eastAsia" w:ascii="宋体" w:hAnsi="宋体" w:cs="宋体"/>
          <w:b/>
          <w:color w:val="000000" w:themeColor="text1"/>
          <w:sz w:val="36"/>
          <w:highlight w:val="none"/>
          <w:u w:val="single"/>
          <w14:textFill>
            <w14:solidFill>
              <w14:schemeClr w14:val="tx1"/>
            </w14:solidFill>
          </w14:textFill>
        </w:rPr>
        <w:t xml:space="preserve">    </w:t>
      </w:r>
      <w:r>
        <w:rPr>
          <w:rStyle w:val="54"/>
          <w:rFonts w:hint="eastAsia" w:ascii="宋体" w:hAnsi="宋体" w:cs="宋体"/>
          <w:b/>
          <w:color w:val="000000" w:themeColor="text1"/>
          <w:sz w:val="36"/>
          <w:highlight w:val="none"/>
          <w14:textFill>
            <w14:solidFill>
              <w14:schemeClr w14:val="tx1"/>
            </w14:solidFill>
          </w14:textFill>
        </w:rPr>
        <w:t>本</w:t>
      </w:r>
      <w:r>
        <w:rPr>
          <w:rStyle w:val="54"/>
          <w:rFonts w:hint="eastAsia" w:ascii="宋体" w:hAnsi="宋体" w:cs="宋体"/>
          <w:b/>
          <w:color w:val="000000" w:themeColor="text1"/>
          <w:sz w:val="72"/>
          <w:highlight w:val="none"/>
          <w14:textFill>
            <w14:solidFill>
              <w14:schemeClr w14:val="tx1"/>
            </w14:solidFill>
          </w14:textFill>
        </w:rPr>
        <w:t xml:space="preserve">        </w:t>
      </w:r>
    </w:p>
    <w:p>
      <w:pPr>
        <w:jc w:val="center"/>
        <w:rPr>
          <w:rStyle w:val="54"/>
          <w:rFonts w:ascii="宋体" w:hAnsi="宋体" w:cs="宋体"/>
          <w:b/>
          <w:color w:val="000000" w:themeColor="text1"/>
          <w:sz w:val="72"/>
          <w:highlight w:val="none"/>
          <w14:textFill>
            <w14:solidFill>
              <w14:schemeClr w14:val="tx1"/>
            </w14:solidFill>
          </w14:textFill>
        </w:rPr>
      </w:pPr>
      <w:r>
        <w:rPr>
          <w:rStyle w:val="54"/>
          <w:rFonts w:hint="eastAsia" w:ascii="宋体" w:hAnsi="宋体" w:cs="宋体"/>
          <w:b/>
          <w:color w:val="000000" w:themeColor="text1"/>
          <w:sz w:val="72"/>
          <w:highlight w:val="none"/>
          <w14:textFill>
            <w14:solidFill>
              <w14:schemeClr w14:val="tx1"/>
            </w14:solidFill>
          </w14:textFill>
        </w:rPr>
        <w:t xml:space="preserve">                         </w:t>
      </w:r>
    </w:p>
    <w:p>
      <w:pPr>
        <w:jc w:val="center"/>
        <w:outlineLvl w:val="0"/>
        <w:rPr>
          <w:rStyle w:val="54"/>
          <w:rFonts w:ascii="宋体" w:hAnsi="宋体" w:cs="宋体"/>
          <w:b/>
          <w:color w:val="000000" w:themeColor="text1"/>
          <w:sz w:val="72"/>
          <w:highlight w:val="none"/>
          <w14:textFill>
            <w14:solidFill>
              <w14:schemeClr w14:val="tx1"/>
            </w14:solidFill>
          </w14:textFill>
        </w:rPr>
      </w:pPr>
      <w:bookmarkStart w:id="25" w:name="_Toc26413"/>
    </w:p>
    <w:p>
      <w:pPr>
        <w:jc w:val="center"/>
        <w:outlineLvl w:val="0"/>
        <w:rPr>
          <w:rStyle w:val="54"/>
          <w:rFonts w:ascii="宋体" w:hAnsi="宋体" w:cs="宋体"/>
          <w:b/>
          <w:color w:val="000000" w:themeColor="text1"/>
          <w:sz w:val="72"/>
          <w:highlight w:val="none"/>
          <w14:textFill>
            <w14:solidFill>
              <w14:schemeClr w14:val="tx1"/>
            </w14:solidFill>
          </w14:textFill>
        </w:rPr>
      </w:pPr>
      <w:r>
        <w:rPr>
          <w:rStyle w:val="54"/>
          <w:rFonts w:hint="eastAsia" w:ascii="宋体" w:hAnsi="宋体" w:cs="宋体"/>
          <w:b/>
          <w:color w:val="000000" w:themeColor="text1"/>
          <w:sz w:val="72"/>
          <w:highlight w:val="none"/>
          <w14:textFill>
            <w14:solidFill>
              <w14:schemeClr w14:val="tx1"/>
            </w14:solidFill>
          </w14:textFill>
        </w:rPr>
        <w:t>投  标  文  件</w:t>
      </w:r>
      <w:bookmarkEnd w:id="25"/>
    </w:p>
    <w:p>
      <w:pPr>
        <w:jc w:val="center"/>
        <w:outlineLvl w:val="0"/>
        <w:rPr>
          <w:rStyle w:val="54"/>
          <w:rFonts w:ascii="宋体" w:hAnsi="宋体" w:cs="宋体"/>
          <w:b/>
          <w:color w:val="000000" w:themeColor="text1"/>
          <w:sz w:val="72"/>
          <w:highlight w:val="none"/>
          <w14:textFill>
            <w14:solidFill>
              <w14:schemeClr w14:val="tx1"/>
            </w14:solidFill>
          </w14:textFill>
        </w:rPr>
      </w:pPr>
      <w:bookmarkStart w:id="26" w:name="_Toc17655"/>
      <w:r>
        <w:rPr>
          <w:rStyle w:val="54"/>
          <w:rFonts w:hint="eastAsia" w:ascii="宋体" w:hAnsi="宋体" w:cs="宋体"/>
          <w:b/>
          <w:color w:val="000000" w:themeColor="text1"/>
          <w:sz w:val="36"/>
          <w:highlight w:val="none"/>
          <w14:textFill>
            <w14:solidFill>
              <w14:schemeClr w14:val="tx1"/>
            </w14:solidFill>
          </w14:textFill>
        </w:rPr>
        <w:t>（</w:t>
      </w:r>
      <w:r>
        <w:rPr>
          <w:rStyle w:val="54"/>
          <w:rFonts w:hint="eastAsia" w:ascii="宋体" w:hAnsi="宋体" w:cs="宋体"/>
          <w:b/>
          <w:color w:val="000000" w:themeColor="text1"/>
          <w:sz w:val="36"/>
          <w:highlight w:val="none"/>
          <w:u w:val="single"/>
          <w14:textFill>
            <w14:solidFill>
              <w14:schemeClr w14:val="tx1"/>
            </w14:solidFill>
          </w14:textFill>
        </w:rPr>
        <w:t xml:space="preserve">    </w:t>
      </w:r>
      <w:r>
        <w:rPr>
          <w:rStyle w:val="54"/>
          <w:rFonts w:hint="eastAsia" w:ascii="宋体" w:hAnsi="宋体" w:cs="宋体"/>
          <w:b/>
          <w:color w:val="000000" w:themeColor="text1"/>
          <w:sz w:val="36"/>
          <w:highlight w:val="none"/>
          <w14:textFill>
            <w14:solidFill>
              <w14:schemeClr w14:val="tx1"/>
            </w14:solidFill>
          </w14:textFill>
        </w:rPr>
        <w:t>号标书）</w:t>
      </w:r>
      <w:bookmarkEnd w:id="26"/>
    </w:p>
    <w:p>
      <w:pPr>
        <w:jc w:val="center"/>
        <w:rPr>
          <w:rStyle w:val="54"/>
          <w:rFonts w:ascii="宋体" w:hAnsi="宋体" w:cs="宋体"/>
          <w:b/>
          <w:color w:val="000000" w:themeColor="text1"/>
          <w:sz w:val="72"/>
          <w:highlight w:val="none"/>
          <w14:textFill>
            <w14:solidFill>
              <w14:schemeClr w14:val="tx1"/>
            </w14:solidFill>
          </w14:textFill>
        </w:rPr>
      </w:pPr>
    </w:p>
    <w:p>
      <w:pPr>
        <w:jc w:val="center"/>
        <w:rPr>
          <w:rStyle w:val="54"/>
          <w:rFonts w:ascii="宋体" w:hAnsi="宋体" w:cs="宋体"/>
          <w:b/>
          <w:color w:val="000000" w:themeColor="text1"/>
          <w:sz w:val="72"/>
          <w:highlight w:val="none"/>
          <w14:textFill>
            <w14:solidFill>
              <w14:schemeClr w14:val="tx1"/>
            </w14:solidFill>
          </w14:textFill>
        </w:rPr>
      </w:pPr>
    </w:p>
    <w:p>
      <w:pPr>
        <w:jc w:val="center"/>
        <w:rPr>
          <w:rStyle w:val="54"/>
          <w:rFonts w:ascii="宋体" w:hAnsi="宋体" w:cs="宋体"/>
          <w:b/>
          <w:color w:val="000000" w:themeColor="text1"/>
          <w:sz w:val="36"/>
          <w:highlight w:val="none"/>
          <w14:textFill>
            <w14:solidFill>
              <w14:schemeClr w14:val="tx1"/>
            </w14:solidFill>
          </w14:textFill>
        </w:rPr>
      </w:pPr>
    </w:p>
    <w:p>
      <w:pPr>
        <w:jc w:val="center"/>
        <w:rPr>
          <w:rStyle w:val="54"/>
          <w:rFonts w:ascii="宋体" w:hAnsi="宋体" w:cs="宋体"/>
          <w:b/>
          <w:color w:val="000000" w:themeColor="text1"/>
          <w:sz w:val="36"/>
          <w:highlight w:val="none"/>
          <w14:textFill>
            <w14:solidFill>
              <w14:schemeClr w14:val="tx1"/>
            </w14:solidFill>
          </w14:textFill>
        </w:rPr>
      </w:pPr>
    </w:p>
    <w:p>
      <w:pPr>
        <w:jc w:val="center"/>
        <w:rPr>
          <w:rStyle w:val="54"/>
          <w:rFonts w:ascii="宋体" w:hAnsi="宋体" w:cs="宋体"/>
          <w:b/>
          <w:color w:val="000000" w:themeColor="text1"/>
          <w:sz w:val="36"/>
          <w:highlight w:val="none"/>
          <w14:textFill>
            <w14:solidFill>
              <w14:schemeClr w14:val="tx1"/>
            </w14:solidFill>
          </w14:textFill>
        </w:rPr>
      </w:pPr>
    </w:p>
    <w:p>
      <w:pPr>
        <w:ind w:firstLine="1084" w:firstLineChars="300"/>
        <w:outlineLvl w:val="0"/>
        <w:rPr>
          <w:rStyle w:val="54"/>
          <w:rFonts w:ascii="宋体" w:hAnsi="宋体" w:cs="宋体"/>
          <w:b/>
          <w:color w:val="000000" w:themeColor="text1"/>
          <w:sz w:val="36"/>
          <w:highlight w:val="none"/>
          <w14:textFill>
            <w14:solidFill>
              <w14:schemeClr w14:val="tx1"/>
            </w14:solidFill>
          </w14:textFill>
        </w:rPr>
      </w:pPr>
      <w:bookmarkStart w:id="27" w:name="_Toc8567"/>
      <w:r>
        <w:rPr>
          <w:rStyle w:val="54"/>
          <w:rFonts w:hint="eastAsia" w:ascii="宋体" w:hAnsi="宋体" w:cs="宋体"/>
          <w:b/>
          <w:color w:val="000000" w:themeColor="text1"/>
          <w:sz w:val="36"/>
          <w:highlight w:val="none"/>
          <w14:textFill>
            <w14:solidFill>
              <w14:schemeClr w14:val="tx1"/>
            </w14:solidFill>
          </w14:textFill>
        </w:rPr>
        <w:t>项 目 名 称：</w:t>
      </w:r>
      <w:bookmarkEnd w:id="27"/>
    </w:p>
    <w:p>
      <w:pPr>
        <w:ind w:firstLine="1084" w:firstLineChars="300"/>
        <w:outlineLvl w:val="0"/>
        <w:rPr>
          <w:rStyle w:val="54"/>
          <w:rFonts w:ascii="宋体" w:hAnsi="宋体" w:cs="宋体"/>
          <w:b/>
          <w:color w:val="000000" w:themeColor="text1"/>
          <w:sz w:val="36"/>
          <w:highlight w:val="none"/>
          <w:u w:val="single" w:color="000000"/>
          <w14:textFill>
            <w14:solidFill>
              <w14:schemeClr w14:val="tx1"/>
            </w14:solidFill>
          </w14:textFill>
        </w:rPr>
      </w:pPr>
      <w:bookmarkStart w:id="28" w:name="_Toc20815"/>
      <w:r>
        <w:rPr>
          <w:rStyle w:val="54"/>
          <w:rFonts w:hint="eastAsia" w:ascii="宋体" w:hAnsi="宋体" w:cs="宋体"/>
          <w:b/>
          <w:color w:val="000000" w:themeColor="text1"/>
          <w:sz w:val="36"/>
          <w:highlight w:val="none"/>
          <w14:textFill>
            <w14:solidFill>
              <w14:schemeClr w14:val="tx1"/>
            </w14:solidFill>
          </w14:textFill>
        </w:rPr>
        <w:t>招 标 编 号：</w:t>
      </w:r>
      <w:bookmarkEnd w:id="28"/>
    </w:p>
    <w:p>
      <w:pPr>
        <w:ind w:firstLine="1084" w:firstLineChars="300"/>
        <w:outlineLvl w:val="0"/>
        <w:rPr>
          <w:rStyle w:val="54"/>
          <w:rFonts w:ascii="宋体" w:hAnsi="宋体" w:cs="宋体"/>
          <w:b/>
          <w:color w:val="000000" w:themeColor="text1"/>
          <w:sz w:val="36"/>
          <w:highlight w:val="none"/>
          <w:u w:val="single" w:color="000000"/>
          <w14:textFill>
            <w14:solidFill>
              <w14:schemeClr w14:val="tx1"/>
            </w14:solidFill>
          </w14:textFill>
        </w:rPr>
      </w:pPr>
      <w:bookmarkStart w:id="29" w:name="_Toc15597"/>
      <w:r>
        <w:rPr>
          <w:rStyle w:val="54"/>
          <w:rFonts w:hint="eastAsia" w:ascii="宋体" w:hAnsi="宋体" w:cs="宋体"/>
          <w:b/>
          <w:color w:val="000000" w:themeColor="text1"/>
          <w:sz w:val="36"/>
          <w:highlight w:val="none"/>
          <w14:textFill>
            <w14:solidFill>
              <w14:schemeClr w14:val="tx1"/>
            </w14:solidFill>
          </w14:textFill>
        </w:rPr>
        <w:t>投标人名称 ：</w:t>
      </w:r>
      <w:bookmarkEnd w:id="29"/>
    </w:p>
    <w:p>
      <w:pPr>
        <w:ind w:firstLine="1084" w:firstLineChars="300"/>
        <w:outlineLvl w:val="0"/>
        <w:rPr>
          <w:rStyle w:val="54"/>
          <w:rFonts w:ascii="宋体" w:hAnsi="宋体" w:cs="宋体"/>
          <w:b/>
          <w:color w:val="000000" w:themeColor="text1"/>
          <w:sz w:val="36"/>
          <w:highlight w:val="none"/>
          <w14:textFill>
            <w14:solidFill>
              <w14:schemeClr w14:val="tx1"/>
            </w14:solidFill>
          </w14:textFill>
        </w:rPr>
      </w:pPr>
      <w:bookmarkStart w:id="30" w:name="_Toc26387"/>
      <w:r>
        <w:rPr>
          <w:rStyle w:val="54"/>
          <w:rFonts w:hint="eastAsia" w:ascii="宋体" w:hAnsi="宋体" w:cs="宋体"/>
          <w:b/>
          <w:color w:val="000000" w:themeColor="text1"/>
          <w:sz w:val="36"/>
          <w:highlight w:val="none"/>
          <w14:textFill>
            <w14:solidFill>
              <w14:schemeClr w14:val="tx1"/>
            </w14:solidFill>
          </w14:textFill>
        </w:rPr>
        <w:t>日      期 ：</w:t>
      </w:r>
      <w:bookmarkEnd w:id="30"/>
    </w:p>
    <w:p>
      <w:pPr>
        <w:spacing w:line="440" w:lineRule="exact"/>
        <w:jc w:val="center"/>
        <w:rPr>
          <w:rStyle w:val="54"/>
          <w:rFonts w:ascii="宋体" w:hAnsi="宋体" w:cs="宋体"/>
          <w:b/>
          <w:bCs/>
          <w:color w:val="000000" w:themeColor="text1"/>
          <w:sz w:val="32"/>
          <w:szCs w:val="32"/>
          <w:highlight w:val="none"/>
          <w14:textFill>
            <w14:solidFill>
              <w14:schemeClr w14:val="tx1"/>
            </w14:solidFill>
          </w14:textFill>
        </w:rPr>
      </w:pPr>
    </w:p>
    <w:p>
      <w:pPr>
        <w:spacing w:line="440" w:lineRule="exact"/>
        <w:ind w:firstLine="480" w:firstLineChars="200"/>
        <w:rPr>
          <w:rStyle w:val="54"/>
          <w:rFonts w:ascii="宋体" w:hAnsi="宋体" w:cs="宋体"/>
          <w:color w:val="000000" w:themeColor="text1"/>
          <w:sz w:val="24"/>
          <w:highlight w:val="none"/>
          <w14:textFill>
            <w14:solidFill>
              <w14:schemeClr w14:val="tx1"/>
            </w14:solidFill>
          </w14:textFill>
        </w:rPr>
      </w:pPr>
    </w:p>
    <w:p>
      <w:pPr>
        <w:spacing w:line="440" w:lineRule="exact"/>
        <w:ind w:firstLine="480" w:firstLineChars="200"/>
        <w:rPr>
          <w:rStyle w:val="54"/>
          <w:rFonts w:ascii="宋体" w:hAnsi="宋体" w:cs="宋体"/>
          <w:color w:val="000000" w:themeColor="text1"/>
          <w:sz w:val="24"/>
          <w:highlight w:val="none"/>
          <w14:textFill>
            <w14:solidFill>
              <w14:schemeClr w14:val="tx1"/>
            </w14:solidFill>
          </w14:textFill>
        </w:rPr>
      </w:pPr>
    </w:p>
    <w:p>
      <w:pPr>
        <w:spacing w:line="440" w:lineRule="exact"/>
        <w:rPr>
          <w:rStyle w:val="54"/>
          <w:rFonts w:ascii="宋体" w:hAnsi="宋体" w:cs="宋体"/>
          <w:color w:val="000000" w:themeColor="text1"/>
          <w:sz w:val="24"/>
          <w:highlight w:val="none"/>
          <w14:textFill>
            <w14:solidFill>
              <w14:schemeClr w14:val="tx1"/>
            </w14:solidFill>
          </w14:textFill>
        </w:rPr>
      </w:pPr>
    </w:p>
    <w:p>
      <w:pPr>
        <w:rPr>
          <w:rFonts w:ascii="宋体" w:hAnsi="宋体" w:cs="宋体"/>
          <w:b/>
          <w:color w:val="000000" w:themeColor="text1"/>
          <w:sz w:val="30"/>
          <w:szCs w:val="30"/>
          <w:highlight w:val="none"/>
          <w14:textFill>
            <w14:solidFill>
              <w14:schemeClr w14:val="tx1"/>
            </w14:solidFill>
          </w14:textFill>
        </w:rPr>
      </w:pPr>
      <w:bookmarkStart w:id="31" w:name="_Toc17998"/>
      <w:r>
        <w:rPr>
          <w:rFonts w:ascii="宋体" w:hAnsi="宋体" w:cs="宋体"/>
          <w:b/>
          <w:color w:val="000000" w:themeColor="text1"/>
          <w:sz w:val="30"/>
          <w:szCs w:val="30"/>
          <w:highlight w:val="none"/>
          <w14:textFill>
            <w14:solidFill>
              <w14:schemeClr w14:val="tx1"/>
            </w14:solidFill>
          </w14:textFill>
        </w:rPr>
        <w:br w:type="page"/>
      </w:r>
    </w:p>
    <w:p>
      <w:pPr>
        <w:spacing w:line="480" w:lineRule="exact"/>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二号、三号标书封面：</w:t>
      </w:r>
    </w:p>
    <w:p>
      <w:pPr>
        <w:ind w:firstLine="560" w:firstLineChars="200"/>
        <w:rPr>
          <w:rFonts w:ascii="宋体" w:hAnsi="宋体" w:cs="宋体"/>
          <w:color w:val="000000" w:themeColor="text1"/>
          <w:sz w:val="28"/>
          <w:szCs w:val="28"/>
          <w:highlight w:val="none"/>
          <w14:textFill>
            <w14:solidFill>
              <w14:schemeClr w14:val="tx1"/>
            </w14:solidFill>
          </w14:textFill>
        </w:rPr>
      </w:pPr>
    </w:p>
    <w:p>
      <w:pPr>
        <w:pStyle w:val="5"/>
        <w:ind w:firstLine="643" w:firstLineChars="200"/>
        <w:rPr>
          <w:rFonts w:ascii="宋体" w:cs="宋体"/>
          <w:color w:val="000000" w:themeColor="text1"/>
          <w:highlight w:val="none"/>
          <w14:textFill>
            <w14:solidFill>
              <w14:schemeClr w14:val="tx1"/>
            </w14:solidFill>
          </w14:textFill>
        </w:rPr>
      </w:pPr>
      <w:r>
        <w:rPr>
          <w:rFonts w:hint="eastAsia"/>
          <w:color w:val="000000" w:themeColor="text1"/>
          <w:sz w:val="32"/>
          <w:szCs w:val="22"/>
          <w:highlight w:val="none"/>
          <w14:textFill>
            <w14:solidFill>
              <w14:schemeClr w14:val="tx1"/>
            </w14:solidFill>
          </w14:textFill>
        </w:rPr>
        <w:t>另附</w:t>
      </w:r>
    </w:p>
    <w:p>
      <w:pPr>
        <w:tabs>
          <w:tab w:val="left" w:pos="4950"/>
        </w:tabs>
        <w:spacing w:line="360" w:lineRule="atLeast"/>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提示语：二号、三号标书封面由代理公司以PDF形式发给各投标人，各投标人不得修改二号、三号标书封面，否则以未按无标志制作要求处理。</w:t>
      </w: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p>
    <w:p>
      <w:pPr>
        <w:pStyle w:val="8"/>
        <w:rPr>
          <w:color w:val="000000" w:themeColor="text1"/>
          <w:highlight w:val="none"/>
          <w14:textFill>
            <w14:solidFill>
              <w14:schemeClr w14:val="tx1"/>
            </w14:solidFill>
          </w14:textFill>
        </w:rPr>
      </w:pPr>
    </w:p>
    <w:p>
      <w:pPr>
        <w:spacing w:line="440" w:lineRule="exact"/>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评分索引表</w:t>
      </w:r>
    </w:p>
    <w:p>
      <w:pPr>
        <w:spacing w:line="440" w:lineRule="exact"/>
        <w:jc w:val="center"/>
        <w:rPr>
          <w:rFonts w:ascii="宋体" w:hAnsi="宋体" w:cs="宋体"/>
          <w:b/>
          <w:color w:val="000000" w:themeColor="text1"/>
          <w:sz w:val="30"/>
          <w:szCs w:val="30"/>
          <w:highlight w:val="none"/>
          <w14:textFill>
            <w14:solidFill>
              <w14:schemeClr w14:val="tx1"/>
            </w14:solidFill>
          </w14:textFill>
        </w:rPr>
      </w:pPr>
    </w:p>
    <w:tbl>
      <w:tblPr>
        <w:tblStyle w:val="27"/>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2"/>
              <w:shd w:val="clear" w:color="auto" w:fill="FFFFFF"/>
              <w:spacing w:line="265" w:lineRule="atLeast"/>
              <w:ind w:left="420"/>
              <w:jc w:val="center"/>
              <w:rPr>
                <w:rFonts w:ascii="宋体" w:hAnsi="宋体" w:cs="宋体"/>
                <w:b/>
                <w:bCs/>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评分项目</w:t>
            </w:r>
          </w:p>
        </w:tc>
        <w:tc>
          <w:tcPr>
            <w:tcW w:w="3570" w:type="dxa"/>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7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c>
          <w:tcPr>
            <w:tcW w:w="3570" w:type="dxa"/>
          </w:tcPr>
          <w:p>
            <w:pPr>
              <w:rPr>
                <w:rFonts w:ascii="宋体" w:hAnsi="宋体" w:cs="宋体"/>
                <w:b/>
                <w:color w:val="000000" w:themeColor="text1"/>
                <w:kern w:val="0"/>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72"/>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72"/>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7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2"/>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2"/>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7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72"/>
              <w:shd w:val="clear" w:color="auto" w:fill="FFFFFF"/>
              <w:spacing w:line="265" w:lineRule="atLeast"/>
              <w:ind w:left="0" w:firstLine="480" w:firstLineChars="200"/>
              <w:rPr>
                <w:rFonts w:ascii="宋体" w:hAnsi="宋体" w:cs="宋体"/>
                <w:color w:val="000000" w:themeColor="text1"/>
                <w:szCs w:val="2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72"/>
              <w:shd w:val="clear" w:color="auto" w:fill="FFFFFF"/>
              <w:spacing w:line="265" w:lineRule="atLeast"/>
              <w:ind w:left="0" w:firstLine="480" w:firstLineChars="200"/>
              <w:rPr>
                <w:rFonts w:ascii="宋体" w:hAnsi="宋体" w:cs="宋体"/>
                <w:color w:val="000000" w:themeColor="text1"/>
                <w:highlight w:val="none"/>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highlight w:val="none"/>
                <w14:textFill>
                  <w14:solidFill>
                    <w14:schemeClr w14:val="tx1"/>
                  </w14:solidFill>
                </w14:textFill>
              </w:rPr>
            </w:pPr>
          </w:p>
        </w:tc>
      </w:tr>
    </w:tbl>
    <w:p>
      <w:pPr>
        <w:rPr>
          <w:rFonts w:ascii="宋体" w:hAnsi="宋体" w:cs="宋体"/>
          <w:color w:val="000000" w:themeColor="text1"/>
          <w:highlight w:val="none"/>
          <w14:textFill>
            <w14:solidFill>
              <w14:schemeClr w14:val="tx1"/>
            </w14:solidFill>
          </w14:textFill>
        </w:rPr>
      </w:pPr>
    </w:p>
    <w:bookmarkEnd w:id="31"/>
    <w:p>
      <w:pPr>
        <w:pStyle w:val="46"/>
        <w:spacing w:line="240" w:lineRule="atLeast"/>
        <w:rPr>
          <w:rStyle w:val="54"/>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5"/>
        <w:jc w:val="center"/>
        <w:rPr>
          <w:rFonts w:ascii="宋体" w:hAnsi="宋体" w:cs="宋体"/>
          <w:b w:val="0"/>
          <w:bCs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主要设备有：。</w:t>
      </w: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highlight w:val="none"/>
          <w14:textFill>
            <w14:solidFill>
              <w14:schemeClr w14:val="tx1"/>
            </w14:solidFill>
          </w14:textFill>
        </w:rPr>
      </w:pPr>
    </w:p>
    <w:p>
      <w:pPr>
        <w:spacing w:line="460" w:lineRule="exact"/>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日期：</w:t>
      </w:r>
      <w:r>
        <w:rPr>
          <w:rFonts w:hint="eastAsia" w:ascii="宋体" w:hAnsi="宋体" w:cs="宋体"/>
          <w:bCs/>
          <w:color w:val="000000" w:themeColor="text1"/>
          <w:sz w:val="24"/>
          <w:szCs w:val="24"/>
          <w:highlight w:val="none"/>
          <w:u w:val="single"/>
          <w14:textFill>
            <w14:solidFill>
              <w14:schemeClr w14:val="tx1"/>
            </w14:solidFill>
          </w14:textFill>
        </w:rPr>
        <w:t xml:space="preserve">    年    月    日</w:t>
      </w:r>
    </w:p>
    <w:p>
      <w:pPr>
        <w:pStyle w:val="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5"/>
        <w:jc w:val="center"/>
        <w:rPr>
          <w:rFonts w:ascii="宋体" w:hAnsi="宋体" w:cs="宋体"/>
          <w:color w:val="000000" w:themeColor="text1"/>
          <w:highlight w:val="none"/>
          <w14:textFill>
            <w14:solidFill>
              <w14:schemeClr w14:val="tx1"/>
            </w14:solidFill>
          </w14:textFill>
        </w:rPr>
      </w:pPr>
    </w:p>
    <w:p>
      <w:pPr>
        <w:pStyle w:val="5"/>
        <w:jc w:val="center"/>
        <w:rPr>
          <w:rFonts w:ascii="宋体" w:hAnsi="宋体" w:cs="宋体"/>
          <w:color w:val="000000" w:themeColor="text1"/>
          <w:highlight w:val="none"/>
          <w14:textFill>
            <w14:solidFill>
              <w14:schemeClr w14:val="tx1"/>
            </w14:solidFill>
          </w14:textFill>
        </w:rPr>
      </w:pPr>
    </w:p>
    <w:p>
      <w:pPr>
        <w:pStyle w:val="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highlight w:val="none"/>
          <w14:textFill>
            <w14:solidFill>
              <w14:schemeClr w14:val="tx1"/>
            </w14:solidFill>
          </w14:textFill>
        </w:rPr>
      </w:pPr>
    </w:p>
    <w:p>
      <w:pPr>
        <w:jc w:val="center"/>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声  明</w:t>
      </w: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highlight w:val="none"/>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授权代表签字：</w:t>
      </w: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日期：</w:t>
      </w:r>
      <w:r>
        <w:rPr>
          <w:rFonts w:hint="eastAsia" w:ascii="宋体" w:hAnsi="宋体" w:cs="宋体"/>
          <w:bCs/>
          <w:color w:val="000000" w:themeColor="text1"/>
          <w:sz w:val="24"/>
          <w:szCs w:val="24"/>
          <w:highlight w:val="none"/>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pStyle w:val="5"/>
        <w:jc w:val="center"/>
        <w:rPr>
          <w:rFonts w:ascii="宋体" w:hAnsi="宋体" w:cs="宋体"/>
          <w:color w:val="000000" w:themeColor="text1"/>
          <w:highlight w:val="none"/>
          <w14:textFill>
            <w14:solidFill>
              <w14:schemeClr w14:val="tx1"/>
            </w14:solidFill>
          </w14:textFill>
        </w:rPr>
      </w:pPr>
    </w:p>
    <w:p>
      <w:pPr>
        <w:pStyle w:val="5"/>
        <w:jc w:val="center"/>
        <w:rPr>
          <w:rFonts w:ascii="宋体" w:hAnsi="宋体" w:cs="宋体"/>
          <w:color w:val="000000" w:themeColor="text1"/>
          <w:highlight w:val="none"/>
          <w14:textFill>
            <w14:solidFill>
              <w14:schemeClr w14:val="tx1"/>
            </w14:solidFill>
          </w14:textFill>
        </w:rPr>
      </w:pPr>
    </w:p>
    <w:p>
      <w:pPr>
        <w:pStyle w:val="5"/>
        <w:jc w:val="center"/>
        <w:rPr>
          <w:rFonts w:ascii="宋体" w:hAnsi="宋体" w:cs="宋体"/>
          <w:color w:val="000000" w:themeColor="text1"/>
          <w:highlight w:val="none"/>
          <w14:textFill>
            <w14:solidFill>
              <w14:schemeClr w14:val="tx1"/>
            </w14:solidFill>
          </w14:textFill>
        </w:rPr>
      </w:pPr>
    </w:p>
    <w:p>
      <w:pPr>
        <w:pStyle w:val="5"/>
        <w:jc w:val="center"/>
        <w:rPr>
          <w:rFonts w:ascii="宋体" w:hAnsi="宋体" w:cs="宋体"/>
          <w:color w:val="000000" w:themeColor="text1"/>
          <w:highlight w:val="none"/>
          <w14:textFill>
            <w14:solidFill>
              <w14:schemeClr w14:val="tx1"/>
            </w14:solidFill>
          </w14:textFill>
        </w:rPr>
      </w:pPr>
    </w:p>
    <w:p>
      <w:pPr>
        <w:pStyle w:val="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法人授权书</w:t>
      </w:r>
    </w:p>
    <w:p>
      <w:pPr>
        <w:rPr>
          <w:color w:val="000000" w:themeColor="text1"/>
          <w:highlight w:val="none"/>
          <w14:textFill>
            <w14:solidFill>
              <w14:schemeClr w14:val="tx1"/>
            </w14:solidFill>
          </w14:textFill>
        </w:rPr>
      </w:pPr>
    </w:p>
    <w:p>
      <w:pPr>
        <w:pStyle w:val="173"/>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号项目采购活动的合法代理人，以本公司名义全权处理一切与该项目采购有关的事务。</w:t>
      </w:r>
    </w:p>
    <w:p>
      <w:pPr>
        <w:pStyle w:val="173"/>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本授权书于______年____月____日起生效，特此声明。</w:t>
      </w:r>
    </w:p>
    <w:p>
      <w:pPr>
        <w:pStyle w:val="173"/>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代理人（被授权人）：_______________________</w:t>
      </w:r>
    </w:p>
    <w:p>
      <w:pPr>
        <w:pStyle w:val="173"/>
        <w:ind w:firstLine="0" w:firstLineChars="0"/>
        <w:rPr>
          <w:rFonts w:ascii="宋体" w:hAnsi="宋体" w:cs="宋体"/>
          <w:color w:val="000000" w:themeColor="text1"/>
          <w:sz w:val="24"/>
          <w:szCs w:val="24"/>
          <w:highlight w:val="none"/>
          <w14:textFill>
            <w14:solidFill>
              <w14:schemeClr w14:val="tx1"/>
            </w14:solidFill>
          </w14:textFill>
        </w:rPr>
      </w:pPr>
    </w:p>
    <w:p>
      <w:pPr>
        <w:pStyle w:val="173"/>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单位名称：_____________________________________</w:t>
      </w:r>
    </w:p>
    <w:p>
      <w:pPr>
        <w:pStyle w:val="173"/>
        <w:ind w:firstLine="480"/>
        <w:rPr>
          <w:rFonts w:ascii="宋体" w:hAnsi="宋体" w:cs="宋体"/>
          <w:color w:val="000000" w:themeColor="text1"/>
          <w:sz w:val="24"/>
          <w:szCs w:val="24"/>
          <w:highlight w:val="none"/>
          <w14:textFill>
            <w14:solidFill>
              <w14:schemeClr w14:val="tx1"/>
            </w14:solidFill>
          </w14:textFill>
        </w:rPr>
      </w:pPr>
    </w:p>
    <w:p>
      <w:pPr>
        <w:pStyle w:val="173"/>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授权单位盖章：_________________________________</w:t>
      </w:r>
    </w:p>
    <w:p>
      <w:pPr>
        <w:pStyle w:val="173"/>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单位名称：_____________________________________</w:t>
      </w:r>
    </w:p>
    <w:p>
      <w:pPr>
        <w:pStyle w:val="173"/>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地址：</w:t>
      </w:r>
    </w:p>
    <w:p>
      <w:pPr>
        <w:pStyle w:val="173"/>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                    </w:t>
      </w:r>
    </w:p>
    <w:p>
      <w:pPr>
        <w:pStyle w:val="5"/>
        <w:rPr>
          <w:rFonts w:ascii="宋体" w:hAnsi="宋体" w:cs="宋体"/>
          <w:color w:val="000000" w:themeColor="text1"/>
          <w:sz w:val="24"/>
          <w:szCs w:val="24"/>
          <w:highlight w:val="none"/>
          <w14:textFill>
            <w14:solidFill>
              <w14:schemeClr w14:val="tx1"/>
            </w14:solidFill>
          </w14:textFill>
        </w:rPr>
      </w:pPr>
      <w:bookmarkStart w:id="32" w:name="_格式3__银行出具的资信证明"/>
      <w:bookmarkEnd w:id="32"/>
      <w:bookmarkStart w:id="33" w:name="_Hlt26671380"/>
      <w:bookmarkEnd w:id="33"/>
      <w:bookmarkStart w:id="34" w:name="_Hlt26955070"/>
      <w:bookmarkEnd w:id="34"/>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pStyle w:val="7"/>
        <w:rPr>
          <w:rFonts w:ascii="宋体" w:hAnsi="宋体" w:cs="宋体"/>
          <w:color w:val="000000" w:themeColor="text1"/>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560" w:lineRule="exact"/>
        <w:rPr>
          <w:rFonts w:ascii="宋体" w:hAnsi="宋体" w:cs="宋体"/>
          <w:bCs/>
          <w:color w:val="000000" w:themeColor="text1"/>
          <w:sz w:val="24"/>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35" w:name="_Toc3822"/>
    </w:p>
    <w:p>
      <w:pP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资格性审查响应对照表（格式）</w:t>
      </w:r>
      <w:bookmarkEnd w:id="35"/>
    </w:p>
    <w:p>
      <w:pPr>
        <w:pStyle w:val="26"/>
        <w:rPr>
          <w:color w:val="000000" w:themeColor="text1"/>
          <w:highlight w:val="none"/>
          <w14:textFill>
            <w14:solidFill>
              <w14:schemeClr w14:val="tx1"/>
            </w14:solidFill>
          </w14:textFill>
        </w:rPr>
      </w:pPr>
    </w:p>
    <w:p>
      <w:pPr>
        <w:ind w:firstLine="30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投标文件中的</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b/>
                <w:color w:val="000000" w:themeColor="text1"/>
                <w:highlight w:val="none"/>
                <w14:textFill>
                  <w14:solidFill>
                    <w14:schemeClr w14:val="tx1"/>
                  </w14:solidFill>
                </w14:textFill>
              </w:rPr>
            </w:pPr>
          </w:p>
        </w:tc>
        <w:tc>
          <w:tcPr>
            <w:tcW w:w="1785" w:type="dxa"/>
            <w:vAlign w:val="center"/>
          </w:tcPr>
          <w:p>
            <w:pPr>
              <w:jc w:val="center"/>
              <w:rPr>
                <w:rFonts w:ascii="宋体" w:hAnsi="宋体" w:cs="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bl>
    <w:p>
      <w:pPr>
        <w:spacing w:line="440" w:lineRule="exact"/>
        <w:ind w:firstLine="480" w:firstLineChars="200"/>
        <w:rPr>
          <w:rFonts w:ascii="宋体" w:hAnsi="宋体" w:cs="宋体"/>
          <w:color w:val="000000" w:themeColor="text1"/>
          <w:sz w:val="2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jc w:val="center"/>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36" w:name="_Toc26324"/>
      <w:r>
        <w:rPr>
          <w:rFonts w:hint="eastAsia" w:ascii="宋体" w:hAnsi="宋体" w:cs="宋体"/>
          <w:color w:val="000000" w:themeColor="text1"/>
          <w:sz w:val="32"/>
          <w:szCs w:val="32"/>
          <w:highlight w:val="none"/>
          <w14:textFill>
            <w14:solidFill>
              <w14:schemeClr w14:val="tx1"/>
            </w14:solidFill>
          </w14:textFill>
        </w:rPr>
        <w:t>符合性检查响应对照表（格式）</w:t>
      </w:r>
      <w:bookmarkEnd w:id="36"/>
    </w:p>
    <w:p>
      <w:pPr>
        <w:ind w:firstLine="30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投标文件中的</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b/>
                <w:color w:val="000000" w:themeColor="text1"/>
                <w:highlight w:val="none"/>
                <w14:textFill>
                  <w14:solidFill>
                    <w14:schemeClr w14:val="tx1"/>
                  </w14:solidFill>
                </w14:textFill>
              </w:rPr>
            </w:pPr>
          </w:p>
        </w:tc>
        <w:tc>
          <w:tcPr>
            <w:tcW w:w="1785" w:type="dxa"/>
            <w:vAlign w:val="center"/>
          </w:tcPr>
          <w:p>
            <w:pPr>
              <w:jc w:val="center"/>
              <w:rPr>
                <w:rFonts w:ascii="宋体" w:hAnsi="宋体" w:cs="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bl>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32"/>
          <w:szCs w:val="32"/>
          <w:highlight w:val="none"/>
          <w14:textFill>
            <w14:solidFill>
              <w14:schemeClr w14:val="tx1"/>
            </w14:solidFill>
          </w14:textFill>
        </w:rPr>
      </w:pPr>
    </w:p>
    <w:p>
      <w:pPr>
        <w:pStyle w:val="10"/>
        <w:rPr>
          <w:rFonts w:ascii="宋体" w:hAnsi="宋体" w:cs="宋体"/>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s="宋体"/>
          <w:color w:val="000000" w:themeColor="text1"/>
          <w:sz w:val="32"/>
          <w:szCs w:val="32"/>
          <w:highlight w:val="none"/>
          <w14:textFill>
            <w14:solidFill>
              <w14:schemeClr w14:val="tx1"/>
            </w14:solidFill>
          </w14:textFill>
        </w:rPr>
      </w:pPr>
      <w:bookmarkStart w:id="37" w:name="_Toc13422"/>
      <w:r>
        <w:rPr>
          <w:rFonts w:hint="eastAsia" w:ascii="宋体" w:hAnsi="宋体" w:cs="宋体"/>
          <w:color w:val="000000" w:themeColor="text1"/>
          <w:sz w:val="32"/>
          <w:szCs w:val="32"/>
          <w:highlight w:val="none"/>
          <w14:textFill>
            <w14:solidFill>
              <w14:schemeClr w14:val="tx1"/>
            </w14:solidFill>
          </w14:textFill>
        </w:rPr>
        <w:br w:type="page"/>
      </w: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投标函（格式）</w:t>
      </w:r>
      <w:bookmarkEnd w:id="37"/>
    </w:p>
    <w:p>
      <w:pPr>
        <w:pStyle w:val="174"/>
        <w:spacing w:before="0" w:after="0" w:line="420" w:lineRule="exact"/>
        <w:ind w:firstLine="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致：</w:t>
      </w:r>
      <w:r>
        <w:rPr>
          <w:rFonts w:hint="eastAsia" w:ascii="宋体" w:hAnsi="宋体" w:cs="宋体"/>
          <w:color w:val="000000" w:themeColor="text1"/>
          <w:kern w:val="2"/>
          <w:highlight w:val="none"/>
          <w:u w:val="single"/>
          <w14:textFill>
            <w14:solidFill>
              <w14:schemeClr w14:val="tx1"/>
            </w14:solidFill>
          </w14:textFill>
        </w:rPr>
        <w:t>盐城工业职业技术学院</w:t>
      </w:r>
    </w:p>
    <w:p>
      <w:pPr>
        <w:pStyle w:val="174"/>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根据贵方的</w:t>
      </w:r>
      <w:r>
        <w:rPr>
          <w:rFonts w:hint="eastAsia" w:ascii="宋体" w:hAnsi="宋体" w:cs="宋体"/>
          <w:color w:val="000000" w:themeColor="text1"/>
          <w:kern w:val="2"/>
          <w:highlight w:val="none"/>
          <w:u w:val="single"/>
          <w14:textFill>
            <w14:solidFill>
              <w14:schemeClr w14:val="tx1"/>
            </w14:solidFill>
          </w14:textFill>
        </w:rPr>
        <w:t xml:space="preserve">     号</w:t>
      </w:r>
      <w:r>
        <w:rPr>
          <w:rFonts w:hint="eastAsia" w:ascii="宋体" w:hAnsi="宋体" w:cs="宋体"/>
          <w:color w:val="000000" w:themeColor="text1"/>
          <w:kern w:val="2"/>
          <w:highlight w:val="none"/>
          <w14:textFill>
            <w14:solidFill>
              <w14:schemeClr w14:val="tx1"/>
            </w14:solidFill>
          </w14:textFill>
        </w:rPr>
        <w:t>招标文件，正式授权下述签字人_________________(姓名)代表我方______________（投标人的名称），全权处理本次项目投标的有关事宜。</w:t>
      </w:r>
    </w:p>
    <w:p>
      <w:pPr>
        <w:pStyle w:val="174"/>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据此函，__________签字人兹宣布同意如下：</w:t>
      </w:r>
    </w:p>
    <w:p>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1.按招标文件规定的各项要求，向买方提供所需货物与服务。</w:t>
      </w:r>
    </w:p>
    <w:p>
      <w:pPr>
        <w:pStyle w:val="174"/>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2.我们完全理解贵方不一定将合同授予最低报价的投标人。</w:t>
      </w:r>
    </w:p>
    <w:p>
      <w:pPr>
        <w:pStyle w:val="174"/>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3.我们已详细审核全部招标文件及其有效补充文件，我们知道必须放弃提出含糊不清或误解问题的权利。</w:t>
      </w:r>
    </w:p>
    <w:p>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4.我们同意从规定的开标日期起遵循本投标文件，并在规定的投标有效期期满之前均具有约束力。</w:t>
      </w:r>
    </w:p>
    <w:p>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5.如果在开标后规定的投标有效期内撤回投标或中标后拒绝签订合同，</w:t>
      </w:r>
      <w:r>
        <w:rPr>
          <w:rFonts w:hint="eastAsia" w:ascii="宋体" w:hAnsi="宋体" w:cs="宋体"/>
          <w:color w:val="000000" w:themeColor="text1"/>
          <w:highlight w:val="none"/>
          <w14:textFill>
            <w14:solidFill>
              <w14:schemeClr w14:val="tx1"/>
            </w14:solidFill>
          </w14:textFill>
        </w:rPr>
        <w:t>则按照国家相关法律法规受到相应处罚</w:t>
      </w:r>
      <w:r>
        <w:rPr>
          <w:rFonts w:hint="eastAsia" w:ascii="宋体" w:hAnsi="宋体" w:cs="宋体"/>
          <w:color w:val="000000" w:themeColor="text1"/>
          <w:kern w:val="2"/>
          <w:highlight w:val="none"/>
          <w14:textFill>
            <w14:solidFill>
              <w14:schemeClr w14:val="tx1"/>
            </w14:solidFill>
          </w14:textFill>
        </w:rPr>
        <w:t>。</w:t>
      </w:r>
    </w:p>
    <w:p>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6.同意向贵方提供贵方可能另外要求的与投标有关的任何证据或资料，并保证我方已提供和将要提供的文件是真实的、准确的。</w:t>
      </w:r>
    </w:p>
    <w:p>
      <w:pPr>
        <w:pStyle w:val="174"/>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7.一旦我方中标,我方将根据招标文件的规定，严格履行合同的责任和义务,并保证在招标文件规定的时间完成项目，交付买方验收、使用。</w:t>
      </w:r>
    </w:p>
    <w:p>
      <w:pPr>
        <w:pStyle w:val="174"/>
        <w:spacing w:before="0" w:after="0" w:line="420" w:lineRule="exact"/>
        <w:ind w:left="425" w:firstLine="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8.与本投标有关的正式通讯地址为：</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地          址：</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邮          编：</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电          话：</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传          真：</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投标人开户行：</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账          户： </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投标人授权代表姓名（签字）： </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投标人名称（公章）： </w:t>
      </w:r>
    </w:p>
    <w:p>
      <w:pPr>
        <w:pStyle w:val="174"/>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日           期：________年____月____日</w:t>
      </w:r>
    </w:p>
    <w:p>
      <w:pPr>
        <w:snapToGrid w:val="0"/>
        <w:spacing w:before="50" w:after="145"/>
        <w:jc w:val="left"/>
        <w:rPr>
          <w:rStyle w:val="54"/>
          <w:rFonts w:ascii="宋体" w:hAnsi="宋体" w:cs="宋体"/>
          <w:color w:val="000000" w:themeColor="text1"/>
          <w:sz w:val="24"/>
          <w:szCs w:val="20"/>
          <w:highlight w:val="none"/>
          <w14:textFill>
            <w14:solidFill>
              <w14:schemeClr w14:val="tx1"/>
            </w14:solidFill>
          </w14:textFill>
        </w:rPr>
      </w:pPr>
    </w:p>
    <w:p>
      <w:pPr>
        <w:snapToGrid w:val="0"/>
        <w:spacing w:before="50" w:after="50"/>
        <w:jc w:val="center"/>
        <w:outlineLvl w:val="0"/>
        <w:rPr>
          <w:rStyle w:val="54"/>
          <w:rFonts w:ascii="宋体" w:hAnsi="宋体" w:cs="宋体"/>
          <w:color w:val="000000" w:themeColor="text1"/>
          <w:sz w:val="32"/>
          <w:szCs w:val="32"/>
          <w:highlight w:val="none"/>
          <w14:textFill>
            <w14:solidFill>
              <w14:schemeClr w14:val="tx1"/>
            </w14:solidFill>
          </w14:textFill>
        </w:rPr>
        <w:sectPr>
          <w:headerReference r:id="rId12" w:type="default"/>
          <w:footerReference r:id="rId13" w:type="default"/>
          <w:footerReference r:id="rId14" w:type="even"/>
          <w:pgSz w:w="11906" w:h="16838"/>
          <w:pgMar w:top="1015" w:right="1196" w:bottom="868" w:left="1259" w:header="851" w:footer="907" w:gutter="0"/>
          <w:pgBorders>
            <w:top w:val="none" w:sz="0" w:space="0"/>
            <w:left w:val="none" w:sz="0" w:space="0"/>
            <w:bottom w:val="none" w:sz="0" w:space="0"/>
            <w:right w:val="none" w:sz="0" w:space="0"/>
          </w:pgBorders>
          <w:cols w:space="720" w:num="1"/>
          <w:titlePg/>
          <w:docGrid w:linePitch="360" w:charSpace="0"/>
        </w:sectPr>
      </w:pPr>
      <w:bookmarkStart w:id="38" w:name="_Toc3373"/>
    </w:p>
    <w:p>
      <w:pPr>
        <w:rPr>
          <w:color w:val="000000" w:themeColor="text1"/>
          <w:highlight w:val="none"/>
          <w14:textFill>
            <w14:solidFill>
              <w14:schemeClr w14:val="tx1"/>
            </w14:solidFill>
          </w14:textFill>
        </w:rPr>
      </w:pPr>
    </w:p>
    <w:p>
      <w:pPr>
        <w:snapToGrid w:val="0"/>
        <w:spacing w:before="50" w:after="50"/>
        <w:jc w:val="center"/>
        <w:outlineLvl w:val="0"/>
        <w:rPr>
          <w:rStyle w:val="5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54"/>
          <w:rFonts w:ascii="宋体" w:hAnsi="宋体" w:cs="宋体"/>
          <w:color w:val="000000" w:themeColor="text1"/>
          <w:sz w:val="32"/>
          <w:szCs w:val="32"/>
          <w:highlight w:val="none"/>
          <w14:textFill>
            <w14:solidFill>
              <w14:schemeClr w14:val="tx1"/>
            </w14:solidFill>
          </w14:textFill>
        </w:rPr>
      </w:pPr>
      <w:r>
        <w:rPr>
          <w:rStyle w:val="54"/>
          <w:rFonts w:hint="eastAsia" w:ascii="宋体" w:hAnsi="宋体" w:cs="宋体"/>
          <w:color w:val="000000" w:themeColor="text1"/>
          <w:sz w:val="32"/>
          <w:szCs w:val="32"/>
          <w:highlight w:val="none"/>
          <w14:textFill>
            <w14:solidFill>
              <w14:schemeClr w14:val="tx1"/>
            </w14:solidFill>
          </w14:textFill>
        </w:rPr>
        <w:t>开标一览表（格式）</w:t>
      </w:r>
      <w:bookmarkEnd w:id="38"/>
    </w:p>
    <w:p>
      <w:pPr>
        <w:snapToGrid w:val="0"/>
        <w:spacing w:before="50" w:after="50"/>
        <w:jc w:val="center"/>
        <w:rPr>
          <w:rStyle w:val="54"/>
          <w:rFonts w:ascii="宋体" w:hAnsi="宋体" w:cs="宋体"/>
          <w:color w:val="000000" w:themeColor="text1"/>
          <w:sz w:val="32"/>
          <w:szCs w:val="32"/>
          <w:highlight w:val="none"/>
          <w14:textFill>
            <w14:solidFill>
              <w14:schemeClr w14:val="tx1"/>
            </w14:solidFill>
          </w14:textFill>
        </w:rPr>
      </w:pPr>
    </w:p>
    <w:tbl>
      <w:tblPr>
        <w:tblStyle w:val="27"/>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4"/>
                <w:rFonts w:ascii="宋体" w:hAnsi="宋体" w:cs="宋体"/>
                <w:b/>
                <w:bCs/>
                <w:color w:val="000000" w:themeColor="text1"/>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4"/>
                <w:rFonts w:ascii="宋体" w:hAnsi="宋体" w:cs="宋体"/>
                <w:b/>
                <w:bCs/>
                <w:color w:val="000000" w:themeColor="text1"/>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4"/>
                <w:rFonts w:ascii="宋体" w:hAnsi="宋体" w:cs="宋体"/>
                <w:b/>
                <w:bCs/>
                <w:color w:val="000000" w:themeColor="text1"/>
                <w:szCs w:val="28"/>
                <w:highlight w:val="none"/>
                <w14:textFill>
                  <w14:solidFill>
                    <w14:schemeClr w14:val="tx1"/>
                  </w14:solidFill>
                </w14:textFill>
              </w:rPr>
            </w:pPr>
            <w:r>
              <w:rPr>
                <w:rStyle w:val="54"/>
                <w:rFonts w:hint="eastAsia" w:ascii="宋体" w:hAnsi="宋体" w:cs="宋体"/>
                <w:b/>
                <w:bCs/>
                <w:color w:val="000000" w:themeColor="text1"/>
                <w:szCs w:val="28"/>
                <w:highlight w:val="none"/>
                <w14:textFill>
                  <w14:solidFill>
                    <w14:schemeClr w14:val="tx1"/>
                  </w14:solidFill>
                </w14:textFill>
              </w:rPr>
              <w:t>是否提供《企业类型声明函》：</w:t>
            </w:r>
            <w:r>
              <w:rPr>
                <w:rStyle w:val="54"/>
                <w:rFonts w:hint="eastAsia" w:ascii="宋体" w:hAnsi="宋体" w:cs="宋体"/>
                <w:b/>
                <w:bCs/>
                <w:color w:val="000000" w:themeColor="text1"/>
                <w:szCs w:val="28"/>
                <w:highlight w:val="none"/>
                <w:u w:val="single"/>
                <w14:textFill>
                  <w14:solidFill>
                    <w14:schemeClr w14:val="tx1"/>
                  </w14:solidFill>
                </w14:textFill>
              </w:rPr>
              <w:t xml:space="preserve"> 是/否 见（   ）页</w:t>
            </w:r>
          </w:p>
        </w:tc>
      </w:tr>
    </w:tbl>
    <w:p>
      <w:pPr>
        <w:spacing w:line="240" w:lineRule="atLeast"/>
        <w:rPr>
          <w:rStyle w:val="54"/>
          <w:rFonts w:ascii="宋体" w:hAnsi="宋体" w:cs="宋体"/>
          <w:color w:val="000000" w:themeColor="text1"/>
          <w:szCs w:val="28"/>
          <w:highlight w:val="none"/>
          <w14:textFill>
            <w14:solidFill>
              <w14:schemeClr w14:val="tx1"/>
            </w14:solidFill>
          </w14:textFill>
        </w:rPr>
      </w:pPr>
    </w:p>
    <w:p>
      <w:pPr>
        <w:spacing w:line="240" w:lineRule="atLeast"/>
        <w:rPr>
          <w:rStyle w:val="54"/>
          <w:rFonts w:ascii="宋体" w:hAnsi="宋体" w:cs="宋体"/>
          <w:color w:val="000000" w:themeColor="text1"/>
          <w:szCs w:val="28"/>
          <w:highlight w:val="none"/>
          <w14:textFill>
            <w14:solidFill>
              <w14:schemeClr w14:val="tx1"/>
            </w14:solidFill>
          </w14:textFill>
        </w:rPr>
      </w:pPr>
      <w:r>
        <w:rPr>
          <w:rStyle w:val="54"/>
          <w:rFonts w:hint="eastAsia" w:ascii="宋体" w:hAnsi="宋体" w:cs="宋体"/>
          <w:color w:val="000000" w:themeColor="text1"/>
          <w:szCs w:val="28"/>
          <w:highlight w:val="none"/>
          <w14:textFill>
            <w14:solidFill>
              <w14:schemeClr w14:val="tx1"/>
            </w14:solidFill>
          </w14:textFill>
        </w:rPr>
        <w:t>填写说明：</w:t>
      </w:r>
    </w:p>
    <w:p>
      <w:pPr>
        <w:numPr>
          <w:ilvl w:val="0"/>
          <w:numId w:val="10"/>
        </w:numPr>
        <w:rPr>
          <w:rStyle w:val="54"/>
          <w:rFonts w:ascii="宋体" w:hAnsi="宋体" w:cs="宋体"/>
          <w:color w:val="000000" w:themeColor="text1"/>
          <w:sz w:val="24"/>
          <w:highlight w:val="none"/>
          <w14:textFill>
            <w14:solidFill>
              <w14:schemeClr w14:val="tx1"/>
            </w14:solidFill>
          </w14:textFill>
        </w:rPr>
      </w:pPr>
      <w:r>
        <w:rPr>
          <w:rStyle w:val="54"/>
          <w:rFonts w:hint="eastAsia" w:ascii="宋体" w:hAnsi="宋体" w:cs="宋体"/>
          <w:color w:val="000000" w:themeColor="text1"/>
          <w:sz w:val="24"/>
          <w:highlight w:val="none"/>
          <w14:textFill>
            <w14:solidFill>
              <w14:schemeClr w14:val="tx1"/>
            </w14:solidFill>
          </w14:textFill>
        </w:rPr>
        <w:t>开标一览表不得填报选择性报价，否则将作为无效投标；</w:t>
      </w:r>
    </w:p>
    <w:p>
      <w:pPr>
        <w:numPr>
          <w:ilvl w:val="0"/>
          <w:numId w:val="10"/>
        </w:numPr>
        <w:rPr>
          <w:rStyle w:val="54"/>
          <w:rFonts w:ascii="宋体" w:hAnsi="宋体" w:cs="宋体"/>
          <w:color w:val="000000" w:themeColor="text1"/>
          <w:sz w:val="24"/>
          <w:highlight w:val="none"/>
          <w14:textFill>
            <w14:solidFill>
              <w14:schemeClr w14:val="tx1"/>
            </w14:solidFill>
          </w14:textFill>
        </w:rPr>
      </w:pPr>
      <w:r>
        <w:rPr>
          <w:rStyle w:val="54"/>
          <w:rFonts w:hint="eastAsia" w:ascii="宋体" w:hAnsi="宋体" w:cs="宋体"/>
          <w:color w:val="000000" w:themeColor="text1"/>
          <w:sz w:val="24"/>
          <w:highlight w:val="none"/>
          <w14:textFill>
            <w14:solidFill>
              <w14:schemeClr w14:val="tx1"/>
            </w14:solidFill>
          </w14:textFill>
        </w:rPr>
        <w:t>开标一览表中报价与投标分项明细报价表中不符时时，以开标一览表为准。</w:t>
      </w:r>
    </w:p>
    <w:p>
      <w:pPr>
        <w:ind w:firstLine="2640" w:firstLineChars="600"/>
        <w:rPr>
          <w:rStyle w:val="54"/>
          <w:rFonts w:ascii="宋体" w:hAnsi="宋体" w:cs="宋体"/>
          <w:color w:val="000000" w:themeColor="text1"/>
          <w:sz w:val="44"/>
          <w:highlight w:val="none"/>
          <w14:textFill>
            <w14:solidFill>
              <w14:schemeClr w14:val="tx1"/>
            </w14:solidFill>
          </w14:textFill>
        </w:rPr>
      </w:pPr>
    </w:p>
    <w:p>
      <w:pPr>
        <w:ind w:firstLine="480"/>
        <w:rPr>
          <w:rStyle w:val="54"/>
          <w:rFonts w:ascii="宋体" w:hAnsi="宋体" w:cs="宋体"/>
          <w:color w:val="000000" w:themeColor="text1"/>
          <w:sz w:val="24"/>
          <w:highlight w:val="none"/>
          <w14:textFill>
            <w14:solidFill>
              <w14:schemeClr w14:val="tx1"/>
            </w14:solidFill>
          </w14:textFill>
        </w:rPr>
      </w:pPr>
    </w:p>
    <w:p>
      <w:pPr>
        <w:ind w:firstLine="480"/>
        <w:rPr>
          <w:rStyle w:val="54"/>
          <w:rFonts w:ascii="宋体" w:hAnsi="宋体" w:cs="宋体"/>
          <w:color w:val="000000" w:themeColor="text1"/>
          <w:sz w:val="24"/>
          <w:highlight w:val="none"/>
          <w14:textFill>
            <w14:solidFill>
              <w14:schemeClr w14:val="tx1"/>
            </w14:solidFill>
          </w14:textFill>
        </w:rPr>
      </w:pPr>
    </w:p>
    <w:p>
      <w:pPr>
        <w:ind w:firstLine="480"/>
        <w:jc w:val="center"/>
        <w:rPr>
          <w:rStyle w:val="54"/>
          <w:rFonts w:ascii="宋体" w:hAnsi="宋体" w:cs="宋体"/>
          <w:color w:val="000000" w:themeColor="text1"/>
          <w:sz w:val="24"/>
          <w:highlight w:val="none"/>
          <w14:textFill>
            <w14:solidFill>
              <w14:schemeClr w14:val="tx1"/>
            </w14:solidFill>
          </w14:textFill>
        </w:rPr>
      </w:pPr>
      <w:r>
        <w:rPr>
          <w:rStyle w:val="54"/>
          <w:rFonts w:hint="eastAsia" w:ascii="宋体" w:hAnsi="宋体" w:cs="宋体"/>
          <w:bCs/>
          <w:color w:val="000000" w:themeColor="text1"/>
          <w:sz w:val="24"/>
          <w:highlight w:val="none"/>
          <w14:textFill>
            <w14:solidFill>
              <w14:schemeClr w14:val="tx1"/>
            </w14:solidFill>
          </w14:textFill>
        </w:rPr>
        <w:t xml:space="preserve">                                        供应商名称（公章）：</w:t>
      </w:r>
    </w:p>
    <w:p>
      <w:pPr>
        <w:ind w:firstLine="480"/>
        <w:rPr>
          <w:rStyle w:val="54"/>
          <w:rFonts w:ascii="宋体" w:hAnsi="宋体" w:cs="宋体"/>
          <w:color w:val="000000" w:themeColor="text1"/>
          <w:sz w:val="24"/>
          <w:highlight w:val="none"/>
          <w14:textFill>
            <w14:solidFill>
              <w14:schemeClr w14:val="tx1"/>
            </w14:solidFill>
          </w14:textFill>
        </w:rPr>
      </w:pPr>
      <w:r>
        <w:rPr>
          <w:rStyle w:val="54"/>
          <w:rFonts w:hint="eastAsia" w:ascii="宋体" w:hAnsi="宋体" w:cs="宋体"/>
          <w:color w:val="000000" w:themeColor="text1"/>
          <w:sz w:val="24"/>
          <w:highlight w:val="none"/>
          <w14:textFill>
            <w14:solidFill>
              <w14:schemeClr w14:val="tx1"/>
            </w14:solidFill>
          </w14:textFill>
        </w:rPr>
        <w:t xml:space="preserve">                                              日期：  年  月  日</w:t>
      </w:r>
    </w:p>
    <w:p>
      <w:pPr>
        <w:pStyle w:val="26"/>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s="宋体"/>
          <w:b/>
          <w:color w:val="000000" w:themeColor="text1"/>
          <w:sz w:val="24"/>
          <w:szCs w:val="24"/>
          <w:highlight w:val="none"/>
          <w14:textFill>
            <w14:solidFill>
              <w14:schemeClr w14:val="tx1"/>
            </w14:solidFill>
          </w14:textFill>
        </w:rPr>
      </w:pPr>
      <w:bookmarkStart w:id="39" w:name="_Toc515647824"/>
      <w:bookmarkStart w:id="40" w:name="_Toc13776"/>
      <w:bookmarkStart w:id="41" w:name="_Toc11803"/>
      <w:bookmarkStart w:id="42" w:name="_Toc10977"/>
    </w:p>
    <w:bookmarkEnd w:id="39"/>
    <w:bookmarkEnd w:id="40"/>
    <w:bookmarkEnd w:id="41"/>
    <w:bookmarkEnd w:id="42"/>
    <w:p>
      <w:pPr>
        <w:pStyle w:val="4"/>
        <w:pageBreakBefore/>
        <w:jc w:val="center"/>
        <w:rPr>
          <w:rFonts w:ascii="宋体" w:hAnsi="宋体" w:eastAsia="宋体" w:cs="宋体"/>
          <w:color w:val="000000" w:themeColor="text1"/>
          <w:sz w:val="32"/>
          <w:szCs w:val="32"/>
          <w:highlight w:val="none"/>
          <w14:textFill>
            <w14:solidFill>
              <w14:schemeClr w14:val="tx1"/>
            </w14:solidFill>
          </w14:textFill>
        </w:rPr>
      </w:pPr>
      <w:r>
        <w:rPr>
          <w:rFonts w:ascii="宋体" w:hAnsi="宋体" w:eastAsia="宋体" w:cs="宋体"/>
          <w:color w:val="000000" w:themeColor="text1"/>
          <w:sz w:val="32"/>
          <w:szCs w:val="32"/>
          <w:highlight w:val="none"/>
          <w14:textFill>
            <w14:solidFill>
              <w14:schemeClr w14:val="tx1"/>
            </w14:solidFill>
          </w14:textFill>
        </w:rPr>
        <w:t>中小企业声明</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附件：1、中小企业声明函（工程）</w:t>
      </w:r>
    </w:p>
    <w:p>
      <w:pPr>
        <w:spacing w:line="360" w:lineRule="auto"/>
        <w:ind w:firstLine="420" w:firstLineChars="200"/>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附件：2、《残疾人福利性单位声明函》（格式）</w:t>
      </w: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采购标的的所属行业为建筑业，根据《关于印发中小企业划型标准规定的通知》（工信部联企业[2011]300号）文件规定及国家统计局关于印发《统计上大中小微型企业划分办法（2017）》的通知规定的划分标准填写。</w:t>
      </w: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rPr>
          <w:b/>
          <w:color w:val="000000" w:themeColor="text1"/>
          <w:highlight w:val="none"/>
          <w:shd w:val="clear" w:color="auto" w:fill="FFFFFF"/>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br w:type="page"/>
      </w: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t>附件1：</w:t>
      </w:r>
      <w:r>
        <w:rPr>
          <w:rFonts w:hint="eastAsia"/>
          <w:b/>
          <w:bCs/>
          <w:color w:val="000000" w:themeColor="text1"/>
          <w:highlight w:val="none"/>
          <w14:textFill>
            <w14:solidFill>
              <w14:schemeClr w14:val="tx1"/>
            </w14:solidFill>
          </w14:textFill>
        </w:rPr>
        <w:t>中小企业声明函（工程）</w:t>
      </w:r>
    </w:p>
    <w:p>
      <w:pPr>
        <w:pStyle w:val="5"/>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中小企业声明函（工程）</w:t>
      </w:r>
    </w:p>
    <w:p>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1"/>
        </w:num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i/>
          <w:iCs/>
          <w:color w:val="000000" w:themeColor="text1"/>
          <w:sz w:val="24"/>
          <w:highlight w:val="none"/>
          <w:u w:val="single"/>
          <w14:textFill>
            <w14:solidFill>
              <w14:schemeClr w14:val="tx1"/>
            </w14:solidFill>
          </w14:textFill>
        </w:rPr>
        <w:t xml:space="preserve">（标的名称）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i/>
          <w:iCs/>
          <w:color w:val="000000" w:themeColor="text1"/>
          <w:sz w:val="24"/>
          <w:highlight w:val="none"/>
          <w:u w:val="single"/>
          <w14:textFill>
            <w14:solidFill>
              <w14:schemeClr w14:val="tx1"/>
            </w14:solidFill>
          </w14:textFill>
        </w:rPr>
        <w:t>（采购文件中明确的所属行业：建筑业）</w:t>
      </w:r>
      <w:r>
        <w:rPr>
          <w:rFonts w:hint="eastAsia" w:ascii="宋体" w:hAnsi="宋体" w:cs="宋体"/>
          <w:color w:val="000000" w:themeColor="text1"/>
          <w:sz w:val="24"/>
          <w:highlight w:val="none"/>
          <w14:textFill>
            <w14:solidFill>
              <w14:schemeClr w14:val="tx1"/>
            </w14:solidFill>
          </w14:textFill>
        </w:rPr>
        <w:t>行业；承接（承接）企业为</w:t>
      </w:r>
      <w:r>
        <w:rPr>
          <w:rFonts w:hint="eastAsia" w:ascii="宋体" w:hAnsi="宋体" w:cs="宋体"/>
          <w:i/>
          <w:iCs/>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，从业人员人，营业收入为万元，资产总额为万元，属于</w:t>
      </w:r>
      <w:r>
        <w:rPr>
          <w:rFonts w:hint="eastAsia" w:ascii="宋体" w:hAnsi="宋体" w:cs="宋体"/>
          <w:i/>
          <w:iCs/>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pPr>
        <w:numPr>
          <w:ilvl w:val="0"/>
          <w:numId w:val="11"/>
        </w:num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i/>
          <w:iCs/>
          <w:color w:val="000000" w:themeColor="text1"/>
          <w:sz w:val="24"/>
          <w:highlight w:val="none"/>
          <w:u w:val="single"/>
          <w14:textFill>
            <w14:solidFill>
              <w14:schemeClr w14:val="tx1"/>
            </w14:solidFill>
          </w14:textFill>
        </w:rPr>
        <w:t xml:space="preserve">（标的名称）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i/>
          <w:iCs/>
          <w:color w:val="000000" w:themeColor="text1"/>
          <w:sz w:val="24"/>
          <w:highlight w:val="none"/>
          <w:u w:val="single"/>
          <w14:textFill>
            <w14:solidFill>
              <w14:schemeClr w14:val="tx1"/>
            </w14:solidFill>
          </w14:textFill>
        </w:rPr>
        <w:t>（采购文件中明确的所属行业：建筑业）</w:t>
      </w:r>
      <w:r>
        <w:rPr>
          <w:rFonts w:hint="eastAsia" w:ascii="宋体" w:hAnsi="宋体" w:cs="宋体"/>
          <w:color w:val="000000" w:themeColor="text1"/>
          <w:sz w:val="24"/>
          <w:highlight w:val="none"/>
          <w14:textFill>
            <w14:solidFill>
              <w14:schemeClr w14:val="tx1"/>
            </w14:solidFill>
          </w14:textFill>
        </w:rPr>
        <w:t>行业；承接（承接）企业为</w:t>
      </w:r>
      <w:r>
        <w:rPr>
          <w:rFonts w:hint="eastAsia" w:ascii="宋体" w:hAnsi="宋体" w:cs="宋体"/>
          <w:i/>
          <w:iCs/>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，从业人员人，营业收入为万元，资产总额为万元，属于</w:t>
      </w:r>
      <w:r>
        <w:rPr>
          <w:rFonts w:hint="eastAsia" w:ascii="宋体" w:hAnsi="宋体" w:cs="宋体"/>
          <w:i/>
          <w:iCs/>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50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pPr>
        <w:spacing w:line="500" w:lineRule="exact"/>
        <w:ind w:firstLine="40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企业名称（盖章）：</w:t>
      </w:r>
    </w:p>
    <w:p>
      <w:pPr>
        <w:spacing w:line="500" w:lineRule="exact"/>
        <w:ind w:firstLine="40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pPr>
        <w:spacing w:line="500" w:lineRule="exac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从业人员、营业收入、资产总额填报上一年度数据，无上一年度数据的新成立企业可不填报。</w:t>
      </w:r>
    </w:p>
    <w:p>
      <w:pPr>
        <w:spacing w:line="560" w:lineRule="exact"/>
        <w:jc w:val="center"/>
        <w:rPr>
          <w:rFonts w:ascii="宋体" w:hAnsi="宋体"/>
          <w:b/>
          <w:color w:val="000000" w:themeColor="text1"/>
          <w:sz w:val="44"/>
          <w:highlight w:val="none"/>
          <w14:textFill>
            <w14:solidFill>
              <w14:schemeClr w14:val="tx1"/>
            </w14:solidFill>
          </w14:textFill>
        </w:rPr>
        <w:sectPr>
          <w:pgSz w:w="11906" w:h="16838"/>
          <w:pgMar w:top="1015" w:right="1196" w:bottom="868" w:left="1259" w:header="851" w:footer="907" w:gutter="0"/>
          <w:pgBorders>
            <w:top w:val="none" w:sz="0" w:space="0"/>
            <w:left w:val="none" w:sz="0" w:space="0"/>
            <w:bottom w:val="none" w:sz="0" w:space="0"/>
            <w:right w:val="none" w:sz="0" w:space="0"/>
          </w:pgBorders>
          <w:cols w:space="720" w:num="1"/>
          <w:titlePg/>
          <w:docGrid w:linePitch="360" w:charSpace="0"/>
        </w:sectPr>
      </w:pPr>
    </w:p>
    <w:p>
      <w:pPr>
        <w:pStyle w:val="24"/>
        <w:shd w:val="clear" w:color="auto" w:fill="FFFFFF"/>
        <w:spacing w:before="0" w:beforeAutospacing="0" w:after="0" w:afterAutospacing="0" w:line="560" w:lineRule="atLeast"/>
        <w:jc w:val="center"/>
        <w:rPr>
          <w:color w:val="000000" w:themeColor="text1"/>
          <w:sz w:val="21"/>
          <w:highlight w:val="none"/>
          <w14:textFill>
            <w14:solidFill>
              <w14:schemeClr w14:val="tx1"/>
            </w14:solidFill>
          </w14:textFill>
        </w:rPr>
      </w:pPr>
    </w:p>
    <w:p>
      <w:pPr>
        <w:spacing w:line="360" w:lineRule="auto"/>
        <w:outlineLvl w:val="0"/>
        <w:rPr>
          <w:rFonts w:ascii="宋体" w:hAnsi="宋体" w:cs="宋体"/>
          <w:b/>
          <w:color w:val="000000" w:themeColor="text1"/>
          <w:sz w:val="24"/>
          <w:szCs w:val="24"/>
          <w:highlight w:val="none"/>
          <w14:textFill>
            <w14:solidFill>
              <w14:schemeClr w14:val="tx1"/>
            </w14:solidFill>
          </w14:textFill>
        </w:rPr>
      </w:pPr>
    </w:p>
    <w:p>
      <w:pPr>
        <w:spacing w:line="360" w:lineRule="auto"/>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highlight w:val="none"/>
          <w14:textFill>
            <w14:solidFill>
              <w14:schemeClr w14:val="tx1"/>
            </w14:solidFill>
          </w14:textFill>
        </w:rPr>
      </w:pPr>
    </w:p>
    <w:p>
      <w:pPr>
        <w:spacing w:line="360" w:lineRule="auto"/>
        <w:ind w:firstLine="3960" w:firstLineChars="1650"/>
        <w:rPr>
          <w:rStyle w:val="166"/>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残疾人福利性</w:t>
      </w:r>
      <w:r>
        <w:rPr>
          <w:rFonts w:hint="eastAsia" w:ascii="宋体" w:hAnsi="宋体" w:cs="宋体"/>
          <w:color w:val="000000" w:themeColor="text1"/>
          <w:sz w:val="24"/>
          <w:szCs w:val="24"/>
          <w:highlight w:val="none"/>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w:t>
      </w:r>
      <w:r>
        <w:rPr>
          <w:rStyle w:val="166"/>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 期：</w:t>
      </w:r>
    </w:p>
    <w:p>
      <w:pPr>
        <w:rPr>
          <w:color w:val="000000" w:themeColor="text1"/>
          <w:highlight w:val="none"/>
          <w14:textFill>
            <w14:solidFill>
              <w14:schemeClr w14:val="tx1"/>
            </w14:solidFill>
          </w14:textFill>
        </w:rPr>
        <w:sectPr>
          <w:headerReference r:id="rId15" w:type="default"/>
          <w:footerReference r:id="rId16" w:type="default"/>
          <w:pgSz w:w="11906" w:h="16838"/>
          <w:pgMar w:top="1417" w:right="1588" w:bottom="1417" w:left="1365" w:header="851" w:footer="907" w:gutter="0"/>
          <w:pgBorders>
            <w:top w:val="none" w:sz="0" w:space="0"/>
            <w:left w:val="none" w:sz="0" w:space="0"/>
            <w:bottom w:val="none" w:sz="0" w:space="0"/>
            <w:right w:val="none" w:sz="0" w:space="0"/>
          </w:pgBorders>
          <w:cols w:space="720" w:num="1"/>
          <w:docGrid w:type="lines" w:linePitch="290" w:charSpace="0"/>
        </w:sectPr>
      </w:pPr>
    </w:p>
    <w:p>
      <w:pPr>
        <w:pStyle w:val="5"/>
        <w:jc w:val="center"/>
        <w:rPr>
          <w:rFonts w:ascii="黑体" w:hAnsi="黑体" w:eastAsia="黑体" w:cs="黑体"/>
          <w:b w:val="0"/>
          <w:color w:val="000000" w:themeColor="text1"/>
          <w:sz w:val="36"/>
          <w:szCs w:val="36"/>
          <w:highlight w:val="none"/>
          <w14:textFill>
            <w14:solidFill>
              <w14:schemeClr w14:val="tx1"/>
            </w14:solidFill>
          </w14:textFill>
        </w:rPr>
      </w:pPr>
      <w:bookmarkStart w:id="43" w:name="_Toc6761"/>
      <w:bookmarkStart w:id="44" w:name="_Toc76637331"/>
      <w:bookmarkStart w:id="45" w:name="_Toc8363"/>
      <w:bookmarkStart w:id="46" w:name="_Toc462564146"/>
    </w:p>
    <w:p>
      <w:pPr>
        <w:pStyle w:val="5"/>
        <w:jc w:val="center"/>
        <w:rPr>
          <w:rFonts w:ascii="楷体" w:hAnsi="楷体" w:eastAsia="楷体" w:cs="楷体"/>
          <w:color w:val="000000" w:themeColor="text1"/>
          <w:highlight w:val="none"/>
          <w14:textFill>
            <w14:solidFill>
              <w14:schemeClr w14:val="tx1"/>
            </w14:solidFill>
          </w14:textFill>
        </w:rPr>
      </w:pPr>
      <w:r>
        <w:rPr>
          <w:rFonts w:hint="eastAsia" w:ascii="黑体" w:hAnsi="黑体" w:eastAsia="黑体" w:cs="黑体"/>
          <w:b w:val="0"/>
          <w:color w:val="000000" w:themeColor="text1"/>
          <w:sz w:val="36"/>
          <w:szCs w:val="36"/>
          <w:highlight w:val="none"/>
          <w14:textFill>
            <w14:solidFill>
              <w14:schemeClr w14:val="tx1"/>
            </w14:solidFill>
          </w14:textFill>
        </w:rPr>
        <w:t>投标报价汇总表</w:t>
      </w:r>
      <w:bookmarkEnd w:id="43"/>
    </w:p>
    <w:tbl>
      <w:tblPr>
        <w:tblStyle w:val="27"/>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5"/>
        <w:gridCol w:w="1984"/>
        <w:gridCol w:w="2408"/>
        <w:gridCol w:w="1417"/>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0" w:type="dxa"/>
            <w:vAlign w:val="center"/>
          </w:tcPr>
          <w:p>
            <w:pPr>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序号</w:t>
            </w:r>
          </w:p>
        </w:tc>
        <w:tc>
          <w:tcPr>
            <w:tcW w:w="1275" w:type="dxa"/>
            <w:vAlign w:val="center"/>
          </w:tcPr>
          <w:p>
            <w:pPr>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分项名称</w:t>
            </w:r>
          </w:p>
        </w:tc>
        <w:tc>
          <w:tcPr>
            <w:tcW w:w="1984" w:type="dxa"/>
            <w:vAlign w:val="center"/>
          </w:tcPr>
          <w:p>
            <w:pPr>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范围、规模</w:t>
            </w:r>
          </w:p>
        </w:tc>
        <w:tc>
          <w:tcPr>
            <w:tcW w:w="2408" w:type="dxa"/>
            <w:vAlign w:val="center"/>
          </w:tcPr>
          <w:p>
            <w:pPr>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工作内容</w:t>
            </w:r>
          </w:p>
        </w:tc>
        <w:tc>
          <w:tcPr>
            <w:tcW w:w="1417" w:type="dxa"/>
            <w:vAlign w:val="center"/>
          </w:tcPr>
          <w:p>
            <w:pPr>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投标报价（元）</w:t>
            </w:r>
          </w:p>
        </w:tc>
        <w:tc>
          <w:tcPr>
            <w:tcW w:w="1881" w:type="dxa"/>
            <w:vAlign w:val="center"/>
          </w:tcPr>
          <w:p>
            <w:pPr>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w:t>
            </w:r>
          </w:p>
        </w:tc>
        <w:tc>
          <w:tcPr>
            <w:tcW w:w="7084" w:type="dxa"/>
            <w:gridSpan w:val="4"/>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工程设计费</w:t>
            </w:r>
          </w:p>
        </w:tc>
        <w:tc>
          <w:tcPr>
            <w:tcW w:w="1881"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1.1</w:t>
            </w:r>
          </w:p>
        </w:tc>
        <w:tc>
          <w:tcPr>
            <w:tcW w:w="1275"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工程设计</w:t>
            </w:r>
          </w:p>
        </w:tc>
        <w:tc>
          <w:tcPr>
            <w:tcW w:w="1984"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2408"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417"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881"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1.2</w:t>
            </w:r>
          </w:p>
        </w:tc>
        <w:tc>
          <w:tcPr>
            <w:tcW w:w="1275"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w:t>
            </w:r>
          </w:p>
        </w:tc>
        <w:tc>
          <w:tcPr>
            <w:tcW w:w="1984"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2408"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417"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881"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2</w:t>
            </w:r>
          </w:p>
        </w:tc>
        <w:tc>
          <w:tcPr>
            <w:tcW w:w="7084" w:type="dxa"/>
            <w:gridSpan w:val="4"/>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工程采购费（如有）</w:t>
            </w:r>
          </w:p>
        </w:tc>
        <w:tc>
          <w:tcPr>
            <w:tcW w:w="1881"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2.1</w:t>
            </w:r>
          </w:p>
        </w:tc>
        <w:tc>
          <w:tcPr>
            <w:tcW w:w="1275"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工程采购</w:t>
            </w:r>
          </w:p>
        </w:tc>
        <w:tc>
          <w:tcPr>
            <w:tcW w:w="1984"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2408"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417"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881"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2.2</w:t>
            </w:r>
          </w:p>
        </w:tc>
        <w:tc>
          <w:tcPr>
            <w:tcW w:w="1275"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w:t>
            </w:r>
          </w:p>
        </w:tc>
        <w:tc>
          <w:tcPr>
            <w:tcW w:w="1984"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2408"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417"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881"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3</w:t>
            </w:r>
          </w:p>
        </w:tc>
        <w:tc>
          <w:tcPr>
            <w:tcW w:w="7084" w:type="dxa"/>
            <w:gridSpan w:val="4"/>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工程施工费</w:t>
            </w:r>
          </w:p>
        </w:tc>
        <w:tc>
          <w:tcPr>
            <w:tcW w:w="1881"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3.1</w:t>
            </w:r>
          </w:p>
        </w:tc>
        <w:tc>
          <w:tcPr>
            <w:tcW w:w="1275"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工程施工</w:t>
            </w:r>
          </w:p>
        </w:tc>
        <w:tc>
          <w:tcPr>
            <w:tcW w:w="1984"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2408"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417"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881"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0"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3.2</w:t>
            </w:r>
          </w:p>
        </w:tc>
        <w:tc>
          <w:tcPr>
            <w:tcW w:w="1275"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w:t>
            </w:r>
          </w:p>
        </w:tc>
        <w:tc>
          <w:tcPr>
            <w:tcW w:w="1984"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2408"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417"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c>
          <w:tcPr>
            <w:tcW w:w="1881" w:type="dxa"/>
            <w:vAlign w:val="center"/>
          </w:tcPr>
          <w:p>
            <w:pPr>
              <w:spacing w:line="360" w:lineRule="auto"/>
              <w:jc w:val="center"/>
              <w:rPr>
                <w:rFonts w:ascii="楷体" w:hAnsi="楷体" w:eastAsia="楷体" w:cs="楷体"/>
                <w:color w:val="000000" w:themeColor="text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764" w:type="dxa"/>
            <w:gridSpan w:val="5"/>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工程总承包（设计施工一体化）报价</w:t>
            </w:r>
          </w:p>
        </w:tc>
        <w:tc>
          <w:tcPr>
            <w:tcW w:w="1881" w:type="dxa"/>
            <w:vAlign w:val="center"/>
          </w:tcPr>
          <w:p>
            <w:pPr>
              <w:spacing w:line="360" w:lineRule="auto"/>
              <w:jc w:val="center"/>
              <w:rPr>
                <w:rFonts w:ascii="楷体" w:hAnsi="楷体" w:eastAsia="楷体" w:cs="楷体"/>
                <w:color w:val="000000" w:themeColor="text1"/>
                <w:highlight w:val="none"/>
                <w14:textFill>
                  <w14:solidFill>
                    <w14:schemeClr w14:val="tx1"/>
                  </w14:solidFill>
                </w14:textFill>
              </w:rPr>
            </w:pPr>
          </w:p>
        </w:tc>
      </w:tr>
    </w:tbl>
    <w:p>
      <w:pPr>
        <w:jc w:val="center"/>
        <w:rPr>
          <w:rFonts w:ascii="楷体" w:hAnsi="楷体" w:eastAsia="楷体" w:cs="楷体"/>
          <w:color w:val="000000" w:themeColor="text1"/>
          <w:highlight w:val="none"/>
          <w14:textFill>
            <w14:solidFill>
              <w14:schemeClr w14:val="tx1"/>
            </w14:solidFill>
          </w14:textFill>
        </w:rPr>
      </w:pPr>
    </w:p>
    <w:p>
      <w:pPr>
        <w:spacing w:line="360" w:lineRule="auto"/>
        <w:ind w:left="359" w:leftChars="171" w:firstLine="4410" w:firstLineChars="2100"/>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投标人：（盖单位章）</w:t>
      </w:r>
    </w:p>
    <w:p>
      <w:pPr>
        <w:spacing w:line="360" w:lineRule="auto"/>
        <w:ind w:left="359" w:leftChars="171" w:firstLine="4410" w:firstLineChars="2100"/>
        <w:rPr>
          <w:rFonts w:ascii="楷体" w:hAnsi="楷体" w:eastAsia="楷体" w:cs="楷体"/>
          <w:color w:val="000000" w:themeColor="text1"/>
          <w:highlight w:val="none"/>
          <w14:textFill>
            <w14:solidFill>
              <w14:schemeClr w14:val="tx1"/>
            </w14:solidFill>
          </w14:textFill>
        </w:rPr>
      </w:pPr>
    </w:p>
    <w:p>
      <w:pPr>
        <w:spacing w:line="360" w:lineRule="auto"/>
        <w:ind w:left="359" w:leftChars="171" w:firstLine="3990" w:firstLineChars="1900"/>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法定代表人或其委托代理人：(签字或盖章)</w:t>
      </w:r>
    </w:p>
    <w:p>
      <w:pPr>
        <w:spacing w:line="360" w:lineRule="auto"/>
        <w:ind w:left="359" w:leftChars="171" w:firstLine="3990" w:firstLineChars="1900"/>
        <w:rPr>
          <w:rFonts w:ascii="楷体" w:hAnsi="楷体" w:eastAsia="楷体" w:cs="楷体"/>
          <w:color w:val="000000" w:themeColor="text1"/>
          <w:highlight w:val="none"/>
          <w14:textFill>
            <w14:solidFill>
              <w14:schemeClr w14:val="tx1"/>
            </w14:solidFill>
          </w14:textFill>
        </w:rPr>
      </w:pPr>
    </w:p>
    <w:p>
      <w:pPr>
        <w:wordWrap w:val="0"/>
        <w:spacing w:beforeLines="50" w:afterLines="100" w:line="440" w:lineRule="exact"/>
        <w:jc w:val="right"/>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 xml:space="preserve">  日期:</w:t>
      </w:r>
      <w:r>
        <w:rPr>
          <w:rFonts w:hint="eastAsia" w:ascii="楷体" w:hAnsi="楷体" w:eastAsia="楷体" w:cs="楷体"/>
          <w:color w:val="000000" w:themeColor="text1"/>
          <w:highlight w:val="none"/>
          <w:u w:val="single"/>
          <w14:textFill>
            <w14:solidFill>
              <w14:schemeClr w14:val="tx1"/>
            </w14:solidFill>
          </w14:textFill>
        </w:rPr>
        <w:t xml:space="preserve">      </w:t>
      </w:r>
      <w:r>
        <w:rPr>
          <w:rFonts w:hint="eastAsia" w:ascii="楷体" w:hAnsi="楷体" w:eastAsia="楷体" w:cs="楷体"/>
          <w:color w:val="000000" w:themeColor="text1"/>
          <w:highlight w:val="none"/>
          <w14:textFill>
            <w14:solidFill>
              <w14:schemeClr w14:val="tx1"/>
            </w14:solidFill>
          </w14:textFill>
        </w:rPr>
        <w:t>年</w:t>
      </w:r>
      <w:r>
        <w:rPr>
          <w:rFonts w:hint="eastAsia" w:ascii="楷体" w:hAnsi="楷体" w:eastAsia="楷体" w:cs="楷体"/>
          <w:color w:val="000000" w:themeColor="text1"/>
          <w:highlight w:val="none"/>
          <w:u w:val="single"/>
          <w14:textFill>
            <w14:solidFill>
              <w14:schemeClr w14:val="tx1"/>
            </w14:solidFill>
          </w14:textFill>
        </w:rPr>
        <w:t xml:space="preserve">    </w:t>
      </w:r>
      <w:r>
        <w:rPr>
          <w:rFonts w:hint="eastAsia" w:ascii="楷体" w:hAnsi="楷体" w:eastAsia="楷体" w:cs="楷体"/>
          <w:color w:val="000000" w:themeColor="text1"/>
          <w:highlight w:val="none"/>
          <w14:textFill>
            <w14:solidFill>
              <w14:schemeClr w14:val="tx1"/>
            </w14:solidFill>
          </w14:textFill>
        </w:rPr>
        <w:t>月</w:t>
      </w:r>
      <w:r>
        <w:rPr>
          <w:rFonts w:hint="eastAsia" w:ascii="楷体" w:hAnsi="楷体" w:eastAsia="楷体" w:cs="楷体"/>
          <w:color w:val="000000" w:themeColor="text1"/>
          <w:highlight w:val="none"/>
          <w:u w:val="single"/>
          <w14:textFill>
            <w14:solidFill>
              <w14:schemeClr w14:val="tx1"/>
            </w14:solidFill>
          </w14:textFill>
        </w:rPr>
        <w:t xml:space="preserve">    </w:t>
      </w:r>
      <w:r>
        <w:rPr>
          <w:rFonts w:hint="eastAsia" w:ascii="楷体" w:hAnsi="楷体" w:eastAsia="楷体" w:cs="楷体"/>
          <w:color w:val="000000" w:themeColor="text1"/>
          <w:highlight w:val="none"/>
          <w14:textFill>
            <w14:solidFill>
              <w14:schemeClr w14:val="tx1"/>
            </w14:solidFill>
          </w14:textFill>
        </w:rPr>
        <w:t>日</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pPr>
        <w:rPr>
          <w:rFonts w:ascii="宋体" w:hAnsi="宋体" w:cs="宋体"/>
          <w:color w:val="000000" w:themeColor="text1"/>
          <w:sz w:val="24"/>
          <w:szCs w:val="24"/>
          <w:highlight w:val="none"/>
          <w14:textFill>
            <w14:solidFill>
              <w14:schemeClr w14:val="tx1"/>
            </w14:solidFill>
          </w14:textFill>
        </w:rPr>
      </w:pPr>
    </w:p>
    <w:tbl>
      <w:tblPr>
        <w:tblStyle w:val="27"/>
        <w:tblW w:w="9754" w:type="dxa"/>
        <w:tblInd w:w="0" w:type="dxa"/>
        <w:tblLayout w:type="autofit"/>
        <w:tblCellMar>
          <w:top w:w="0" w:type="dxa"/>
          <w:left w:w="0" w:type="dxa"/>
          <w:bottom w:w="0" w:type="dxa"/>
          <w:right w:w="0" w:type="dxa"/>
        </w:tblCellMar>
      </w:tblPr>
      <w:tblGrid>
        <w:gridCol w:w="808"/>
        <w:gridCol w:w="1328"/>
        <w:gridCol w:w="3706"/>
        <w:gridCol w:w="1112"/>
        <w:gridCol w:w="844"/>
        <w:gridCol w:w="1030"/>
        <w:gridCol w:w="926"/>
      </w:tblGrid>
      <w:tr>
        <w:tblPrEx>
          <w:tblCellMar>
            <w:top w:w="0" w:type="dxa"/>
            <w:left w:w="0" w:type="dxa"/>
            <w:bottom w:w="0" w:type="dxa"/>
            <w:right w:w="0" w:type="dxa"/>
          </w:tblCellMar>
        </w:tblPrEx>
        <w:trPr>
          <w:trHeight w:val="880" w:hRule="atLeast"/>
        </w:trPr>
        <w:tc>
          <w:tcPr>
            <w:tcW w:w="9754" w:type="dxa"/>
            <w:gridSpan w:val="7"/>
            <w:tcBorders>
              <w:top w:val="nil"/>
              <w:left w:val="nil"/>
              <w:bottom w:val="single" w:color="000000" w:sz="8" w:space="0"/>
              <w:right w:val="nil"/>
            </w:tcBorders>
            <w:shd w:val="clear" w:color="FFFFFF" w:fill="FFFFFF"/>
            <w:tcMar>
              <w:top w:w="15" w:type="dxa"/>
              <w:left w:w="15" w:type="dxa"/>
              <w:right w:w="15" w:type="dxa"/>
            </w:tcMar>
            <w:vAlign w:val="center"/>
          </w:tcPr>
          <w:p>
            <w:pPr>
              <w:jc w:val="center"/>
              <w:textAlignment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投标配置与分项报价表</w:t>
            </w:r>
          </w:p>
        </w:tc>
      </w:tr>
      <w:tr>
        <w:tblPrEx>
          <w:tblCellMar>
            <w:top w:w="0" w:type="dxa"/>
            <w:left w:w="0" w:type="dxa"/>
            <w:bottom w:w="0" w:type="dxa"/>
            <w:right w:w="0" w:type="dxa"/>
          </w:tblCellMar>
        </w:tblPrEx>
        <w:trPr>
          <w:trHeight w:val="454" w:hRule="atLeast"/>
        </w:trPr>
        <w:tc>
          <w:tcPr>
            <w:tcW w:w="9754" w:type="dxa"/>
            <w:gridSpan w:val="7"/>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0"/>
                <w:szCs w:val="20"/>
                <w:highlight w:val="none"/>
                <w14:textFill>
                  <w14:solidFill>
                    <w14:schemeClr w14:val="tx1"/>
                  </w14:solidFill>
                </w14:textFill>
              </w:rPr>
            </w:pPr>
            <w:r>
              <w:rPr>
                <w:rStyle w:val="181"/>
                <w:rFonts w:hint="default"/>
                <w:color w:val="000000" w:themeColor="text1"/>
                <w:highlight w:val="none"/>
                <w14:textFill>
                  <w14:solidFill>
                    <w14:schemeClr w14:val="tx1"/>
                  </w14:solidFill>
                </w14:textFill>
              </w:rPr>
              <w:t>一：设计部分</w:t>
            </w: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序号</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项目名称</w:t>
            </w: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实施内容说明</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单位</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工程量</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全费用综合单价（元）</w:t>
            </w: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合价（元）</w:t>
            </w: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4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小计</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9754" w:type="dxa"/>
            <w:gridSpan w:val="7"/>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0"/>
                <w:szCs w:val="20"/>
                <w:highlight w:val="none"/>
                <w14:textFill>
                  <w14:solidFill>
                    <w14:schemeClr w14:val="tx1"/>
                  </w14:solidFill>
                </w14:textFill>
              </w:rPr>
            </w:pPr>
            <w:r>
              <w:rPr>
                <w:rStyle w:val="181"/>
                <w:rFonts w:hint="default"/>
                <w:color w:val="000000" w:themeColor="text1"/>
                <w:highlight w:val="none"/>
                <w14:textFill>
                  <w14:solidFill>
                    <w14:schemeClr w14:val="tx1"/>
                  </w14:solidFill>
                </w14:textFill>
              </w:rPr>
              <w:t>二：装饰部分</w:t>
            </w: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序号</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项目名称</w:t>
            </w: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施工内容及用材工艺（项目清单特征描述）</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单位</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工程量</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全费用综合单价（元）</w:t>
            </w: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合价（元）</w:t>
            </w: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42" w:type="dxa"/>
            <w:gridSpan w:val="3"/>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小计</w:t>
            </w:r>
          </w:p>
        </w:tc>
        <w:tc>
          <w:tcPr>
            <w:tcW w:w="1112"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9754" w:type="dxa"/>
            <w:gridSpan w:val="7"/>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0"/>
                <w:szCs w:val="20"/>
                <w:highlight w:val="none"/>
                <w14:textFill>
                  <w14:solidFill>
                    <w14:schemeClr w14:val="tx1"/>
                  </w14:solidFill>
                </w14:textFill>
              </w:rPr>
            </w:pPr>
            <w:r>
              <w:rPr>
                <w:rStyle w:val="181"/>
                <w:rFonts w:hint="default"/>
                <w:color w:val="000000" w:themeColor="text1"/>
                <w:highlight w:val="none"/>
                <w14:textFill>
                  <w14:solidFill>
                    <w14:schemeClr w14:val="tx1"/>
                  </w14:solidFill>
                </w14:textFill>
              </w:rPr>
              <w:t>三：</w:t>
            </w:r>
            <w:r>
              <w:rPr>
                <w:rStyle w:val="181"/>
                <w:rFonts w:hint="eastAsia"/>
                <w:color w:val="000000" w:themeColor="text1"/>
                <w:highlight w:val="none"/>
                <w:lang w:val="en-US" w:eastAsia="zh-CN"/>
                <w14:textFill>
                  <w14:solidFill>
                    <w14:schemeClr w14:val="tx1"/>
                  </w14:solidFill>
                </w14:textFill>
              </w:rPr>
              <w:t>安装</w:t>
            </w:r>
            <w:r>
              <w:rPr>
                <w:rStyle w:val="181"/>
                <w:rFonts w:hint="default"/>
                <w:color w:val="000000" w:themeColor="text1"/>
                <w:highlight w:val="none"/>
                <w14:textFill>
                  <w14:solidFill>
                    <w14:schemeClr w14:val="tx1"/>
                  </w14:solidFill>
                </w14:textFill>
              </w:rPr>
              <w:t>部分</w:t>
            </w: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序号</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项目名称</w:t>
            </w: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项目需求（项目清单特征描述）</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单位</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工程量</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全费用综合单价（元）</w:t>
            </w: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合价（元）</w:t>
            </w: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4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小计</w:t>
            </w:r>
          </w:p>
        </w:tc>
        <w:tc>
          <w:tcPr>
            <w:tcW w:w="111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9754" w:type="dxa"/>
            <w:gridSpan w:val="7"/>
            <w:tcBorders>
              <w:top w:val="single" w:color="000000" w:sz="8" w:space="0"/>
              <w:left w:val="single" w:color="000000" w:sz="8" w:space="0"/>
              <w:bottom w:val="single" w:color="000000" w:sz="8" w:space="0"/>
              <w:right w:val="nil"/>
            </w:tcBorders>
            <w:shd w:val="clear" w:color="FFFFFF" w:fill="FFFFFF"/>
            <w:tcMar>
              <w:top w:w="15" w:type="dxa"/>
              <w:left w:w="15" w:type="dxa"/>
              <w:right w:w="15" w:type="dxa"/>
            </w:tcMar>
          </w:tcPr>
          <w:p>
            <w:pPr>
              <w:jc w:val="left"/>
              <w:textAlignment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其它项目</w:t>
            </w:r>
          </w:p>
        </w:tc>
      </w:tr>
      <w:tr>
        <w:tblPrEx>
          <w:tblCellMar>
            <w:top w:w="0" w:type="dxa"/>
            <w:left w:w="0" w:type="dxa"/>
            <w:bottom w:w="0" w:type="dxa"/>
            <w:right w:w="0" w:type="dxa"/>
          </w:tblCellMar>
        </w:tblPrEx>
        <w:trPr>
          <w:trHeight w:val="454" w:hRule="atLeast"/>
        </w:trPr>
        <w:tc>
          <w:tcPr>
            <w:tcW w:w="80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序号</w:t>
            </w:r>
          </w:p>
        </w:tc>
        <w:tc>
          <w:tcPr>
            <w:tcW w:w="132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项目名称</w:t>
            </w:r>
          </w:p>
        </w:tc>
        <w:tc>
          <w:tcPr>
            <w:tcW w:w="370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项目需求（项目清单特征描述）</w:t>
            </w:r>
          </w:p>
        </w:tc>
        <w:tc>
          <w:tcPr>
            <w:tcW w:w="111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单位</w:t>
            </w:r>
          </w:p>
        </w:tc>
        <w:tc>
          <w:tcPr>
            <w:tcW w:w="84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工程量</w:t>
            </w:r>
          </w:p>
        </w:tc>
        <w:tc>
          <w:tcPr>
            <w:tcW w:w="10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全费用综合单价（元）</w:t>
            </w:r>
          </w:p>
        </w:tc>
        <w:tc>
          <w:tcPr>
            <w:tcW w:w="92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合价（元）</w:t>
            </w: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8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37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4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小计</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b/>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4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tcPr>
          <w:p>
            <w:pPr>
              <w:jc w:val="left"/>
              <w:textAlignment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总合计</w:t>
            </w:r>
          </w:p>
        </w:tc>
        <w:tc>
          <w:tcPr>
            <w:tcW w:w="111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84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10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tcPr>
          <w:p>
            <w:pPr>
              <w:jc w:val="left"/>
              <w:rPr>
                <w:rFonts w:ascii="宋体" w:hAnsi="宋体" w:cs="宋体"/>
                <w:color w:val="000000" w:themeColor="text1"/>
                <w:sz w:val="20"/>
                <w:szCs w:val="20"/>
                <w:highlight w:val="none"/>
                <w14:textFill>
                  <w14:solidFill>
                    <w14:schemeClr w14:val="tx1"/>
                  </w14:solidFill>
                </w14:textFill>
              </w:rPr>
            </w:pPr>
          </w:p>
        </w:tc>
        <w:tc>
          <w:tcPr>
            <w:tcW w:w="92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tcPr>
          <w:p>
            <w:pPr>
              <w:jc w:val="left"/>
              <w:textAlignment w:val="center"/>
              <w:rPr>
                <w:rFonts w:ascii="宋体" w:hAnsi="宋体" w:cs="宋体"/>
                <w:b/>
                <w:color w:val="000000" w:themeColor="text1"/>
                <w:kern w:val="0"/>
                <w:sz w:val="24"/>
                <w:szCs w:val="24"/>
                <w:highlight w:val="none"/>
                <w14:textFill>
                  <w14:solidFill>
                    <w14:schemeClr w14:val="tx1"/>
                  </w14:solidFill>
                </w14:textFill>
              </w:rPr>
            </w:pPr>
          </w:p>
        </w:tc>
      </w:tr>
    </w:tbl>
    <w:p>
      <w:pPr>
        <w:pStyle w:val="36"/>
        <w:rPr>
          <w:color w:val="000000" w:themeColor="text1"/>
          <w:highlight w:val="none"/>
          <w14:textFill>
            <w14:solidFill>
              <w14:schemeClr w14:val="tx1"/>
            </w14:solidFill>
          </w14:textFill>
        </w:rPr>
        <w:sectPr>
          <w:pgSz w:w="11906" w:h="16838"/>
          <w:pgMar w:top="1015" w:right="1196" w:bottom="868" w:left="1259" w:header="851" w:footer="907" w:gutter="0"/>
          <w:pgBorders>
            <w:top w:val="none" w:sz="0" w:space="0"/>
            <w:left w:val="none" w:sz="0" w:space="0"/>
            <w:bottom w:val="none" w:sz="0" w:space="0"/>
            <w:right w:val="none" w:sz="0" w:space="0"/>
          </w:pgBorders>
          <w:cols w:space="720" w:num="1"/>
          <w:titlePg/>
          <w:docGrid w:linePitch="360" w:charSpace="0"/>
        </w:sectPr>
      </w:pPr>
    </w:p>
    <w:p>
      <w:pPr>
        <w:rPr>
          <w:rFonts w:ascii="宋体" w:hAnsi="宋体" w:cs="宋体"/>
          <w:color w:val="000000" w:themeColor="text1"/>
          <w:sz w:val="24"/>
          <w:szCs w:val="24"/>
          <w:highlight w:val="none"/>
          <w14:textFill>
            <w14:solidFill>
              <w14:schemeClr w14:val="tx1"/>
            </w14:solidFill>
          </w14:textFill>
        </w:rPr>
      </w:pPr>
    </w:p>
    <w:p>
      <w:pPr>
        <w:pStyle w:val="4"/>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项目业绩汇总表</w:t>
      </w:r>
      <w:bookmarkEnd w:id="44"/>
    </w:p>
    <w:tbl>
      <w:tblPr>
        <w:tblStyle w:val="27"/>
        <w:tblW w:w="0" w:type="auto"/>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
      <w:tblGrid>
        <w:gridCol w:w="1560"/>
        <w:gridCol w:w="2248"/>
        <w:gridCol w:w="1929"/>
        <w:gridCol w:w="2201"/>
        <w:gridCol w:w="1693"/>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73" w:hRule="atLeast"/>
          <w:jc w:val="center"/>
        </w:trPr>
        <w:tc>
          <w:tcPr>
            <w:tcW w:w="1560" w:type="dxa"/>
            <w:tcMar>
              <w:left w:w="108" w:type="dxa"/>
            </w:tcMar>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248" w:type="dxa"/>
            <w:tcMar>
              <w:left w:w="108" w:type="dxa"/>
            </w:tcMar>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1929" w:type="dxa"/>
            <w:tcMar>
              <w:left w:w="108" w:type="dxa"/>
            </w:tcMar>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项目内容</w:t>
            </w:r>
          </w:p>
        </w:tc>
        <w:tc>
          <w:tcPr>
            <w:tcW w:w="2201" w:type="dxa"/>
            <w:tcBorders>
              <w:right w:val="single" w:color="auto" w:sz="4" w:space="0"/>
            </w:tcBorders>
            <w:tcMar>
              <w:left w:w="108" w:type="dxa"/>
            </w:tcMar>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项目金额（万元）</w:t>
            </w:r>
          </w:p>
        </w:tc>
        <w:tc>
          <w:tcPr>
            <w:tcW w:w="1693" w:type="dxa"/>
            <w:tcBorders>
              <w:left w:val="single" w:color="auto" w:sz="4" w:space="0"/>
            </w:tcBorders>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合同签订日期</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73" w:hRule="atLeast"/>
          <w:jc w:val="center"/>
        </w:trPr>
        <w:tc>
          <w:tcPr>
            <w:tcW w:w="1560"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2248"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929"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201" w:type="dxa"/>
            <w:tcBorders>
              <w:right w:val="single" w:color="auto" w:sz="4" w:space="0"/>
            </w:tcBorders>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693" w:type="dxa"/>
            <w:tcBorders>
              <w:lef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73" w:hRule="atLeast"/>
          <w:jc w:val="center"/>
        </w:trPr>
        <w:tc>
          <w:tcPr>
            <w:tcW w:w="1560"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2248"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929"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201" w:type="dxa"/>
            <w:tcBorders>
              <w:right w:val="single" w:color="auto" w:sz="4" w:space="0"/>
            </w:tcBorders>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693" w:type="dxa"/>
            <w:tcBorders>
              <w:lef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73" w:hRule="atLeast"/>
          <w:jc w:val="center"/>
        </w:trPr>
        <w:tc>
          <w:tcPr>
            <w:tcW w:w="1560"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2248"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929"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201" w:type="dxa"/>
            <w:tcBorders>
              <w:right w:val="single" w:color="auto" w:sz="4" w:space="0"/>
            </w:tcBorders>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693" w:type="dxa"/>
            <w:tcBorders>
              <w:lef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73" w:hRule="atLeast"/>
          <w:jc w:val="center"/>
        </w:trPr>
        <w:tc>
          <w:tcPr>
            <w:tcW w:w="1560"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2248"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1929" w:type="dxa"/>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2201" w:type="dxa"/>
            <w:tcBorders>
              <w:right w:val="single" w:color="auto" w:sz="4" w:space="0"/>
            </w:tcBorders>
            <w:tcMar>
              <w:left w:w="108" w:type="dxa"/>
            </w:tcMar>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1693" w:type="dxa"/>
            <w:tcBorders>
              <w:lef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r>
    </w:tbl>
    <w:p>
      <w:pPr>
        <w:spacing w:line="520" w:lineRule="exact"/>
        <w:ind w:left="2" w:leftChars="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u w:val="single"/>
          <w14:textFill>
            <w14:solidFill>
              <w14:schemeClr w14:val="tx1"/>
            </w14:solidFill>
          </w14:textFill>
        </w:rPr>
        <w:t>此表不够可复制和放大</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rPr>
          <w:rFonts w:ascii="宋体" w:hAnsi="宋体" w:cs="宋体"/>
          <w:color w:val="000000" w:themeColor="text1"/>
          <w:sz w:val="24"/>
          <w:szCs w:val="24"/>
          <w:highlight w:val="none"/>
          <w14:textFill>
            <w14:solidFill>
              <w14:schemeClr w14:val="tx1"/>
            </w14:solidFill>
          </w14:textFill>
        </w:rPr>
      </w:pPr>
    </w:p>
    <w:p>
      <w:pPr>
        <w:adjustRightInd w:val="0"/>
        <w:snapToGrid w:val="0"/>
        <w:ind w:firstLine="1800" w:firstLineChars="750"/>
        <w:rPr>
          <w:rFonts w:ascii="宋体" w:hAnsi="宋体" w:cs="宋体"/>
          <w:color w:val="000000" w:themeColor="text1"/>
          <w:sz w:val="24"/>
          <w:szCs w:val="24"/>
          <w:highlight w:val="none"/>
          <w14:textFill>
            <w14:solidFill>
              <w14:schemeClr w14:val="tx1"/>
            </w14:solidFill>
          </w14:textFill>
        </w:rPr>
      </w:pP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投标单位(盖章)：</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adjustRightInd w:val="0"/>
        <w:snapToGrid w:val="0"/>
        <w:ind w:firstLine="1800" w:firstLineChars="750"/>
        <w:jc w:val="left"/>
        <w:rPr>
          <w:rFonts w:ascii="宋体" w:hAnsi="宋体" w:cs="宋体"/>
          <w:color w:val="000000" w:themeColor="text1"/>
          <w:sz w:val="24"/>
          <w:szCs w:val="24"/>
          <w:highlight w:val="none"/>
          <w14:textFill>
            <w14:solidFill>
              <w14:schemeClr w14:val="tx1"/>
            </w14:solidFill>
          </w14:textFill>
        </w:rPr>
      </w:pPr>
    </w:p>
    <w:p>
      <w:pPr>
        <w:adjustRightInd w:val="0"/>
        <w:snapToGrid w:val="0"/>
        <w:ind w:firstLine="1800" w:firstLineChars="750"/>
        <w:jc w:val="left"/>
        <w:rPr>
          <w:rFonts w:ascii="宋体" w:hAnsi="宋体" w:cs="宋体"/>
          <w:color w:val="000000" w:themeColor="text1"/>
          <w:sz w:val="24"/>
          <w:szCs w:val="24"/>
          <w:highlight w:val="none"/>
          <w14:textFill>
            <w14:solidFill>
              <w14:schemeClr w14:val="tx1"/>
            </w14:solidFill>
          </w14:textFill>
        </w:rPr>
      </w:pP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法定代表人/负责人（或委托代理人）：(盖章或签字)：                  </w:t>
      </w:r>
    </w:p>
    <w:p>
      <w:pPr>
        <w:spacing w:line="460" w:lineRule="exact"/>
        <w:ind w:left="4901" w:leftChars="2334" w:right="-867" w:rightChars="-413" w:firstLine="560"/>
        <w:jc w:val="left"/>
        <w:rPr>
          <w:rFonts w:ascii="宋体" w:hAnsi="宋体" w:cs="宋体"/>
          <w:color w:val="000000" w:themeColor="text1"/>
          <w:sz w:val="24"/>
          <w:szCs w:val="24"/>
          <w:highlight w:val="none"/>
          <w:u w:val="single"/>
          <w14:textFill>
            <w14:solidFill>
              <w14:schemeClr w14:val="tx1"/>
            </w14:solidFill>
          </w14:textFill>
        </w:rPr>
      </w:pPr>
    </w:p>
    <w:p>
      <w:pPr>
        <w:spacing w:line="460" w:lineRule="exact"/>
        <w:ind w:right="-867" w:rightChars="-413"/>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spacing w:line="480" w:lineRule="exact"/>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bookmarkEnd w:id="45"/>
    <w:bookmarkEnd w:id="46"/>
    <w:p>
      <w:pPr>
        <w:spacing w:before="50" w:after="50"/>
        <w:jc w:val="center"/>
        <w:rPr>
          <w:rFonts w:ascii="宋体" w:hAnsi="宋体"/>
          <w:b/>
          <w:color w:val="000000" w:themeColor="text1"/>
          <w:sz w:val="36"/>
          <w:szCs w:val="36"/>
          <w:highlight w:val="none"/>
          <w14:textFill>
            <w14:solidFill>
              <w14:schemeClr w14:val="tx1"/>
            </w14:solidFill>
          </w14:textFill>
        </w:rPr>
      </w:pPr>
      <w:bookmarkStart w:id="47" w:name="_格式2__法定代表人授权书"/>
      <w:bookmarkEnd w:id="47"/>
      <w:r>
        <w:rPr>
          <w:rFonts w:hint="eastAsia" w:ascii="宋体" w:hAnsi="宋体"/>
          <w:b/>
          <w:color w:val="000000" w:themeColor="text1"/>
          <w:sz w:val="36"/>
          <w:szCs w:val="36"/>
          <w:highlight w:val="none"/>
          <w14:textFill>
            <w14:solidFill>
              <w14:schemeClr w14:val="tx1"/>
            </w14:solidFill>
          </w14:textFill>
        </w:rPr>
        <w:t>人员配备一览表（可以拓展）</w:t>
      </w:r>
    </w:p>
    <w:p>
      <w:pPr>
        <w:pStyle w:val="167"/>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w:t>
      </w:r>
    </w:p>
    <w:tbl>
      <w:tblPr>
        <w:tblStyle w:val="27"/>
        <w:tblpPr w:leftFromText="180" w:rightFromText="180" w:vertAnchor="text" w:horzAnchor="page" w:tblpX="915" w:tblpY="309"/>
        <w:tblOverlap w:val="never"/>
        <w:tblW w:w="998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950"/>
        <w:gridCol w:w="900"/>
        <w:gridCol w:w="1500"/>
        <w:gridCol w:w="1025"/>
        <w:gridCol w:w="1155"/>
        <w:gridCol w:w="1327"/>
        <w:gridCol w:w="1131"/>
        <w:gridCol w:w="1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50" w:type="dxa"/>
            <w:tcBorders>
              <w:top w:val="single" w:color="auto" w:sz="12"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序号</w:t>
            </w:r>
          </w:p>
        </w:tc>
        <w:tc>
          <w:tcPr>
            <w:tcW w:w="950"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岗位</w:t>
            </w:r>
          </w:p>
        </w:tc>
        <w:tc>
          <w:tcPr>
            <w:tcW w:w="900"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姓名</w:t>
            </w:r>
          </w:p>
        </w:tc>
        <w:tc>
          <w:tcPr>
            <w:tcW w:w="1500"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身份证号</w:t>
            </w:r>
          </w:p>
        </w:tc>
        <w:tc>
          <w:tcPr>
            <w:tcW w:w="1025"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学历</w:t>
            </w:r>
          </w:p>
        </w:tc>
        <w:tc>
          <w:tcPr>
            <w:tcW w:w="1155"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职称</w:t>
            </w:r>
          </w:p>
        </w:tc>
        <w:tc>
          <w:tcPr>
            <w:tcW w:w="1327"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注册证书、级别</w:t>
            </w:r>
          </w:p>
        </w:tc>
        <w:tc>
          <w:tcPr>
            <w:tcW w:w="1131"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类似工作经验</w:t>
            </w:r>
          </w:p>
        </w:tc>
        <w:tc>
          <w:tcPr>
            <w:tcW w:w="1246" w:type="dxa"/>
            <w:tcBorders>
              <w:top w:val="single" w:color="auto" w:sz="12" w:space="0"/>
              <w:left w:val="single" w:color="auto" w:sz="6" w:space="0"/>
              <w:bottom w:val="single" w:color="auto" w:sz="6" w:space="0"/>
              <w:right w:val="single" w:color="auto" w:sz="12" w:space="0"/>
            </w:tcBorders>
            <w:noWrap/>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w:t>
            </w: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w:t>
            </w: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w:t>
            </w: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50"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w:t>
            </w:r>
          </w:p>
        </w:tc>
        <w:tc>
          <w:tcPr>
            <w:tcW w:w="95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025"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c>
          <w:tcPr>
            <w:tcW w:w="1246"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highlight w:val="none"/>
                <w14:textFill>
                  <w14:solidFill>
                    <w14:schemeClr w14:val="tx1"/>
                  </w14:solidFill>
                </w14:textFill>
              </w:rPr>
            </w:pPr>
          </w:p>
        </w:tc>
      </w:tr>
    </w:tbl>
    <w:p>
      <w:pPr>
        <w:spacing w:line="273"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pPr>
        <w:spacing w:line="273"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投标单位（盖章）：</w:t>
      </w:r>
    </w:p>
    <w:p>
      <w:pPr>
        <w:pStyle w:val="167"/>
        <w:spacing w:line="273" w:lineRule="auto"/>
        <w:jc w:val="righ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法定代表人或授权委托人：（签字或盖章）</w:t>
      </w:r>
    </w:p>
    <w:p>
      <w:pPr>
        <w:pStyle w:val="7"/>
        <w:spacing w:line="273"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pPr>
        <w:snapToGrid w:val="0"/>
        <w:spacing w:before="50" w:after="50"/>
        <w:ind w:left="2520"/>
        <w:outlineLvl w:val="0"/>
        <w:rPr>
          <w:rFonts w:ascii="宋体" w:hAnsi="宋体" w:cs="宋体"/>
          <w:color w:val="000000" w:themeColor="text1"/>
          <w:sz w:val="32"/>
          <w:szCs w:val="32"/>
          <w:highlight w:val="none"/>
          <w14:textFill>
            <w14:solidFill>
              <w14:schemeClr w14:val="tx1"/>
            </w14:solidFill>
          </w14:textFill>
        </w:rPr>
      </w:pPr>
    </w:p>
    <w:p>
      <w:pPr>
        <w:rPr>
          <w:rFonts w:ascii="宋体" w:hAnsi="宋体" w:cs="宋体"/>
          <w:color w:val="000000" w:themeColor="text1"/>
          <w:sz w:val="32"/>
          <w:highlight w:val="none"/>
          <w14:textFill>
            <w14:solidFill>
              <w14:schemeClr w14:val="tx1"/>
            </w14:solidFill>
          </w14:textFill>
        </w:rPr>
      </w:pPr>
      <w:bookmarkStart w:id="48" w:name="_Toc22033"/>
      <w:r>
        <w:rPr>
          <w:rFonts w:ascii="宋体" w:hAnsi="宋体" w:cs="宋体"/>
          <w:color w:val="000000" w:themeColor="text1"/>
          <w:sz w:val="32"/>
          <w:highlight w:val="none"/>
          <w14:textFill>
            <w14:solidFill>
              <w14:schemeClr w14:val="tx1"/>
            </w14:solidFill>
          </w14:textFill>
        </w:rPr>
        <w:br w:type="page"/>
      </w:r>
    </w:p>
    <w:p>
      <w:pPr>
        <w:spacing w:line="460" w:lineRule="exact"/>
        <w:outlineLvl w:val="0"/>
        <w:rPr>
          <w:rFonts w:ascii="宋体" w:hAnsi="宋体" w:cs="宋体"/>
          <w:color w:val="000000" w:themeColor="text1"/>
          <w:sz w:val="32"/>
          <w:highlight w:val="none"/>
          <w14:textFill>
            <w14:solidFill>
              <w14:schemeClr w14:val="tx1"/>
            </w14:solidFill>
          </w14:textFill>
        </w:rPr>
      </w:pPr>
    </w:p>
    <w:p>
      <w:pPr>
        <w:spacing w:before="50" w:after="50"/>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技术参数响应及偏离表（如有）</w:t>
      </w:r>
    </w:p>
    <w:p>
      <w:pPr>
        <w:jc w:val="cente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投标人全称（加盖公章）：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852"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招标要求</w:t>
            </w:r>
          </w:p>
        </w:tc>
        <w:tc>
          <w:tcPr>
            <w:tcW w:w="2852"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w:t>
            </w:r>
          </w:p>
        </w:tc>
        <w:tc>
          <w:tcPr>
            <w:tcW w:w="1308"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超出、符合或偏离</w:t>
            </w:r>
          </w:p>
        </w:tc>
        <w:tc>
          <w:tcPr>
            <w:tcW w:w="1173"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1308" w:type="dxa"/>
            <w:noWrap/>
          </w:tcPr>
          <w:p>
            <w:pPr>
              <w:jc w:val="center"/>
              <w:rPr>
                <w:rFonts w:ascii="宋体" w:hAnsi="宋体"/>
                <w:color w:val="000000" w:themeColor="text1"/>
                <w:sz w:val="24"/>
                <w:szCs w:val="24"/>
                <w:highlight w:val="none"/>
                <w14:textFill>
                  <w14:solidFill>
                    <w14:schemeClr w14:val="tx1"/>
                  </w14:solidFill>
                </w14:textFill>
              </w:rPr>
            </w:pPr>
          </w:p>
        </w:tc>
        <w:tc>
          <w:tcPr>
            <w:tcW w:w="1173"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1308" w:type="dxa"/>
            <w:noWrap/>
          </w:tcPr>
          <w:p>
            <w:pPr>
              <w:jc w:val="center"/>
              <w:rPr>
                <w:rFonts w:ascii="宋体" w:hAnsi="宋体"/>
                <w:color w:val="000000" w:themeColor="text1"/>
                <w:sz w:val="24"/>
                <w:szCs w:val="24"/>
                <w:highlight w:val="none"/>
                <w14:textFill>
                  <w14:solidFill>
                    <w14:schemeClr w14:val="tx1"/>
                  </w14:solidFill>
                </w14:textFill>
              </w:rPr>
            </w:pPr>
          </w:p>
        </w:tc>
        <w:tc>
          <w:tcPr>
            <w:tcW w:w="1173"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1308" w:type="dxa"/>
            <w:noWrap/>
          </w:tcPr>
          <w:p>
            <w:pPr>
              <w:jc w:val="center"/>
              <w:rPr>
                <w:rFonts w:ascii="宋体" w:hAnsi="宋体"/>
                <w:color w:val="000000" w:themeColor="text1"/>
                <w:sz w:val="24"/>
                <w:szCs w:val="24"/>
                <w:highlight w:val="none"/>
                <w14:textFill>
                  <w14:solidFill>
                    <w14:schemeClr w14:val="tx1"/>
                  </w14:solidFill>
                </w14:textFill>
              </w:rPr>
            </w:pPr>
          </w:p>
        </w:tc>
        <w:tc>
          <w:tcPr>
            <w:tcW w:w="1173"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1308" w:type="dxa"/>
            <w:noWrap/>
          </w:tcPr>
          <w:p>
            <w:pPr>
              <w:jc w:val="center"/>
              <w:rPr>
                <w:rFonts w:ascii="宋体" w:hAnsi="宋体"/>
                <w:color w:val="000000" w:themeColor="text1"/>
                <w:sz w:val="24"/>
                <w:szCs w:val="24"/>
                <w:highlight w:val="none"/>
                <w14:textFill>
                  <w14:solidFill>
                    <w14:schemeClr w14:val="tx1"/>
                  </w14:solidFill>
                </w14:textFill>
              </w:rPr>
            </w:pPr>
          </w:p>
        </w:tc>
        <w:tc>
          <w:tcPr>
            <w:tcW w:w="1173"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1308" w:type="dxa"/>
            <w:noWrap/>
          </w:tcPr>
          <w:p>
            <w:pPr>
              <w:jc w:val="center"/>
              <w:rPr>
                <w:rFonts w:ascii="宋体" w:hAnsi="宋体"/>
                <w:color w:val="000000" w:themeColor="text1"/>
                <w:sz w:val="24"/>
                <w:szCs w:val="24"/>
                <w:highlight w:val="none"/>
                <w14:textFill>
                  <w14:solidFill>
                    <w14:schemeClr w14:val="tx1"/>
                  </w14:solidFill>
                </w14:textFill>
              </w:rPr>
            </w:pPr>
          </w:p>
        </w:tc>
        <w:tc>
          <w:tcPr>
            <w:tcW w:w="1173"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1308" w:type="dxa"/>
            <w:noWrap/>
          </w:tcPr>
          <w:p>
            <w:pPr>
              <w:jc w:val="center"/>
              <w:rPr>
                <w:rFonts w:ascii="宋体" w:hAnsi="宋体"/>
                <w:color w:val="000000" w:themeColor="text1"/>
                <w:sz w:val="24"/>
                <w:szCs w:val="24"/>
                <w:highlight w:val="none"/>
                <w14:textFill>
                  <w14:solidFill>
                    <w14:schemeClr w14:val="tx1"/>
                  </w14:solidFill>
                </w14:textFill>
              </w:rPr>
            </w:pPr>
          </w:p>
        </w:tc>
        <w:tc>
          <w:tcPr>
            <w:tcW w:w="1173"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1308" w:type="dxa"/>
            <w:noWrap/>
          </w:tcPr>
          <w:p>
            <w:pPr>
              <w:jc w:val="center"/>
              <w:rPr>
                <w:rFonts w:ascii="宋体" w:hAnsi="宋体"/>
                <w:color w:val="000000" w:themeColor="text1"/>
                <w:sz w:val="24"/>
                <w:szCs w:val="24"/>
                <w:highlight w:val="none"/>
                <w14:textFill>
                  <w14:solidFill>
                    <w14:schemeClr w14:val="tx1"/>
                  </w14:solidFill>
                </w14:textFill>
              </w:rPr>
            </w:pPr>
          </w:p>
        </w:tc>
        <w:tc>
          <w:tcPr>
            <w:tcW w:w="1173"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2852" w:type="dxa"/>
            <w:noWrap/>
          </w:tcPr>
          <w:p>
            <w:pPr>
              <w:jc w:val="center"/>
              <w:rPr>
                <w:rFonts w:ascii="宋体" w:hAnsi="宋体"/>
                <w:color w:val="000000" w:themeColor="text1"/>
                <w:sz w:val="24"/>
                <w:szCs w:val="24"/>
                <w:highlight w:val="none"/>
                <w14:textFill>
                  <w14:solidFill>
                    <w14:schemeClr w14:val="tx1"/>
                  </w14:solidFill>
                </w14:textFill>
              </w:rPr>
            </w:pPr>
          </w:p>
        </w:tc>
        <w:tc>
          <w:tcPr>
            <w:tcW w:w="1308" w:type="dxa"/>
            <w:noWrap/>
          </w:tcPr>
          <w:p>
            <w:pPr>
              <w:jc w:val="center"/>
              <w:rPr>
                <w:rFonts w:ascii="宋体" w:hAnsi="宋体"/>
                <w:color w:val="000000" w:themeColor="text1"/>
                <w:sz w:val="24"/>
                <w:szCs w:val="24"/>
                <w:highlight w:val="none"/>
                <w14:textFill>
                  <w14:solidFill>
                    <w14:schemeClr w14:val="tx1"/>
                  </w14:solidFill>
                </w14:textFill>
              </w:rPr>
            </w:pPr>
          </w:p>
        </w:tc>
        <w:tc>
          <w:tcPr>
            <w:tcW w:w="1173" w:type="dxa"/>
            <w:noWrap/>
          </w:tcPr>
          <w:p>
            <w:pPr>
              <w:jc w:val="center"/>
              <w:rPr>
                <w:rFonts w:ascii="宋体" w:hAnsi="宋体"/>
                <w:color w:val="000000" w:themeColor="text1"/>
                <w:sz w:val="24"/>
                <w:szCs w:val="24"/>
                <w:highlight w:val="none"/>
                <w14:textFill>
                  <w14:solidFill>
                    <w14:schemeClr w14:val="tx1"/>
                  </w14:solidFill>
                </w14:textFill>
              </w:rPr>
            </w:pPr>
          </w:p>
        </w:tc>
      </w:tr>
    </w:tbl>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法定代表人或授权代表签字：</w:t>
      </w:r>
    </w:p>
    <w:p>
      <w:pP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注：1、按照基本技术要求详细填列。</w:t>
      </w:r>
    </w:p>
    <w:p>
      <w:pPr>
        <w:numPr>
          <w:ilvl w:val="0"/>
          <w:numId w:val="12"/>
        </w:num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行数不够，可自行添加。</w:t>
      </w:r>
    </w:p>
    <w:p>
      <w:pPr>
        <w:numPr>
          <w:ilvl w:val="0"/>
          <w:numId w:val="12"/>
        </w:numPr>
        <w:spacing w:line="360" w:lineRule="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技术偏离表应针对项目需求逐条应答。</w:t>
      </w:r>
    </w:p>
    <w:p>
      <w:pPr>
        <w:spacing w:line="360" w:lineRule="auto"/>
        <w:ind w:left="48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4、如无超出或偏离项目，此表无需填写。</w:t>
      </w:r>
    </w:p>
    <w:p>
      <w:pPr>
        <w:pStyle w:val="25"/>
        <w:ind w:firstLine="210"/>
        <w:rPr>
          <w:color w:val="000000" w:themeColor="text1"/>
          <w:highlight w:val="none"/>
          <w14:textFill>
            <w14:solidFill>
              <w14:schemeClr w14:val="tx1"/>
            </w14:solidFill>
          </w14:textFill>
        </w:rPr>
      </w:pPr>
    </w:p>
    <w:p>
      <w:pP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br w:type="page" w:clear="all"/>
      </w:r>
    </w:p>
    <w:p>
      <w:pPr>
        <w:spacing w:before="50" w:after="50"/>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商务条款响应及偏离表（如有）</w:t>
      </w:r>
    </w:p>
    <w:p>
      <w:pPr>
        <w:jc w:val="cente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投标人全称（加盖公章）：        </w:t>
      </w:r>
    </w:p>
    <w:tbl>
      <w:tblPr>
        <w:tblStyle w:val="27"/>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548"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服务期限</w:t>
            </w:r>
          </w:p>
        </w:tc>
        <w:tc>
          <w:tcPr>
            <w:tcW w:w="270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pacing w:before="16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pacing w:before="160"/>
              <w:ind w:left="43"/>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548" w:type="dxa"/>
            <w:tcBorders>
              <w:top w:val="single" w:color="auto" w:sz="4" w:space="0"/>
              <w:left w:val="single" w:color="auto" w:sz="4" w:space="0"/>
              <w:bottom w:val="single" w:color="auto" w:sz="4" w:space="0"/>
              <w:right w:val="single" w:color="auto" w:sz="4" w:space="0"/>
            </w:tcBorders>
          </w:tcPr>
          <w:p>
            <w:pPr>
              <w:spacing w:before="160"/>
              <w:rPr>
                <w:rFonts w:ascii="仿宋_GB2312"/>
                <w:color w:val="000000" w:themeColor="text1"/>
                <w:sz w:val="24"/>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color w:val="000000" w:themeColor="text1"/>
                <w:sz w:val="24"/>
                <w:highlight w:val="none"/>
                <w14:textFill>
                  <w14:solidFill>
                    <w14:schemeClr w14:val="tx1"/>
                  </w14:solidFill>
                </w14:textFill>
              </w:rPr>
            </w:pPr>
          </w:p>
          <w:p>
            <w:pPr>
              <w:spacing w:before="160"/>
              <w:rPr>
                <w:rFonts w:ascii="仿宋_GB2312"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pacing w:before="16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pacing w:before="160"/>
              <w:ind w:left="43"/>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548" w:type="dxa"/>
            <w:tcBorders>
              <w:top w:val="single" w:color="auto" w:sz="4" w:space="0"/>
              <w:left w:val="single" w:color="auto" w:sz="4" w:space="0"/>
              <w:bottom w:val="single" w:color="auto" w:sz="4" w:space="0"/>
              <w:right w:val="single" w:color="auto" w:sz="4" w:space="0"/>
            </w:tcBorders>
          </w:tcPr>
          <w:p>
            <w:pPr>
              <w:spacing w:before="160"/>
              <w:rPr>
                <w:rFonts w:ascii="仿宋_GB2312"/>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color w:val="000000" w:themeColor="text1"/>
                <w:sz w:val="24"/>
                <w:highlight w:val="none"/>
                <w14:textFill>
                  <w14:solidFill>
                    <w14:schemeClr w14:val="tx1"/>
                  </w14:solidFill>
                </w14:textFill>
              </w:rPr>
            </w:pPr>
          </w:p>
          <w:p>
            <w:pPr>
              <w:spacing w:before="160"/>
              <w:rPr>
                <w:rFonts w:ascii="仿宋_GB2312"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pacing w:before="16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pacing w:before="160"/>
              <w:ind w:left="43"/>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548" w:type="dxa"/>
            <w:tcBorders>
              <w:top w:val="single" w:color="auto" w:sz="4" w:space="0"/>
              <w:left w:val="single" w:color="auto" w:sz="4" w:space="0"/>
              <w:bottom w:val="single" w:color="auto" w:sz="4" w:space="0"/>
              <w:right w:val="single" w:color="auto" w:sz="4" w:space="0"/>
            </w:tcBorders>
          </w:tcPr>
          <w:p>
            <w:pPr>
              <w:spacing w:before="160"/>
              <w:rPr>
                <w:rFonts w:ascii="仿宋_GB2312"/>
                <w:color w:val="000000" w:themeColor="text1"/>
                <w:sz w:val="24"/>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pacing w:before="16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pacing w:before="160"/>
              <w:ind w:left="43"/>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8"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48" w:type="dxa"/>
            <w:tcBorders>
              <w:top w:val="single" w:color="auto" w:sz="4" w:space="0"/>
              <w:left w:val="single" w:color="auto" w:sz="4" w:space="0"/>
              <w:bottom w:val="single" w:color="auto" w:sz="4" w:space="0"/>
              <w:right w:val="single" w:color="auto" w:sz="4" w:space="0"/>
            </w:tcBorders>
          </w:tcPr>
          <w:p>
            <w:pPr>
              <w:spacing w:before="160"/>
              <w:rPr>
                <w:rFonts w:ascii="宋体" w:hAnsi="宋体"/>
                <w:color w:val="000000" w:themeColor="text1"/>
                <w:sz w:val="24"/>
                <w:szCs w:val="20"/>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548"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pacing w:before="160"/>
              <w:rPr>
                <w:rFonts w:ascii="仿宋_GB2312" w:hAnsi="宋体" w:eastAsia="仿宋_GB2312"/>
                <w:color w:val="000000" w:themeColor="text1"/>
                <w:sz w:val="24"/>
                <w:szCs w:val="20"/>
                <w:highlight w:val="none"/>
                <w14:textFill>
                  <w14:solidFill>
                    <w14:schemeClr w14:val="tx1"/>
                  </w14:solidFill>
                </w14:textFill>
              </w:rPr>
            </w:pPr>
          </w:p>
        </w:tc>
      </w:tr>
    </w:tbl>
    <w:p>
      <w:pPr>
        <w:spacing w:line="500" w:lineRule="exact"/>
        <w:ind w:firstLine="480"/>
        <w:rPr>
          <w:rFonts w:ascii="宋体" w:hAnsi="宋体"/>
          <w:b/>
          <w:color w:val="000000" w:themeColor="text1"/>
          <w:sz w:val="36"/>
          <w:szCs w:val="36"/>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法定代表人或授权代表签字：</w:t>
      </w:r>
    </w:p>
    <w:p>
      <w:pP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br w:type="page"/>
      </w:r>
    </w:p>
    <w:p>
      <w:pPr>
        <w:spacing w:line="460" w:lineRule="exact"/>
        <w:ind w:firstLine="640" w:firstLineChars="200"/>
        <w:jc w:val="center"/>
        <w:outlineLvl w:val="0"/>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盐城市政府采购事前信用承诺书</w:t>
      </w:r>
      <w:bookmarkEnd w:id="48"/>
    </w:p>
    <w:p>
      <w:pPr>
        <w:spacing w:line="460" w:lineRule="exact"/>
        <w:ind w:firstLine="640" w:firstLineChars="200"/>
        <w:jc w:val="left"/>
        <w:rPr>
          <w:rFonts w:ascii="宋体" w:hAnsi="宋体" w:cs="宋体"/>
          <w:color w:val="000000" w:themeColor="text1"/>
          <w:sz w:val="32"/>
          <w:highlight w:val="none"/>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49" w:name="_Toc1790"/>
      <w:r>
        <w:rPr>
          <w:rFonts w:hint="eastAsia" w:ascii="宋体" w:hAnsi="宋体" w:cs="宋体"/>
          <w:color w:val="000000" w:themeColor="text1"/>
          <w:sz w:val="24"/>
          <w:szCs w:val="24"/>
          <w:highlight w:val="none"/>
          <w14:textFill>
            <w14:solidFill>
              <w14:schemeClr w14:val="tx1"/>
            </w14:solidFill>
          </w14:textFill>
        </w:rPr>
        <w:t>法定代表人签名：</w:t>
      </w:r>
      <w:bookmarkEnd w:id="49"/>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50" w:name="_Toc27882"/>
      <w:r>
        <w:rPr>
          <w:rFonts w:hint="eastAsia" w:ascii="宋体" w:hAnsi="宋体" w:cs="宋体"/>
          <w:color w:val="000000" w:themeColor="text1"/>
          <w:sz w:val="24"/>
          <w:szCs w:val="24"/>
          <w:highlight w:val="none"/>
          <w14:textFill>
            <w14:solidFill>
              <w14:schemeClr w14:val="tx1"/>
            </w14:solidFill>
          </w14:textFill>
        </w:rPr>
        <w:t>单位名称（盖章）：</w:t>
      </w:r>
      <w:bookmarkEnd w:id="50"/>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51" w:name="_Toc385"/>
      <w:r>
        <w:rPr>
          <w:rFonts w:hint="eastAsia" w:ascii="宋体" w:hAnsi="宋体" w:cs="宋体"/>
          <w:color w:val="000000" w:themeColor="text1"/>
          <w:sz w:val="24"/>
          <w:szCs w:val="24"/>
          <w:highlight w:val="none"/>
          <w14:textFill>
            <w14:solidFill>
              <w14:schemeClr w14:val="tx1"/>
            </w14:solidFill>
          </w14:textFill>
        </w:rPr>
        <w:t>年    月    日</w:t>
      </w:r>
      <w:bookmarkEnd w:id="51"/>
    </w:p>
    <w:p>
      <w:pPr>
        <w:pStyle w:val="148"/>
        <w:jc w:val="both"/>
        <w:rPr>
          <w:rStyle w:val="54"/>
          <w:rFonts w:ascii="宋体" w:hAnsi="宋体" w:cs="宋体"/>
          <w:color w:val="000000" w:themeColor="text1"/>
          <w:highlight w:val="none"/>
          <w14:textFill>
            <w14:solidFill>
              <w14:schemeClr w14:val="tx1"/>
            </w14:solidFill>
          </w14:textFill>
        </w:rPr>
      </w:pPr>
    </w:p>
    <w:sectPr>
      <w:footerReference r:id="rId19" w:type="first"/>
      <w:headerReference r:id="rId17" w:type="default"/>
      <w:footerReference r:id="rId18"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8"/>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Ms42R4AAgAAEgQAAA4AAAAAAAAAAQAgAAAAHwEAAGRycy9lMm9Eb2Mu&#10;eG1sUEsFBgAAAAAGAAYAWQEAAJE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ql5uc8AAAAFAQAADwAAAAAAAAABACAAAAAiAAAAZHJzL2Rvd25yZXYueG1sUEsBAhQA&#10;FAAAAAgAh07iQBC1I0X7AQAAFAQAAA4AAAAAAAAAAQAgAAAAHgEAAGRycy9lMm9Eb2MueG1sUEsF&#10;BgAAAAAGAAYAWQEAAI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i91E0AAAAAIBAAAPAAAAAAAAAAEAIAAAACIAAABkcnMvZG93bnJldi54&#10;bWxQSwECFAAUAAAACACHTuJApPMsvgICAAARBAAADgAAAAAAAAABACAAAAAfAQAAZHJzL2Uyb0Rv&#10;Yy54bWxQSwUGAAAAAAYABgBZAQAAk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33</w:t>
                    </w:r>
                    <w:r>
                      <w:fldChar w:fldCharType="end"/>
                    </w: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8"/>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BvYB62AQIAABIEAAAOAAAAAAAAAAEAIAAAAB8BAABkcnMvZTJvRG9j&#10;LnhtbFBLBQYAAAAABgAGAFkBAACS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247650" cy="262890"/>
                      </a:xfrm>
                      <a:prstGeom prst="rect">
                        <a:avLst/>
                      </a:prstGeom>
                      <a:noFill/>
                      <a:ln>
                        <a:noFill/>
                      </a:ln>
                      <a:effectLst/>
                    </wps:spPr>
                    <wps:txbx>
                      <w:txbxContent>
                        <w:p>
                          <w:pPr>
                            <w:pStyle w:val="18"/>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CUTQ0QAAAAMBAAAPAAAAAAAA&#10;AAEAIAAAACIAAABkcnMvZG93bnJldi54bWxQSwECFAAUAAAACACHTuJAqe8pS+ABAACzAwAADgAA&#10;AAAAAAABACAAAAAgAQAAZHJzL2Uyb0RvYy54bWxQSwUGAAAAAAYABgBZAQAAc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46</w:t>
                    </w:r>
                    <w: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pPr>
      <w:pStyle w:val="18"/>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8"/>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DVI0YnAQIAABIEAAAOAAAAAAAAAAEAIAAAAB8BAABkcnMvZTJvRG9j&#10;LnhtbFBLBQYAAAAABgAGAFkBAACS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63</w:t>
                    </w:r>
                    <w:r>
                      <w:fldChar w:fldCharType="end"/>
                    </w:r>
                  </w:p>
                </w:txbxContent>
              </v:textbox>
            </v:shape>
          </w:pict>
        </mc:Fallback>
      </mc:AlternateContent>
    </w:r>
  </w:p>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68</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qXm5zwAAAAUBAAAPAAAAAAAAAAEAIAAAACIAAABkcnMvZG93bnJldi54bWxQSwECFAAU&#10;AAAACACHTuJAvfn3sfoBAAAUBAAADgAAAAAAAAABACAAAAAeAQAAZHJzL2Uyb0RvYy54bWxQSwUG&#10;AAAAAAYABgBZAQAAi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lang w:eastAsia="zh-CN"/>
      </w:rPr>
      <w:t xml:space="preserve">2024-031J  </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 xml:space="preserve">2024-031J  </w:t>
    </w:r>
    <w:r>
      <w:rPr>
        <w:rFonts w:hint="eastAsia" w:ascii="隶书" w:hAnsi="隶书" w:eastAsia="隶书" w:cs="隶书"/>
        <w:sz w:val="24"/>
        <w:szCs w:val="24"/>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 xml:space="preserve">2024-031J  </w:t>
    </w:r>
    <w:r>
      <w:rPr>
        <w:rFonts w:hint="eastAsia" w:ascii="隶书" w:hAnsi="隶书" w:eastAsia="隶书" w:cs="隶书"/>
        <w:sz w:val="24"/>
        <w:szCs w:val="24"/>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 xml:space="preserve">2024-031J  </w:t>
    </w:r>
    <w:r>
      <w:rPr>
        <w:rFonts w:hint="eastAsia" w:ascii="Times New Roman" w:hAnsi="隶书" w:eastAsia="隶书" w:cs="隶书"/>
        <w:color w:val="000000"/>
        <w:spacing w:val="40"/>
        <w:kern w:val="2"/>
        <w:sz w:val="21"/>
      </w:rPr>
      <w:t>招标文件</w:t>
    </w:r>
  </w:p>
  <w:p>
    <w:pPr>
      <w:pStyle w:val="1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lang w:eastAsia="zh-CN"/>
      </w:rPr>
      <w:t xml:space="preserve">2024-031J  </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B0AD"/>
    <w:multiLevelType w:val="singleLevel"/>
    <w:tmpl w:val="814CB0AD"/>
    <w:lvl w:ilvl="0" w:tentative="0">
      <w:start w:val="1"/>
      <w:numFmt w:val="decimal"/>
      <w:suff w:val="nothing"/>
      <w:lvlText w:val="%1、"/>
      <w:lvlJc w:val="left"/>
    </w:lvl>
  </w:abstractNum>
  <w:abstractNum w:abstractNumId="1">
    <w:nsid w:val="03D62ECE"/>
    <w:multiLevelType w:val="multilevel"/>
    <w:tmpl w:val="03D62ECE"/>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textAlignment w:val="baseline"/>
      </w:pPr>
    </w:lvl>
  </w:abstractNum>
  <w:abstractNum w:abstractNumId="3">
    <w:nsid w:val="0A3B17CD"/>
    <w:multiLevelType w:val="singleLevel"/>
    <w:tmpl w:val="0A3B17CD"/>
    <w:lvl w:ilvl="0" w:tentative="0">
      <w:start w:val="1"/>
      <w:numFmt w:val="decimal"/>
      <w:suff w:val="nothing"/>
      <w:lvlText w:val="（%1）"/>
      <w:lvlJc w:val="left"/>
    </w:lvl>
  </w:abstractNum>
  <w:abstractNum w:abstractNumId="4">
    <w:nsid w:val="0C924714"/>
    <w:multiLevelType w:val="singleLevel"/>
    <w:tmpl w:val="0C924714"/>
    <w:lvl w:ilvl="0" w:tentative="0">
      <w:start w:val="1"/>
      <w:numFmt w:val="decimal"/>
      <w:suff w:val="nothing"/>
      <w:lvlText w:val="%1、"/>
      <w:lvlJc w:val="left"/>
    </w:lvl>
  </w:abstractNum>
  <w:abstractNum w:abstractNumId="5">
    <w:nsid w:val="1A53239F"/>
    <w:multiLevelType w:val="singleLevel"/>
    <w:tmpl w:val="1A53239F"/>
    <w:lvl w:ilvl="0" w:tentative="0">
      <w:start w:val="1"/>
      <w:numFmt w:val="decimal"/>
      <w:suff w:val="nothing"/>
      <w:lvlText w:val="%1、"/>
      <w:lvlJc w:val="left"/>
    </w:lvl>
  </w:abstractNum>
  <w:abstractNum w:abstractNumId="6">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7">
    <w:nsid w:val="2CABD338"/>
    <w:multiLevelType w:val="singleLevel"/>
    <w:tmpl w:val="2CABD338"/>
    <w:lvl w:ilvl="0" w:tentative="0">
      <w:start w:val="1"/>
      <w:numFmt w:val="chineseCounting"/>
      <w:suff w:val="nothing"/>
      <w:lvlText w:val="%1、"/>
      <w:lvlJc w:val="left"/>
      <w:rPr>
        <w:rFonts w:hint="eastAsia"/>
      </w:rPr>
    </w:lvl>
  </w:abstractNum>
  <w:abstractNum w:abstractNumId="8">
    <w:nsid w:val="3F52FF0C"/>
    <w:multiLevelType w:val="singleLevel"/>
    <w:tmpl w:val="3F52FF0C"/>
    <w:lvl w:ilvl="0" w:tentative="0">
      <w:start w:val="1"/>
      <w:numFmt w:val="decimal"/>
      <w:suff w:val="nothing"/>
      <w:lvlText w:val="%1、"/>
      <w:lvlJc w:val="left"/>
    </w:lvl>
  </w:abstractNum>
  <w:abstractNum w:abstractNumId="9">
    <w:nsid w:val="420C153B"/>
    <w:multiLevelType w:val="multilevel"/>
    <w:tmpl w:val="420C153B"/>
    <w:lvl w:ilvl="0" w:tentative="0">
      <w:start w:val="1"/>
      <w:numFmt w:val="decimal"/>
      <w:pStyle w:val="14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10">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50"/>
      <w:suff w:val="nothing"/>
      <w:lvlText w:val=""/>
      <w:lvlJc w:val="left"/>
      <w:pPr>
        <w:ind w:left="0" w:firstLine="0"/>
        <w:textAlignment w:val="baseline"/>
      </w:pPr>
    </w:lvl>
    <w:lvl w:ilvl="6" w:tentative="0">
      <w:start w:val="1"/>
      <w:numFmt w:val="decimal"/>
      <w:pStyle w:val="51"/>
      <w:suff w:val="nothing"/>
      <w:lvlText w:val=""/>
      <w:lvlJc w:val="left"/>
      <w:pPr>
        <w:ind w:left="0" w:firstLine="0"/>
        <w:textAlignment w:val="baseline"/>
      </w:pPr>
    </w:lvl>
    <w:lvl w:ilvl="7" w:tentative="0">
      <w:start w:val="1"/>
      <w:numFmt w:val="decimal"/>
      <w:pStyle w:val="52"/>
      <w:suff w:val="nothing"/>
      <w:lvlText w:val=""/>
      <w:lvlJc w:val="left"/>
      <w:pPr>
        <w:ind w:left="0" w:firstLine="0"/>
        <w:textAlignment w:val="baseline"/>
      </w:pPr>
    </w:lvl>
    <w:lvl w:ilvl="8" w:tentative="0">
      <w:start w:val="1"/>
      <w:numFmt w:val="decimal"/>
      <w:pStyle w:val="53"/>
      <w:suff w:val="nothing"/>
      <w:lvlText w:val=""/>
      <w:lvlJc w:val="left"/>
      <w:pPr>
        <w:ind w:left="0" w:firstLine="0"/>
        <w:textAlignment w:val="baseline"/>
      </w:pPr>
    </w:lvl>
  </w:abstractNum>
  <w:abstractNum w:abstractNumId="11">
    <w:nsid w:val="61066123"/>
    <w:multiLevelType w:val="multilevel"/>
    <w:tmpl w:val="61066123"/>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0"/>
  </w:num>
  <w:num w:numId="2">
    <w:abstractNumId w:val="2"/>
  </w:num>
  <w:num w:numId="3">
    <w:abstractNumId w:val="9"/>
  </w:num>
  <w:num w:numId="4">
    <w:abstractNumId w:val="3"/>
  </w:num>
  <w:num w:numId="5">
    <w:abstractNumId w:val="4"/>
  </w:num>
  <w:num w:numId="6">
    <w:abstractNumId w:val="0"/>
  </w:num>
  <w:num w:numId="7">
    <w:abstractNumId w:val="8"/>
  </w:num>
  <w:num w:numId="8">
    <w:abstractNumId w:val="5"/>
  </w:num>
  <w:num w:numId="9">
    <w:abstractNumId w:val="7"/>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F868A9"/>
    <w:rsid w:val="00003AB4"/>
    <w:rsid w:val="0004133F"/>
    <w:rsid w:val="00045760"/>
    <w:rsid w:val="000570EF"/>
    <w:rsid w:val="0007632E"/>
    <w:rsid w:val="00091821"/>
    <w:rsid w:val="000B38C7"/>
    <w:rsid w:val="000E2680"/>
    <w:rsid w:val="00103D13"/>
    <w:rsid w:val="0011280D"/>
    <w:rsid w:val="00131057"/>
    <w:rsid w:val="001726A6"/>
    <w:rsid w:val="00177C98"/>
    <w:rsid w:val="001925C5"/>
    <w:rsid w:val="001A2403"/>
    <w:rsid w:val="001C492C"/>
    <w:rsid w:val="001D5807"/>
    <w:rsid w:val="00217C7C"/>
    <w:rsid w:val="00223C79"/>
    <w:rsid w:val="00233923"/>
    <w:rsid w:val="00241131"/>
    <w:rsid w:val="002745BB"/>
    <w:rsid w:val="00275521"/>
    <w:rsid w:val="002800DE"/>
    <w:rsid w:val="00280514"/>
    <w:rsid w:val="002931A2"/>
    <w:rsid w:val="002A07A1"/>
    <w:rsid w:val="002A0A4F"/>
    <w:rsid w:val="002C41D3"/>
    <w:rsid w:val="003118E6"/>
    <w:rsid w:val="003220F7"/>
    <w:rsid w:val="00325BAB"/>
    <w:rsid w:val="0033044B"/>
    <w:rsid w:val="003367B6"/>
    <w:rsid w:val="00360929"/>
    <w:rsid w:val="00374345"/>
    <w:rsid w:val="003A223F"/>
    <w:rsid w:val="003A63FB"/>
    <w:rsid w:val="003A7ED9"/>
    <w:rsid w:val="003C4320"/>
    <w:rsid w:val="003D4620"/>
    <w:rsid w:val="00410119"/>
    <w:rsid w:val="004112BF"/>
    <w:rsid w:val="00417286"/>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13033"/>
    <w:rsid w:val="005277A9"/>
    <w:rsid w:val="005352A8"/>
    <w:rsid w:val="00544757"/>
    <w:rsid w:val="0056746E"/>
    <w:rsid w:val="005B06C2"/>
    <w:rsid w:val="005B2CFB"/>
    <w:rsid w:val="005F2F02"/>
    <w:rsid w:val="005F3329"/>
    <w:rsid w:val="006047B2"/>
    <w:rsid w:val="00606780"/>
    <w:rsid w:val="00606EFE"/>
    <w:rsid w:val="00623144"/>
    <w:rsid w:val="006308FE"/>
    <w:rsid w:val="00637636"/>
    <w:rsid w:val="006B0AC7"/>
    <w:rsid w:val="006C13AB"/>
    <w:rsid w:val="006E3A7B"/>
    <w:rsid w:val="00721560"/>
    <w:rsid w:val="007265F3"/>
    <w:rsid w:val="0073771C"/>
    <w:rsid w:val="0074306C"/>
    <w:rsid w:val="00780C34"/>
    <w:rsid w:val="00782B4B"/>
    <w:rsid w:val="00791354"/>
    <w:rsid w:val="007B3E85"/>
    <w:rsid w:val="0081482D"/>
    <w:rsid w:val="00814D01"/>
    <w:rsid w:val="00826C38"/>
    <w:rsid w:val="008307F9"/>
    <w:rsid w:val="00860E15"/>
    <w:rsid w:val="00864D58"/>
    <w:rsid w:val="00891713"/>
    <w:rsid w:val="00896A11"/>
    <w:rsid w:val="008C14CD"/>
    <w:rsid w:val="008C29CC"/>
    <w:rsid w:val="008D617C"/>
    <w:rsid w:val="008E3DAB"/>
    <w:rsid w:val="009069A2"/>
    <w:rsid w:val="00913371"/>
    <w:rsid w:val="009343EF"/>
    <w:rsid w:val="00953A5F"/>
    <w:rsid w:val="0097078B"/>
    <w:rsid w:val="0099206B"/>
    <w:rsid w:val="00994655"/>
    <w:rsid w:val="009C11B1"/>
    <w:rsid w:val="00A1183C"/>
    <w:rsid w:val="00A3339C"/>
    <w:rsid w:val="00A41EC5"/>
    <w:rsid w:val="00A51F32"/>
    <w:rsid w:val="00A6255B"/>
    <w:rsid w:val="00AA7C70"/>
    <w:rsid w:val="00AE15AF"/>
    <w:rsid w:val="00AE261D"/>
    <w:rsid w:val="00AE59E2"/>
    <w:rsid w:val="00AF2F44"/>
    <w:rsid w:val="00AF368F"/>
    <w:rsid w:val="00AF482F"/>
    <w:rsid w:val="00B357E1"/>
    <w:rsid w:val="00B715BD"/>
    <w:rsid w:val="00B719DD"/>
    <w:rsid w:val="00B8533E"/>
    <w:rsid w:val="00BA7076"/>
    <w:rsid w:val="00BC3E9F"/>
    <w:rsid w:val="00BD3C99"/>
    <w:rsid w:val="00BE5F88"/>
    <w:rsid w:val="00C05334"/>
    <w:rsid w:val="00C157C0"/>
    <w:rsid w:val="00C31CC3"/>
    <w:rsid w:val="00C37A67"/>
    <w:rsid w:val="00C601CD"/>
    <w:rsid w:val="00C945B7"/>
    <w:rsid w:val="00CB1BB5"/>
    <w:rsid w:val="00CC6812"/>
    <w:rsid w:val="00CC72B1"/>
    <w:rsid w:val="00CD691E"/>
    <w:rsid w:val="00CE7317"/>
    <w:rsid w:val="00D358BD"/>
    <w:rsid w:val="00D57961"/>
    <w:rsid w:val="00D613B4"/>
    <w:rsid w:val="00D676B7"/>
    <w:rsid w:val="00D71667"/>
    <w:rsid w:val="00D7365D"/>
    <w:rsid w:val="00D75F94"/>
    <w:rsid w:val="00DA2A97"/>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1858"/>
    <w:rsid w:val="00F05A81"/>
    <w:rsid w:val="00F11B14"/>
    <w:rsid w:val="00F3123B"/>
    <w:rsid w:val="00F5340F"/>
    <w:rsid w:val="00F539A2"/>
    <w:rsid w:val="00F661FE"/>
    <w:rsid w:val="00F66810"/>
    <w:rsid w:val="00F868A9"/>
    <w:rsid w:val="00F944E6"/>
    <w:rsid w:val="00FA774C"/>
    <w:rsid w:val="00FA7AFD"/>
    <w:rsid w:val="00FC6185"/>
    <w:rsid w:val="00FD0CEF"/>
    <w:rsid w:val="00FE6BDE"/>
    <w:rsid w:val="00FF1275"/>
    <w:rsid w:val="00FF194A"/>
    <w:rsid w:val="00FF1E0C"/>
    <w:rsid w:val="01940476"/>
    <w:rsid w:val="01A15B08"/>
    <w:rsid w:val="01AF4254"/>
    <w:rsid w:val="01F50449"/>
    <w:rsid w:val="020866C9"/>
    <w:rsid w:val="02094A42"/>
    <w:rsid w:val="0284056C"/>
    <w:rsid w:val="02AB3D4B"/>
    <w:rsid w:val="031F6792"/>
    <w:rsid w:val="03664EA1"/>
    <w:rsid w:val="04082AD7"/>
    <w:rsid w:val="048A02DF"/>
    <w:rsid w:val="048F7652"/>
    <w:rsid w:val="05334E23"/>
    <w:rsid w:val="055A58A5"/>
    <w:rsid w:val="05777F14"/>
    <w:rsid w:val="05790131"/>
    <w:rsid w:val="05D13100"/>
    <w:rsid w:val="05E53B14"/>
    <w:rsid w:val="06AA3A95"/>
    <w:rsid w:val="06EF7CF0"/>
    <w:rsid w:val="077C4CBC"/>
    <w:rsid w:val="07C67FFF"/>
    <w:rsid w:val="08677D62"/>
    <w:rsid w:val="08C118B6"/>
    <w:rsid w:val="08FC324B"/>
    <w:rsid w:val="09136485"/>
    <w:rsid w:val="0AE41970"/>
    <w:rsid w:val="0BA17C72"/>
    <w:rsid w:val="0C821421"/>
    <w:rsid w:val="0C994360"/>
    <w:rsid w:val="0CB15BB1"/>
    <w:rsid w:val="0D1402F2"/>
    <w:rsid w:val="0D7132B0"/>
    <w:rsid w:val="0D7B4325"/>
    <w:rsid w:val="0E261538"/>
    <w:rsid w:val="0E3B0AA4"/>
    <w:rsid w:val="0E9B0DDB"/>
    <w:rsid w:val="0F5541A7"/>
    <w:rsid w:val="0FAA45B0"/>
    <w:rsid w:val="103E44D3"/>
    <w:rsid w:val="1041184B"/>
    <w:rsid w:val="10837167"/>
    <w:rsid w:val="11195798"/>
    <w:rsid w:val="11C53F90"/>
    <w:rsid w:val="11F94916"/>
    <w:rsid w:val="12082FD7"/>
    <w:rsid w:val="1265181D"/>
    <w:rsid w:val="13165211"/>
    <w:rsid w:val="134F427F"/>
    <w:rsid w:val="1357757B"/>
    <w:rsid w:val="13631AD8"/>
    <w:rsid w:val="1394626A"/>
    <w:rsid w:val="13B81E24"/>
    <w:rsid w:val="13E73007"/>
    <w:rsid w:val="143173CA"/>
    <w:rsid w:val="14C23004"/>
    <w:rsid w:val="15376E13"/>
    <w:rsid w:val="15EB1115"/>
    <w:rsid w:val="16EF70BF"/>
    <w:rsid w:val="172123D6"/>
    <w:rsid w:val="18041C24"/>
    <w:rsid w:val="18AE66DE"/>
    <w:rsid w:val="18CB084B"/>
    <w:rsid w:val="18FE29CF"/>
    <w:rsid w:val="190453A1"/>
    <w:rsid w:val="19632832"/>
    <w:rsid w:val="19B05279"/>
    <w:rsid w:val="19D21F7E"/>
    <w:rsid w:val="1A353970"/>
    <w:rsid w:val="1ACE4623"/>
    <w:rsid w:val="1B0E4A1F"/>
    <w:rsid w:val="1B2A6182"/>
    <w:rsid w:val="1B336F50"/>
    <w:rsid w:val="1B7B3068"/>
    <w:rsid w:val="1BC2228E"/>
    <w:rsid w:val="1BCB2C50"/>
    <w:rsid w:val="1C4A5552"/>
    <w:rsid w:val="1C7D77A6"/>
    <w:rsid w:val="1C9B22E3"/>
    <w:rsid w:val="1DA73FC9"/>
    <w:rsid w:val="1DEF65CF"/>
    <w:rsid w:val="1E9675D8"/>
    <w:rsid w:val="1EBA0E38"/>
    <w:rsid w:val="1F2B6305"/>
    <w:rsid w:val="20D65FDF"/>
    <w:rsid w:val="20D6799C"/>
    <w:rsid w:val="20DD736E"/>
    <w:rsid w:val="20E97AC1"/>
    <w:rsid w:val="21931DA4"/>
    <w:rsid w:val="21F8049E"/>
    <w:rsid w:val="225D0766"/>
    <w:rsid w:val="230A6FF9"/>
    <w:rsid w:val="23571659"/>
    <w:rsid w:val="23B833C4"/>
    <w:rsid w:val="24313F27"/>
    <w:rsid w:val="24B6415E"/>
    <w:rsid w:val="25593628"/>
    <w:rsid w:val="25795E15"/>
    <w:rsid w:val="2580449D"/>
    <w:rsid w:val="25963607"/>
    <w:rsid w:val="25CA7E76"/>
    <w:rsid w:val="25E2097F"/>
    <w:rsid w:val="26461511"/>
    <w:rsid w:val="26571970"/>
    <w:rsid w:val="266B04F3"/>
    <w:rsid w:val="26E77117"/>
    <w:rsid w:val="273E668C"/>
    <w:rsid w:val="27452101"/>
    <w:rsid w:val="27673BD9"/>
    <w:rsid w:val="27845BBD"/>
    <w:rsid w:val="27C52CB5"/>
    <w:rsid w:val="27F35805"/>
    <w:rsid w:val="2805529A"/>
    <w:rsid w:val="284E1359"/>
    <w:rsid w:val="28DC1054"/>
    <w:rsid w:val="29B66D63"/>
    <w:rsid w:val="29C81BEB"/>
    <w:rsid w:val="2A1051CF"/>
    <w:rsid w:val="2AB033FD"/>
    <w:rsid w:val="2C8D1691"/>
    <w:rsid w:val="2C9B25B1"/>
    <w:rsid w:val="2CBD0772"/>
    <w:rsid w:val="2D433E79"/>
    <w:rsid w:val="2D5232F0"/>
    <w:rsid w:val="2D65606C"/>
    <w:rsid w:val="2EB102D0"/>
    <w:rsid w:val="2ED17DCD"/>
    <w:rsid w:val="2EE63891"/>
    <w:rsid w:val="2EFB2475"/>
    <w:rsid w:val="2F1F4980"/>
    <w:rsid w:val="2F3565C7"/>
    <w:rsid w:val="2F492214"/>
    <w:rsid w:val="2F8669B9"/>
    <w:rsid w:val="2FE73D65"/>
    <w:rsid w:val="2FEE50F3"/>
    <w:rsid w:val="2FF1648B"/>
    <w:rsid w:val="3076600E"/>
    <w:rsid w:val="307F7677"/>
    <w:rsid w:val="31176B77"/>
    <w:rsid w:val="33E50EAD"/>
    <w:rsid w:val="341235B3"/>
    <w:rsid w:val="34140770"/>
    <w:rsid w:val="352A6E66"/>
    <w:rsid w:val="35877A81"/>
    <w:rsid w:val="359632B9"/>
    <w:rsid w:val="359A7184"/>
    <w:rsid w:val="35B7640A"/>
    <w:rsid w:val="35BB5A78"/>
    <w:rsid w:val="36080591"/>
    <w:rsid w:val="3744261E"/>
    <w:rsid w:val="3772660A"/>
    <w:rsid w:val="37FE45D5"/>
    <w:rsid w:val="3872122D"/>
    <w:rsid w:val="387555EA"/>
    <w:rsid w:val="3896260D"/>
    <w:rsid w:val="38CF3E86"/>
    <w:rsid w:val="39755785"/>
    <w:rsid w:val="3A1E0383"/>
    <w:rsid w:val="3A60234C"/>
    <w:rsid w:val="3A8C4051"/>
    <w:rsid w:val="3B006970"/>
    <w:rsid w:val="3B5326F5"/>
    <w:rsid w:val="3BCB58D4"/>
    <w:rsid w:val="3C876977"/>
    <w:rsid w:val="3D87364B"/>
    <w:rsid w:val="3E0024E3"/>
    <w:rsid w:val="3E037FB0"/>
    <w:rsid w:val="3E0554C3"/>
    <w:rsid w:val="3E0702BE"/>
    <w:rsid w:val="3E55459C"/>
    <w:rsid w:val="3F183ABD"/>
    <w:rsid w:val="3F2E6742"/>
    <w:rsid w:val="4032153F"/>
    <w:rsid w:val="40396E60"/>
    <w:rsid w:val="404B79F8"/>
    <w:rsid w:val="404E3DFB"/>
    <w:rsid w:val="411B02BD"/>
    <w:rsid w:val="4142108B"/>
    <w:rsid w:val="41B63597"/>
    <w:rsid w:val="41C33B10"/>
    <w:rsid w:val="41D76922"/>
    <w:rsid w:val="42557B5A"/>
    <w:rsid w:val="427B4E0F"/>
    <w:rsid w:val="427E7079"/>
    <w:rsid w:val="42C45082"/>
    <w:rsid w:val="448C0AE7"/>
    <w:rsid w:val="44C30D5C"/>
    <w:rsid w:val="453D4F37"/>
    <w:rsid w:val="459D47D3"/>
    <w:rsid w:val="461012F9"/>
    <w:rsid w:val="468F36CE"/>
    <w:rsid w:val="46FF285D"/>
    <w:rsid w:val="472C4FB8"/>
    <w:rsid w:val="47434C3C"/>
    <w:rsid w:val="477544A9"/>
    <w:rsid w:val="47D77DC3"/>
    <w:rsid w:val="488F2B38"/>
    <w:rsid w:val="4A875AD1"/>
    <w:rsid w:val="4ABE6E0A"/>
    <w:rsid w:val="4AFB3155"/>
    <w:rsid w:val="4AFB3500"/>
    <w:rsid w:val="4C043151"/>
    <w:rsid w:val="4C27138A"/>
    <w:rsid w:val="4CC36B68"/>
    <w:rsid w:val="4CDF4FD7"/>
    <w:rsid w:val="4D2F7C0C"/>
    <w:rsid w:val="4D8959A6"/>
    <w:rsid w:val="4E703810"/>
    <w:rsid w:val="4EA84FF4"/>
    <w:rsid w:val="4F615B6C"/>
    <w:rsid w:val="4F8922EB"/>
    <w:rsid w:val="4FC31F86"/>
    <w:rsid w:val="4FE00F57"/>
    <w:rsid w:val="4FEA69E5"/>
    <w:rsid w:val="50067498"/>
    <w:rsid w:val="503A01F1"/>
    <w:rsid w:val="5166622D"/>
    <w:rsid w:val="51DC4586"/>
    <w:rsid w:val="52922B1F"/>
    <w:rsid w:val="52E74C30"/>
    <w:rsid w:val="534665F2"/>
    <w:rsid w:val="53582700"/>
    <w:rsid w:val="535B5D4C"/>
    <w:rsid w:val="53D00760"/>
    <w:rsid w:val="53DB1BAB"/>
    <w:rsid w:val="53F655BE"/>
    <w:rsid w:val="54C806C5"/>
    <w:rsid w:val="556E620B"/>
    <w:rsid w:val="56151867"/>
    <w:rsid w:val="57016C0B"/>
    <w:rsid w:val="57D909E0"/>
    <w:rsid w:val="58172077"/>
    <w:rsid w:val="58DA4F39"/>
    <w:rsid w:val="59DD74BB"/>
    <w:rsid w:val="59E469A0"/>
    <w:rsid w:val="5A902780"/>
    <w:rsid w:val="5ACD0FBF"/>
    <w:rsid w:val="5B570B4A"/>
    <w:rsid w:val="5BE80287"/>
    <w:rsid w:val="5C01420A"/>
    <w:rsid w:val="5C172F4C"/>
    <w:rsid w:val="5C2B17E4"/>
    <w:rsid w:val="5C2B35EA"/>
    <w:rsid w:val="5CAB212A"/>
    <w:rsid w:val="5CCD4DBA"/>
    <w:rsid w:val="5D4647ED"/>
    <w:rsid w:val="5D51151E"/>
    <w:rsid w:val="5DBA104D"/>
    <w:rsid w:val="5E284F41"/>
    <w:rsid w:val="5FBE0534"/>
    <w:rsid w:val="5FE20012"/>
    <w:rsid w:val="5FF4555F"/>
    <w:rsid w:val="60FB0A31"/>
    <w:rsid w:val="61000E2D"/>
    <w:rsid w:val="6150149C"/>
    <w:rsid w:val="61A26709"/>
    <w:rsid w:val="620339A9"/>
    <w:rsid w:val="620E4996"/>
    <w:rsid w:val="622D342E"/>
    <w:rsid w:val="623936FD"/>
    <w:rsid w:val="6281274A"/>
    <w:rsid w:val="6303194F"/>
    <w:rsid w:val="63465250"/>
    <w:rsid w:val="63483C8F"/>
    <w:rsid w:val="63E15DFA"/>
    <w:rsid w:val="63E27DDC"/>
    <w:rsid w:val="640D6BEF"/>
    <w:rsid w:val="64787384"/>
    <w:rsid w:val="650125BE"/>
    <w:rsid w:val="653B59DE"/>
    <w:rsid w:val="656F61ED"/>
    <w:rsid w:val="65F938CF"/>
    <w:rsid w:val="67E64767"/>
    <w:rsid w:val="681206DC"/>
    <w:rsid w:val="687674CE"/>
    <w:rsid w:val="689C3C7A"/>
    <w:rsid w:val="689E2536"/>
    <w:rsid w:val="68F024D8"/>
    <w:rsid w:val="68F142E6"/>
    <w:rsid w:val="69142D6C"/>
    <w:rsid w:val="692A771C"/>
    <w:rsid w:val="6A8F43E4"/>
    <w:rsid w:val="6A984F03"/>
    <w:rsid w:val="6ADF6879"/>
    <w:rsid w:val="6B08451F"/>
    <w:rsid w:val="6BA77477"/>
    <w:rsid w:val="6BB04F86"/>
    <w:rsid w:val="6BF552E2"/>
    <w:rsid w:val="6C7E02D9"/>
    <w:rsid w:val="6D05497A"/>
    <w:rsid w:val="6D6C2BD8"/>
    <w:rsid w:val="6E3A0F28"/>
    <w:rsid w:val="6E5A5127"/>
    <w:rsid w:val="6EB62D31"/>
    <w:rsid w:val="6F1572A0"/>
    <w:rsid w:val="6F370BF8"/>
    <w:rsid w:val="704F3A4E"/>
    <w:rsid w:val="706C1141"/>
    <w:rsid w:val="70DF36C1"/>
    <w:rsid w:val="70E01B39"/>
    <w:rsid w:val="712C0DAB"/>
    <w:rsid w:val="71FB09CF"/>
    <w:rsid w:val="72BA3B44"/>
    <w:rsid w:val="73383726"/>
    <w:rsid w:val="73923A4E"/>
    <w:rsid w:val="73E906CA"/>
    <w:rsid w:val="740C6421"/>
    <w:rsid w:val="74253AE1"/>
    <w:rsid w:val="74A5063C"/>
    <w:rsid w:val="75241FEA"/>
    <w:rsid w:val="752F59CE"/>
    <w:rsid w:val="756048F2"/>
    <w:rsid w:val="758F5CF3"/>
    <w:rsid w:val="75E5766A"/>
    <w:rsid w:val="76744918"/>
    <w:rsid w:val="76925C59"/>
    <w:rsid w:val="76BE394D"/>
    <w:rsid w:val="76C05D43"/>
    <w:rsid w:val="76CB0355"/>
    <w:rsid w:val="76E30B32"/>
    <w:rsid w:val="7710100F"/>
    <w:rsid w:val="78704491"/>
    <w:rsid w:val="78D9133E"/>
    <w:rsid w:val="797D5EA1"/>
    <w:rsid w:val="79F44681"/>
    <w:rsid w:val="7A1268B5"/>
    <w:rsid w:val="7B2D3BB7"/>
    <w:rsid w:val="7B4231CA"/>
    <w:rsid w:val="7B545202"/>
    <w:rsid w:val="7B842C03"/>
    <w:rsid w:val="7C14555E"/>
    <w:rsid w:val="7C292536"/>
    <w:rsid w:val="7E074257"/>
    <w:rsid w:val="7E514D2D"/>
    <w:rsid w:val="7E753B3C"/>
    <w:rsid w:val="7E891110"/>
    <w:rsid w:val="7E924469"/>
    <w:rsid w:val="7FA51F7A"/>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99"/>
    <w:pPr>
      <w:spacing w:after="120"/>
      <w:ind w:left="1440" w:leftChars="700" w:right="1440" w:rightChars="700"/>
    </w:pPr>
  </w:style>
  <w:style w:type="paragraph" w:styleId="7">
    <w:name w:val="Normal Indent"/>
    <w:basedOn w:val="1"/>
    <w:autoRedefine/>
    <w:qFormat/>
    <w:uiPriority w:val="0"/>
    <w:pPr>
      <w:ind w:firstLine="420"/>
    </w:pPr>
  </w:style>
  <w:style w:type="paragraph" w:styleId="8">
    <w:name w:val="caption"/>
    <w:next w:val="1"/>
    <w:qFormat/>
    <w:uiPriority w:val="0"/>
    <w:pPr>
      <w:widowControl w:val="0"/>
      <w:spacing w:line="520" w:lineRule="exact"/>
      <w:ind w:firstLine="200"/>
      <w:jc w:val="both"/>
    </w:pPr>
    <w:rPr>
      <w:rFonts w:ascii="Arial" w:hAnsi="Arial" w:eastAsia="黑体" w:cs="Times New Roman"/>
      <w:lang w:val="en-US" w:eastAsia="zh-CN" w:bidi="ar-SA"/>
    </w:rPr>
  </w:style>
  <w:style w:type="paragraph" w:styleId="9">
    <w:name w:val="annotation text"/>
    <w:basedOn w:val="1"/>
    <w:autoRedefine/>
    <w:qFormat/>
    <w:uiPriority w:val="0"/>
    <w:pPr>
      <w:jc w:val="left"/>
    </w:pPr>
  </w:style>
  <w:style w:type="paragraph" w:styleId="10">
    <w:name w:val="Body Text"/>
    <w:basedOn w:val="1"/>
    <w:next w:val="1"/>
    <w:qFormat/>
    <w:uiPriority w:val="1"/>
    <w:rPr>
      <w:sz w:val="28"/>
      <w:szCs w:val="28"/>
    </w:rPr>
  </w:style>
  <w:style w:type="paragraph" w:styleId="11">
    <w:name w:val="Body Text Indent"/>
    <w:basedOn w:val="1"/>
    <w:next w:val="12"/>
    <w:autoRedefine/>
    <w:qFormat/>
    <w:uiPriority w:val="0"/>
    <w:pPr>
      <w:ind w:firstLine="645"/>
    </w:pPr>
    <w:rPr>
      <w:rFonts w:ascii="楷体_GB2312" w:eastAsia="楷体_GB2312"/>
      <w:sz w:val="32"/>
      <w:szCs w:val="32"/>
    </w:rPr>
  </w:style>
  <w:style w:type="paragraph" w:styleId="12">
    <w:name w:val="envelope return"/>
    <w:basedOn w:val="1"/>
    <w:autoRedefine/>
    <w:qFormat/>
    <w:uiPriority w:val="0"/>
    <w:pPr>
      <w:snapToGrid w:val="0"/>
    </w:pPr>
    <w:rPr>
      <w:rFonts w:ascii="Arial" w:hAnsi="Arial"/>
    </w:rPr>
  </w:style>
  <w:style w:type="paragraph" w:styleId="13">
    <w:name w:val="index 4"/>
    <w:basedOn w:val="1"/>
    <w:next w:val="1"/>
    <w:autoRedefine/>
    <w:unhideWhenUsed/>
    <w:qFormat/>
    <w:uiPriority w:val="99"/>
    <w:pPr>
      <w:ind w:left="600" w:leftChars="600"/>
    </w:pPr>
    <w:rPr>
      <w:rFonts w:ascii="Verdana" w:hAnsi="Verdana"/>
      <w:szCs w:val="20"/>
    </w:rPr>
  </w:style>
  <w:style w:type="paragraph" w:styleId="14">
    <w:name w:val="Plain Text"/>
    <w:basedOn w:val="1"/>
    <w:qFormat/>
    <w:uiPriority w:val="0"/>
    <w:rPr>
      <w:rFonts w:ascii="宋体" w:hAnsi="Courier New"/>
    </w:rPr>
  </w:style>
  <w:style w:type="paragraph" w:styleId="15">
    <w:name w:val="Date"/>
    <w:basedOn w:val="1"/>
    <w:next w:val="1"/>
    <w:autoRedefine/>
    <w:qFormat/>
    <w:uiPriority w:val="0"/>
    <w:rPr>
      <w:sz w:val="24"/>
      <w:szCs w:val="24"/>
    </w:rPr>
  </w:style>
  <w:style w:type="paragraph" w:styleId="16">
    <w:name w:val="Body Text Indent 2"/>
    <w:basedOn w:val="1"/>
    <w:autoRedefine/>
    <w:qFormat/>
    <w:uiPriority w:val="0"/>
    <w:pPr>
      <w:ind w:firstLine="560" w:firstLineChars="200"/>
    </w:pPr>
    <w:rPr>
      <w:rFonts w:ascii="宋体" w:hAnsi="宋体" w:cs="Times New Roman"/>
      <w:sz w:val="28"/>
    </w:rPr>
  </w:style>
  <w:style w:type="paragraph" w:styleId="17">
    <w:name w:val="Balloon Text"/>
    <w:basedOn w:val="1"/>
    <w:link w:val="156"/>
    <w:autoRedefine/>
    <w:qFormat/>
    <w:uiPriority w:val="0"/>
    <w:rPr>
      <w:sz w:val="18"/>
      <w:szCs w:val="18"/>
    </w:rPr>
  </w:style>
  <w:style w:type="paragraph" w:styleId="18">
    <w:name w:val="footer"/>
    <w:basedOn w:val="1"/>
    <w:link w:val="83"/>
    <w:autoRedefine/>
    <w:qFormat/>
    <w:uiPriority w:val="0"/>
    <w:pPr>
      <w:tabs>
        <w:tab w:val="center" w:pos="4153"/>
        <w:tab w:val="right" w:pos="8306"/>
      </w:tabs>
      <w:snapToGrid w:val="0"/>
      <w:jc w:val="left"/>
    </w:pPr>
    <w:rPr>
      <w:sz w:val="18"/>
      <w:szCs w:val="18"/>
    </w:rPr>
  </w:style>
  <w:style w:type="paragraph" w:styleId="19">
    <w:name w:val="header"/>
    <w:basedOn w:val="1"/>
    <w:link w:val="84"/>
    <w:autoRedefine/>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autoRedefine/>
    <w:qFormat/>
    <w:uiPriority w:val="0"/>
    <w:pPr>
      <w:ind w:left="200" w:hanging="200" w:hangingChars="200"/>
    </w:pPr>
  </w:style>
  <w:style w:type="paragraph" w:styleId="21">
    <w:name w:val="toc 6"/>
    <w:basedOn w:val="1"/>
    <w:next w:val="1"/>
    <w:qFormat/>
    <w:uiPriority w:val="39"/>
    <w:pPr>
      <w:ind w:left="1050"/>
      <w:jc w:val="left"/>
    </w:pPr>
  </w:style>
  <w:style w:type="paragraph" w:styleId="22">
    <w:name w:val="Body Text Indent 3"/>
    <w:basedOn w:val="1"/>
    <w:autoRedefine/>
    <w:qFormat/>
    <w:uiPriority w:val="0"/>
    <w:pPr>
      <w:spacing w:after="120"/>
      <w:ind w:left="420" w:leftChars="200"/>
    </w:pPr>
    <w:rPr>
      <w:sz w:val="16"/>
    </w:rPr>
  </w:style>
  <w:style w:type="paragraph" w:styleId="23">
    <w:name w:val="toc 2"/>
    <w:basedOn w:val="1"/>
    <w:next w:val="1"/>
    <w:autoRedefine/>
    <w:qFormat/>
    <w:uiPriority w:val="0"/>
    <w:pPr>
      <w:ind w:left="210"/>
      <w:jc w:val="left"/>
    </w:pPr>
    <w:rPr>
      <w:smallCaps/>
      <w:sz w:val="20"/>
      <w:szCs w:val="20"/>
    </w:rPr>
  </w:style>
  <w:style w:type="paragraph" w:styleId="24">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5">
    <w:name w:val="Body Text First Indent"/>
    <w:basedOn w:val="1"/>
    <w:next w:val="21"/>
    <w:autoRedefine/>
    <w:qFormat/>
    <w:uiPriority w:val="99"/>
    <w:pPr>
      <w:ind w:firstLine="420" w:firstLineChars="100"/>
    </w:pPr>
  </w:style>
  <w:style w:type="paragraph" w:styleId="26">
    <w:name w:val="Body Text First Indent 2"/>
    <w:basedOn w:val="11"/>
    <w:autoRedefine/>
    <w:qFormat/>
    <w:uiPriority w:val="0"/>
    <w:pPr>
      <w:spacing w:line="360" w:lineRule="auto"/>
      <w:ind w:firstLine="420" w:firstLineChars="200"/>
    </w:pPr>
    <w:rPr>
      <w:rFonts w:ascii="宋体" w:hAnsi="宋体" w:eastAsia="宋体"/>
      <w:sz w:val="21"/>
      <w:szCs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rFonts w:cs="Times New Roman"/>
      <w:b/>
      <w:bCs/>
    </w:rPr>
  </w:style>
  <w:style w:type="character" w:styleId="31">
    <w:name w:val="page number"/>
    <w:basedOn w:val="29"/>
    <w:autoRedefine/>
    <w:qFormat/>
    <w:uiPriority w:val="0"/>
  </w:style>
  <w:style w:type="character" w:styleId="32">
    <w:name w:val="FollowedHyperlink"/>
    <w:autoRedefine/>
    <w:qFormat/>
    <w:uiPriority w:val="0"/>
    <w:rPr>
      <w:color w:val="800080"/>
    </w:rPr>
  </w:style>
  <w:style w:type="character" w:styleId="33">
    <w:name w:val="Emphasis"/>
    <w:autoRedefine/>
    <w:qFormat/>
    <w:uiPriority w:val="0"/>
  </w:style>
  <w:style w:type="character" w:styleId="34">
    <w:name w:val="Hyperlink"/>
    <w:autoRedefine/>
    <w:qFormat/>
    <w:uiPriority w:val="0"/>
    <w:rPr>
      <w:color w:val="0000FF"/>
    </w:rPr>
  </w:style>
  <w:style w:type="character" w:styleId="35">
    <w:name w:val="annotation reference"/>
    <w:basedOn w:val="29"/>
    <w:autoRedefine/>
    <w:qFormat/>
    <w:uiPriority w:val="0"/>
    <w:rPr>
      <w:sz w:val="21"/>
      <w:szCs w:val="21"/>
    </w:rPr>
  </w:style>
  <w:style w:type="paragraph" w:customStyle="1" w:styleId="36">
    <w:name w:val="标题 411"/>
    <w:basedOn w:val="1"/>
    <w:next w:val="1"/>
    <w:autoRedefine/>
    <w:qFormat/>
    <w:uiPriority w:val="99"/>
    <w:pPr>
      <w:keepNext/>
      <w:keepLines/>
      <w:spacing w:before="280" w:after="290" w:line="372" w:lineRule="auto"/>
      <w:outlineLvl w:val="3"/>
    </w:pPr>
    <w:rPr>
      <w:rFonts w:ascii="Arial" w:hAnsi="Arial" w:eastAsia="黑体"/>
      <w:b/>
      <w:sz w:val="28"/>
      <w:szCs w:val="20"/>
    </w:rPr>
  </w:style>
  <w:style w:type="paragraph" w:customStyle="1" w:styleId="3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BlockQuote"/>
    <w:basedOn w:val="1"/>
    <w:autoRedefine/>
    <w:qFormat/>
    <w:uiPriority w:val="0"/>
    <w:pPr>
      <w:spacing w:after="120"/>
      <w:ind w:left="1440" w:leftChars="700" w:right="1440" w:rightChars="700"/>
    </w:pPr>
  </w:style>
  <w:style w:type="paragraph" w:customStyle="1" w:styleId="40">
    <w:name w:val="一级条标题"/>
    <w:basedOn w:val="41"/>
    <w:next w:val="42"/>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1">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2">
    <w:name w:val="段"/>
    <w:next w:val="43"/>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3">
    <w:name w:val="正文 A"/>
    <w:next w:val="42"/>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4">
    <w:name w:val="Heading1"/>
    <w:basedOn w:val="1"/>
    <w:next w:val="1"/>
    <w:link w:val="72"/>
    <w:autoRedefine/>
    <w:qFormat/>
    <w:uiPriority w:val="0"/>
    <w:pPr>
      <w:keepNext/>
      <w:jc w:val="center"/>
    </w:pPr>
    <w:rPr>
      <w:rFonts w:ascii="楷体_GB2312" w:eastAsia="楷体_GB2312"/>
      <w:sz w:val="28"/>
      <w:szCs w:val="28"/>
    </w:rPr>
  </w:style>
  <w:style w:type="paragraph" w:customStyle="1" w:styleId="45">
    <w:name w:val="Heading2"/>
    <w:basedOn w:val="1"/>
    <w:next w:val="46"/>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6">
    <w:name w:val="NormalIndent"/>
    <w:basedOn w:val="1"/>
    <w:link w:val="74"/>
    <w:autoRedefine/>
    <w:qFormat/>
    <w:uiPriority w:val="0"/>
    <w:pPr>
      <w:ind w:firstLine="420"/>
    </w:pPr>
  </w:style>
  <w:style w:type="paragraph" w:customStyle="1" w:styleId="47">
    <w:name w:val="Heading3"/>
    <w:basedOn w:val="1"/>
    <w:next w:val="46"/>
    <w:link w:val="75"/>
    <w:autoRedefine/>
    <w:qFormat/>
    <w:uiPriority w:val="0"/>
    <w:pPr>
      <w:keepNext/>
      <w:keepLines/>
      <w:spacing w:before="260" w:after="260" w:line="416" w:lineRule="auto"/>
    </w:pPr>
    <w:rPr>
      <w:rFonts w:cs="Times New Roman"/>
      <w:b/>
      <w:bCs/>
      <w:sz w:val="32"/>
      <w:szCs w:val="32"/>
    </w:rPr>
  </w:style>
  <w:style w:type="paragraph" w:customStyle="1" w:styleId="48">
    <w:name w:val="Heading4"/>
    <w:basedOn w:val="1"/>
    <w:next w:val="46"/>
    <w:link w:val="76"/>
    <w:autoRedefine/>
    <w:qFormat/>
    <w:uiPriority w:val="0"/>
    <w:pPr>
      <w:keepNext/>
      <w:keepLines/>
      <w:spacing w:before="280" w:after="290" w:line="376" w:lineRule="auto"/>
    </w:pPr>
    <w:rPr>
      <w:rFonts w:ascii="Cambria" w:hAnsi="Cambria"/>
      <w:b/>
      <w:sz w:val="28"/>
      <w:szCs w:val="28"/>
    </w:rPr>
  </w:style>
  <w:style w:type="paragraph" w:customStyle="1" w:styleId="49">
    <w:name w:val="Heading5"/>
    <w:basedOn w:val="1"/>
    <w:next w:val="1"/>
    <w:autoRedefine/>
    <w:qFormat/>
    <w:uiPriority w:val="0"/>
    <w:pPr>
      <w:keepNext/>
    </w:pPr>
    <w:rPr>
      <w:rFonts w:ascii="宋体"/>
      <w:color w:val="000000"/>
      <w:kern w:val="0"/>
      <w:sz w:val="28"/>
      <w:szCs w:val="28"/>
    </w:rPr>
  </w:style>
  <w:style w:type="paragraph" w:customStyle="1" w:styleId="50">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51">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52">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3">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4">
    <w:name w:val="NormalCharacter"/>
    <w:autoRedefine/>
    <w:semiHidden/>
    <w:qFormat/>
    <w:uiPriority w:val="0"/>
  </w:style>
  <w:style w:type="table" w:customStyle="1" w:styleId="55">
    <w:name w:val="TableNormal"/>
    <w:autoRedefine/>
    <w:semiHidden/>
    <w:qFormat/>
    <w:uiPriority w:val="0"/>
    <w:tblPr>
      <w:tblCellMar>
        <w:top w:w="0" w:type="dxa"/>
        <w:left w:w="0" w:type="dxa"/>
        <w:bottom w:w="0" w:type="dxa"/>
        <w:right w:w="0" w:type="dxa"/>
      </w:tblCellMar>
    </w:tblPr>
  </w:style>
  <w:style w:type="character" w:customStyle="1" w:styleId="56">
    <w:name w:val="htmlSamp"/>
    <w:autoRedefine/>
    <w:qFormat/>
    <w:uiPriority w:val="0"/>
    <w:rPr>
      <w:rFonts w:ascii="monospace" w:hAnsi="monospace" w:eastAsia="monospace"/>
    </w:rPr>
  </w:style>
  <w:style w:type="character" w:customStyle="1" w:styleId="57">
    <w:name w:val="PageNumber"/>
    <w:basedOn w:val="54"/>
    <w:autoRedefine/>
    <w:qFormat/>
    <w:uiPriority w:val="0"/>
  </w:style>
  <w:style w:type="character" w:customStyle="1" w:styleId="58">
    <w:name w:val="HtmlVar"/>
    <w:autoRedefine/>
    <w:qFormat/>
    <w:uiPriority w:val="0"/>
  </w:style>
  <w:style w:type="character" w:customStyle="1" w:styleId="59">
    <w:name w:val="HtmlKbd"/>
    <w:autoRedefine/>
    <w:qFormat/>
    <w:uiPriority w:val="0"/>
    <w:rPr>
      <w:rFonts w:ascii="monospace" w:hAnsi="monospace" w:eastAsia="monospace"/>
      <w:sz w:val="20"/>
    </w:rPr>
  </w:style>
  <w:style w:type="character" w:customStyle="1" w:styleId="60">
    <w:name w:val="HtmlDfn"/>
    <w:autoRedefine/>
    <w:qFormat/>
    <w:uiPriority w:val="0"/>
  </w:style>
  <w:style w:type="character" w:customStyle="1" w:styleId="61">
    <w:name w:val="HtmlCite"/>
    <w:autoRedefine/>
    <w:qFormat/>
    <w:uiPriority w:val="0"/>
  </w:style>
  <w:style w:type="character" w:customStyle="1" w:styleId="62">
    <w:name w:val="HtmlAcronym"/>
    <w:basedOn w:val="54"/>
    <w:autoRedefine/>
    <w:qFormat/>
    <w:uiPriority w:val="0"/>
  </w:style>
  <w:style w:type="character" w:customStyle="1" w:styleId="63">
    <w:name w:val="HtmlTt"/>
    <w:autoRedefine/>
    <w:qFormat/>
    <w:uiPriority w:val="0"/>
    <w:rPr>
      <w:rFonts w:ascii="monospace" w:hAnsi="monospace" w:eastAsia="monospace"/>
      <w:sz w:val="20"/>
    </w:rPr>
  </w:style>
  <w:style w:type="character" w:customStyle="1" w:styleId="64">
    <w:name w:val="AnnotationReference"/>
    <w:autoRedefine/>
    <w:semiHidden/>
    <w:qFormat/>
    <w:uiPriority w:val="0"/>
    <w:rPr>
      <w:sz w:val="21"/>
      <w:szCs w:val="21"/>
    </w:rPr>
  </w:style>
  <w:style w:type="character" w:customStyle="1" w:styleId="65">
    <w:name w:val="HtmlCode"/>
    <w:autoRedefine/>
    <w:qFormat/>
    <w:uiPriority w:val="0"/>
    <w:rPr>
      <w:rFonts w:ascii="monospace" w:hAnsi="monospace" w:eastAsia="monospace"/>
      <w:sz w:val="20"/>
    </w:rPr>
  </w:style>
  <w:style w:type="character" w:customStyle="1" w:styleId="66">
    <w:name w:val="UserStyle_0"/>
    <w:link w:val="67"/>
    <w:autoRedefine/>
    <w:qFormat/>
    <w:locked/>
    <w:uiPriority w:val="0"/>
    <w:rPr>
      <w:rFonts w:ascii="Calibri" w:hAnsi="Calibri"/>
      <w:sz w:val="24"/>
      <w:szCs w:val="24"/>
      <w:lang w:eastAsia="en-US" w:bidi="en-US"/>
    </w:rPr>
  </w:style>
  <w:style w:type="paragraph" w:customStyle="1" w:styleId="67">
    <w:name w:val="UserStyle_1"/>
    <w:basedOn w:val="1"/>
    <w:link w:val="66"/>
    <w:autoRedefine/>
    <w:qFormat/>
    <w:uiPriority w:val="0"/>
    <w:pPr>
      <w:ind w:left="720"/>
      <w:contextualSpacing/>
      <w:jc w:val="left"/>
    </w:pPr>
    <w:rPr>
      <w:kern w:val="0"/>
      <w:sz w:val="24"/>
      <w:szCs w:val="24"/>
      <w:lang w:eastAsia="en-US" w:bidi="en-US"/>
    </w:rPr>
  </w:style>
  <w:style w:type="character" w:customStyle="1" w:styleId="68">
    <w:name w:val="UserStyle_2"/>
    <w:basedOn w:val="54"/>
    <w:autoRedefine/>
    <w:qFormat/>
    <w:uiPriority w:val="0"/>
  </w:style>
  <w:style w:type="character" w:customStyle="1" w:styleId="69">
    <w:name w:val="UserStyle_3"/>
    <w:basedOn w:val="54"/>
    <w:autoRedefine/>
    <w:qFormat/>
    <w:uiPriority w:val="0"/>
  </w:style>
  <w:style w:type="character" w:customStyle="1" w:styleId="70">
    <w:name w:val="UserStyle_4"/>
    <w:link w:val="71"/>
    <w:autoRedefine/>
    <w:qFormat/>
    <w:uiPriority w:val="0"/>
    <w:rPr>
      <w:rFonts w:eastAsia="宋体"/>
      <w:kern w:val="2"/>
      <w:sz w:val="21"/>
      <w:szCs w:val="21"/>
      <w:lang w:val="en-US" w:eastAsia="zh-CN" w:bidi="ar-SA"/>
    </w:rPr>
  </w:style>
  <w:style w:type="paragraph" w:customStyle="1" w:styleId="71">
    <w:name w:val="NavPane"/>
    <w:basedOn w:val="1"/>
    <w:link w:val="70"/>
    <w:autoRedefine/>
    <w:semiHidden/>
    <w:qFormat/>
    <w:uiPriority w:val="0"/>
    <w:pPr>
      <w:shd w:val="clear" w:color="auto" w:fill="000080"/>
    </w:pPr>
  </w:style>
  <w:style w:type="character" w:customStyle="1" w:styleId="72">
    <w:name w:val="UserStyle_5"/>
    <w:link w:val="44"/>
    <w:autoRedefine/>
    <w:qFormat/>
    <w:uiPriority w:val="0"/>
    <w:rPr>
      <w:rFonts w:ascii="楷体_GB2312" w:eastAsia="楷体_GB2312"/>
      <w:kern w:val="2"/>
      <w:sz w:val="28"/>
      <w:szCs w:val="28"/>
    </w:rPr>
  </w:style>
  <w:style w:type="character" w:customStyle="1" w:styleId="73">
    <w:name w:val="UserStyle_6"/>
    <w:autoRedefine/>
    <w:qFormat/>
    <w:uiPriority w:val="0"/>
    <w:rPr>
      <w:color w:val="999999"/>
    </w:rPr>
  </w:style>
  <w:style w:type="character" w:customStyle="1" w:styleId="74">
    <w:name w:val="UserStyle_7"/>
    <w:link w:val="46"/>
    <w:autoRedefine/>
    <w:qFormat/>
    <w:uiPriority w:val="0"/>
    <w:rPr>
      <w:kern w:val="2"/>
      <w:sz w:val="21"/>
      <w:szCs w:val="21"/>
    </w:rPr>
  </w:style>
  <w:style w:type="character" w:customStyle="1" w:styleId="75">
    <w:name w:val="UserStyle_8"/>
    <w:link w:val="47"/>
    <w:autoRedefine/>
    <w:qFormat/>
    <w:uiPriority w:val="0"/>
    <w:rPr>
      <w:rFonts w:eastAsia="宋体" w:cs="Times New Roman"/>
      <w:b/>
      <w:bCs/>
      <w:kern w:val="2"/>
      <w:sz w:val="32"/>
      <w:szCs w:val="32"/>
      <w:lang w:val="en-US" w:eastAsia="zh-CN" w:bidi="ar-SA"/>
    </w:rPr>
  </w:style>
  <w:style w:type="character" w:customStyle="1" w:styleId="76">
    <w:name w:val="UserStyle_9"/>
    <w:link w:val="48"/>
    <w:autoRedefine/>
    <w:qFormat/>
    <w:uiPriority w:val="0"/>
    <w:rPr>
      <w:rFonts w:ascii="Cambria" w:hAnsi="Cambria" w:eastAsia="宋体"/>
      <w:b/>
      <w:kern w:val="2"/>
      <w:sz w:val="28"/>
      <w:szCs w:val="28"/>
    </w:rPr>
  </w:style>
  <w:style w:type="character" w:customStyle="1" w:styleId="77">
    <w:name w:val="UserStyle_10"/>
    <w:link w:val="78"/>
    <w:autoRedefine/>
    <w:semiHidden/>
    <w:qFormat/>
    <w:uiPriority w:val="0"/>
    <w:rPr>
      <w:kern w:val="2"/>
      <w:sz w:val="21"/>
      <w:szCs w:val="21"/>
    </w:rPr>
  </w:style>
  <w:style w:type="paragraph" w:customStyle="1" w:styleId="78">
    <w:name w:val="AnnotationText"/>
    <w:basedOn w:val="1"/>
    <w:link w:val="77"/>
    <w:autoRedefine/>
    <w:semiHidden/>
    <w:qFormat/>
    <w:uiPriority w:val="0"/>
    <w:pPr>
      <w:jc w:val="left"/>
    </w:pPr>
  </w:style>
  <w:style w:type="character" w:customStyle="1" w:styleId="79">
    <w:name w:val="UserStyle_11"/>
    <w:link w:val="80"/>
    <w:autoRedefine/>
    <w:qFormat/>
    <w:uiPriority w:val="0"/>
    <w:rPr>
      <w:rFonts w:ascii="宋体" w:hAnsi="Courier New"/>
      <w:kern w:val="2"/>
      <w:sz w:val="21"/>
      <w:szCs w:val="21"/>
    </w:rPr>
  </w:style>
  <w:style w:type="paragraph" w:customStyle="1" w:styleId="80">
    <w:name w:val="PlainText"/>
    <w:basedOn w:val="1"/>
    <w:link w:val="79"/>
    <w:autoRedefine/>
    <w:qFormat/>
    <w:uiPriority w:val="0"/>
    <w:rPr>
      <w:rFonts w:ascii="宋体" w:hAnsi="Courier New"/>
    </w:rPr>
  </w:style>
  <w:style w:type="character" w:customStyle="1" w:styleId="81">
    <w:name w:val="UserStyle_12"/>
    <w:link w:val="82"/>
    <w:autoRedefine/>
    <w:semiHidden/>
    <w:qFormat/>
    <w:uiPriority w:val="0"/>
    <w:rPr>
      <w:kern w:val="2"/>
      <w:sz w:val="18"/>
      <w:szCs w:val="18"/>
    </w:rPr>
  </w:style>
  <w:style w:type="paragraph" w:customStyle="1" w:styleId="82">
    <w:name w:val="Acetate"/>
    <w:basedOn w:val="1"/>
    <w:link w:val="81"/>
    <w:autoRedefine/>
    <w:semiHidden/>
    <w:qFormat/>
    <w:uiPriority w:val="0"/>
    <w:rPr>
      <w:sz w:val="18"/>
      <w:szCs w:val="18"/>
    </w:rPr>
  </w:style>
  <w:style w:type="character" w:customStyle="1" w:styleId="83">
    <w:name w:val="页脚 Char"/>
    <w:link w:val="18"/>
    <w:autoRedefine/>
    <w:qFormat/>
    <w:uiPriority w:val="0"/>
    <w:rPr>
      <w:kern w:val="2"/>
      <w:sz w:val="18"/>
      <w:szCs w:val="18"/>
    </w:rPr>
  </w:style>
  <w:style w:type="character" w:customStyle="1" w:styleId="84">
    <w:name w:val="页眉 Char"/>
    <w:link w:val="19"/>
    <w:autoRedefine/>
    <w:qFormat/>
    <w:uiPriority w:val="0"/>
    <w:rPr>
      <w:kern w:val="2"/>
      <w:sz w:val="18"/>
      <w:szCs w:val="18"/>
    </w:rPr>
  </w:style>
  <w:style w:type="character" w:customStyle="1" w:styleId="85">
    <w:name w:val="UserStyle_15"/>
    <w:autoRedefine/>
    <w:qFormat/>
    <w:uiPriority w:val="0"/>
    <w:rPr>
      <w:rFonts w:ascii="宋体" w:hAnsi="宋体" w:eastAsia="宋体"/>
      <w:sz w:val="28"/>
      <w:szCs w:val="28"/>
      <w:lang w:val="en-US" w:eastAsia="zh-CN" w:bidi="ar-SA"/>
    </w:rPr>
  </w:style>
  <w:style w:type="character" w:customStyle="1" w:styleId="86">
    <w:name w:val="UserStyle_16"/>
    <w:basedOn w:val="54"/>
    <w:autoRedefine/>
    <w:qFormat/>
    <w:uiPriority w:val="0"/>
    <w:rPr>
      <w:rFonts w:ascii="宋体" w:hAnsi="宋体" w:eastAsia="宋体"/>
      <w:color w:val="000000"/>
      <w:sz w:val="22"/>
      <w:szCs w:val="22"/>
    </w:rPr>
  </w:style>
  <w:style w:type="character" w:customStyle="1" w:styleId="87">
    <w:name w:val="UserStyle_17"/>
    <w:autoRedefine/>
    <w:qFormat/>
    <w:uiPriority w:val="0"/>
    <w:rPr>
      <w:shd w:val="clear" w:color="auto" w:fill="EEEEEE"/>
    </w:rPr>
  </w:style>
  <w:style w:type="character" w:customStyle="1" w:styleId="88">
    <w:name w:val="UserStyle_18"/>
    <w:link w:val="89"/>
    <w:autoRedefine/>
    <w:qFormat/>
    <w:uiPriority w:val="0"/>
    <w:rPr>
      <w:rFonts w:ascii="Tahoma" w:hAnsi="Tahoma" w:eastAsia="宋体"/>
      <w:kern w:val="2"/>
      <w:sz w:val="24"/>
      <w:szCs w:val="24"/>
      <w:lang w:val="en-US" w:eastAsia="zh-CN" w:bidi="ar-SA"/>
    </w:rPr>
  </w:style>
  <w:style w:type="paragraph" w:customStyle="1" w:styleId="89">
    <w:name w:val="UserStyle_19"/>
    <w:basedOn w:val="71"/>
    <w:link w:val="88"/>
    <w:autoRedefine/>
    <w:qFormat/>
    <w:uiPriority w:val="0"/>
    <w:pPr>
      <w:snapToGrid w:val="0"/>
      <w:spacing w:line="360" w:lineRule="auto"/>
    </w:pPr>
    <w:rPr>
      <w:rFonts w:ascii="Tahoma" w:hAnsi="Tahoma"/>
      <w:sz w:val="24"/>
      <w:szCs w:val="24"/>
    </w:rPr>
  </w:style>
  <w:style w:type="character" w:customStyle="1" w:styleId="90">
    <w:name w:val="UserStyle_20"/>
    <w:autoRedefine/>
    <w:qFormat/>
    <w:uiPriority w:val="0"/>
    <w:rPr>
      <w:rFonts w:eastAsia="宋体"/>
      <w:b/>
      <w:spacing w:val="-2"/>
      <w:sz w:val="24"/>
      <w:lang w:val="en-US" w:eastAsia="zh-CN" w:bidi="ar-SA"/>
    </w:rPr>
  </w:style>
  <w:style w:type="character" w:customStyle="1" w:styleId="91">
    <w:name w:val="UserStyle_21"/>
    <w:link w:val="92"/>
    <w:autoRedefine/>
    <w:qFormat/>
    <w:uiPriority w:val="0"/>
    <w:rPr>
      <w:b/>
      <w:kern w:val="2"/>
      <w:sz w:val="30"/>
      <w:szCs w:val="28"/>
      <w:lang w:val="en-US" w:eastAsia="zh-CN" w:bidi="ar-SA"/>
    </w:rPr>
  </w:style>
  <w:style w:type="paragraph" w:customStyle="1" w:styleId="92">
    <w:name w:val="UserStyle_22"/>
    <w:next w:val="1"/>
    <w:link w:val="91"/>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3">
    <w:name w:val="UserStyle_23"/>
    <w:basedOn w:val="54"/>
    <w:autoRedefine/>
    <w:qFormat/>
    <w:uiPriority w:val="0"/>
  </w:style>
  <w:style w:type="paragraph" w:customStyle="1" w:styleId="94">
    <w:name w:val="TOC4"/>
    <w:basedOn w:val="1"/>
    <w:next w:val="1"/>
    <w:autoRedefine/>
    <w:semiHidden/>
    <w:qFormat/>
    <w:uiPriority w:val="0"/>
    <w:pPr>
      <w:ind w:left="630"/>
      <w:jc w:val="left"/>
    </w:pPr>
  </w:style>
  <w:style w:type="paragraph" w:customStyle="1" w:styleId="95">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6">
    <w:name w:val="BodyTextIndent2"/>
    <w:basedOn w:val="1"/>
    <w:autoRedefine/>
    <w:qFormat/>
    <w:uiPriority w:val="0"/>
    <w:pPr>
      <w:ind w:left="630" w:firstLine="645"/>
    </w:pPr>
    <w:rPr>
      <w:rFonts w:ascii="Arial" w:hAnsi="Arial" w:eastAsia="仿宋_GB2312"/>
      <w:sz w:val="32"/>
      <w:szCs w:val="32"/>
    </w:rPr>
  </w:style>
  <w:style w:type="paragraph" w:customStyle="1" w:styleId="9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8">
    <w:name w:val="EnvelopeReturn"/>
    <w:basedOn w:val="1"/>
    <w:autoRedefine/>
    <w:qFormat/>
    <w:uiPriority w:val="0"/>
    <w:pPr>
      <w:snapToGrid w:val="0"/>
    </w:pPr>
    <w:rPr>
      <w:rFonts w:ascii="Arial" w:hAnsi="Arial"/>
    </w:rPr>
  </w:style>
  <w:style w:type="paragraph" w:customStyle="1" w:styleId="99">
    <w:name w:val="BodyTextIndent"/>
    <w:basedOn w:val="1"/>
    <w:next w:val="98"/>
    <w:autoRedefine/>
    <w:qFormat/>
    <w:uiPriority w:val="0"/>
    <w:pPr>
      <w:ind w:firstLine="645"/>
    </w:pPr>
    <w:rPr>
      <w:rFonts w:ascii="楷体_GB2312" w:eastAsia="楷体_GB2312"/>
      <w:sz w:val="32"/>
      <w:szCs w:val="32"/>
    </w:rPr>
  </w:style>
  <w:style w:type="paragraph" w:customStyle="1" w:styleId="100">
    <w:name w:val="BodyText3"/>
    <w:basedOn w:val="1"/>
    <w:autoRedefine/>
    <w:qFormat/>
    <w:uiPriority w:val="0"/>
    <w:rPr>
      <w:rFonts w:ascii="仿宋_GB2312" w:hAnsi="Arial" w:eastAsia="仿宋_GB2312"/>
      <w:sz w:val="32"/>
      <w:szCs w:val="32"/>
    </w:rPr>
  </w:style>
  <w:style w:type="paragraph" w:customStyle="1" w:styleId="101">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102">
    <w:name w:val="List2"/>
    <w:basedOn w:val="1"/>
    <w:autoRedefine/>
    <w:qFormat/>
    <w:uiPriority w:val="0"/>
    <w:pPr>
      <w:ind w:left="100" w:leftChars="200" w:hanging="200" w:hangingChars="200"/>
    </w:pPr>
  </w:style>
  <w:style w:type="paragraph" w:customStyle="1" w:styleId="103">
    <w:name w:val="List3"/>
    <w:basedOn w:val="1"/>
    <w:autoRedefine/>
    <w:qFormat/>
    <w:uiPriority w:val="0"/>
    <w:pPr>
      <w:ind w:left="100" w:leftChars="400" w:hanging="200" w:hangingChars="200"/>
    </w:pPr>
  </w:style>
  <w:style w:type="paragraph" w:customStyle="1" w:styleId="104">
    <w:name w:val="Index1"/>
    <w:basedOn w:val="1"/>
    <w:next w:val="1"/>
    <w:autoRedefine/>
    <w:semiHidden/>
    <w:qFormat/>
    <w:uiPriority w:val="0"/>
    <w:pPr>
      <w:spacing w:line="240" w:lineRule="atLeast"/>
    </w:pPr>
    <w:rPr>
      <w:rFonts w:cs="Times New Roman"/>
      <w:b/>
      <w:bCs/>
    </w:rPr>
  </w:style>
  <w:style w:type="paragraph" w:customStyle="1" w:styleId="105">
    <w:name w:val="BodyText2"/>
    <w:basedOn w:val="1"/>
    <w:autoRedefine/>
    <w:qFormat/>
    <w:uiPriority w:val="0"/>
    <w:pPr>
      <w:jc w:val="center"/>
    </w:pPr>
    <w:rPr>
      <w:rFonts w:ascii="楷体_GB2312" w:eastAsia="楷体_GB2312"/>
      <w:sz w:val="28"/>
      <w:szCs w:val="28"/>
    </w:rPr>
  </w:style>
  <w:style w:type="paragraph" w:customStyle="1" w:styleId="106">
    <w:name w:val="ToCaption"/>
    <w:basedOn w:val="1"/>
    <w:next w:val="1"/>
    <w:autoRedefine/>
    <w:semiHidden/>
    <w:qFormat/>
    <w:uiPriority w:val="0"/>
    <w:pPr>
      <w:ind w:left="840" w:hanging="420"/>
    </w:pPr>
  </w:style>
  <w:style w:type="paragraph" w:customStyle="1" w:styleId="107">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8">
    <w:name w:val="TOC6"/>
    <w:basedOn w:val="1"/>
    <w:next w:val="1"/>
    <w:autoRedefine/>
    <w:semiHidden/>
    <w:qFormat/>
    <w:uiPriority w:val="0"/>
    <w:pPr>
      <w:ind w:left="1050"/>
      <w:jc w:val="left"/>
    </w:pPr>
  </w:style>
  <w:style w:type="paragraph" w:customStyle="1" w:styleId="109">
    <w:name w:val="BodyText1I2"/>
    <w:basedOn w:val="99"/>
    <w:autoRedefine/>
    <w:qFormat/>
    <w:uiPriority w:val="0"/>
    <w:pPr>
      <w:spacing w:line="360" w:lineRule="auto"/>
      <w:ind w:firstLine="420" w:firstLineChars="200"/>
    </w:pPr>
    <w:rPr>
      <w:rFonts w:ascii="宋体" w:hAnsi="宋体" w:eastAsia="宋体"/>
      <w:sz w:val="21"/>
      <w:szCs w:val="20"/>
    </w:rPr>
  </w:style>
  <w:style w:type="paragraph" w:customStyle="1" w:styleId="110">
    <w:name w:val="AnnotationSubject"/>
    <w:basedOn w:val="78"/>
    <w:next w:val="78"/>
    <w:autoRedefine/>
    <w:semiHidden/>
    <w:qFormat/>
    <w:uiPriority w:val="0"/>
    <w:rPr>
      <w:rFonts w:cs="Times New Roman"/>
      <w:b/>
      <w:bCs/>
    </w:rPr>
  </w:style>
  <w:style w:type="paragraph" w:customStyle="1" w:styleId="111">
    <w:name w:val="TOC2"/>
    <w:basedOn w:val="1"/>
    <w:next w:val="1"/>
    <w:autoRedefine/>
    <w:semiHidden/>
    <w:qFormat/>
    <w:uiPriority w:val="0"/>
    <w:pPr>
      <w:ind w:left="210"/>
      <w:jc w:val="left"/>
    </w:pPr>
    <w:rPr>
      <w:smallCaps/>
      <w:szCs w:val="24"/>
    </w:rPr>
  </w:style>
  <w:style w:type="paragraph" w:customStyle="1" w:styleId="112">
    <w:name w:val="TOC8"/>
    <w:basedOn w:val="1"/>
    <w:next w:val="1"/>
    <w:autoRedefine/>
    <w:semiHidden/>
    <w:qFormat/>
    <w:uiPriority w:val="0"/>
    <w:pPr>
      <w:ind w:left="1470"/>
      <w:jc w:val="left"/>
    </w:pPr>
  </w:style>
  <w:style w:type="paragraph" w:customStyle="1" w:styleId="113">
    <w:name w:val="TOC7"/>
    <w:basedOn w:val="1"/>
    <w:next w:val="1"/>
    <w:autoRedefine/>
    <w:semiHidden/>
    <w:qFormat/>
    <w:uiPriority w:val="0"/>
    <w:pPr>
      <w:ind w:left="1260"/>
      <w:jc w:val="left"/>
    </w:pPr>
  </w:style>
  <w:style w:type="paragraph" w:customStyle="1" w:styleId="114">
    <w:name w:val="BodyText"/>
    <w:basedOn w:val="1"/>
    <w:autoRedefine/>
    <w:qFormat/>
    <w:uiPriority w:val="0"/>
    <w:rPr>
      <w:rFonts w:ascii="楷体_GB2312" w:hAnsi="Arial" w:eastAsia="楷体_GB2312"/>
      <w:sz w:val="28"/>
      <w:szCs w:val="28"/>
    </w:rPr>
  </w:style>
  <w:style w:type="paragraph" w:customStyle="1" w:styleId="115">
    <w:name w:val="TOC9"/>
    <w:basedOn w:val="1"/>
    <w:next w:val="1"/>
    <w:autoRedefine/>
    <w:semiHidden/>
    <w:qFormat/>
    <w:uiPriority w:val="0"/>
    <w:pPr>
      <w:ind w:left="1680"/>
      <w:jc w:val="left"/>
    </w:pPr>
  </w:style>
  <w:style w:type="paragraph" w:customStyle="1" w:styleId="116">
    <w:name w:val="TOC3"/>
    <w:basedOn w:val="1"/>
    <w:next w:val="1"/>
    <w:autoRedefine/>
    <w:semiHidden/>
    <w:qFormat/>
    <w:uiPriority w:val="0"/>
    <w:pPr>
      <w:ind w:left="420"/>
      <w:jc w:val="left"/>
    </w:pPr>
    <w:rPr>
      <w:i/>
      <w:iCs/>
      <w:szCs w:val="24"/>
    </w:rPr>
  </w:style>
  <w:style w:type="paragraph" w:customStyle="1" w:styleId="117">
    <w:name w:val="TOC5"/>
    <w:basedOn w:val="1"/>
    <w:next w:val="1"/>
    <w:autoRedefine/>
    <w:semiHidden/>
    <w:qFormat/>
    <w:uiPriority w:val="0"/>
    <w:pPr>
      <w:ind w:left="840"/>
      <w:jc w:val="left"/>
    </w:pPr>
  </w:style>
  <w:style w:type="paragraph" w:customStyle="1" w:styleId="118">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9">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20">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21">
    <w:name w:val="UserStyle_26"/>
    <w:basedOn w:val="1"/>
    <w:autoRedefine/>
    <w:qFormat/>
    <w:uiPriority w:val="0"/>
    <w:pPr>
      <w:tabs>
        <w:tab w:val="left" w:pos="-720"/>
      </w:tabs>
    </w:pPr>
    <w:rPr>
      <w:spacing w:val="-3"/>
      <w:kern w:val="0"/>
      <w:sz w:val="24"/>
      <w:szCs w:val="20"/>
      <w:lang w:val="en-AU" w:eastAsia="en-US"/>
    </w:rPr>
  </w:style>
  <w:style w:type="paragraph" w:customStyle="1" w:styleId="122">
    <w:name w:val="UserStyle_27"/>
    <w:basedOn w:val="1"/>
    <w:next w:val="1"/>
    <w:autoRedefine/>
    <w:qFormat/>
    <w:uiPriority w:val="0"/>
    <w:pPr>
      <w:jc w:val="center"/>
    </w:pPr>
    <w:rPr>
      <w:sz w:val="24"/>
    </w:rPr>
  </w:style>
  <w:style w:type="paragraph" w:customStyle="1" w:styleId="123">
    <w:name w:val="UserStyle_28"/>
    <w:basedOn w:val="1"/>
    <w:autoRedefine/>
    <w:qFormat/>
    <w:uiPriority w:val="0"/>
    <w:pPr>
      <w:jc w:val="left"/>
    </w:pPr>
    <w:rPr>
      <w:kern w:val="0"/>
      <w:sz w:val="20"/>
      <w:szCs w:val="20"/>
      <w:lang w:val="de-DE" w:eastAsia="de-DE"/>
    </w:rPr>
  </w:style>
  <w:style w:type="paragraph" w:customStyle="1" w:styleId="124">
    <w:name w:val="UserStyle_29"/>
    <w:basedOn w:val="1"/>
    <w:autoRedefine/>
    <w:qFormat/>
    <w:uiPriority w:val="0"/>
    <w:pPr>
      <w:tabs>
        <w:tab w:val="left" w:pos="360"/>
      </w:tabs>
      <w:ind w:firstLine="200" w:firstLineChars="200"/>
    </w:pPr>
    <w:rPr>
      <w:sz w:val="28"/>
      <w:szCs w:val="30"/>
    </w:rPr>
  </w:style>
  <w:style w:type="paragraph" w:customStyle="1" w:styleId="125">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6">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7">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8">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9">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30">
    <w:name w:val="UserStyle_35"/>
    <w:basedOn w:val="122"/>
    <w:autoRedefine/>
    <w:qFormat/>
    <w:uiPriority w:val="0"/>
    <w:pPr>
      <w:jc w:val="left"/>
    </w:pPr>
  </w:style>
  <w:style w:type="paragraph" w:customStyle="1" w:styleId="131">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2">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3">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4">
    <w:name w:val="UserStyle_39"/>
    <w:basedOn w:val="71"/>
    <w:autoRedefine/>
    <w:qFormat/>
    <w:uiPriority w:val="0"/>
    <w:pPr>
      <w:snapToGrid w:val="0"/>
      <w:spacing w:line="360" w:lineRule="auto"/>
    </w:pPr>
    <w:rPr>
      <w:rFonts w:ascii="Tahoma" w:hAnsi="Tahoma"/>
      <w:sz w:val="24"/>
      <w:szCs w:val="24"/>
    </w:rPr>
  </w:style>
  <w:style w:type="paragraph" w:customStyle="1" w:styleId="135">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6">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7">
    <w:name w:val="UserStyle_42"/>
    <w:basedOn w:val="1"/>
    <w:autoRedefine/>
    <w:qFormat/>
    <w:uiPriority w:val="0"/>
    <w:pPr>
      <w:snapToGrid w:val="0"/>
      <w:jc w:val="left"/>
    </w:pPr>
    <w:rPr>
      <w:rFonts w:ascii="Arial Unicode MS" w:hAnsi="Arial Unicode MS"/>
      <w:szCs w:val="24"/>
    </w:rPr>
  </w:style>
  <w:style w:type="paragraph" w:customStyle="1" w:styleId="138">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9">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40">
    <w:name w:val="UserStyle_45"/>
    <w:basedOn w:val="71"/>
    <w:autoRedefine/>
    <w:qFormat/>
    <w:uiPriority w:val="0"/>
    <w:rPr>
      <w:rFonts w:ascii="Tahoma" w:hAnsi="Tahoma"/>
      <w:sz w:val="24"/>
      <w:szCs w:val="24"/>
    </w:rPr>
  </w:style>
  <w:style w:type="paragraph" w:customStyle="1" w:styleId="141">
    <w:name w:val="UserStyle_46"/>
    <w:basedOn w:val="1"/>
    <w:autoRedefine/>
    <w:qFormat/>
    <w:uiPriority w:val="0"/>
    <w:pPr>
      <w:spacing w:line="360" w:lineRule="auto"/>
    </w:pPr>
    <w:rPr>
      <w:kern w:val="0"/>
      <w:sz w:val="24"/>
      <w:szCs w:val="20"/>
    </w:rPr>
  </w:style>
  <w:style w:type="paragraph" w:customStyle="1" w:styleId="142">
    <w:name w:val="UserStyle_47"/>
    <w:basedOn w:val="1"/>
    <w:autoRedefine/>
    <w:qFormat/>
    <w:uiPriority w:val="0"/>
    <w:pPr>
      <w:numPr>
        <w:ilvl w:val="0"/>
        <w:numId w:val="3"/>
      </w:numPr>
    </w:pPr>
    <w:rPr>
      <w:rFonts w:ascii="宋体" w:hAnsi="宋体"/>
      <w:kern w:val="0"/>
    </w:rPr>
  </w:style>
  <w:style w:type="paragraph" w:customStyle="1" w:styleId="143">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4">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5">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6">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7">
    <w:name w:val="UserStyle_52"/>
    <w:basedOn w:val="1"/>
    <w:next w:val="107"/>
    <w:autoRedefine/>
    <w:qFormat/>
    <w:uiPriority w:val="0"/>
    <w:pPr>
      <w:spacing w:line="360" w:lineRule="auto"/>
      <w:ind w:firstLine="420"/>
    </w:pPr>
    <w:rPr>
      <w:color w:val="FF0000"/>
      <w:sz w:val="24"/>
      <w:szCs w:val="24"/>
    </w:rPr>
  </w:style>
  <w:style w:type="paragraph" w:customStyle="1" w:styleId="148">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9">
    <w:name w:val="UserStyle_54"/>
    <w:basedOn w:val="1"/>
    <w:next w:val="114"/>
    <w:autoRedefine/>
    <w:qFormat/>
    <w:uiPriority w:val="0"/>
    <w:pPr>
      <w:spacing w:after="120"/>
    </w:pPr>
    <w:rPr>
      <w:rFonts w:ascii="宋体" w:hAnsi="Arial" w:cs="Times New Roman"/>
      <w:bCs/>
      <w:iCs/>
      <w:szCs w:val="24"/>
    </w:rPr>
  </w:style>
  <w:style w:type="paragraph" w:customStyle="1" w:styleId="150">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51">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52">
    <w:name w:val="TableGrid"/>
    <w:basedOn w:val="55"/>
    <w:autoRedefine/>
    <w:qFormat/>
    <w:uiPriority w:val="0"/>
    <w:tblPr>
      <w:tblCellMar>
        <w:top w:w="0" w:type="dxa"/>
        <w:left w:w="0" w:type="dxa"/>
        <w:bottom w:w="0" w:type="dxa"/>
        <w:right w:w="0" w:type="dxa"/>
      </w:tblCellMar>
    </w:tblPr>
  </w:style>
  <w:style w:type="paragraph" w:styleId="153">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4">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5">
    <w:name w:val="正文1"/>
    <w:basedOn w:val="1"/>
    <w:autoRedefine/>
    <w:qFormat/>
    <w:uiPriority w:val="0"/>
    <w:pPr>
      <w:spacing w:line="440" w:lineRule="exact"/>
      <w:ind w:right="-167" w:rightChars="-167"/>
    </w:pPr>
    <w:rPr>
      <w:b/>
    </w:rPr>
  </w:style>
  <w:style w:type="character" w:customStyle="1" w:styleId="156">
    <w:name w:val="批注框文本 Char"/>
    <w:basedOn w:val="29"/>
    <w:link w:val="17"/>
    <w:autoRedefine/>
    <w:qFormat/>
    <w:uiPriority w:val="0"/>
    <w:rPr>
      <w:rFonts w:cstheme="minorBidi"/>
      <w:kern w:val="2"/>
      <w:sz w:val="18"/>
      <w:szCs w:val="18"/>
    </w:rPr>
  </w:style>
  <w:style w:type="character" w:customStyle="1" w:styleId="157">
    <w:name w:val="nth-of-type(2)"/>
    <w:basedOn w:val="29"/>
    <w:qFormat/>
    <w:uiPriority w:val="0"/>
  </w:style>
  <w:style w:type="character" w:customStyle="1" w:styleId="158">
    <w:name w:val="nth-of-type(2)1"/>
    <w:basedOn w:val="29"/>
    <w:autoRedefine/>
    <w:qFormat/>
    <w:uiPriority w:val="0"/>
  </w:style>
  <w:style w:type="character" w:customStyle="1" w:styleId="159">
    <w:name w:val="nth-of-type(2)2"/>
    <w:basedOn w:val="29"/>
    <w:autoRedefine/>
    <w:qFormat/>
    <w:uiPriority w:val="0"/>
  </w:style>
  <w:style w:type="character" w:customStyle="1" w:styleId="160">
    <w:name w:val="nth-of-type(2)3"/>
    <w:basedOn w:val="29"/>
    <w:autoRedefine/>
    <w:qFormat/>
    <w:uiPriority w:val="0"/>
  </w:style>
  <w:style w:type="character" w:customStyle="1" w:styleId="161">
    <w:name w:val="nth-of-type(1)"/>
    <w:basedOn w:val="29"/>
    <w:autoRedefine/>
    <w:qFormat/>
    <w:uiPriority w:val="0"/>
  </w:style>
  <w:style w:type="character" w:customStyle="1" w:styleId="162">
    <w:name w:val="nth-of-type(1)1"/>
    <w:basedOn w:val="29"/>
    <w:autoRedefine/>
    <w:qFormat/>
    <w:uiPriority w:val="0"/>
  </w:style>
  <w:style w:type="character" w:customStyle="1" w:styleId="163">
    <w:name w:val="nth-of-type(1)2"/>
    <w:basedOn w:val="29"/>
    <w:qFormat/>
    <w:uiPriority w:val="0"/>
  </w:style>
  <w:style w:type="character" w:customStyle="1" w:styleId="164">
    <w:name w:val="first-of-type"/>
    <w:basedOn w:val="29"/>
    <w:qFormat/>
    <w:uiPriority w:val="0"/>
  </w:style>
  <w:style w:type="character" w:customStyle="1" w:styleId="165">
    <w:name w:val="first-of-type1"/>
    <w:basedOn w:val="29"/>
    <w:qFormat/>
    <w:uiPriority w:val="0"/>
  </w:style>
  <w:style w:type="character" w:customStyle="1" w:styleId="166">
    <w:name w:val="apple-converted-space"/>
    <w:basedOn w:val="29"/>
    <w:autoRedefine/>
    <w:qFormat/>
    <w:uiPriority w:val="0"/>
  </w:style>
  <w:style w:type="paragraph" w:customStyle="1" w:styleId="167">
    <w:name w:val="纯文本1"/>
    <w:basedOn w:val="1"/>
    <w:autoRedefine/>
    <w:qFormat/>
    <w:uiPriority w:val="0"/>
    <w:rPr>
      <w:rFonts w:ascii="宋体" w:hAnsi="Courier New"/>
      <w:sz w:val="28"/>
    </w:rPr>
  </w:style>
  <w:style w:type="paragraph" w:customStyle="1" w:styleId="168">
    <w:name w:val="Table Paragraph"/>
    <w:basedOn w:val="1"/>
    <w:autoRedefine/>
    <w:qFormat/>
    <w:uiPriority w:val="1"/>
    <w:rPr>
      <w:rFonts w:cs="Times New Roman"/>
      <w:szCs w:val="24"/>
    </w:rPr>
  </w:style>
  <w:style w:type="paragraph" w:customStyle="1" w:styleId="169">
    <w:name w:val="WPSOffice手动目录 1"/>
    <w:autoRedefine/>
    <w:qFormat/>
    <w:uiPriority w:val="0"/>
    <w:rPr>
      <w:rFonts w:ascii="Times New Roman" w:hAnsi="Times New Roman" w:eastAsia="宋体" w:cs="Times New Roman"/>
      <w:lang w:val="en-US" w:eastAsia="zh-CN" w:bidi="ar-SA"/>
    </w:rPr>
  </w:style>
  <w:style w:type="paragraph" w:customStyle="1" w:styleId="170">
    <w:name w:val="z-窗体顶端1"/>
    <w:basedOn w:val="1"/>
    <w:next w:val="1"/>
    <w:qFormat/>
    <w:uiPriority w:val="0"/>
    <w:pPr>
      <w:pBdr>
        <w:bottom w:val="single" w:color="auto" w:sz="6" w:space="1"/>
      </w:pBdr>
      <w:jc w:val="center"/>
    </w:pPr>
    <w:rPr>
      <w:rFonts w:ascii="Arial"/>
      <w:vanish/>
      <w:sz w:val="16"/>
    </w:rPr>
  </w:style>
  <w:style w:type="paragraph" w:customStyle="1" w:styleId="171">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72">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73">
    <w:name w:val="Char"/>
    <w:basedOn w:val="1"/>
    <w:autoRedefine/>
    <w:qFormat/>
    <w:uiPriority w:val="0"/>
    <w:pPr>
      <w:tabs>
        <w:tab w:val="left" w:pos="360"/>
      </w:tabs>
      <w:ind w:firstLine="200" w:firstLineChars="200"/>
    </w:pPr>
    <w:rPr>
      <w:sz w:val="28"/>
      <w:szCs w:val="30"/>
    </w:rPr>
  </w:style>
  <w:style w:type="paragraph" w:customStyle="1" w:styleId="174">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5">
    <w:name w:val="列出段落3"/>
    <w:basedOn w:val="1"/>
    <w:autoRedefine/>
    <w:qFormat/>
    <w:uiPriority w:val="99"/>
    <w:pPr>
      <w:ind w:firstLine="420" w:firstLineChars="200"/>
    </w:pPr>
    <w:rPr>
      <w:rFonts w:cs="Times New Roman"/>
      <w:szCs w:val="24"/>
    </w:rPr>
  </w:style>
  <w:style w:type="paragraph" w:customStyle="1" w:styleId="17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7">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列出段落2"/>
    <w:basedOn w:val="1"/>
    <w:qFormat/>
    <w:uiPriority w:val="0"/>
    <w:pPr>
      <w:ind w:firstLine="420"/>
    </w:pPr>
    <w:rPr>
      <w:rFonts w:ascii="Calibri" w:hAnsi="Calibri"/>
      <w:szCs w:val="22"/>
    </w:rPr>
  </w:style>
  <w:style w:type="paragraph" w:customStyle="1" w:styleId="180">
    <w:name w:val="列出段落4"/>
    <w:basedOn w:val="1"/>
    <w:qFormat/>
    <w:uiPriority w:val="99"/>
    <w:pPr>
      <w:ind w:firstLine="420"/>
    </w:pPr>
    <w:rPr>
      <w:rFonts w:ascii="Calibri" w:hAnsi="Calibri"/>
      <w:szCs w:val="22"/>
    </w:rPr>
  </w:style>
  <w:style w:type="character" w:customStyle="1" w:styleId="181">
    <w:name w:val="font21"/>
    <w:basedOn w:val="29"/>
    <w:qFormat/>
    <w:uiPriority w:val="0"/>
    <w:rPr>
      <w:rFonts w:hint="eastAsia" w:ascii="宋体" w:hAnsi="宋体" w:eastAsia="宋体" w:cs="宋体"/>
      <w:b/>
      <w:color w:val="000000"/>
      <w:sz w:val="20"/>
      <w:szCs w:val="20"/>
      <w:u w:val="none"/>
    </w:rPr>
  </w:style>
  <w:style w:type="character" w:customStyle="1" w:styleId="182">
    <w:name w:val="font71"/>
    <w:basedOn w:val="29"/>
    <w:qFormat/>
    <w:uiPriority w:val="0"/>
    <w:rPr>
      <w:rFonts w:hint="eastAsia" w:ascii="宋体" w:hAnsi="宋体" w:eastAsia="宋体" w:cs="宋体"/>
      <w:b/>
      <w:color w:val="FF0000"/>
      <w:sz w:val="20"/>
      <w:szCs w:val="20"/>
      <w:u w:val="none"/>
    </w:rPr>
  </w:style>
  <w:style w:type="character" w:customStyle="1" w:styleId="183">
    <w:name w:val="font81"/>
    <w:basedOn w:val="29"/>
    <w:qFormat/>
    <w:uiPriority w:val="0"/>
    <w:rPr>
      <w:rFonts w:hint="eastAsia" w:ascii="宋体" w:hAnsi="宋体" w:eastAsia="宋体" w:cs="宋体"/>
      <w:b/>
      <w:color w:val="538DD5"/>
      <w:sz w:val="20"/>
      <w:szCs w:val="20"/>
      <w:u w:val="none"/>
    </w:rPr>
  </w:style>
  <w:style w:type="paragraph" w:customStyle="1" w:styleId="184">
    <w:name w:val="列出段落21"/>
    <w:basedOn w:val="1"/>
    <w:qFormat/>
    <w:uiPriority w:val="0"/>
    <w:pPr>
      <w:spacing w:line="240" w:lineRule="auto"/>
      <w:ind w:firstLine="42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64</Pages>
  <Words>32276</Words>
  <Characters>34220</Characters>
  <Lines>306</Lines>
  <Paragraphs>86</Paragraphs>
  <TotalTime>7</TotalTime>
  <ScaleCrop>false</ScaleCrop>
  <LinksUpToDate>false</LinksUpToDate>
  <CharactersWithSpaces>36736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2024-06-15T08:12:00Z</dcterms:created>
  <dc:creator>Administrator</dc:creator>
  <cp:lastModifiedBy>Samsung</cp:lastModifiedBy>
  <cp:lastPrinted>2022-11-29T08:36:00Z</cp:lastPrinted>
  <dcterms:modified xsi:type="dcterms:W3CDTF">2024-08-02T10:01:02Z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9244706860CD4FDCBA49453F40DB9D47_13</vt:lpwstr>
  </property>
</Properties>
</file>